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F9842" w14:textId="18760262" w:rsidR="00B559D5" w:rsidRPr="003338DA" w:rsidRDefault="002A525E" w:rsidP="00B559D5">
      <w:pPr>
        <w:spacing w:after="120"/>
        <w:jc w:val="center"/>
        <w:rPr>
          <w:b/>
          <w:bCs/>
          <w:sz w:val="28"/>
          <w:szCs w:val="28"/>
          <w:lang w:eastAsia="en-US"/>
        </w:rPr>
      </w:pPr>
      <w:r w:rsidRPr="003338DA">
        <w:rPr>
          <w:b/>
          <w:bCs/>
          <w:sz w:val="28"/>
          <w:szCs w:val="28"/>
        </w:rPr>
        <w:t xml:space="preserve">Ministru kabineta rīkojuma projekta </w:t>
      </w:r>
      <w:r w:rsidR="00C414F5">
        <w:rPr>
          <w:b/>
          <w:bCs/>
          <w:sz w:val="28"/>
          <w:szCs w:val="28"/>
        </w:rPr>
        <w:t>“</w:t>
      </w:r>
      <w:r w:rsidR="003338DA" w:rsidRPr="003338DA">
        <w:rPr>
          <w:b/>
          <w:bCs/>
          <w:sz w:val="28"/>
          <w:szCs w:val="28"/>
        </w:rPr>
        <w:t>Par informācijas sabiedrības attīstības pamatnostādņu ieviešanu publiskās pārvaldes informācijas sistēmu jomā (</w:t>
      </w:r>
      <w:proofErr w:type="spellStart"/>
      <w:r w:rsidR="003338DA" w:rsidRPr="003338DA">
        <w:rPr>
          <w:b/>
          <w:bCs/>
          <w:sz w:val="28"/>
          <w:szCs w:val="28"/>
        </w:rPr>
        <w:t>mērķarhitektūras</w:t>
      </w:r>
      <w:proofErr w:type="spellEnd"/>
      <w:r w:rsidR="003338DA" w:rsidRPr="003338DA">
        <w:rPr>
          <w:b/>
          <w:bCs/>
          <w:sz w:val="28"/>
          <w:szCs w:val="28"/>
        </w:rPr>
        <w:t xml:space="preserve"> 4</w:t>
      </w:r>
      <w:r w:rsidR="00AD00E2">
        <w:rPr>
          <w:b/>
          <w:bCs/>
          <w:sz w:val="28"/>
          <w:szCs w:val="28"/>
        </w:rPr>
        <w:t>4</w:t>
      </w:r>
      <w:r w:rsidR="003338DA" w:rsidRPr="003338DA">
        <w:rPr>
          <w:b/>
          <w:bCs/>
          <w:sz w:val="28"/>
          <w:szCs w:val="28"/>
        </w:rPr>
        <w:t>.0.versija)”</w:t>
      </w:r>
      <w:r w:rsidR="00C414F5">
        <w:rPr>
          <w:b/>
          <w:bCs/>
          <w:sz w:val="28"/>
          <w:szCs w:val="28"/>
        </w:rPr>
        <w:t xml:space="preserve"> </w:t>
      </w:r>
      <w:r w:rsidRPr="003338DA">
        <w:rPr>
          <w:b/>
          <w:bCs/>
          <w:sz w:val="28"/>
          <w:szCs w:val="28"/>
        </w:rPr>
        <w:t>sākotnējās</w:t>
      </w:r>
      <w:r w:rsidRPr="003338DA">
        <w:rPr>
          <w:b/>
          <w:bCs/>
          <w:sz w:val="28"/>
          <w:szCs w:val="28"/>
          <w:lang w:eastAsia="en-US"/>
        </w:rPr>
        <w:t xml:space="preserve"> ietekmes novērtējuma ziņojums (anotācija) </w:t>
      </w:r>
    </w:p>
    <w:tbl>
      <w:tblPr>
        <w:tblW w:w="542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30"/>
        <w:gridCol w:w="6146"/>
      </w:tblGrid>
      <w:tr w:rsidR="00CC6F38" w14:paraId="3961D4D2" w14:textId="77777777" w:rsidTr="00B559D5">
        <w:trPr>
          <w:tblCellSpacing w:w="15" w:type="dxa"/>
        </w:trPr>
        <w:tc>
          <w:tcPr>
            <w:tcW w:w="4970" w:type="pct"/>
            <w:gridSpan w:val="2"/>
            <w:tcBorders>
              <w:top w:val="outset" w:sz="6" w:space="0" w:color="auto"/>
              <w:left w:val="outset" w:sz="6" w:space="0" w:color="auto"/>
              <w:bottom w:val="outset" w:sz="6" w:space="0" w:color="auto"/>
              <w:right w:val="outset" w:sz="6" w:space="0" w:color="auto"/>
            </w:tcBorders>
            <w:vAlign w:val="center"/>
            <w:hideMark/>
          </w:tcPr>
          <w:p w14:paraId="16A0FEF6" w14:textId="77777777" w:rsidR="00B559D5" w:rsidRPr="00836FE4" w:rsidRDefault="002A525E" w:rsidP="00262DE5">
            <w:pPr>
              <w:jc w:val="center"/>
              <w:rPr>
                <w:b/>
                <w:bCs/>
                <w:iCs/>
                <w:color w:val="000000" w:themeColor="text1"/>
                <w:lang w:eastAsia="lv-LV"/>
              </w:rPr>
            </w:pPr>
            <w:r w:rsidRPr="00836FE4">
              <w:rPr>
                <w:b/>
                <w:bCs/>
                <w:iCs/>
                <w:color w:val="000000" w:themeColor="text1"/>
                <w:lang w:eastAsia="lv-LV"/>
              </w:rPr>
              <w:t>Tiesību akta projekta anotācijas kopsavilkums</w:t>
            </w:r>
          </w:p>
        </w:tc>
      </w:tr>
      <w:tr w:rsidR="00CC6F38" w14:paraId="2AB4A5D3" w14:textId="77777777" w:rsidTr="00B559D5">
        <w:trPr>
          <w:tblCellSpacing w:w="15" w:type="dxa"/>
        </w:trPr>
        <w:tc>
          <w:tcPr>
            <w:tcW w:w="1807" w:type="pct"/>
            <w:tcBorders>
              <w:top w:val="outset" w:sz="6" w:space="0" w:color="auto"/>
              <w:left w:val="outset" w:sz="6" w:space="0" w:color="auto"/>
              <w:bottom w:val="outset" w:sz="6" w:space="0" w:color="auto"/>
              <w:right w:val="outset" w:sz="6" w:space="0" w:color="auto"/>
            </w:tcBorders>
            <w:hideMark/>
          </w:tcPr>
          <w:p w14:paraId="792E51A1" w14:textId="77777777" w:rsidR="00B559D5" w:rsidRPr="00836FE4" w:rsidRDefault="002A525E" w:rsidP="00262DE5">
            <w:pPr>
              <w:rPr>
                <w:iCs/>
                <w:color w:val="000000" w:themeColor="text1"/>
                <w:lang w:eastAsia="lv-LV"/>
              </w:rPr>
            </w:pPr>
            <w:r w:rsidRPr="00836FE4">
              <w:rPr>
                <w:iCs/>
                <w:color w:val="000000" w:themeColor="text1"/>
                <w:lang w:eastAsia="lv-LV"/>
              </w:rPr>
              <w:t>Mērķis, risinājums un projekta spēkā stāšanās laiks (500 zīmes bez atstarpēm)</w:t>
            </w:r>
          </w:p>
        </w:tc>
        <w:tc>
          <w:tcPr>
            <w:tcW w:w="3148" w:type="pct"/>
            <w:tcBorders>
              <w:top w:val="outset" w:sz="6" w:space="0" w:color="auto"/>
              <w:left w:val="outset" w:sz="6" w:space="0" w:color="auto"/>
              <w:bottom w:val="outset" w:sz="6" w:space="0" w:color="auto"/>
              <w:right w:val="outset" w:sz="6" w:space="0" w:color="auto"/>
            </w:tcBorders>
            <w:hideMark/>
          </w:tcPr>
          <w:p w14:paraId="00FE896D" w14:textId="63939E77" w:rsidR="00B559D5" w:rsidRPr="00836FE4" w:rsidRDefault="002A525E" w:rsidP="00262DE5">
            <w:pPr>
              <w:pStyle w:val="VPTitle"/>
              <w:spacing w:before="0" w:after="120" w:line="240" w:lineRule="auto"/>
              <w:jc w:val="both"/>
              <w:rPr>
                <w:sz w:val="24"/>
                <w:szCs w:val="24"/>
              </w:rPr>
            </w:pPr>
            <w:r w:rsidRPr="00836FE4">
              <w:rPr>
                <w:rFonts w:ascii="Times New Roman" w:hAnsi="Times New Roman" w:cs="Times New Roman"/>
                <w:b w:val="0"/>
                <w:bCs w:val="0"/>
                <w:spacing w:val="0"/>
                <w:kern w:val="0"/>
                <w:sz w:val="24"/>
                <w:szCs w:val="24"/>
                <w:lang w:eastAsia="en-US"/>
              </w:rPr>
              <w:t xml:space="preserve">Ar rīkojuma projektu tiek apstiprināts un iekļauts </w:t>
            </w:r>
            <w:r w:rsidR="001F006D" w:rsidRPr="001F006D">
              <w:rPr>
                <w:rFonts w:ascii="Times New Roman" w:hAnsi="Times New Roman" w:cs="Times New Roman"/>
                <w:b w:val="0"/>
                <w:bCs w:val="0"/>
                <w:spacing w:val="0"/>
                <w:kern w:val="0"/>
                <w:sz w:val="24"/>
                <w:szCs w:val="24"/>
                <w:lang w:eastAsia="en-US"/>
              </w:rPr>
              <w:t>informācijas un komunikācijas tehnoloģiju</w:t>
            </w:r>
            <w:r w:rsidRPr="00836FE4">
              <w:rPr>
                <w:rFonts w:ascii="Times New Roman" w:hAnsi="Times New Roman" w:cs="Times New Roman"/>
                <w:b w:val="0"/>
                <w:bCs w:val="0"/>
                <w:spacing w:val="0"/>
                <w:kern w:val="0"/>
                <w:sz w:val="24"/>
                <w:szCs w:val="24"/>
                <w:lang w:eastAsia="en-US"/>
              </w:rPr>
              <w:t xml:space="preserve"> </w:t>
            </w:r>
            <w:proofErr w:type="spellStart"/>
            <w:r w:rsidRPr="00836FE4">
              <w:rPr>
                <w:rFonts w:ascii="Times New Roman" w:hAnsi="Times New Roman" w:cs="Times New Roman"/>
                <w:b w:val="0"/>
                <w:bCs w:val="0"/>
                <w:spacing w:val="0"/>
                <w:kern w:val="0"/>
                <w:sz w:val="24"/>
                <w:szCs w:val="24"/>
                <w:lang w:eastAsia="en-US"/>
              </w:rPr>
              <w:t>mērķarhitektūrā</w:t>
            </w:r>
            <w:proofErr w:type="spellEnd"/>
            <w:r w:rsidRPr="00836FE4">
              <w:rPr>
                <w:rFonts w:ascii="Times New Roman" w:hAnsi="Times New Roman" w:cs="Times New Roman"/>
                <w:b w:val="0"/>
                <w:bCs w:val="0"/>
                <w:spacing w:val="0"/>
                <w:kern w:val="0"/>
                <w:sz w:val="24"/>
                <w:szCs w:val="24"/>
                <w:lang w:eastAsia="en-US"/>
              </w:rPr>
              <w:t xml:space="preserve"> </w:t>
            </w:r>
            <w:r w:rsidR="00AD00E2">
              <w:rPr>
                <w:rFonts w:ascii="Times New Roman" w:hAnsi="Times New Roman" w:cs="Times New Roman"/>
                <w:b w:val="0"/>
                <w:bCs w:val="0"/>
                <w:spacing w:val="0"/>
                <w:kern w:val="0"/>
                <w:sz w:val="24"/>
                <w:szCs w:val="24"/>
                <w:lang w:eastAsia="en-US"/>
              </w:rPr>
              <w:t>Vides aizsardzības un reģionālās attīstības mi</w:t>
            </w:r>
            <w:r w:rsidR="001F006D">
              <w:rPr>
                <w:rFonts w:ascii="Times New Roman" w:hAnsi="Times New Roman" w:cs="Times New Roman"/>
                <w:b w:val="0"/>
                <w:bCs w:val="0"/>
                <w:spacing w:val="0"/>
                <w:kern w:val="0"/>
                <w:sz w:val="24"/>
                <w:szCs w:val="24"/>
                <w:lang w:eastAsia="en-US"/>
              </w:rPr>
              <w:t>n</w:t>
            </w:r>
            <w:r w:rsidR="00AD00E2">
              <w:rPr>
                <w:rFonts w:ascii="Times New Roman" w:hAnsi="Times New Roman" w:cs="Times New Roman"/>
                <w:b w:val="0"/>
                <w:bCs w:val="0"/>
                <w:spacing w:val="0"/>
                <w:kern w:val="0"/>
                <w:sz w:val="24"/>
                <w:szCs w:val="24"/>
                <w:lang w:eastAsia="en-US"/>
              </w:rPr>
              <w:t>istrijas</w:t>
            </w:r>
            <w:r w:rsidR="00C414F5">
              <w:rPr>
                <w:rFonts w:ascii="Times New Roman" w:hAnsi="Times New Roman" w:cs="Times New Roman"/>
                <w:b w:val="0"/>
                <w:bCs w:val="0"/>
                <w:spacing w:val="0"/>
                <w:kern w:val="0"/>
                <w:sz w:val="24"/>
                <w:szCs w:val="24"/>
                <w:lang w:eastAsia="en-US"/>
              </w:rPr>
              <w:t xml:space="preserve"> (turpmāk – VARAM)</w:t>
            </w:r>
            <w:r w:rsidRPr="00836FE4">
              <w:rPr>
                <w:rFonts w:ascii="Times New Roman" w:hAnsi="Times New Roman" w:cs="Times New Roman"/>
                <w:b w:val="0"/>
                <w:bCs w:val="0"/>
                <w:spacing w:val="0"/>
                <w:kern w:val="0"/>
                <w:sz w:val="24"/>
                <w:szCs w:val="24"/>
                <w:lang w:eastAsia="en-US"/>
              </w:rPr>
              <w:t xml:space="preserve"> </w:t>
            </w:r>
            <w:r w:rsidR="004F402D" w:rsidRPr="00836FE4">
              <w:rPr>
                <w:rFonts w:ascii="Times New Roman" w:hAnsi="Times New Roman" w:cs="Times New Roman"/>
                <w:b w:val="0"/>
                <w:bCs w:val="0"/>
                <w:spacing w:val="0"/>
                <w:kern w:val="0"/>
                <w:sz w:val="24"/>
                <w:szCs w:val="24"/>
                <w:lang w:eastAsia="en-US"/>
              </w:rPr>
              <w:t>projekt</w:t>
            </w:r>
            <w:r w:rsidR="004F402D">
              <w:rPr>
                <w:rFonts w:ascii="Times New Roman" w:hAnsi="Times New Roman" w:cs="Times New Roman"/>
                <w:b w:val="0"/>
                <w:bCs w:val="0"/>
                <w:spacing w:val="0"/>
                <w:kern w:val="0"/>
                <w:sz w:val="24"/>
                <w:szCs w:val="24"/>
                <w:lang w:eastAsia="en-US"/>
              </w:rPr>
              <w:t>a</w:t>
            </w:r>
            <w:r w:rsidR="004F402D" w:rsidRPr="00836FE4">
              <w:rPr>
                <w:rFonts w:ascii="Times New Roman" w:hAnsi="Times New Roman" w:cs="Times New Roman"/>
                <w:b w:val="0"/>
                <w:bCs w:val="0"/>
                <w:spacing w:val="0"/>
                <w:kern w:val="0"/>
                <w:sz w:val="24"/>
                <w:szCs w:val="24"/>
                <w:lang w:eastAsia="en-US"/>
              </w:rPr>
              <w:t xml:space="preserve"> </w:t>
            </w:r>
            <w:r w:rsidRPr="00836FE4">
              <w:rPr>
                <w:rFonts w:ascii="Times New Roman" w:hAnsi="Times New Roman" w:cs="Times New Roman"/>
                <w:b w:val="0"/>
                <w:bCs w:val="0"/>
                <w:spacing w:val="0"/>
                <w:kern w:val="0"/>
                <w:sz w:val="24"/>
                <w:szCs w:val="24"/>
                <w:lang w:eastAsia="en-US"/>
              </w:rPr>
              <w:t>“</w:t>
            </w:r>
            <w:r w:rsidR="00DF6FF3" w:rsidRPr="00DF6FF3">
              <w:rPr>
                <w:rFonts w:ascii="Times New Roman" w:hAnsi="Times New Roman" w:cs="Times New Roman"/>
                <w:b w:val="0"/>
                <w:bCs w:val="0"/>
                <w:spacing w:val="0"/>
                <w:kern w:val="0"/>
                <w:sz w:val="24"/>
                <w:szCs w:val="24"/>
                <w:lang w:eastAsia="en-US"/>
              </w:rPr>
              <w:t>Publiskās pārvaldes informācijas un komunikāciju tehnoloģiju arhitektūras pārvaldības sistēma 2.kārta</w:t>
            </w:r>
            <w:r w:rsidRPr="00836FE4">
              <w:rPr>
                <w:rFonts w:ascii="Times New Roman" w:hAnsi="Times New Roman" w:cs="Times New Roman"/>
                <w:b w:val="0"/>
                <w:bCs w:val="0"/>
                <w:spacing w:val="0"/>
                <w:kern w:val="0"/>
                <w:sz w:val="24"/>
                <w:szCs w:val="24"/>
                <w:lang w:eastAsia="en-US"/>
              </w:rPr>
              <w:t xml:space="preserve">”, </w:t>
            </w:r>
            <w:r w:rsidR="004F402D">
              <w:rPr>
                <w:rFonts w:ascii="Times New Roman" w:hAnsi="Times New Roman" w:cs="Times New Roman"/>
                <w:b w:val="0"/>
                <w:bCs w:val="0"/>
                <w:spacing w:val="0"/>
                <w:kern w:val="0"/>
                <w:sz w:val="24"/>
                <w:szCs w:val="24"/>
                <w:lang w:eastAsia="en-US"/>
              </w:rPr>
              <w:t>apraksts.</w:t>
            </w:r>
          </w:p>
          <w:p w14:paraId="3FEAB87F" w14:textId="48874E11" w:rsidR="00B559D5" w:rsidRPr="00836FE4" w:rsidRDefault="002A525E" w:rsidP="00373B96">
            <w:pPr>
              <w:jc w:val="both"/>
              <w:rPr>
                <w:iCs/>
                <w:color w:val="000000" w:themeColor="text1"/>
                <w:lang w:eastAsia="lv-LV"/>
              </w:rPr>
            </w:pPr>
            <w:r w:rsidRPr="00836FE4">
              <w:rPr>
                <w:lang w:eastAsia="en-US"/>
              </w:rPr>
              <w:t xml:space="preserve">Rīkojuma projekts stāsies spēkā </w:t>
            </w:r>
            <w:r w:rsidR="00C414F5">
              <w:rPr>
                <w:lang w:eastAsia="en-US"/>
              </w:rPr>
              <w:t>tā parakstīšanas brīdī.</w:t>
            </w:r>
          </w:p>
        </w:tc>
      </w:tr>
    </w:tbl>
    <w:p w14:paraId="6F4A4BBE" w14:textId="77777777" w:rsidR="00B559D5" w:rsidRPr="00836FE4" w:rsidRDefault="00B559D5" w:rsidP="00B559D5">
      <w:pPr>
        <w:jc w:val="center"/>
        <w:rPr>
          <w:b/>
          <w:bCs/>
          <w:lang w:eastAsia="en-US"/>
        </w:rPr>
      </w:pPr>
    </w:p>
    <w:tbl>
      <w:tblPr>
        <w:tblW w:w="0" w:type="auto"/>
        <w:tblInd w:w="-55" w:type="dxa"/>
        <w:tblLayout w:type="fixed"/>
        <w:tblCellMar>
          <w:left w:w="57" w:type="dxa"/>
          <w:right w:w="57" w:type="dxa"/>
        </w:tblCellMar>
        <w:tblLook w:val="0000" w:firstRow="0" w:lastRow="0" w:firstColumn="0" w:lastColumn="0" w:noHBand="0" w:noVBand="0"/>
      </w:tblPr>
      <w:tblGrid>
        <w:gridCol w:w="762"/>
        <w:gridCol w:w="1986"/>
        <w:gridCol w:w="7107"/>
      </w:tblGrid>
      <w:tr w:rsidR="00CC6F38" w14:paraId="4EF33049" w14:textId="77777777" w:rsidTr="00262DE5">
        <w:trPr>
          <w:trHeight w:val="557"/>
        </w:trPr>
        <w:tc>
          <w:tcPr>
            <w:tcW w:w="9855"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tcPr>
          <w:p w14:paraId="1048ABCA" w14:textId="77777777" w:rsidR="00B559D5" w:rsidRPr="00836FE4" w:rsidRDefault="002A525E" w:rsidP="00262DE5">
            <w:pPr>
              <w:jc w:val="center"/>
            </w:pPr>
            <w:r w:rsidRPr="00836FE4">
              <w:rPr>
                <w:b/>
                <w:bCs/>
                <w:lang w:eastAsia="en-US"/>
              </w:rPr>
              <w:t> I. Tiesību akta izstrādes nepieciešamība</w:t>
            </w:r>
          </w:p>
        </w:tc>
      </w:tr>
      <w:tr w:rsidR="00CC6F38" w14:paraId="2A235815" w14:textId="77777777" w:rsidTr="00262DE5">
        <w:trPr>
          <w:trHeight w:val="271"/>
        </w:trPr>
        <w:tc>
          <w:tcPr>
            <w:tcW w:w="762" w:type="dxa"/>
            <w:tcBorders>
              <w:top w:val="thickThinLargeGap" w:sz="6" w:space="0" w:color="C0C0C0"/>
              <w:left w:val="thickThinLargeGap" w:sz="6" w:space="0" w:color="C0C0C0"/>
              <w:bottom w:val="thickThinLargeGap" w:sz="6" w:space="0" w:color="C0C0C0"/>
            </w:tcBorders>
          </w:tcPr>
          <w:p w14:paraId="62903A6F" w14:textId="77777777" w:rsidR="00B559D5" w:rsidRPr="00836FE4" w:rsidRDefault="002A525E" w:rsidP="00262DE5">
            <w:r w:rsidRPr="00836FE4">
              <w:rPr>
                <w:lang w:eastAsia="en-US"/>
              </w:rPr>
              <w:t> 1.</w:t>
            </w:r>
          </w:p>
        </w:tc>
        <w:tc>
          <w:tcPr>
            <w:tcW w:w="1986" w:type="dxa"/>
            <w:tcBorders>
              <w:top w:val="thickThinLargeGap" w:sz="6" w:space="0" w:color="C0C0C0"/>
              <w:left w:val="thickThinLargeGap" w:sz="6" w:space="0" w:color="C0C0C0"/>
              <w:bottom w:val="thickThinLargeGap" w:sz="6" w:space="0" w:color="C0C0C0"/>
            </w:tcBorders>
          </w:tcPr>
          <w:p w14:paraId="521E8CF7" w14:textId="77777777" w:rsidR="00B559D5" w:rsidRPr="00836FE4" w:rsidRDefault="002A525E" w:rsidP="00262DE5">
            <w:r w:rsidRPr="00836FE4">
              <w:rPr>
                <w:lang w:eastAsia="en-US"/>
              </w:rPr>
              <w:t>Pamatojums</w:t>
            </w:r>
          </w:p>
        </w:tc>
        <w:tc>
          <w:tcPr>
            <w:tcW w:w="7107" w:type="dxa"/>
            <w:tcBorders>
              <w:top w:val="thickThinLargeGap" w:sz="6" w:space="0" w:color="C0C0C0"/>
              <w:left w:val="thickThinLargeGap" w:sz="6" w:space="0" w:color="C0C0C0"/>
              <w:bottom w:val="thickThinLargeGap" w:sz="6" w:space="0" w:color="C0C0C0"/>
              <w:right w:val="thickThinLargeGap" w:sz="6" w:space="0" w:color="C0C0C0"/>
            </w:tcBorders>
          </w:tcPr>
          <w:p w14:paraId="7912B4FF" w14:textId="77777777" w:rsidR="00B559D5" w:rsidRPr="00836FE4" w:rsidRDefault="002A525E" w:rsidP="00B559D5">
            <w:pPr>
              <w:numPr>
                <w:ilvl w:val="0"/>
                <w:numId w:val="1"/>
              </w:numPr>
              <w:ind w:right="210"/>
              <w:jc w:val="both"/>
            </w:pPr>
            <w:r w:rsidRPr="00836FE4">
              <w:t>Deklarācijas par Māra Kučinska vadītā Ministru kabineta iecerēto darbību 35</w:t>
            </w:r>
            <w:r w:rsidR="00836FE4" w:rsidRPr="00836FE4">
              <w:t>.</w:t>
            </w:r>
            <w:r w:rsidRPr="00836FE4">
              <w:t xml:space="preserve"> uzdevums “Nodrošināsim IKT publisko investīciju un e-pakalpojumu orientāciju uz jaunu produktu un pakalpojumu veidošanu un </w:t>
            </w:r>
            <w:proofErr w:type="spellStart"/>
            <w:r w:rsidRPr="00836FE4">
              <w:t>komercializāciju</w:t>
            </w:r>
            <w:proofErr w:type="spellEnd"/>
            <w:r w:rsidRPr="00836FE4">
              <w:t>. Ieviesīsim e-pārvaldi publisko iestāžu darbā un pakalpojumu sniegšanā”, Rīcības plāna pasākums “Nodrošināsim Eiropas digitālā vienotā tirgus stratēģijas ieviešanu, attīstot digitālo pakalpojumu vidi un tās izmantošanu, Latvijas ekonomikas konkurētspējas celšanai, izveidosim uzlabotu valsts IKT pārvaldības sistēmu un elektroniskās pārvaldes koplietošanas platformas, nodrošināsim IKT procesu koordināciju, kā arī stiprināsim VARAM kapacitāti un funkcijas”, 5. darbības rezultāts “Nodrošināta IKT procesu koordinācija un pārvaldība, paaugstināta VARAM kapacitāte, nodrošinot 38 ERAF līdzfinansēto projektu iekļaušanos publiskās pārvaldes vienotajā arhitektūrā”.</w:t>
            </w:r>
          </w:p>
          <w:p w14:paraId="5DB68F99" w14:textId="77777777" w:rsidR="00B559D5" w:rsidRPr="00836FE4" w:rsidRDefault="002A525E" w:rsidP="00B559D5">
            <w:pPr>
              <w:numPr>
                <w:ilvl w:val="0"/>
                <w:numId w:val="1"/>
              </w:numPr>
              <w:ind w:right="210"/>
              <w:jc w:val="both"/>
            </w:pPr>
            <w:r w:rsidRPr="00836FE4">
              <w:t>Ministru kabineta 2015. gada 17. novembra noteikumu Nr. 653 “Darbības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īstenošanas noteikumi” (turpmāk – īstenošanas noteikumi) 4. punkts un 13.2.apakšpunkts.</w:t>
            </w:r>
          </w:p>
          <w:p w14:paraId="3FAFCF40" w14:textId="77777777" w:rsidR="001D603F" w:rsidRPr="00836FE4" w:rsidRDefault="002A525E" w:rsidP="001D603F">
            <w:pPr>
              <w:numPr>
                <w:ilvl w:val="0"/>
                <w:numId w:val="1"/>
              </w:numPr>
              <w:ind w:right="210"/>
              <w:jc w:val="both"/>
            </w:pPr>
            <w:r w:rsidRPr="00836FE4">
              <w:t xml:space="preserve">Ministru kabineta 2017.gada 10.augusta rīkojuma Nr.422 “Par 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un 2.2.1.2. pasākuma "Kultūras mantojuma </w:t>
            </w:r>
            <w:proofErr w:type="spellStart"/>
            <w:r w:rsidRPr="00836FE4">
              <w:t>digitalizācija</w:t>
            </w:r>
            <w:proofErr w:type="spellEnd"/>
            <w:r w:rsidRPr="00836FE4">
              <w:t>" projektu iesniegumu atlases 2. kārtas projektu sarakstu Eiropas Savienības fondu 2014.–2020. gada plānošanas periodam” 1. punkts</w:t>
            </w:r>
            <w:r w:rsidR="00AD3A6F" w:rsidRPr="00836FE4">
              <w:t>.</w:t>
            </w:r>
          </w:p>
          <w:p w14:paraId="56AEAEF4" w14:textId="77777777" w:rsidR="00B559D5" w:rsidRPr="00FD0C8D" w:rsidRDefault="002A525E" w:rsidP="00B559D5">
            <w:pPr>
              <w:numPr>
                <w:ilvl w:val="0"/>
                <w:numId w:val="1"/>
              </w:numPr>
              <w:ind w:left="357" w:right="210" w:hanging="357"/>
              <w:jc w:val="both"/>
            </w:pPr>
            <w:r w:rsidRPr="00FD0C8D">
              <w:lastRenderedPageBreak/>
              <w:t>Ministru kabineta 2016.gada 10. februāra rīkojuma Nr.136 “Par informācijas sabiedrības attīstības pamatnostādņu ieviešanu publiskās pārvaldes informācijas sistēmu jomā” 4.</w:t>
            </w:r>
            <w:r w:rsidRPr="00FD0C8D">
              <w:rPr>
                <w:vertAlign w:val="superscript"/>
              </w:rPr>
              <w:t>1</w:t>
            </w:r>
            <w:r w:rsidRPr="00FD0C8D">
              <w:t xml:space="preserve"> punkts</w:t>
            </w:r>
            <w:r w:rsidRPr="00FD0C8D">
              <w:rPr>
                <w:i/>
              </w:rPr>
              <w:t>.</w:t>
            </w:r>
            <w:r w:rsidRPr="00FD0C8D">
              <w:t xml:space="preserve"> </w:t>
            </w:r>
          </w:p>
          <w:p w14:paraId="067AA547" w14:textId="77777777" w:rsidR="001D603F" w:rsidRPr="00836FE4" w:rsidRDefault="001D603F" w:rsidP="001D603F">
            <w:pPr>
              <w:ind w:left="357" w:right="210"/>
              <w:jc w:val="both"/>
            </w:pPr>
          </w:p>
        </w:tc>
      </w:tr>
      <w:tr w:rsidR="00CC6F38" w14:paraId="317FCF50" w14:textId="77777777" w:rsidTr="00262DE5">
        <w:trPr>
          <w:trHeight w:val="1545"/>
        </w:trPr>
        <w:tc>
          <w:tcPr>
            <w:tcW w:w="762" w:type="dxa"/>
            <w:tcBorders>
              <w:top w:val="thickThinLargeGap" w:sz="6" w:space="0" w:color="C0C0C0"/>
              <w:left w:val="thickThinLargeGap" w:sz="6" w:space="0" w:color="C0C0C0"/>
              <w:bottom w:val="thickThinLargeGap" w:sz="6" w:space="0" w:color="C0C0C0"/>
            </w:tcBorders>
          </w:tcPr>
          <w:p w14:paraId="28F6D574" w14:textId="77777777" w:rsidR="00B559D5" w:rsidRPr="00836FE4" w:rsidRDefault="002A525E" w:rsidP="00262DE5">
            <w:r w:rsidRPr="00836FE4">
              <w:rPr>
                <w:lang w:eastAsia="en-US"/>
              </w:rPr>
              <w:lastRenderedPageBreak/>
              <w:t> 2.</w:t>
            </w:r>
          </w:p>
        </w:tc>
        <w:tc>
          <w:tcPr>
            <w:tcW w:w="1986" w:type="dxa"/>
            <w:tcBorders>
              <w:top w:val="thickThinLargeGap" w:sz="6" w:space="0" w:color="C0C0C0"/>
              <w:left w:val="thickThinLargeGap" w:sz="6" w:space="0" w:color="C0C0C0"/>
              <w:bottom w:val="thickThinLargeGap" w:sz="6" w:space="0" w:color="C0C0C0"/>
            </w:tcBorders>
          </w:tcPr>
          <w:p w14:paraId="206782FB" w14:textId="77777777" w:rsidR="00B559D5" w:rsidRPr="00836FE4" w:rsidRDefault="002A525E" w:rsidP="00262DE5">
            <w:r w:rsidRPr="00836FE4">
              <w:rPr>
                <w:lang w:eastAsia="en-US"/>
              </w:rPr>
              <w:t>Pašreizējā situācija un problēmas, kuru risināšanai tiesību akta projekts izstrādāts, tiesiskā regulējuma mērķis un būtība</w:t>
            </w:r>
          </w:p>
        </w:tc>
        <w:tc>
          <w:tcPr>
            <w:tcW w:w="7107" w:type="dxa"/>
            <w:tcBorders>
              <w:top w:val="thickThinLargeGap" w:sz="6" w:space="0" w:color="C0C0C0"/>
              <w:left w:val="thickThinLargeGap" w:sz="6" w:space="0" w:color="C0C0C0"/>
              <w:bottom w:val="thickThinLargeGap" w:sz="6" w:space="0" w:color="C0C0C0"/>
              <w:right w:val="thickThinLargeGap" w:sz="6" w:space="0" w:color="C0C0C0"/>
            </w:tcBorders>
          </w:tcPr>
          <w:p w14:paraId="3E18A7BB" w14:textId="17CC08C4" w:rsidR="00B559D5" w:rsidRPr="00836FE4" w:rsidRDefault="002A525E" w:rsidP="00262DE5">
            <w:pPr>
              <w:pStyle w:val="VPTitle"/>
              <w:spacing w:before="0" w:after="120" w:line="240" w:lineRule="auto"/>
              <w:jc w:val="both"/>
              <w:rPr>
                <w:rFonts w:ascii="Times New Roman" w:hAnsi="Times New Roman" w:cs="Times New Roman"/>
                <w:b w:val="0"/>
                <w:bCs w:val="0"/>
                <w:spacing w:val="0"/>
                <w:kern w:val="0"/>
                <w:sz w:val="24"/>
                <w:szCs w:val="24"/>
                <w:lang w:eastAsia="en-US"/>
              </w:rPr>
            </w:pPr>
            <w:r w:rsidRPr="00836FE4">
              <w:rPr>
                <w:rFonts w:ascii="Times New Roman" w:hAnsi="Times New Roman" w:cs="Times New Roman"/>
                <w:b w:val="0"/>
                <w:bCs w:val="0"/>
                <w:spacing w:val="0"/>
                <w:kern w:val="0"/>
                <w:sz w:val="24"/>
                <w:szCs w:val="24"/>
                <w:lang w:eastAsia="en-US"/>
              </w:rPr>
              <w:t xml:space="preserve">Ar Ministru kabineta rīkojuma projektu tiek apstiprināts un iekļauts informācijas un komunikācijas tehnoloģiju (turpmāk – IKT) </w:t>
            </w:r>
            <w:proofErr w:type="spellStart"/>
            <w:r w:rsidRPr="00836FE4">
              <w:rPr>
                <w:rFonts w:ascii="Times New Roman" w:hAnsi="Times New Roman" w:cs="Times New Roman"/>
                <w:b w:val="0"/>
                <w:bCs w:val="0"/>
                <w:spacing w:val="0"/>
                <w:kern w:val="0"/>
                <w:sz w:val="24"/>
                <w:szCs w:val="24"/>
                <w:lang w:eastAsia="en-US"/>
              </w:rPr>
              <w:t>mērķarhitektūras</w:t>
            </w:r>
            <w:proofErr w:type="spellEnd"/>
            <w:r w:rsidRPr="00836FE4">
              <w:rPr>
                <w:rFonts w:ascii="Times New Roman" w:hAnsi="Times New Roman" w:cs="Times New Roman"/>
                <w:b w:val="0"/>
                <w:bCs w:val="0"/>
                <w:spacing w:val="0"/>
                <w:kern w:val="0"/>
                <w:sz w:val="24"/>
                <w:szCs w:val="24"/>
                <w:lang w:eastAsia="en-US"/>
              </w:rPr>
              <w:t xml:space="preserve"> 4</w:t>
            </w:r>
            <w:r w:rsidR="001F006D">
              <w:rPr>
                <w:rFonts w:ascii="Times New Roman" w:hAnsi="Times New Roman" w:cs="Times New Roman"/>
                <w:b w:val="0"/>
                <w:bCs w:val="0"/>
                <w:spacing w:val="0"/>
                <w:kern w:val="0"/>
                <w:sz w:val="24"/>
                <w:szCs w:val="24"/>
                <w:lang w:eastAsia="en-US"/>
              </w:rPr>
              <w:t>4</w:t>
            </w:r>
            <w:r w:rsidRPr="00836FE4">
              <w:rPr>
                <w:rFonts w:ascii="Times New Roman" w:hAnsi="Times New Roman" w:cs="Times New Roman"/>
                <w:b w:val="0"/>
                <w:bCs w:val="0"/>
                <w:spacing w:val="0"/>
                <w:kern w:val="0"/>
                <w:sz w:val="24"/>
                <w:szCs w:val="24"/>
                <w:lang w:eastAsia="en-US"/>
              </w:rPr>
              <w:t>.0 versijā projekta apraksts “</w:t>
            </w:r>
            <w:r w:rsidR="001F006D" w:rsidRPr="001F006D">
              <w:rPr>
                <w:rFonts w:ascii="Times New Roman" w:hAnsi="Times New Roman" w:cs="Times New Roman"/>
                <w:b w:val="0"/>
                <w:bCs w:val="0"/>
                <w:spacing w:val="0"/>
                <w:kern w:val="0"/>
                <w:sz w:val="24"/>
                <w:szCs w:val="24"/>
                <w:lang w:eastAsia="en-US"/>
              </w:rPr>
              <w:t>Publiskās pārvaldes informācijas un komunikāciju tehnoloģiju arhitektūras pārvaldības sistēma 2.kārta</w:t>
            </w:r>
            <w:r w:rsidRPr="00836FE4">
              <w:rPr>
                <w:rFonts w:ascii="Times New Roman" w:hAnsi="Times New Roman" w:cs="Times New Roman"/>
                <w:b w:val="0"/>
                <w:bCs w:val="0"/>
                <w:spacing w:val="0"/>
                <w:kern w:val="0"/>
                <w:sz w:val="24"/>
                <w:szCs w:val="24"/>
                <w:lang w:eastAsia="en-US"/>
              </w:rPr>
              <w:t xml:space="preserve">” (turpmāk – projekts), kas tika izvērtēts atbilstoši VARAM izstrādātajai un apstiprinātajai metodikai par projektu iekļaušanu IKT </w:t>
            </w:r>
            <w:proofErr w:type="spellStart"/>
            <w:r w:rsidRPr="00836FE4">
              <w:rPr>
                <w:rFonts w:ascii="Times New Roman" w:hAnsi="Times New Roman" w:cs="Times New Roman"/>
                <w:b w:val="0"/>
                <w:bCs w:val="0"/>
                <w:spacing w:val="0"/>
                <w:kern w:val="0"/>
                <w:sz w:val="24"/>
                <w:szCs w:val="24"/>
                <w:lang w:eastAsia="en-US"/>
              </w:rPr>
              <w:t>mērķarhitektūrā</w:t>
            </w:r>
            <w:proofErr w:type="spellEnd"/>
            <w:r w:rsidRPr="00836FE4">
              <w:rPr>
                <w:rFonts w:ascii="Times New Roman" w:hAnsi="Times New Roman" w:cs="Times New Roman"/>
                <w:b w:val="0"/>
                <w:bCs w:val="0"/>
                <w:spacing w:val="0"/>
                <w:kern w:val="0"/>
                <w:sz w:val="24"/>
                <w:szCs w:val="24"/>
                <w:lang w:eastAsia="en-US"/>
              </w:rPr>
              <w:t xml:space="preserve">. VARAM ir atbalstījis projekta iekļaušanu IKT </w:t>
            </w:r>
            <w:proofErr w:type="spellStart"/>
            <w:r w:rsidRPr="00836FE4">
              <w:rPr>
                <w:rFonts w:ascii="Times New Roman" w:hAnsi="Times New Roman" w:cs="Times New Roman"/>
                <w:b w:val="0"/>
                <w:bCs w:val="0"/>
                <w:spacing w:val="0"/>
                <w:kern w:val="0"/>
                <w:sz w:val="24"/>
                <w:szCs w:val="24"/>
                <w:lang w:eastAsia="en-US"/>
              </w:rPr>
              <w:t>mērķarhitektūras</w:t>
            </w:r>
            <w:proofErr w:type="spellEnd"/>
            <w:r w:rsidRPr="00836FE4">
              <w:rPr>
                <w:rFonts w:ascii="Times New Roman" w:hAnsi="Times New Roman" w:cs="Times New Roman"/>
                <w:b w:val="0"/>
                <w:bCs w:val="0"/>
                <w:spacing w:val="0"/>
                <w:kern w:val="0"/>
                <w:sz w:val="24"/>
                <w:szCs w:val="24"/>
                <w:lang w:eastAsia="en-US"/>
              </w:rPr>
              <w:t xml:space="preserve"> kārtējā versijā. Projekts veicina darbības programmas “Izaugsme un nodarbinātība” specifiskā atbalsta mērķa “Nodrošināt publisko datu atkalizmantošanas pieaugumu un efektīvu publiskās pārvaldes un privātā sektora mijiedarbību” (turpmāk – SAM 2.2.1.) 2.2.1.1. pasākumam “Centralizētu publiskās pārvaldes IKT platformu izveide, publiskās pārvaldes procesu optimizēšana un attīstība” (turpmāk – 2.2.1.1. pasākums) izvirzīto rādītāju sasniegšanu</w:t>
            </w:r>
            <w:r w:rsidR="003C067D">
              <w:rPr>
                <w:rFonts w:ascii="Times New Roman" w:hAnsi="Times New Roman" w:cs="Times New Roman"/>
                <w:b w:val="0"/>
                <w:bCs w:val="0"/>
                <w:spacing w:val="0"/>
                <w:kern w:val="0"/>
                <w:sz w:val="24"/>
                <w:szCs w:val="24"/>
                <w:lang w:eastAsia="en-US"/>
              </w:rPr>
              <w:t>,</w:t>
            </w:r>
            <w:r w:rsidRPr="00836FE4">
              <w:rPr>
                <w:rFonts w:ascii="Times New Roman" w:hAnsi="Times New Roman" w:cs="Times New Roman"/>
                <w:b w:val="0"/>
                <w:bCs w:val="0"/>
                <w:spacing w:val="0"/>
                <w:kern w:val="0"/>
                <w:sz w:val="24"/>
                <w:szCs w:val="24"/>
                <w:lang w:eastAsia="en-US"/>
              </w:rPr>
              <w:t xml:space="preserve"> pilnveidojot vai no jauna izstrādājot </w:t>
            </w:r>
            <w:r w:rsidR="001F006D">
              <w:rPr>
                <w:rFonts w:ascii="Times New Roman" w:hAnsi="Times New Roman" w:cs="Times New Roman"/>
                <w:b w:val="0"/>
                <w:bCs w:val="0"/>
                <w:spacing w:val="0"/>
                <w:kern w:val="0"/>
                <w:sz w:val="24"/>
                <w:szCs w:val="24"/>
                <w:lang w:eastAsia="en-US"/>
              </w:rPr>
              <w:t>12</w:t>
            </w:r>
            <w:r w:rsidRPr="00836FE4">
              <w:rPr>
                <w:rFonts w:ascii="Times New Roman" w:hAnsi="Times New Roman" w:cs="Times New Roman"/>
                <w:b w:val="0"/>
                <w:bCs w:val="0"/>
                <w:spacing w:val="0"/>
                <w:kern w:val="0"/>
                <w:sz w:val="24"/>
                <w:szCs w:val="24"/>
                <w:lang w:eastAsia="en-US"/>
              </w:rPr>
              <w:t xml:space="preserve"> darbības procesus</w:t>
            </w:r>
            <w:r w:rsidR="001F006D">
              <w:rPr>
                <w:rFonts w:ascii="Times New Roman" w:hAnsi="Times New Roman" w:cs="Times New Roman"/>
                <w:b w:val="0"/>
                <w:bCs w:val="0"/>
                <w:spacing w:val="0"/>
                <w:kern w:val="0"/>
                <w:sz w:val="24"/>
                <w:szCs w:val="24"/>
                <w:lang w:eastAsia="en-US"/>
              </w:rPr>
              <w:t xml:space="preserve">, izveidojot un ieviešot </w:t>
            </w:r>
            <w:r w:rsidRPr="00836FE4">
              <w:rPr>
                <w:rFonts w:ascii="Times New Roman" w:hAnsi="Times New Roman" w:cs="Times New Roman"/>
                <w:b w:val="0"/>
                <w:bCs w:val="0"/>
                <w:spacing w:val="0"/>
                <w:kern w:val="0"/>
                <w:sz w:val="24"/>
                <w:szCs w:val="24"/>
                <w:lang w:eastAsia="en-US"/>
              </w:rPr>
              <w:t xml:space="preserve"> </w:t>
            </w:r>
            <w:r w:rsidR="002B705E">
              <w:rPr>
                <w:rFonts w:ascii="Times New Roman" w:hAnsi="Times New Roman" w:cs="Times New Roman"/>
                <w:b w:val="0"/>
                <w:bCs w:val="0"/>
                <w:spacing w:val="0"/>
                <w:kern w:val="0"/>
                <w:sz w:val="24"/>
                <w:szCs w:val="24"/>
                <w:lang w:eastAsia="en-US"/>
              </w:rPr>
              <w:t>vienu atvērtu, centralizētu platformu</w:t>
            </w:r>
            <w:r w:rsidRPr="00836FE4">
              <w:rPr>
                <w:rFonts w:ascii="Times New Roman" w:hAnsi="Times New Roman" w:cs="Times New Roman"/>
                <w:b w:val="0"/>
                <w:bCs w:val="0"/>
                <w:spacing w:val="0"/>
                <w:kern w:val="0"/>
                <w:sz w:val="24"/>
                <w:szCs w:val="24"/>
                <w:lang w:eastAsia="en-US"/>
              </w:rPr>
              <w:t>.</w:t>
            </w:r>
          </w:p>
          <w:p w14:paraId="52E794E3" w14:textId="77777777" w:rsidR="00B559D5" w:rsidRPr="00836FE4" w:rsidRDefault="002A525E" w:rsidP="00262DE5">
            <w:pPr>
              <w:spacing w:after="120"/>
              <w:jc w:val="both"/>
            </w:pPr>
            <w:r w:rsidRPr="00836FE4">
              <w:rPr>
                <w:b/>
              </w:rPr>
              <w:t xml:space="preserve">Projekta virsmērķis </w:t>
            </w:r>
            <w:r w:rsidRPr="00836FE4">
              <w:t>ir veicināt darbības programmas “Izaugsme un nodarbinātība” SAM 2.2.1. 2.2.1.1. pasākuma definēto rezultātu rādītāju sasniegšanu.</w:t>
            </w:r>
          </w:p>
          <w:p w14:paraId="1947AE25" w14:textId="77777777" w:rsidR="002B705E" w:rsidRDefault="002B705E" w:rsidP="00262DE5">
            <w:pPr>
              <w:pStyle w:val="VPBody"/>
              <w:jc w:val="both"/>
              <w:rPr>
                <w:sz w:val="24"/>
                <w:szCs w:val="24"/>
              </w:rPr>
            </w:pPr>
            <w:r>
              <w:rPr>
                <w:b/>
                <w:sz w:val="24"/>
                <w:szCs w:val="24"/>
              </w:rPr>
              <w:t>Projekta mērķi</w:t>
            </w:r>
            <w:r w:rsidR="002A525E" w:rsidRPr="00836FE4">
              <w:rPr>
                <w:sz w:val="24"/>
                <w:szCs w:val="24"/>
              </w:rPr>
              <w:t xml:space="preserve"> ir</w:t>
            </w:r>
            <w:r>
              <w:rPr>
                <w:sz w:val="24"/>
                <w:szCs w:val="24"/>
              </w:rPr>
              <w:t xml:space="preserve">: </w:t>
            </w:r>
          </w:p>
          <w:p w14:paraId="6DF08792" w14:textId="77777777" w:rsidR="00B559D5" w:rsidRDefault="002B705E" w:rsidP="002B705E">
            <w:pPr>
              <w:pStyle w:val="VPBody"/>
              <w:numPr>
                <w:ilvl w:val="0"/>
                <w:numId w:val="4"/>
              </w:numPr>
              <w:jc w:val="both"/>
              <w:rPr>
                <w:sz w:val="24"/>
                <w:szCs w:val="24"/>
              </w:rPr>
            </w:pPr>
            <w:r w:rsidRPr="002B705E">
              <w:rPr>
                <w:sz w:val="24"/>
                <w:szCs w:val="24"/>
              </w:rPr>
              <w:t>Izstrādāt Atvieglojumu uzskaites un administrēšanas risinājumu, izveidojot iedzīvotājiem, komersantiem un valsts un pašvaldības institūcijām ērtu, viegli saprotamu centralizētu risinājumu valsts un pašvaldību piešķirto atvieglojumu administrēšanai</w:t>
            </w:r>
            <w:r>
              <w:rPr>
                <w:sz w:val="24"/>
                <w:szCs w:val="24"/>
              </w:rPr>
              <w:t>.</w:t>
            </w:r>
          </w:p>
          <w:p w14:paraId="3F8DECD7" w14:textId="77777777" w:rsidR="002B705E" w:rsidRDefault="00FD0C8D" w:rsidP="002B705E">
            <w:pPr>
              <w:pStyle w:val="VPBody"/>
              <w:numPr>
                <w:ilvl w:val="0"/>
                <w:numId w:val="4"/>
              </w:numPr>
              <w:jc w:val="both"/>
              <w:rPr>
                <w:sz w:val="24"/>
                <w:szCs w:val="24"/>
              </w:rPr>
            </w:pPr>
            <w:r w:rsidRPr="00FD0C8D">
              <w:rPr>
                <w:sz w:val="24"/>
                <w:szCs w:val="24"/>
              </w:rPr>
              <w:t>Nodrošināt Publiskās pārvaldes informācijas un komunikāciju tehnoloģiju arhitektūras pārvaldības sistēma</w:t>
            </w:r>
            <w:r w:rsidR="002262F6">
              <w:rPr>
                <w:sz w:val="24"/>
                <w:szCs w:val="24"/>
              </w:rPr>
              <w:t>s</w:t>
            </w:r>
            <w:r w:rsidRPr="00FD0C8D">
              <w:rPr>
                <w:sz w:val="24"/>
                <w:szCs w:val="24"/>
              </w:rPr>
              <w:t xml:space="preserve"> (turpmāk – PIKTAPS) 1.kārtas projektā uzsākto ERAF IKT projektu savstarpējo saskaņotību no IKT arhitektūras un SAM kopējo rādītāju izpildes viedokļa, kā arī sekmēt Publiskās pārvaldes informācijas sistēmu konceptuālās arhitektūras principu īstenošanu</w:t>
            </w:r>
            <w:r w:rsidR="002B705E">
              <w:rPr>
                <w:sz w:val="24"/>
                <w:szCs w:val="24"/>
              </w:rPr>
              <w:t>.</w:t>
            </w:r>
          </w:p>
          <w:p w14:paraId="42C3D73C" w14:textId="77777777" w:rsidR="002B705E" w:rsidRDefault="002B705E" w:rsidP="002B705E">
            <w:pPr>
              <w:pStyle w:val="VPBody"/>
              <w:numPr>
                <w:ilvl w:val="0"/>
                <w:numId w:val="4"/>
              </w:numPr>
              <w:jc w:val="both"/>
              <w:rPr>
                <w:sz w:val="24"/>
                <w:szCs w:val="24"/>
              </w:rPr>
            </w:pPr>
            <w:r w:rsidRPr="002B705E">
              <w:rPr>
                <w:sz w:val="24"/>
                <w:szCs w:val="24"/>
              </w:rPr>
              <w:t xml:space="preserve">Nodrošināt PIKTAPS </w:t>
            </w:r>
            <w:r w:rsidR="00FD0C8D">
              <w:rPr>
                <w:sz w:val="24"/>
                <w:szCs w:val="24"/>
              </w:rPr>
              <w:t xml:space="preserve">1.kārtas </w:t>
            </w:r>
            <w:r w:rsidRPr="002B705E">
              <w:rPr>
                <w:sz w:val="24"/>
                <w:szCs w:val="24"/>
              </w:rPr>
              <w:t xml:space="preserve">projektā īstenoto centralizēto koplietošanas platformu projektējumu īstenošanas autoruzraudzību, kā arī to pielietojuma monitoringu </w:t>
            </w:r>
            <w:r w:rsidR="00FD0C8D">
              <w:rPr>
                <w:sz w:val="24"/>
                <w:szCs w:val="24"/>
              </w:rPr>
              <w:t>p</w:t>
            </w:r>
            <w:r w:rsidRPr="002B705E">
              <w:rPr>
                <w:sz w:val="24"/>
                <w:szCs w:val="24"/>
              </w:rPr>
              <w:t>rojekta īstenošanas laikā</w:t>
            </w:r>
            <w:r>
              <w:rPr>
                <w:sz w:val="24"/>
                <w:szCs w:val="24"/>
              </w:rPr>
              <w:t>.</w:t>
            </w:r>
          </w:p>
          <w:p w14:paraId="6213753D" w14:textId="31332242" w:rsidR="00637DF1" w:rsidRDefault="00637DF1" w:rsidP="00844222">
            <w:pPr>
              <w:pStyle w:val="VPBody"/>
              <w:numPr>
                <w:ilvl w:val="0"/>
                <w:numId w:val="4"/>
              </w:numPr>
              <w:jc w:val="both"/>
              <w:rPr>
                <w:sz w:val="24"/>
                <w:szCs w:val="24"/>
              </w:rPr>
            </w:pPr>
            <w:r w:rsidRPr="00637DF1">
              <w:rPr>
                <w:sz w:val="24"/>
                <w:szCs w:val="24"/>
              </w:rPr>
              <w:t xml:space="preserve">ERAF 2014. - 2020.gada plānošanas perioda IKT 1.kārtas projektos izveidoto un attīstīto </w:t>
            </w:r>
            <w:r w:rsidR="00844222" w:rsidRPr="00844222">
              <w:rPr>
                <w:sz w:val="24"/>
                <w:szCs w:val="24"/>
              </w:rPr>
              <w:t xml:space="preserve">Pakalpojumu sniegšanas un pārvaldības platformas </w:t>
            </w:r>
            <w:r w:rsidR="00B36618">
              <w:rPr>
                <w:sz w:val="24"/>
                <w:szCs w:val="24"/>
              </w:rPr>
              <w:t xml:space="preserve">(turpmāk – PSPP) </w:t>
            </w:r>
            <w:r w:rsidRPr="00637DF1">
              <w:rPr>
                <w:sz w:val="24"/>
                <w:szCs w:val="24"/>
              </w:rPr>
              <w:t xml:space="preserve">un </w:t>
            </w:r>
            <w:r w:rsidR="00844222" w:rsidRPr="00844222">
              <w:rPr>
                <w:sz w:val="24"/>
                <w:szCs w:val="24"/>
              </w:rPr>
              <w:t xml:space="preserve">Valsts informācijas resursu, sistēmu un </w:t>
            </w:r>
            <w:proofErr w:type="spellStart"/>
            <w:r w:rsidR="00844222" w:rsidRPr="00844222">
              <w:rPr>
                <w:sz w:val="24"/>
                <w:szCs w:val="24"/>
              </w:rPr>
              <w:t>sadarbspējas</w:t>
            </w:r>
            <w:proofErr w:type="spellEnd"/>
            <w:r w:rsidR="00B36618">
              <w:rPr>
                <w:sz w:val="24"/>
                <w:szCs w:val="24"/>
              </w:rPr>
              <w:t xml:space="preserve"> </w:t>
            </w:r>
            <w:r w:rsidR="00D17A2D" w:rsidRPr="00844222">
              <w:rPr>
                <w:sz w:val="24"/>
                <w:szCs w:val="24"/>
              </w:rPr>
              <w:t xml:space="preserve">reģistra </w:t>
            </w:r>
            <w:r w:rsidR="00B36618">
              <w:rPr>
                <w:sz w:val="24"/>
                <w:szCs w:val="24"/>
              </w:rPr>
              <w:t>(turpmāk – VIRSIS)</w:t>
            </w:r>
            <w:r w:rsidR="00844222" w:rsidRPr="00844222">
              <w:rPr>
                <w:sz w:val="24"/>
                <w:szCs w:val="24"/>
              </w:rPr>
              <w:t xml:space="preserve"> </w:t>
            </w:r>
            <w:r w:rsidRPr="00637DF1">
              <w:rPr>
                <w:sz w:val="24"/>
                <w:szCs w:val="24"/>
              </w:rPr>
              <w:t>risinājumu pilnveidošana atbilstoši sabiedrības un valsts pārvaldes prasībām un vajadzībām</w:t>
            </w:r>
            <w:r w:rsidR="00844222">
              <w:rPr>
                <w:sz w:val="24"/>
                <w:szCs w:val="24"/>
              </w:rPr>
              <w:t>.</w:t>
            </w:r>
          </w:p>
          <w:p w14:paraId="6E24FE8C" w14:textId="77777777" w:rsidR="002B705E" w:rsidRPr="00836FE4" w:rsidRDefault="002B705E" w:rsidP="002B705E">
            <w:pPr>
              <w:pStyle w:val="VPBody"/>
              <w:numPr>
                <w:ilvl w:val="0"/>
                <w:numId w:val="4"/>
              </w:numPr>
              <w:jc w:val="both"/>
              <w:rPr>
                <w:sz w:val="24"/>
                <w:szCs w:val="24"/>
              </w:rPr>
            </w:pPr>
            <w:r w:rsidRPr="002B705E">
              <w:rPr>
                <w:sz w:val="24"/>
                <w:szCs w:val="24"/>
              </w:rPr>
              <w:t xml:space="preserve">Attīstīt sabiedrības spējas un ieinteresētību efektīvi izmantot ERAF IKT projektu ietvaros radītos un ieviestos risinājumus, tostarp </w:t>
            </w:r>
            <w:r w:rsidRPr="002B705E">
              <w:rPr>
                <w:sz w:val="24"/>
                <w:szCs w:val="24"/>
              </w:rPr>
              <w:lastRenderedPageBreak/>
              <w:t>identificējot sabiedrības vajadzības attiecībā uz valsts iestāžu sniegto pakalpojumu pieejamību, kvalitāti un lietošanas ērtumu, kā arī apzinot valsts iestāžu piedāvājuma atbilstību sabiedrības gaidām un reaģējot uz tām</w:t>
            </w:r>
            <w:r>
              <w:rPr>
                <w:sz w:val="24"/>
                <w:szCs w:val="24"/>
              </w:rPr>
              <w:t>.</w:t>
            </w:r>
          </w:p>
          <w:p w14:paraId="1C463454" w14:textId="77777777" w:rsidR="00FD0C8D" w:rsidRDefault="00FD0C8D" w:rsidP="00262DE5">
            <w:pPr>
              <w:spacing w:before="120" w:after="120"/>
              <w:jc w:val="both"/>
              <w:rPr>
                <w:b/>
                <w:bCs/>
              </w:rPr>
            </w:pPr>
          </w:p>
          <w:p w14:paraId="4C522A8B" w14:textId="77777777" w:rsidR="00B559D5" w:rsidRPr="00836FE4" w:rsidRDefault="002A525E" w:rsidP="00262DE5">
            <w:pPr>
              <w:spacing w:before="120" w:after="120"/>
              <w:jc w:val="both"/>
            </w:pPr>
            <w:r w:rsidRPr="00836FE4">
              <w:rPr>
                <w:b/>
                <w:bCs/>
              </w:rPr>
              <w:t>Esošajā situācijā identificētās problēmas</w:t>
            </w:r>
            <w:r w:rsidRPr="00836FE4">
              <w:rPr>
                <w:rFonts w:eastAsia="MS Mincho"/>
                <w:b/>
                <w:bCs/>
              </w:rPr>
              <w:t>:</w:t>
            </w:r>
            <w:r w:rsidRPr="00836FE4">
              <w:t xml:space="preserve"> </w:t>
            </w:r>
          </w:p>
          <w:p w14:paraId="073700E6" w14:textId="77777777" w:rsidR="00F405F5" w:rsidRPr="00F405F5" w:rsidRDefault="00F405F5" w:rsidP="00F405F5">
            <w:pPr>
              <w:keepNext/>
              <w:tabs>
                <w:tab w:val="left" w:pos="0"/>
              </w:tabs>
              <w:suppressAutoHyphens w:val="0"/>
              <w:spacing w:before="120"/>
              <w:jc w:val="both"/>
              <w:rPr>
                <w:bCs/>
                <w:lang w:eastAsia="lv-LV"/>
              </w:rPr>
            </w:pPr>
            <w:r w:rsidRPr="00F405F5">
              <w:rPr>
                <w:b/>
                <w:bCs/>
                <w:i/>
                <w:iCs/>
                <w:lang w:eastAsia="lv-LV"/>
              </w:rPr>
              <w:t xml:space="preserve">1. Jāpilnveido pašvaldību atvieglojumu administrēšana </w:t>
            </w:r>
          </w:p>
          <w:p w14:paraId="642A2855" w14:textId="03140B66" w:rsidR="00F405F5" w:rsidRPr="00F405F5" w:rsidRDefault="00F405F5" w:rsidP="00F405F5">
            <w:pPr>
              <w:keepNext/>
              <w:tabs>
                <w:tab w:val="left" w:pos="0"/>
              </w:tabs>
              <w:suppressAutoHyphens w:val="0"/>
              <w:spacing w:before="120"/>
              <w:jc w:val="both"/>
              <w:rPr>
                <w:bCs/>
                <w:lang w:eastAsia="lv-LV"/>
              </w:rPr>
            </w:pPr>
            <w:r w:rsidRPr="00F405F5">
              <w:rPr>
                <w:bCs/>
                <w:lang w:eastAsia="lv-LV"/>
              </w:rPr>
              <w:t xml:space="preserve">VARAM </w:t>
            </w:r>
            <w:r w:rsidR="002262F6">
              <w:rPr>
                <w:bCs/>
                <w:lang w:eastAsia="lv-LV"/>
              </w:rPr>
              <w:t>i</w:t>
            </w:r>
            <w:r w:rsidRPr="00F405F5">
              <w:rPr>
                <w:bCs/>
                <w:lang w:eastAsia="lv-LV"/>
              </w:rPr>
              <w:t>nformatīvajā ziņojumā "Par Atvieglojumu uzskaites koplietošanas risinājuma ieviešanu valsts un pašvaldību atvieglojumu administrēšanai"</w:t>
            </w:r>
            <w:r w:rsidRPr="00F405F5">
              <w:rPr>
                <w:bCs/>
                <w:vertAlign w:val="superscript"/>
                <w:lang w:eastAsia="lv-LV"/>
              </w:rPr>
              <w:footnoteReference w:id="1"/>
            </w:r>
            <w:r w:rsidRPr="00F405F5">
              <w:rPr>
                <w:bCs/>
                <w:lang w:eastAsia="lv-LV"/>
              </w:rPr>
              <w:t xml:space="preserve"> (VSS-973, TA-463, 27.03.2018) ir norādīts, ka </w:t>
            </w:r>
            <w:r w:rsidR="002262F6">
              <w:rPr>
                <w:bCs/>
                <w:lang w:eastAsia="lv-LV"/>
              </w:rPr>
              <w:t>a</w:t>
            </w:r>
            <w:r w:rsidRPr="00F405F5">
              <w:rPr>
                <w:bCs/>
                <w:lang w:eastAsia="lv-LV"/>
              </w:rPr>
              <w:t>tvieglojumu administrēšanas jautājums ir aktuāls gan valsts, gan pašvaldīb</w:t>
            </w:r>
            <w:r w:rsidR="002262F6">
              <w:rPr>
                <w:bCs/>
                <w:lang w:eastAsia="lv-LV"/>
              </w:rPr>
              <w:t>u</w:t>
            </w:r>
            <w:r w:rsidRPr="00F405F5">
              <w:rPr>
                <w:bCs/>
                <w:lang w:eastAsia="lv-LV"/>
              </w:rPr>
              <w:t xml:space="preserve"> līmenī, jo tiek izlietoti būtiski valsts un pašvaldību budžet</w:t>
            </w:r>
            <w:r w:rsidR="00FD0C8D">
              <w:rPr>
                <w:bCs/>
                <w:lang w:eastAsia="lv-LV"/>
              </w:rPr>
              <w:t>a līdzekļi.</w:t>
            </w:r>
          </w:p>
          <w:p w14:paraId="405A283C" w14:textId="77777777" w:rsidR="00F405F5" w:rsidRPr="00F405F5" w:rsidRDefault="00F405F5" w:rsidP="00F405F5">
            <w:pPr>
              <w:keepNext/>
              <w:suppressAutoHyphens w:val="0"/>
              <w:spacing w:before="120" w:after="40"/>
              <w:rPr>
                <w:iCs/>
                <w:lang w:eastAsia="lv-LV"/>
              </w:rPr>
            </w:pPr>
            <w:bookmarkStart w:id="0" w:name="_Ref515548424"/>
            <w:r w:rsidRPr="00F405F5">
              <w:rPr>
                <w:iCs/>
                <w:lang w:eastAsia="lv-LV"/>
              </w:rPr>
              <w:t>Pašvaldību sniegtie atvieglojumi 2016.gadā</w:t>
            </w:r>
            <w:bookmarkEnd w:id="0"/>
            <w:r w:rsidR="00FD0C8D" w:rsidRPr="00FD0C8D">
              <w:rPr>
                <w:iCs/>
                <w:lang w:eastAsia="lv-LV"/>
              </w:rPr>
              <w:t>:</w:t>
            </w:r>
          </w:p>
          <w:tbl>
            <w:tblPr>
              <w:tblStyle w:val="TableGrid"/>
              <w:tblW w:w="6916" w:type="dxa"/>
              <w:tblLayout w:type="fixed"/>
              <w:tblLook w:val="04A0" w:firstRow="1" w:lastRow="0" w:firstColumn="1" w:lastColumn="0" w:noHBand="0" w:noVBand="1"/>
            </w:tblPr>
            <w:tblGrid>
              <w:gridCol w:w="3458"/>
              <w:gridCol w:w="1729"/>
              <w:gridCol w:w="1729"/>
            </w:tblGrid>
            <w:tr w:rsidR="00FD0C8D" w:rsidRPr="00F405F5" w14:paraId="5278DBD4" w14:textId="77777777" w:rsidTr="00FD0C8D">
              <w:trPr>
                <w:trHeight w:val="384"/>
              </w:trPr>
              <w:tc>
                <w:tcPr>
                  <w:tcW w:w="3458" w:type="dxa"/>
                  <w:shd w:val="clear" w:color="auto" w:fill="F2F2F2"/>
                  <w:vAlign w:val="center"/>
                </w:tcPr>
                <w:p w14:paraId="5DC65A17" w14:textId="77777777" w:rsidR="00F405F5" w:rsidRPr="00F405F5" w:rsidRDefault="00F405F5" w:rsidP="00F405F5">
                  <w:pPr>
                    <w:tabs>
                      <w:tab w:val="left" w:pos="0"/>
                    </w:tabs>
                    <w:suppressAutoHyphens w:val="0"/>
                    <w:spacing w:before="120"/>
                    <w:jc w:val="both"/>
                    <w:rPr>
                      <w:b/>
                      <w:bCs/>
                      <w:lang w:eastAsia="lv-LV"/>
                    </w:rPr>
                  </w:pPr>
                  <w:r w:rsidRPr="00F405F5">
                    <w:rPr>
                      <w:b/>
                      <w:bCs/>
                      <w:lang w:eastAsia="lv-LV"/>
                    </w:rPr>
                    <w:t>Nosaukums</w:t>
                  </w:r>
                </w:p>
              </w:tc>
              <w:tc>
                <w:tcPr>
                  <w:tcW w:w="1729" w:type="dxa"/>
                  <w:shd w:val="clear" w:color="auto" w:fill="F2F2F2"/>
                  <w:vAlign w:val="center"/>
                </w:tcPr>
                <w:p w14:paraId="1D7B0B76" w14:textId="77777777" w:rsidR="00F405F5" w:rsidRPr="00F405F5" w:rsidRDefault="00F405F5" w:rsidP="00F405F5">
                  <w:pPr>
                    <w:tabs>
                      <w:tab w:val="left" w:pos="0"/>
                    </w:tabs>
                    <w:suppressAutoHyphens w:val="0"/>
                    <w:spacing w:before="120"/>
                    <w:jc w:val="both"/>
                    <w:rPr>
                      <w:b/>
                      <w:bCs/>
                      <w:lang w:eastAsia="lv-LV"/>
                    </w:rPr>
                  </w:pPr>
                  <w:r w:rsidRPr="00F405F5">
                    <w:rPr>
                      <w:b/>
                      <w:bCs/>
                      <w:lang w:eastAsia="lv-LV"/>
                    </w:rPr>
                    <w:t>Apjoms</w:t>
                  </w:r>
                </w:p>
                <w:p w14:paraId="14735EF3" w14:textId="05C1D9AC" w:rsidR="00F405F5" w:rsidRPr="00F405F5" w:rsidRDefault="00F405F5" w:rsidP="00844222">
                  <w:pPr>
                    <w:tabs>
                      <w:tab w:val="left" w:pos="0"/>
                    </w:tabs>
                    <w:suppressAutoHyphens w:val="0"/>
                    <w:spacing w:before="120"/>
                    <w:jc w:val="both"/>
                    <w:rPr>
                      <w:b/>
                      <w:bCs/>
                      <w:lang w:eastAsia="lv-LV"/>
                    </w:rPr>
                  </w:pPr>
                  <w:r w:rsidRPr="00F405F5">
                    <w:rPr>
                      <w:b/>
                      <w:bCs/>
                      <w:lang w:eastAsia="lv-LV"/>
                    </w:rPr>
                    <w:t>(</w:t>
                  </w:r>
                  <w:proofErr w:type="spellStart"/>
                  <w:r w:rsidR="00844222">
                    <w:rPr>
                      <w:b/>
                      <w:bCs/>
                      <w:i/>
                      <w:lang w:eastAsia="lv-LV"/>
                    </w:rPr>
                    <w:t>euro</w:t>
                  </w:r>
                  <w:proofErr w:type="spellEnd"/>
                  <w:r w:rsidRPr="00F405F5">
                    <w:rPr>
                      <w:b/>
                      <w:bCs/>
                      <w:lang w:eastAsia="lv-LV"/>
                    </w:rPr>
                    <w:t>)</w:t>
                  </w:r>
                </w:p>
              </w:tc>
              <w:tc>
                <w:tcPr>
                  <w:tcW w:w="1729" w:type="dxa"/>
                  <w:shd w:val="clear" w:color="auto" w:fill="F2F2F2"/>
                  <w:vAlign w:val="center"/>
                </w:tcPr>
                <w:p w14:paraId="290E42C8" w14:textId="77777777" w:rsidR="00F405F5" w:rsidRPr="00F405F5" w:rsidRDefault="00F405F5" w:rsidP="00F405F5">
                  <w:pPr>
                    <w:tabs>
                      <w:tab w:val="left" w:pos="0"/>
                    </w:tabs>
                    <w:suppressAutoHyphens w:val="0"/>
                    <w:spacing w:before="120"/>
                    <w:jc w:val="both"/>
                    <w:rPr>
                      <w:b/>
                      <w:bCs/>
                      <w:lang w:eastAsia="lv-LV"/>
                    </w:rPr>
                  </w:pPr>
                  <w:r w:rsidRPr="00F405F5">
                    <w:rPr>
                      <w:b/>
                      <w:bCs/>
                      <w:lang w:eastAsia="lv-LV"/>
                    </w:rPr>
                    <w:t>Apjoms</w:t>
                  </w:r>
                </w:p>
                <w:p w14:paraId="2324B678" w14:textId="77777777" w:rsidR="00F405F5" w:rsidRPr="00F405F5" w:rsidRDefault="00F405F5" w:rsidP="00F405F5">
                  <w:pPr>
                    <w:tabs>
                      <w:tab w:val="left" w:pos="0"/>
                    </w:tabs>
                    <w:suppressAutoHyphens w:val="0"/>
                    <w:spacing w:before="120"/>
                    <w:jc w:val="both"/>
                    <w:rPr>
                      <w:b/>
                      <w:bCs/>
                      <w:lang w:eastAsia="lv-LV"/>
                    </w:rPr>
                  </w:pPr>
                  <w:r w:rsidRPr="00F405F5">
                    <w:rPr>
                      <w:b/>
                      <w:bCs/>
                      <w:lang w:eastAsia="lv-LV"/>
                    </w:rPr>
                    <w:t>(Izmaksu skaits)</w:t>
                  </w:r>
                </w:p>
              </w:tc>
            </w:tr>
            <w:tr w:rsidR="00F405F5" w:rsidRPr="00F405F5" w14:paraId="047BBFB4" w14:textId="77777777" w:rsidTr="00FD0C8D">
              <w:trPr>
                <w:trHeight w:val="320"/>
              </w:trPr>
              <w:tc>
                <w:tcPr>
                  <w:tcW w:w="3458" w:type="dxa"/>
                </w:tcPr>
                <w:p w14:paraId="019643BD" w14:textId="77777777" w:rsidR="00F405F5" w:rsidRPr="00F405F5" w:rsidRDefault="00F405F5" w:rsidP="00F405F5">
                  <w:pPr>
                    <w:tabs>
                      <w:tab w:val="left" w:pos="0"/>
                    </w:tabs>
                    <w:suppressAutoHyphens w:val="0"/>
                    <w:spacing w:before="120"/>
                    <w:jc w:val="both"/>
                    <w:rPr>
                      <w:bCs/>
                      <w:lang w:eastAsia="lv-LV"/>
                    </w:rPr>
                  </w:pPr>
                  <w:r w:rsidRPr="00F405F5">
                    <w:rPr>
                      <w:bCs/>
                      <w:lang w:eastAsia="lv-LV"/>
                    </w:rPr>
                    <w:t>Transporta pakalpojumu apmaksai</w:t>
                  </w:r>
                </w:p>
              </w:tc>
              <w:tc>
                <w:tcPr>
                  <w:tcW w:w="1729" w:type="dxa"/>
                  <w:shd w:val="clear" w:color="auto" w:fill="auto"/>
                </w:tcPr>
                <w:p w14:paraId="7CB15677" w14:textId="77777777" w:rsidR="00F405F5" w:rsidRPr="00F405F5" w:rsidRDefault="00F405F5" w:rsidP="00F405F5">
                  <w:pPr>
                    <w:tabs>
                      <w:tab w:val="left" w:pos="0"/>
                    </w:tabs>
                    <w:suppressAutoHyphens w:val="0"/>
                    <w:spacing w:before="120"/>
                    <w:jc w:val="both"/>
                    <w:rPr>
                      <w:bCs/>
                      <w:lang w:eastAsia="lv-LV"/>
                    </w:rPr>
                  </w:pPr>
                  <w:r w:rsidRPr="00F405F5">
                    <w:rPr>
                      <w:bCs/>
                      <w:lang w:eastAsia="lv-LV"/>
                    </w:rPr>
                    <w:t>2 183 000</w:t>
                  </w:r>
                </w:p>
              </w:tc>
              <w:tc>
                <w:tcPr>
                  <w:tcW w:w="1729" w:type="dxa"/>
                </w:tcPr>
                <w:p w14:paraId="3A4F04E6" w14:textId="77777777" w:rsidR="00F405F5" w:rsidRPr="00F405F5" w:rsidRDefault="00F405F5" w:rsidP="00F405F5">
                  <w:pPr>
                    <w:tabs>
                      <w:tab w:val="left" w:pos="0"/>
                    </w:tabs>
                    <w:suppressAutoHyphens w:val="0"/>
                    <w:spacing w:before="120"/>
                    <w:jc w:val="both"/>
                    <w:rPr>
                      <w:bCs/>
                      <w:lang w:eastAsia="lv-LV"/>
                    </w:rPr>
                  </w:pPr>
                  <w:r w:rsidRPr="00F405F5">
                    <w:rPr>
                      <w:bCs/>
                      <w:lang w:eastAsia="lv-LV"/>
                    </w:rPr>
                    <w:t>54 774</w:t>
                  </w:r>
                </w:p>
              </w:tc>
            </w:tr>
            <w:tr w:rsidR="00F405F5" w:rsidRPr="00F405F5" w14:paraId="752C291C" w14:textId="77777777" w:rsidTr="00FD0C8D">
              <w:trPr>
                <w:trHeight w:val="331"/>
              </w:trPr>
              <w:tc>
                <w:tcPr>
                  <w:tcW w:w="3458" w:type="dxa"/>
                </w:tcPr>
                <w:p w14:paraId="1A760F32" w14:textId="77777777" w:rsidR="00F405F5" w:rsidRPr="00F405F5" w:rsidRDefault="00F405F5" w:rsidP="00F405F5">
                  <w:pPr>
                    <w:tabs>
                      <w:tab w:val="left" w:pos="0"/>
                    </w:tabs>
                    <w:suppressAutoHyphens w:val="0"/>
                    <w:spacing w:before="120"/>
                    <w:jc w:val="both"/>
                    <w:rPr>
                      <w:bCs/>
                      <w:lang w:eastAsia="lv-LV"/>
                    </w:rPr>
                  </w:pPr>
                  <w:r w:rsidRPr="00F405F5">
                    <w:rPr>
                      <w:bCs/>
                      <w:lang w:eastAsia="lv-LV"/>
                    </w:rPr>
                    <w:t>Izglītības iestāžu audzēkņu ēdināšanai</w:t>
                  </w:r>
                </w:p>
              </w:tc>
              <w:tc>
                <w:tcPr>
                  <w:tcW w:w="1729" w:type="dxa"/>
                  <w:shd w:val="clear" w:color="auto" w:fill="auto"/>
                </w:tcPr>
                <w:p w14:paraId="3E31AA7C" w14:textId="77777777" w:rsidR="00F405F5" w:rsidRPr="00F405F5" w:rsidRDefault="00F405F5" w:rsidP="00F405F5">
                  <w:pPr>
                    <w:tabs>
                      <w:tab w:val="left" w:pos="0"/>
                    </w:tabs>
                    <w:suppressAutoHyphens w:val="0"/>
                    <w:spacing w:before="120"/>
                    <w:jc w:val="both"/>
                    <w:rPr>
                      <w:bCs/>
                      <w:lang w:eastAsia="lv-LV"/>
                    </w:rPr>
                  </w:pPr>
                  <w:r w:rsidRPr="00F405F5">
                    <w:rPr>
                      <w:bCs/>
                      <w:lang w:eastAsia="lv-LV"/>
                    </w:rPr>
                    <w:t>936 000</w:t>
                  </w:r>
                </w:p>
              </w:tc>
              <w:tc>
                <w:tcPr>
                  <w:tcW w:w="1729" w:type="dxa"/>
                </w:tcPr>
                <w:p w14:paraId="12662F2A" w14:textId="77777777" w:rsidR="00F405F5" w:rsidRPr="00F405F5" w:rsidRDefault="00F405F5" w:rsidP="00F405F5">
                  <w:pPr>
                    <w:tabs>
                      <w:tab w:val="left" w:pos="0"/>
                    </w:tabs>
                    <w:suppressAutoHyphens w:val="0"/>
                    <w:spacing w:before="120"/>
                    <w:jc w:val="both"/>
                    <w:rPr>
                      <w:bCs/>
                      <w:lang w:eastAsia="lv-LV"/>
                    </w:rPr>
                  </w:pPr>
                  <w:r w:rsidRPr="00F405F5">
                    <w:rPr>
                      <w:bCs/>
                      <w:lang w:eastAsia="lv-LV"/>
                    </w:rPr>
                    <w:t>41 456</w:t>
                  </w:r>
                </w:p>
              </w:tc>
            </w:tr>
            <w:tr w:rsidR="00F405F5" w:rsidRPr="00F405F5" w14:paraId="2A84BC18" w14:textId="77777777" w:rsidTr="00FD0C8D">
              <w:trPr>
                <w:trHeight w:val="320"/>
              </w:trPr>
              <w:tc>
                <w:tcPr>
                  <w:tcW w:w="3458" w:type="dxa"/>
                </w:tcPr>
                <w:p w14:paraId="3A32029F" w14:textId="77777777" w:rsidR="00F405F5" w:rsidRPr="00F405F5" w:rsidRDefault="00F405F5" w:rsidP="00F405F5">
                  <w:pPr>
                    <w:tabs>
                      <w:tab w:val="left" w:pos="0"/>
                    </w:tabs>
                    <w:suppressAutoHyphens w:val="0"/>
                    <w:spacing w:before="120"/>
                    <w:jc w:val="both"/>
                    <w:rPr>
                      <w:b/>
                      <w:bCs/>
                      <w:lang w:eastAsia="lv-LV"/>
                    </w:rPr>
                  </w:pPr>
                  <w:r w:rsidRPr="00F405F5">
                    <w:rPr>
                      <w:b/>
                      <w:bCs/>
                      <w:lang w:eastAsia="lv-LV"/>
                    </w:rPr>
                    <w:t>Kopā:</w:t>
                  </w:r>
                </w:p>
              </w:tc>
              <w:tc>
                <w:tcPr>
                  <w:tcW w:w="1729" w:type="dxa"/>
                </w:tcPr>
                <w:p w14:paraId="2B9B5386" w14:textId="77777777" w:rsidR="00F405F5" w:rsidRPr="00F405F5" w:rsidRDefault="00F405F5" w:rsidP="00F405F5">
                  <w:pPr>
                    <w:tabs>
                      <w:tab w:val="left" w:pos="0"/>
                    </w:tabs>
                    <w:suppressAutoHyphens w:val="0"/>
                    <w:spacing w:before="120"/>
                    <w:jc w:val="both"/>
                    <w:rPr>
                      <w:b/>
                      <w:bCs/>
                      <w:lang w:eastAsia="lv-LV"/>
                    </w:rPr>
                  </w:pPr>
                  <w:r w:rsidRPr="00F405F5">
                    <w:rPr>
                      <w:b/>
                      <w:bCs/>
                      <w:lang w:eastAsia="lv-LV"/>
                    </w:rPr>
                    <w:t>3 119 000</w:t>
                  </w:r>
                </w:p>
              </w:tc>
              <w:tc>
                <w:tcPr>
                  <w:tcW w:w="1729" w:type="dxa"/>
                  <w:shd w:val="thinReverseDiagStripe" w:color="auto" w:fill="auto"/>
                </w:tcPr>
                <w:p w14:paraId="00DFF348" w14:textId="77777777" w:rsidR="00F405F5" w:rsidRPr="00F405F5" w:rsidRDefault="00F405F5" w:rsidP="00F405F5">
                  <w:pPr>
                    <w:tabs>
                      <w:tab w:val="left" w:pos="0"/>
                    </w:tabs>
                    <w:suppressAutoHyphens w:val="0"/>
                    <w:spacing w:before="120"/>
                    <w:jc w:val="both"/>
                    <w:rPr>
                      <w:bCs/>
                      <w:lang w:eastAsia="lv-LV"/>
                    </w:rPr>
                  </w:pPr>
                </w:p>
              </w:tc>
            </w:tr>
          </w:tbl>
          <w:p w14:paraId="41309B45" w14:textId="3306057F" w:rsidR="00F405F5" w:rsidRPr="00F405F5" w:rsidRDefault="00F405F5" w:rsidP="00F405F5">
            <w:pPr>
              <w:tabs>
                <w:tab w:val="left" w:pos="0"/>
              </w:tabs>
              <w:suppressAutoHyphens w:val="0"/>
              <w:spacing w:before="120"/>
              <w:jc w:val="both"/>
              <w:rPr>
                <w:bCs/>
                <w:lang w:eastAsia="lv-LV"/>
              </w:rPr>
            </w:pPr>
            <w:r w:rsidRPr="00F405F5">
              <w:rPr>
                <w:bCs/>
                <w:lang w:eastAsia="lv-LV"/>
              </w:rPr>
              <w:t xml:space="preserve">Latvijas Lielo pilsētu asociācija ir norādījusi uz šādām problēmām </w:t>
            </w:r>
            <w:r w:rsidR="002262F6">
              <w:rPr>
                <w:bCs/>
                <w:lang w:eastAsia="lv-LV"/>
              </w:rPr>
              <w:t>a</w:t>
            </w:r>
            <w:r w:rsidRPr="00F405F5">
              <w:rPr>
                <w:bCs/>
                <w:lang w:eastAsia="lv-LV"/>
              </w:rPr>
              <w:t>tvieglojumu administrēšanā pašvaldību līmenī:</w:t>
            </w:r>
          </w:p>
          <w:p w14:paraId="00C16E0A" w14:textId="090DB0E2" w:rsidR="00F405F5" w:rsidRPr="00F405F5" w:rsidRDefault="00F405F5" w:rsidP="00F405F5">
            <w:pPr>
              <w:tabs>
                <w:tab w:val="left" w:pos="0"/>
              </w:tabs>
              <w:suppressAutoHyphens w:val="0"/>
              <w:spacing w:before="120"/>
              <w:ind w:left="360" w:hanging="360"/>
              <w:jc w:val="both"/>
              <w:rPr>
                <w:bCs/>
                <w:lang w:eastAsia="lv-LV"/>
              </w:rPr>
            </w:pPr>
            <w:r w:rsidRPr="00F405F5">
              <w:rPr>
                <w:bCs/>
                <w:lang w:eastAsia="lv-LV"/>
              </w:rPr>
              <w:t xml:space="preserve">katrā pašvaldībā ir savi </w:t>
            </w:r>
            <w:r w:rsidR="002262F6">
              <w:rPr>
                <w:bCs/>
                <w:lang w:eastAsia="lv-LV"/>
              </w:rPr>
              <w:t>a</w:t>
            </w:r>
            <w:r w:rsidRPr="00F405F5">
              <w:rPr>
                <w:bCs/>
                <w:lang w:eastAsia="lv-LV"/>
              </w:rPr>
              <w:t>tvieglojumi attiecīgās pašvaldības iedzīvotājiem, kas tiek finansēti no pašvaldības budžeta kā atlaide no tarifa (kompensācijas ar pievienotās vērtības nodokli) vai noteikts samazināts tarifs (atvieglojums tiek iekļauts zaudējumu kompensācijā bez pievienotās vērtības nodokļa);</w:t>
            </w:r>
          </w:p>
          <w:p w14:paraId="17A727D6" w14:textId="6D478D1D" w:rsidR="00F405F5" w:rsidRPr="00F405F5" w:rsidRDefault="00F405F5" w:rsidP="00F405F5">
            <w:pPr>
              <w:tabs>
                <w:tab w:val="left" w:pos="0"/>
              </w:tabs>
              <w:suppressAutoHyphens w:val="0"/>
              <w:spacing w:before="120"/>
              <w:ind w:left="360" w:hanging="360"/>
              <w:jc w:val="both"/>
              <w:rPr>
                <w:bCs/>
                <w:lang w:eastAsia="lv-LV"/>
              </w:rPr>
            </w:pPr>
            <w:r w:rsidRPr="00F405F5">
              <w:rPr>
                <w:bCs/>
                <w:lang w:eastAsia="lv-LV"/>
              </w:rPr>
              <w:t xml:space="preserve">pašvaldību </w:t>
            </w:r>
            <w:r w:rsidR="00246FF6">
              <w:rPr>
                <w:bCs/>
                <w:lang w:eastAsia="lv-LV"/>
              </w:rPr>
              <w:t>a</w:t>
            </w:r>
            <w:r w:rsidRPr="00F405F5">
              <w:rPr>
                <w:bCs/>
                <w:lang w:eastAsia="lv-LV"/>
              </w:rPr>
              <w:t>tvieglojumu uzskaite šobrīd netiek pietiekami nodrošināta, izņemot atsevišķas pašvaldības ar lokāli izstrādātām elektroniskas atvieglojumu uzskaites sistēmām, jo nelielām pašvaldībām, kas ir vairākumā, trūkst resursu un administratīvās kapacitātes uzskaites nodrošināšanai;</w:t>
            </w:r>
          </w:p>
          <w:p w14:paraId="02B00B0C" w14:textId="6CFD8885" w:rsidR="00F405F5" w:rsidRPr="00F405F5" w:rsidRDefault="00F405F5" w:rsidP="00F405F5">
            <w:pPr>
              <w:tabs>
                <w:tab w:val="left" w:pos="0"/>
              </w:tabs>
              <w:suppressAutoHyphens w:val="0"/>
              <w:spacing w:before="120"/>
              <w:ind w:left="360" w:hanging="360"/>
              <w:jc w:val="both"/>
              <w:rPr>
                <w:bCs/>
                <w:lang w:eastAsia="lv-LV"/>
              </w:rPr>
            </w:pPr>
            <w:r w:rsidRPr="00F405F5">
              <w:rPr>
                <w:bCs/>
                <w:lang w:eastAsia="lv-LV"/>
              </w:rPr>
              <w:t xml:space="preserve">šobrīd </w:t>
            </w:r>
            <w:r w:rsidR="00246FF6">
              <w:rPr>
                <w:bCs/>
                <w:lang w:eastAsia="lv-LV"/>
              </w:rPr>
              <w:t>a</w:t>
            </w:r>
            <w:r w:rsidRPr="00F405F5">
              <w:rPr>
                <w:bCs/>
                <w:lang w:eastAsia="lv-LV"/>
              </w:rPr>
              <w:t>tvieglojumu uzskaite ir grūti kontrolējama;</w:t>
            </w:r>
          </w:p>
          <w:p w14:paraId="36A48338" w14:textId="556B413D" w:rsidR="00F405F5" w:rsidRPr="00F405F5" w:rsidRDefault="00F405F5" w:rsidP="00F405F5">
            <w:pPr>
              <w:tabs>
                <w:tab w:val="left" w:pos="0"/>
              </w:tabs>
              <w:suppressAutoHyphens w:val="0"/>
              <w:spacing w:before="120"/>
              <w:ind w:left="360" w:hanging="360"/>
              <w:jc w:val="both"/>
              <w:rPr>
                <w:bCs/>
                <w:lang w:eastAsia="lv-LV"/>
              </w:rPr>
            </w:pPr>
            <w:r w:rsidRPr="00F405F5">
              <w:rPr>
                <w:bCs/>
                <w:lang w:eastAsia="lv-LV"/>
              </w:rPr>
              <w:t xml:space="preserve">nenotiek </w:t>
            </w:r>
            <w:r w:rsidR="00246FF6">
              <w:rPr>
                <w:bCs/>
                <w:lang w:eastAsia="lv-LV"/>
              </w:rPr>
              <w:t>a</w:t>
            </w:r>
            <w:r w:rsidRPr="00F405F5">
              <w:rPr>
                <w:bCs/>
                <w:lang w:eastAsia="lv-LV"/>
              </w:rPr>
              <w:t>tvieglojumu uzskaite starp pašvaldībām, lai nodrošinātu budžeta līdzekļu saprātīgu izlietojumu;</w:t>
            </w:r>
          </w:p>
          <w:p w14:paraId="604AD1D9" w14:textId="77777777" w:rsidR="00F405F5" w:rsidRPr="00F405F5" w:rsidRDefault="00F405F5" w:rsidP="00F405F5">
            <w:pPr>
              <w:tabs>
                <w:tab w:val="left" w:pos="0"/>
              </w:tabs>
              <w:suppressAutoHyphens w:val="0"/>
              <w:spacing w:before="120"/>
              <w:ind w:left="360" w:hanging="360"/>
              <w:jc w:val="both"/>
              <w:rPr>
                <w:bCs/>
                <w:lang w:eastAsia="lv-LV"/>
              </w:rPr>
            </w:pPr>
            <w:r w:rsidRPr="00F405F5">
              <w:rPr>
                <w:bCs/>
                <w:lang w:eastAsia="lv-LV"/>
              </w:rPr>
              <w:t xml:space="preserve">uzskaites trūkums veicina ēnu ekonomiku. Uzskatāms piemērs ir pasažieru pārvadājumi - tiek ņemta samaksa, bet netiek izsniegtas biļetes, daudzi pārvadātāji atskaitēs norāda nepatiesus datus. </w:t>
            </w:r>
          </w:p>
          <w:p w14:paraId="31616A78" w14:textId="316AFBC7" w:rsidR="00F405F5" w:rsidRPr="00F405F5" w:rsidRDefault="00F405F5" w:rsidP="00F405F5">
            <w:pPr>
              <w:tabs>
                <w:tab w:val="left" w:pos="0"/>
              </w:tabs>
              <w:suppressAutoHyphens w:val="0"/>
              <w:spacing w:before="120"/>
              <w:jc w:val="both"/>
              <w:rPr>
                <w:bCs/>
                <w:lang w:eastAsia="lv-LV"/>
              </w:rPr>
            </w:pPr>
            <w:r w:rsidRPr="00F405F5">
              <w:rPr>
                <w:bCs/>
                <w:lang w:eastAsia="lv-LV"/>
              </w:rPr>
              <w:lastRenderedPageBreak/>
              <w:t xml:space="preserve">Šobrīd ar atvieglojumiem saistītie maksājumi notiek pirms vai pēc </w:t>
            </w:r>
            <w:r w:rsidR="00246FF6">
              <w:rPr>
                <w:bCs/>
                <w:lang w:eastAsia="lv-LV"/>
              </w:rPr>
              <w:t>d</w:t>
            </w:r>
            <w:r w:rsidR="00246FF6" w:rsidRPr="00F405F5">
              <w:rPr>
                <w:bCs/>
                <w:lang w:eastAsia="lv-LV"/>
              </w:rPr>
              <w:t>arījuma</w:t>
            </w:r>
            <w:r w:rsidRPr="00F405F5">
              <w:rPr>
                <w:bCs/>
                <w:lang w:eastAsia="lv-LV"/>
              </w:rPr>
              <w:t xml:space="preserve">, nevis </w:t>
            </w:r>
            <w:r w:rsidR="00246FF6">
              <w:rPr>
                <w:bCs/>
                <w:lang w:eastAsia="lv-LV"/>
              </w:rPr>
              <w:t>d</w:t>
            </w:r>
            <w:r w:rsidR="00246FF6" w:rsidRPr="00F405F5">
              <w:rPr>
                <w:bCs/>
                <w:lang w:eastAsia="lv-LV"/>
              </w:rPr>
              <w:t xml:space="preserve">arījuma </w:t>
            </w:r>
            <w:r w:rsidRPr="00F405F5">
              <w:rPr>
                <w:bCs/>
                <w:lang w:eastAsia="lv-LV"/>
              </w:rPr>
              <w:t xml:space="preserve">brīdī. Šādas pieejas trūkumi ir neefektīva </w:t>
            </w:r>
            <w:r w:rsidR="00246FF6">
              <w:rPr>
                <w:bCs/>
                <w:lang w:eastAsia="lv-LV"/>
              </w:rPr>
              <w:t>a</w:t>
            </w:r>
            <w:r w:rsidR="00246FF6" w:rsidRPr="00F405F5">
              <w:rPr>
                <w:bCs/>
                <w:lang w:eastAsia="lv-LV"/>
              </w:rPr>
              <w:t xml:space="preserve">tvieglojumiem </w:t>
            </w:r>
            <w:r w:rsidRPr="00F405F5">
              <w:rPr>
                <w:bCs/>
                <w:lang w:eastAsia="lv-LV"/>
              </w:rPr>
              <w:t xml:space="preserve">paredzēto līdzekļu izlietošana un ir grūti vai neiespējami kontrolēt </w:t>
            </w:r>
            <w:r w:rsidR="00246FF6">
              <w:rPr>
                <w:bCs/>
                <w:lang w:eastAsia="lv-LV"/>
              </w:rPr>
              <w:t>d</w:t>
            </w:r>
            <w:r w:rsidR="00246FF6" w:rsidRPr="00F405F5">
              <w:rPr>
                <w:bCs/>
                <w:lang w:eastAsia="lv-LV"/>
              </w:rPr>
              <w:t xml:space="preserve">arījuma </w:t>
            </w:r>
            <w:r w:rsidR="00246FF6">
              <w:rPr>
                <w:bCs/>
                <w:lang w:eastAsia="lv-LV"/>
              </w:rPr>
              <w:t>a</w:t>
            </w:r>
            <w:r w:rsidR="00246FF6" w:rsidRPr="00F405F5">
              <w:rPr>
                <w:bCs/>
                <w:lang w:eastAsia="lv-LV"/>
              </w:rPr>
              <w:t xml:space="preserve">tvieglojuma </w:t>
            </w:r>
            <w:r w:rsidRPr="00F405F5">
              <w:rPr>
                <w:bCs/>
                <w:lang w:eastAsia="lv-LV"/>
              </w:rPr>
              <w:t xml:space="preserve">gadījumus, jo pastāv riski, ka tiek veikta nepietiekama </w:t>
            </w:r>
            <w:r w:rsidR="00246FF6">
              <w:rPr>
                <w:bCs/>
                <w:lang w:eastAsia="lv-LV"/>
              </w:rPr>
              <w:t>a</w:t>
            </w:r>
            <w:r w:rsidR="00246FF6" w:rsidRPr="00F405F5">
              <w:rPr>
                <w:bCs/>
                <w:lang w:eastAsia="lv-LV"/>
              </w:rPr>
              <w:t xml:space="preserve">tvieglojuma </w:t>
            </w:r>
            <w:r w:rsidRPr="00F405F5">
              <w:rPr>
                <w:bCs/>
                <w:lang w:eastAsia="lv-LV"/>
              </w:rPr>
              <w:t xml:space="preserve">saņēmēja personas identifikācija, iespējama dokumentu, kas apliecina </w:t>
            </w:r>
            <w:r w:rsidR="00246FF6">
              <w:rPr>
                <w:bCs/>
                <w:lang w:eastAsia="lv-LV"/>
              </w:rPr>
              <w:t>a</w:t>
            </w:r>
            <w:r w:rsidR="00246FF6" w:rsidRPr="00F405F5">
              <w:rPr>
                <w:bCs/>
                <w:lang w:eastAsia="lv-LV"/>
              </w:rPr>
              <w:t xml:space="preserve">tvieglojuma </w:t>
            </w:r>
            <w:r w:rsidRPr="00F405F5">
              <w:rPr>
                <w:bCs/>
                <w:lang w:eastAsia="lv-LV"/>
              </w:rPr>
              <w:t xml:space="preserve">saņemšanu, viltošana, kā arī negodprātīga attieksme un rīcība no </w:t>
            </w:r>
            <w:r w:rsidR="00246FF6">
              <w:rPr>
                <w:bCs/>
                <w:lang w:eastAsia="lv-LV"/>
              </w:rPr>
              <w:t>a</w:t>
            </w:r>
            <w:r w:rsidR="00246FF6" w:rsidRPr="00F405F5">
              <w:rPr>
                <w:bCs/>
                <w:lang w:eastAsia="lv-LV"/>
              </w:rPr>
              <w:t xml:space="preserve">tvieglojuma </w:t>
            </w:r>
            <w:r w:rsidRPr="00F405F5">
              <w:rPr>
                <w:bCs/>
                <w:lang w:eastAsia="lv-LV"/>
              </w:rPr>
              <w:t xml:space="preserve">devēja puses. </w:t>
            </w:r>
          </w:p>
          <w:p w14:paraId="013E4202" w14:textId="5CBBD546" w:rsidR="00F405F5" w:rsidRPr="00F405F5" w:rsidRDefault="00F405F5" w:rsidP="00F405F5">
            <w:pPr>
              <w:tabs>
                <w:tab w:val="left" w:pos="0"/>
              </w:tabs>
              <w:suppressAutoHyphens w:val="0"/>
              <w:spacing w:before="120"/>
              <w:jc w:val="both"/>
              <w:rPr>
                <w:bCs/>
                <w:lang w:eastAsia="lv-LV"/>
              </w:rPr>
            </w:pPr>
            <w:r w:rsidRPr="00F405F5">
              <w:rPr>
                <w:bCs/>
                <w:lang w:eastAsia="lv-LV"/>
              </w:rPr>
              <w:t xml:space="preserve">Ministru kabinets ir uzdevis VARAM sagatavot un iesniegt izskatīšanai Ministru kabinetā </w:t>
            </w:r>
            <w:r w:rsidR="00246FF6">
              <w:rPr>
                <w:bCs/>
                <w:lang w:eastAsia="lv-LV"/>
              </w:rPr>
              <w:t>a</w:t>
            </w:r>
            <w:r w:rsidR="00246FF6" w:rsidRPr="00F405F5">
              <w:rPr>
                <w:bCs/>
                <w:lang w:eastAsia="lv-LV"/>
              </w:rPr>
              <w:t xml:space="preserve">tvieglojumu </w:t>
            </w:r>
            <w:r w:rsidRPr="00F405F5">
              <w:rPr>
                <w:bCs/>
                <w:lang w:eastAsia="lv-LV"/>
              </w:rPr>
              <w:t>uzskaites koplietošanas risinājuma ieviešanai nepieciešamos normatīvo aktu projektus</w:t>
            </w:r>
            <w:r w:rsidRPr="00F405F5">
              <w:rPr>
                <w:bCs/>
                <w:vertAlign w:val="superscript"/>
                <w:lang w:eastAsia="lv-LV"/>
              </w:rPr>
              <w:footnoteReference w:id="2"/>
            </w:r>
            <w:r w:rsidR="00246FF6">
              <w:rPr>
                <w:bCs/>
                <w:lang w:eastAsia="lv-LV"/>
              </w:rPr>
              <w:t>,</w:t>
            </w:r>
            <w:r w:rsidRPr="00F405F5">
              <w:rPr>
                <w:bCs/>
                <w:lang w:eastAsia="lv-LV"/>
              </w:rPr>
              <w:t xml:space="preserve"> atbilstoši kuriem tiks izveidota Atvieglojumu vienotā informācijas sistēma, kas nodrošinās centralizētu </w:t>
            </w:r>
            <w:r w:rsidR="00246FF6">
              <w:rPr>
                <w:bCs/>
                <w:lang w:eastAsia="lv-LV"/>
              </w:rPr>
              <w:t>a</w:t>
            </w:r>
            <w:r w:rsidR="00246FF6" w:rsidRPr="00F405F5">
              <w:rPr>
                <w:bCs/>
                <w:lang w:eastAsia="lv-LV"/>
              </w:rPr>
              <w:t xml:space="preserve">tvieglojumu </w:t>
            </w:r>
            <w:r w:rsidRPr="00F405F5">
              <w:rPr>
                <w:bCs/>
                <w:lang w:eastAsia="lv-LV"/>
              </w:rPr>
              <w:t>administrēšanu.</w:t>
            </w:r>
          </w:p>
          <w:p w14:paraId="4C76F3FC" w14:textId="394790FF" w:rsidR="00F405F5" w:rsidRPr="00F405F5" w:rsidRDefault="00F405F5" w:rsidP="00F405F5">
            <w:pPr>
              <w:tabs>
                <w:tab w:val="left" w:pos="0"/>
              </w:tabs>
              <w:suppressAutoHyphens w:val="0"/>
              <w:spacing w:before="120"/>
              <w:jc w:val="both"/>
              <w:rPr>
                <w:bCs/>
                <w:lang w:eastAsia="lv-LV"/>
              </w:rPr>
            </w:pPr>
            <w:r w:rsidRPr="00F405F5">
              <w:rPr>
                <w:bCs/>
                <w:lang w:eastAsia="lv-LV"/>
              </w:rPr>
              <w:t xml:space="preserve">Projektējot, izstrādājot un ieviešot centralizētu elektronisku pašvaldību sniegto </w:t>
            </w:r>
            <w:r w:rsidR="00246FF6">
              <w:rPr>
                <w:bCs/>
                <w:lang w:eastAsia="lv-LV"/>
              </w:rPr>
              <w:t>a</w:t>
            </w:r>
            <w:r w:rsidR="00246FF6" w:rsidRPr="00F405F5">
              <w:rPr>
                <w:bCs/>
                <w:lang w:eastAsia="lv-LV"/>
              </w:rPr>
              <w:t xml:space="preserve">tvieglojumu </w:t>
            </w:r>
            <w:r w:rsidRPr="00F405F5">
              <w:rPr>
                <w:bCs/>
                <w:lang w:eastAsia="lv-LV"/>
              </w:rPr>
              <w:t xml:space="preserve">administrēšanu atbilstoši izstrādātajiem normatīvajiem aktiem, ir nepieciešams izvērtēt iespējas un nepieciešamību arī valsts </w:t>
            </w:r>
            <w:r w:rsidR="00844222">
              <w:rPr>
                <w:bCs/>
                <w:lang w:eastAsia="lv-LV"/>
              </w:rPr>
              <w:t xml:space="preserve">pārvaldes </w:t>
            </w:r>
            <w:r w:rsidRPr="00F405F5">
              <w:rPr>
                <w:bCs/>
                <w:lang w:eastAsia="lv-LV"/>
              </w:rPr>
              <w:t>sniegtajiem pakalpojumiem izmantot šo risinājumu, lai izvairītos no minētajām problēmām.</w:t>
            </w:r>
          </w:p>
          <w:p w14:paraId="0A7AD94D" w14:textId="77777777" w:rsidR="00F405F5" w:rsidRPr="00F405F5" w:rsidRDefault="00F405F5" w:rsidP="00F405F5">
            <w:pPr>
              <w:keepNext/>
              <w:tabs>
                <w:tab w:val="left" w:pos="0"/>
              </w:tabs>
              <w:suppressAutoHyphens w:val="0"/>
              <w:spacing w:before="120"/>
              <w:jc w:val="both"/>
              <w:rPr>
                <w:bCs/>
                <w:lang w:eastAsia="lv-LV"/>
              </w:rPr>
            </w:pPr>
            <w:r w:rsidRPr="00F405F5">
              <w:rPr>
                <w:b/>
                <w:bCs/>
                <w:i/>
                <w:iCs/>
                <w:lang w:eastAsia="lv-LV"/>
              </w:rPr>
              <w:t>2. Nepietiekama atvieglojumu pieejamība iedzīvotājiem</w:t>
            </w:r>
          </w:p>
          <w:p w14:paraId="25EF1A3E" w14:textId="58A6AFF8" w:rsidR="00F405F5" w:rsidRPr="00F405F5" w:rsidRDefault="00F405F5" w:rsidP="00F405F5">
            <w:pPr>
              <w:keepNext/>
              <w:tabs>
                <w:tab w:val="left" w:pos="0"/>
              </w:tabs>
              <w:suppressAutoHyphens w:val="0"/>
              <w:spacing w:before="120"/>
              <w:jc w:val="both"/>
              <w:rPr>
                <w:bCs/>
                <w:lang w:eastAsia="lv-LV"/>
              </w:rPr>
            </w:pPr>
            <w:r w:rsidRPr="00F405F5">
              <w:rPr>
                <w:bCs/>
                <w:lang w:eastAsia="lv-LV"/>
              </w:rPr>
              <w:t xml:space="preserve">VARAM </w:t>
            </w:r>
            <w:r w:rsidR="00246FF6">
              <w:rPr>
                <w:bCs/>
                <w:lang w:eastAsia="lv-LV"/>
              </w:rPr>
              <w:t>i</w:t>
            </w:r>
            <w:r w:rsidR="00246FF6" w:rsidRPr="00F405F5">
              <w:rPr>
                <w:bCs/>
                <w:lang w:eastAsia="lv-LV"/>
              </w:rPr>
              <w:t xml:space="preserve">nformatīvajā </w:t>
            </w:r>
            <w:r w:rsidRPr="00F405F5">
              <w:rPr>
                <w:bCs/>
                <w:lang w:eastAsia="lv-LV"/>
              </w:rPr>
              <w:t>ziņojumā "Par Atvieglojumu uzskaites koplietošanas risinājuma ieviešanu valsts un pašvaldību atvieglojumu administrēšanai"</w:t>
            </w:r>
            <w:r w:rsidRPr="00F405F5">
              <w:rPr>
                <w:bCs/>
                <w:vertAlign w:val="superscript"/>
                <w:lang w:eastAsia="lv-LV"/>
              </w:rPr>
              <w:footnoteReference w:id="3"/>
            </w:r>
            <w:r w:rsidRPr="00F405F5">
              <w:rPr>
                <w:bCs/>
                <w:lang w:eastAsia="lv-LV"/>
              </w:rPr>
              <w:t xml:space="preserve"> (VSS-973, TA-463, 27.03.2018) ir norādīts, ka daudzi atvieglojumi iedzīvotājiem ir pieejami</w:t>
            </w:r>
            <w:r w:rsidR="00246FF6">
              <w:rPr>
                <w:bCs/>
                <w:lang w:eastAsia="lv-LV"/>
              </w:rPr>
              <w:t>,</w:t>
            </w:r>
            <w:r w:rsidRPr="00F405F5">
              <w:rPr>
                <w:bCs/>
                <w:lang w:eastAsia="lv-LV"/>
              </w:rPr>
              <w:t xml:space="preserve"> uzrādot attiecīgo statusu apliecinošus dokumentus, kas ir apgrūtinoši un laikietilpīgi. Pastāv arī risks</w:t>
            </w:r>
            <w:r w:rsidR="008B310C">
              <w:rPr>
                <w:bCs/>
                <w:lang w:eastAsia="lv-LV"/>
              </w:rPr>
              <w:t>,</w:t>
            </w:r>
            <w:r w:rsidRPr="00F405F5">
              <w:rPr>
                <w:bCs/>
                <w:lang w:eastAsia="lv-LV"/>
              </w:rPr>
              <w:t xml:space="preserve"> ka iedzīvotāji var nezināt, ka tiem pienākas atvieglojumi. </w:t>
            </w:r>
          </w:p>
          <w:p w14:paraId="60CE89FF" w14:textId="67CF0D19" w:rsidR="00F405F5" w:rsidRPr="00F405F5" w:rsidRDefault="00F405F5" w:rsidP="00F405F5">
            <w:pPr>
              <w:tabs>
                <w:tab w:val="left" w:pos="0"/>
              </w:tabs>
              <w:suppressAutoHyphens w:val="0"/>
              <w:spacing w:before="120"/>
              <w:jc w:val="both"/>
              <w:rPr>
                <w:bCs/>
                <w:lang w:eastAsia="lv-LV"/>
              </w:rPr>
            </w:pPr>
            <w:r w:rsidRPr="00F405F5">
              <w:rPr>
                <w:bCs/>
                <w:lang w:eastAsia="lv-LV"/>
              </w:rPr>
              <w:t xml:space="preserve">Projektējot, izstrādājot un ieviešot centralizētu elektronisku valsts un pašvaldību Atvieglojumu administrēšanas informatīvo sistēmu atbilstoši izstrādātajiem normatīvajiem aktiem, ir nepieciešams to integrēt ar </w:t>
            </w:r>
            <w:hyperlink r:id="rId7" w:history="1">
              <w:r w:rsidRPr="00F405F5">
                <w:rPr>
                  <w:bCs/>
                  <w:color w:val="0563C1"/>
                  <w:u w:val="single"/>
                  <w:lang w:eastAsia="lv-LV"/>
                </w:rPr>
                <w:t>www.latvija.lv</w:t>
              </w:r>
            </w:hyperlink>
            <w:r w:rsidRPr="00F405F5">
              <w:rPr>
                <w:bCs/>
                <w:lang w:eastAsia="lv-LV"/>
              </w:rPr>
              <w:t xml:space="preserve"> lietotāja darba vietu ar mērķi nodrošināt iespēju </w:t>
            </w:r>
            <w:r w:rsidR="008B310C">
              <w:rPr>
                <w:bCs/>
                <w:lang w:eastAsia="lv-LV"/>
              </w:rPr>
              <w:t>a</w:t>
            </w:r>
            <w:r w:rsidR="008B310C" w:rsidRPr="00F405F5">
              <w:rPr>
                <w:bCs/>
                <w:lang w:eastAsia="lv-LV"/>
              </w:rPr>
              <w:t xml:space="preserve">tvieglojuma </w:t>
            </w:r>
            <w:r w:rsidRPr="00F405F5">
              <w:rPr>
                <w:bCs/>
                <w:lang w:eastAsia="lv-LV"/>
              </w:rPr>
              <w:t xml:space="preserve">saņēmējam uzzināt par pieejamajiem pakalpojumiem, kuriem tiek piemēroti </w:t>
            </w:r>
            <w:r w:rsidR="00246FF6">
              <w:rPr>
                <w:bCs/>
                <w:lang w:eastAsia="lv-LV"/>
              </w:rPr>
              <w:t>a</w:t>
            </w:r>
            <w:r w:rsidR="00246FF6" w:rsidRPr="00F405F5">
              <w:rPr>
                <w:bCs/>
                <w:lang w:eastAsia="lv-LV"/>
              </w:rPr>
              <w:t>tvieglojumi</w:t>
            </w:r>
            <w:r w:rsidRPr="00F405F5">
              <w:rPr>
                <w:bCs/>
                <w:lang w:eastAsia="lv-LV"/>
              </w:rPr>
              <w:t xml:space="preserve">, to personalizētu cenrādi (integrācija ar </w:t>
            </w:r>
            <w:hyperlink r:id="rId8" w:history="1">
              <w:r w:rsidRPr="00F405F5">
                <w:rPr>
                  <w:bCs/>
                  <w:color w:val="0563C1"/>
                  <w:u w:val="single"/>
                  <w:lang w:eastAsia="lv-LV"/>
                </w:rPr>
                <w:t>www.latvija.lv</w:t>
              </w:r>
            </w:hyperlink>
            <w:r w:rsidRPr="00F405F5">
              <w:rPr>
                <w:bCs/>
                <w:lang w:eastAsia="lv-LV"/>
              </w:rPr>
              <w:t xml:space="preserve"> Publisko pakalpojumu katalogu) un identifikācijas līdzekļus, kas ir izmantojami </w:t>
            </w:r>
            <w:r w:rsidR="00246FF6">
              <w:rPr>
                <w:bCs/>
                <w:lang w:eastAsia="lv-LV"/>
              </w:rPr>
              <w:t>a</w:t>
            </w:r>
            <w:r w:rsidR="00246FF6" w:rsidRPr="00F405F5">
              <w:rPr>
                <w:bCs/>
                <w:lang w:eastAsia="lv-LV"/>
              </w:rPr>
              <w:t xml:space="preserve">tvieglojumu </w:t>
            </w:r>
            <w:r w:rsidRPr="00F405F5">
              <w:rPr>
                <w:bCs/>
                <w:lang w:eastAsia="lv-LV"/>
              </w:rPr>
              <w:t>saņemšanai.</w:t>
            </w:r>
          </w:p>
          <w:p w14:paraId="6E90F4CB" w14:textId="77777777" w:rsidR="00F405F5" w:rsidRPr="00F405F5" w:rsidRDefault="00F405F5" w:rsidP="00F405F5">
            <w:pPr>
              <w:tabs>
                <w:tab w:val="left" w:pos="0"/>
              </w:tabs>
              <w:suppressAutoHyphens w:val="0"/>
              <w:spacing w:before="120"/>
              <w:jc w:val="both"/>
              <w:rPr>
                <w:bCs/>
                <w:lang w:eastAsia="lv-LV"/>
              </w:rPr>
            </w:pPr>
            <w:r w:rsidRPr="00F405F5">
              <w:rPr>
                <w:b/>
                <w:bCs/>
                <w:i/>
                <w:iCs/>
                <w:lang w:eastAsia="lv-LV"/>
              </w:rPr>
              <w:t>3. Esošajām informācijas sistēmām, kas nodrošina e-pakalpojumu darbību, jāattīsta sadarbspēja</w:t>
            </w:r>
          </w:p>
          <w:p w14:paraId="4A0C04EF" w14:textId="6BB43B63" w:rsidR="00F405F5" w:rsidRPr="00F405F5" w:rsidRDefault="00F405F5" w:rsidP="00F405F5">
            <w:pPr>
              <w:tabs>
                <w:tab w:val="left" w:pos="0"/>
              </w:tabs>
              <w:suppressAutoHyphens w:val="0"/>
              <w:spacing w:before="120"/>
              <w:jc w:val="both"/>
              <w:rPr>
                <w:bCs/>
                <w:lang w:eastAsia="lv-LV"/>
              </w:rPr>
            </w:pPr>
            <w:r w:rsidRPr="00F405F5">
              <w:rPr>
                <w:bCs/>
                <w:lang w:eastAsia="lv-LV"/>
              </w:rPr>
              <w:t xml:space="preserve">Nepieciešams turpināt īstenot ERAF 2014.-2020. gada plānošanas periodā uzsākto IKT attīstības pasākumu fokusējumu uz publiskās pārvaldes </w:t>
            </w:r>
            <w:proofErr w:type="spellStart"/>
            <w:r w:rsidRPr="00F405F5">
              <w:rPr>
                <w:bCs/>
                <w:lang w:eastAsia="lv-LV"/>
              </w:rPr>
              <w:t>pārnozaru</w:t>
            </w:r>
            <w:proofErr w:type="spellEnd"/>
            <w:r w:rsidRPr="00F405F5">
              <w:rPr>
                <w:bCs/>
                <w:lang w:eastAsia="lv-LV"/>
              </w:rPr>
              <w:t xml:space="preserve"> un pārrobežu procesu pilnveidošanu un koplietošanas risinājumu attīstību, kas ir balstīta uz VARAM izstrādāto Publiskās pārvaldes informācijas sistēmu konceptuālo arhitektūru</w:t>
            </w:r>
            <w:r w:rsidRPr="00F405F5">
              <w:rPr>
                <w:bCs/>
                <w:vertAlign w:val="superscript"/>
                <w:lang w:eastAsia="lv-LV"/>
              </w:rPr>
              <w:footnoteReference w:id="4"/>
            </w:r>
            <w:r w:rsidRPr="00F405F5">
              <w:rPr>
                <w:bCs/>
                <w:lang w:eastAsia="lv-LV"/>
              </w:rPr>
              <w:t xml:space="preserve">, kurā 40 principu formā ir definēti vispārēji noteikumi publiskās pārvaldes informācijas sistēmu un IKT atbalsta organizācijas attīstībai. </w:t>
            </w:r>
          </w:p>
          <w:p w14:paraId="4A2621F6" w14:textId="4D7C7AB0" w:rsidR="00F405F5" w:rsidRPr="00F405F5" w:rsidRDefault="00F405F5" w:rsidP="00F405F5">
            <w:pPr>
              <w:suppressAutoHyphens w:val="0"/>
              <w:spacing w:before="120"/>
              <w:jc w:val="both"/>
              <w:rPr>
                <w:lang w:eastAsia="lv-LV"/>
              </w:rPr>
            </w:pPr>
            <w:r w:rsidRPr="00F405F5">
              <w:rPr>
                <w:lang w:eastAsia="lv-LV"/>
              </w:rPr>
              <w:lastRenderedPageBreak/>
              <w:t>Šie principi jāievēro, izstrādājot un pilnveidojot publiskās pārvaldes informācijas sistēmas 2014.-2020. gadā. Lai to panāktu, VARAM kā valsts IKT pārvaldības organizācijai jāveic koordinējošs darbs, pārliecinoties par konceptuālajā arhitektūrā definēto konkrētam IKT risinājumam būtisku principu ievērošanu katrā ERAF IKT projektā, izstrādājot metodiskos materiālus, konsultējot projektu īstenotājus, pārbaudot principu ievērošanu noteiktos projekta īstenošanas posmos, kam metodisko, ekspertīzes resursu un IKT atbalsta risinājumu atbalstu nodrošināja VARAM PIKTAPS projekts.</w:t>
            </w:r>
          </w:p>
          <w:p w14:paraId="33F1ABBE" w14:textId="11B60E74" w:rsidR="00F405F5" w:rsidRPr="00F405F5" w:rsidRDefault="00F405F5" w:rsidP="00F405F5">
            <w:pPr>
              <w:tabs>
                <w:tab w:val="left" w:pos="0"/>
              </w:tabs>
              <w:suppressAutoHyphens w:val="0"/>
              <w:spacing w:before="120"/>
              <w:jc w:val="both"/>
              <w:rPr>
                <w:bCs/>
                <w:lang w:eastAsia="lv-LV"/>
              </w:rPr>
            </w:pPr>
            <w:r w:rsidRPr="00F405F5">
              <w:rPr>
                <w:bCs/>
                <w:lang w:eastAsia="lv-LV"/>
              </w:rPr>
              <w:t xml:space="preserve">PIKTAPS projektu ir plānots pabeigt 2019.gada novembrī, kamēr daudzi 1. un 2.kārtas projekti, atbilstoši </w:t>
            </w:r>
            <w:r w:rsidRPr="00F405F5">
              <w:rPr>
                <w:rFonts w:eastAsia="Calibri"/>
                <w:bCs/>
                <w:lang w:eastAsia="lv-LV"/>
              </w:rPr>
              <w:t>Ministru kabineta</w:t>
            </w:r>
            <w:r w:rsidRPr="00F405F5">
              <w:rPr>
                <w:bCs/>
                <w:lang w:eastAsia="lv-LV"/>
              </w:rPr>
              <w:t xml:space="preserve"> 2015.gada 17.novembra noteikumiem Nr.653 "Darbības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īstenošanas noteikumi" (turpmāk – MK noteikumi Nr.653), var turpināties līdz pat 2022.gada 31.decembrim. Atbilstoši šī brīža informācijai, 2019.gada beigās vēl nebūs pabeigti 50 projekti, 35 1.kārtas un 15 plānotie 2.kārtas projekti.</w:t>
            </w:r>
          </w:p>
          <w:p w14:paraId="5956558A" w14:textId="0DF6B2E6" w:rsidR="00F405F5" w:rsidRPr="00F405F5" w:rsidRDefault="00F405F5" w:rsidP="00F405F5">
            <w:pPr>
              <w:suppressAutoHyphens w:val="0"/>
              <w:spacing w:before="120"/>
              <w:jc w:val="both"/>
              <w:rPr>
                <w:lang w:eastAsia="lv-LV"/>
              </w:rPr>
            </w:pPr>
            <w:r w:rsidRPr="00F405F5">
              <w:rPr>
                <w:lang w:eastAsia="lv-LV"/>
              </w:rPr>
              <w:t>PIKTAPS 2 projektā ir plānots turpināt PIKTAPS projektā iesāktos darbus, lai nodrošinātu uzsākto ERAF IKT projektu savstarpējo saskaņotību no IKT arhitektūras un SAM kopējo rādītāju izpildes viedokļa, kā arī sekmēt Publiskās pārvaldes informācijas sistēmu konceptuālās arhitektūras principu īstenošanu visā ERAF 2014.-2020. gada</w:t>
            </w:r>
            <w:r w:rsidR="00844222">
              <w:rPr>
                <w:lang w:eastAsia="lv-LV"/>
              </w:rPr>
              <w:t xml:space="preserve"> plānošanas periodā un turpināt</w:t>
            </w:r>
            <w:r w:rsidRPr="00F405F5">
              <w:rPr>
                <w:lang w:eastAsia="lv-LV"/>
              </w:rPr>
              <w:t xml:space="preserve"> </w:t>
            </w:r>
            <w:r w:rsidR="00892EA0">
              <w:rPr>
                <w:lang w:eastAsia="lv-LV"/>
              </w:rPr>
              <w:t>PSPP, Drošas elektroniskā</w:t>
            </w:r>
            <w:r w:rsidRPr="00F405F5">
              <w:rPr>
                <w:lang w:eastAsia="lv-LV"/>
              </w:rPr>
              <w:t xml:space="preserve">s piegādes platformas (DEPP), Datu izplatīšanas platformas (DIP), VIRSIS un Datu publicēšanas platformas risinājumu izstrādes autoruzraudzību. Paredzēts turpināt no arhitektūras viedokļa pārvaldīt mērķarhitektūru īstenojošo ERAF IKT projektu kopumu, koordinējot centralizēto koplietošanas platformu un koplietošanas risinājumu attīstību un efektīvu izmantošanu. </w:t>
            </w:r>
          </w:p>
          <w:p w14:paraId="601C6DD7" w14:textId="77777777" w:rsidR="00F405F5" w:rsidRPr="00F405F5" w:rsidRDefault="00F405F5" w:rsidP="00F405F5">
            <w:pPr>
              <w:suppressAutoHyphens w:val="0"/>
              <w:spacing w:before="120"/>
              <w:jc w:val="both"/>
              <w:rPr>
                <w:lang w:eastAsia="lv-LV"/>
              </w:rPr>
            </w:pPr>
            <w:r w:rsidRPr="00F405F5">
              <w:rPr>
                <w:lang w:eastAsia="lv-LV"/>
              </w:rPr>
              <w:t>Lai efektīvi risinātu ar valsts IKT arhitektūras pārvaldību saistītos jautājumus, ir nepieciešami par IKT koplietošanas pakalpojumiem, platformām un būtiskajiem arhitektūras elementiem informēti publiskās pārvaldes un IKT nozares darbinieki.</w:t>
            </w:r>
          </w:p>
          <w:p w14:paraId="3DAEC1B9" w14:textId="77777777" w:rsidR="00F405F5" w:rsidRPr="00F405F5" w:rsidRDefault="00F405F5" w:rsidP="00F405F5">
            <w:pPr>
              <w:tabs>
                <w:tab w:val="left" w:pos="0"/>
              </w:tabs>
              <w:suppressAutoHyphens w:val="0"/>
              <w:spacing w:before="120"/>
              <w:jc w:val="both"/>
              <w:rPr>
                <w:bCs/>
                <w:lang w:eastAsia="lv-LV"/>
              </w:rPr>
            </w:pPr>
            <w:r w:rsidRPr="00F405F5">
              <w:rPr>
                <w:b/>
                <w:bCs/>
                <w:i/>
                <w:iCs/>
                <w:lang w:eastAsia="lv-LV"/>
              </w:rPr>
              <w:t>4. Nepietiekams e-pakalpojumu izmantošanas īpatsvars</w:t>
            </w:r>
          </w:p>
          <w:p w14:paraId="744AB045" w14:textId="77777777" w:rsidR="00F405F5" w:rsidRPr="00F405F5" w:rsidRDefault="00F405F5" w:rsidP="00F405F5">
            <w:pPr>
              <w:suppressAutoHyphens w:val="0"/>
              <w:spacing w:before="120"/>
              <w:jc w:val="both"/>
              <w:rPr>
                <w:lang w:eastAsia="lv-LV"/>
              </w:rPr>
            </w:pPr>
            <w:r w:rsidRPr="00F405F5">
              <w:rPr>
                <w:lang w:eastAsia="lv-LV"/>
              </w:rPr>
              <w:t xml:space="preserve">VARAM veiktais pētījums “Sabiedriskās domas </w:t>
            </w:r>
            <w:proofErr w:type="spellStart"/>
            <w:r w:rsidRPr="00F405F5">
              <w:rPr>
                <w:lang w:eastAsia="lv-LV"/>
              </w:rPr>
              <w:t>izvērtējumi</w:t>
            </w:r>
            <w:proofErr w:type="spellEnd"/>
            <w:r w:rsidRPr="00F405F5">
              <w:rPr>
                <w:lang w:eastAsia="lv-LV"/>
              </w:rPr>
              <w:t xml:space="preserve"> par e-pakalpojumu pielietojumu” (2015.gada decembris)</w:t>
            </w:r>
            <w:r w:rsidRPr="00F405F5">
              <w:rPr>
                <w:vertAlign w:val="superscript"/>
                <w:lang w:eastAsia="lv-LV"/>
              </w:rPr>
              <w:footnoteReference w:id="5"/>
            </w:r>
            <w:r w:rsidRPr="00F405F5">
              <w:rPr>
                <w:lang w:eastAsia="lv-LV"/>
              </w:rPr>
              <w:t xml:space="preserve"> liecina, ka e-pakalpojumu lietojamības analīzei nav tikusi pievērsta pietiekama uzmanība un e-pakalpojumu aktīvāku izmantošanu plašākā mērogā kavē e-pakalpojumu </w:t>
            </w:r>
            <w:proofErr w:type="spellStart"/>
            <w:r w:rsidRPr="00F405F5">
              <w:rPr>
                <w:lang w:eastAsia="lv-LV"/>
              </w:rPr>
              <w:t>pašsaprotamības</w:t>
            </w:r>
            <w:proofErr w:type="spellEnd"/>
            <w:r w:rsidRPr="00F405F5">
              <w:rPr>
                <w:lang w:eastAsia="lv-LV"/>
              </w:rPr>
              <w:t xml:space="preserve"> trūkums. </w:t>
            </w:r>
          </w:p>
          <w:p w14:paraId="70592DA4" w14:textId="1068A38B" w:rsidR="00F405F5" w:rsidRPr="00F405F5" w:rsidRDefault="00F405F5" w:rsidP="00F405F5">
            <w:pPr>
              <w:tabs>
                <w:tab w:val="left" w:pos="0"/>
              </w:tabs>
              <w:suppressAutoHyphens w:val="0"/>
              <w:spacing w:before="120"/>
              <w:jc w:val="both"/>
              <w:rPr>
                <w:bCs/>
                <w:lang w:eastAsia="lv-LV"/>
              </w:rPr>
            </w:pPr>
            <w:r w:rsidRPr="00F405F5">
              <w:rPr>
                <w:bCs/>
                <w:lang w:eastAsia="lv-LV"/>
              </w:rPr>
              <w:t xml:space="preserve">Lai nodrošinātu centralizēto koplietošanas IKT risinājumu atbilstību sabiedrības un valsts pārvaldes vajadzībām, visā projekta garumā tiks īstenots </w:t>
            </w:r>
            <w:r w:rsidR="00993643">
              <w:rPr>
                <w:bCs/>
                <w:lang w:eastAsia="lv-LV"/>
              </w:rPr>
              <w:t>v</w:t>
            </w:r>
            <w:r w:rsidR="00993643" w:rsidRPr="00F405F5">
              <w:rPr>
                <w:bCs/>
                <w:lang w:eastAsia="lv-LV"/>
              </w:rPr>
              <w:t xml:space="preserve">ajadzību </w:t>
            </w:r>
            <w:r w:rsidRPr="00F405F5">
              <w:rPr>
                <w:bCs/>
                <w:lang w:eastAsia="lv-LV"/>
              </w:rPr>
              <w:t>monitorings, veicot pētījumu “Integrēts publisko pakalpojumu sniegšanas un gala lietotāju vajadzību monitorings”.</w:t>
            </w:r>
          </w:p>
          <w:p w14:paraId="2838E00B" w14:textId="62342C00" w:rsidR="00F405F5" w:rsidRPr="00F405F5" w:rsidRDefault="00F405F5" w:rsidP="00F405F5">
            <w:pPr>
              <w:suppressAutoHyphens w:val="0"/>
              <w:spacing w:before="120"/>
              <w:jc w:val="both"/>
              <w:rPr>
                <w:lang w:eastAsia="lv-LV"/>
              </w:rPr>
            </w:pPr>
            <w:r w:rsidRPr="00F405F5">
              <w:rPr>
                <w:lang w:eastAsia="lv-LV"/>
              </w:rPr>
              <w:lastRenderedPageBreak/>
              <w:t>Projektā tiek plānota centralizēto koplietošanas risinājumu</w:t>
            </w:r>
            <w:r w:rsidR="00892EA0">
              <w:rPr>
                <w:lang w:eastAsia="lv-LV"/>
              </w:rPr>
              <w:t>, kas tika izstrādāti PIKTAPS 1.kārtā un Valsts reģionālās attīstības aģentūras projektu “</w:t>
            </w:r>
            <w:r w:rsidR="00892EA0" w:rsidRPr="00892EA0">
              <w:rPr>
                <w:lang w:eastAsia="lv-LV"/>
              </w:rPr>
              <w:t>Pakalpojumu snie</w:t>
            </w:r>
            <w:r w:rsidR="00892EA0">
              <w:rPr>
                <w:lang w:eastAsia="lv-LV"/>
              </w:rPr>
              <w:t>gšanas un pārvaldības platforma”</w:t>
            </w:r>
            <w:r w:rsidR="00892EA0" w:rsidRPr="00892EA0">
              <w:rPr>
                <w:lang w:eastAsia="lv-LV"/>
              </w:rPr>
              <w:t xml:space="preserve"> </w:t>
            </w:r>
            <w:r w:rsidR="00892EA0">
              <w:rPr>
                <w:lang w:eastAsia="lv-LV"/>
              </w:rPr>
              <w:t>un “Vienotā datu telpa” ietvaros,</w:t>
            </w:r>
            <w:r w:rsidRPr="00F405F5">
              <w:rPr>
                <w:lang w:eastAsia="lv-LV"/>
              </w:rPr>
              <w:t xml:space="preserve"> pilnveidošana atbilstoši sabiedrības un valsts pārvaldes vajadzībām un </w:t>
            </w:r>
            <w:hyperlink r:id="rId9" w:history="1">
              <w:r w:rsidRPr="00F405F5">
                <w:rPr>
                  <w:color w:val="0563C1"/>
                  <w:u w:val="single"/>
                  <w:lang w:eastAsia="lv-LV"/>
                </w:rPr>
                <w:t>www.latvija.lv</w:t>
              </w:r>
            </w:hyperlink>
            <w:r w:rsidRPr="00F405F5">
              <w:rPr>
                <w:lang w:eastAsia="lv-LV"/>
              </w:rPr>
              <w:t xml:space="preserve"> lietotāju darba vietas </w:t>
            </w:r>
            <w:proofErr w:type="spellStart"/>
            <w:r w:rsidRPr="00F405F5">
              <w:rPr>
                <w:lang w:eastAsia="lv-LV"/>
              </w:rPr>
              <w:t>personalizācija</w:t>
            </w:r>
            <w:proofErr w:type="spellEnd"/>
            <w:r w:rsidRPr="00F405F5">
              <w:rPr>
                <w:lang w:eastAsia="lv-LV"/>
              </w:rPr>
              <w:t>, atbilstoši ar lietotāja atļauju izveidotam tā profilam, ar mērķi piedāvāt e-pakalpojumus atbilstoši, piemēram, dzīves situācijām vai pieprasīto pakalpojumu rezultātiem, vienlaicīgi nodrošinot iespēju pārvaldīt savus personas datus atbilstoši normatīvo aktu prasībām, piemēram, Vispārīgā datu aizsardzības regula</w:t>
            </w:r>
            <w:r w:rsidRPr="00F405F5">
              <w:rPr>
                <w:vertAlign w:val="superscript"/>
                <w:lang w:eastAsia="lv-LV"/>
              </w:rPr>
              <w:footnoteReference w:id="6"/>
            </w:r>
            <w:r w:rsidRPr="00F405F5">
              <w:rPr>
                <w:lang w:eastAsia="lv-LV"/>
              </w:rPr>
              <w:t xml:space="preserve">. </w:t>
            </w:r>
          </w:p>
          <w:p w14:paraId="28F7DC64" w14:textId="77777777" w:rsidR="00F405F5" w:rsidRPr="00F405F5" w:rsidRDefault="00F405F5" w:rsidP="00F405F5">
            <w:pPr>
              <w:tabs>
                <w:tab w:val="left" w:pos="0"/>
              </w:tabs>
              <w:suppressAutoHyphens w:val="0"/>
              <w:spacing w:before="120"/>
              <w:jc w:val="both"/>
              <w:rPr>
                <w:b/>
                <w:bCs/>
                <w:i/>
                <w:iCs/>
                <w:lang w:eastAsia="lv-LV"/>
              </w:rPr>
            </w:pPr>
            <w:r w:rsidRPr="00F405F5">
              <w:rPr>
                <w:b/>
                <w:bCs/>
                <w:i/>
                <w:iCs/>
                <w:lang w:eastAsia="lv-LV"/>
              </w:rPr>
              <w:t>5. Nepietiekamas sabiedrības spējas un ieinteresētība efektīvi izmantot ERAF IKT projektu ietvaros radītos un ieviestos risinājumus</w:t>
            </w:r>
          </w:p>
          <w:p w14:paraId="47CEAC5D" w14:textId="725CB0D9" w:rsidR="00F405F5" w:rsidRPr="00F405F5" w:rsidRDefault="00F405F5" w:rsidP="00F405F5">
            <w:pPr>
              <w:tabs>
                <w:tab w:val="left" w:pos="0"/>
              </w:tabs>
              <w:suppressAutoHyphens w:val="0"/>
              <w:spacing w:before="120"/>
              <w:jc w:val="both"/>
              <w:rPr>
                <w:bCs/>
                <w:lang w:eastAsia="lv-LV"/>
              </w:rPr>
            </w:pPr>
            <w:r w:rsidRPr="00F405F5">
              <w:rPr>
                <w:bCs/>
                <w:lang w:eastAsia="lv-LV"/>
              </w:rPr>
              <w:t xml:space="preserve">ERAF 2014. - 2020.gada plānošanas perioda IKT 1.kārtas projektiem sabiedrības informēšanas un izglītošanas pasākumus nodrošina VARAM projekts PIKTAPS un </w:t>
            </w:r>
            <w:r w:rsidR="00D003D6" w:rsidRPr="00F405F5">
              <w:rPr>
                <w:bCs/>
                <w:lang w:eastAsia="lv-LV"/>
              </w:rPr>
              <w:t>V</w:t>
            </w:r>
            <w:r w:rsidR="00D003D6">
              <w:rPr>
                <w:bCs/>
                <w:lang w:eastAsia="lv-LV"/>
              </w:rPr>
              <w:t>alsts reģionālās attīstības aģentūras</w:t>
            </w:r>
            <w:r w:rsidR="00D003D6" w:rsidRPr="00F405F5">
              <w:rPr>
                <w:bCs/>
                <w:lang w:eastAsia="lv-LV"/>
              </w:rPr>
              <w:t xml:space="preserve"> </w:t>
            </w:r>
            <w:r w:rsidRPr="00F405F5">
              <w:rPr>
                <w:bCs/>
                <w:lang w:eastAsia="lv-LV"/>
              </w:rPr>
              <w:t xml:space="preserve">projekts </w:t>
            </w:r>
            <w:r w:rsidR="00892EA0" w:rsidRPr="00892EA0">
              <w:rPr>
                <w:bCs/>
                <w:lang w:eastAsia="lv-LV"/>
              </w:rPr>
              <w:t>“Pakalpojumu sniegšanas un pārvaldības platforma”</w:t>
            </w:r>
            <w:r w:rsidRPr="00F405F5">
              <w:rPr>
                <w:bCs/>
                <w:lang w:eastAsia="lv-LV"/>
              </w:rPr>
              <w:t>. Abus projektus ir plānots pabeigt attiecīgi 2019.gada novembrī un 2020.gada novembrī, kamēr daudzi 1. un 2.kārtas projekti, atbilstoši MK noteikumiem Nr.653, var turpināties līdz pat 2022.gada 31.decembrim. Atbilstoši šī brīža informācijai, 2020.gada beigās vēl nebūs pabeigti 17 1. kārtas un plānotie 15 2.kārtas projekti.</w:t>
            </w:r>
          </w:p>
          <w:p w14:paraId="5EB742ED" w14:textId="77777777" w:rsidR="00F405F5" w:rsidRPr="00F405F5" w:rsidRDefault="00F405F5" w:rsidP="00F405F5">
            <w:pPr>
              <w:tabs>
                <w:tab w:val="left" w:pos="0"/>
              </w:tabs>
              <w:suppressAutoHyphens w:val="0"/>
              <w:spacing w:before="120"/>
              <w:jc w:val="both"/>
              <w:rPr>
                <w:bCs/>
                <w:lang w:eastAsia="lv-LV"/>
              </w:rPr>
            </w:pPr>
            <w:r w:rsidRPr="00F405F5">
              <w:rPr>
                <w:bCs/>
                <w:lang w:eastAsia="lv-LV"/>
              </w:rPr>
              <w:t>VARAM veiktajā pētījumā “Integrēts publisko pakalpojumu sniegšanas un gala lietotāju vajadzību monitorings”</w:t>
            </w:r>
            <w:r w:rsidRPr="00F405F5">
              <w:rPr>
                <w:bCs/>
                <w:vertAlign w:val="superscript"/>
                <w:lang w:eastAsia="lv-LV"/>
              </w:rPr>
              <w:footnoteReference w:id="7"/>
            </w:r>
            <w:r w:rsidRPr="00F405F5">
              <w:rPr>
                <w:bCs/>
                <w:lang w:eastAsia="lv-LV"/>
              </w:rPr>
              <w:t xml:space="preserve"> (2018.gada maijs) kā biežāk minētais iemesls kādēļ pakalpojums netika pieteikts elektroniski, tiek minētas nepietiekamas prasmes, pieradums un bailes no pārpratumiem un kļūdām. </w:t>
            </w:r>
          </w:p>
          <w:p w14:paraId="378F6174" w14:textId="3EFE697D" w:rsidR="00F405F5" w:rsidRPr="00F405F5" w:rsidRDefault="00F405F5" w:rsidP="00F405F5">
            <w:pPr>
              <w:tabs>
                <w:tab w:val="left" w:pos="0"/>
              </w:tabs>
              <w:suppressAutoHyphens w:val="0"/>
              <w:spacing w:before="120"/>
              <w:jc w:val="both"/>
              <w:rPr>
                <w:bCs/>
                <w:lang w:eastAsia="lv-LV"/>
              </w:rPr>
            </w:pPr>
            <w:r w:rsidRPr="00F405F5">
              <w:rPr>
                <w:bCs/>
                <w:lang w:eastAsia="lv-LV"/>
              </w:rPr>
              <w:t>Līdz ar to ir būtiski PIKTAPS 2 projektā turpināt 1. kārtas PIKTAPS projektā</w:t>
            </w:r>
            <w:r w:rsidR="00892EA0">
              <w:rPr>
                <w:bCs/>
                <w:lang w:eastAsia="lv-LV"/>
              </w:rPr>
              <w:t xml:space="preserve"> un </w:t>
            </w:r>
            <w:r w:rsidR="00892EA0" w:rsidRPr="00892EA0">
              <w:rPr>
                <w:bCs/>
                <w:lang w:eastAsia="lv-LV"/>
              </w:rPr>
              <w:t>“Pakalpojumu sniegšanas un pārvaldības platforma”</w:t>
            </w:r>
            <w:r w:rsidR="00892EA0">
              <w:rPr>
                <w:bCs/>
                <w:lang w:eastAsia="lv-LV"/>
              </w:rPr>
              <w:t xml:space="preserve"> projektā</w:t>
            </w:r>
            <w:r w:rsidRPr="00F405F5">
              <w:rPr>
                <w:bCs/>
                <w:lang w:eastAsia="lv-LV"/>
              </w:rPr>
              <w:t xml:space="preserve"> uzsāktās informatīvās aktivitātes, kuru ietvaros tiek plānoti gan nacionāla, gan reģionāla līmeņa informatīvi pasākumi</w:t>
            </w:r>
            <w:r w:rsidR="00D003D6">
              <w:rPr>
                <w:bCs/>
                <w:lang w:eastAsia="lv-LV"/>
              </w:rPr>
              <w:t>,</w:t>
            </w:r>
            <w:r w:rsidRPr="00F405F5" w:rsidDel="00EE2FBA">
              <w:rPr>
                <w:bCs/>
                <w:lang w:eastAsia="lv-LV"/>
              </w:rPr>
              <w:t xml:space="preserve"> </w:t>
            </w:r>
            <w:r w:rsidRPr="00F405F5">
              <w:rPr>
                <w:bCs/>
                <w:lang w:eastAsia="lv-LV"/>
              </w:rPr>
              <w:t xml:space="preserve">tādā veidā veicinot sabiedrības ieinteresētību izmantot ERAF IKT projektu ietvaros radītos un ieviestos risinājumus, tostarp identificējot sabiedrības vajadzības attiecībā uz valsts iestāžu sniegto pakalpojumu pieejamību, kvalitāti un lietošanas ērtumu, kā arī apzinot valsts iestāžu piedāvājuma atbilstību sabiedrības gaidām un reaģējot uz tām. </w:t>
            </w:r>
          </w:p>
          <w:p w14:paraId="129A7370" w14:textId="2F3F8FC3" w:rsidR="00F405F5" w:rsidRPr="00F405F5" w:rsidRDefault="00F405F5" w:rsidP="00F405F5">
            <w:pPr>
              <w:tabs>
                <w:tab w:val="left" w:pos="0"/>
              </w:tabs>
              <w:suppressAutoHyphens w:val="0"/>
              <w:spacing w:before="120"/>
              <w:jc w:val="both"/>
              <w:rPr>
                <w:bCs/>
                <w:lang w:eastAsia="lv-LV"/>
              </w:rPr>
            </w:pPr>
            <w:r w:rsidRPr="00F405F5">
              <w:rPr>
                <w:bCs/>
                <w:lang w:eastAsia="lv-LV"/>
              </w:rPr>
              <w:t>Tikpat būtiska aktivitāte ir sabiedrības izglītošana, ko plānots sasniegt ar valsts un pašvaldību iestāžu darbinieku mācībām, lai tie spētu kvalitatīvāk sniegt zināšanas un atbalstu digitālo risinājumu lietošanā tiem klientiem, kuri pieraduši pakalpojumus saņemt klātienē.</w:t>
            </w:r>
          </w:p>
          <w:p w14:paraId="4A4B506D" w14:textId="77777777" w:rsidR="00F405F5" w:rsidRPr="00F405F5" w:rsidRDefault="00F405F5" w:rsidP="00F405F5">
            <w:pPr>
              <w:tabs>
                <w:tab w:val="left" w:pos="0"/>
              </w:tabs>
              <w:suppressAutoHyphens w:val="0"/>
              <w:spacing w:before="120"/>
              <w:jc w:val="both"/>
              <w:rPr>
                <w:bCs/>
                <w:lang w:eastAsia="lv-LV"/>
              </w:rPr>
            </w:pPr>
            <w:r w:rsidRPr="00F405F5">
              <w:rPr>
                <w:bCs/>
                <w:lang w:eastAsia="lv-LV"/>
              </w:rPr>
              <w:t xml:space="preserve">Šīs ir pastāvīgi veicamas aktivitātes, kurām jānodrošina pēctecība, un publiskās pārvaldes iestādēm ir būtiski turpināt iesāktās aktivitātes, veicinot sabiedrības informētību un izglītošanu, kā arī iedrošinot iedzīvotājus izmantot piedāvātās e-iespējas. </w:t>
            </w:r>
          </w:p>
          <w:p w14:paraId="46593D0A" w14:textId="6AB6027F" w:rsidR="00F405F5" w:rsidRPr="00F405F5" w:rsidRDefault="00F405F5" w:rsidP="00F405F5">
            <w:pPr>
              <w:tabs>
                <w:tab w:val="left" w:pos="0"/>
              </w:tabs>
              <w:suppressAutoHyphens w:val="0"/>
              <w:spacing w:before="120"/>
              <w:jc w:val="both"/>
              <w:rPr>
                <w:bCs/>
                <w:lang w:eastAsia="lv-LV"/>
              </w:rPr>
            </w:pPr>
            <w:r w:rsidRPr="00F405F5">
              <w:rPr>
                <w:bCs/>
                <w:lang w:eastAsia="lv-LV"/>
              </w:rPr>
              <w:lastRenderedPageBreak/>
              <w:t xml:space="preserve">Lai veicinātu plašāku e-pakalpojumu izmantošanu, tiks izmantoti </w:t>
            </w:r>
            <w:r w:rsidR="00D003D6">
              <w:rPr>
                <w:bCs/>
                <w:lang w:eastAsia="lv-LV"/>
              </w:rPr>
              <w:t>v</w:t>
            </w:r>
            <w:r w:rsidRPr="00F405F5">
              <w:rPr>
                <w:bCs/>
                <w:lang w:eastAsia="lv-LV"/>
              </w:rPr>
              <w:t xml:space="preserve">ajadzību monitoringa dati, kas ļaus apzināt sabiedrības vajadzības pēc pakalpojumiem, noskaidros to izmantošanas apjomus, apmierinātību, kā arī identificēs pastāvošos šķēršļus e-pakalpojumu izmantošanā, tādējādi radot priekšnosacījumus mērķtiecīgas, uz sabiedrības vajadzībām balstītas komunikācijas veidošanai projekta aktivitātes </w:t>
            </w:r>
            <w:r w:rsidR="005177A5">
              <w:rPr>
                <w:bCs/>
                <w:lang w:eastAsia="lv-LV"/>
              </w:rPr>
              <w:t>“</w:t>
            </w:r>
            <w:r w:rsidRPr="00F405F5">
              <w:rPr>
                <w:bCs/>
                <w:lang w:eastAsia="lv-LV"/>
              </w:rPr>
              <w:t>Sabiedrības IKT iespēju izmantošanas veicināšana” ietvaros.</w:t>
            </w:r>
          </w:p>
          <w:p w14:paraId="6887817F" w14:textId="77777777" w:rsidR="00B559D5" w:rsidRPr="00836FE4" w:rsidRDefault="00B559D5" w:rsidP="00262DE5">
            <w:pPr>
              <w:pStyle w:val="VPBody"/>
              <w:jc w:val="both"/>
            </w:pPr>
          </w:p>
        </w:tc>
        <w:bookmarkStart w:id="1" w:name="_GoBack"/>
        <w:bookmarkEnd w:id="1"/>
      </w:tr>
      <w:tr w:rsidR="00CC6F38" w14:paraId="6FE0540D" w14:textId="77777777" w:rsidTr="00262DE5">
        <w:trPr>
          <w:trHeight w:val="476"/>
        </w:trPr>
        <w:tc>
          <w:tcPr>
            <w:tcW w:w="762" w:type="dxa"/>
            <w:tcBorders>
              <w:top w:val="thickThinLargeGap" w:sz="6" w:space="0" w:color="C0C0C0"/>
              <w:left w:val="thickThinLargeGap" w:sz="6" w:space="0" w:color="C0C0C0"/>
              <w:bottom w:val="thickThinLargeGap" w:sz="6" w:space="0" w:color="C0C0C0"/>
            </w:tcBorders>
          </w:tcPr>
          <w:p w14:paraId="0F40F24D" w14:textId="77777777" w:rsidR="00B559D5" w:rsidRPr="00836FE4" w:rsidRDefault="002A525E" w:rsidP="00262DE5">
            <w:r w:rsidRPr="00836FE4">
              <w:rPr>
                <w:lang w:eastAsia="en-US"/>
              </w:rPr>
              <w:lastRenderedPageBreak/>
              <w:t> 3.</w:t>
            </w:r>
          </w:p>
        </w:tc>
        <w:tc>
          <w:tcPr>
            <w:tcW w:w="1986" w:type="dxa"/>
            <w:tcBorders>
              <w:top w:val="thickThinLargeGap" w:sz="6" w:space="0" w:color="C0C0C0"/>
              <w:left w:val="thickThinLargeGap" w:sz="6" w:space="0" w:color="C0C0C0"/>
              <w:bottom w:val="thickThinLargeGap" w:sz="6" w:space="0" w:color="C0C0C0"/>
            </w:tcBorders>
          </w:tcPr>
          <w:p w14:paraId="499C3D54" w14:textId="77777777" w:rsidR="00B559D5" w:rsidRPr="00836FE4" w:rsidRDefault="002A525E" w:rsidP="00262DE5">
            <w:r w:rsidRPr="00836FE4">
              <w:rPr>
                <w:lang w:eastAsia="en-US"/>
              </w:rPr>
              <w:t>Projekta izstrādē iesaistītās institūcijas un publiskas personas kapitālsabiedrības</w:t>
            </w:r>
          </w:p>
        </w:tc>
        <w:tc>
          <w:tcPr>
            <w:tcW w:w="7107" w:type="dxa"/>
            <w:tcBorders>
              <w:top w:val="thickThinLargeGap" w:sz="6" w:space="0" w:color="C0C0C0"/>
              <w:left w:val="thickThinLargeGap" w:sz="6" w:space="0" w:color="C0C0C0"/>
              <w:bottom w:val="thickThinLargeGap" w:sz="6" w:space="0" w:color="C0C0C0"/>
              <w:right w:val="thickThinLargeGap" w:sz="6" w:space="0" w:color="C0C0C0"/>
            </w:tcBorders>
          </w:tcPr>
          <w:p w14:paraId="09E992B1" w14:textId="77777777" w:rsidR="00B559D5" w:rsidRPr="00836FE4" w:rsidRDefault="00FD0C8D" w:rsidP="00262DE5">
            <w:pPr>
              <w:jc w:val="both"/>
              <w:rPr>
                <w:lang w:eastAsia="lv-LV"/>
              </w:rPr>
            </w:pPr>
            <w:r>
              <w:rPr>
                <w:lang w:eastAsia="lv-LV"/>
              </w:rPr>
              <w:t>VARAM</w:t>
            </w:r>
          </w:p>
          <w:p w14:paraId="60AD353D" w14:textId="77777777" w:rsidR="00B559D5" w:rsidRPr="00836FE4" w:rsidRDefault="00B559D5" w:rsidP="00262DE5">
            <w:pPr>
              <w:pStyle w:val="VPBody"/>
              <w:spacing w:after="120" w:line="276" w:lineRule="auto"/>
              <w:rPr>
                <w:sz w:val="24"/>
                <w:szCs w:val="24"/>
              </w:rPr>
            </w:pPr>
          </w:p>
        </w:tc>
      </w:tr>
      <w:tr w:rsidR="00CC6F38" w14:paraId="44938E47" w14:textId="77777777" w:rsidTr="00262DE5">
        <w:tc>
          <w:tcPr>
            <w:tcW w:w="762" w:type="dxa"/>
            <w:tcBorders>
              <w:top w:val="thickThinLargeGap" w:sz="6" w:space="0" w:color="C0C0C0"/>
              <w:left w:val="thickThinLargeGap" w:sz="6" w:space="0" w:color="C0C0C0"/>
              <w:bottom w:val="thickThinLargeGap" w:sz="6" w:space="0" w:color="C0C0C0"/>
            </w:tcBorders>
          </w:tcPr>
          <w:p w14:paraId="0C057056" w14:textId="77777777" w:rsidR="00B559D5" w:rsidRPr="00836FE4" w:rsidRDefault="002A525E" w:rsidP="00262DE5">
            <w:r w:rsidRPr="00836FE4">
              <w:rPr>
                <w:lang w:eastAsia="en-US"/>
              </w:rPr>
              <w:t> 4.</w:t>
            </w:r>
          </w:p>
        </w:tc>
        <w:tc>
          <w:tcPr>
            <w:tcW w:w="1986" w:type="dxa"/>
            <w:tcBorders>
              <w:top w:val="thickThinLargeGap" w:sz="6" w:space="0" w:color="C0C0C0"/>
              <w:left w:val="thickThinLargeGap" w:sz="6" w:space="0" w:color="C0C0C0"/>
              <w:bottom w:val="thickThinLargeGap" w:sz="6" w:space="0" w:color="C0C0C0"/>
            </w:tcBorders>
          </w:tcPr>
          <w:p w14:paraId="47B33F3A" w14:textId="77777777" w:rsidR="00B559D5" w:rsidRPr="00836FE4" w:rsidRDefault="002A525E" w:rsidP="00262DE5">
            <w:r w:rsidRPr="00836FE4">
              <w:rPr>
                <w:lang w:eastAsia="en-US"/>
              </w:rPr>
              <w:t> Cita informācija</w:t>
            </w:r>
          </w:p>
        </w:tc>
        <w:tc>
          <w:tcPr>
            <w:tcW w:w="7107" w:type="dxa"/>
            <w:tcBorders>
              <w:top w:val="thickThinLargeGap" w:sz="6" w:space="0" w:color="C0C0C0"/>
              <w:left w:val="thickThinLargeGap" w:sz="6" w:space="0" w:color="C0C0C0"/>
              <w:bottom w:val="thickThinLargeGap" w:sz="6" w:space="0" w:color="C0C0C0"/>
              <w:right w:val="thickThinLargeGap" w:sz="6" w:space="0" w:color="C0C0C0"/>
            </w:tcBorders>
          </w:tcPr>
          <w:p w14:paraId="428D5F73" w14:textId="77777777" w:rsidR="00B559D5" w:rsidRPr="00836FE4" w:rsidRDefault="002A525E" w:rsidP="00262DE5">
            <w:pPr>
              <w:jc w:val="both"/>
            </w:pPr>
            <w:r w:rsidRPr="00836FE4">
              <w:rPr>
                <w:lang w:eastAsia="en-US"/>
              </w:rPr>
              <w:t>Nav.</w:t>
            </w:r>
          </w:p>
        </w:tc>
      </w:tr>
    </w:tbl>
    <w:p w14:paraId="6BC608EA" w14:textId="77777777" w:rsidR="00B559D5" w:rsidRPr="00836FE4" w:rsidRDefault="002A525E" w:rsidP="00B559D5">
      <w:pPr>
        <w:jc w:val="both"/>
      </w:pPr>
      <w:r w:rsidRPr="00836FE4">
        <w:t> </w:t>
      </w:r>
    </w:p>
    <w:tbl>
      <w:tblPr>
        <w:tblW w:w="9855" w:type="dxa"/>
        <w:tblInd w:w="2" w:type="dxa"/>
        <w:tblLayout w:type="fixed"/>
        <w:tblCellMar>
          <w:left w:w="0" w:type="dxa"/>
          <w:right w:w="0" w:type="dxa"/>
        </w:tblCellMar>
        <w:tblLook w:val="0000" w:firstRow="0" w:lastRow="0" w:firstColumn="0" w:lastColumn="0" w:noHBand="0" w:noVBand="0"/>
      </w:tblPr>
      <w:tblGrid>
        <w:gridCol w:w="763"/>
        <w:gridCol w:w="2694"/>
        <w:gridCol w:w="6398"/>
      </w:tblGrid>
      <w:tr w:rsidR="00CC6F38" w14:paraId="67616AC7" w14:textId="77777777" w:rsidTr="00262DE5">
        <w:trPr>
          <w:trHeight w:val="585"/>
        </w:trPr>
        <w:tc>
          <w:tcPr>
            <w:tcW w:w="9855"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tcPr>
          <w:p w14:paraId="2750F205" w14:textId="77777777" w:rsidR="00B559D5" w:rsidRPr="00836FE4" w:rsidRDefault="002A525E" w:rsidP="00262DE5">
            <w:pPr>
              <w:jc w:val="center"/>
            </w:pPr>
            <w:r w:rsidRPr="00836FE4">
              <w:rPr>
                <w:b/>
                <w:bCs/>
              </w:rPr>
              <w:t> II. Tiesību akta projekta ietekme uz sabiedrību, tautsaimniecības attīstību un administratīvo slogu</w:t>
            </w:r>
          </w:p>
        </w:tc>
      </w:tr>
      <w:tr w:rsidR="00CC6F38" w14:paraId="33521459" w14:textId="77777777" w:rsidTr="00262DE5">
        <w:tblPrEx>
          <w:tblCellMar>
            <w:left w:w="57" w:type="dxa"/>
            <w:right w:w="57" w:type="dxa"/>
          </w:tblCellMar>
        </w:tblPrEx>
        <w:trPr>
          <w:trHeight w:val="905"/>
        </w:trPr>
        <w:tc>
          <w:tcPr>
            <w:tcW w:w="763" w:type="dxa"/>
            <w:tcBorders>
              <w:top w:val="thickThinLargeGap" w:sz="6" w:space="0" w:color="C0C0C0"/>
              <w:left w:val="thickThinLargeGap" w:sz="6" w:space="0" w:color="C0C0C0"/>
              <w:bottom w:val="thickThinLargeGap" w:sz="6" w:space="0" w:color="C0C0C0"/>
            </w:tcBorders>
          </w:tcPr>
          <w:p w14:paraId="1F4A40A4" w14:textId="77777777" w:rsidR="00B559D5" w:rsidRPr="00836FE4" w:rsidRDefault="002A525E" w:rsidP="00262DE5">
            <w:r w:rsidRPr="00836FE4">
              <w:rPr>
                <w:lang w:eastAsia="en-US"/>
              </w:rPr>
              <w:t>1.</w:t>
            </w:r>
          </w:p>
        </w:tc>
        <w:tc>
          <w:tcPr>
            <w:tcW w:w="2694" w:type="dxa"/>
            <w:tcBorders>
              <w:top w:val="thickThinLargeGap" w:sz="6" w:space="0" w:color="C0C0C0"/>
              <w:left w:val="thickThinLargeGap" w:sz="6" w:space="0" w:color="C0C0C0"/>
              <w:bottom w:val="thickThinLargeGap" w:sz="6" w:space="0" w:color="C0C0C0"/>
            </w:tcBorders>
          </w:tcPr>
          <w:p w14:paraId="7E9EA014" w14:textId="77777777" w:rsidR="00B559D5" w:rsidRPr="00836FE4" w:rsidRDefault="002A525E" w:rsidP="00262DE5">
            <w:r w:rsidRPr="00836FE4">
              <w:rPr>
                <w:lang w:eastAsia="en-US"/>
              </w:rPr>
              <w:t xml:space="preserve">Sabiedrības </w:t>
            </w:r>
            <w:proofErr w:type="spellStart"/>
            <w:r w:rsidRPr="00836FE4">
              <w:rPr>
                <w:lang w:eastAsia="en-US"/>
              </w:rPr>
              <w:t>mērķgrupas</w:t>
            </w:r>
            <w:proofErr w:type="spellEnd"/>
            <w:r w:rsidRPr="00836FE4">
              <w:rPr>
                <w:lang w:eastAsia="en-US"/>
              </w:rPr>
              <w:t>, kuras tiesiskais regulējums ietekmē vai varētu ietekmēt</w:t>
            </w:r>
          </w:p>
        </w:tc>
        <w:tc>
          <w:tcPr>
            <w:tcW w:w="6398" w:type="dxa"/>
            <w:tcBorders>
              <w:top w:val="thickThinLargeGap" w:sz="6" w:space="0" w:color="C0C0C0"/>
              <w:left w:val="thickThinLargeGap" w:sz="6" w:space="0" w:color="C0C0C0"/>
              <w:bottom w:val="thickThinLargeGap" w:sz="6" w:space="0" w:color="C0C0C0"/>
              <w:right w:val="thickThinLargeGap" w:sz="6" w:space="0" w:color="C0C0C0"/>
            </w:tcBorders>
          </w:tcPr>
          <w:p w14:paraId="26700A91" w14:textId="77777777" w:rsidR="00B559D5" w:rsidRPr="00836FE4" w:rsidRDefault="003E5313" w:rsidP="003E5313">
            <w:pPr>
              <w:pStyle w:val="naiskr"/>
              <w:jc w:val="both"/>
            </w:pPr>
            <w:r>
              <w:rPr>
                <w:lang w:eastAsia="en-US"/>
              </w:rPr>
              <w:t>D</w:t>
            </w:r>
            <w:r w:rsidRPr="003E5313">
              <w:rPr>
                <w:lang w:eastAsia="en-US"/>
              </w:rPr>
              <w:t>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ietvaros īstenojamo projektu iesniedzēj</w:t>
            </w:r>
            <w:r>
              <w:rPr>
                <w:lang w:eastAsia="en-US"/>
              </w:rPr>
              <w:t xml:space="preserve">i, pašvaldības, netieši – jebkura sabiedrības </w:t>
            </w:r>
            <w:proofErr w:type="spellStart"/>
            <w:r>
              <w:rPr>
                <w:lang w:eastAsia="en-US"/>
              </w:rPr>
              <w:t>mērķgrupa</w:t>
            </w:r>
            <w:proofErr w:type="spellEnd"/>
            <w:r>
              <w:rPr>
                <w:lang w:eastAsia="en-US"/>
              </w:rPr>
              <w:t>.</w:t>
            </w:r>
          </w:p>
        </w:tc>
      </w:tr>
      <w:tr w:rsidR="00CC6F38" w14:paraId="3E652C13" w14:textId="77777777" w:rsidTr="00262DE5">
        <w:tblPrEx>
          <w:tblCellMar>
            <w:left w:w="57" w:type="dxa"/>
            <w:right w:w="57" w:type="dxa"/>
          </w:tblCellMar>
        </w:tblPrEx>
        <w:trPr>
          <w:trHeight w:val="628"/>
        </w:trPr>
        <w:tc>
          <w:tcPr>
            <w:tcW w:w="763" w:type="dxa"/>
            <w:tcBorders>
              <w:top w:val="thickThinLargeGap" w:sz="6" w:space="0" w:color="C0C0C0"/>
              <w:left w:val="thickThinLargeGap" w:sz="6" w:space="0" w:color="C0C0C0"/>
              <w:bottom w:val="thickThinLargeGap" w:sz="6" w:space="0" w:color="C0C0C0"/>
            </w:tcBorders>
          </w:tcPr>
          <w:p w14:paraId="6EE37298" w14:textId="77777777" w:rsidR="00B559D5" w:rsidRPr="00836FE4" w:rsidRDefault="002A525E" w:rsidP="00262DE5">
            <w:r w:rsidRPr="00836FE4">
              <w:rPr>
                <w:lang w:eastAsia="en-US"/>
              </w:rPr>
              <w:t>2.</w:t>
            </w:r>
          </w:p>
        </w:tc>
        <w:tc>
          <w:tcPr>
            <w:tcW w:w="2694" w:type="dxa"/>
            <w:tcBorders>
              <w:top w:val="thickThinLargeGap" w:sz="6" w:space="0" w:color="C0C0C0"/>
              <w:left w:val="thickThinLargeGap" w:sz="6" w:space="0" w:color="C0C0C0"/>
              <w:bottom w:val="thickThinLargeGap" w:sz="6" w:space="0" w:color="C0C0C0"/>
            </w:tcBorders>
          </w:tcPr>
          <w:p w14:paraId="26B03060" w14:textId="77777777" w:rsidR="00B559D5" w:rsidRPr="00836FE4" w:rsidRDefault="002A525E" w:rsidP="00262DE5">
            <w:r w:rsidRPr="00836FE4">
              <w:rPr>
                <w:lang w:eastAsia="en-US"/>
              </w:rPr>
              <w:t>Tiesiskā regulējuma ietekme uz tautsaimniecību un administratīvo slogu</w:t>
            </w:r>
          </w:p>
        </w:tc>
        <w:tc>
          <w:tcPr>
            <w:tcW w:w="6398" w:type="dxa"/>
            <w:tcBorders>
              <w:top w:val="thickThinLargeGap" w:sz="6" w:space="0" w:color="C0C0C0"/>
              <w:left w:val="thickThinLargeGap" w:sz="6" w:space="0" w:color="C0C0C0"/>
              <w:bottom w:val="thickThinLargeGap" w:sz="6" w:space="0" w:color="C0C0C0"/>
              <w:right w:val="thickThinLargeGap" w:sz="6" w:space="0" w:color="C0C0C0"/>
            </w:tcBorders>
          </w:tcPr>
          <w:p w14:paraId="62FA064C" w14:textId="6FBB39AF" w:rsidR="00B559D5" w:rsidRDefault="003E5313" w:rsidP="00262DE5">
            <w:pPr>
              <w:pStyle w:val="naiskr"/>
              <w:spacing w:before="0" w:after="0"/>
              <w:ind w:left="71"/>
              <w:jc w:val="both"/>
            </w:pPr>
            <w:r w:rsidRPr="003E5313">
              <w:t xml:space="preserve">Tiks veicināta valsts pārvaldes efektivitāte un samazināts administratīvais slogs gan valsts pārvaldes iestādēm un pašvaldībām to pakalpojumu sniegšanai, </w:t>
            </w:r>
            <w:r w:rsidR="009D0EC7">
              <w:t xml:space="preserve">gan uzņēmējiem, </w:t>
            </w:r>
            <w:r w:rsidRPr="003E5313">
              <w:t>nodrošinot efektīvu un operatīvu datu apmaiņu starpnozaru IKT platformu ietvaros, gan valsts un pašvaldību pakalpojumu pieprasītājiem un izmantotājiem.</w:t>
            </w:r>
          </w:p>
          <w:p w14:paraId="0AEBFC02" w14:textId="77777777" w:rsidR="00631B2A" w:rsidRDefault="00631B2A" w:rsidP="00631B2A">
            <w:pPr>
              <w:pStyle w:val="naiskr"/>
              <w:ind w:left="71"/>
              <w:jc w:val="both"/>
            </w:pPr>
            <w:r>
              <w:t>Sagaidāmi šādi sociālekonomiskie ieguvumi sabiedrībai un publiskās pārvaldes iestādēm:</w:t>
            </w:r>
          </w:p>
          <w:p w14:paraId="799C457F" w14:textId="77777777" w:rsidR="009D0EC7" w:rsidRDefault="00E67640" w:rsidP="00404896">
            <w:pPr>
              <w:pStyle w:val="naiskr"/>
              <w:numPr>
                <w:ilvl w:val="0"/>
                <w:numId w:val="15"/>
              </w:numPr>
              <w:jc w:val="both"/>
            </w:pPr>
            <w:r>
              <w:t xml:space="preserve">Valsts pārvaldes ieguvumi saistībā ar AVIS platformas </w:t>
            </w:r>
            <w:r w:rsidRPr="00887C31">
              <w:t>ieviešan</w:t>
            </w:r>
            <w:r w:rsidR="009D0EC7">
              <w:t>u un valsts un pašvaldību piešķirto atvieglojumu centralizētu administrāciju:</w:t>
            </w:r>
          </w:p>
          <w:p w14:paraId="1A2F9126" w14:textId="3B3B2477" w:rsidR="00631B2A" w:rsidRDefault="00E67640" w:rsidP="00404896">
            <w:pPr>
              <w:pStyle w:val="naiskr"/>
              <w:numPr>
                <w:ilvl w:val="1"/>
                <w:numId w:val="15"/>
              </w:numPr>
              <w:jc w:val="both"/>
            </w:pPr>
            <w:r w:rsidRPr="00E51D84">
              <w:t>ēdināšanas pabalst</w:t>
            </w:r>
            <w:r w:rsidR="009D0EC7">
              <w:t>iem</w:t>
            </w:r>
            <w:r w:rsidR="00631B2A">
              <w:t>;</w:t>
            </w:r>
          </w:p>
          <w:p w14:paraId="5688682F" w14:textId="491436C0" w:rsidR="009D0EC7" w:rsidRDefault="009D0EC7" w:rsidP="00404896">
            <w:pPr>
              <w:pStyle w:val="naiskr"/>
              <w:numPr>
                <w:ilvl w:val="1"/>
                <w:numId w:val="15"/>
              </w:numPr>
              <w:jc w:val="both"/>
            </w:pPr>
            <w:r w:rsidRPr="00E51D84">
              <w:t>transport</w:t>
            </w:r>
            <w:r>
              <w:t>a pakalpojumu kompensācijām;</w:t>
            </w:r>
          </w:p>
          <w:p w14:paraId="0EC52BE0" w14:textId="0D84C3E0" w:rsidR="009D0EC7" w:rsidRDefault="009D0EC7" w:rsidP="00404896">
            <w:pPr>
              <w:pStyle w:val="naiskr"/>
              <w:numPr>
                <w:ilvl w:val="1"/>
                <w:numId w:val="15"/>
              </w:numPr>
              <w:jc w:val="both"/>
            </w:pPr>
            <w:r w:rsidRPr="00887C31">
              <w:t>veselības un sociālās aprūpes pakalpojumiem</w:t>
            </w:r>
            <w:r>
              <w:t>.</w:t>
            </w:r>
          </w:p>
          <w:p w14:paraId="1810E64A" w14:textId="3ED86793" w:rsidR="009D0EC7" w:rsidRDefault="009D0EC7" w:rsidP="009D0EC7">
            <w:pPr>
              <w:pStyle w:val="ListParagraph"/>
              <w:numPr>
                <w:ilvl w:val="0"/>
                <w:numId w:val="15"/>
              </w:numPr>
              <w:jc w:val="both"/>
            </w:pPr>
            <w:r w:rsidRPr="00887C31">
              <w:t>Atvieglojumu administrācijas resursu ietaupījumi pašvaldībās</w:t>
            </w:r>
            <w:r>
              <w:t>;</w:t>
            </w:r>
          </w:p>
          <w:p w14:paraId="5B5F58F5" w14:textId="4A19BC2D" w:rsidR="009D0EC7" w:rsidRDefault="009D0EC7" w:rsidP="009D0EC7">
            <w:pPr>
              <w:pStyle w:val="ListParagraph"/>
              <w:numPr>
                <w:ilvl w:val="0"/>
                <w:numId w:val="15"/>
              </w:numPr>
              <w:jc w:val="both"/>
            </w:pPr>
            <w:r>
              <w:t>Iestāžu</w:t>
            </w:r>
            <w:r w:rsidRPr="00611331">
              <w:t xml:space="preserve"> patērēto resursu, t. sk. klientu apkalpošanai, samazinājums, pieaugot elektroniski saņemto pakalpojumu īpatsvaram modernizējot </w:t>
            </w:r>
            <w:r>
              <w:t>e-pakalpojumus, PSPP un VIRSIS;</w:t>
            </w:r>
          </w:p>
          <w:p w14:paraId="503C8FCB" w14:textId="7AD6ED63" w:rsidR="00631B2A" w:rsidRPr="00836FE4" w:rsidRDefault="009D0EC7" w:rsidP="00404896">
            <w:pPr>
              <w:pStyle w:val="naiskr"/>
              <w:numPr>
                <w:ilvl w:val="0"/>
                <w:numId w:val="15"/>
              </w:numPr>
              <w:spacing w:before="0" w:after="0"/>
              <w:jc w:val="both"/>
            </w:pPr>
            <w:r w:rsidRPr="00611331">
              <w:t>Sabiedrības laika un citu resursu patēriņa samazinājums, saņemot elektronizētus pakalpojumus</w:t>
            </w:r>
            <w:r>
              <w:t>.</w:t>
            </w:r>
          </w:p>
        </w:tc>
      </w:tr>
      <w:tr w:rsidR="00CC6F38" w14:paraId="658F5C89" w14:textId="77777777" w:rsidTr="00262DE5">
        <w:tblPrEx>
          <w:tblCellMar>
            <w:left w:w="57" w:type="dxa"/>
            <w:right w:w="57" w:type="dxa"/>
          </w:tblCellMar>
        </w:tblPrEx>
        <w:tc>
          <w:tcPr>
            <w:tcW w:w="763" w:type="dxa"/>
            <w:tcBorders>
              <w:top w:val="thickThinLargeGap" w:sz="6" w:space="0" w:color="C0C0C0"/>
              <w:left w:val="thickThinLargeGap" w:sz="6" w:space="0" w:color="C0C0C0"/>
              <w:bottom w:val="thickThinLargeGap" w:sz="6" w:space="0" w:color="C0C0C0"/>
            </w:tcBorders>
          </w:tcPr>
          <w:p w14:paraId="4A5899C3" w14:textId="57F08791" w:rsidR="00B559D5" w:rsidRPr="00207A37" w:rsidRDefault="002A525E" w:rsidP="00207A37">
            <w:r w:rsidRPr="00207A37">
              <w:rPr>
                <w:lang w:eastAsia="en-US"/>
              </w:rPr>
              <w:lastRenderedPageBreak/>
              <w:t>3.</w:t>
            </w:r>
          </w:p>
        </w:tc>
        <w:tc>
          <w:tcPr>
            <w:tcW w:w="2694" w:type="dxa"/>
            <w:tcBorders>
              <w:top w:val="thickThinLargeGap" w:sz="6" w:space="0" w:color="C0C0C0"/>
              <w:left w:val="thickThinLargeGap" w:sz="6" w:space="0" w:color="C0C0C0"/>
              <w:bottom w:val="thickThinLargeGap" w:sz="6" w:space="0" w:color="C0C0C0"/>
            </w:tcBorders>
          </w:tcPr>
          <w:p w14:paraId="440FA4E8" w14:textId="77777777" w:rsidR="00B559D5" w:rsidRPr="00836FE4" w:rsidRDefault="002A525E" w:rsidP="00262DE5">
            <w:r w:rsidRPr="00836FE4">
              <w:rPr>
                <w:lang w:eastAsia="en-US"/>
              </w:rPr>
              <w:t>Administratīvo izmaksu monetārais novērtējums</w:t>
            </w:r>
          </w:p>
        </w:tc>
        <w:tc>
          <w:tcPr>
            <w:tcW w:w="6398" w:type="dxa"/>
            <w:tcBorders>
              <w:top w:val="thickThinLargeGap" w:sz="6" w:space="0" w:color="C0C0C0"/>
              <w:left w:val="thickThinLargeGap" w:sz="6" w:space="0" w:color="C0C0C0"/>
              <w:bottom w:val="thickThinLargeGap" w:sz="6" w:space="0" w:color="C0C0C0"/>
              <w:right w:val="thickThinLargeGap" w:sz="6" w:space="0" w:color="C0C0C0"/>
            </w:tcBorders>
          </w:tcPr>
          <w:p w14:paraId="54244131" w14:textId="10552EC4" w:rsidR="008C33B3" w:rsidRDefault="008C33B3" w:rsidP="008C33B3">
            <w:pPr>
              <w:jc w:val="both"/>
            </w:pPr>
            <w:r>
              <w:t>Īstenojot projektu, radīsies būtiski sociālekonomiskie ieguvumi gan valsts iestādēm, gan plašākai sabiedrībai.</w:t>
            </w:r>
          </w:p>
          <w:p w14:paraId="0DE5D22A" w14:textId="77777777" w:rsidR="008C33B3" w:rsidRDefault="008C33B3" w:rsidP="008C33B3">
            <w:pPr>
              <w:jc w:val="both"/>
            </w:pPr>
            <w:r>
              <w:t>Projektam ir šādi ieguvumi:</w:t>
            </w:r>
          </w:p>
          <w:p w14:paraId="62657923" w14:textId="20B8B818" w:rsidR="00313D1B" w:rsidRDefault="00313D1B" w:rsidP="00313D1B">
            <w:pPr>
              <w:pStyle w:val="naiskr"/>
              <w:numPr>
                <w:ilvl w:val="0"/>
                <w:numId w:val="13"/>
              </w:numPr>
              <w:jc w:val="both"/>
            </w:pPr>
            <w:r>
              <w:t xml:space="preserve">Valsts pārvaldes indikatīvie ieguvumi saistībā ar AVIS platformas </w:t>
            </w:r>
            <w:r w:rsidRPr="00887C31">
              <w:t>ieviešan</w:t>
            </w:r>
            <w:r>
              <w:t>u un valsts un pašvaldību piešķirto atvieglojumu centralizētu administrāciju:</w:t>
            </w:r>
          </w:p>
          <w:p w14:paraId="69E50D1A" w14:textId="6E8B12EE" w:rsidR="00313D1B" w:rsidRDefault="00313D1B" w:rsidP="00313D1B">
            <w:pPr>
              <w:pStyle w:val="naiskr"/>
              <w:numPr>
                <w:ilvl w:val="1"/>
                <w:numId w:val="13"/>
              </w:numPr>
              <w:jc w:val="both"/>
            </w:pPr>
            <w:r w:rsidRPr="00E51D84">
              <w:t>no ēdināšanas pabalstu centralizētas pārvaldības</w:t>
            </w:r>
            <w:r>
              <w:t xml:space="preserve"> Projekta pārskata perioda ietvaros radīs aptuveni 5,7 milj. eiro ieguvumu;</w:t>
            </w:r>
          </w:p>
          <w:p w14:paraId="13349309" w14:textId="1BC20627" w:rsidR="00313D1B" w:rsidRDefault="00313D1B" w:rsidP="00313D1B">
            <w:pPr>
              <w:pStyle w:val="naiskr"/>
              <w:numPr>
                <w:ilvl w:val="1"/>
                <w:numId w:val="13"/>
              </w:numPr>
              <w:jc w:val="both"/>
            </w:pPr>
            <w:r w:rsidRPr="00E51D84">
              <w:t>no transporta pakalpojumu kompensāciju centralizētas pārvaldības</w:t>
            </w:r>
            <w:r>
              <w:t xml:space="preserve"> Projekta pārskata perioda ietvaros radīs aptuveni 2,5 milj. eiro ieguvumu;</w:t>
            </w:r>
          </w:p>
          <w:p w14:paraId="44BC552C" w14:textId="2175319C" w:rsidR="008C33B3" w:rsidRDefault="00313D1B" w:rsidP="00404896">
            <w:pPr>
              <w:pStyle w:val="naiskr"/>
              <w:numPr>
                <w:ilvl w:val="1"/>
                <w:numId w:val="13"/>
              </w:numPr>
              <w:jc w:val="both"/>
            </w:pPr>
            <w:r w:rsidRPr="00887C31">
              <w:t>veselības un sociālās aprūpes pakalpojumiem</w:t>
            </w:r>
            <w:r>
              <w:t xml:space="preserve"> Projekta pārskata perioda ietvaros radīs aptuveni 4,6 milj. eiro ieguvumu.</w:t>
            </w:r>
          </w:p>
          <w:p w14:paraId="081C5081" w14:textId="7456FDB2" w:rsidR="008C33B3" w:rsidRDefault="00887C31" w:rsidP="00404896">
            <w:pPr>
              <w:pStyle w:val="ListParagraph"/>
              <w:numPr>
                <w:ilvl w:val="0"/>
                <w:numId w:val="13"/>
              </w:numPr>
              <w:jc w:val="both"/>
            </w:pPr>
            <w:r w:rsidRPr="00887C31">
              <w:t>Atvieglojumu administrācijas resursu ietaupījumi pašvaldībās</w:t>
            </w:r>
            <w:r w:rsidR="008C33B3">
              <w:t xml:space="preserve"> Projekta pārskata periodā </w:t>
            </w:r>
            <w:r>
              <w:t>radīs aptuveni 3</w:t>
            </w:r>
            <w:r w:rsidR="00B65CC4">
              <w:t>,6</w:t>
            </w:r>
            <w:r w:rsidR="008C33B3">
              <w:t xml:space="preserve"> milj. </w:t>
            </w:r>
            <w:r>
              <w:t>eiro ieguvumu;</w:t>
            </w:r>
          </w:p>
          <w:p w14:paraId="41491E55" w14:textId="48E078F9" w:rsidR="008C33B3" w:rsidRDefault="00887C31" w:rsidP="00404896">
            <w:pPr>
              <w:pStyle w:val="ListParagraph"/>
              <w:numPr>
                <w:ilvl w:val="0"/>
                <w:numId w:val="13"/>
              </w:numPr>
              <w:jc w:val="both"/>
            </w:pPr>
            <w:r>
              <w:t>Iestāžu</w:t>
            </w:r>
            <w:r w:rsidR="00611331" w:rsidRPr="00611331">
              <w:t xml:space="preserve"> patērēto resursu, t. sk. klientu apkalpošanai, samazinājums, pieaugot elektroniski saņemto pakalpojumu īpatsvaram modernizējot </w:t>
            </w:r>
            <w:r w:rsidR="00611331">
              <w:t>e-pakalpojumus, PSPP un VIRSIS</w:t>
            </w:r>
            <w:r w:rsidR="008C33B3">
              <w:t>, Proj</w:t>
            </w:r>
            <w:r>
              <w:t>ekta pārskata periodā sasniegs 1</w:t>
            </w:r>
            <w:r w:rsidR="008C33B3">
              <w:t>,</w:t>
            </w:r>
            <w:r>
              <w:t>7</w:t>
            </w:r>
            <w:r w:rsidR="008C33B3">
              <w:t xml:space="preserve"> milj. eiro</w:t>
            </w:r>
            <w:r>
              <w:t xml:space="preserve"> ieguvumu;</w:t>
            </w:r>
          </w:p>
          <w:p w14:paraId="2D1D88EF" w14:textId="37B42819" w:rsidR="008C33B3" w:rsidRDefault="00611331" w:rsidP="00404896">
            <w:pPr>
              <w:pStyle w:val="ListParagraph"/>
              <w:numPr>
                <w:ilvl w:val="0"/>
                <w:numId w:val="13"/>
              </w:numPr>
              <w:jc w:val="both"/>
            </w:pPr>
            <w:r w:rsidRPr="00611331">
              <w:t>Sabiedrības laika un citu resursu patēriņa samazinājums, saņemot elektronizētus pakalpojumus</w:t>
            </w:r>
            <w:r>
              <w:t xml:space="preserve">, </w:t>
            </w:r>
            <w:r w:rsidR="008C33B3">
              <w:t xml:space="preserve">Projekta pārskata perioda ietvaros </w:t>
            </w:r>
            <w:r>
              <w:t>radīs aptuveni 1</w:t>
            </w:r>
            <w:r w:rsidR="008C33B3">
              <w:t>,</w:t>
            </w:r>
            <w:r>
              <w:t>8</w:t>
            </w:r>
            <w:r w:rsidR="008C33B3">
              <w:t xml:space="preserve"> milj. eiro</w:t>
            </w:r>
            <w:r w:rsidR="00887C31">
              <w:t xml:space="preserve"> ieguvumu</w:t>
            </w:r>
            <w:r w:rsidR="008C33B3">
              <w:t>.</w:t>
            </w:r>
          </w:p>
          <w:p w14:paraId="6B1A812B" w14:textId="77777777" w:rsidR="004E5799" w:rsidRDefault="004E5799" w:rsidP="00B65CC4">
            <w:pPr>
              <w:jc w:val="both"/>
            </w:pPr>
          </w:p>
          <w:p w14:paraId="273634AB" w14:textId="7BBE98FD" w:rsidR="00B559D5" w:rsidRPr="00836FE4" w:rsidRDefault="008C33B3" w:rsidP="00262DE5">
            <w:pPr>
              <w:jc w:val="both"/>
            </w:pPr>
            <w:r>
              <w:t xml:space="preserve">Paredzēts, ka pēc Projekta pilnīgas ieviešanas Projekta pārskata periodā </w:t>
            </w:r>
            <w:r w:rsidR="00611331" w:rsidRPr="00611331">
              <w:t xml:space="preserve">sociālekonomiskais indikatīvais lietderīgums ir apmēram </w:t>
            </w:r>
            <w:r>
              <w:t>1</w:t>
            </w:r>
            <w:r w:rsidR="00611331">
              <w:t>9</w:t>
            </w:r>
            <w:r>
              <w:t xml:space="preserve">,9 milj. eiro, ar </w:t>
            </w:r>
            <w:r w:rsidR="00611331">
              <w:t>indikatīvo ieguvumu apmēram 12</w:t>
            </w:r>
            <w:r>
              <w:t>,</w:t>
            </w:r>
            <w:r w:rsidR="00611331">
              <w:t>7</w:t>
            </w:r>
            <w:r>
              <w:t xml:space="preserve"> milj. eiro apmērā. </w:t>
            </w:r>
          </w:p>
        </w:tc>
      </w:tr>
      <w:tr w:rsidR="00CC6F38" w14:paraId="04FE0287" w14:textId="77777777" w:rsidTr="00262DE5">
        <w:tblPrEx>
          <w:tblCellMar>
            <w:left w:w="57" w:type="dxa"/>
            <w:right w:w="57" w:type="dxa"/>
          </w:tblCellMar>
        </w:tblPrEx>
        <w:tc>
          <w:tcPr>
            <w:tcW w:w="763" w:type="dxa"/>
            <w:tcBorders>
              <w:top w:val="thickThinLargeGap" w:sz="6" w:space="0" w:color="C0C0C0"/>
              <w:left w:val="thickThinLargeGap" w:sz="6" w:space="0" w:color="C0C0C0"/>
              <w:bottom w:val="thickThinLargeGap" w:sz="6" w:space="0" w:color="C0C0C0"/>
            </w:tcBorders>
          </w:tcPr>
          <w:p w14:paraId="47DDDA7F" w14:textId="77777777" w:rsidR="00B559D5" w:rsidRPr="00836FE4" w:rsidRDefault="002A525E" w:rsidP="00262DE5">
            <w:r w:rsidRPr="00836FE4">
              <w:rPr>
                <w:lang w:eastAsia="en-US"/>
              </w:rPr>
              <w:t>4.</w:t>
            </w:r>
          </w:p>
        </w:tc>
        <w:tc>
          <w:tcPr>
            <w:tcW w:w="2694" w:type="dxa"/>
            <w:tcBorders>
              <w:top w:val="thickThinLargeGap" w:sz="6" w:space="0" w:color="C0C0C0"/>
              <w:left w:val="thickThinLargeGap" w:sz="6" w:space="0" w:color="C0C0C0"/>
              <w:bottom w:val="thickThinLargeGap" w:sz="6" w:space="0" w:color="C0C0C0"/>
            </w:tcBorders>
          </w:tcPr>
          <w:p w14:paraId="2514151A" w14:textId="77777777" w:rsidR="00B559D5" w:rsidRPr="00836FE4" w:rsidRDefault="002A525E" w:rsidP="00262DE5">
            <w:r w:rsidRPr="00836FE4">
              <w:rPr>
                <w:lang w:eastAsia="en-US"/>
              </w:rPr>
              <w:t>Cita informācija</w:t>
            </w:r>
          </w:p>
        </w:tc>
        <w:tc>
          <w:tcPr>
            <w:tcW w:w="6398" w:type="dxa"/>
            <w:tcBorders>
              <w:top w:val="thickThinLargeGap" w:sz="6" w:space="0" w:color="C0C0C0"/>
              <w:left w:val="thickThinLargeGap" w:sz="6" w:space="0" w:color="C0C0C0"/>
              <w:bottom w:val="thickThinLargeGap" w:sz="6" w:space="0" w:color="C0C0C0"/>
              <w:right w:val="thickThinLargeGap" w:sz="6" w:space="0" w:color="C0C0C0"/>
            </w:tcBorders>
          </w:tcPr>
          <w:p w14:paraId="0E7A4D8E" w14:textId="77777777" w:rsidR="00B559D5" w:rsidRPr="00836FE4" w:rsidRDefault="002A525E" w:rsidP="00262DE5">
            <w:pPr>
              <w:jc w:val="both"/>
            </w:pPr>
            <w:r w:rsidRPr="00836FE4">
              <w:rPr>
                <w:lang w:eastAsia="en-US"/>
              </w:rPr>
              <w:t xml:space="preserve">Nav </w:t>
            </w:r>
          </w:p>
        </w:tc>
      </w:tr>
    </w:tbl>
    <w:p w14:paraId="1FB3A287" w14:textId="77777777" w:rsidR="00B559D5" w:rsidRPr="00836FE4" w:rsidRDefault="00B559D5" w:rsidP="00B559D5">
      <w:pPr>
        <w:jc w:val="both"/>
      </w:pPr>
    </w:p>
    <w:tbl>
      <w:tblPr>
        <w:tblW w:w="5428"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576"/>
        <w:gridCol w:w="798"/>
        <w:gridCol w:w="1070"/>
        <w:gridCol w:w="826"/>
        <w:gridCol w:w="1042"/>
        <w:gridCol w:w="886"/>
        <w:gridCol w:w="1014"/>
        <w:gridCol w:w="2464"/>
      </w:tblGrid>
      <w:tr w:rsidR="00CC6F38" w14:paraId="3B87F70C" w14:textId="77777777" w:rsidTr="007830FC">
        <w:trPr>
          <w:tblCellSpacing w:w="15" w:type="dxa"/>
        </w:trPr>
        <w:tc>
          <w:tcPr>
            <w:tcW w:w="4969" w:type="pct"/>
            <w:gridSpan w:val="8"/>
            <w:tcBorders>
              <w:top w:val="outset" w:sz="6" w:space="0" w:color="auto"/>
              <w:left w:val="outset" w:sz="6" w:space="0" w:color="auto"/>
              <w:bottom w:val="outset" w:sz="6" w:space="0" w:color="auto"/>
              <w:right w:val="outset" w:sz="6" w:space="0" w:color="auto"/>
            </w:tcBorders>
            <w:vAlign w:val="center"/>
            <w:hideMark/>
          </w:tcPr>
          <w:p w14:paraId="496ED256" w14:textId="77777777" w:rsidR="00145D81" w:rsidRPr="00836FE4" w:rsidRDefault="002A525E" w:rsidP="00145D81">
            <w:pPr>
              <w:rPr>
                <w:b/>
                <w:bCs/>
                <w:iCs/>
                <w:color w:val="414142"/>
                <w:lang w:eastAsia="lv-LV"/>
              </w:rPr>
            </w:pPr>
            <w:r w:rsidRPr="00836FE4">
              <w:rPr>
                <w:b/>
                <w:bCs/>
                <w:iCs/>
                <w:color w:val="414142"/>
                <w:lang w:eastAsia="lv-LV"/>
              </w:rPr>
              <w:t>III. Tiesību akta projekta ietekme uz valsts budžetu un pašvaldību budžetiem</w:t>
            </w:r>
          </w:p>
        </w:tc>
      </w:tr>
      <w:tr w:rsidR="00CC6F38" w14:paraId="4FE780E0" w14:textId="77777777" w:rsidTr="00D93C68">
        <w:trPr>
          <w:tblCellSpacing w:w="15" w:type="dxa"/>
        </w:trPr>
        <w:tc>
          <w:tcPr>
            <w:tcW w:w="809" w:type="pct"/>
            <w:vMerge w:val="restart"/>
            <w:tcBorders>
              <w:top w:val="outset" w:sz="6" w:space="0" w:color="auto"/>
              <w:left w:val="outset" w:sz="6" w:space="0" w:color="auto"/>
              <w:bottom w:val="outset" w:sz="6" w:space="0" w:color="auto"/>
              <w:right w:val="outset" w:sz="6" w:space="0" w:color="auto"/>
            </w:tcBorders>
            <w:vAlign w:val="center"/>
            <w:hideMark/>
          </w:tcPr>
          <w:p w14:paraId="6A1D5DF9" w14:textId="77777777" w:rsidR="00145D81" w:rsidRPr="00836FE4" w:rsidRDefault="002A525E" w:rsidP="00145D81">
            <w:pPr>
              <w:rPr>
                <w:iCs/>
                <w:color w:val="414142"/>
                <w:lang w:eastAsia="lv-LV"/>
              </w:rPr>
            </w:pPr>
            <w:r w:rsidRPr="00836FE4">
              <w:rPr>
                <w:iCs/>
                <w:color w:val="414142"/>
                <w:lang w:eastAsia="lv-LV"/>
              </w:rPr>
              <w:t>Rādītāji</w:t>
            </w:r>
          </w:p>
        </w:tc>
        <w:tc>
          <w:tcPr>
            <w:tcW w:w="955"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03AB18C4" w14:textId="77777777" w:rsidR="00145D81" w:rsidRPr="00836FE4" w:rsidRDefault="002A525E" w:rsidP="00145D81">
            <w:pPr>
              <w:rPr>
                <w:iCs/>
                <w:color w:val="414142"/>
                <w:lang w:eastAsia="lv-LV"/>
              </w:rPr>
            </w:pPr>
            <w:r w:rsidRPr="00836FE4">
              <w:rPr>
                <w:iCs/>
                <w:color w:val="414142"/>
                <w:lang w:eastAsia="lv-LV"/>
              </w:rPr>
              <w:t>2018</w:t>
            </w:r>
          </w:p>
        </w:tc>
        <w:tc>
          <w:tcPr>
            <w:tcW w:w="3174" w:type="pct"/>
            <w:gridSpan w:val="5"/>
            <w:tcBorders>
              <w:top w:val="outset" w:sz="6" w:space="0" w:color="auto"/>
              <w:left w:val="outset" w:sz="6" w:space="0" w:color="auto"/>
              <w:bottom w:val="outset" w:sz="6" w:space="0" w:color="auto"/>
              <w:right w:val="outset" w:sz="6" w:space="0" w:color="auto"/>
            </w:tcBorders>
            <w:vAlign w:val="center"/>
            <w:hideMark/>
          </w:tcPr>
          <w:p w14:paraId="55E1BB9E" w14:textId="77777777" w:rsidR="00145D81" w:rsidRPr="00836FE4" w:rsidRDefault="002A525E" w:rsidP="00145D81">
            <w:pPr>
              <w:rPr>
                <w:iCs/>
                <w:color w:val="414142"/>
                <w:lang w:eastAsia="lv-LV"/>
              </w:rPr>
            </w:pPr>
            <w:r w:rsidRPr="00836FE4">
              <w:rPr>
                <w:iCs/>
                <w:color w:val="414142"/>
                <w:lang w:eastAsia="lv-LV"/>
              </w:rPr>
              <w:t>Turpmākie trīs gadi (</w:t>
            </w:r>
            <w:proofErr w:type="spellStart"/>
            <w:r w:rsidRPr="00836FE4">
              <w:rPr>
                <w:i/>
                <w:iCs/>
                <w:color w:val="414142"/>
                <w:lang w:eastAsia="lv-LV"/>
              </w:rPr>
              <w:t>euro</w:t>
            </w:r>
            <w:proofErr w:type="spellEnd"/>
            <w:r w:rsidRPr="00836FE4">
              <w:rPr>
                <w:iCs/>
                <w:color w:val="414142"/>
                <w:lang w:eastAsia="lv-LV"/>
              </w:rPr>
              <w:t>)</w:t>
            </w:r>
          </w:p>
        </w:tc>
      </w:tr>
      <w:tr w:rsidR="00CC6F38" w14:paraId="5BFF0A56" w14:textId="77777777" w:rsidTr="00D93C68">
        <w:trPr>
          <w:tblCellSpacing w:w="15" w:type="dxa"/>
        </w:trPr>
        <w:tc>
          <w:tcPr>
            <w:tcW w:w="809" w:type="pct"/>
            <w:vMerge/>
            <w:tcBorders>
              <w:top w:val="outset" w:sz="6" w:space="0" w:color="auto"/>
              <w:left w:val="outset" w:sz="6" w:space="0" w:color="auto"/>
              <w:bottom w:val="outset" w:sz="6" w:space="0" w:color="auto"/>
              <w:right w:val="outset" w:sz="6" w:space="0" w:color="auto"/>
            </w:tcBorders>
            <w:vAlign w:val="center"/>
            <w:hideMark/>
          </w:tcPr>
          <w:p w14:paraId="7F480177" w14:textId="77777777" w:rsidR="00145D81" w:rsidRPr="00836FE4" w:rsidRDefault="00145D81" w:rsidP="00145D81">
            <w:pPr>
              <w:rPr>
                <w:iCs/>
                <w:color w:val="414142"/>
                <w:lang w:eastAsia="lv-LV"/>
              </w:rPr>
            </w:pPr>
          </w:p>
        </w:tc>
        <w:tc>
          <w:tcPr>
            <w:tcW w:w="955" w:type="pct"/>
            <w:gridSpan w:val="2"/>
            <w:vMerge/>
            <w:tcBorders>
              <w:top w:val="outset" w:sz="6" w:space="0" w:color="auto"/>
              <w:left w:val="outset" w:sz="6" w:space="0" w:color="auto"/>
              <w:bottom w:val="outset" w:sz="6" w:space="0" w:color="auto"/>
              <w:right w:val="outset" w:sz="6" w:space="0" w:color="auto"/>
            </w:tcBorders>
            <w:vAlign w:val="center"/>
            <w:hideMark/>
          </w:tcPr>
          <w:p w14:paraId="086D283F" w14:textId="77777777" w:rsidR="00145D81" w:rsidRPr="00836FE4" w:rsidRDefault="00145D81" w:rsidP="00145D81">
            <w:pPr>
              <w:rPr>
                <w:iCs/>
                <w:color w:val="414142"/>
                <w:lang w:eastAsia="lv-LV"/>
              </w:rPr>
            </w:pPr>
          </w:p>
        </w:tc>
        <w:tc>
          <w:tcPr>
            <w:tcW w:w="955" w:type="pct"/>
            <w:gridSpan w:val="2"/>
            <w:tcBorders>
              <w:top w:val="outset" w:sz="6" w:space="0" w:color="auto"/>
              <w:left w:val="outset" w:sz="6" w:space="0" w:color="auto"/>
              <w:bottom w:val="outset" w:sz="6" w:space="0" w:color="auto"/>
              <w:right w:val="outset" w:sz="6" w:space="0" w:color="auto"/>
            </w:tcBorders>
            <w:vAlign w:val="center"/>
            <w:hideMark/>
          </w:tcPr>
          <w:p w14:paraId="5EADAFA8" w14:textId="77777777" w:rsidR="00145D81" w:rsidRPr="00836FE4" w:rsidRDefault="002A525E" w:rsidP="00145D81">
            <w:pPr>
              <w:rPr>
                <w:iCs/>
                <w:color w:val="414142"/>
                <w:lang w:eastAsia="lv-LV"/>
              </w:rPr>
            </w:pPr>
            <w:r w:rsidRPr="00836FE4">
              <w:rPr>
                <w:iCs/>
                <w:color w:val="414142"/>
                <w:lang w:eastAsia="lv-LV"/>
              </w:rPr>
              <w:t>2019</w:t>
            </w:r>
          </w:p>
        </w:tc>
        <w:tc>
          <w:tcPr>
            <w:tcW w:w="972" w:type="pct"/>
            <w:gridSpan w:val="2"/>
            <w:tcBorders>
              <w:top w:val="outset" w:sz="6" w:space="0" w:color="auto"/>
              <w:left w:val="outset" w:sz="6" w:space="0" w:color="auto"/>
              <w:bottom w:val="outset" w:sz="6" w:space="0" w:color="auto"/>
              <w:right w:val="outset" w:sz="6" w:space="0" w:color="auto"/>
            </w:tcBorders>
            <w:vAlign w:val="center"/>
            <w:hideMark/>
          </w:tcPr>
          <w:p w14:paraId="4838B7C4" w14:textId="77777777" w:rsidR="00145D81" w:rsidRPr="00836FE4" w:rsidRDefault="002A525E" w:rsidP="00145D81">
            <w:pPr>
              <w:rPr>
                <w:iCs/>
                <w:color w:val="414142"/>
                <w:lang w:eastAsia="lv-LV"/>
              </w:rPr>
            </w:pPr>
            <w:r w:rsidRPr="00836FE4">
              <w:rPr>
                <w:iCs/>
                <w:color w:val="414142"/>
                <w:lang w:eastAsia="lv-LV"/>
              </w:rPr>
              <w:t>2020</w:t>
            </w:r>
          </w:p>
        </w:tc>
        <w:tc>
          <w:tcPr>
            <w:tcW w:w="1216" w:type="pct"/>
            <w:tcBorders>
              <w:top w:val="outset" w:sz="6" w:space="0" w:color="auto"/>
              <w:left w:val="outset" w:sz="6" w:space="0" w:color="auto"/>
              <w:bottom w:val="outset" w:sz="6" w:space="0" w:color="auto"/>
              <w:right w:val="outset" w:sz="6" w:space="0" w:color="auto"/>
            </w:tcBorders>
            <w:vAlign w:val="center"/>
            <w:hideMark/>
          </w:tcPr>
          <w:p w14:paraId="42EEBE15" w14:textId="77777777" w:rsidR="00145D81" w:rsidRPr="00836FE4" w:rsidRDefault="002A525E" w:rsidP="00145D81">
            <w:pPr>
              <w:rPr>
                <w:iCs/>
                <w:color w:val="414142"/>
                <w:lang w:eastAsia="lv-LV"/>
              </w:rPr>
            </w:pPr>
            <w:r w:rsidRPr="00836FE4">
              <w:rPr>
                <w:iCs/>
                <w:color w:val="414142"/>
                <w:lang w:eastAsia="lv-LV"/>
              </w:rPr>
              <w:t>2021</w:t>
            </w:r>
          </w:p>
        </w:tc>
      </w:tr>
      <w:tr w:rsidR="00CC6F38" w14:paraId="2DDA2B2C" w14:textId="77777777" w:rsidTr="00D93C68">
        <w:trPr>
          <w:tblCellSpacing w:w="15" w:type="dxa"/>
        </w:trPr>
        <w:tc>
          <w:tcPr>
            <w:tcW w:w="809" w:type="pct"/>
            <w:vMerge/>
            <w:tcBorders>
              <w:top w:val="outset" w:sz="6" w:space="0" w:color="auto"/>
              <w:left w:val="outset" w:sz="6" w:space="0" w:color="auto"/>
              <w:bottom w:val="outset" w:sz="6" w:space="0" w:color="auto"/>
              <w:right w:val="outset" w:sz="6" w:space="0" w:color="auto"/>
            </w:tcBorders>
            <w:vAlign w:val="center"/>
            <w:hideMark/>
          </w:tcPr>
          <w:p w14:paraId="623C75DC" w14:textId="77777777" w:rsidR="00145D81" w:rsidRPr="00836FE4" w:rsidRDefault="00145D81" w:rsidP="00145D81">
            <w:pPr>
              <w:rPr>
                <w:iCs/>
                <w:color w:val="414142"/>
                <w:lang w:eastAsia="lv-LV"/>
              </w:rPr>
            </w:pPr>
          </w:p>
        </w:tc>
        <w:tc>
          <w:tcPr>
            <w:tcW w:w="405" w:type="pct"/>
            <w:tcBorders>
              <w:top w:val="outset" w:sz="6" w:space="0" w:color="auto"/>
              <w:left w:val="outset" w:sz="6" w:space="0" w:color="auto"/>
              <w:bottom w:val="outset" w:sz="6" w:space="0" w:color="auto"/>
              <w:right w:val="outset" w:sz="6" w:space="0" w:color="auto"/>
            </w:tcBorders>
            <w:vAlign w:val="center"/>
            <w:hideMark/>
          </w:tcPr>
          <w:p w14:paraId="448252FC" w14:textId="77777777" w:rsidR="00145D81" w:rsidRPr="00836FE4" w:rsidRDefault="002A525E" w:rsidP="00145D81">
            <w:pPr>
              <w:rPr>
                <w:iCs/>
                <w:color w:val="414142"/>
                <w:lang w:eastAsia="lv-LV"/>
              </w:rPr>
            </w:pPr>
            <w:r w:rsidRPr="00836FE4">
              <w:rPr>
                <w:iCs/>
                <w:color w:val="414142"/>
                <w:lang w:eastAsia="lv-LV"/>
              </w:rPr>
              <w:t>saskaņā ar valsts budžetu kārtējam gadam</w:t>
            </w:r>
          </w:p>
        </w:tc>
        <w:tc>
          <w:tcPr>
            <w:tcW w:w="535" w:type="pct"/>
            <w:tcBorders>
              <w:top w:val="outset" w:sz="6" w:space="0" w:color="auto"/>
              <w:left w:val="outset" w:sz="6" w:space="0" w:color="auto"/>
              <w:bottom w:val="outset" w:sz="6" w:space="0" w:color="auto"/>
              <w:right w:val="outset" w:sz="6" w:space="0" w:color="auto"/>
            </w:tcBorders>
            <w:vAlign w:val="center"/>
            <w:hideMark/>
          </w:tcPr>
          <w:p w14:paraId="56B6741F" w14:textId="77777777" w:rsidR="00145D81" w:rsidRPr="00836FE4" w:rsidRDefault="002A525E" w:rsidP="00145D81">
            <w:pPr>
              <w:rPr>
                <w:iCs/>
                <w:color w:val="414142"/>
                <w:lang w:eastAsia="lv-LV"/>
              </w:rPr>
            </w:pPr>
            <w:r w:rsidRPr="00836FE4">
              <w:rPr>
                <w:iCs/>
                <w:color w:val="414142"/>
                <w:lang w:eastAsia="lv-LV"/>
              </w:rPr>
              <w:t>izmaiņas kārtējā gadā, salīdzinot ar valsts budžetu kārtējam gadam</w:t>
            </w:r>
          </w:p>
        </w:tc>
        <w:tc>
          <w:tcPr>
            <w:tcW w:w="420" w:type="pct"/>
            <w:tcBorders>
              <w:top w:val="outset" w:sz="6" w:space="0" w:color="auto"/>
              <w:left w:val="outset" w:sz="6" w:space="0" w:color="auto"/>
              <w:bottom w:val="outset" w:sz="6" w:space="0" w:color="auto"/>
              <w:right w:val="outset" w:sz="6" w:space="0" w:color="auto"/>
            </w:tcBorders>
            <w:vAlign w:val="center"/>
            <w:hideMark/>
          </w:tcPr>
          <w:p w14:paraId="3091BCA7" w14:textId="77777777" w:rsidR="00145D81" w:rsidRPr="00836FE4" w:rsidRDefault="002A525E" w:rsidP="00145D81">
            <w:pPr>
              <w:rPr>
                <w:iCs/>
                <w:color w:val="414142"/>
                <w:lang w:eastAsia="lv-LV"/>
              </w:rPr>
            </w:pPr>
            <w:r w:rsidRPr="00836FE4">
              <w:rPr>
                <w:iCs/>
                <w:color w:val="414142"/>
                <w:lang w:eastAsia="lv-LV"/>
              </w:rPr>
              <w:t>saskaņā ar vidēja termiņa budžeta ietvaru</w:t>
            </w:r>
          </w:p>
        </w:tc>
        <w:tc>
          <w:tcPr>
            <w:tcW w:w="519" w:type="pct"/>
            <w:tcBorders>
              <w:top w:val="outset" w:sz="6" w:space="0" w:color="auto"/>
              <w:left w:val="outset" w:sz="6" w:space="0" w:color="auto"/>
              <w:bottom w:val="outset" w:sz="6" w:space="0" w:color="auto"/>
              <w:right w:val="outset" w:sz="6" w:space="0" w:color="auto"/>
            </w:tcBorders>
            <w:vAlign w:val="center"/>
            <w:hideMark/>
          </w:tcPr>
          <w:p w14:paraId="61FF2204" w14:textId="77777777" w:rsidR="00145D81" w:rsidRPr="00836FE4" w:rsidRDefault="002A525E" w:rsidP="00145D81">
            <w:pPr>
              <w:rPr>
                <w:iCs/>
                <w:color w:val="414142"/>
                <w:lang w:eastAsia="lv-LV"/>
              </w:rPr>
            </w:pPr>
            <w:r w:rsidRPr="00836FE4">
              <w:rPr>
                <w:iCs/>
                <w:color w:val="414142"/>
                <w:lang w:eastAsia="lv-LV"/>
              </w:rPr>
              <w:t>izmaiņas, salīdzinot ar vidēja termiņa budžeta ietvaru 2019 gadam</w:t>
            </w:r>
          </w:p>
        </w:tc>
        <w:tc>
          <w:tcPr>
            <w:tcW w:w="452" w:type="pct"/>
            <w:tcBorders>
              <w:top w:val="outset" w:sz="6" w:space="0" w:color="auto"/>
              <w:left w:val="outset" w:sz="6" w:space="0" w:color="auto"/>
              <w:bottom w:val="outset" w:sz="6" w:space="0" w:color="auto"/>
              <w:right w:val="outset" w:sz="6" w:space="0" w:color="auto"/>
            </w:tcBorders>
            <w:vAlign w:val="center"/>
            <w:hideMark/>
          </w:tcPr>
          <w:p w14:paraId="13C8DB02" w14:textId="77777777" w:rsidR="00145D81" w:rsidRPr="00836FE4" w:rsidRDefault="002A525E" w:rsidP="00145D81">
            <w:pPr>
              <w:rPr>
                <w:iCs/>
                <w:color w:val="414142"/>
                <w:lang w:eastAsia="lv-LV"/>
              </w:rPr>
            </w:pPr>
            <w:r w:rsidRPr="00836FE4">
              <w:rPr>
                <w:iCs/>
                <w:color w:val="414142"/>
                <w:lang w:eastAsia="lv-LV"/>
              </w:rPr>
              <w:t>saskaņā ar vidēja termiņa budžeta ietvaru</w:t>
            </w:r>
          </w:p>
        </w:tc>
        <w:tc>
          <w:tcPr>
            <w:tcW w:w="504" w:type="pct"/>
            <w:tcBorders>
              <w:top w:val="outset" w:sz="6" w:space="0" w:color="auto"/>
              <w:left w:val="outset" w:sz="6" w:space="0" w:color="auto"/>
              <w:bottom w:val="outset" w:sz="6" w:space="0" w:color="auto"/>
              <w:right w:val="outset" w:sz="6" w:space="0" w:color="auto"/>
            </w:tcBorders>
            <w:vAlign w:val="center"/>
            <w:hideMark/>
          </w:tcPr>
          <w:p w14:paraId="1B869041" w14:textId="77777777" w:rsidR="00145D81" w:rsidRPr="00836FE4" w:rsidRDefault="002A525E" w:rsidP="00145D81">
            <w:pPr>
              <w:rPr>
                <w:iCs/>
                <w:color w:val="414142"/>
                <w:lang w:eastAsia="lv-LV"/>
              </w:rPr>
            </w:pPr>
            <w:r w:rsidRPr="00836FE4">
              <w:rPr>
                <w:iCs/>
                <w:color w:val="414142"/>
                <w:lang w:eastAsia="lv-LV"/>
              </w:rPr>
              <w:t>izmaiņas, salīdzinot ar vidēja termiņa budžeta ietvaru 2020 gadam</w:t>
            </w:r>
          </w:p>
        </w:tc>
        <w:tc>
          <w:tcPr>
            <w:tcW w:w="1216" w:type="pct"/>
            <w:tcBorders>
              <w:top w:val="outset" w:sz="6" w:space="0" w:color="auto"/>
              <w:left w:val="outset" w:sz="6" w:space="0" w:color="auto"/>
              <w:bottom w:val="outset" w:sz="6" w:space="0" w:color="auto"/>
              <w:right w:val="outset" w:sz="6" w:space="0" w:color="auto"/>
            </w:tcBorders>
            <w:vAlign w:val="center"/>
            <w:hideMark/>
          </w:tcPr>
          <w:p w14:paraId="1458CDC1" w14:textId="77777777" w:rsidR="00145D81" w:rsidRPr="00836FE4" w:rsidRDefault="002A525E" w:rsidP="00145D81">
            <w:pPr>
              <w:rPr>
                <w:iCs/>
                <w:color w:val="414142"/>
                <w:lang w:eastAsia="lv-LV"/>
              </w:rPr>
            </w:pPr>
            <w:r w:rsidRPr="00836FE4">
              <w:rPr>
                <w:iCs/>
                <w:color w:val="414142"/>
                <w:lang w:eastAsia="lv-LV"/>
              </w:rPr>
              <w:t>izmaiņas, salīdzinot ar vidēja termiņa budžeta ietvaru 2020 gadam</w:t>
            </w:r>
          </w:p>
        </w:tc>
      </w:tr>
      <w:tr w:rsidR="00CC6F38" w14:paraId="6BE1144E" w14:textId="77777777" w:rsidTr="00D93C68">
        <w:trPr>
          <w:tblCellSpacing w:w="15" w:type="dxa"/>
        </w:trPr>
        <w:tc>
          <w:tcPr>
            <w:tcW w:w="809" w:type="pct"/>
            <w:tcBorders>
              <w:top w:val="outset" w:sz="6" w:space="0" w:color="auto"/>
              <w:left w:val="outset" w:sz="6" w:space="0" w:color="auto"/>
              <w:bottom w:val="outset" w:sz="6" w:space="0" w:color="auto"/>
              <w:right w:val="outset" w:sz="6" w:space="0" w:color="auto"/>
            </w:tcBorders>
            <w:vAlign w:val="center"/>
            <w:hideMark/>
          </w:tcPr>
          <w:p w14:paraId="25B70A75" w14:textId="77777777" w:rsidR="00145D81" w:rsidRPr="00836FE4" w:rsidRDefault="002A525E" w:rsidP="00145D81">
            <w:pPr>
              <w:rPr>
                <w:iCs/>
                <w:color w:val="414142"/>
                <w:lang w:eastAsia="lv-LV"/>
              </w:rPr>
            </w:pPr>
            <w:r w:rsidRPr="00836FE4">
              <w:rPr>
                <w:iCs/>
                <w:color w:val="414142"/>
                <w:lang w:eastAsia="lv-LV"/>
              </w:rPr>
              <w:t>1</w:t>
            </w:r>
          </w:p>
        </w:tc>
        <w:tc>
          <w:tcPr>
            <w:tcW w:w="405" w:type="pct"/>
            <w:tcBorders>
              <w:top w:val="outset" w:sz="6" w:space="0" w:color="auto"/>
              <w:left w:val="outset" w:sz="6" w:space="0" w:color="auto"/>
              <w:bottom w:val="outset" w:sz="6" w:space="0" w:color="auto"/>
              <w:right w:val="outset" w:sz="6" w:space="0" w:color="auto"/>
            </w:tcBorders>
            <w:vAlign w:val="center"/>
            <w:hideMark/>
          </w:tcPr>
          <w:p w14:paraId="7A18EB50" w14:textId="77777777" w:rsidR="00145D81" w:rsidRPr="00836FE4" w:rsidRDefault="002A525E" w:rsidP="00145D81">
            <w:pPr>
              <w:rPr>
                <w:iCs/>
                <w:color w:val="414142"/>
                <w:lang w:eastAsia="lv-LV"/>
              </w:rPr>
            </w:pPr>
            <w:r w:rsidRPr="00836FE4">
              <w:rPr>
                <w:iCs/>
                <w:color w:val="414142"/>
                <w:lang w:eastAsia="lv-LV"/>
              </w:rPr>
              <w:t>2</w:t>
            </w:r>
          </w:p>
        </w:tc>
        <w:tc>
          <w:tcPr>
            <w:tcW w:w="535" w:type="pct"/>
            <w:tcBorders>
              <w:top w:val="outset" w:sz="6" w:space="0" w:color="auto"/>
              <w:left w:val="outset" w:sz="6" w:space="0" w:color="auto"/>
              <w:bottom w:val="outset" w:sz="6" w:space="0" w:color="auto"/>
              <w:right w:val="outset" w:sz="6" w:space="0" w:color="auto"/>
            </w:tcBorders>
            <w:vAlign w:val="center"/>
            <w:hideMark/>
          </w:tcPr>
          <w:p w14:paraId="290860D6" w14:textId="77777777" w:rsidR="00145D81" w:rsidRPr="00836FE4" w:rsidRDefault="002A525E" w:rsidP="00145D81">
            <w:pPr>
              <w:rPr>
                <w:iCs/>
                <w:color w:val="414142"/>
                <w:lang w:eastAsia="lv-LV"/>
              </w:rPr>
            </w:pPr>
            <w:r w:rsidRPr="00836FE4">
              <w:rPr>
                <w:iCs/>
                <w:color w:val="414142"/>
                <w:lang w:eastAsia="lv-LV"/>
              </w:rPr>
              <w:t>3</w:t>
            </w:r>
          </w:p>
        </w:tc>
        <w:tc>
          <w:tcPr>
            <w:tcW w:w="420" w:type="pct"/>
            <w:tcBorders>
              <w:top w:val="outset" w:sz="6" w:space="0" w:color="auto"/>
              <w:left w:val="outset" w:sz="6" w:space="0" w:color="auto"/>
              <w:bottom w:val="outset" w:sz="6" w:space="0" w:color="auto"/>
              <w:right w:val="outset" w:sz="6" w:space="0" w:color="auto"/>
            </w:tcBorders>
            <w:vAlign w:val="center"/>
            <w:hideMark/>
          </w:tcPr>
          <w:p w14:paraId="4177C67C" w14:textId="77777777" w:rsidR="00145D81" w:rsidRPr="00836FE4" w:rsidRDefault="002A525E" w:rsidP="00145D81">
            <w:pPr>
              <w:rPr>
                <w:iCs/>
                <w:color w:val="414142"/>
                <w:lang w:eastAsia="lv-LV"/>
              </w:rPr>
            </w:pPr>
            <w:r w:rsidRPr="00836FE4">
              <w:rPr>
                <w:iCs/>
                <w:color w:val="414142"/>
                <w:lang w:eastAsia="lv-LV"/>
              </w:rPr>
              <w:t>4</w:t>
            </w:r>
          </w:p>
        </w:tc>
        <w:tc>
          <w:tcPr>
            <w:tcW w:w="519" w:type="pct"/>
            <w:tcBorders>
              <w:top w:val="outset" w:sz="6" w:space="0" w:color="auto"/>
              <w:left w:val="outset" w:sz="6" w:space="0" w:color="auto"/>
              <w:bottom w:val="outset" w:sz="6" w:space="0" w:color="auto"/>
              <w:right w:val="outset" w:sz="6" w:space="0" w:color="auto"/>
            </w:tcBorders>
            <w:vAlign w:val="center"/>
            <w:hideMark/>
          </w:tcPr>
          <w:p w14:paraId="2B066D99" w14:textId="77777777" w:rsidR="00145D81" w:rsidRPr="00836FE4" w:rsidRDefault="002A525E" w:rsidP="00145D81">
            <w:pPr>
              <w:rPr>
                <w:iCs/>
                <w:color w:val="414142"/>
                <w:lang w:eastAsia="lv-LV"/>
              </w:rPr>
            </w:pPr>
            <w:r w:rsidRPr="00836FE4">
              <w:rPr>
                <w:iCs/>
                <w:color w:val="414142"/>
                <w:lang w:eastAsia="lv-LV"/>
              </w:rPr>
              <w:t>5</w:t>
            </w:r>
          </w:p>
        </w:tc>
        <w:tc>
          <w:tcPr>
            <w:tcW w:w="452" w:type="pct"/>
            <w:tcBorders>
              <w:top w:val="outset" w:sz="6" w:space="0" w:color="auto"/>
              <w:left w:val="outset" w:sz="6" w:space="0" w:color="auto"/>
              <w:bottom w:val="outset" w:sz="6" w:space="0" w:color="auto"/>
              <w:right w:val="outset" w:sz="6" w:space="0" w:color="auto"/>
            </w:tcBorders>
            <w:vAlign w:val="center"/>
            <w:hideMark/>
          </w:tcPr>
          <w:p w14:paraId="30A7454C" w14:textId="77777777" w:rsidR="00145D81" w:rsidRPr="00836FE4" w:rsidRDefault="002A525E" w:rsidP="00145D81">
            <w:pPr>
              <w:rPr>
                <w:iCs/>
                <w:color w:val="414142"/>
                <w:lang w:eastAsia="lv-LV"/>
              </w:rPr>
            </w:pPr>
            <w:r w:rsidRPr="00836FE4">
              <w:rPr>
                <w:iCs/>
                <w:color w:val="414142"/>
                <w:lang w:eastAsia="lv-LV"/>
              </w:rPr>
              <w:t>6</w:t>
            </w:r>
          </w:p>
        </w:tc>
        <w:tc>
          <w:tcPr>
            <w:tcW w:w="504" w:type="pct"/>
            <w:tcBorders>
              <w:top w:val="outset" w:sz="6" w:space="0" w:color="auto"/>
              <w:left w:val="outset" w:sz="6" w:space="0" w:color="auto"/>
              <w:bottom w:val="outset" w:sz="6" w:space="0" w:color="auto"/>
              <w:right w:val="outset" w:sz="6" w:space="0" w:color="auto"/>
            </w:tcBorders>
            <w:vAlign w:val="center"/>
            <w:hideMark/>
          </w:tcPr>
          <w:p w14:paraId="1C1A4FBA" w14:textId="77777777" w:rsidR="00145D81" w:rsidRPr="00836FE4" w:rsidRDefault="002A525E" w:rsidP="00145D81">
            <w:pPr>
              <w:rPr>
                <w:iCs/>
                <w:color w:val="414142"/>
                <w:lang w:eastAsia="lv-LV"/>
              </w:rPr>
            </w:pPr>
            <w:r w:rsidRPr="00836FE4">
              <w:rPr>
                <w:iCs/>
                <w:color w:val="414142"/>
                <w:lang w:eastAsia="lv-LV"/>
              </w:rPr>
              <w:t>7</w:t>
            </w:r>
          </w:p>
        </w:tc>
        <w:tc>
          <w:tcPr>
            <w:tcW w:w="1216" w:type="pct"/>
            <w:tcBorders>
              <w:top w:val="outset" w:sz="6" w:space="0" w:color="auto"/>
              <w:left w:val="outset" w:sz="6" w:space="0" w:color="auto"/>
              <w:bottom w:val="outset" w:sz="6" w:space="0" w:color="auto"/>
              <w:right w:val="outset" w:sz="6" w:space="0" w:color="auto"/>
            </w:tcBorders>
            <w:vAlign w:val="center"/>
            <w:hideMark/>
          </w:tcPr>
          <w:p w14:paraId="38714140" w14:textId="77777777" w:rsidR="00145D81" w:rsidRPr="00836FE4" w:rsidRDefault="002A525E" w:rsidP="00145D81">
            <w:pPr>
              <w:rPr>
                <w:iCs/>
                <w:color w:val="414142"/>
                <w:lang w:eastAsia="lv-LV"/>
              </w:rPr>
            </w:pPr>
            <w:r w:rsidRPr="00836FE4">
              <w:rPr>
                <w:iCs/>
                <w:color w:val="414142"/>
                <w:lang w:eastAsia="lv-LV"/>
              </w:rPr>
              <w:t>8</w:t>
            </w:r>
          </w:p>
        </w:tc>
      </w:tr>
      <w:tr w:rsidR="00CC6F38" w14:paraId="31EFD65D" w14:textId="77777777" w:rsidTr="00D93C68">
        <w:trPr>
          <w:tblCellSpacing w:w="15" w:type="dxa"/>
        </w:trPr>
        <w:tc>
          <w:tcPr>
            <w:tcW w:w="809" w:type="pct"/>
            <w:tcBorders>
              <w:top w:val="outset" w:sz="6" w:space="0" w:color="auto"/>
              <w:left w:val="outset" w:sz="6" w:space="0" w:color="auto"/>
              <w:bottom w:val="outset" w:sz="6" w:space="0" w:color="auto"/>
              <w:right w:val="outset" w:sz="6" w:space="0" w:color="auto"/>
            </w:tcBorders>
            <w:hideMark/>
          </w:tcPr>
          <w:p w14:paraId="34D4EF4B" w14:textId="77777777" w:rsidR="00145D81" w:rsidRPr="00836FE4" w:rsidRDefault="002A525E" w:rsidP="00145D81">
            <w:pPr>
              <w:rPr>
                <w:iCs/>
                <w:color w:val="414142"/>
                <w:lang w:eastAsia="lv-LV"/>
              </w:rPr>
            </w:pPr>
            <w:r w:rsidRPr="00836FE4">
              <w:rPr>
                <w:iCs/>
                <w:color w:val="414142"/>
                <w:lang w:eastAsia="lv-LV"/>
              </w:rPr>
              <w:lastRenderedPageBreak/>
              <w:t>1. Budžeta ieņēmumi</w:t>
            </w:r>
          </w:p>
        </w:tc>
        <w:tc>
          <w:tcPr>
            <w:tcW w:w="405" w:type="pct"/>
            <w:tcBorders>
              <w:top w:val="outset" w:sz="6" w:space="0" w:color="auto"/>
              <w:left w:val="outset" w:sz="6" w:space="0" w:color="auto"/>
              <w:bottom w:val="outset" w:sz="6" w:space="0" w:color="auto"/>
              <w:right w:val="outset" w:sz="6" w:space="0" w:color="auto"/>
            </w:tcBorders>
            <w:vAlign w:val="center"/>
            <w:hideMark/>
          </w:tcPr>
          <w:p w14:paraId="67ECECEE" w14:textId="77777777" w:rsidR="00145D81" w:rsidRPr="00836FE4" w:rsidRDefault="002A525E" w:rsidP="00145D81">
            <w:pPr>
              <w:rPr>
                <w:iCs/>
                <w:color w:val="414142"/>
                <w:lang w:eastAsia="lv-LV"/>
              </w:rPr>
            </w:pPr>
            <w:r w:rsidRPr="00836FE4">
              <w:rPr>
                <w:iCs/>
                <w:color w:val="414142"/>
                <w:lang w:eastAsia="lv-LV"/>
              </w:rPr>
              <w:t> 0</w:t>
            </w:r>
          </w:p>
        </w:tc>
        <w:tc>
          <w:tcPr>
            <w:tcW w:w="535" w:type="pct"/>
            <w:tcBorders>
              <w:top w:val="outset" w:sz="6" w:space="0" w:color="auto"/>
              <w:left w:val="outset" w:sz="6" w:space="0" w:color="auto"/>
              <w:bottom w:val="outset" w:sz="6" w:space="0" w:color="auto"/>
              <w:right w:val="outset" w:sz="6" w:space="0" w:color="auto"/>
            </w:tcBorders>
            <w:vAlign w:val="center"/>
            <w:hideMark/>
          </w:tcPr>
          <w:p w14:paraId="074A5AC1" w14:textId="2EEFD8A4" w:rsidR="00145D81" w:rsidRPr="00836FE4" w:rsidRDefault="00145D81" w:rsidP="00145D81">
            <w:pPr>
              <w:rPr>
                <w:iCs/>
                <w:color w:val="414142"/>
                <w:lang w:eastAsia="lv-LV"/>
              </w:rPr>
            </w:pPr>
          </w:p>
        </w:tc>
        <w:tc>
          <w:tcPr>
            <w:tcW w:w="420" w:type="pct"/>
            <w:tcBorders>
              <w:top w:val="outset" w:sz="6" w:space="0" w:color="auto"/>
              <w:left w:val="outset" w:sz="6" w:space="0" w:color="auto"/>
              <w:bottom w:val="outset" w:sz="6" w:space="0" w:color="auto"/>
              <w:right w:val="outset" w:sz="6" w:space="0" w:color="auto"/>
            </w:tcBorders>
            <w:vAlign w:val="center"/>
          </w:tcPr>
          <w:p w14:paraId="4A884DFE" w14:textId="77777777" w:rsidR="00145D81" w:rsidRPr="00836FE4" w:rsidRDefault="002A525E" w:rsidP="00145D81">
            <w:pPr>
              <w:rPr>
                <w:iCs/>
                <w:color w:val="414142"/>
                <w:lang w:eastAsia="lv-LV"/>
              </w:rPr>
            </w:pPr>
            <w:r w:rsidRPr="00836FE4">
              <w:rPr>
                <w:iCs/>
                <w:color w:val="414142"/>
                <w:lang w:eastAsia="lv-LV"/>
              </w:rPr>
              <w:t>0</w:t>
            </w:r>
          </w:p>
        </w:tc>
        <w:tc>
          <w:tcPr>
            <w:tcW w:w="519" w:type="pct"/>
            <w:tcBorders>
              <w:top w:val="outset" w:sz="6" w:space="0" w:color="auto"/>
              <w:left w:val="outset" w:sz="6" w:space="0" w:color="auto"/>
              <w:bottom w:val="outset" w:sz="6" w:space="0" w:color="auto"/>
              <w:right w:val="outset" w:sz="6" w:space="0" w:color="auto"/>
            </w:tcBorders>
            <w:vAlign w:val="center"/>
          </w:tcPr>
          <w:p w14:paraId="6A24E5BC" w14:textId="77777777" w:rsidR="00145D81" w:rsidRPr="00836FE4" w:rsidRDefault="000E1E1A" w:rsidP="00145D81">
            <w:pPr>
              <w:rPr>
                <w:iCs/>
                <w:color w:val="414142"/>
                <w:lang w:eastAsia="lv-LV"/>
              </w:rPr>
            </w:pPr>
            <w:r w:rsidRPr="000E1E1A">
              <w:rPr>
                <w:iCs/>
                <w:color w:val="414142"/>
                <w:lang w:eastAsia="lv-LV"/>
              </w:rPr>
              <w:t>1303571</w:t>
            </w:r>
          </w:p>
        </w:tc>
        <w:tc>
          <w:tcPr>
            <w:tcW w:w="452" w:type="pct"/>
            <w:tcBorders>
              <w:top w:val="outset" w:sz="6" w:space="0" w:color="auto"/>
              <w:left w:val="outset" w:sz="6" w:space="0" w:color="auto"/>
              <w:bottom w:val="outset" w:sz="6" w:space="0" w:color="auto"/>
              <w:right w:val="outset" w:sz="6" w:space="0" w:color="auto"/>
            </w:tcBorders>
            <w:vAlign w:val="center"/>
            <w:hideMark/>
          </w:tcPr>
          <w:p w14:paraId="248E3CAF" w14:textId="77777777" w:rsidR="00145D81" w:rsidRPr="00836FE4" w:rsidRDefault="002A525E" w:rsidP="00145D81">
            <w:pPr>
              <w:rPr>
                <w:iCs/>
                <w:color w:val="414142"/>
                <w:lang w:eastAsia="lv-LV"/>
              </w:rPr>
            </w:pPr>
            <w:r w:rsidRPr="00836FE4">
              <w:rPr>
                <w:iCs/>
                <w:color w:val="414142"/>
                <w:lang w:eastAsia="lv-LV"/>
              </w:rPr>
              <w:t>0</w:t>
            </w:r>
          </w:p>
        </w:tc>
        <w:tc>
          <w:tcPr>
            <w:tcW w:w="504" w:type="pct"/>
            <w:tcBorders>
              <w:top w:val="outset" w:sz="6" w:space="0" w:color="auto"/>
              <w:left w:val="outset" w:sz="6" w:space="0" w:color="auto"/>
              <w:bottom w:val="outset" w:sz="6" w:space="0" w:color="auto"/>
              <w:right w:val="outset" w:sz="6" w:space="0" w:color="auto"/>
            </w:tcBorders>
            <w:vAlign w:val="center"/>
            <w:hideMark/>
          </w:tcPr>
          <w:p w14:paraId="7FBAC1D0" w14:textId="77777777" w:rsidR="00145D81" w:rsidRPr="00836FE4" w:rsidRDefault="000E1E1A" w:rsidP="00145D81">
            <w:pPr>
              <w:rPr>
                <w:iCs/>
                <w:color w:val="414142"/>
                <w:lang w:eastAsia="lv-LV"/>
              </w:rPr>
            </w:pPr>
            <w:r w:rsidRPr="000E1E1A">
              <w:rPr>
                <w:iCs/>
                <w:color w:val="414142"/>
                <w:lang w:eastAsia="lv-LV"/>
              </w:rPr>
              <w:t>1303571</w:t>
            </w:r>
          </w:p>
        </w:tc>
        <w:tc>
          <w:tcPr>
            <w:tcW w:w="1216" w:type="pct"/>
            <w:tcBorders>
              <w:top w:val="outset" w:sz="6" w:space="0" w:color="auto"/>
              <w:left w:val="outset" w:sz="6" w:space="0" w:color="auto"/>
              <w:bottom w:val="outset" w:sz="6" w:space="0" w:color="auto"/>
              <w:right w:val="outset" w:sz="6" w:space="0" w:color="auto"/>
            </w:tcBorders>
            <w:vAlign w:val="center"/>
            <w:hideMark/>
          </w:tcPr>
          <w:p w14:paraId="3AAA4A44" w14:textId="17A9AE34" w:rsidR="00145D81" w:rsidRPr="00836FE4" w:rsidRDefault="007563AA" w:rsidP="00145D81">
            <w:pPr>
              <w:rPr>
                <w:iCs/>
                <w:color w:val="414142"/>
                <w:lang w:eastAsia="lv-LV"/>
              </w:rPr>
            </w:pPr>
            <w:r>
              <w:rPr>
                <w:iCs/>
                <w:color w:val="414142"/>
                <w:lang w:eastAsia="lv-LV"/>
              </w:rPr>
              <w:t>1303572</w:t>
            </w:r>
          </w:p>
        </w:tc>
      </w:tr>
      <w:tr w:rsidR="00D93C68" w14:paraId="1A6CC732" w14:textId="77777777" w:rsidTr="00D93C68">
        <w:trPr>
          <w:tblCellSpacing w:w="15" w:type="dxa"/>
        </w:trPr>
        <w:tc>
          <w:tcPr>
            <w:tcW w:w="809" w:type="pct"/>
            <w:tcBorders>
              <w:top w:val="outset" w:sz="6" w:space="0" w:color="auto"/>
              <w:left w:val="outset" w:sz="6" w:space="0" w:color="auto"/>
              <w:bottom w:val="outset" w:sz="6" w:space="0" w:color="auto"/>
              <w:right w:val="outset" w:sz="6" w:space="0" w:color="auto"/>
            </w:tcBorders>
            <w:hideMark/>
          </w:tcPr>
          <w:p w14:paraId="58FF8872" w14:textId="77777777" w:rsidR="00D93C68" w:rsidRPr="00836FE4" w:rsidRDefault="00D93C68" w:rsidP="00D93C68">
            <w:pPr>
              <w:rPr>
                <w:iCs/>
                <w:color w:val="414142"/>
                <w:lang w:eastAsia="lv-LV"/>
              </w:rPr>
            </w:pPr>
            <w:r w:rsidRPr="00836FE4">
              <w:rPr>
                <w:iCs/>
                <w:color w:val="414142"/>
                <w:lang w:eastAsia="lv-LV"/>
              </w:rPr>
              <w:t>1.1. valsts pamatbudžets, tai skaitā ieņēmumi no maksas pakalpojumiem un citi pašu ieņēmumi</w:t>
            </w:r>
          </w:p>
        </w:tc>
        <w:tc>
          <w:tcPr>
            <w:tcW w:w="405" w:type="pct"/>
            <w:tcBorders>
              <w:top w:val="outset" w:sz="6" w:space="0" w:color="auto"/>
              <w:left w:val="outset" w:sz="6" w:space="0" w:color="auto"/>
              <w:bottom w:val="outset" w:sz="6" w:space="0" w:color="auto"/>
              <w:right w:val="outset" w:sz="6" w:space="0" w:color="auto"/>
            </w:tcBorders>
            <w:vAlign w:val="center"/>
            <w:hideMark/>
          </w:tcPr>
          <w:p w14:paraId="5E22755F" w14:textId="77777777" w:rsidR="00D93C68" w:rsidRPr="00836FE4" w:rsidRDefault="00D93C68" w:rsidP="00D93C68">
            <w:pPr>
              <w:rPr>
                <w:iCs/>
                <w:color w:val="414142"/>
                <w:lang w:eastAsia="lv-LV"/>
              </w:rPr>
            </w:pPr>
            <w:r w:rsidRPr="00836FE4">
              <w:rPr>
                <w:iCs/>
                <w:color w:val="414142"/>
                <w:lang w:eastAsia="lv-LV"/>
              </w:rPr>
              <w:t>0</w:t>
            </w:r>
          </w:p>
        </w:tc>
        <w:tc>
          <w:tcPr>
            <w:tcW w:w="535" w:type="pct"/>
            <w:tcBorders>
              <w:top w:val="outset" w:sz="6" w:space="0" w:color="auto"/>
              <w:left w:val="outset" w:sz="6" w:space="0" w:color="auto"/>
              <w:bottom w:val="outset" w:sz="6" w:space="0" w:color="auto"/>
              <w:right w:val="outset" w:sz="6" w:space="0" w:color="auto"/>
            </w:tcBorders>
            <w:vAlign w:val="center"/>
            <w:hideMark/>
          </w:tcPr>
          <w:p w14:paraId="6AFDB64B" w14:textId="638CD230" w:rsidR="00D93C68" w:rsidRPr="00836FE4" w:rsidRDefault="00D93C68" w:rsidP="00D93C68">
            <w:pPr>
              <w:rPr>
                <w:iCs/>
                <w:color w:val="414142"/>
                <w:lang w:eastAsia="lv-LV"/>
              </w:rPr>
            </w:pPr>
          </w:p>
        </w:tc>
        <w:tc>
          <w:tcPr>
            <w:tcW w:w="420" w:type="pct"/>
            <w:tcBorders>
              <w:top w:val="outset" w:sz="6" w:space="0" w:color="auto"/>
              <w:left w:val="outset" w:sz="6" w:space="0" w:color="auto"/>
              <w:bottom w:val="outset" w:sz="6" w:space="0" w:color="auto"/>
              <w:right w:val="outset" w:sz="6" w:space="0" w:color="auto"/>
            </w:tcBorders>
            <w:vAlign w:val="center"/>
            <w:hideMark/>
          </w:tcPr>
          <w:p w14:paraId="224753F5" w14:textId="77777777" w:rsidR="00D93C68" w:rsidRPr="00836FE4" w:rsidRDefault="00D93C68" w:rsidP="00D93C68">
            <w:pPr>
              <w:rPr>
                <w:iCs/>
                <w:color w:val="414142"/>
                <w:lang w:eastAsia="lv-LV"/>
              </w:rPr>
            </w:pPr>
            <w:r w:rsidRPr="00836FE4">
              <w:rPr>
                <w:iCs/>
                <w:color w:val="414142"/>
                <w:lang w:eastAsia="lv-LV"/>
              </w:rPr>
              <w:t>0</w:t>
            </w:r>
          </w:p>
        </w:tc>
        <w:tc>
          <w:tcPr>
            <w:tcW w:w="519" w:type="pct"/>
            <w:tcBorders>
              <w:top w:val="outset" w:sz="6" w:space="0" w:color="auto"/>
              <w:left w:val="outset" w:sz="6" w:space="0" w:color="auto"/>
              <w:bottom w:val="outset" w:sz="6" w:space="0" w:color="auto"/>
              <w:right w:val="outset" w:sz="6" w:space="0" w:color="auto"/>
            </w:tcBorders>
            <w:vAlign w:val="center"/>
            <w:hideMark/>
          </w:tcPr>
          <w:p w14:paraId="256CA975" w14:textId="77777777" w:rsidR="00D93C68" w:rsidRPr="00836FE4" w:rsidRDefault="00D93C68" w:rsidP="00D93C68">
            <w:pPr>
              <w:rPr>
                <w:iCs/>
                <w:color w:val="414142"/>
                <w:lang w:eastAsia="lv-LV"/>
              </w:rPr>
            </w:pPr>
            <w:r w:rsidRPr="000E1E1A">
              <w:rPr>
                <w:iCs/>
                <w:color w:val="414142"/>
                <w:lang w:eastAsia="lv-LV"/>
              </w:rPr>
              <w:t>1303571</w:t>
            </w:r>
          </w:p>
        </w:tc>
        <w:tc>
          <w:tcPr>
            <w:tcW w:w="452" w:type="pct"/>
            <w:tcBorders>
              <w:top w:val="outset" w:sz="6" w:space="0" w:color="auto"/>
              <w:left w:val="outset" w:sz="6" w:space="0" w:color="auto"/>
              <w:bottom w:val="outset" w:sz="6" w:space="0" w:color="auto"/>
              <w:right w:val="outset" w:sz="6" w:space="0" w:color="auto"/>
            </w:tcBorders>
            <w:vAlign w:val="center"/>
            <w:hideMark/>
          </w:tcPr>
          <w:p w14:paraId="54ADC3F8" w14:textId="77777777" w:rsidR="00D93C68" w:rsidRPr="00836FE4" w:rsidRDefault="00D93C68" w:rsidP="00D93C68">
            <w:pPr>
              <w:rPr>
                <w:iCs/>
                <w:color w:val="414142"/>
                <w:lang w:eastAsia="lv-LV"/>
              </w:rPr>
            </w:pPr>
            <w:r w:rsidRPr="00836FE4">
              <w:rPr>
                <w:iCs/>
                <w:color w:val="414142"/>
                <w:lang w:eastAsia="lv-LV"/>
              </w:rPr>
              <w:t>0</w:t>
            </w:r>
          </w:p>
        </w:tc>
        <w:tc>
          <w:tcPr>
            <w:tcW w:w="504" w:type="pct"/>
            <w:tcBorders>
              <w:top w:val="outset" w:sz="6" w:space="0" w:color="auto"/>
              <w:left w:val="outset" w:sz="6" w:space="0" w:color="auto"/>
              <w:bottom w:val="outset" w:sz="6" w:space="0" w:color="auto"/>
              <w:right w:val="outset" w:sz="6" w:space="0" w:color="auto"/>
            </w:tcBorders>
            <w:vAlign w:val="center"/>
            <w:hideMark/>
          </w:tcPr>
          <w:p w14:paraId="2943F276" w14:textId="77777777" w:rsidR="00D93C68" w:rsidRPr="00836FE4" w:rsidRDefault="00D93C68" w:rsidP="00D93C68">
            <w:pPr>
              <w:rPr>
                <w:iCs/>
                <w:color w:val="414142"/>
                <w:lang w:eastAsia="lv-LV"/>
              </w:rPr>
            </w:pPr>
            <w:r w:rsidRPr="000E1E1A">
              <w:rPr>
                <w:iCs/>
                <w:color w:val="414142"/>
                <w:lang w:eastAsia="lv-LV"/>
              </w:rPr>
              <w:t>1303571</w:t>
            </w:r>
          </w:p>
        </w:tc>
        <w:tc>
          <w:tcPr>
            <w:tcW w:w="1216" w:type="pct"/>
            <w:tcBorders>
              <w:top w:val="outset" w:sz="6" w:space="0" w:color="auto"/>
              <w:left w:val="outset" w:sz="6" w:space="0" w:color="auto"/>
              <w:bottom w:val="outset" w:sz="6" w:space="0" w:color="auto"/>
              <w:right w:val="outset" w:sz="6" w:space="0" w:color="auto"/>
            </w:tcBorders>
            <w:vAlign w:val="center"/>
            <w:hideMark/>
          </w:tcPr>
          <w:p w14:paraId="2EB96BE4" w14:textId="2C68585A" w:rsidR="00D93C68" w:rsidRPr="00836FE4" w:rsidRDefault="007563AA" w:rsidP="00D93C68">
            <w:pPr>
              <w:rPr>
                <w:iCs/>
                <w:color w:val="414142"/>
                <w:lang w:eastAsia="lv-LV"/>
              </w:rPr>
            </w:pPr>
            <w:r w:rsidRPr="007563AA">
              <w:rPr>
                <w:iCs/>
                <w:color w:val="414142"/>
                <w:lang w:eastAsia="lv-LV"/>
              </w:rPr>
              <w:t>1303572</w:t>
            </w:r>
          </w:p>
        </w:tc>
      </w:tr>
      <w:tr w:rsidR="00CC6F38" w14:paraId="12AB8CF7" w14:textId="77777777" w:rsidTr="00D93C68">
        <w:trPr>
          <w:tblCellSpacing w:w="15" w:type="dxa"/>
        </w:trPr>
        <w:tc>
          <w:tcPr>
            <w:tcW w:w="809" w:type="pct"/>
            <w:tcBorders>
              <w:top w:val="outset" w:sz="6" w:space="0" w:color="auto"/>
              <w:left w:val="outset" w:sz="6" w:space="0" w:color="auto"/>
              <w:bottom w:val="outset" w:sz="6" w:space="0" w:color="auto"/>
              <w:right w:val="outset" w:sz="6" w:space="0" w:color="auto"/>
            </w:tcBorders>
            <w:hideMark/>
          </w:tcPr>
          <w:p w14:paraId="5A2299EF" w14:textId="77777777" w:rsidR="00145D81" w:rsidRPr="00836FE4" w:rsidRDefault="002A525E" w:rsidP="00145D81">
            <w:pPr>
              <w:rPr>
                <w:iCs/>
                <w:color w:val="414142"/>
                <w:lang w:eastAsia="lv-LV"/>
              </w:rPr>
            </w:pPr>
            <w:r w:rsidRPr="00836FE4">
              <w:rPr>
                <w:iCs/>
                <w:color w:val="414142"/>
                <w:lang w:eastAsia="lv-LV"/>
              </w:rPr>
              <w:t>1.2. valsts speciālais budžets</w:t>
            </w:r>
          </w:p>
        </w:tc>
        <w:tc>
          <w:tcPr>
            <w:tcW w:w="405" w:type="pct"/>
            <w:tcBorders>
              <w:top w:val="outset" w:sz="6" w:space="0" w:color="auto"/>
              <w:left w:val="outset" w:sz="6" w:space="0" w:color="auto"/>
              <w:bottom w:val="outset" w:sz="6" w:space="0" w:color="auto"/>
              <w:right w:val="outset" w:sz="6" w:space="0" w:color="auto"/>
            </w:tcBorders>
            <w:vAlign w:val="center"/>
            <w:hideMark/>
          </w:tcPr>
          <w:p w14:paraId="7C785EAE" w14:textId="77777777" w:rsidR="00145D81" w:rsidRPr="00836FE4" w:rsidRDefault="002A525E" w:rsidP="00145D81">
            <w:pPr>
              <w:rPr>
                <w:iCs/>
                <w:color w:val="414142"/>
                <w:lang w:eastAsia="lv-LV"/>
              </w:rPr>
            </w:pPr>
            <w:r w:rsidRPr="00836FE4">
              <w:rPr>
                <w:iCs/>
                <w:color w:val="414142"/>
                <w:lang w:eastAsia="lv-LV"/>
              </w:rPr>
              <w:t> 0</w:t>
            </w:r>
          </w:p>
        </w:tc>
        <w:tc>
          <w:tcPr>
            <w:tcW w:w="535" w:type="pct"/>
            <w:tcBorders>
              <w:top w:val="outset" w:sz="6" w:space="0" w:color="auto"/>
              <w:left w:val="outset" w:sz="6" w:space="0" w:color="auto"/>
              <w:bottom w:val="outset" w:sz="6" w:space="0" w:color="auto"/>
              <w:right w:val="outset" w:sz="6" w:space="0" w:color="auto"/>
            </w:tcBorders>
            <w:vAlign w:val="center"/>
            <w:hideMark/>
          </w:tcPr>
          <w:p w14:paraId="30D538E4" w14:textId="77777777" w:rsidR="00145D81" w:rsidRPr="00836FE4" w:rsidRDefault="002A525E" w:rsidP="00145D81">
            <w:pPr>
              <w:rPr>
                <w:iCs/>
                <w:color w:val="414142"/>
                <w:lang w:eastAsia="lv-LV"/>
              </w:rPr>
            </w:pPr>
            <w:r w:rsidRPr="00836FE4">
              <w:rPr>
                <w:iCs/>
                <w:color w:val="414142"/>
                <w:lang w:eastAsia="lv-LV"/>
              </w:rPr>
              <w:t>0</w:t>
            </w:r>
          </w:p>
        </w:tc>
        <w:tc>
          <w:tcPr>
            <w:tcW w:w="420" w:type="pct"/>
            <w:tcBorders>
              <w:top w:val="outset" w:sz="6" w:space="0" w:color="auto"/>
              <w:left w:val="outset" w:sz="6" w:space="0" w:color="auto"/>
              <w:bottom w:val="outset" w:sz="6" w:space="0" w:color="auto"/>
              <w:right w:val="outset" w:sz="6" w:space="0" w:color="auto"/>
            </w:tcBorders>
            <w:vAlign w:val="center"/>
            <w:hideMark/>
          </w:tcPr>
          <w:p w14:paraId="7EF44A15" w14:textId="77777777" w:rsidR="00145D81" w:rsidRPr="00836FE4" w:rsidRDefault="002A525E" w:rsidP="00145D81">
            <w:pPr>
              <w:rPr>
                <w:iCs/>
                <w:color w:val="414142"/>
                <w:lang w:eastAsia="lv-LV"/>
              </w:rPr>
            </w:pPr>
            <w:r w:rsidRPr="00836FE4">
              <w:rPr>
                <w:iCs/>
                <w:color w:val="414142"/>
                <w:lang w:eastAsia="lv-LV"/>
              </w:rPr>
              <w:t>0</w:t>
            </w:r>
          </w:p>
        </w:tc>
        <w:tc>
          <w:tcPr>
            <w:tcW w:w="519" w:type="pct"/>
            <w:tcBorders>
              <w:top w:val="outset" w:sz="6" w:space="0" w:color="auto"/>
              <w:left w:val="outset" w:sz="6" w:space="0" w:color="auto"/>
              <w:bottom w:val="outset" w:sz="6" w:space="0" w:color="auto"/>
              <w:right w:val="outset" w:sz="6" w:space="0" w:color="auto"/>
            </w:tcBorders>
            <w:vAlign w:val="center"/>
            <w:hideMark/>
          </w:tcPr>
          <w:p w14:paraId="7CCAFDDD" w14:textId="77777777" w:rsidR="00145D81" w:rsidRPr="00836FE4" w:rsidRDefault="002A525E" w:rsidP="00145D81">
            <w:pPr>
              <w:rPr>
                <w:iCs/>
                <w:color w:val="414142"/>
                <w:lang w:eastAsia="lv-LV"/>
              </w:rPr>
            </w:pPr>
            <w:r w:rsidRPr="00836FE4">
              <w:rPr>
                <w:iCs/>
                <w:color w:val="414142"/>
                <w:lang w:eastAsia="lv-LV"/>
              </w:rPr>
              <w:t>0</w:t>
            </w:r>
          </w:p>
        </w:tc>
        <w:tc>
          <w:tcPr>
            <w:tcW w:w="452" w:type="pct"/>
            <w:tcBorders>
              <w:top w:val="outset" w:sz="6" w:space="0" w:color="auto"/>
              <w:left w:val="outset" w:sz="6" w:space="0" w:color="auto"/>
              <w:bottom w:val="outset" w:sz="6" w:space="0" w:color="auto"/>
              <w:right w:val="outset" w:sz="6" w:space="0" w:color="auto"/>
            </w:tcBorders>
            <w:vAlign w:val="center"/>
            <w:hideMark/>
          </w:tcPr>
          <w:p w14:paraId="1279F967" w14:textId="77777777" w:rsidR="00145D81" w:rsidRPr="00836FE4" w:rsidRDefault="002A525E" w:rsidP="00145D81">
            <w:pPr>
              <w:rPr>
                <w:iCs/>
                <w:color w:val="414142"/>
                <w:lang w:eastAsia="lv-LV"/>
              </w:rPr>
            </w:pPr>
            <w:r w:rsidRPr="00836FE4">
              <w:rPr>
                <w:iCs/>
                <w:color w:val="414142"/>
                <w:lang w:eastAsia="lv-LV"/>
              </w:rPr>
              <w:t>0</w:t>
            </w:r>
          </w:p>
        </w:tc>
        <w:tc>
          <w:tcPr>
            <w:tcW w:w="504" w:type="pct"/>
            <w:tcBorders>
              <w:top w:val="outset" w:sz="6" w:space="0" w:color="auto"/>
              <w:left w:val="outset" w:sz="6" w:space="0" w:color="auto"/>
              <w:bottom w:val="outset" w:sz="6" w:space="0" w:color="auto"/>
              <w:right w:val="outset" w:sz="6" w:space="0" w:color="auto"/>
            </w:tcBorders>
            <w:vAlign w:val="center"/>
            <w:hideMark/>
          </w:tcPr>
          <w:p w14:paraId="6C61B078" w14:textId="77777777" w:rsidR="00145D81" w:rsidRPr="00836FE4" w:rsidRDefault="002A525E" w:rsidP="00145D81">
            <w:pPr>
              <w:rPr>
                <w:iCs/>
                <w:color w:val="414142"/>
                <w:lang w:eastAsia="lv-LV"/>
              </w:rPr>
            </w:pPr>
            <w:r w:rsidRPr="00836FE4">
              <w:rPr>
                <w:iCs/>
                <w:color w:val="414142"/>
                <w:lang w:eastAsia="lv-LV"/>
              </w:rPr>
              <w:t>0</w:t>
            </w:r>
          </w:p>
        </w:tc>
        <w:tc>
          <w:tcPr>
            <w:tcW w:w="1216" w:type="pct"/>
            <w:tcBorders>
              <w:top w:val="outset" w:sz="6" w:space="0" w:color="auto"/>
              <w:left w:val="outset" w:sz="6" w:space="0" w:color="auto"/>
              <w:bottom w:val="outset" w:sz="6" w:space="0" w:color="auto"/>
              <w:right w:val="outset" w:sz="6" w:space="0" w:color="auto"/>
            </w:tcBorders>
            <w:vAlign w:val="center"/>
            <w:hideMark/>
          </w:tcPr>
          <w:p w14:paraId="7ABBD371" w14:textId="77777777" w:rsidR="00145D81" w:rsidRPr="00836FE4" w:rsidRDefault="002A525E" w:rsidP="00145D81">
            <w:pPr>
              <w:rPr>
                <w:iCs/>
                <w:color w:val="414142"/>
                <w:lang w:eastAsia="lv-LV"/>
              </w:rPr>
            </w:pPr>
            <w:r w:rsidRPr="00836FE4">
              <w:rPr>
                <w:iCs/>
                <w:color w:val="414142"/>
                <w:lang w:eastAsia="lv-LV"/>
              </w:rPr>
              <w:t>0</w:t>
            </w:r>
          </w:p>
        </w:tc>
      </w:tr>
      <w:tr w:rsidR="00CC6F38" w14:paraId="05910536" w14:textId="77777777" w:rsidTr="00D93C68">
        <w:trPr>
          <w:tblCellSpacing w:w="15" w:type="dxa"/>
        </w:trPr>
        <w:tc>
          <w:tcPr>
            <w:tcW w:w="809" w:type="pct"/>
            <w:tcBorders>
              <w:top w:val="outset" w:sz="6" w:space="0" w:color="auto"/>
              <w:left w:val="outset" w:sz="6" w:space="0" w:color="auto"/>
              <w:bottom w:val="outset" w:sz="6" w:space="0" w:color="auto"/>
              <w:right w:val="outset" w:sz="6" w:space="0" w:color="auto"/>
            </w:tcBorders>
            <w:hideMark/>
          </w:tcPr>
          <w:p w14:paraId="5A4B9D65" w14:textId="77777777" w:rsidR="00145D81" w:rsidRPr="00836FE4" w:rsidRDefault="002A525E" w:rsidP="00145D81">
            <w:pPr>
              <w:rPr>
                <w:iCs/>
                <w:color w:val="414142"/>
                <w:lang w:eastAsia="lv-LV"/>
              </w:rPr>
            </w:pPr>
            <w:r w:rsidRPr="00836FE4">
              <w:rPr>
                <w:iCs/>
                <w:color w:val="414142"/>
                <w:lang w:eastAsia="lv-LV"/>
              </w:rPr>
              <w:t>1.3. pašvaldību budžets</w:t>
            </w:r>
          </w:p>
        </w:tc>
        <w:tc>
          <w:tcPr>
            <w:tcW w:w="405" w:type="pct"/>
            <w:tcBorders>
              <w:top w:val="outset" w:sz="6" w:space="0" w:color="auto"/>
              <w:left w:val="outset" w:sz="6" w:space="0" w:color="auto"/>
              <w:bottom w:val="outset" w:sz="6" w:space="0" w:color="auto"/>
              <w:right w:val="outset" w:sz="6" w:space="0" w:color="auto"/>
            </w:tcBorders>
            <w:vAlign w:val="center"/>
            <w:hideMark/>
          </w:tcPr>
          <w:p w14:paraId="21E21857" w14:textId="77777777" w:rsidR="00145D81" w:rsidRPr="00836FE4" w:rsidRDefault="002A525E" w:rsidP="00145D81">
            <w:pPr>
              <w:rPr>
                <w:iCs/>
                <w:color w:val="414142"/>
                <w:lang w:eastAsia="lv-LV"/>
              </w:rPr>
            </w:pPr>
            <w:r w:rsidRPr="00836FE4">
              <w:rPr>
                <w:iCs/>
                <w:color w:val="414142"/>
                <w:lang w:eastAsia="lv-LV"/>
              </w:rPr>
              <w:t>0</w:t>
            </w:r>
          </w:p>
        </w:tc>
        <w:tc>
          <w:tcPr>
            <w:tcW w:w="535" w:type="pct"/>
            <w:tcBorders>
              <w:top w:val="outset" w:sz="6" w:space="0" w:color="auto"/>
              <w:left w:val="outset" w:sz="6" w:space="0" w:color="auto"/>
              <w:bottom w:val="outset" w:sz="6" w:space="0" w:color="auto"/>
              <w:right w:val="outset" w:sz="6" w:space="0" w:color="auto"/>
            </w:tcBorders>
            <w:vAlign w:val="center"/>
            <w:hideMark/>
          </w:tcPr>
          <w:p w14:paraId="79CC839D" w14:textId="77777777" w:rsidR="00145D81" w:rsidRPr="00836FE4" w:rsidRDefault="002A525E" w:rsidP="00145D81">
            <w:pPr>
              <w:rPr>
                <w:iCs/>
                <w:color w:val="414142"/>
                <w:lang w:eastAsia="lv-LV"/>
              </w:rPr>
            </w:pPr>
            <w:r w:rsidRPr="00836FE4">
              <w:rPr>
                <w:iCs/>
                <w:color w:val="414142"/>
                <w:lang w:eastAsia="lv-LV"/>
              </w:rPr>
              <w:t>0</w:t>
            </w:r>
          </w:p>
        </w:tc>
        <w:tc>
          <w:tcPr>
            <w:tcW w:w="420" w:type="pct"/>
            <w:tcBorders>
              <w:top w:val="outset" w:sz="6" w:space="0" w:color="auto"/>
              <w:left w:val="outset" w:sz="6" w:space="0" w:color="auto"/>
              <w:bottom w:val="outset" w:sz="6" w:space="0" w:color="auto"/>
              <w:right w:val="outset" w:sz="6" w:space="0" w:color="auto"/>
            </w:tcBorders>
            <w:vAlign w:val="center"/>
            <w:hideMark/>
          </w:tcPr>
          <w:p w14:paraId="35E21F36" w14:textId="77777777" w:rsidR="00145D81" w:rsidRPr="00836FE4" w:rsidRDefault="002A525E" w:rsidP="00145D81">
            <w:pPr>
              <w:rPr>
                <w:iCs/>
                <w:color w:val="414142"/>
                <w:lang w:eastAsia="lv-LV"/>
              </w:rPr>
            </w:pPr>
            <w:r w:rsidRPr="00836FE4">
              <w:rPr>
                <w:iCs/>
                <w:color w:val="414142"/>
                <w:lang w:eastAsia="lv-LV"/>
              </w:rPr>
              <w:t>0</w:t>
            </w:r>
          </w:p>
        </w:tc>
        <w:tc>
          <w:tcPr>
            <w:tcW w:w="519" w:type="pct"/>
            <w:tcBorders>
              <w:top w:val="outset" w:sz="6" w:space="0" w:color="auto"/>
              <w:left w:val="outset" w:sz="6" w:space="0" w:color="auto"/>
              <w:bottom w:val="outset" w:sz="6" w:space="0" w:color="auto"/>
              <w:right w:val="outset" w:sz="6" w:space="0" w:color="auto"/>
            </w:tcBorders>
            <w:vAlign w:val="center"/>
            <w:hideMark/>
          </w:tcPr>
          <w:p w14:paraId="3ED43A27" w14:textId="77777777" w:rsidR="00145D81" w:rsidRPr="00836FE4" w:rsidRDefault="002A525E" w:rsidP="00145D81">
            <w:pPr>
              <w:rPr>
                <w:iCs/>
                <w:color w:val="414142"/>
                <w:lang w:eastAsia="lv-LV"/>
              </w:rPr>
            </w:pPr>
            <w:r w:rsidRPr="00836FE4">
              <w:rPr>
                <w:iCs/>
                <w:color w:val="414142"/>
                <w:lang w:eastAsia="lv-LV"/>
              </w:rPr>
              <w:t>0</w:t>
            </w:r>
          </w:p>
        </w:tc>
        <w:tc>
          <w:tcPr>
            <w:tcW w:w="452" w:type="pct"/>
            <w:tcBorders>
              <w:top w:val="outset" w:sz="6" w:space="0" w:color="auto"/>
              <w:left w:val="outset" w:sz="6" w:space="0" w:color="auto"/>
              <w:bottom w:val="outset" w:sz="6" w:space="0" w:color="auto"/>
              <w:right w:val="outset" w:sz="6" w:space="0" w:color="auto"/>
            </w:tcBorders>
            <w:vAlign w:val="center"/>
            <w:hideMark/>
          </w:tcPr>
          <w:p w14:paraId="6EC7B458" w14:textId="77777777" w:rsidR="00145D81" w:rsidRPr="00836FE4" w:rsidRDefault="002A525E" w:rsidP="00145D81">
            <w:pPr>
              <w:rPr>
                <w:iCs/>
                <w:color w:val="414142"/>
                <w:lang w:eastAsia="lv-LV"/>
              </w:rPr>
            </w:pPr>
            <w:r w:rsidRPr="00836FE4">
              <w:rPr>
                <w:iCs/>
                <w:color w:val="414142"/>
                <w:lang w:eastAsia="lv-LV"/>
              </w:rPr>
              <w:t>0</w:t>
            </w:r>
          </w:p>
        </w:tc>
        <w:tc>
          <w:tcPr>
            <w:tcW w:w="504" w:type="pct"/>
            <w:tcBorders>
              <w:top w:val="outset" w:sz="6" w:space="0" w:color="auto"/>
              <w:left w:val="outset" w:sz="6" w:space="0" w:color="auto"/>
              <w:bottom w:val="outset" w:sz="6" w:space="0" w:color="auto"/>
              <w:right w:val="outset" w:sz="6" w:space="0" w:color="auto"/>
            </w:tcBorders>
            <w:vAlign w:val="center"/>
            <w:hideMark/>
          </w:tcPr>
          <w:p w14:paraId="7E5E8D6D" w14:textId="77777777" w:rsidR="00145D81" w:rsidRPr="00836FE4" w:rsidRDefault="002A525E" w:rsidP="00145D81">
            <w:pPr>
              <w:rPr>
                <w:iCs/>
                <w:color w:val="414142"/>
                <w:lang w:eastAsia="lv-LV"/>
              </w:rPr>
            </w:pPr>
            <w:r w:rsidRPr="00836FE4">
              <w:rPr>
                <w:iCs/>
                <w:color w:val="414142"/>
                <w:lang w:eastAsia="lv-LV"/>
              </w:rPr>
              <w:t>0</w:t>
            </w:r>
          </w:p>
        </w:tc>
        <w:tc>
          <w:tcPr>
            <w:tcW w:w="1216" w:type="pct"/>
            <w:tcBorders>
              <w:top w:val="outset" w:sz="6" w:space="0" w:color="auto"/>
              <w:left w:val="outset" w:sz="6" w:space="0" w:color="auto"/>
              <w:bottom w:val="outset" w:sz="6" w:space="0" w:color="auto"/>
              <w:right w:val="outset" w:sz="6" w:space="0" w:color="auto"/>
            </w:tcBorders>
            <w:vAlign w:val="center"/>
            <w:hideMark/>
          </w:tcPr>
          <w:p w14:paraId="0C647960" w14:textId="77777777" w:rsidR="00145D81" w:rsidRPr="00836FE4" w:rsidRDefault="002A525E" w:rsidP="00145D81">
            <w:pPr>
              <w:rPr>
                <w:iCs/>
                <w:color w:val="414142"/>
                <w:lang w:eastAsia="lv-LV"/>
              </w:rPr>
            </w:pPr>
            <w:r w:rsidRPr="00836FE4">
              <w:rPr>
                <w:iCs/>
                <w:color w:val="414142"/>
                <w:lang w:eastAsia="lv-LV"/>
              </w:rPr>
              <w:t>0</w:t>
            </w:r>
          </w:p>
        </w:tc>
      </w:tr>
      <w:tr w:rsidR="00D93C68" w14:paraId="12A4D0A4" w14:textId="77777777" w:rsidTr="00D93C68">
        <w:trPr>
          <w:tblCellSpacing w:w="15" w:type="dxa"/>
        </w:trPr>
        <w:tc>
          <w:tcPr>
            <w:tcW w:w="809" w:type="pct"/>
            <w:tcBorders>
              <w:top w:val="outset" w:sz="6" w:space="0" w:color="auto"/>
              <w:left w:val="outset" w:sz="6" w:space="0" w:color="auto"/>
              <w:bottom w:val="outset" w:sz="6" w:space="0" w:color="auto"/>
              <w:right w:val="outset" w:sz="6" w:space="0" w:color="auto"/>
            </w:tcBorders>
            <w:hideMark/>
          </w:tcPr>
          <w:p w14:paraId="278197F9" w14:textId="77777777" w:rsidR="00D93C68" w:rsidRPr="00836FE4" w:rsidRDefault="00D93C68" w:rsidP="00D93C68">
            <w:pPr>
              <w:rPr>
                <w:iCs/>
                <w:color w:val="414142"/>
                <w:lang w:eastAsia="lv-LV"/>
              </w:rPr>
            </w:pPr>
            <w:r w:rsidRPr="00836FE4">
              <w:rPr>
                <w:iCs/>
                <w:color w:val="414142"/>
                <w:lang w:eastAsia="lv-LV"/>
              </w:rPr>
              <w:t>2. Budžeta izdevumi</w:t>
            </w:r>
          </w:p>
        </w:tc>
        <w:tc>
          <w:tcPr>
            <w:tcW w:w="405" w:type="pct"/>
            <w:tcBorders>
              <w:top w:val="outset" w:sz="6" w:space="0" w:color="auto"/>
              <w:left w:val="outset" w:sz="6" w:space="0" w:color="auto"/>
              <w:bottom w:val="outset" w:sz="6" w:space="0" w:color="auto"/>
              <w:right w:val="outset" w:sz="6" w:space="0" w:color="auto"/>
            </w:tcBorders>
            <w:vAlign w:val="center"/>
            <w:hideMark/>
          </w:tcPr>
          <w:p w14:paraId="31AFFD81" w14:textId="77777777" w:rsidR="00D93C68" w:rsidRPr="00836FE4" w:rsidRDefault="00D93C68" w:rsidP="00D93C68">
            <w:pPr>
              <w:rPr>
                <w:iCs/>
                <w:color w:val="414142"/>
                <w:lang w:eastAsia="lv-LV"/>
              </w:rPr>
            </w:pPr>
            <w:r w:rsidRPr="00836FE4">
              <w:rPr>
                <w:iCs/>
                <w:color w:val="414142"/>
                <w:lang w:eastAsia="lv-LV"/>
              </w:rPr>
              <w:t>0</w:t>
            </w:r>
          </w:p>
        </w:tc>
        <w:tc>
          <w:tcPr>
            <w:tcW w:w="535" w:type="pct"/>
            <w:tcBorders>
              <w:top w:val="outset" w:sz="6" w:space="0" w:color="auto"/>
              <w:left w:val="outset" w:sz="6" w:space="0" w:color="auto"/>
              <w:bottom w:val="outset" w:sz="6" w:space="0" w:color="auto"/>
              <w:right w:val="outset" w:sz="6" w:space="0" w:color="auto"/>
            </w:tcBorders>
            <w:hideMark/>
          </w:tcPr>
          <w:p w14:paraId="479D13BB" w14:textId="3A12312A" w:rsidR="00D93C68" w:rsidRPr="008D09A2" w:rsidRDefault="00841251" w:rsidP="00D93C68">
            <w:r>
              <w:t>0</w:t>
            </w:r>
          </w:p>
        </w:tc>
        <w:tc>
          <w:tcPr>
            <w:tcW w:w="420" w:type="pct"/>
            <w:tcBorders>
              <w:top w:val="outset" w:sz="6" w:space="0" w:color="auto"/>
              <w:left w:val="outset" w:sz="6" w:space="0" w:color="auto"/>
              <w:bottom w:val="outset" w:sz="6" w:space="0" w:color="auto"/>
              <w:right w:val="outset" w:sz="6" w:space="0" w:color="auto"/>
            </w:tcBorders>
            <w:hideMark/>
          </w:tcPr>
          <w:p w14:paraId="700ACCEA" w14:textId="77777777" w:rsidR="00D93C68" w:rsidRPr="008D09A2" w:rsidRDefault="00D93C68" w:rsidP="00D93C68">
            <w:r w:rsidRPr="008D09A2">
              <w:t>0</w:t>
            </w:r>
          </w:p>
        </w:tc>
        <w:tc>
          <w:tcPr>
            <w:tcW w:w="519" w:type="pct"/>
            <w:tcBorders>
              <w:top w:val="outset" w:sz="6" w:space="0" w:color="auto"/>
              <w:left w:val="outset" w:sz="6" w:space="0" w:color="auto"/>
              <w:bottom w:val="outset" w:sz="6" w:space="0" w:color="auto"/>
              <w:right w:val="outset" w:sz="6" w:space="0" w:color="auto"/>
            </w:tcBorders>
            <w:hideMark/>
          </w:tcPr>
          <w:p w14:paraId="696420FF" w14:textId="66F4E223" w:rsidR="00D93C68" w:rsidRPr="008D09A2" w:rsidRDefault="007563AA" w:rsidP="001E7143">
            <w:r>
              <w:t>1533613</w:t>
            </w:r>
          </w:p>
        </w:tc>
        <w:tc>
          <w:tcPr>
            <w:tcW w:w="452" w:type="pct"/>
            <w:tcBorders>
              <w:top w:val="outset" w:sz="6" w:space="0" w:color="auto"/>
              <w:left w:val="outset" w:sz="6" w:space="0" w:color="auto"/>
              <w:bottom w:val="outset" w:sz="6" w:space="0" w:color="auto"/>
              <w:right w:val="outset" w:sz="6" w:space="0" w:color="auto"/>
            </w:tcBorders>
            <w:hideMark/>
          </w:tcPr>
          <w:p w14:paraId="4152B75F" w14:textId="77777777" w:rsidR="00D93C68" w:rsidRPr="008D09A2" w:rsidRDefault="00D93C68" w:rsidP="00D93C68">
            <w:r w:rsidRPr="008D09A2">
              <w:t>0</w:t>
            </w:r>
          </w:p>
        </w:tc>
        <w:tc>
          <w:tcPr>
            <w:tcW w:w="504" w:type="pct"/>
            <w:tcBorders>
              <w:top w:val="outset" w:sz="6" w:space="0" w:color="auto"/>
              <w:left w:val="outset" w:sz="6" w:space="0" w:color="auto"/>
              <w:bottom w:val="outset" w:sz="6" w:space="0" w:color="auto"/>
              <w:right w:val="outset" w:sz="6" w:space="0" w:color="auto"/>
            </w:tcBorders>
          </w:tcPr>
          <w:p w14:paraId="1D517E19" w14:textId="5B94364D" w:rsidR="00D93C68" w:rsidRPr="008D09A2" w:rsidRDefault="00841251" w:rsidP="00D93C68">
            <w:r>
              <w:t>1</w:t>
            </w:r>
            <w:r w:rsidR="007563AA">
              <w:t>533613</w:t>
            </w:r>
          </w:p>
        </w:tc>
        <w:tc>
          <w:tcPr>
            <w:tcW w:w="1216" w:type="pct"/>
            <w:tcBorders>
              <w:top w:val="outset" w:sz="6" w:space="0" w:color="auto"/>
              <w:left w:val="outset" w:sz="6" w:space="0" w:color="auto"/>
              <w:bottom w:val="outset" w:sz="6" w:space="0" w:color="auto"/>
              <w:right w:val="outset" w:sz="6" w:space="0" w:color="auto"/>
            </w:tcBorders>
            <w:hideMark/>
          </w:tcPr>
          <w:p w14:paraId="5A5F3C9A" w14:textId="5FF3FCCA" w:rsidR="00D93C68" w:rsidRDefault="00841251" w:rsidP="00D93C68">
            <w:r>
              <w:t>1</w:t>
            </w:r>
            <w:r w:rsidR="007563AA">
              <w:t>533614</w:t>
            </w:r>
          </w:p>
        </w:tc>
      </w:tr>
      <w:tr w:rsidR="00D93C68" w14:paraId="5C98E795" w14:textId="77777777" w:rsidTr="00D93C68">
        <w:trPr>
          <w:tblCellSpacing w:w="15" w:type="dxa"/>
        </w:trPr>
        <w:tc>
          <w:tcPr>
            <w:tcW w:w="809" w:type="pct"/>
            <w:tcBorders>
              <w:top w:val="outset" w:sz="6" w:space="0" w:color="auto"/>
              <w:left w:val="outset" w:sz="6" w:space="0" w:color="auto"/>
              <w:bottom w:val="outset" w:sz="6" w:space="0" w:color="auto"/>
              <w:right w:val="outset" w:sz="6" w:space="0" w:color="auto"/>
            </w:tcBorders>
            <w:hideMark/>
          </w:tcPr>
          <w:p w14:paraId="57E4DE3F" w14:textId="77777777" w:rsidR="00D93C68" w:rsidRPr="00836FE4" w:rsidRDefault="00D93C68" w:rsidP="00D93C68">
            <w:pPr>
              <w:rPr>
                <w:iCs/>
                <w:color w:val="414142"/>
                <w:lang w:eastAsia="lv-LV"/>
              </w:rPr>
            </w:pPr>
            <w:r w:rsidRPr="00836FE4">
              <w:rPr>
                <w:iCs/>
                <w:color w:val="414142"/>
                <w:lang w:eastAsia="lv-LV"/>
              </w:rPr>
              <w:t>2.1. valsts pamatbudžets</w:t>
            </w:r>
          </w:p>
        </w:tc>
        <w:tc>
          <w:tcPr>
            <w:tcW w:w="405" w:type="pct"/>
            <w:tcBorders>
              <w:top w:val="outset" w:sz="6" w:space="0" w:color="auto"/>
              <w:left w:val="outset" w:sz="6" w:space="0" w:color="auto"/>
              <w:bottom w:val="outset" w:sz="6" w:space="0" w:color="auto"/>
              <w:right w:val="outset" w:sz="6" w:space="0" w:color="auto"/>
            </w:tcBorders>
            <w:vAlign w:val="center"/>
            <w:hideMark/>
          </w:tcPr>
          <w:p w14:paraId="022EF959" w14:textId="77777777" w:rsidR="00D93C68" w:rsidRPr="00836FE4" w:rsidRDefault="00D93C68" w:rsidP="00D93C68">
            <w:pPr>
              <w:rPr>
                <w:iCs/>
                <w:color w:val="414142"/>
                <w:lang w:eastAsia="lv-LV"/>
              </w:rPr>
            </w:pPr>
            <w:r w:rsidRPr="00836FE4">
              <w:rPr>
                <w:iCs/>
                <w:color w:val="414142"/>
                <w:lang w:eastAsia="lv-LV"/>
              </w:rPr>
              <w:t>0</w:t>
            </w:r>
          </w:p>
        </w:tc>
        <w:tc>
          <w:tcPr>
            <w:tcW w:w="535" w:type="pct"/>
            <w:tcBorders>
              <w:top w:val="outset" w:sz="6" w:space="0" w:color="auto"/>
              <w:left w:val="outset" w:sz="6" w:space="0" w:color="auto"/>
              <w:bottom w:val="outset" w:sz="6" w:space="0" w:color="auto"/>
              <w:right w:val="outset" w:sz="6" w:space="0" w:color="auto"/>
            </w:tcBorders>
            <w:hideMark/>
          </w:tcPr>
          <w:p w14:paraId="5F20725E" w14:textId="2E35C2E7" w:rsidR="00D93C68" w:rsidRPr="008D09A2" w:rsidRDefault="00D93C68" w:rsidP="00D93C68"/>
        </w:tc>
        <w:tc>
          <w:tcPr>
            <w:tcW w:w="420" w:type="pct"/>
            <w:tcBorders>
              <w:top w:val="outset" w:sz="6" w:space="0" w:color="auto"/>
              <w:left w:val="outset" w:sz="6" w:space="0" w:color="auto"/>
              <w:bottom w:val="outset" w:sz="6" w:space="0" w:color="auto"/>
              <w:right w:val="outset" w:sz="6" w:space="0" w:color="auto"/>
            </w:tcBorders>
            <w:hideMark/>
          </w:tcPr>
          <w:p w14:paraId="7AD07257" w14:textId="77777777" w:rsidR="00D93C68" w:rsidRPr="008D09A2" w:rsidRDefault="00D93C68" w:rsidP="00D93C68">
            <w:r w:rsidRPr="008D09A2">
              <w:t>0</w:t>
            </w:r>
          </w:p>
        </w:tc>
        <w:tc>
          <w:tcPr>
            <w:tcW w:w="519" w:type="pct"/>
            <w:tcBorders>
              <w:top w:val="outset" w:sz="6" w:space="0" w:color="auto"/>
              <w:left w:val="outset" w:sz="6" w:space="0" w:color="auto"/>
              <w:bottom w:val="outset" w:sz="6" w:space="0" w:color="auto"/>
              <w:right w:val="outset" w:sz="6" w:space="0" w:color="auto"/>
            </w:tcBorders>
            <w:hideMark/>
          </w:tcPr>
          <w:p w14:paraId="29BF5D8E" w14:textId="016F3CAA" w:rsidR="00D93C68" w:rsidRPr="008D09A2" w:rsidRDefault="00A73C18" w:rsidP="00D93C68">
            <w:r w:rsidRPr="00A73C18">
              <w:t>1533613</w:t>
            </w:r>
          </w:p>
        </w:tc>
        <w:tc>
          <w:tcPr>
            <w:tcW w:w="452" w:type="pct"/>
            <w:tcBorders>
              <w:top w:val="outset" w:sz="6" w:space="0" w:color="auto"/>
              <w:left w:val="outset" w:sz="6" w:space="0" w:color="auto"/>
              <w:bottom w:val="outset" w:sz="6" w:space="0" w:color="auto"/>
              <w:right w:val="outset" w:sz="6" w:space="0" w:color="auto"/>
            </w:tcBorders>
            <w:hideMark/>
          </w:tcPr>
          <w:p w14:paraId="2D74E46F" w14:textId="77777777" w:rsidR="00D93C68" w:rsidRPr="008D09A2" w:rsidRDefault="00D93C68" w:rsidP="00D93C68">
            <w:r w:rsidRPr="008D09A2">
              <w:t>0</w:t>
            </w:r>
          </w:p>
        </w:tc>
        <w:tc>
          <w:tcPr>
            <w:tcW w:w="504" w:type="pct"/>
            <w:tcBorders>
              <w:top w:val="outset" w:sz="6" w:space="0" w:color="auto"/>
              <w:left w:val="outset" w:sz="6" w:space="0" w:color="auto"/>
              <w:bottom w:val="outset" w:sz="6" w:space="0" w:color="auto"/>
              <w:right w:val="outset" w:sz="6" w:space="0" w:color="auto"/>
            </w:tcBorders>
            <w:hideMark/>
          </w:tcPr>
          <w:p w14:paraId="786C339D" w14:textId="46CA8D9C" w:rsidR="00D93C68" w:rsidRPr="008D09A2" w:rsidRDefault="00A73C18" w:rsidP="00D93C68">
            <w:r w:rsidRPr="00A73C18">
              <w:t>1533613</w:t>
            </w:r>
          </w:p>
        </w:tc>
        <w:tc>
          <w:tcPr>
            <w:tcW w:w="1216" w:type="pct"/>
            <w:tcBorders>
              <w:top w:val="outset" w:sz="6" w:space="0" w:color="auto"/>
              <w:left w:val="outset" w:sz="6" w:space="0" w:color="auto"/>
              <w:bottom w:val="outset" w:sz="6" w:space="0" w:color="auto"/>
              <w:right w:val="outset" w:sz="6" w:space="0" w:color="auto"/>
            </w:tcBorders>
            <w:hideMark/>
          </w:tcPr>
          <w:p w14:paraId="6A04FE33" w14:textId="5EC5FC46" w:rsidR="00D93C68" w:rsidRDefault="00A73C18" w:rsidP="00D93C68">
            <w:r w:rsidRPr="00A73C18">
              <w:t>1533614</w:t>
            </w:r>
          </w:p>
        </w:tc>
      </w:tr>
      <w:tr w:rsidR="00CC6F38" w14:paraId="0E762E2D" w14:textId="77777777" w:rsidTr="00D93C68">
        <w:trPr>
          <w:tblCellSpacing w:w="15" w:type="dxa"/>
        </w:trPr>
        <w:tc>
          <w:tcPr>
            <w:tcW w:w="809" w:type="pct"/>
            <w:tcBorders>
              <w:top w:val="outset" w:sz="6" w:space="0" w:color="auto"/>
              <w:left w:val="outset" w:sz="6" w:space="0" w:color="auto"/>
              <w:bottom w:val="outset" w:sz="6" w:space="0" w:color="auto"/>
              <w:right w:val="outset" w:sz="6" w:space="0" w:color="auto"/>
            </w:tcBorders>
            <w:hideMark/>
          </w:tcPr>
          <w:p w14:paraId="70F91F09" w14:textId="77777777" w:rsidR="00145D81" w:rsidRPr="00836FE4" w:rsidRDefault="002A525E" w:rsidP="00145D81">
            <w:pPr>
              <w:rPr>
                <w:iCs/>
                <w:color w:val="414142"/>
                <w:lang w:eastAsia="lv-LV"/>
              </w:rPr>
            </w:pPr>
            <w:r w:rsidRPr="00836FE4">
              <w:rPr>
                <w:iCs/>
                <w:color w:val="414142"/>
                <w:lang w:eastAsia="lv-LV"/>
              </w:rPr>
              <w:t>2.2. valsts speciālais budžets</w:t>
            </w:r>
          </w:p>
        </w:tc>
        <w:tc>
          <w:tcPr>
            <w:tcW w:w="405" w:type="pct"/>
            <w:tcBorders>
              <w:top w:val="outset" w:sz="6" w:space="0" w:color="auto"/>
              <w:left w:val="outset" w:sz="6" w:space="0" w:color="auto"/>
              <w:bottom w:val="outset" w:sz="6" w:space="0" w:color="auto"/>
              <w:right w:val="outset" w:sz="6" w:space="0" w:color="auto"/>
            </w:tcBorders>
            <w:vAlign w:val="center"/>
            <w:hideMark/>
          </w:tcPr>
          <w:p w14:paraId="2028894B" w14:textId="77777777" w:rsidR="00145D81" w:rsidRPr="00836FE4" w:rsidRDefault="002A525E" w:rsidP="00145D81">
            <w:pPr>
              <w:rPr>
                <w:iCs/>
                <w:color w:val="414142"/>
                <w:lang w:eastAsia="lv-LV"/>
              </w:rPr>
            </w:pPr>
            <w:r w:rsidRPr="00836FE4">
              <w:rPr>
                <w:iCs/>
                <w:color w:val="414142"/>
                <w:lang w:eastAsia="lv-LV"/>
              </w:rPr>
              <w:t> 0</w:t>
            </w:r>
          </w:p>
        </w:tc>
        <w:tc>
          <w:tcPr>
            <w:tcW w:w="535" w:type="pct"/>
            <w:tcBorders>
              <w:top w:val="outset" w:sz="6" w:space="0" w:color="auto"/>
              <w:left w:val="outset" w:sz="6" w:space="0" w:color="auto"/>
              <w:bottom w:val="outset" w:sz="6" w:space="0" w:color="auto"/>
              <w:right w:val="outset" w:sz="6" w:space="0" w:color="auto"/>
            </w:tcBorders>
            <w:vAlign w:val="center"/>
            <w:hideMark/>
          </w:tcPr>
          <w:p w14:paraId="4E27C0D0" w14:textId="77777777" w:rsidR="00145D81" w:rsidRPr="00836FE4" w:rsidRDefault="002A525E" w:rsidP="00145D81">
            <w:pPr>
              <w:rPr>
                <w:iCs/>
                <w:color w:val="414142"/>
                <w:lang w:eastAsia="lv-LV"/>
              </w:rPr>
            </w:pPr>
            <w:r w:rsidRPr="00836FE4">
              <w:rPr>
                <w:iCs/>
                <w:color w:val="414142"/>
                <w:lang w:eastAsia="lv-LV"/>
              </w:rPr>
              <w:t>0</w:t>
            </w:r>
          </w:p>
        </w:tc>
        <w:tc>
          <w:tcPr>
            <w:tcW w:w="420" w:type="pct"/>
            <w:tcBorders>
              <w:top w:val="outset" w:sz="6" w:space="0" w:color="auto"/>
              <w:left w:val="outset" w:sz="6" w:space="0" w:color="auto"/>
              <w:bottom w:val="outset" w:sz="6" w:space="0" w:color="auto"/>
              <w:right w:val="outset" w:sz="6" w:space="0" w:color="auto"/>
            </w:tcBorders>
            <w:vAlign w:val="center"/>
            <w:hideMark/>
          </w:tcPr>
          <w:p w14:paraId="661CB8BD" w14:textId="77777777" w:rsidR="00145D81" w:rsidRPr="00836FE4" w:rsidRDefault="002A525E" w:rsidP="00145D81">
            <w:pPr>
              <w:rPr>
                <w:iCs/>
                <w:color w:val="414142"/>
                <w:lang w:eastAsia="lv-LV"/>
              </w:rPr>
            </w:pPr>
            <w:r w:rsidRPr="00836FE4">
              <w:rPr>
                <w:iCs/>
                <w:color w:val="414142"/>
                <w:lang w:eastAsia="lv-LV"/>
              </w:rPr>
              <w:t>0</w:t>
            </w:r>
          </w:p>
        </w:tc>
        <w:tc>
          <w:tcPr>
            <w:tcW w:w="519" w:type="pct"/>
            <w:tcBorders>
              <w:top w:val="outset" w:sz="6" w:space="0" w:color="auto"/>
              <w:left w:val="outset" w:sz="6" w:space="0" w:color="auto"/>
              <w:bottom w:val="outset" w:sz="6" w:space="0" w:color="auto"/>
              <w:right w:val="outset" w:sz="6" w:space="0" w:color="auto"/>
            </w:tcBorders>
            <w:vAlign w:val="center"/>
            <w:hideMark/>
          </w:tcPr>
          <w:p w14:paraId="76E807F1" w14:textId="77777777" w:rsidR="00145D81" w:rsidRPr="00836FE4" w:rsidRDefault="002A525E" w:rsidP="00145D81">
            <w:pPr>
              <w:rPr>
                <w:iCs/>
                <w:color w:val="414142"/>
                <w:lang w:eastAsia="lv-LV"/>
              </w:rPr>
            </w:pPr>
            <w:r w:rsidRPr="00836FE4">
              <w:rPr>
                <w:iCs/>
                <w:color w:val="414142"/>
                <w:lang w:eastAsia="lv-LV"/>
              </w:rPr>
              <w:t>0</w:t>
            </w:r>
          </w:p>
        </w:tc>
        <w:tc>
          <w:tcPr>
            <w:tcW w:w="452" w:type="pct"/>
            <w:tcBorders>
              <w:top w:val="outset" w:sz="6" w:space="0" w:color="auto"/>
              <w:left w:val="outset" w:sz="6" w:space="0" w:color="auto"/>
              <w:bottom w:val="outset" w:sz="6" w:space="0" w:color="auto"/>
              <w:right w:val="outset" w:sz="6" w:space="0" w:color="auto"/>
            </w:tcBorders>
            <w:vAlign w:val="center"/>
            <w:hideMark/>
          </w:tcPr>
          <w:p w14:paraId="3E85AE39" w14:textId="77777777" w:rsidR="00145D81" w:rsidRPr="00836FE4" w:rsidRDefault="002A525E" w:rsidP="00145D81">
            <w:pPr>
              <w:rPr>
                <w:iCs/>
                <w:color w:val="414142"/>
                <w:lang w:eastAsia="lv-LV"/>
              </w:rPr>
            </w:pPr>
            <w:r w:rsidRPr="00836FE4">
              <w:rPr>
                <w:iCs/>
                <w:color w:val="414142"/>
                <w:lang w:eastAsia="lv-LV"/>
              </w:rPr>
              <w:t>0</w:t>
            </w:r>
          </w:p>
        </w:tc>
        <w:tc>
          <w:tcPr>
            <w:tcW w:w="504" w:type="pct"/>
            <w:tcBorders>
              <w:top w:val="outset" w:sz="6" w:space="0" w:color="auto"/>
              <w:left w:val="outset" w:sz="6" w:space="0" w:color="auto"/>
              <w:bottom w:val="outset" w:sz="6" w:space="0" w:color="auto"/>
              <w:right w:val="outset" w:sz="6" w:space="0" w:color="auto"/>
            </w:tcBorders>
            <w:vAlign w:val="center"/>
            <w:hideMark/>
          </w:tcPr>
          <w:p w14:paraId="29799C59" w14:textId="77777777" w:rsidR="00145D81" w:rsidRPr="00836FE4" w:rsidRDefault="002A525E" w:rsidP="00145D81">
            <w:pPr>
              <w:rPr>
                <w:iCs/>
                <w:color w:val="414142"/>
                <w:lang w:eastAsia="lv-LV"/>
              </w:rPr>
            </w:pPr>
            <w:r w:rsidRPr="00836FE4">
              <w:rPr>
                <w:iCs/>
                <w:color w:val="414142"/>
                <w:lang w:eastAsia="lv-LV"/>
              </w:rPr>
              <w:t>0</w:t>
            </w:r>
          </w:p>
        </w:tc>
        <w:tc>
          <w:tcPr>
            <w:tcW w:w="1216" w:type="pct"/>
            <w:tcBorders>
              <w:top w:val="outset" w:sz="6" w:space="0" w:color="auto"/>
              <w:left w:val="outset" w:sz="6" w:space="0" w:color="auto"/>
              <w:bottom w:val="outset" w:sz="6" w:space="0" w:color="auto"/>
              <w:right w:val="outset" w:sz="6" w:space="0" w:color="auto"/>
            </w:tcBorders>
            <w:vAlign w:val="center"/>
            <w:hideMark/>
          </w:tcPr>
          <w:p w14:paraId="396FBB6E" w14:textId="77777777" w:rsidR="00145D81" w:rsidRPr="00836FE4" w:rsidRDefault="002A525E" w:rsidP="00145D81">
            <w:pPr>
              <w:rPr>
                <w:iCs/>
                <w:color w:val="414142"/>
                <w:lang w:eastAsia="lv-LV"/>
              </w:rPr>
            </w:pPr>
            <w:r w:rsidRPr="00836FE4">
              <w:rPr>
                <w:iCs/>
                <w:color w:val="414142"/>
                <w:lang w:eastAsia="lv-LV"/>
              </w:rPr>
              <w:t>0</w:t>
            </w:r>
          </w:p>
        </w:tc>
      </w:tr>
      <w:tr w:rsidR="00CC6F38" w14:paraId="6A5B0D11" w14:textId="77777777" w:rsidTr="00D93C68">
        <w:trPr>
          <w:tblCellSpacing w:w="15" w:type="dxa"/>
        </w:trPr>
        <w:tc>
          <w:tcPr>
            <w:tcW w:w="809" w:type="pct"/>
            <w:tcBorders>
              <w:top w:val="outset" w:sz="6" w:space="0" w:color="auto"/>
              <w:left w:val="outset" w:sz="6" w:space="0" w:color="auto"/>
              <w:bottom w:val="outset" w:sz="6" w:space="0" w:color="auto"/>
              <w:right w:val="outset" w:sz="6" w:space="0" w:color="auto"/>
            </w:tcBorders>
            <w:hideMark/>
          </w:tcPr>
          <w:p w14:paraId="66D62533" w14:textId="77777777" w:rsidR="00145D81" w:rsidRPr="00836FE4" w:rsidRDefault="002A525E" w:rsidP="00145D81">
            <w:pPr>
              <w:rPr>
                <w:iCs/>
                <w:color w:val="414142"/>
                <w:lang w:eastAsia="lv-LV"/>
              </w:rPr>
            </w:pPr>
            <w:r w:rsidRPr="00836FE4">
              <w:rPr>
                <w:iCs/>
                <w:color w:val="414142"/>
                <w:lang w:eastAsia="lv-LV"/>
              </w:rPr>
              <w:t>2.3. pašvaldību budžets</w:t>
            </w:r>
          </w:p>
        </w:tc>
        <w:tc>
          <w:tcPr>
            <w:tcW w:w="405" w:type="pct"/>
            <w:tcBorders>
              <w:top w:val="outset" w:sz="6" w:space="0" w:color="auto"/>
              <w:left w:val="outset" w:sz="6" w:space="0" w:color="auto"/>
              <w:bottom w:val="outset" w:sz="6" w:space="0" w:color="auto"/>
              <w:right w:val="outset" w:sz="6" w:space="0" w:color="auto"/>
            </w:tcBorders>
            <w:vAlign w:val="center"/>
            <w:hideMark/>
          </w:tcPr>
          <w:p w14:paraId="405DFFDA" w14:textId="77777777" w:rsidR="00145D81" w:rsidRPr="00836FE4" w:rsidRDefault="002A525E" w:rsidP="00145D81">
            <w:pPr>
              <w:rPr>
                <w:iCs/>
                <w:color w:val="414142"/>
                <w:lang w:eastAsia="lv-LV"/>
              </w:rPr>
            </w:pPr>
            <w:r w:rsidRPr="00836FE4">
              <w:rPr>
                <w:iCs/>
                <w:color w:val="414142"/>
                <w:lang w:eastAsia="lv-LV"/>
              </w:rPr>
              <w:t>0</w:t>
            </w:r>
          </w:p>
        </w:tc>
        <w:tc>
          <w:tcPr>
            <w:tcW w:w="535" w:type="pct"/>
            <w:tcBorders>
              <w:top w:val="outset" w:sz="6" w:space="0" w:color="auto"/>
              <w:left w:val="outset" w:sz="6" w:space="0" w:color="auto"/>
              <w:bottom w:val="outset" w:sz="6" w:space="0" w:color="auto"/>
              <w:right w:val="outset" w:sz="6" w:space="0" w:color="auto"/>
            </w:tcBorders>
            <w:vAlign w:val="center"/>
            <w:hideMark/>
          </w:tcPr>
          <w:p w14:paraId="712D1E5E" w14:textId="77777777" w:rsidR="00145D81" w:rsidRPr="00836FE4" w:rsidRDefault="002A525E" w:rsidP="00145D81">
            <w:pPr>
              <w:rPr>
                <w:iCs/>
                <w:color w:val="414142"/>
                <w:lang w:eastAsia="lv-LV"/>
              </w:rPr>
            </w:pPr>
            <w:r w:rsidRPr="00836FE4">
              <w:rPr>
                <w:iCs/>
                <w:color w:val="414142"/>
                <w:lang w:eastAsia="lv-LV"/>
              </w:rPr>
              <w:t>0</w:t>
            </w:r>
          </w:p>
        </w:tc>
        <w:tc>
          <w:tcPr>
            <w:tcW w:w="420" w:type="pct"/>
            <w:tcBorders>
              <w:top w:val="outset" w:sz="6" w:space="0" w:color="auto"/>
              <w:left w:val="outset" w:sz="6" w:space="0" w:color="auto"/>
              <w:bottom w:val="outset" w:sz="6" w:space="0" w:color="auto"/>
              <w:right w:val="outset" w:sz="6" w:space="0" w:color="auto"/>
            </w:tcBorders>
            <w:vAlign w:val="center"/>
            <w:hideMark/>
          </w:tcPr>
          <w:p w14:paraId="6AF2E39F" w14:textId="77777777" w:rsidR="00145D81" w:rsidRPr="00836FE4" w:rsidRDefault="002A525E" w:rsidP="00145D81">
            <w:pPr>
              <w:rPr>
                <w:iCs/>
                <w:color w:val="414142"/>
                <w:lang w:eastAsia="lv-LV"/>
              </w:rPr>
            </w:pPr>
            <w:r w:rsidRPr="00836FE4">
              <w:rPr>
                <w:iCs/>
                <w:color w:val="414142"/>
                <w:lang w:eastAsia="lv-LV"/>
              </w:rPr>
              <w:t>0</w:t>
            </w:r>
          </w:p>
        </w:tc>
        <w:tc>
          <w:tcPr>
            <w:tcW w:w="519" w:type="pct"/>
            <w:tcBorders>
              <w:top w:val="outset" w:sz="6" w:space="0" w:color="auto"/>
              <w:left w:val="outset" w:sz="6" w:space="0" w:color="auto"/>
              <w:bottom w:val="outset" w:sz="6" w:space="0" w:color="auto"/>
              <w:right w:val="outset" w:sz="6" w:space="0" w:color="auto"/>
            </w:tcBorders>
            <w:vAlign w:val="center"/>
            <w:hideMark/>
          </w:tcPr>
          <w:p w14:paraId="03134520" w14:textId="77777777" w:rsidR="00145D81" w:rsidRPr="00836FE4" w:rsidRDefault="002A525E" w:rsidP="00145D81">
            <w:pPr>
              <w:rPr>
                <w:iCs/>
                <w:color w:val="414142"/>
                <w:lang w:eastAsia="lv-LV"/>
              </w:rPr>
            </w:pPr>
            <w:r w:rsidRPr="00836FE4">
              <w:rPr>
                <w:iCs/>
                <w:color w:val="414142"/>
                <w:lang w:eastAsia="lv-LV"/>
              </w:rPr>
              <w:t>0</w:t>
            </w:r>
          </w:p>
        </w:tc>
        <w:tc>
          <w:tcPr>
            <w:tcW w:w="452" w:type="pct"/>
            <w:tcBorders>
              <w:top w:val="outset" w:sz="6" w:space="0" w:color="auto"/>
              <w:left w:val="outset" w:sz="6" w:space="0" w:color="auto"/>
              <w:bottom w:val="outset" w:sz="6" w:space="0" w:color="auto"/>
              <w:right w:val="outset" w:sz="6" w:space="0" w:color="auto"/>
            </w:tcBorders>
            <w:vAlign w:val="center"/>
            <w:hideMark/>
          </w:tcPr>
          <w:p w14:paraId="154F8191" w14:textId="77777777" w:rsidR="00145D81" w:rsidRPr="00836FE4" w:rsidRDefault="002A525E" w:rsidP="00145D81">
            <w:pPr>
              <w:rPr>
                <w:iCs/>
                <w:color w:val="414142"/>
                <w:lang w:eastAsia="lv-LV"/>
              </w:rPr>
            </w:pPr>
            <w:r w:rsidRPr="00836FE4">
              <w:rPr>
                <w:iCs/>
                <w:color w:val="414142"/>
                <w:lang w:eastAsia="lv-LV"/>
              </w:rPr>
              <w:t>0</w:t>
            </w:r>
          </w:p>
        </w:tc>
        <w:tc>
          <w:tcPr>
            <w:tcW w:w="504" w:type="pct"/>
            <w:tcBorders>
              <w:top w:val="outset" w:sz="6" w:space="0" w:color="auto"/>
              <w:left w:val="outset" w:sz="6" w:space="0" w:color="auto"/>
              <w:bottom w:val="outset" w:sz="6" w:space="0" w:color="auto"/>
              <w:right w:val="outset" w:sz="6" w:space="0" w:color="auto"/>
            </w:tcBorders>
            <w:vAlign w:val="center"/>
            <w:hideMark/>
          </w:tcPr>
          <w:p w14:paraId="262A6036" w14:textId="77777777" w:rsidR="00145D81" w:rsidRPr="00836FE4" w:rsidRDefault="002A525E" w:rsidP="00145D81">
            <w:pPr>
              <w:rPr>
                <w:iCs/>
                <w:color w:val="414142"/>
                <w:lang w:eastAsia="lv-LV"/>
              </w:rPr>
            </w:pPr>
            <w:r w:rsidRPr="00836FE4">
              <w:rPr>
                <w:iCs/>
                <w:color w:val="414142"/>
                <w:lang w:eastAsia="lv-LV"/>
              </w:rPr>
              <w:t>0</w:t>
            </w:r>
          </w:p>
        </w:tc>
        <w:tc>
          <w:tcPr>
            <w:tcW w:w="1216" w:type="pct"/>
            <w:tcBorders>
              <w:top w:val="outset" w:sz="6" w:space="0" w:color="auto"/>
              <w:left w:val="outset" w:sz="6" w:space="0" w:color="auto"/>
              <w:bottom w:val="outset" w:sz="6" w:space="0" w:color="auto"/>
              <w:right w:val="outset" w:sz="6" w:space="0" w:color="auto"/>
            </w:tcBorders>
            <w:vAlign w:val="center"/>
            <w:hideMark/>
          </w:tcPr>
          <w:p w14:paraId="42B9BB81" w14:textId="77777777" w:rsidR="00145D81" w:rsidRPr="00836FE4" w:rsidRDefault="002A525E" w:rsidP="00145D81">
            <w:pPr>
              <w:rPr>
                <w:iCs/>
                <w:color w:val="414142"/>
                <w:lang w:eastAsia="lv-LV"/>
              </w:rPr>
            </w:pPr>
            <w:r w:rsidRPr="00836FE4">
              <w:rPr>
                <w:iCs/>
                <w:color w:val="414142"/>
                <w:lang w:eastAsia="lv-LV"/>
              </w:rPr>
              <w:t>0</w:t>
            </w:r>
          </w:p>
        </w:tc>
      </w:tr>
      <w:tr w:rsidR="00CC6F38" w14:paraId="3F5F6407" w14:textId="77777777" w:rsidTr="00D93C68">
        <w:trPr>
          <w:tblCellSpacing w:w="15" w:type="dxa"/>
        </w:trPr>
        <w:tc>
          <w:tcPr>
            <w:tcW w:w="809" w:type="pct"/>
            <w:tcBorders>
              <w:top w:val="outset" w:sz="6" w:space="0" w:color="auto"/>
              <w:left w:val="outset" w:sz="6" w:space="0" w:color="auto"/>
              <w:bottom w:val="outset" w:sz="6" w:space="0" w:color="auto"/>
              <w:right w:val="outset" w:sz="6" w:space="0" w:color="auto"/>
            </w:tcBorders>
            <w:hideMark/>
          </w:tcPr>
          <w:p w14:paraId="421130C6" w14:textId="77777777" w:rsidR="00145D81" w:rsidRPr="00836FE4" w:rsidRDefault="002A525E" w:rsidP="00145D81">
            <w:pPr>
              <w:rPr>
                <w:iCs/>
                <w:color w:val="414142"/>
                <w:lang w:eastAsia="lv-LV"/>
              </w:rPr>
            </w:pPr>
            <w:r w:rsidRPr="00836FE4">
              <w:rPr>
                <w:iCs/>
                <w:color w:val="414142"/>
                <w:lang w:eastAsia="lv-LV"/>
              </w:rPr>
              <w:t>3. Finansiālā ietekme</w:t>
            </w:r>
          </w:p>
        </w:tc>
        <w:tc>
          <w:tcPr>
            <w:tcW w:w="405" w:type="pct"/>
            <w:tcBorders>
              <w:top w:val="outset" w:sz="6" w:space="0" w:color="auto"/>
              <w:left w:val="outset" w:sz="6" w:space="0" w:color="auto"/>
              <w:bottom w:val="outset" w:sz="6" w:space="0" w:color="auto"/>
              <w:right w:val="outset" w:sz="6" w:space="0" w:color="auto"/>
            </w:tcBorders>
            <w:vAlign w:val="center"/>
            <w:hideMark/>
          </w:tcPr>
          <w:p w14:paraId="2888EF7A" w14:textId="77777777" w:rsidR="00145D81" w:rsidRPr="00836FE4" w:rsidRDefault="002A525E" w:rsidP="00145D81">
            <w:pPr>
              <w:rPr>
                <w:iCs/>
                <w:color w:val="414142"/>
                <w:lang w:eastAsia="lv-LV"/>
              </w:rPr>
            </w:pPr>
            <w:r w:rsidRPr="00836FE4">
              <w:rPr>
                <w:iCs/>
                <w:color w:val="414142"/>
                <w:lang w:eastAsia="lv-LV"/>
              </w:rPr>
              <w:t> 0</w:t>
            </w:r>
          </w:p>
        </w:tc>
        <w:tc>
          <w:tcPr>
            <w:tcW w:w="535" w:type="pct"/>
            <w:tcBorders>
              <w:top w:val="outset" w:sz="6" w:space="0" w:color="auto"/>
              <w:left w:val="outset" w:sz="6" w:space="0" w:color="auto"/>
              <w:bottom w:val="outset" w:sz="6" w:space="0" w:color="auto"/>
              <w:right w:val="outset" w:sz="6" w:space="0" w:color="auto"/>
            </w:tcBorders>
            <w:vAlign w:val="center"/>
            <w:hideMark/>
          </w:tcPr>
          <w:p w14:paraId="2857E31A" w14:textId="77777777" w:rsidR="00145D81" w:rsidRPr="00836FE4" w:rsidRDefault="002A525E" w:rsidP="00145D81">
            <w:pPr>
              <w:rPr>
                <w:iCs/>
                <w:color w:val="414142"/>
                <w:lang w:eastAsia="lv-LV"/>
              </w:rPr>
            </w:pPr>
            <w:r w:rsidRPr="00836FE4">
              <w:rPr>
                <w:iCs/>
                <w:color w:val="414142"/>
                <w:lang w:eastAsia="lv-LV"/>
              </w:rPr>
              <w:t>0 </w:t>
            </w:r>
          </w:p>
        </w:tc>
        <w:tc>
          <w:tcPr>
            <w:tcW w:w="420" w:type="pct"/>
            <w:tcBorders>
              <w:top w:val="outset" w:sz="6" w:space="0" w:color="auto"/>
              <w:left w:val="outset" w:sz="6" w:space="0" w:color="auto"/>
              <w:bottom w:val="outset" w:sz="6" w:space="0" w:color="auto"/>
              <w:right w:val="outset" w:sz="6" w:space="0" w:color="auto"/>
            </w:tcBorders>
            <w:vAlign w:val="center"/>
            <w:hideMark/>
          </w:tcPr>
          <w:p w14:paraId="4EB036BC" w14:textId="77777777" w:rsidR="00145D81" w:rsidRPr="00836FE4" w:rsidRDefault="002A525E" w:rsidP="00145D81">
            <w:pPr>
              <w:rPr>
                <w:iCs/>
                <w:color w:val="414142"/>
                <w:lang w:eastAsia="lv-LV"/>
              </w:rPr>
            </w:pPr>
            <w:r w:rsidRPr="00836FE4">
              <w:rPr>
                <w:iCs/>
                <w:color w:val="414142"/>
                <w:lang w:eastAsia="lv-LV"/>
              </w:rPr>
              <w:t>0</w:t>
            </w:r>
          </w:p>
        </w:tc>
        <w:tc>
          <w:tcPr>
            <w:tcW w:w="519" w:type="pct"/>
            <w:tcBorders>
              <w:top w:val="outset" w:sz="6" w:space="0" w:color="auto"/>
              <w:left w:val="outset" w:sz="6" w:space="0" w:color="auto"/>
              <w:bottom w:val="outset" w:sz="6" w:space="0" w:color="auto"/>
              <w:right w:val="outset" w:sz="6" w:space="0" w:color="auto"/>
            </w:tcBorders>
            <w:vAlign w:val="center"/>
            <w:hideMark/>
          </w:tcPr>
          <w:p w14:paraId="59309F6A" w14:textId="172F8E71" w:rsidR="00145D81" w:rsidRPr="00836FE4" w:rsidRDefault="00A73C18" w:rsidP="00145D81">
            <w:pPr>
              <w:rPr>
                <w:iCs/>
                <w:color w:val="414142"/>
                <w:lang w:eastAsia="lv-LV"/>
              </w:rPr>
            </w:pPr>
            <w:r w:rsidRPr="00A73C18">
              <w:rPr>
                <w:iCs/>
                <w:color w:val="414142"/>
                <w:lang w:eastAsia="lv-LV"/>
              </w:rPr>
              <w:t>-230042</w:t>
            </w:r>
          </w:p>
        </w:tc>
        <w:tc>
          <w:tcPr>
            <w:tcW w:w="452" w:type="pct"/>
            <w:tcBorders>
              <w:top w:val="outset" w:sz="6" w:space="0" w:color="auto"/>
              <w:left w:val="outset" w:sz="6" w:space="0" w:color="auto"/>
              <w:bottom w:val="outset" w:sz="6" w:space="0" w:color="auto"/>
              <w:right w:val="outset" w:sz="6" w:space="0" w:color="auto"/>
            </w:tcBorders>
            <w:vAlign w:val="center"/>
            <w:hideMark/>
          </w:tcPr>
          <w:p w14:paraId="39608C89" w14:textId="77777777" w:rsidR="00145D81" w:rsidRPr="00836FE4" w:rsidRDefault="002A525E" w:rsidP="00145D81">
            <w:pPr>
              <w:rPr>
                <w:iCs/>
                <w:color w:val="414142"/>
                <w:lang w:eastAsia="lv-LV"/>
              </w:rPr>
            </w:pPr>
            <w:r w:rsidRPr="00836FE4">
              <w:rPr>
                <w:iCs/>
                <w:color w:val="414142"/>
                <w:lang w:eastAsia="lv-LV"/>
              </w:rPr>
              <w:t>0</w:t>
            </w:r>
          </w:p>
        </w:tc>
        <w:tc>
          <w:tcPr>
            <w:tcW w:w="504" w:type="pct"/>
            <w:tcBorders>
              <w:top w:val="outset" w:sz="6" w:space="0" w:color="auto"/>
              <w:left w:val="outset" w:sz="6" w:space="0" w:color="auto"/>
              <w:bottom w:val="outset" w:sz="6" w:space="0" w:color="auto"/>
              <w:right w:val="outset" w:sz="6" w:space="0" w:color="auto"/>
            </w:tcBorders>
            <w:vAlign w:val="center"/>
            <w:hideMark/>
          </w:tcPr>
          <w:p w14:paraId="47FC343E" w14:textId="3379C162" w:rsidR="00145D81" w:rsidRPr="00836FE4" w:rsidRDefault="00C41AC3" w:rsidP="00145D81">
            <w:pPr>
              <w:rPr>
                <w:iCs/>
                <w:color w:val="414142"/>
                <w:lang w:eastAsia="lv-LV"/>
              </w:rPr>
            </w:pPr>
            <w:r w:rsidRPr="00C41AC3">
              <w:rPr>
                <w:iCs/>
                <w:color w:val="414142"/>
                <w:lang w:eastAsia="lv-LV"/>
              </w:rPr>
              <w:t>-230042</w:t>
            </w:r>
          </w:p>
        </w:tc>
        <w:tc>
          <w:tcPr>
            <w:tcW w:w="1216" w:type="pct"/>
            <w:tcBorders>
              <w:top w:val="outset" w:sz="6" w:space="0" w:color="auto"/>
              <w:left w:val="outset" w:sz="6" w:space="0" w:color="auto"/>
              <w:bottom w:val="outset" w:sz="6" w:space="0" w:color="auto"/>
              <w:right w:val="outset" w:sz="6" w:space="0" w:color="auto"/>
            </w:tcBorders>
            <w:vAlign w:val="center"/>
            <w:hideMark/>
          </w:tcPr>
          <w:p w14:paraId="316D0B83" w14:textId="069FFB3B" w:rsidR="00145D81" w:rsidRPr="00836FE4" w:rsidRDefault="00C41AC3" w:rsidP="00145D81">
            <w:pPr>
              <w:rPr>
                <w:iCs/>
                <w:color w:val="414142"/>
                <w:lang w:eastAsia="lv-LV"/>
              </w:rPr>
            </w:pPr>
            <w:r w:rsidRPr="00C41AC3">
              <w:rPr>
                <w:iCs/>
                <w:color w:val="414142"/>
                <w:lang w:eastAsia="lv-LV"/>
              </w:rPr>
              <w:t>-230042</w:t>
            </w:r>
          </w:p>
        </w:tc>
      </w:tr>
      <w:tr w:rsidR="00CC6F38" w14:paraId="01F37A1D" w14:textId="77777777" w:rsidTr="00D93C68">
        <w:trPr>
          <w:tblCellSpacing w:w="15" w:type="dxa"/>
        </w:trPr>
        <w:tc>
          <w:tcPr>
            <w:tcW w:w="809" w:type="pct"/>
            <w:tcBorders>
              <w:top w:val="outset" w:sz="6" w:space="0" w:color="auto"/>
              <w:left w:val="outset" w:sz="6" w:space="0" w:color="auto"/>
              <w:bottom w:val="outset" w:sz="6" w:space="0" w:color="auto"/>
              <w:right w:val="outset" w:sz="6" w:space="0" w:color="auto"/>
            </w:tcBorders>
            <w:hideMark/>
          </w:tcPr>
          <w:p w14:paraId="498D264D" w14:textId="77777777" w:rsidR="00145D81" w:rsidRPr="00836FE4" w:rsidRDefault="002A525E" w:rsidP="00145D81">
            <w:pPr>
              <w:rPr>
                <w:iCs/>
                <w:color w:val="414142"/>
                <w:lang w:eastAsia="lv-LV"/>
              </w:rPr>
            </w:pPr>
            <w:r w:rsidRPr="00836FE4">
              <w:rPr>
                <w:iCs/>
                <w:color w:val="414142"/>
                <w:lang w:eastAsia="lv-LV"/>
              </w:rPr>
              <w:t>3.1. valsts pamatbudžets</w:t>
            </w:r>
          </w:p>
        </w:tc>
        <w:tc>
          <w:tcPr>
            <w:tcW w:w="405" w:type="pct"/>
            <w:tcBorders>
              <w:top w:val="outset" w:sz="6" w:space="0" w:color="auto"/>
              <w:left w:val="outset" w:sz="6" w:space="0" w:color="auto"/>
              <w:bottom w:val="outset" w:sz="6" w:space="0" w:color="auto"/>
              <w:right w:val="outset" w:sz="6" w:space="0" w:color="auto"/>
            </w:tcBorders>
            <w:vAlign w:val="center"/>
            <w:hideMark/>
          </w:tcPr>
          <w:p w14:paraId="470335EF" w14:textId="77777777" w:rsidR="00145D81" w:rsidRPr="00836FE4" w:rsidRDefault="002A525E" w:rsidP="00145D81">
            <w:pPr>
              <w:rPr>
                <w:iCs/>
                <w:color w:val="414142"/>
                <w:lang w:eastAsia="lv-LV"/>
              </w:rPr>
            </w:pPr>
            <w:r w:rsidRPr="00836FE4">
              <w:rPr>
                <w:iCs/>
                <w:color w:val="414142"/>
                <w:lang w:eastAsia="lv-LV"/>
              </w:rPr>
              <w:t>0</w:t>
            </w:r>
          </w:p>
        </w:tc>
        <w:tc>
          <w:tcPr>
            <w:tcW w:w="535" w:type="pct"/>
            <w:tcBorders>
              <w:top w:val="outset" w:sz="6" w:space="0" w:color="auto"/>
              <w:left w:val="outset" w:sz="6" w:space="0" w:color="auto"/>
              <w:bottom w:val="outset" w:sz="6" w:space="0" w:color="auto"/>
              <w:right w:val="outset" w:sz="6" w:space="0" w:color="auto"/>
            </w:tcBorders>
            <w:vAlign w:val="center"/>
            <w:hideMark/>
          </w:tcPr>
          <w:p w14:paraId="6138E31F" w14:textId="77777777" w:rsidR="00145D81" w:rsidRPr="00836FE4" w:rsidRDefault="002A525E" w:rsidP="00145D81">
            <w:pPr>
              <w:rPr>
                <w:iCs/>
                <w:color w:val="414142"/>
                <w:lang w:eastAsia="lv-LV"/>
              </w:rPr>
            </w:pPr>
            <w:r w:rsidRPr="00836FE4">
              <w:rPr>
                <w:iCs/>
                <w:color w:val="414142"/>
                <w:lang w:eastAsia="lv-LV"/>
              </w:rPr>
              <w:t>0</w:t>
            </w:r>
          </w:p>
        </w:tc>
        <w:tc>
          <w:tcPr>
            <w:tcW w:w="420" w:type="pct"/>
            <w:tcBorders>
              <w:top w:val="outset" w:sz="6" w:space="0" w:color="auto"/>
              <w:left w:val="outset" w:sz="6" w:space="0" w:color="auto"/>
              <w:bottom w:val="outset" w:sz="6" w:space="0" w:color="auto"/>
              <w:right w:val="outset" w:sz="6" w:space="0" w:color="auto"/>
            </w:tcBorders>
            <w:vAlign w:val="center"/>
            <w:hideMark/>
          </w:tcPr>
          <w:p w14:paraId="5E6DF92C" w14:textId="77777777" w:rsidR="00145D81" w:rsidRPr="00836FE4" w:rsidRDefault="002A525E" w:rsidP="00145D81">
            <w:pPr>
              <w:rPr>
                <w:iCs/>
                <w:color w:val="414142"/>
                <w:lang w:eastAsia="lv-LV"/>
              </w:rPr>
            </w:pPr>
            <w:r w:rsidRPr="00836FE4">
              <w:rPr>
                <w:iCs/>
                <w:color w:val="414142"/>
                <w:lang w:eastAsia="lv-LV"/>
              </w:rPr>
              <w:t>0</w:t>
            </w:r>
          </w:p>
        </w:tc>
        <w:tc>
          <w:tcPr>
            <w:tcW w:w="519" w:type="pct"/>
            <w:tcBorders>
              <w:top w:val="outset" w:sz="6" w:space="0" w:color="auto"/>
              <w:left w:val="outset" w:sz="6" w:space="0" w:color="auto"/>
              <w:bottom w:val="outset" w:sz="6" w:space="0" w:color="auto"/>
              <w:right w:val="outset" w:sz="6" w:space="0" w:color="auto"/>
            </w:tcBorders>
            <w:vAlign w:val="center"/>
            <w:hideMark/>
          </w:tcPr>
          <w:p w14:paraId="3BFCEFD1" w14:textId="363B08C9" w:rsidR="00145D81" w:rsidRPr="00836FE4" w:rsidRDefault="00C41AC3" w:rsidP="00145D81">
            <w:pPr>
              <w:rPr>
                <w:iCs/>
                <w:color w:val="414142"/>
                <w:lang w:eastAsia="lv-LV"/>
              </w:rPr>
            </w:pPr>
            <w:r w:rsidRPr="00C41AC3">
              <w:rPr>
                <w:iCs/>
                <w:color w:val="414142"/>
                <w:lang w:eastAsia="lv-LV"/>
              </w:rPr>
              <w:t>-230042</w:t>
            </w:r>
          </w:p>
        </w:tc>
        <w:tc>
          <w:tcPr>
            <w:tcW w:w="452" w:type="pct"/>
            <w:tcBorders>
              <w:top w:val="outset" w:sz="6" w:space="0" w:color="auto"/>
              <w:left w:val="outset" w:sz="6" w:space="0" w:color="auto"/>
              <w:bottom w:val="outset" w:sz="6" w:space="0" w:color="auto"/>
              <w:right w:val="outset" w:sz="6" w:space="0" w:color="auto"/>
            </w:tcBorders>
            <w:vAlign w:val="center"/>
            <w:hideMark/>
          </w:tcPr>
          <w:p w14:paraId="7188EECD" w14:textId="77777777" w:rsidR="00145D81" w:rsidRPr="00836FE4" w:rsidRDefault="002A525E" w:rsidP="00145D81">
            <w:pPr>
              <w:rPr>
                <w:iCs/>
                <w:color w:val="414142"/>
                <w:lang w:eastAsia="lv-LV"/>
              </w:rPr>
            </w:pPr>
            <w:r w:rsidRPr="00836FE4">
              <w:rPr>
                <w:iCs/>
                <w:color w:val="414142"/>
                <w:lang w:eastAsia="lv-LV"/>
              </w:rPr>
              <w:t>0</w:t>
            </w:r>
          </w:p>
        </w:tc>
        <w:tc>
          <w:tcPr>
            <w:tcW w:w="504" w:type="pct"/>
            <w:tcBorders>
              <w:top w:val="outset" w:sz="6" w:space="0" w:color="auto"/>
              <w:left w:val="outset" w:sz="6" w:space="0" w:color="auto"/>
              <w:bottom w:val="outset" w:sz="6" w:space="0" w:color="auto"/>
              <w:right w:val="outset" w:sz="6" w:space="0" w:color="auto"/>
            </w:tcBorders>
            <w:vAlign w:val="center"/>
            <w:hideMark/>
          </w:tcPr>
          <w:p w14:paraId="2D3E326C" w14:textId="5AC0E014" w:rsidR="00145D81" w:rsidRPr="00836FE4" w:rsidRDefault="00C41AC3" w:rsidP="00145D81">
            <w:pPr>
              <w:rPr>
                <w:iCs/>
                <w:color w:val="414142"/>
                <w:lang w:eastAsia="lv-LV"/>
              </w:rPr>
            </w:pPr>
            <w:r w:rsidRPr="00C41AC3">
              <w:rPr>
                <w:iCs/>
                <w:color w:val="414142"/>
                <w:lang w:eastAsia="lv-LV"/>
              </w:rPr>
              <w:t>-230042</w:t>
            </w:r>
          </w:p>
        </w:tc>
        <w:tc>
          <w:tcPr>
            <w:tcW w:w="1216" w:type="pct"/>
            <w:tcBorders>
              <w:top w:val="outset" w:sz="6" w:space="0" w:color="auto"/>
              <w:left w:val="outset" w:sz="6" w:space="0" w:color="auto"/>
              <w:bottom w:val="outset" w:sz="6" w:space="0" w:color="auto"/>
              <w:right w:val="outset" w:sz="6" w:space="0" w:color="auto"/>
            </w:tcBorders>
            <w:vAlign w:val="center"/>
            <w:hideMark/>
          </w:tcPr>
          <w:p w14:paraId="46212E21" w14:textId="3622BC55" w:rsidR="00145D81" w:rsidRPr="00836FE4" w:rsidRDefault="00C41AC3" w:rsidP="00145D81">
            <w:pPr>
              <w:rPr>
                <w:iCs/>
                <w:color w:val="414142"/>
                <w:lang w:eastAsia="lv-LV"/>
              </w:rPr>
            </w:pPr>
            <w:r w:rsidRPr="00C41AC3">
              <w:rPr>
                <w:iCs/>
                <w:color w:val="414142"/>
                <w:lang w:eastAsia="lv-LV"/>
              </w:rPr>
              <w:t>-230042</w:t>
            </w:r>
          </w:p>
        </w:tc>
      </w:tr>
      <w:tr w:rsidR="00CC6F38" w14:paraId="05BE83CD" w14:textId="77777777" w:rsidTr="00D93C68">
        <w:trPr>
          <w:tblCellSpacing w:w="15" w:type="dxa"/>
        </w:trPr>
        <w:tc>
          <w:tcPr>
            <w:tcW w:w="809" w:type="pct"/>
            <w:tcBorders>
              <w:top w:val="outset" w:sz="6" w:space="0" w:color="auto"/>
              <w:left w:val="outset" w:sz="6" w:space="0" w:color="auto"/>
              <w:bottom w:val="outset" w:sz="6" w:space="0" w:color="auto"/>
              <w:right w:val="outset" w:sz="6" w:space="0" w:color="auto"/>
            </w:tcBorders>
            <w:hideMark/>
          </w:tcPr>
          <w:p w14:paraId="74A06101" w14:textId="77777777" w:rsidR="00145D81" w:rsidRPr="00836FE4" w:rsidRDefault="002A525E" w:rsidP="00145D81">
            <w:pPr>
              <w:rPr>
                <w:iCs/>
                <w:color w:val="414142"/>
                <w:lang w:eastAsia="lv-LV"/>
              </w:rPr>
            </w:pPr>
            <w:r w:rsidRPr="00836FE4">
              <w:rPr>
                <w:iCs/>
                <w:color w:val="414142"/>
                <w:lang w:eastAsia="lv-LV"/>
              </w:rPr>
              <w:t>3.2. speciālais budžets</w:t>
            </w:r>
          </w:p>
        </w:tc>
        <w:tc>
          <w:tcPr>
            <w:tcW w:w="405" w:type="pct"/>
            <w:tcBorders>
              <w:top w:val="outset" w:sz="6" w:space="0" w:color="auto"/>
              <w:left w:val="outset" w:sz="6" w:space="0" w:color="auto"/>
              <w:bottom w:val="outset" w:sz="6" w:space="0" w:color="auto"/>
              <w:right w:val="outset" w:sz="6" w:space="0" w:color="auto"/>
            </w:tcBorders>
            <w:vAlign w:val="center"/>
            <w:hideMark/>
          </w:tcPr>
          <w:p w14:paraId="47B66597" w14:textId="77777777" w:rsidR="00145D81" w:rsidRPr="00836FE4" w:rsidRDefault="002A525E" w:rsidP="00145D81">
            <w:pPr>
              <w:rPr>
                <w:iCs/>
                <w:color w:val="414142"/>
                <w:lang w:eastAsia="lv-LV"/>
              </w:rPr>
            </w:pPr>
            <w:r w:rsidRPr="00836FE4">
              <w:rPr>
                <w:iCs/>
                <w:color w:val="414142"/>
                <w:lang w:eastAsia="lv-LV"/>
              </w:rPr>
              <w:t> 0</w:t>
            </w:r>
          </w:p>
        </w:tc>
        <w:tc>
          <w:tcPr>
            <w:tcW w:w="535" w:type="pct"/>
            <w:tcBorders>
              <w:top w:val="outset" w:sz="6" w:space="0" w:color="auto"/>
              <w:left w:val="outset" w:sz="6" w:space="0" w:color="auto"/>
              <w:bottom w:val="outset" w:sz="6" w:space="0" w:color="auto"/>
              <w:right w:val="outset" w:sz="6" w:space="0" w:color="auto"/>
            </w:tcBorders>
            <w:vAlign w:val="center"/>
            <w:hideMark/>
          </w:tcPr>
          <w:p w14:paraId="3B6436EF" w14:textId="77777777" w:rsidR="00145D81" w:rsidRPr="00836FE4" w:rsidRDefault="002A525E" w:rsidP="00145D81">
            <w:pPr>
              <w:rPr>
                <w:iCs/>
                <w:color w:val="414142"/>
                <w:lang w:eastAsia="lv-LV"/>
              </w:rPr>
            </w:pPr>
            <w:r w:rsidRPr="00836FE4">
              <w:rPr>
                <w:iCs/>
                <w:color w:val="414142"/>
                <w:lang w:eastAsia="lv-LV"/>
              </w:rPr>
              <w:t>0</w:t>
            </w:r>
          </w:p>
        </w:tc>
        <w:tc>
          <w:tcPr>
            <w:tcW w:w="420" w:type="pct"/>
            <w:tcBorders>
              <w:top w:val="outset" w:sz="6" w:space="0" w:color="auto"/>
              <w:left w:val="outset" w:sz="6" w:space="0" w:color="auto"/>
              <w:bottom w:val="outset" w:sz="6" w:space="0" w:color="auto"/>
              <w:right w:val="outset" w:sz="6" w:space="0" w:color="auto"/>
            </w:tcBorders>
            <w:vAlign w:val="center"/>
            <w:hideMark/>
          </w:tcPr>
          <w:p w14:paraId="0E9C49F1" w14:textId="77777777" w:rsidR="00145D81" w:rsidRPr="00836FE4" w:rsidRDefault="002A525E" w:rsidP="00145D81">
            <w:pPr>
              <w:rPr>
                <w:iCs/>
                <w:color w:val="414142"/>
                <w:lang w:eastAsia="lv-LV"/>
              </w:rPr>
            </w:pPr>
            <w:r w:rsidRPr="00836FE4">
              <w:rPr>
                <w:iCs/>
                <w:color w:val="414142"/>
                <w:lang w:eastAsia="lv-LV"/>
              </w:rPr>
              <w:t>0</w:t>
            </w:r>
          </w:p>
        </w:tc>
        <w:tc>
          <w:tcPr>
            <w:tcW w:w="519" w:type="pct"/>
            <w:tcBorders>
              <w:top w:val="outset" w:sz="6" w:space="0" w:color="auto"/>
              <w:left w:val="outset" w:sz="6" w:space="0" w:color="auto"/>
              <w:bottom w:val="outset" w:sz="6" w:space="0" w:color="auto"/>
              <w:right w:val="outset" w:sz="6" w:space="0" w:color="auto"/>
            </w:tcBorders>
            <w:vAlign w:val="center"/>
            <w:hideMark/>
          </w:tcPr>
          <w:p w14:paraId="1CCD513C" w14:textId="77777777" w:rsidR="00145D81" w:rsidRPr="00836FE4" w:rsidRDefault="002A525E" w:rsidP="00145D81">
            <w:pPr>
              <w:rPr>
                <w:iCs/>
                <w:color w:val="414142"/>
                <w:lang w:eastAsia="lv-LV"/>
              </w:rPr>
            </w:pPr>
            <w:r w:rsidRPr="00836FE4">
              <w:rPr>
                <w:iCs/>
                <w:color w:val="414142"/>
                <w:lang w:eastAsia="lv-LV"/>
              </w:rPr>
              <w:t>0</w:t>
            </w:r>
          </w:p>
        </w:tc>
        <w:tc>
          <w:tcPr>
            <w:tcW w:w="452" w:type="pct"/>
            <w:tcBorders>
              <w:top w:val="outset" w:sz="6" w:space="0" w:color="auto"/>
              <w:left w:val="outset" w:sz="6" w:space="0" w:color="auto"/>
              <w:bottom w:val="outset" w:sz="6" w:space="0" w:color="auto"/>
              <w:right w:val="outset" w:sz="6" w:space="0" w:color="auto"/>
            </w:tcBorders>
            <w:vAlign w:val="center"/>
            <w:hideMark/>
          </w:tcPr>
          <w:p w14:paraId="0BB2247F" w14:textId="77777777" w:rsidR="00145D81" w:rsidRPr="00836FE4" w:rsidRDefault="002A525E" w:rsidP="00145D81">
            <w:pPr>
              <w:rPr>
                <w:iCs/>
                <w:color w:val="414142"/>
                <w:lang w:eastAsia="lv-LV"/>
              </w:rPr>
            </w:pPr>
            <w:r w:rsidRPr="00836FE4">
              <w:rPr>
                <w:iCs/>
                <w:color w:val="414142"/>
                <w:lang w:eastAsia="lv-LV"/>
              </w:rPr>
              <w:t>0</w:t>
            </w:r>
          </w:p>
        </w:tc>
        <w:tc>
          <w:tcPr>
            <w:tcW w:w="504" w:type="pct"/>
            <w:tcBorders>
              <w:top w:val="outset" w:sz="6" w:space="0" w:color="auto"/>
              <w:left w:val="outset" w:sz="6" w:space="0" w:color="auto"/>
              <w:bottom w:val="outset" w:sz="6" w:space="0" w:color="auto"/>
              <w:right w:val="outset" w:sz="6" w:space="0" w:color="auto"/>
            </w:tcBorders>
            <w:vAlign w:val="center"/>
            <w:hideMark/>
          </w:tcPr>
          <w:p w14:paraId="4C2ECA5E" w14:textId="77777777" w:rsidR="00145D81" w:rsidRPr="00836FE4" w:rsidRDefault="002A525E" w:rsidP="00145D81">
            <w:pPr>
              <w:rPr>
                <w:iCs/>
                <w:color w:val="414142"/>
                <w:lang w:eastAsia="lv-LV"/>
              </w:rPr>
            </w:pPr>
            <w:r w:rsidRPr="00836FE4">
              <w:rPr>
                <w:iCs/>
                <w:color w:val="414142"/>
                <w:lang w:eastAsia="lv-LV"/>
              </w:rPr>
              <w:t>0</w:t>
            </w:r>
          </w:p>
        </w:tc>
        <w:tc>
          <w:tcPr>
            <w:tcW w:w="1216" w:type="pct"/>
            <w:tcBorders>
              <w:top w:val="outset" w:sz="6" w:space="0" w:color="auto"/>
              <w:left w:val="outset" w:sz="6" w:space="0" w:color="auto"/>
              <w:bottom w:val="outset" w:sz="6" w:space="0" w:color="auto"/>
              <w:right w:val="outset" w:sz="6" w:space="0" w:color="auto"/>
            </w:tcBorders>
            <w:vAlign w:val="center"/>
            <w:hideMark/>
          </w:tcPr>
          <w:p w14:paraId="3A1654C3" w14:textId="77777777" w:rsidR="00145D81" w:rsidRPr="00836FE4" w:rsidRDefault="002A525E" w:rsidP="00145D81">
            <w:pPr>
              <w:rPr>
                <w:iCs/>
                <w:color w:val="414142"/>
                <w:lang w:eastAsia="lv-LV"/>
              </w:rPr>
            </w:pPr>
            <w:r w:rsidRPr="00836FE4">
              <w:rPr>
                <w:iCs/>
                <w:color w:val="414142"/>
                <w:lang w:eastAsia="lv-LV"/>
              </w:rPr>
              <w:t>0</w:t>
            </w:r>
          </w:p>
        </w:tc>
      </w:tr>
      <w:tr w:rsidR="00CC6F38" w14:paraId="11A30045" w14:textId="77777777" w:rsidTr="00D93C68">
        <w:trPr>
          <w:tblCellSpacing w:w="15" w:type="dxa"/>
        </w:trPr>
        <w:tc>
          <w:tcPr>
            <w:tcW w:w="809" w:type="pct"/>
            <w:tcBorders>
              <w:top w:val="outset" w:sz="6" w:space="0" w:color="auto"/>
              <w:left w:val="outset" w:sz="6" w:space="0" w:color="auto"/>
              <w:bottom w:val="outset" w:sz="6" w:space="0" w:color="auto"/>
              <w:right w:val="outset" w:sz="6" w:space="0" w:color="auto"/>
            </w:tcBorders>
            <w:hideMark/>
          </w:tcPr>
          <w:p w14:paraId="78D30378" w14:textId="77777777" w:rsidR="00145D81" w:rsidRPr="00836FE4" w:rsidRDefault="002A525E" w:rsidP="00145D81">
            <w:pPr>
              <w:rPr>
                <w:iCs/>
                <w:color w:val="414142"/>
                <w:lang w:eastAsia="lv-LV"/>
              </w:rPr>
            </w:pPr>
            <w:r w:rsidRPr="00836FE4">
              <w:rPr>
                <w:iCs/>
                <w:color w:val="414142"/>
                <w:lang w:eastAsia="lv-LV"/>
              </w:rPr>
              <w:t>3.3. pašvaldību budžets</w:t>
            </w:r>
          </w:p>
        </w:tc>
        <w:tc>
          <w:tcPr>
            <w:tcW w:w="405" w:type="pct"/>
            <w:tcBorders>
              <w:top w:val="outset" w:sz="6" w:space="0" w:color="auto"/>
              <w:left w:val="outset" w:sz="6" w:space="0" w:color="auto"/>
              <w:bottom w:val="outset" w:sz="6" w:space="0" w:color="auto"/>
              <w:right w:val="outset" w:sz="6" w:space="0" w:color="auto"/>
            </w:tcBorders>
            <w:vAlign w:val="center"/>
            <w:hideMark/>
          </w:tcPr>
          <w:p w14:paraId="5239150B" w14:textId="77777777" w:rsidR="00145D81" w:rsidRPr="00836FE4" w:rsidRDefault="002A525E" w:rsidP="00145D81">
            <w:pPr>
              <w:rPr>
                <w:iCs/>
                <w:color w:val="414142"/>
                <w:lang w:eastAsia="lv-LV"/>
              </w:rPr>
            </w:pPr>
            <w:r w:rsidRPr="00836FE4">
              <w:rPr>
                <w:iCs/>
                <w:color w:val="414142"/>
                <w:lang w:eastAsia="lv-LV"/>
              </w:rPr>
              <w:t>0</w:t>
            </w:r>
          </w:p>
        </w:tc>
        <w:tc>
          <w:tcPr>
            <w:tcW w:w="535" w:type="pct"/>
            <w:tcBorders>
              <w:top w:val="outset" w:sz="6" w:space="0" w:color="auto"/>
              <w:left w:val="outset" w:sz="6" w:space="0" w:color="auto"/>
              <w:bottom w:val="outset" w:sz="6" w:space="0" w:color="auto"/>
              <w:right w:val="outset" w:sz="6" w:space="0" w:color="auto"/>
            </w:tcBorders>
            <w:vAlign w:val="center"/>
            <w:hideMark/>
          </w:tcPr>
          <w:p w14:paraId="72E929F9" w14:textId="77777777" w:rsidR="00145D81" w:rsidRPr="00836FE4" w:rsidRDefault="002A525E" w:rsidP="00145D81">
            <w:pPr>
              <w:rPr>
                <w:iCs/>
                <w:color w:val="414142"/>
                <w:lang w:eastAsia="lv-LV"/>
              </w:rPr>
            </w:pPr>
            <w:r w:rsidRPr="00836FE4">
              <w:rPr>
                <w:iCs/>
                <w:color w:val="414142"/>
                <w:lang w:eastAsia="lv-LV"/>
              </w:rPr>
              <w:t>0</w:t>
            </w:r>
          </w:p>
        </w:tc>
        <w:tc>
          <w:tcPr>
            <w:tcW w:w="420" w:type="pct"/>
            <w:tcBorders>
              <w:top w:val="outset" w:sz="6" w:space="0" w:color="auto"/>
              <w:left w:val="outset" w:sz="6" w:space="0" w:color="auto"/>
              <w:bottom w:val="outset" w:sz="6" w:space="0" w:color="auto"/>
              <w:right w:val="outset" w:sz="6" w:space="0" w:color="auto"/>
            </w:tcBorders>
            <w:vAlign w:val="center"/>
            <w:hideMark/>
          </w:tcPr>
          <w:p w14:paraId="75FC33A2" w14:textId="77777777" w:rsidR="00145D81" w:rsidRPr="00836FE4" w:rsidRDefault="002A525E" w:rsidP="00145D81">
            <w:pPr>
              <w:rPr>
                <w:iCs/>
                <w:color w:val="414142"/>
                <w:lang w:eastAsia="lv-LV"/>
              </w:rPr>
            </w:pPr>
            <w:r w:rsidRPr="00836FE4">
              <w:rPr>
                <w:iCs/>
                <w:color w:val="414142"/>
                <w:lang w:eastAsia="lv-LV"/>
              </w:rPr>
              <w:t>0</w:t>
            </w:r>
          </w:p>
        </w:tc>
        <w:tc>
          <w:tcPr>
            <w:tcW w:w="519" w:type="pct"/>
            <w:tcBorders>
              <w:top w:val="outset" w:sz="6" w:space="0" w:color="auto"/>
              <w:left w:val="outset" w:sz="6" w:space="0" w:color="auto"/>
              <w:bottom w:val="outset" w:sz="6" w:space="0" w:color="auto"/>
              <w:right w:val="outset" w:sz="6" w:space="0" w:color="auto"/>
            </w:tcBorders>
            <w:vAlign w:val="center"/>
            <w:hideMark/>
          </w:tcPr>
          <w:p w14:paraId="6755C98E" w14:textId="77777777" w:rsidR="00145D81" w:rsidRPr="00836FE4" w:rsidRDefault="002A525E" w:rsidP="00145D81">
            <w:pPr>
              <w:rPr>
                <w:iCs/>
                <w:color w:val="414142"/>
                <w:lang w:eastAsia="lv-LV"/>
              </w:rPr>
            </w:pPr>
            <w:r w:rsidRPr="00836FE4">
              <w:rPr>
                <w:iCs/>
                <w:color w:val="414142"/>
                <w:lang w:eastAsia="lv-LV"/>
              </w:rPr>
              <w:t>0</w:t>
            </w:r>
          </w:p>
        </w:tc>
        <w:tc>
          <w:tcPr>
            <w:tcW w:w="452" w:type="pct"/>
            <w:tcBorders>
              <w:top w:val="outset" w:sz="6" w:space="0" w:color="auto"/>
              <w:left w:val="outset" w:sz="6" w:space="0" w:color="auto"/>
              <w:bottom w:val="outset" w:sz="6" w:space="0" w:color="auto"/>
              <w:right w:val="outset" w:sz="6" w:space="0" w:color="auto"/>
            </w:tcBorders>
            <w:vAlign w:val="center"/>
            <w:hideMark/>
          </w:tcPr>
          <w:p w14:paraId="61224897" w14:textId="77777777" w:rsidR="00145D81" w:rsidRPr="00836FE4" w:rsidRDefault="002A525E" w:rsidP="00145D81">
            <w:pPr>
              <w:rPr>
                <w:iCs/>
                <w:color w:val="414142"/>
                <w:lang w:eastAsia="lv-LV"/>
              </w:rPr>
            </w:pPr>
            <w:r w:rsidRPr="00836FE4">
              <w:rPr>
                <w:iCs/>
                <w:color w:val="414142"/>
                <w:lang w:eastAsia="lv-LV"/>
              </w:rPr>
              <w:t>0</w:t>
            </w:r>
          </w:p>
        </w:tc>
        <w:tc>
          <w:tcPr>
            <w:tcW w:w="504" w:type="pct"/>
            <w:tcBorders>
              <w:top w:val="outset" w:sz="6" w:space="0" w:color="auto"/>
              <w:left w:val="outset" w:sz="6" w:space="0" w:color="auto"/>
              <w:bottom w:val="outset" w:sz="6" w:space="0" w:color="auto"/>
              <w:right w:val="outset" w:sz="6" w:space="0" w:color="auto"/>
            </w:tcBorders>
            <w:vAlign w:val="center"/>
            <w:hideMark/>
          </w:tcPr>
          <w:p w14:paraId="7B47BA4B" w14:textId="77777777" w:rsidR="00145D81" w:rsidRPr="00836FE4" w:rsidRDefault="002A525E" w:rsidP="00145D81">
            <w:pPr>
              <w:rPr>
                <w:iCs/>
                <w:color w:val="414142"/>
                <w:lang w:eastAsia="lv-LV"/>
              </w:rPr>
            </w:pPr>
            <w:r w:rsidRPr="00836FE4">
              <w:rPr>
                <w:iCs/>
                <w:color w:val="414142"/>
                <w:lang w:eastAsia="lv-LV"/>
              </w:rPr>
              <w:t>0</w:t>
            </w:r>
          </w:p>
        </w:tc>
        <w:tc>
          <w:tcPr>
            <w:tcW w:w="1216" w:type="pct"/>
            <w:tcBorders>
              <w:top w:val="outset" w:sz="6" w:space="0" w:color="auto"/>
              <w:left w:val="outset" w:sz="6" w:space="0" w:color="auto"/>
              <w:bottom w:val="outset" w:sz="6" w:space="0" w:color="auto"/>
              <w:right w:val="outset" w:sz="6" w:space="0" w:color="auto"/>
            </w:tcBorders>
            <w:vAlign w:val="center"/>
            <w:hideMark/>
          </w:tcPr>
          <w:p w14:paraId="09C2CF9A" w14:textId="77777777" w:rsidR="00145D81" w:rsidRPr="00836FE4" w:rsidRDefault="002A525E" w:rsidP="00145D81">
            <w:pPr>
              <w:rPr>
                <w:iCs/>
                <w:color w:val="414142"/>
                <w:lang w:eastAsia="lv-LV"/>
              </w:rPr>
            </w:pPr>
            <w:r w:rsidRPr="00836FE4">
              <w:rPr>
                <w:iCs/>
                <w:color w:val="414142"/>
                <w:lang w:eastAsia="lv-LV"/>
              </w:rPr>
              <w:t>0</w:t>
            </w:r>
          </w:p>
        </w:tc>
      </w:tr>
      <w:tr w:rsidR="00CC6F38" w14:paraId="22A2BFBC" w14:textId="77777777" w:rsidTr="00D93C68">
        <w:trPr>
          <w:tblCellSpacing w:w="15" w:type="dxa"/>
        </w:trPr>
        <w:tc>
          <w:tcPr>
            <w:tcW w:w="809" w:type="pct"/>
            <w:tcBorders>
              <w:top w:val="outset" w:sz="6" w:space="0" w:color="auto"/>
              <w:left w:val="outset" w:sz="6" w:space="0" w:color="auto"/>
              <w:bottom w:val="outset" w:sz="6" w:space="0" w:color="auto"/>
              <w:right w:val="outset" w:sz="6" w:space="0" w:color="auto"/>
            </w:tcBorders>
            <w:hideMark/>
          </w:tcPr>
          <w:p w14:paraId="354E08D2" w14:textId="77777777" w:rsidR="00145D81" w:rsidRPr="00836FE4" w:rsidRDefault="002A525E" w:rsidP="00145D81">
            <w:pPr>
              <w:rPr>
                <w:iCs/>
                <w:color w:val="414142"/>
                <w:lang w:eastAsia="lv-LV"/>
              </w:rPr>
            </w:pPr>
            <w:r w:rsidRPr="00836FE4">
              <w:rPr>
                <w:iCs/>
                <w:color w:val="414142"/>
                <w:lang w:eastAsia="lv-LV"/>
              </w:rPr>
              <w:t>4. Finanšu līdzekļi papildu izdevumu finansēšanai (kompensējošu izdevumu samazinājumu norāda ar "+" zīmi)</w:t>
            </w:r>
          </w:p>
        </w:tc>
        <w:tc>
          <w:tcPr>
            <w:tcW w:w="405" w:type="pct"/>
            <w:tcBorders>
              <w:top w:val="outset" w:sz="6" w:space="0" w:color="auto"/>
              <w:left w:val="outset" w:sz="6" w:space="0" w:color="auto"/>
              <w:bottom w:val="outset" w:sz="6" w:space="0" w:color="auto"/>
              <w:right w:val="outset" w:sz="6" w:space="0" w:color="auto"/>
            </w:tcBorders>
            <w:vAlign w:val="center"/>
            <w:hideMark/>
          </w:tcPr>
          <w:p w14:paraId="0DB52B25" w14:textId="77777777" w:rsidR="00145D81" w:rsidRPr="00836FE4" w:rsidRDefault="002A525E" w:rsidP="00145D81">
            <w:pPr>
              <w:jc w:val="center"/>
              <w:rPr>
                <w:iCs/>
                <w:color w:val="414142"/>
                <w:lang w:eastAsia="lv-LV"/>
              </w:rPr>
            </w:pPr>
            <w:r w:rsidRPr="00836FE4">
              <w:rPr>
                <w:iCs/>
                <w:color w:val="414142"/>
                <w:lang w:eastAsia="lv-LV"/>
              </w:rPr>
              <w:t>X</w:t>
            </w:r>
          </w:p>
        </w:tc>
        <w:tc>
          <w:tcPr>
            <w:tcW w:w="535" w:type="pct"/>
            <w:tcBorders>
              <w:top w:val="outset" w:sz="6" w:space="0" w:color="auto"/>
              <w:left w:val="outset" w:sz="6" w:space="0" w:color="auto"/>
              <w:bottom w:val="outset" w:sz="6" w:space="0" w:color="auto"/>
              <w:right w:val="outset" w:sz="6" w:space="0" w:color="auto"/>
            </w:tcBorders>
            <w:vAlign w:val="center"/>
            <w:hideMark/>
          </w:tcPr>
          <w:p w14:paraId="7A44EF86" w14:textId="77777777" w:rsidR="00145D81" w:rsidRPr="00836FE4" w:rsidRDefault="002A525E" w:rsidP="00145D81">
            <w:pPr>
              <w:jc w:val="center"/>
              <w:rPr>
                <w:iCs/>
                <w:color w:val="414142"/>
                <w:lang w:eastAsia="lv-LV"/>
              </w:rPr>
            </w:pPr>
            <w:r w:rsidRPr="00836FE4">
              <w:rPr>
                <w:iCs/>
                <w:color w:val="414142"/>
                <w:lang w:eastAsia="lv-LV"/>
              </w:rPr>
              <w:t>0</w:t>
            </w:r>
          </w:p>
        </w:tc>
        <w:tc>
          <w:tcPr>
            <w:tcW w:w="420" w:type="pct"/>
            <w:tcBorders>
              <w:top w:val="outset" w:sz="6" w:space="0" w:color="auto"/>
              <w:left w:val="outset" w:sz="6" w:space="0" w:color="auto"/>
              <w:bottom w:val="outset" w:sz="6" w:space="0" w:color="auto"/>
              <w:right w:val="outset" w:sz="6" w:space="0" w:color="auto"/>
            </w:tcBorders>
            <w:vAlign w:val="center"/>
            <w:hideMark/>
          </w:tcPr>
          <w:p w14:paraId="41A5D3A7" w14:textId="77777777" w:rsidR="00145D81" w:rsidRPr="00836FE4" w:rsidRDefault="002A525E" w:rsidP="00145D81">
            <w:pPr>
              <w:jc w:val="center"/>
              <w:rPr>
                <w:iCs/>
                <w:color w:val="414142"/>
                <w:lang w:eastAsia="lv-LV"/>
              </w:rPr>
            </w:pPr>
            <w:r w:rsidRPr="00836FE4">
              <w:rPr>
                <w:iCs/>
                <w:color w:val="414142"/>
                <w:lang w:eastAsia="lv-LV"/>
              </w:rPr>
              <w:t>X</w:t>
            </w:r>
          </w:p>
        </w:tc>
        <w:tc>
          <w:tcPr>
            <w:tcW w:w="519" w:type="pct"/>
            <w:tcBorders>
              <w:top w:val="outset" w:sz="6" w:space="0" w:color="auto"/>
              <w:left w:val="outset" w:sz="6" w:space="0" w:color="auto"/>
              <w:bottom w:val="outset" w:sz="6" w:space="0" w:color="auto"/>
              <w:right w:val="outset" w:sz="6" w:space="0" w:color="auto"/>
            </w:tcBorders>
            <w:vAlign w:val="center"/>
            <w:hideMark/>
          </w:tcPr>
          <w:p w14:paraId="11B57DC5" w14:textId="77777777" w:rsidR="00145D81" w:rsidRPr="00836FE4" w:rsidRDefault="002A525E" w:rsidP="00145D81">
            <w:pPr>
              <w:jc w:val="center"/>
              <w:rPr>
                <w:iCs/>
                <w:color w:val="414142"/>
                <w:lang w:eastAsia="lv-LV"/>
              </w:rPr>
            </w:pPr>
            <w:r w:rsidRPr="00836FE4">
              <w:rPr>
                <w:iCs/>
                <w:color w:val="414142"/>
                <w:lang w:eastAsia="lv-LV"/>
              </w:rPr>
              <w:t>0</w:t>
            </w:r>
          </w:p>
        </w:tc>
        <w:tc>
          <w:tcPr>
            <w:tcW w:w="452" w:type="pct"/>
            <w:tcBorders>
              <w:top w:val="outset" w:sz="6" w:space="0" w:color="auto"/>
              <w:left w:val="outset" w:sz="6" w:space="0" w:color="auto"/>
              <w:bottom w:val="outset" w:sz="6" w:space="0" w:color="auto"/>
              <w:right w:val="outset" w:sz="6" w:space="0" w:color="auto"/>
            </w:tcBorders>
            <w:vAlign w:val="center"/>
            <w:hideMark/>
          </w:tcPr>
          <w:p w14:paraId="7AA6A8B5" w14:textId="77777777" w:rsidR="00145D81" w:rsidRPr="00836FE4" w:rsidRDefault="002A525E" w:rsidP="00145D81">
            <w:pPr>
              <w:jc w:val="center"/>
              <w:rPr>
                <w:iCs/>
                <w:color w:val="414142"/>
                <w:lang w:eastAsia="lv-LV"/>
              </w:rPr>
            </w:pPr>
            <w:r w:rsidRPr="00836FE4">
              <w:rPr>
                <w:iCs/>
                <w:color w:val="414142"/>
                <w:lang w:eastAsia="lv-LV"/>
              </w:rPr>
              <w:t>X</w:t>
            </w:r>
          </w:p>
        </w:tc>
        <w:tc>
          <w:tcPr>
            <w:tcW w:w="504" w:type="pct"/>
            <w:tcBorders>
              <w:top w:val="outset" w:sz="6" w:space="0" w:color="auto"/>
              <w:left w:val="outset" w:sz="6" w:space="0" w:color="auto"/>
              <w:bottom w:val="outset" w:sz="6" w:space="0" w:color="auto"/>
              <w:right w:val="outset" w:sz="6" w:space="0" w:color="auto"/>
            </w:tcBorders>
            <w:vAlign w:val="center"/>
            <w:hideMark/>
          </w:tcPr>
          <w:p w14:paraId="66A32628" w14:textId="77777777" w:rsidR="00145D81" w:rsidRPr="00836FE4" w:rsidRDefault="002A525E" w:rsidP="00145D81">
            <w:pPr>
              <w:rPr>
                <w:iCs/>
                <w:color w:val="414142"/>
                <w:lang w:eastAsia="lv-LV"/>
              </w:rPr>
            </w:pPr>
            <w:r w:rsidRPr="00836FE4">
              <w:rPr>
                <w:iCs/>
                <w:color w:val="414142"/>
                <w:lang w:eastAsia="lv-LV"/>
              </w:rPr>
              <w:t>0</w:t>
            </w:r>
          </w:p>
        </w:tc>
        <w:tc>
          <w:tcPr>
            <w:tcW w:w="1216" w:type="pct"/>
            <w:tcBorders>
              <w:top w:val="outset" w:sz="6" w:space="0" w:color="auto"/>
              <w:left w:val="outset" w:sz="6" w:space="0" w:color="auto"/>
              <w:bottom w:val="outset" w:sz="6" w:space="0" w:color="auto"/>
              <w:right w:val="outset" w:sz="6" w:space="0" w:color="auto"/>
            </w:tcBorders>
            <w:vAlign w:val="center"/>
            <w:hideMark/>
          </w:tcPr>
          <w:p w14:paraId="1BFBB6DB" w14:textId="77777777" w:rsidR="00145D81" w:rsidRPr="00836FE4" w:rsidRDefault="002A525E" w:rsidP="00145D81">
            <w:pPr>
              <w:rPr>
                <w:iCs/>
                <w:color w:val="414142"/>
                <w:lang w:eastAsia="lv-LV"/>
              </w:rPr>
            </w:pPr>
            <w:r w:rsidRPr="00836FE4">
              <w:rPr>
                <w:iCs/>
                <w:color w:val="414142"/>
                <w:lang w:eastAsia="lv-LV"/>
              </w:rPr>
              <w:t>0</w:t>
            </w:r>
          </w:p>
        </w:tc>
      </w:tr>
      <w:tr w:rsidR="00CC6F38" w14:paraId="41519D44" w14:textId="77777777" w:rsidTr="00D93C68">
        <w:trPr>
          <w:tblCellSpacing w:w="15" w:type="dxa"/>
        </w:trPr>
        <w:tc>
          <w:tcPr>
            <w:tcW w:w="809" w:type="pct"/>
            <w:tcBorders>
              <w:top w:val="outset" w:sz="6" w:space="0" w:color="auto"/>
              <w:left w:val="outset" w:sz="6" w:space="0" w:color="auto"/>
              <w:bottom w:val="outset" w:sz="6" w:space="0" w:color="auto"/>
              <w:right w:val="outset" w:sz="6" w:space="0" w:color="auto"/>
            </w:tcBorders>
            <w:hideMark/>
          </w:tcPr>
          <w:p w14:paraId="58A25069" w14:textId="77777777" w:rsidR="00145D81" w:rsidRPr="00836FE4" w:rsidRDefault="002A525E" w:rsidP="00145D81">
            <w:pPr>
              <w:rPr>
                <w:iCs/>
                <w:color w:val="414142"/>
                <w:lang w:eastAsia="lv-LV"/>
              </w:rPr>
            </w:pPr>
            <w:r w:rsidRPr="00836FE4">
              <w:rPr>
                <w:iCs/>
                <w:color w:val="414142"/>
                <w:lang w:eastAsia="lv-LV"/>
              </w:rPr>
              <w:lastRenderedPageBreak/>
              <w:t>5. Precizēta finansiālā ietekme</w:t>
            </w:r>
          </w:p>
        </w:tc>
        <w:tc>
          <w:tcPr>
            <w:tcW w:w="405" w:type="pct"/>
            <w:vMerge w:val="restart"/>
            <w:tcBorders>
              <w:top w:val="outset" w:sz="6" w:space="0" w:color="auto"/>
              <w:left w:val="outset" w:sz="6" w:space="0" w:color="auto"/>
              <w:bottom w:val="outset" w:sz="6" w:space="0" w:color="auto"/>
              <w:right w:val="outset" w:sz="6" w:space="0" w:color="auto"/>
            </w:tcBorders>
            <w:vAlign w:val="center"/>
            <w:hideMark/>
          </w:tcPr>
          <w:p w14:paraId="65F3A010" w14:textId="77777777" w:rsidR="00145D81" w:rsidRPr="00836FE4" w:rsidRDefault="00145D81" w:rsidP="00145D81">
            <w:pPr>
              <w:jc w:val="center"/>
              <w:rPr>
                <w:iCs/>
                <w:color w:val="414142"/>
                <w:lang w:eastAsia="lv-LV"/>
              </w:rPr>
            </w:pPr>
          </w:p>
          <w:p w14:paraId="4E50706F" w14:textId="77777777" w:rsidR="00145D81" w:rsidRPr="00836FE4" w:rsidRDefault="00145D81" w:rsidP="00145D81">
            <w:pPr>
              <w:jc w:val="center"/>
              <w:rPr>
                <w:iCs/>
                <w:color w:val="414142"/>
                <w:lang w:eastAsia="lv-LV"/>
              </w:rPr>
            </w:pPr>
          </w:p>
          <w:p w14:paraId="7EF63E5E" w14:textId="77777777" w:rsidR="00145D81" w:rsidRPr="00836FE4" w:rsidRDefault="00145D81" w:rsidP="00145D81">
            <w:pPr>
              <w:jc w:val="center"/>
              <w:rPr>
                <w:iCs/>
                <w:color w:val="414142"/>
                <w:lang w:eastAsia="lv-LV"/>
              </w:rPr>
            </w:pPr>
          </w:p>
          <w:p w14:paraId="47C39981" w14:textId="77777777" w:rsidR="00145D81" w:rsidRPr="00836FE4" w:rsidRDefault="00145D81" w:rsidP="00145D81">
            <w:pPr>
              <w:jc w:val="center"/>
              <w:rPr>
                <w:iCs/>
                <w:color w:val="414142"/>
                <w:lang w:eastAsia="lv-LV"/>
              </w:rPr>
            </w:pPr>
          </w:p>
          <w:p w14:paraId="35E4BF5B" w14:textId="77777777" w:rsidR="00145D81" w:rsidRPr="00836FE4" w:rsidRDefault="00145D81" w:rsidP="00145D81">
            <w:pPr>
              <w:jc w:val="center"/>
              <w:rPr>
                <w:iCs/>
                <w:color w:val="414142"/>
                <w:lang w:eastAsia="lv-LV"/>
              </w:rPr>
            </w:pPr>
          </w:p>
          <w:p w14:paraId="238DE991" w14:textId="77777777" w:rsidR="00145D81" w:rsidRPr="00836FE4" w:rsidRDefault="002A525E" w:rsidP="00145D81">
            <w:pPr>
              <w:jc w:val="center"/>
              <w:rPr>
                <w:iCs/>
                <w:color w:val="414142"/>
                <w:lang w:eastAsia="lv-LV"/>
              </w:rPr>
            </w:pPr>
            <w:r w:rsidRPr="00836FE4">
              <w:rPr>
                <w:iCs/>
                <w:color w:val="414142"/>
                <w:lang w:eastAsia="lv-LV"/>
              </w:rPr>
              <w:t>X</w:t>
            </w:r>
          </w:p>
        </w:tc>
        <w:tc>
          <w:tcPr>
            <w:tcW w:w="535" w:type="pct"/>
            <w:tcBorders>
              <w:top w:val="outset" w:sz="6" w:space="0" w:color="auto"/>
              <w:left w:val="outset" w:sz="6" w:space="0" w:color="auto"/>
              <w:bottom w:val="outset" w:sz="6" w:space="0" w:color="auto"/>
              <w:right w:val="outset" w:sz="6" w:space="0" w:color="auto"/>
            </w:tcBorders>
            <w:vAlign w:val="center"/>
            <w:hideMark/>
          </w:tcPr>
          <w:p w14:paraId="16461B8C" w14:textId="77777777" w:rsidR="00145D81" w:rsidRPr="00836FE4" w:rsidRDefault="002A525E" w:rsidP="00145D81">
            <w:pPr>
              <w:jc w:val="center"/>
              <w:rPr>
                <w:iCs/>
                <w:color w:val="414142"/>
                <w:lang w:eastAsia="lv-LV"/>
              </w:rPr>
            </w:pPr>
            <w:r w:rsidRPr="00836FE4">
              <w:rPr>
                <w:iCs/>
                <w:color w:val="414142"/>
                <w:lang w:eastAsia="lv-LV"/>
              </w:rPr>
              <w:t>0</w:t>
            </w:r>
          </w:p>
        </w:tc>
        <w:tc>
          <w:tcPr>
            <w:tcW w:w="420" w:type="pct"/>
            <w:vMerge w:val="restart"/>
            <w:tcBorders>
              <w:top w:val="outset" w:sz="6" w:space="0" w:color="auto"/>
              <w:left w:val="outset" w:sz="6" w:space="0" w:color="auto"/>
              <w:bottom w:val="outset" w:sz="6" w:space="0" w:color="auto"/>
              <w:right w:val="outset" w:sz="6" w:space="0" w:color="auto"/>
            </w:tcBorders>
            <w:vAlign w:val="center"/>
            <w:hideMark/>
          </w:tcPr>
          <w:p w14:paraId="1A9B825C" w14:textId="77777777" w:rsidR="00145D81" w:rsidRPr="00836FE4" w:rsidRDefault="00145D81" w:rsidP="00145D81">
            <w:pPr>
              <w:jc w:val="center"/>
              <w:rPr>
                <w:iCs/>
                <w:color w:val="414142"/>
                <w:lang w:eastAsia="lv-LV"/>
              </w:rPr>
            </w:pPr>
          </w:p>
          <w:p w14:paraId="5AE4B53F" w14:textId="77777777" w:rsidR="00145D81" w:rsidRPr="00836FE4" w:rsidRDefault="00145D81" w:rsidP="00145D81">
            <w:pPr>
              <w:jc w:val="center"/>
              <w:rPr>
                <w:iCs/>
                <w:color w:val="414142"/>
                <w:lang w:eastAsia="lv-LV"/>
              </w:rPr>
            </w:pPr>
          </w:p>
          <w:p w14:paraId="130A2A13" w14:textId="77777777" w:rsidR="00145D81" w:rsidRPr="00836FE4" w:rsidRDefault="00145D81" w:rsidP="00145D81">
            <w:pPr>
              <w:jc w:val="center"/>
              <w:rPr>
                <w:iCs/>
                <w:color w:val="414142"/>
                <w:lang w:eastAsia="lv-LV"/>
              </w:rPr>
            </w:pPr>
          </w:p>
          <w:p w14:paraId="07FCDBDE" w14:textId="77777777" w:rsidR="00145D81" w:rsidRPr="00836FE4" w:rsidRDefault="00145D81" w:rsidP="00145D81">
            <w:pPr>
              <w:jc w:val="center"/>
              <w:rPr>
                <w:iCs/>
                <w:color w:val="414142"/>
                <w:lang w:eastAsia="lv-LV"/>
              </w:rPr>
            </w:pPr>
          </w:p>
          <w:p w14:paraId="0A8B99A3" w14:textId="77777777" w:rsidR="00145D81" w:rsidRPr="00836FE4" w:rsidRDefault="00145D81" w:rsidP="00145D81">
            <w:pPr>
              <w:jc w:val="center"/>
              <w:rPr>
                <w:iCs/>
                <w:color w:val="414142"/>
                <w:lang w:eastAsia="lv-LV"/>
              </w:rPr>
            </w:pPr>
          </w:p>
          <w:p w14:paraId="2891A85B" w14:textId="77777777" w:rsidR="00145D81" w:rsidRPr="00836FE4" w:rsidRDefault="002A525E" w:rsidP="00145D81">
            <w:pPr>
              <w:jc w:val="center"/>
              <w:rPr>
                <w:iCs/>
                <w:color w:val="414142"/>
                <w:lang w:eastAsia="lv-LV"/>
              </w:rPr>
            </w:pPr>
            <w:r w:rsidRPr="00836FE4">
              <w:rPr>
                <w:iCs/>
                <w:color w:val="414142"/>
                <w:lang w:eastAsia="lv-LV"/>
              </w:rPr>
              <w:t>X</w:t>
            </w:r>
          </w:p>
        </w:tc>
        <w:tc>
          <w:tcPr>
            <w:tcW w:w="519" w:type="pct"/>
            <w:tcBorders>
              <w:top w:val="outset" w:sz="6" w:space="0" w:color="auto"/>
              <w:left w:val="outset" w:sz="6" w:space="0" w:color="auto"/>
              <w:bottom w:val="outset" w:sz="6" w:space="0" w:color="auto"/>
              <w:right w:val="outset" w:sz="6" w:space="0" w:color="auto"/>
            </w:tcBorders>
            <w:vAlign w:val="center"/>
            <w:hideMark/>
          </w:tcPr>
          <w:p w14:paraId="76F46FFD" w14:textId="5DAC5450" w:rsidR="00145D81" w:rsidRPr="00836FE4" w:rsidRDefault="00C41AC3" w:rsidP="00145D81">
            <w:pPr>
              <w:jc w:val="center"/>
              <w:rPr>
                <w:iCs/>
                <w:color w:val="414142"/>
                <w:lang w:eastAsia="lv-LV"/>
              </w:rPr>
            </w:pPr>
            <w:r w:rsidRPr="00C41AC3">
              <w:rPr>
                <w:iCs/>
                <w:color w:val="414142"/>
                <w:lang w:eastAsia="lv-LV"/>
              </w:rPr>
              <w:t>-230042</w:t>
            </w:r>
          </w:p>
        </w:tc>
        <w:tc>
          <w:tcPr>
            <w:tcW w:w="452" w:type="pct"/>
            <w:vMerge w:val="restart"/>
            <w:tcBorders>
              <w:top w:val="outset" w:sz="6" w:space="0" w:color="auto"/>
              <w:left w:val="outset" w:sz="6" w:space="0" w:color="auto"/>
              <w:bottom w:val="outset" w:sz="6" w:space="0" w:color="auto"/>
              <w:right w:val="outset" w:sz="6" w:space="0" w:color="auto"/>
            </w:tcBorders>
            <w:vAlign w:val="center"/>
            <w:hideMark/>
          </w:tcPr>
          <w:p w14:paraId="1A794150" w14:textId="77777777" w:rsidR="00145D81" w:rsidRPr="00836FE4" w:rsidRDefault="00145D81" w:rsidP="00145D81">
            <w:pPr>
              <w:jc w:val="center"/>
              <w:rPr>
                <w:iCs/>
                <w:color w:val="414142"/>
                <w:lang w:eastAsia="lv-LV"/>
              </w:rPr>
            </w:pPr>
          </w:p>
          <w:p w14:paraId="38CB4C0A" w14:textId="77777777" w:rsidR="00145D81" w:rsidRPr="00836FE4" w:rsidRDefault="00145D81" w:rsidP="00145D81">
            <w:pPr>
              <w:jc w:val="center"/>
              <w:rPr>
                <w:iCs/>
                <w:color w:val="414142"/>
                <w:lang w:eastAsia="lv-LV"/>
              </w:rPr>
            </w:pPr>
          </w:p>
          <w:p w14:paraId="6A30FB64" w14:textId="77777777" w:rsidR="00145D81" w:rsidRPr="00836FE4" w:rsidRDefault="00145D81" w:rsidP="00145D81">
            <w:pPr>
              <w:jc w:val="center"/>
              <w:rPr>
                <w:iCs/>
                <w:color w:val="414142"/>
                <w:lang w:eastAsia="lv-LV"/>
              </w:rPr>
            </w:pPr>
          </w:p>
          <w:p w14:paraId="74290A69" w14:textId="77777777" w:rsidR="00145D81" w:rsidRPr="00836FE4" w:rsidRDefault="00145D81" w:rsidP="00145D81">
            <w:pPr>
              <w:jc w:val="center"/>
              <w:rPr>
                <w:iCs/>
                <w:color w:val="414142"/>
                <w:lang w:eastAsia="lv-LV"/>
              </w:rPr>
            </w:pPr>
          </w:p>
          <w:p w14:paraId="65814B3D" w14:textId="77777777" w:rsidR="00145D81" w:rsidRPr="00836FE4" w:rsidRDefault="00145D81" w:rsidP="00145D81">
            <w:pPr>
              <w:jc w:val="center"/>
              <w:rPr>
                <w:iCs/>
                <w:color w:val="414142"/>
                <w:lang w:eastAsia="lv-LV"/>
              </w:rPr>
            </w:pPr>
          </w:p>
          <w:p w14:paraId="2C304EFC" w14:textId="77777777" w:rsidR="00145D81" w:rsidRPr="00836FE4" w:rsidRDefault="002A525E" w:rsidP="00145D81">
            <w:pPr>
              <w:jc w:val="center"/>
              <w:rPr>
                <w:iCs/>
                <w:color w:val="414142"/>
                <w:lang w:eastAsia="lv-LV"/>
              </w:rPr>
            </w:pPr>
            <w:r w:rsidRPr="00836FE4">
              <w:rPr>
                <w:iCs/>
                <w:color w:val="414142"/>
                <w:lang w:eastAsia="lv-LV"/>
              </w:rPr>
              <w:t>X</w:t>
            </w:r>
          </w:p>
        </w:tc>
        <w:tc>
          <w:tcPr>
            <w:tcW w:w="504" w:type="pct"/>
            <w:tcBorders>
              <w:top w:val="outset" w:sz="6" w:space="0" w:color="auto"/>
              <w:left w:val="outset" w:sz="6" w:space="0" w:color="auto"/>
              <w:bottom w:val="outset" w:sz="6" w:space="0" w:color="auto"/>
              <w:right w:val="outset" w:sz="6" w:space="0" w:color="auto"/>
            </w:tcBorders>
            <w:vAlign w:val="center"/>
            <w:hideMark/>
          </w:tcPr>
          <w:p w14:paraId="5452DBA2" w14:textId="265A16AF" w:rsidR="00145D81" w:rsidRPr="00836FE4" w:rsidRDefault="00C41AC3" w:rsidP="00145D81">
            <w:pPr>
              <w:rPr>
                <w:iCs/>
                <w:color w:val="414142"/>
                <w:lang w:eastAsia="lv-LV"/>
              </w:rPr>
            </w:pPr>
            <w:r w:rsidRPr="00C41AC3">
              <w:rPr>
                <w:iCs/>
                <w:color w:val="414142"/>
                <w:lang w:eastAsia="lv-LV"/>
              </w:rPr>
              <w:t>-230042</w:t>
            </w:r>
          </w:p>
        </w:tc>
        <w:tc>
          <w:tcPr>
            <w:tcW w:w="1216" w:type="pct"/>
            <w:tcBorders>
              <w:top w:val="outset" w:sz="6" w:space="0" w:color="auto"/>
              <w:left w:val="outset" w:sz="6" w:space="0" w:color="auto"/>
              <w:bottom w:val="outset" w:sz="6" w:space="0" w:color="auto"/>
              <w:right w:val="outset" w:sz="6" w:space="0" w:color="auto"/>
            </w:tcBorders>
            <w:vAlign w:val="center"/>
            <w:hideMark/>
          </w:tcPr>
          <w:p w14:paraId="09C0B7A3" w14:textId="4AD863C9" w:rsidR="00145D81" w:rsidRPr="00836FE4" w:rsidRDefault="00C41AC3" w:rsidP="00145D81">
            <w:pPr>
              <w:rPr>
                <w:iCs/>
                <w:color w:val="414142"/>
                <w:lang w:eastAsia="lv-LV"/>
              </w:rPr>
            </w:pPr>
            <w:r w:rsidRPr="00C41AC3">
              <w:rPr>
                <w:iCs/>
                <w:color w:val="414142"/>
                <w:lang w:eastAsia="lv-LV"/>
              </w:rPr>
              <w:t>-230042</w:t>
            </w:r>
          </w:p>
        </w:tc>
      </w:tr>
      <w:tr w:rsidR="00CC6F38" w14:paraId="4CF4B865" w14:textId="77777777" w:rsidTr="00D93C68">
        <w:trPr>
          <w:tblCellSpacing w:w="15" w:type="dxa"/>
        </w:trPr>
        <w:tc>
          <w:tcPr>
            <w:tcW w:w="809" w:type="pct"/>
            <w:tcBorders>
              <w:top w:val="outset" w:sz="6" w:space="0" w:color="auto"/>
              <w:left w:val="outset" w:sz="6" w:space="0" w:color="auto"/>
              <w:bottom w:val="outset" w:sz="6" w:space="0" w:color="auto"/>
              <w:right w:val="outset" w:sz="6" w:space="0" w:color="auto"/>
            </w:tcBorders>
            <w:hideMark/>
          </w:tcPr>
          <w:p w14:paraId="730B0441" w14:textId="77777777" w:rsidR="00145D81" w:rsidRPr="00836FE4" w:rsidRDefault="002A525E" w:rsidP="00145D81">
            <w:pPr>
              <w:rPr>
                <w:iCs/>
                <w:color w:val="414142"/>
                <w:lang w:eastAsia="lv-LV"/>
              </w:rPr>
            </w:pPr>
            <w:r w:rsidRPr="00836FE4">
              <w:rPr>
                <w:iCs/>
                <w:color w:val="414142"/>
                <w:lang w:eastAsia="lv-LV"/>
              </w:rPr>
              <w:t>5.1. valsts pamatbudžets</w:t>
            </w:r>
          </w:p>
        </w:tc>
        <w:tc>
          <w:tcPr>
            <w:tcW w:w="405" w:type="pct"/>
            <w:vMerge/>
            <w:tcBorders>
              <w:top w:val="outset" w:sz="6" w:space="0" w:color="auto"/>
              <w:left w:val="outset" w:sz="6" w:space="0" w:color="auto"/>
              <w:bottom w:val="outset" w:sz="6" w:space="0" w:color="auto"/>
              <w:right w:val="outset" w:sz="6" w:space="0" w:color="auto"/>
            </w:tcBorders>
            <w:vAlign w:val="center"/>
            <w:hideMark/>
          </w:tcPr>
          <w:p w14:paraId="08AF278E" w14:textId="77777777" w:rsidR="00145D81" w:rsidRPr="00836FE4" w:rsidRDefault="00145D81" w:rsidP="00145D81">
            <w:pPr>
              <w:rPr>
                <w:iCs/>
                <w:color w:val="414142"/>
                <w:lang w:eastAsia="lv-LV"/>
              </w:rPr>
            </w:pPr>
          </w:p>
        </w:tc>
        <w:tc>
          <w:tcPr>
            <w:tcW w:w="535" w:type="pct"/>
            <w:tcBorders>
              <w:top w:val="outset" w:sz="6" w:space="0" w:color="auto"/>
              <w:left w:val="outset" w:sz="6" w:space="0" w:color="auto"/>
              <w:bottom w:val="outset" w:sz="6" w:space="0" w:color="auto"/>
              <w:right w:val="outset" w:sz="6" w:space="0" w:color="auto"/>
            </w:tcBorders>
            <w:vAlign w:val="center"/>
            <w:hideMark/>
          </w:tcPr>
          <w:p w14:paraId="428D2277" w14:textId="77777777" w:rsidR="00145D81" w:rsidRPr="00836FE4" w:rsidRDefault="002A525E" w:rsidP="00145D81">
            <w:pPr>
              <w:rPr>
                <w:iCs/>
                <w:color w:val="414142"/>
                <w:lang w:eastAsia="lv-LV"/>
              </w:rPr>
            </w:pPr>
            <w:r w:rsidRPr="00836FE4">
              <w:rPr>
                <w:iCs/>
                <w:color w:val="414142"/>
                <w:lang w:eastAsia="lv-LV"/>
              </w:rPr>
              <w:t>0</w:t>
            </w:r>
          </w:p>
        </w:tc>
        <w:tc>
          <w:tcPr>
            <w:tcW w:w="420" w:type="pct"/>
            <w:vMerge/>
            <w:tcBorders>
              <w:top w:val="outset" w:sz="6" w:space="0" w:color="auto"/>
              <w:left w:val="outset" w:sz="6" w:space="0" w:color="auto"/>
              <w:bottom w:val="outset" w:sz="6" w:space="0" w:color="auto"/>
              <w:right w:val="outset" w:sz="6" w:space="0" w:color="auto"/>
            </w:tcBorders>
            <w:vAlign w:val="center"/>
            <w:hideMark/>
          </w:tcPr>
          <w:p w14:paraId="3B700BB1" w14:textId="77777777" w:rsidR="00145D81" w:rsidRPr="00836FE4" w:rsidRDefault="00145D81" w:rsidP="00145D81">
            <w:pPr>
              <w:rPr>
                <w:iCs/>
                <w:color w:val="414142"/>
                <w:lang w:eastAsia="lv-LV"/>
              </w:rPr>
            </w:pPr>
          </w:p>
        </w:tc>
        <w:tc>
          <w:tcPr>
            <w:tcW w:w="519" w:type="pct"/>
            <w:tcBorders>
              <w:top w:val="outset" w:sz="6" w:space="0" w:color="auto"/>
              <w:left w:val="outset" w:sz="6" w:space="0" w:color="auto"/>
              <w:bottom w:val="outset" w:sz="6" w:space="0" w:color="auto"/>
              <w:right w:val="outset" w:sz="6" w:space="0" w:color="auto"/>
            </w:tcBorders>
            <w:vAlign w:val="center"/>
            <w:hideMark/>
          </w:tcPr>
          <w:p w14:paraId="547D64AF" w14:textId="48E38BF0" w:rsidR="00145D81" w:rsidRPr="00836FE4" w:rsidRDefault="00C41AC3" w:rsidP="00145D81">
            <w:pPr>
              <w:rPr>
                <w:iCs/>
                <w:color w:val="414142"/>
                <w:lang w:eastAsia="lv-LV"/>
              </w:rPr>
            </w:pPr>
            <w:r w:rsidRPr="00C41AC3">
              <w:rPr>
                <w:iCs/>
                <w:color w:val="414142"/>
                <w:lang w:eastAsia="lv-LV"/>
              </w:rPr>
              <w:t>-230042</w:t>
            </w:r>
          </w:p>
        </w:tc>
        <w:tc>
          <w:tcPr>
            <w:tcW w:w="452" w:type="pct"/>
            <w:vMerge/>
            <w:tcBorders>
              <w:top w:val="outset" w:sz="6" w:space="0" w:color="auto"/>
              <w:left w:val="outset" w:sz="6" w:space="0" w:color="auto"/>
              <w:bottom w:val="outset" w:sz="6" w:space="0" w:color="auto"/>
              <w:right w:val="outset" w:sz="6" w:space="0" w:color="auto"/>
            </w:tcBorders>
            <w:vAlign w:val="center"/>
            <w:hideMark/>
          </w:tcPr>
          <w:p w14:paraId="698C702D" w14:textId="77777777" w:rsidR="00145D81" w:rsidRPr="00836FE4" w:rsidRDefault="00145D81" w:rsidP="00145D81">
            <w:pPr>
              <w:rPr>
                <w:iCs/>
                <w:color w:val="414142"/>
                <w:lang w:eastAsia="lv-LV"/>
              </w:rPr>
            </w:pPr>
          </w:p>
        </w:tc>
        <w:tc>
          <w:tcPr>
            <w:tcW w:w="504" w:type="pct"/>
            <w:tcBorders>
              <w:top w:val="outset" w:sz="6" w:space="0" w:color="auto"/>
              <w:left w:val="outset" w:sz="6" w:space="0" w:color="auto"/>
              <w:bottom w:val="outset" w:sz="6" w:space="0" w:color="auto"/>
              <w:right w:val="outset" w:sz="6" w:space="0" w:color="auto"/>
            </w:tcBorders>
            <w:vAlign w:val="center"/>
            <w:hideMark/>
          </w:tcPr>
          <w:p w14:paraId="4BB8700C" w14:textId="6E074868" w:rsidR="00145D81" w:rsidRPr="00836FE4" w:rsidRDefault="00C41AC3" w:rsidP="00145D81">
            <w:pPr>
              <w:rPr>
                <w:iCs/>
                <w:color w:val="414142"/>
                <w:lang w:eastAsia="lv-LV"/>
              </w:rPr>
            </w:pPr>
            <w:r w:rsidRPr="00C41AC3">
              <w:rPr>
                <w:iCs/>
                <w:color w:val="414142"/>
                <w:lang w:eastAsia="lv-LV"/>
              </w:rPr>
              <w:t>-230042</w:t>
            </w:r>
          </w:p>
        </w:tc>
        <w:tc>
          <w:tcPr>
            <w:tcW w:w="1216" w:type="pct"/>
            <w:tcBorders>
              <w:top w:val="outset" w:sz="6" w:space="0" w:color="auto"/>
              <w:left w:val="outset" w:sz="6" w:space="0" w:color="auto"/>
              <w:bottom w:val="outset" w:sz="6" w:space="0" w:color="auto"/>
              <w:right w:val="outset" w:sz="6" w:space="0" w:color="auto"/>
            </w:tcBorders>
            <w:vAlign w:val="center"/>
            <w:hideMark/>
          </w:tcPr>
          <w:p w14:paraId="7DAF664E" w14:textId="01BFEC22" w:rsidR="00145D81" w:rsidRPr="00836FE4" w:rsidRDefault="00C41AC3" w:rsidP="00145D81">
            <w:pPr>
              <w:rPr>
                <w:iCs/>
                <w:color w:val="414142"/>
                <w:lang w:eastAsia="lv-LV"/>
              </w:rPr>
            </w:pPr>
            <w:r w:rsidRPr="00C41AC3">
              <w:rPr>
                <w:iCs/>
                <w:color w:val="414142"/>
                <w:lang w:eastAsia="lv-LV"/>
              </w:rPr>
              <w:t>-230042</w:t>
            </w:r>
          </w:p>
        </w:tc>
      </w:tr>
      <w:tr w:rsidR="00CC6F38" w14:paraId="4F2BCF26" w14:textId="77777777" w:rsidTr="00D93C68">
        <w:trPr>
          <w:tblCellSpacing w:w="15" w:type="dxa"/>
        </w:trPr>
        <w:tc>
          <w:tcPr>
            <w:tcW w:w="809" w:type="pct"/>
            <w:tcBorders>
              <w:top w:val="outset" w:sz="6" w:space="0" w:color="auto"/>
              <w:left w:val="outset" w:sz="6" w:space="0" w:color="auto"/>
              <w:bottom w:val="outset" w:sz="6" w:space="0" w:color="auto"/>
              <w:right w:val="outset" w:sz="6" w:space="0" w:color="auto"/>
            </w:tcBorders>
            <w:hideMark/>
          </w:tcPr>
          <w:p w14:paraId="6352D07C" w14:textId="77777777" w:rsidR="00145D81" w:rsidRPr="00836FE4" w:rsidRDefault="002A525E" w:rsidP="00145D81">
            <w:pPr>
              <w:rPr>
                <w:iCs/>
                <w:color w:val="414142"/>
                <w:lang w:eastAsia="lv-LV"/>
              </w:rPr>
            </w:pPr>
            <w:r w:rsidRPr="00836FE4">
              <w:rPr>
                <w:iCs/>
                <w:color w:val="414142"/>
                <w:lang w:eastAsia="lv-LV"/>
              </w:rPr>
              <w:t>5.2. speciālais budžets</w:t>
            </w:r>
          </w:p>
        </w:tc>
        <w:tc>
          <w:tcPr>
            <w:tcW w:w="405" w:type="pct"/>
            <w:vMerge/>
            <w:tcBorders>
              <w:top w:val="outset" w:sz="6" w:space="0" w:color="auto"/>
              <w:left w:val="outset" w:sz="6" w:space="0" w:color="auto"/>
              <w:bottom w:val="outset" w:sz="6" w:space="0" w:color="auto"/>
              <w:right w:val="outset" w:sz="6" w:space="0" w:color="auto"/>
            </w:tcBorders>
            <w:vAlign w:val="center"/>
            <w:hideMark/>
          </w:tcPr>
          <w:p w14:paraId="7B14FE0F" w14:textId="77777777" w:rsidR="00145D81" w:rsidRPr="00836FE4" w:rsidRDefault="00145D81" w:rsidP="00145D81">
            <w:pPr>
              <w:rPr>
                <w:iCs/>
                <w:color w:val="414142"/>
                <w:lang w:eastAsia="lv-LV"/>
              </w:rPr>
            </w:pPr>
          </w:p>
        </w:tc>
        <w:tc>
          <w:tcPr>
            <w:tcW w:w="535" w:type="pct"/>
            <w:tcBorders>
              <w:top w:val="outset" w:sz="6" w:space="0" w:color="auto"/>
              <w:left w:val="outset" w:sz="6" w:space="0" w:color="auto"/>
              <w:bottom w:val="outset" w:sz="6" w:space="0" w:color="auto"/>
              <w:right w:val="outset" w:sz="6" w:space="0" w:color="auto"/>
            </w:tcBorders>
            <w:vAlign w:val="center"/>
            <w:hideMark/>
          </w:tcPr>
          <w:p w14:paraId="6F637D8F" w14:textId="77777777" w:rsidR="00145D81" w:rsidRPr="00836FE4" w:rsidRDefault="002A525E" w:rsidP="00145D81">
            <w:pPr>
              <w:rPr>
                <w:iCs/>
                <w:color w:val="414142"/>
                <w:lang w:eastAsia="lv-LV"/>
              </w:rPr>
            </w:pPr>
            <w:r w:rsidRPr="00836FE4">
              <w:rPr>
                <w:iCs/>
                <w:color w:val="414142"/>
                <w:lang w:eastAsia="lv-LV"/>
              </w:rPr>
              <w:t>0</w:t>
            </w:r>
          </w:p>
        </w:tc>
        <w:tc>
          <w:tcPr>
            <w:tcW w:w="420" w:type="pct"/>
            <w:vMerge/>
            <w:tcBorders>
              <w:top w:val="outset" w:sz="6" w:space="0" w:color="auto"/>
              <w:left w:val="outset" w:sz="6" w:space="0" w:color="auto"/>
              <w:bottom w:val="outset" w:sz="6" w:space="0" w:color="auto"/>
              <w:right w:val="outset" w:sz="6" w:space="0" w:color="auto"/>
            </w:tcBorders>
            <w:vAlign w:val="center"/>
            <w:hideMark/>
          </w:tcPr>
          <w:p w14:paraId="56D4B762" w14:textId="77777777" w:rsidR="00145D81" w:rsidRPr="00836FE4" w:rsidRDefault="00145D81" w:rsidP="00145D81">
            <w:pPr>
              <w:rPr>
                <w:iCs/>
                <w:color w:val="414142"/>
                <w:lang w:eastAsia="lv-LV"/>
              </w:rPr>
            </w:pPr>
          </w:p>
        </w:tc>
        <w:tc>
          <w:tcPr>
            <w:tcW w:w="519" w:type="pct"/>
            <w:tcBorders>
              <w:top w:val="outset" w:sz="6" w:space="0" w:color="auto"/>
              <w:left w:val="outset" w:sz="6" w:space="0" w:color="auto"/>
              <w:bottom w:val="outset" w:sz="6" w:space="0" w:color="auto"/>
              <w:right w:val="outset" w:sz="6" w:space="0" w:color="auto"/>
            </w:tcBorders>
            <w:vAlign w:val="center"/>
            <w:hideMark/>
          </w:tcPr>
          <w:p w14:paraId="398BFBC0" w14:textId="77777777" w:rsidR="00145D81" w:rsidRPr="00836FE4" w:rsidRDefault="002A525E" w:rsidP="00145D81">
            <w:pPr>
              <w:rPr>
                <w:iCs/>
                <w:color w:val="414142"/>
                <w:lang w:eastAsia="lv-LV"/>
              </w:rPr>
            </w:pPr>
            <w:r w:rsidRPr="00836FE4">
              <w:rPr>
                <w:iCs/>
                <w:color w:val="414142"/>
                <w:lang w:eastAsia="lv-LV"/>
              </w:rPr>
              <w:t>0</w:t>
            </w:r>
          </w:p>
        </w:tc>
        <w:tc>
          <w:tcPr>
            <w:tcW w:w="452" w:type="pct"/>
            <w:vMerge/>
            <w:tcBorders>
              <w:top w:val="outset" w:sz="6" w:space="0" w:color="auto"/>
              <w:left w:val="outset" w:sz="6" w:space="0" w:color="auto"/>
              <w:bottom w:val="outset" w:sz="6" w:space="0" w:color="auto"/>
              <w:right w:val="outset" w:sz="6" w:space="0" w:color="auto"/>
            </w:tcBorders>
            <w:vAlign w:val="center"/>
            <w:hideMark/>
          </w:tcPr>
          <w:p w14:paraId="4A45C3B9" w14:textId="77777777" w:rsidR="00145D81" w:rsidRPr="00836FE4" w:rsidRDefault="00145D81" w:rsidP="00145D81">
            <w:pPr>
              <w:rPr>
                <w:iCs/>
                <w:color w:val="414142"/>
                <w:lang w:eastAsia="lv-LV"/>
              </w:rPr>
            </w:pPr>
          </w:p>
        </w:tc>
        <w:tc>
          <w:tcPr>
            <w:tcW w:w="504" w:type="pct"/>
            <w:tcBorders>
              <w:top w:val="outset" w:sz="6" w:space="0" w:color="auto"/>
              <w:left w:val="outset" w:sz="6" w:space="0" w:color="auto"/>
              <w:bottom w:val="outset" w:sz="6" w:space="0" w:color="auto"/>
              <w:right w:val="outset" w:sz="6" w:space="0" w:color="auto"/>
            </w:tcBorders>
            <w:vAlign w:val="center"/>
            <w:hideMark/>
          </w:tcPr>
          <w:p w14:paraId="71727B47" w14:textId="77777777" w:rsidR="00145D81" w:rsidRPr="00836FE4" w:rsidRDefault="002A525E" w:rsidP="00145D81">
            <w:pPr>
              <w:rPr>
                <w:iCs/>
                <w:color w:val="414142"/>
                <w:lang w:eastAsia="lv-LV"/>
              </w:rPr>
            </w:pPr>
            <w:r w:rsidRPr="00836FE4">
              <w:rPr>
                <w:iCs/>
                <w:color w:val="414142"/>
                <w:lang w:eastAsia="lv-LV"/>
              </w:rPr>
              <w:t>0</w:t>
            </w:r>
          </w:p>
        </w:tc>
        <w:tc>
          <w:tcPr>
            <w:tcW w:w="1216" w:type="pct"/>
            <w:tcBorders>
              <w:top w:val="outset" w:sz="6" w:space="0" w:color="auto"/>
              <w:left w:val="outset" w:sz="6" w:space="0" w:color="auto"/>
              <w:bottom w:val="outset" w:sz="6" w:space="0" w:color="auto"/>
              <w:right w:val="outset" w:sz="6" w:space="0" w:color="auto"/>
            </w:tcBorders>
            <w:vAlign w:val="center"/>
            <w:hideMark/>
          </w:tcPr>
          <w:p w14:paraId="4FF04249" w14:textId="77777777" w:rsidR="00145D81" w:rsidRPr="00836FE4" w:rsidRDefault="002A525E" w:rsidP="00145D81">
            <w:pPr>
              <w:rPr>
                <w:iCs/>
                <w:color w:val="414142"/>
                <w:lang w:eastAsia="lv-LV"/>
              </w:rPr>
            </w:pPr>
            <w:r w:rsidRPr="00836FE4">
              <w:rPr>
                <w:iCs/>
                <w:color w:val="414142"/>
                <w:lang w:eastAsia="lv-LV"/>
              </w:rPr>
              <w:t>0</w:t>
            </w:r>
          </w:p>
        </w:tc>
      </w:tr>
      <w:tr w:rsidR="00CC6F38" w14:paraId="36437A8A" w14:textId="77777777" w:rsidTr="00D93C68">
        <w:trPr>
          <w:tblCellSpacing w:w="15" w:type="dxa"/>
        </w:trPr>
        <w:tc>
          <w:tcPr>
            <w:tcW w:w="809" w:type="pct"/>
            <w:tcBorders>
              <w:top w:val="outset" w:sz="6" w:space="0" w:color="auto"/>
              <w:left w:val="outset" w:sz="6" w:space="0" w:color="auto"/>
              <w:bottom w:val="outset" w:sz="6" w:space="0" w:color="auto"/>
              <w:right w:val="outset" w:sz="6" w:space="0" w:color="auto"/>
            </w:tcBorders>
            <w:hideMark/>
          </w:tcPr>
          <w:p w14:paraId="5EB6BC78" w14:textId="77777777" w:rsidR="00145D81" w:rsidRPr="00836FE4" w:rsidRDefault="002A525E" w:rsidP="00145D81">
            <w:pPr>
              <w:rPr>
                <w:iCs/>
                <w:color w:val="414142"/>
                <w:lang w:eastAsia="lv-LV"/>
              </w:rPr>
            </w:pPr>
            <w:r w:rsidRPr="00836FE4">
              <w:rPr>
                <w:iCs/>
                <w:color w:val="414142"/>
                <w:lang w:eastAsia="lv-LV"/>
              </w:rPr>
              <w:t>5.3. pašvaldību budžets</w:t>
            </w:r>
          </w:p>
        </w:tc>
        <w:tc>
          <w:tcPr>
            <w:tcW w:w="405" w:type="pct"/>
            <w:vMerge/>
            <w:tcBorders>
              <w:top w:val="outset" w:sz="6" w:space="0" w:color="auto"/>
              <w:left w:val="outset" w:sz="6" w:space="0" w:color="auto"/>
              <w:bottom w:val="outset" w:sz="6" w:space="0" w:color="auto"/>
              <w:right w:val="outset" w:sz="6" w:space="0" w:color="auto"/>
            </w:tcBorders>
            <w:vAlign w:val="center"/>
            <w:hideMark/>
          </w:tcPr>
          <w:p w14:paraId="2369355E" w14:textId="77777777" w:rsidR="00145D81" w:rsidRPr="00836FE4" w:rsidRDefault="00145D81" w:rsidP="00145D81">
            <w:pPr>
              <w:rPr>
                <w:iCs/>
                <w:color w:val="414142"/>
                <w:lang w:eastAsia="lv-LV"/>
              </w:rPr>
            </w:pPr>
          </w:p>
        </w:tc>
        <w:tc>
          <w:tcPr>
            <w:tcW w:w="535" w:type="pct"/>
            <w:tcBorders>
              <w:top w:val="outset" w:sz="6" w:space="0" w:color="auto"/>
              <w:left w:val="outset" w:sz="6" w:space="0" w:color="auto"/>
              <w:bottom w:val="outset" w:sz="6" w:space="0" w:color="auto"/>
              <w:right w:val="outset" w:sz="6" w:space="0" w:color="auto"/>
            </w:tcBorders>
            <w:vAlign w:val="center"/>
            <w:hideMark/>
          </w:tcPr>
          <w:p w14:paraId="16310E99" w14:textId="77777777" w:rsidR="00145D81" w:rsidRPr="00836FE4" w:rsidRDefault="002A525E" w:rsidP="00145D81">
            <w:pPr>
              <w:rPr>
                <w:iCs/>
                <w:color w:val="414142"/>
                <w:lang w:eastAsia="lv-LV"/>
              </w:rPr>
            </w:pPr>
            <w:r w:rsidRPr="00836FE4">
              <w:rPr>
                <w:iCs/>
                <w:color w:val="414142"/>
                <w:lang w:eastAsia="lv-LV"/>
              </w:rPr>
              <w:t>0</w:t>
            </w:r>
          </w:p>
        </w:tc>
        <w:tc>
          <w:tcPr>
            <w:tcW w:w="420" w:type="pct"/>
            <w:vMerge/>
            <w:tcBorders>
              <w:top w:val="outset" w:sz="6" w:space="0" w:color="auto"/>
              <w:left w:val="outset" w:sz="6" w:space="0" w:color="auto"/>
              <w:bottom w:val="outset" w:sz="6" w:space="0" w:color="auto"/>
              <w:right w:val="outset" w:sz="6" w:space="0" w:color="auto"/>
            </w:tcBorders>
            <w:vAlign w:val="center"/>
            <w:hideMark/>
          </w:tcPr>
          <w:p w14:paraId="7309C6F1" w14:textId="77777777" w:rsidR="00145D81" w:rsidRPr="00836FE4" w:rsidRDefault="00145D81" w:rsidP="00145D81">
            <w:pPr>
              <w:rPr>
                <w:iCs/>
                <w:color w:val="414142"/>
                <w:lang w:eastAsia="lv-LV"/>
              </w:rPr>
            </w:pPr>
          </w:p>
        </w:tc>
        <w:tc>
          <w:tcPr>
            <w:tcW w:w="519" w:type="pct"/>
            <w:tcBorders>
              <w:top w:val="outset" w:sz="6" w:space="0" w:color="auto"/>
              <w:left w:val="outset" w:sz="6" w:space="0" w:color="auto"/>
              <w:bottom w:val="outset" w:sz="6" w:space="0" w:color="auto"/>
              <w:right w:val="outset" w:sz="6" w:space="0" w:color="auto"/>
            </w:tcBorders>
            <w:vAlign w:val="center"/>
            <w:hideMark/>
          </w:tcPr>
          <w:p w14:paraId="5921F0B4" w14:textId="77777777" w:rsidR="00145D81" w:rsidRPr="00836FE4" w:rsidRDefault="002A525E" w:rsidP="00145D81">
            <w:pPr>
              <w:rPr>
                <w:iCs/>
                <w:color w:val="414142"/>
                <w:lang w:eastAsia="lv-LV"/>
              </w:rPr>
            </w:pPr>
            <w:r w:rsidRPr="00836FE4">
              <w:rPr>
                <w:iCs/>
                <w:color w:val="414142"/>
                <w:lang w:eastAsia="lv-LV"/>
              </w:rPr>
              <w:t>0</w:t>
            </w:r>
          </w:p>
        </w:tc>
        <w:tc>
          <w:tcPr>
            <w:tcW w:w="452" w:type="pct"/>
            <w:vMerge/>
            <w:tcBorders>
              <w:top w:val="outset" w:sz="6" w:space="0" w:color="auto"/>
              <w:left w:val="outset" w:sz="6" w:space="0" w:color="auto"/>
              <w:bottom w:val="outset" w:sz="6" w:space="0" w:color="auto"/>
              <w:right w:val="outset" w:sz="6" w:space="0" w:color="auto"/>
            </w:tcBorders>
            <w:vAlign w:val="center"/>
            <w:hideMark/>
          </w:tcPr>
          <w:p w14:paraId="061C0BA0" w14:textId="77777777" w:rsidR="00145D81" w:rsidRPr="00836FE4" w:rsidRDefault="00145D81" w:rsidP="00145D81">
            <w:pPr>
              <w:rPr>
                <w:iCs/>
                <w:color w:val="414142"/>
                <w:lang w:eastAsia="lv-LV"/>
              </w:rPr>
            </w:pPr>
          </w:p>
        </w:tc>
        <w:tc>
          <w:tcPr>
            <w:tcW w:w="504" w:type="pct"/>
            <w:tcBorders>
              <w:top w:val="outset" w:sz="6" w:space="0" w:color="auto"/>
              <w:left w:val="outset" w:sz="6" w:space="0" w:color="auto"/>
              <w:bottom w:val="outset" w:sz="6" w:space="0" w:color="auto"/>
              <w:right w:val="outset" w:sz="6" w:space="0" w:color="auto"/>
            </w:tcBorders>
            <w:vAlign w:val="center"/>
            <w:hideMark/>
          </w:tcPr>
          <w:p w14:paraId="7CF6B19E" w14:textId="77777777" w:rsidR="00145D81" w:rsidRPr="00836FE4" w:rsidRDefault="002A525E" w:rsidP="00145D81">
            <w:pPr>
              <w:rPr>
                <w:iCs/>
                <w:color w:val="414142"/>
                <w:lang w:eastAsia="lv-LV"/>
              </w:rPr>
            </w:pPr>
            <w:r w:rsidRPr="00836FE4">
              <w:rPr>
                <w:iCs/>
                <w:color w:val="414142"/>
                <w:lang w:eastAsia="lv-LV"/>
              </w:rPr>
              <w:t>0</w:t>
            </w:r>
          </w:p>
        </w:tc>
        <w:tc>
          <w:tcPr>
            <w:tcW w:w="1216" w:type="pct"/>
            <w:tcBorders>
              <w:top w:val="outset" w:sz="6" w:space="0" w:color="auto"/>
              <w:left w:val="outset" w:sz="6" w:space="0" w:color="auto"/>
              <w:bottom w:val="outset" w:sz="6" w:space="0" w:color="auto"/>
              <w:right w:val="outset" w:sz="6" w:space="0" w:color="auto"/>
            </w:tcBorders>
            <w:vAlign w:val="center"/>
            <w:hideMark/>
          </w:tcPr>
          <w:p w14:paraId="1F08F8F4" w14:textId="77777777" w:rsidR="00145D81" w:rsidRPr="00836FE4" w:rsidRDefault="002A525E" w:rsidP="00145D81">
            <w:pPr>
              <w:rPr>
                <w:iCs/>
                <w:color w:val="414142"/>
                <w:lang w:eastAsia="lv-LV"/>
              </w:rPr>
            </w:pPr>
            <w:r w:rsidRPr="00836FE4">
              <w:rPr>
                <w:iCs/>
                <w:color w:val="414142"/>
                <w:lang w:eastAsia="lv-LV"/>
              </w:rPr>
              <w:t>0</w:t>
            </w:r>
          </w:p>
        </w:tc>
      </w:tr>
      <w:tr w:rsidR="00CC6F38" w14:paraId="2FE37536" w14:textId="77777777" w:rsidTr="00D93C68">
        <w:trPr>
          <w:tblCellSpacing w:w="15" w:type="dxa"/>
        </w:trPr>
        <w:tc>
          <w:tcPr>
            <w:tcW w:w="809" w:type="pct"/>
            <w:tcBorders>
              <w:top w:val="outset" w:sz="6" w:space="0" w:color="auto"/>
              <w:left w:val="outset" w:sz="6" w:space="0" w:color="auto"/>
              <w:bottom w:val="outset" w:sz="6" w:space="0" w:color="auto"/>
              <w:right w:val="outset" w:sz="6" w:space="0" w:color="auto"/>
            </w:tcBorders>
            <w:hideMark/>
          </w:tcPr>
          <w:p w14:paraId="55C0C810" w14:textId="77777777" w:rsidR="00145D81" w:rsidRPr="00836FE4" w:rsidRDefault="002A525E" w:rsidP="00145D81">
            <w:pPr>
              <w:rPr>
                <w:iCs/>
                <w:color w:val="414142"/>
                <w:lang w:eastAsia="lv-LV"/>
              </w:rPr>
            </w:pPr>
            <w:r w:rsidRPr="00836FE4">
              <w:rPr>
                <w:iCs/>
                <w:color w:val="414142"/>
                <w:lang w:eastAsia="lv-LV"/>
              </w:rPr>
              <w:t>6. Detalizēts ieņēmumu un izdevumu aprēķins (ja nepieciešams, detalizētu ieņēmumu un izdevumu aprēķinu var pievienot anotācijas pielikumā)</w:t>
            </w:r>
          </w:p>
        </w:tc>
        <w:tc>
          <w:tcPr>
            <w:tcW w:w="4144"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5FC7F609" w14:textId="660AB572" w:rsidR="00145D81" w:rsidRDefault="00D93C68" w:rsidP="00145D81">
            <w:pPr>
              <w:shd w:val="clear" w:color="auto" w:fill="FFFFFF"/>
              <w:spacing w:line="293" w:lineRule="atLeast"/>
              <w:jc w:val="both"/>
            </w:pPr>
            <w:r>
              <w:rPr>
                <w:iCs/>
                <w:color w:val="414142"/>
                <w:lang w:eastAsia="lv-LV"/>
              </w:rPr>
              <w:t>VARAM</w:t>
            </w:r>
            <w:r w:rsidR="002A525E" w:rsidRPr="00F53E88">
              <w:t xml:space="preserve"> “</w:t>
            </w:r>
            <w:r w:rsidRPr="00D93C68">
              <w:t>Publiskās pārvaldes informācijas un komunikāciju tehnoloģiju arhitektūras pārvaldības sistēma 2.kārta</w:t>
            </w:r>
            <w:r w:rsidR="002A525E" w:rsidRPr="00F53E88">
              <w:t xml:space="preserve">” projekts tiks finansēts no ERAF līdzekļiem, un tā kopējais finansējuma apjoms ir </w:t>
            </w:r>
            <w:r>
              <w:t>4 600 840</w:t>
            </w:r>
            <w:r w:rsidR="002A525E" w:rsidRPr="00F53E88">
              <w:t xml:space="preserve"> </w:t>
            </w:r>
            <w:proofErr w:type="spellStart"/>
            <w:r w:rsidR="002A525E" w:rsidRPr="00F53E88">
              <w:rPr>
                <w:i/>
              </w:rPr>
              <w:t>euro</w:t>
            </w:r>
            <w:proofErr w:type="spellEnd"/>
            <w:r w:rsidR="002A525E" w:rsidRPr="00F53E88">
              <w:t xml:space="preserve">, no tā ERAF finansējums </w:t>
            </w:r>
            <w:r>
              <w:t>ir</w:t>
            </w:r>
            <w:r w:rsidR="002A525E" w:rsidRPr="00F53E88">
              <w:t xml:space="preserve"> </w:t>
            </w:r>
            <w:r w:rsidRPr="00D93C68">
              <w:t>3</w:t>
            </w:r>
            <w:r>
              <w:t xml:space="preserve"> </w:t>
            </w:r>
            <w:r w:rsidRPr="00D93C68">
              <w:t>910</w:t>
            </w:r>
            <w:r>
              <w:t xml:space="preserve"> </w:t>
            </w:r>
            <w:r w:rsidRPr="00D93C68">
              <w:t>714</w:t>
            </w:r>
            <w:r>
              <w:t xml:space="preserve"> </w:t>
            </w:r>
            <w:proofErr w:type="spellStart"/>
            <w:r w:rsidR="002A525E" w:rsidRPr="00F53E88">
              <w:rPr>
                <w:i/>
              </w:rPr>
              <w:t>euro</w:t>
            </w:r>
            <w:proofErr w:type="spellEnd"/>
            <w:r w:rsidR="002A525E" w:rsidRPr="00F53E88">
              <w:t xml:space="preserve"> </w:t>
            </w:r>
            <w:r w:rsidR="002A525E" w:rsidRPr="00136660">
              <w:t xml:space="preserve">un valsts budžeta finansējums </w:t>
            </w:r>
            <w:r w:rsidRPr="00136660">
              <w:t xml:space="preserve">690 126 </w:t>
            </w:r>
            <w:proofErr w:type="spellStart"/>
            <w:r w:rsidR="002A525E" w:rsidRPr="00136660">
              <w:rPr>
                <w:i/>
              </w:rPr>
              <w:t>euro</w:t>
            </w:r>
            <w:proofErr w:type="spellEnd"/>
            <w:r w:rsidR="002A525E" w:rsidRPr="00136660">
              <w:t xml:space="preserve">. </w:t>
            </w:r>
          </w:p>
          <w:p w14:paraId="1536AA83" w14:textId="77777777" w:rsidR="00136660" w:rsidRPr="00136660" w:rsidRDefault="00136660" w:rsidP="00145D81">
            <w:pPr>
              <w:shd w:val="clear" w:color="auto" w:fill="FFFFFF"/>
              <w:spacing w:line="293" w:lineRule="atLeast"/>
              <w:jc w:val="both"/>
            </w:pPr>
          </w:p>
          <w:p w14:paraId="2EBEB337" w14:textId="77777777" w:rsidR="001E7143" w:rsidRDefault="001E7143" w:rsidP="001E7143">
            <w:pPr>
              <w:jc w:val="both"/>
              <w:rPr>
                <w:lang w:eastAsia="en-US"/>
              </w:rPr>
            </w:pPr>
            <w:r>
              <w:rPr>
                <w:lang w:eastAsia="en-US"/>
              </w:rPr>
              <w:t xml:space="preserve">Lai nodrošinātu ilgtspējīgu “Publiskās pārvaldes informācijas un komunikāciju tehnoloģiju arhitektūras pārvaldības sistēma 2.kārta” projekta rezultātā izstrādāto IKT risinājumu darbību, pēc projekta termiņa beigām katru gadu, sākot ar 2022. gadu, ir plānojamas ikgadējās IKT risinājumu uzturēšanas izmaksas 217 800 </w:t>
            </w:r>
            <w:proofErr w:type="spellStart"/>
            <w:r>
              <w:rPr>
                <w:lang w:eastAsia="en-US"/>
              </w:rPr>
              <w:t>euro</w:t>
            </w:r>
            <w:proofErr w:type="spellEnd"/>
            <w:r>
              <w:rPr>
                <w:lang w:eastAsia="en-US"/>
              </w:rPr>
              <w:t xml:space="preserve"> apmērā, no tām:</w:t>
            </w:r>
          </w:p>
          <w:p w14:paraId="64EE20D7" w14:textId="77777777" w:rsidR="001E7143" w:rsidRDefault="001E7143" w:rsidP="00404896">
            <w:pPr>
              <w:pStyle w:val="ListParagraph"/>
              <w:numPr>
                <w:ilvl w:val="0"/>
                <w:numId w:val="16"/>
              </w:numPr>
              <w:jc w:val="both"/>
              <w:rPr>
                <w:lang w:eastAsia="en-US"/>
              </w:rPr>
            </w:pPr>
            <w:r>
              <w:rPr>
                <w:lang w:eastAsia="en-US"/>
              </w:rPr>
              <w:t xml:space="preserve">127 500 </w:t>
            </w:r>
            <w:proofErr w:type="spellStart"/>
            <w:r w:rsidRPr="00404896">
              <w:rPr>
                <w:i/>
                <w:lang w:eastAsia="en-US"/>
              </w:rPr>
              <w:t>euro</w:t>
            </w:r>
            <w:proofErr w:type="spellEnd"/>
            <w:r>
              <w:rPr>
                <w:lang w:eastAsia="en-US"/>
              </w:rPr>
              <w:t xml:space="preserve"> gadā atvieglojumu vienotās informācijas sistēmas (turpmāk – AVIS) uzturēšanai, kas ietver:   </w:t>
            </w:r>
          </w:p>
          <w:p w14:paraId="1E6ECC79" w14:textId="77777777" w:rsidR="001E7143" w:rsidRDefault="001E7143" w:rsidP="00404896">
            <w:pPr>
              <w:pStyle w:val="ListParagraph"/>
              <w:numPr>
                <w:ilvl w:val="0"/>
                <w:numId w:val="17"/>
              </w:numPr>
              <w:jc w:val="both"/>
              <w:rPr>
                <w:lang w:eastAsia="en-US"/>
              </w:rPr>
            </w:pPr>
            <w:r>
              <w:rPr>
                <w:lang w:eastAsia="en-US"/>
              </w:rPr>
              <w:t xml:space="preserve">38 250 </w:t>
            </w:r>
            <w:proofErr w:type="spellStart"/>
            <w:r w:rsidRPr="00404896">
              <w:rPr>
                <w:i/>
                <w:lang w:eastAsia="en-US"/>
              </w:rPr>
              <w:t>euro</w:t>
            </w:r>
            <w:proofErr w:type="spellEnd"/>
            <w:r>
              <w:rPr>
                <w:lang w:eastAsia="en-US"/>
              </w:rPr>
              <w:t xml:space="preserve"> gadā – pašvaldību finansējums;</w:t>
            </w:r>
          </w:p>
          <w:p w14:paraId="1BA6F4CF" w14:textId="77777777" w:rsidR="001E7143" w:rsidRDefault="001E7143" w:rsidP="00404896">
            <w:pPr>
              <w:pStyle w:val="ListParagraph"/>
              <w:numPr>
                <w:ilvl w:val="0"/>
                <w:numId w:val="17"/>
              </w:numPr>
              <w:jc w:val="both"/>
              <w:rPr>
                <w:lang w:eastAsia="en-US"/>
              </w:rPr>
            </w:pPr>
            <w:r>
              <w:rPr>
                <w:lang w:eastAsia="en-US"/>
              </w:rPr>
              <w:t xml:space="preserve">89 250 </w:t>
            </w:r>
            <w:proofErr w:type="spellStart"/>
            <w:r w:rsidRPr="00404896">
              <w:rPr>
                <w:i/>
                <w:lang w:eastAsia="en-US"/>
              </w:rPr>
              <w:t>euro</w:t>
            </w:r>
            <w:proofErr w:type="spellEnd"/>
            <w:r>
              <w:rPr>
                <w:lang w:eastAsia="en-US"/>
              </w:rPr>
              <w:t xml:space="preserve"> gadā – valsts budžeta finansējums, kurā ietilpst:</w:t>
            </w:r>
          </w:p>
          <w:p w14:paraId="6F0A5B2D" w14:textId="77777777" w:rsidR="001E7143" w:rsidRDefault="001E7143" w:rsidP="00404896">
            <w:pPr>
              <w:pStyle w:val="ListParagraph"/>
              <w:numPr>
                <w:ilvl w:val="1"/>
                <w:numId w:val="17"/>
              </w:numPr>
              <w:jc w:val="both"/>
              <w:rPr>
                <w:lang w:eastAsia="en-US"/>
              </w:rPr>
            </w:pPr>
            <w:r>
              <w:rPr>
                <w:lang w:eastAsia="en-US"/>
              </w:rPr>
              <w:t>sistēmas sekmīgas darbības nodrošināšana, tai skaitā nepieciešamo drošības un veiktspējas prasību nodrošināšana;</w:t>
            </w:r>
          </w:p>
          <w:p w14:paraId="7B58AD1A" w14:textId="77777777" w:rsidR="001E7143" w:rsidRDefault="001E7143" w:rsidP="00404896">
            <w:pPr>
              <w:pStyle w:val="ListParagraph"/>
              <w:numPr>
                <w:ilvl w:val="1"/>
                <w:numId w:val="17"/>
              </w:numPr>
              <w:jc w:val="both"/>
              <w:rPr>
                <w:lang w:eastAsia="en-US"/>
              </w:rPr>
            </w:pPr>
            <w:r>
              <w:rPr>
                <w:lang w:eastAsia="en-US"/>
              </w:rPr>
              <w:t>sadarbības koordinēšana ar iesaistītajām pusēm (atvieglojuma devējiem, maksājumu datu apstrādes operatoriem, tirgotājiem, atvieglojumu saņēmējiem, PCI-DSS (</w:t>
            </w:r>
            <w:proofErr w:type="spellStart"/>
            <w:r>
              <w:rPr>
                <w:lang w:eastAsia="en-US"/>
              </w:rPr>
              <w:t>Payment</w:t>
            </w:r>
            <w:proofErr w:type="spellEnd"/>
            <w:r>
              <w:rPr>
                <w:lang w:eastAsia="en-US"/>
              </w:rPr>
              <w:t xml:space="preserve"> </w:t>
            </w:r>
            <w:proofErr w:type="spellStart"/>
            <w:r>
              <w:rPr>
                <w:lang w:eastAsia="en-US"/>
              </w:rPr>
              <w:t>Card</w:t>
            </w:r>
            <w:proofErr w:type="spellEnd"/>
            <w:r>
              <w:rPr>
                <w:lang w:eastAsia="en-US"/>
              </w:rPr>
              <w:t xml:space="preserve"> </w:t>
            </w:r>
            <w:proofErr w:type="spellStart"/>
            <w:r>
              <w:rPr>
                <w:lang w:eastAsia="en-US"/>
              </w:rPr>
              <w:t>Industry</w:t>
            </w:r>
            <w:proofErr w:type="spellEnd"/>
            <w:r>
              <w:rPr>
                <w:lang w:eastAsia="en-US"/>
              </w:rPr>
              <w:t xml:space="preserve"> </w:t>
            </w:r>
            <w:proofErr w:type="spellStart"/>
            <w:r>
              <w:rPr>
                <w:lang w:eastAsia="en-US"/>
              </w:rPr>
              <w:t>Data</w:t>
            </w:r>
            <w:proofErr w:type="spellEnd"/>
            <w:r>
              <w:rPr>
                <w:lang w:eastAsia="en-US"/>
              </w:rPr>
              <w:t xml:space="preserve"> </w:t>
            </w:r>
            <w:proofErr w:type="spellStart"/>
            <w:r>
              <w:rPr>
                <w:lang w:eastAsia="en-US"/>
              </w:rPr>
              <w:t>Security</w:t>
            </w:r>
            <w:proofErr w:type="spellEnd"/>
            <w:r>
              <w:rPr>
                <w:lang w:eastAsia="en-US"/>
              </w:rPr>
              <w:t xml:space="preserve"> Standard) institūciju, sistēmas izstrādātājiem);</w:t>
            </w:r>
          </w:p>
          <w:p w14:paraId="13F5C40C" w14:textId="77777777" w:rsidR="001E7143" w:rsidRDefault="001E7143" w:rsidP="00404896">
            <w:pPr>
              <w:pStyle w:val="ListParagraph"/>
              <w:numPr>
                <w:ilvl w:val="1"/>
                <w:numId w:val="17"/>
              </w:numPr>
              <w:jc w:val="both"/>
              <w:rPr>
                <w:lang w:eastAsia="en-US"/>
              </w:rPr>
            </w:pPr>
            <w:r>
              <w:rPr>
                <w:lang w:eastAsia="en-US"/>
              </w:rPr>
              <w:t>sistēmas attīstības un izmaiņu plānošana;</w:t>
            </w:r>
          </w:p>
          <w:p w14:paraId="566EAEBD" w14:textId="77777777" w:rsidR="001E7143" w:rsidRDefault="001E7143" w:rsidP="00404896">
            <w:pPr>
              <w:pStyle w:val="ListParagraph"/>
              <w:numPr>
                <w:ilvl w:val="1"/>
                <w:numId w:val="17"/>
              </w:numPr>
              <w:jc w:val="both"/>
              <w:rPr>
                <w:lang w:eastAsia="en-US"/>
              </w:rPr>
            </w:pPr>
            <w:r>
              <w:rPr>
                <w:lang w:eastAsia="en-US"/>
              </w:rPr>
              <w:t>sistēmas izmaiņu īstenošana;</w:t>
            </w:r>
          </w:p>
          <w:p w14:paraId="6F327335" w14:textId="77777777" w:rsidR="001E7143" w:rsidRDefault="001E7143" w:rsidP="00404896">
            <w:pPr>
              <w:pStyle w:val="ListParagraph"/>
              <w:numPr>
                <w:ilvl w:val="1"/>
                <w:numId w:val="17"/>
              </w:numPr>
              <w:jc w:val="both"/>
              <w:rPr>
                <w:lang w:eastAsia="en-US"/>
              </w:rPr>
            </w:pPr>
            <w:r>
              <w:rPr>
                <w:lang w:eastAsia="en-US"/>
              </w:rPr>
              <w:t>sistēmas lietotāju atbalsta nodrošināšana, tai skaitā problēmas pieteikumu risināšana;</w:t>
            </w:r>
          </w:p>
          <w:p w14:paraId="7D7A9D54" w14:textId="77777777" w:rsidR="001E7143" w:rsidRDefault="001E7143" w:rsidP="00404896">
            <w:pPr>
              <w:pStyle w:val="ListParagraph"/>
              <w:numPr>
                <w:ilvl w:val="1"/>
                <w:numId w:val="17"/>
              </w:numPr>
              <w:jc w:val="both"/>
              <w:rPr>
                <w:lang w:eastAsia="en-US"/>
              </w:rPr>
            </w:pPr>
            <w:r>
              <w:rPr>
                <w:lang w:eastAsia="en-US"/>
              </w:rPr>
              <w:t>sistēmas darbības rādītāju un lietojamības statistikas apkopošana un analīze;</w:t>
            </w:r>
          </w:p>
          <w:p w14:paraId="63F2A111" w14:textId="612B9F58" w:rsidR="001E7143" w:rsidRDefault="001E7143" w:rsidP="00404896">
            <w:pPr>
              <w:pStyle w:val="ListParagraph"/>
              <w:numPr>
                <w:ilvl w:val="1"/>
                <w:numId w:val="17"/>
              </w:numPr>
              <w:jc w:val="both"/>
              <w:rPr>
                <w:lang w:eastAsia="en-US"/>
              </w:rPr>
            </w:pPr>
            <w:r>
              <w:rPr>
                <w:lang w:eastAsia="en-US"/>
              </w:rPr>
              <w:t>tehniskās uzturēšanas un pilnveidošanas darbi.</w:t>
            </w:r>
          </w:p>
          <w:p w14:paraId="714663B3" w14:textId="383DA97F" w:rsidR="004E64AB" w:rsidRDefault="004E64AB">
            <w:pPr>
              <w:jc w:val="both"/>
              <w:rPr>
                <w:lang w:eastAsia="en-US"/>
              </w:rPr>
            </w:pPr>
            <w:r>
              <w:rPr>
                <w:lang w:eastAsia="en-US"/>
              </w:rPr>
              <w:t>AVIS risinājuma izstrādē tiks piesaistītas pašvaldības kā projekta sadarbības partneri, līdz ar to šī risinājuma uzturēšanā tiks piesaistīts arī pašvaldību finansējums.</w:t>
            </w:r>
          </w:p>
          <w:p w14:paraId="3116D109" w14:textId="7283BCB2" w:rsidR="00CE7475" w:rsidRPr="00404896" w:rsidRDefault="00CE7475" w:rsidP="00404896">
            <w:pPr>
              <w:pStyle w:val="ListParagraph"/>
              <w:numPr>
                <w:ilvl w:val="0"/>
                <w:numId w:val="16"/>
              </w:numPr>
              <w:jc w:val="both"/>
              <w:rPr>
                <w:lang w:eastAsia="en-US"/>
              </w:rPr>
            </w:pPr>
            <w:r w:rsidRPr="00404896">
              <w:rPr>
                <w:lang w:eastAsia="en-US"/>
              </w:rPr>
              <w:t xml:space="preserve">90 300 </w:t>
            </w:r>
            <w:proofErr w:type="spellStart"/>
            <w:r w:rsidRPr="00404896">
              <w:rPr>
                <w:i/>
                <w:lang w:eastAsia="en-US"/>
              </w:rPr>
              <w:t>euro</w:t>
            </w:r>
            <w:proofErr w:type="spellEnd"/>
            <w:r w:rsidRPr="00404896">
              <w:rPr>
                <w:lang w:eastAsia="en-US"/>
              </w:rPr>
              <w:t xml:space="preserve"> </w:t>
            </w:r>
            <w:r w:rsidRPr="00F67870">
              <w:rPr>
                <w:lang w:eastAsia="en-US"/>
              </w:rPr>
              <w:t xml:space="preserve">gadā – pilnveidojamo risinājumu </w:t>
            </w:r>
            <w:r w:rsidR="00B36618" w:rsidRPr="00F67870">
              <w:rPr>
                <w:lang w:eastAsia="en-US"/>
              </w:rPr>
              <w:t>PSPP</w:t>
            </w:r>
            <w:r w:rsidRPr="00F67870">
              <w:rPr>
                <w:lang w:eastAsia="en-US"/>
              </w:rPr>
              <w:t xml:space="preserve"> un </w:t>
            </w:r>
            <w:r w:rsidR="00DD3248" w:rsidRPr="00F67870">
              <w:rPr>
                <w:lang w:eastAsia="en-US"/>
              </w:rPr>
              <w:t xml:space="preserve">VIRSIS </w:t>
            </w:r>
            <w:r w:rsidRPr="00404896">
              <w:rPr>
                <w:lang w:eastAsia="en-US"/>
              </w:rPr>
              <w:t xml:space="preserve">tehniskai uzturēšanai un pilnveidošanai: </w:t>
            </w:r>
          </w:p>
          <w:p w14:paraId="24038098" w14:textId="7496FF73" w:rsidR="00CE7475" w:rsidRPr="00404896" w:rsidRDefault="00251190" w:rsidP="00404896">
            <w:pPr>
              <w:pStyle w:val="ListParagraph"/>
              <w:numPr>
                <w:ilvl w:val="0"/>
                <w:numId w:val="17"/>
              </w:numPr>
              <w:jc w:val="both"/>
              <w:rPr>
                <w:lang w:eastAsia="en-US"/>
              </w:rPr>
            </w:pPr>
            <w:r w:rsidRPr="00404896">
              <w:rPr>
                <w:lang w:eastAsia="en-US"/>
              </w:rPr>
              <w:t>n</w:t>
            </w:r>
            <w:r w:rsidR="00CE7475" w:rsidRPr="00404896">
              <w:rPr>
                <w:lang w:eastAsia="en-US"/>
              </w:rPr>
              <w:t xml:space="preserve">epieciešamas 215 cilvēkdienas (apjoms noteikts, vadoties no iepriekš veiktajiem programmatūras izstrādes un uzlabošanas darbu veikšanai nepieciešamajiem laika, darba un izmaksu apjomiem), samaksa par vienu cilvēkdienu – 420 </w:t>
            </w:r>
            <w:proofErr w:type="spellStart"/>
            <w:r w:rsidR="00CE7475" w:rsidRPr="007408C9">
              <w:rPr>
                <w:i/>
                <w:lang w:eastAsia="en-US"/>
              </w:rPr>
              <w:t>euro</w:t>
            </w:r>
            <w:proofErr w:type="spellEnd"/>
            <w:r w:rsidR="00CE7475" w:rsidRPr="00F67870">
              <w:rPr>
                <w:lang w:eastAsia="en-US"/>
              </w:rPr>
              <w:t xml:space="preserve"> (ar PVN)</w:t>
            </w:r>
            <w:r w:rsidR="00A64FB8" w:rsidRPr="00F67870">
              <w:rPr>
                <w:lang w:eastAsia="en-US"/>
              </w:rPr>
              <w:t>.</w:t>
            </w:r>
            <w:r w:rsidR="00CE7475" w:rsidRPr="00F67870">
              <w:rPr>
                <w:lang w:eastAsia="en-US"/>
              </w:rPr>
              <w:t xml:space="preserve"> 215 c/d x 420 </w:t>
            </w:r>
            <w:proofErr w:type="spellStart"/>
            <w:r w:rsidR="00CE7475" w:rsidRPr="007408C9">
              <w:rPr>
                <w:i/>
                <w:lang w:eastAsia="en-US"/>
              </w:rPr>
              <w:t>euro</w:t>
            </w:r>
            <w:proofErr w:type="spellEnd"/>
            <w:r w:rsidR="00CE7475" w:rsidRPr="00F67870">
              <w:rPr>
                <w:lang w:eastAsia="en-US"/>
              </w:rPr>
              <w:t xml:space="preserve"> = 90 300 </w:t>
            </w:r>
            <w:proofErr w:type="spellStart"/>
            <w:r w:rsidR="00CE7475" w:rsidRPr="007408C9">
              <w:rPr>
                <w:i/>
                <w:lang w:eastAsia="en-US"/>
              </w:rPr>
              <w:t>euro</w:t>
            </w:r>
            <w:proofErr w:type="spellEnd"/>
            <w:r w:rsidR="00A64FB8" w:rsidRPr="00F67870">
              <w:rPr>
                <w:lang w:eastAsia="en-US"/>
              </w:rPr>
              <w:t xml:space="preserve">. </w:t>
            </w:r>
            <w:r w:rsidR="00CE7475" w:rsidRPr="00F67870">
              <w:rPr>
                <w:lang w:eastAsia="en-US"/>
              </w:rPr>
              <w:t>(EKK 2251 – informācijas sistēmas uzturēšana</w:t>
            </w:r>
            <w:r w:rsidR="0041503B" w:rsidRPr="00F67870">
              <w:rPr>
                <w:lang w:eastAsia="en-US"/>
              </w:rPr>
              <w:t>)</w:t>
            </w:r>
            <w:r w:rsidR="0041503B" w:rsidRPr="00404896">
              <w:rPr>
                <w:lang w:eastAsia="en-US"/>
              </w:rPr>
              <w:t xml:space="preserve">. </w:t>
            </w:r>
            <w:r w:rsidR="00E81B07" w:rsidRPr="00404896">
              <w:rPr>
                <w:lang w:eastAsia="en-US"/>
              </w:rPr>
              <w:t xml:space="preserve">PSPP un </w:t>
            </w:r>
            <w:r w:rsidR="00CE7475" w:rsidRPr="00404896">
              <w:rPr>
                <w:lang w:eastAsia="en-US"/>
              </w:rPr>
              <w:t>VIRSIS tehniskās uzturēšanas un pilnveidošanas darbi ietver:</w:t>
            </w:r>
          </w:p>
          <w:p w14:paraId="35690FAD" w14:textId="77777777" w:rsidR="00CE7475" w:rsidRPr="00CE7475" w:rsidRDefault="00CE7475" w:rsidP="00404896">
            <w:pPr>
              <w:pStyle w:val="ListParagraph"/>
              <w:numPr>
                <w:ilvl w:val="0"/>
                <w:numId w:val="18"/>
              </w:numPr>
              <w:jc w:val="both"/>
              <w:rPr>
                <w:lang w:eastAsia="en-US"/>
              </w:rPr>
            </w:pPr>
            <w:r w:rsidRPr="00CE7475">
              <w:rPr>
                <w:lang w:eastAsia="en-US"/>
              </w:rPr>
              <w:lastRenderedPageBreak/>
              <w:t xml:space="preserve">informācijas sistēmu platformu un informācijas sistēmu izmaiņu un pilnveidojumu veikšana; </w:t>
            </w:r>
          </w:p>
          <w:p w14:paraId="1A8B2C21" w14:textId="77777777" w:rsidR="00CE7475" w:rsidRPr="00CE7475" w:rsidRDefault="00CE7475" w:rsidP="00404896">
            <w:pPr>
              <w:pStyle w:val="ListParagraph"/>
              <w:numPr>
                <w:ilvl w:val="0"/>
                <w:numId w:val="18"/>
              </w:numPr>
              <w:jc w:val="both"/>
              <w:rPr>
                <w:lang w:eastAsia="en-US"/>
              </w:rPr>
            </w:pPr>
            <w:r w:rsidRPr="00CE7475">
              <w:rPr>
                <w:lang w:eastAsia="en-US"/>
              </w:rPr>
              <w:t>informācijas sistēmu platformu un informācijas sistēmu uzturēšanas pakalpojumi (problēmu pieteikšana, apstrāde, risināšana);</w:t>
            </w:r>
          </w:p>
          <w:p w14:paraId="68289E04" w14:textId="77777777" w:rsidR="00CE7475" w:rsidRDefault="00CE7475" w:rsidP="00404896">
            <w:pPr>
              <w:pStyle w:val="ListParagraph"/>
              <w:numPr>
                <w:ilvl w:val="0"/>
                <w:numId w:val="18"/>
              </w:numPr>
              <w:jc w:val="both"/>
              <w:rPr>
                <w:lang w:eastAsia="en-US"/>
              </w:rPr>
            </w:pPr>
            <w:r w:rsidRPr="00CE7475">
              <w:rPr>
                <w:lang w:eastAsia="en-US"/>
              </w:rPr>
              <w:t>ar informācijas sistēmu platformu un informācijas sistēmu uzturēšanu saistītas konsultācijas;</w:t>
            </w:r>
          </w:p>
          <w:p w14:paraId="05755B3E" w14:textId="34B93EBB" w:rsidR="00A64FB8" w:rsidRDefault="00A64FB8" w:rsidP="00404896">
            <w:pPr>
              <w:pStyle w:val="ListParagraph"/>
              <w:numPr>
                <w:ilvl w:val="0"/>
                <w:numId w:val="18"/>
              </w:numPr>
              <w:jc w:val="both"/>
              <w:rPr>
                <w:lang w:eastAsia="en-US"/>
              </w:rPr>
            </w:pPr>
            <w:r w:rsidRPr="00CE7475">
              <w:rPr>
                <w:lang w:eastAsia="en-US"/>
              </w:rPr>
              <w:t>informācijas sistēmu platformu un informācijas sistēmu lietotāju apmācības pēc nepieciešamības.</w:t>
            </w:r>
          </w:p>
          <w:p w14:paraId="091644FB" w14:textId="14C62C32" w:rsidR="00E81B07" w:rsidRPr="00CE7475" w:rsidRDefault="00E81B07" w:rsidP="00404896">
            <w:pPr>
              <w:jc w:val="both"/>
              <w:rPr>
                <w:lang w:eastAsia="en-US"/>
              </w:rPr>
            </w:pPr>
            <w:r w:rsidRPr="00E81B07">
              <w:rPr>
                <w:lang w:eastAsia="en-US"/>
              </w:rPr>
              <w:t>PSPP</w:t>
            </w:r>
            <w:r>
              <w:rPr>
                <w:lang w:eastAsia="en-US"/>
              </w:rPr>
              <w:t xml:space="preserve"> un VIRSIS risinājumu attīstība</w:t>
            </w:r>
            <w:r w:rsidRPr="00E81B07">
              <w:rPr>
                <w:lang w:eastAsia="en-US"/>
              </w:rPr>
              <w:t xml:space="preserve"> PIKTAPS</w:t>
            </w:r>
            <w:r w:rsidR="007F6576">
              <w:rPr>
                <w:lang w:eastAsia="en-US"/>
              </w:rPr>
              <w:t xml:space="preserve"> </w:t>
            </w:r>
            <w:r w:rsidRPr="00E81B07">
              <w:rPr>
                <w:lang w:eastAsia="en-US"/>
              </w:rPr>
              <w:t>2</w:t>
            </w:r>
            <w:r w:rsidR="007F6576">
              <w:rPr>
                <w:lang w:eastAsia="en-US"/>
              </w:rPr>
              <w:t>.kārtas</w:t>
            </w:r>
            <w:r w:rsidRPr="00E81B07">
              <w:rPr>
                <w:lang w:eastAsia="en-US"/>
              </w:rPr>
              <w:t xml:space="preserve"> </w:t>
            </w:r>
            <w:r>
              <w:rPr>
                <w:lang w:eastAsia="en-US"/>
              </w:rPr>
              <w:t xml:space="preserve">ietvaros tiks </w:t>
            </w:r>
            <w:r w:rsidRPr="00E81B07">
              <w:rPr>
                <w:lang w:eastAsia="en-US"/>
              </w:rPr>
              <w:t>veikt</w:t>
            </w:r>
            <w:r>
              <w:rPr>
                <w:lang w:eastAsia="en-US"/>
              </w:rPr>
              <w:t>a kā</w:t>
            </w:r>
            <w:r w:rsidRPr="00E81B07">
              <w:rPr>
                <w:lang w:eastAsia="en-US"/>
              </w:rPr>
              <w:t xml:space="preserve"> jaunas, savstarpēji neaizstājošas funkcionalitātes izstrād</w:t>
            </w:r>
            <w:r>
              <w:rPr>
                <w:lang w:eastAsia="en-US"/>
              </w:rPr>
              <w:t>e</w:t>
            </w:r>
            <w:r w:rsidRPr="00E81B07">
              <w:rPr>
                <w:lang w:eastAsia="en-US"/>
              </w:rPr>
              <w:t>, tiks palielināta risinājumu funkcionalitāte un pamatvērtība, līdz ar to risinājumiem nepieciešams atbilstošs finansējums to uzturēšanai un attīstībai.</w:t>
            </w:r>
            <w:r w:rsidR="007F6576">
              <w:rPr>
                <w:lang w:eastAsia="en-US"/>
              </w:rPr>
              <w:t xml:space="preserve"> PIKTAPS </w:t>
            </w:r>
            <w:r w:rsidRPr="00E81B07">
              <w:rPr>
                <w:lang w:eastAsia="en-US"/>
              </w:rPr>
              <w:t>2</w:t>
            </w:r>
            <w:r w:rsidR="007F6576">
              <w:rPr>
                <w:lang w:eastAsia="en-US"/>
              </w:rPr>
              <w:t>.kārtas</w:t>
            </w:r>
            <w:r w:rsidRPr="00E81B07">
              <w:rPr>
                <w:lang w:eastAsia="en-US"/>
              </w:rPr>
              <w:t xml:space="preserve"> uzturēšanas izmaksas risinājumiem PSPP un VIRSIS ir aprēķinātas 15% apmērā no risinājumu izstrādei plānotajām izmaksām</w:t>
            </w:r>
            <w:r>
              <w:rPr>
                <w:lang w:eastAsia="en-US"/>
              </w:rPr>
              <w:t>.</w:t>
            </w:r>
          </w:p>
          <w:p w14:paraId="760263AF" w14:textId="77777777" w:rsidR="001E7143" w:rsidRDefault="001E7143" w:rsidP="001E7143">
            <w:pPr>
              <w:jc w:val="both"/>
              <w:rPr>
                <w:lang w:eastAsia="en-US"/>
              </w:rPr>
            </w:pPr>
            <w:r w:rsidRPr="00CE7475">
              <w:rPr>
                <w:lang w:eastAsia="en-US"/>
              </w:rPr>
              <w:t xml:space="preserve">AVIS izstrāde radīs būtisku ietaupījumu valsts un īpaši pašvaldību iestādēm – kopumā </w:t>
            </w:r>
            <w:r w:rsidRPr="00404896">
              <w:t xml:space="preserve">19 927 400 </w:t>
            </w:r>
            <w:r w:rsidRPr="00CE7475">
              <w:rPr>
                <w:lang w:eastAsia="en-US"/>
              </w:rPr>
              <w:t xml:space="preserve"> </w:t>
            </w:r>
            <w:proofErr w:type="spellStart"/>
            <w:r w:rsidRPr="00CE7475">
              <w:rPr>
                <w:i/>
                <w:lang w:eastAsia="en-US"/>
              </w:rPr>
              <w:t>euro</w:t>
            </w:r>
            <w:proofErr w:type="spellEnd"/>
            <w:r w:rsidRPr="00CE7475">
              <w:rPr>
                <w:lang w:eastAsia="en-US"/>
              </w:rPr>
              <w:t xml:space="preserve"> 10 gados. No tiem </w:t>
            </w:r>
            <w:r w:rsidRPr="006571CC">
              <w:rPr>
                <w:lang w:eastAsia="en-US"/>
              </w:rPr>
              <w:t>1 713</w:t>
            </w:r>
            <w:r>
              <w:rPr>
                <w:lang w:eastAsia="en-US"/>
              </w:rPr>
              <w:t> </w:t>
            </w:r>
            <w:r w:rsidRPr="006571CC">
              <w:rPr>
                <w:lang w:eastAsia="en-US"/>
              </w:rPr>
              <w:t>800</w:t>
            </w:r>
            <w:r>
              <w:rPr>
                <w:lang w:eastAsia="en-US"/>
              </w:rPr>
              <w:t xml:space="preserve"> </w:t>
            </w:r>
            <w:proofErr w:type="spellStart"/>
            <w:r w:rsidRPr="00113D16">
              <w:rPr>
                <w:i/>
                <w:lang w:eastAsia="en-US"/>
              </w:rPr>
              <w:t>euro</w:t>
            </w:r>
            <w:proofErr w:type="spellEnd"/>
            <w:r>
              <w:rPr>
                <w:lang w:eastAsia="en-US"/>
              </w:rPr>
              <w:t xml:space="preserve"> ir iestādē</w:t>
            </w:r>
            <w:r w:rsidRPr="006571CC">
              <w:rPr>
                <w:lang w:eastAsia="en-US"/>
              </w:rPr>
              <w:t>s patērēto resursu, t. sk. klientu apkalpošanai, samazinājums, pieaugot elektroniski saņemto pakalpojumu īpatsvaram modernizējot e-pakalpojumus, PSPP un VIRSIS</w:t>
            </w:r>
            <w:r>
              <w:rPr>
                <w:lang w:eastAsia="en-US"/>
              </w:rPr>
              <w:t>.</w:t>
            </w:r>
          </w:p>
          <w:p w14:paraId="54B7234A" w14:textId="30A2B602" w:rsidR="001E7143" w:rsidRPr="00CE7475" w:rsidRDefault="001E7143" w:rsidP="001E7143">
            <w:pPr>
              <w:jc w:val="both"/>
              <w:rPr>
                <w:lang w:eastAsia="en-US"/>
              </w:rPr>
            </w:pPr>
            <w:r w:rsidRPr="00CE7475">
              <w:rPr>
                <w:lang w:eastAsia="en-US"/>
              </w:rPr>
              <w:t xml:space="preserve">3 635 280 </w:t>
            </w:r>
            <w:proofErr w:type="spellStart"/>
            <w:r w:rsidRPr="00CE7475">
              <w:rPr>
                <w:i/>
                <w:lang w:eastAsia="en-US"/>
              </w:rPr>
              <w:t>euro</w:t>
            </w:r>
            <w:proofErr w:type="spellEnd"/>
            <w:r w:rsidRPr="00CE7475">
              <w:rPr>
                <w:i/>
                <w:lang w:eastAsia="en-US"/>
              </w:rPr>
              <w:t xml:space="preserve"> </w:t>
            </w:r>
            <w:r w:rsidRPr="00CE7475">
              <w:rPr>
                <w:lang w:eastAsia="en-US"/>
              </w:rPr>
              <w:t>ir atvieglojumu administrācijas resursu ietaupījumi pašvaldībās</w:t>
            </w:r>
            <w:r>
              <w:t xml:space="preserve"> </w:t>
            </w:r>
            <w:r w:rsidRPr="005F4356">
              <w:rPr>
                <w:lang w:eastAsia="en-US"/>
              </w:rPr>
              <w:t xml:space="preserve">uz to automatizācijas rēķina, </w:t>
            </w:r>
            <w:r>
              <w:rPr>
                <w:lang w:eastAsia="en-US"/>
              </w:rPr>
              <w:t>kas ir a</w:t>
            </w:r>
            <w:r>
              <w:t xml:space="preserve">prēķināts pieņemot, ka vidēji ~68% no ~59 pašvaldībām, kas 10 gadu laikā varētu sākt lietot AVIS, būs iespējams vidēji samazināt vismaz vienu </w:t>
            </w:r>
            <w:r w:rsidRPr="00CE7475">
              <w:rPr>
                <w:lang w:eastAsia="en-US"/>
              </w:rPr>
              <w:t>slodz</w:t>
            </w:r>
            <w:r>
              <w:t>i uz katru no šīm pašvaldībām. Atlikušajām ~32% pašvaldību tiek pieņemts, ka procesu automatizācijas rezultātā radušies ietaupījumi ir nebūtiski un netiek ņemti vērā ieguvumu aprēķinā.</w:t>
            </w:r>
            <w:r w:rsidRPr="00CE7475">
              <w:rPr>
                <w:lang w:eastAsia="en-US"/>
              </w:rPr>
              <w:t xml:space="preserve"> </w:t>
            </w:r>
            <w:r w:rsidR="001A1F3F" w:rsidRPr="001A1F3F">
              <w:rPr>
                <w:lang w:eastAsia="en-US"/>
              </w:rPr>
              <w:t>AVIS risinājuma izstrādē kā projekta sadarbības partneri tiks piesaistītas pašvaldības, kā arī citi sadarbības partneri, līdz ar to šī risinājuma uzturēšanā tiks piesaistīts arī pašvaldību un citu sadarbības partneru finansējums un cilvēkresursi.</w:t>
            </w:r>
          </w:p>
          <w:p w14:paraId="29BE25E3" w14:textId="2150D2F1" w:rsidR="00F53E88" w:rsidRPr="00F53E88" w:rsidRDefault="00F53E88" w:rsidP="00CE7475">
            <w:pPr>
              <w:jc w:val="both"/>
              <w:rPr>
                <w:lang w:eastAsia="en-US"/>
              </w:rPr>
            </w:pPr>
          </w:p>
          <w:p w14:paraId="7EC03CA5" w14:textId="77777777" w:rsidR="00F53E88" w:rsidRPr="00836FE4" w:rsidRDefault="00F53E88" w:rsidP="00F53E88">
            <w:pPr>
              <w:jc w:val="both"/>
              <w:rPr>
                <w:lang w:eastAsia="en-US"/>
              </w:rPr>
            </w:pPr>
          </w:p>
        </w:tc>
      </w:tr>
      <w:tr w:rsidR="00CC6F38" w14:paraId="57D25E63" w14:textId="77777777" w:rsidTr="00D93C68">
        <w:trPr>
          <w:tblCellSpacing w:w="15" w:type="dxa"/>
        </w:trPr>
        <w:tc>
          <w:tcPr>
            <w:tcW w:w="809" w:type="pct"/>
            <w:tcBorders>
              <w:top w:val="outset" w:sz="6" w:space="0" w:color="auto"/>
              <w:left w:val="outset" w:sz="6" w:space="0" w:color="auto"/>
              <w:bottom w:val="outset" w:sz="6" w:space="0" w:color="auto"/>
              <w:right w:val="outset" w:sz="6" w:space="0" w:color="auto"/>
            </w:tcBorders>
            <w:hideMark/>
          </w:tcPr>
          <w:p w14:paraId="4414686A" w14:textId="05BD5151" w:rsidR="00145D81" w:rsidRPr="00836FE4" w:rsidRDefault="002A525E" w:rsidP="00145D81">
            <w:pPr>
              <w:rPr>
                <w:iCs/>
                <w:color w:val="414142"/>
                <w:lang w:eastAsia="lv-LV"/>
              </w:rPr>
            </w:pPr>
            <w:r w:rsidRPr="00836FE4">
              <w:rPr>
                <w:iCs/>
                <w:color w:val="414142"/>
                <w:lang w:eastAsia="lv-LV"/>
              </w:rPr>
              <w:t>6.1. detalizēts ieņēmumu aprēķins</w:t>
            </w:r>
          </w:p>
        </w:tc>
        <w:tc>
          <w:tcPr>
            <w:tcW w:w="4144" w:type="pct"/>
            <w:gridSpan w:val="7"/>
            <w:vMerge/>
            <w:tcBorders>
              <w:top w:val="outset" w:sz="6" w:space="0" w:color="auto"/>
              <w:left w:val="outset" w:sz="6" w:space="0" w:color="auto"/>
              <w:bottom w:val="outset" w:sz="6" w:space="0" w:color="auto"/>
              <w:right w:val="outset" w:sz="6" w:space="0" w:color="auto"/>
            </w:tcBorders>
            <w:vAlign w:val="center"/>
            <w:hideMark/>
          </w:tcPr>
          <w:p w14:paraId="5DF69581" w14:textId="77777777" w:rsidR="00145D81" w:rsidRPr="00836FE4" w:rsidRDefault="00145D81" w:rsidP="00145D81">
            <w:pPr>
              <w:rPr>
                <w:iCs/>
                <w:color w:val="414142"/>
                <w:lang w:eastAsia="lv-LV"/>
              </w:rPr>
            </w:pPr>
          </w:p>
        </w:tc>
      </w:tr>
      <w:tr w:rsidR="00CC6F38" w14:paraId="0356D1DD" w14:textId="77777777" w:rsidTr="00D93C68">
        <w:trPr>
          <w:tblCellSpacing w:w="15" w:type="dxa"/>
        </w:trPr>
        <w:tc>
          <w:tcPr>
            <w:tcW w:w="809" w:type="pct"/>
            <w:tcBorders>
              <w:top w:val="outset" w:sz="6" w:space="0" w:color="auto"/>
              <w:left w:val="outset" w:sz="6" w:space="0" w:color="auto"/>
              <w:bottom w:val="outset" w:sz="6" w:space="0" w:color="auto"/>
              <w:right w:val="outset" w:sz="6" w:space="0" w:color="auto"/>
            </w:tcBorders>
            <w:hideMark/>
          </w:tcPr>
          <w:p w14:paraId="3C7BE4B7" w14:textId="77777777" w:rsidR="00145D81" w:rsidRPr="00836FE4" w:rsidRDefault="002A525E" w:rsidP="00145D81">
            <w:pPr>
              <w:rPr>
                <w:iCs/>
                <w:color w:val="414142"/>
                <w:lang w:eastAsia="lv-LV"/>
              </w:rPr>
            </w:pPr>
            <w:r w:rsidRPr="00836FE4">
              <w:rPr>
                <w:iCs/>
                <w:color w:val="414142"/>
                <w:lang w:eastAsia="lv-LV"/>
              </w:rPr>
              <w:t>6.2. detalizēts izdevumu aprēķins</w:t>
            </w:r>
          </w:p>
        </w:tc>
        <w:tc>
          <w:tcPr>
            <w:tcW w:w="4144" w:type="pct"/>
            <w:gridSpan w:val="7"/>
            <w:vMerge/>
            <w:tcBorders>
              <w:top w:val="outset" w:sz="6" w:space="0" w:color="auto"/>
              <w:left w:val="outset" w:sz="6" w:space="0" w:color="auto"/>
              <w:bottom w:val="outset" w:sz="6" w:space="0" w:color="auto"/>
              <w:right w:val="outset" w:sz="6" w:space="0" w:color="auto"/>
            </w:tcBorders>
            <w:vAlign w:val="center"/>
            <w:hideMark/>
          </w:tcPr>
          <w:p w14:paraId="780217C5" w14:textId="77777777" w:rsidR="00145D81" w:rsidRPr="00836FE4" w:rsidRDefault="00145D81" w:rsidP="00145D81">
            <w:pPr>
              <w:rPr>
                <w:iCs/>
                <w:color w:val="414142"/>
                <w:lang w:eastAsia="lv-LV"/>
              </w:rPr>
            </w:pPr>
          </w:p>
        </w:tc>
      </w:tr>
      <w:tr w:rsidR="00CC6F38" w14:paraId="34862F19" w14:textId="77777777" w:rsidTr="00D93C68">
        <w:trPr>
          <w:tblCellSpacing w:w="15" w:type="dxa"/>
        </w:trPr>
        <w:tc>
          <w:tcPr>
            <w:tcW w:w="809" w:type="pct"/>
            <w:tcBorders>
              <w:top w:val="outset" w:sz="6" w:space="0" w:color="auto"/>
              <w:left w:val="outset" w:sz="6" w:space="0" w:color="auto"/>
              <w:bottom w:val="outset" w:sz="6" w:space="0" w:color="auto"/>
              <w:right w:val="outset" w:sz="6" w:space="0" w:color="auto"/>
            </w:tcBorders>
            <w:hideMark/>
          </w:tcPr>
          <w:p w14:paraId="34BDB0FA" w14:textId="77777777" w:rsidR="00145D81" w:rsidRPr="00836FE4" w:rsidRDefault="002A525E" w:rsidP="00373B96">
            <w:pPr>
              <w:jc w:val="both"/>
              <w:rPr>
                <w:iCs/>
                <w:color w:val="414142"/>
                <w:lang w:eastAsia="lv-LV"/>
              </w:rPr>
            </w:pPr>
            <w:r w:rsidRPr="00836FE4">
              <w:rPr>
                <w:iCs/>
                <w:color w:val="414142"/>
                <w:lang w:eastAsia="lv-LV"/>
              </w:rPr>
              <w:t>7. Amata vietu skaita izmaiņas</w:t>
            </w:r>
          </w:p>
        </w:tc>
        <w:tc>
          <w:tcPr>
            <w:tcW w:w="4144" w:type="pct"/>
            <w:gridSpan w:val="7"/>
            <w:tcBorders>
              <w:top w:val="outset" w:sz="6" w:space="0" w:color="auto"/>
              <w:left w:val="outset" w:sz="6" w:space="0" w:color="auto"/>
              <w:bottom w:val="outset" w:sz="6" w:space="0" w:color="auto"/>
              <w:right w:val="outset" w:sz="6" w:space="0" w:color="auto"/>
            </w:tcBorders>
            <w:hideMark/>
          </w:tcPr>
          <w:p w14:paraId="6C3B284E" w14:textId="78CF2483" w:rsidR="00145D81" w:rsidRPr="00836FE4" w:rsidRDefault="0017332A" w:rsidP="00373B96">
            <w:pPr>
              <w:jc w:val="both"/>
              <w:rPr>
                <w:iCs/>
                <w:color w:val="A6A6A6" w:themeColor="background1" w:themeShade="A6"/>
                <w:lang w:eastAsia="lv-LV"/>
              </w:rPr>
            </w:pPr>
            <w:r>
              <w:t>V</w:t>
            </w:r>
            <w:r w:rsidRPr="0017332A">
              <w:t>idēji ~68% no ~59 pašvaldībām, kas 10 gadu laikā varētu sākt lietot AVIS, būs iespējams vidēji samazināt vismaz vienu slodzi uz katru no šīm pašvaldībām.</w:t>
            </w:r>
          </w:p>
        </w:tc>
      </w:tr>
      <w:tr w:rsidR="00CC6F38" w14:paraId="6B3B8DEB" w14:textId="77777777" w:rsidTr="00D93C68">
        <w:trPr>
          <w:tblCellSpacing w:w="15" w:type="dxa"/>
        </w:trPr>
        <w:tc>
          <w:tcPr>
            <w:tcW w:w="809" w:type="pct"/>
            <w:tcBorders>
              <w:top w:val="outset" w:sz="6" w:space="0" w:color="auto"/>
              <w:left w:val="outset" w:sz="6" w:space="0" w:color="auto"/>
              <w:bottom w:val="outset" w:sz="6" w:space="0" w:color="auto"/>
              <w:right w:val="outset" w:sz="6" w:space="0" w:color="auto"/>
            </w:tcBorders>
            <w:hideMark/>
          </w:tcPr>
          <w:p w14:paraId="1AC9A82D" w14:textId="77777777" w:rsidR="00145D81" w:rsidRPr="00836FE4" w:rsidRDefault="002A525E" w:rsidP="00145D81">
            <w:pPr>
              <w:rPr>
                <w:iCs/>
                <w:color w:val="414142"/>
                <w:lang w:eastAsia="lv-LV"/>
              </w:rPr>
            </w:pPr>
            <w:r w:rsidRPr="00836FE4">
              <w:rPr>
                <w:iCs/>
                <w:color w:val="414142"/>
                <w:lang w:eastAsia="lv-LV"/>
              </w:rPr>
              <w:t>8. Cita informācija</w:t>
            </w:r>
          </w:p>
        </w:tc>
        <w:tc>
          <w:tcPr>
            <w:tcW w:w="4144" w:type="pct"/>
            <w:gridSpan w:val="7"/>
            <w:tcBorders>
              <w:top w:val="outset" w:sz="6" w:space="0" w:color="auto"/>
              <w:left w:val="outset" w:sz="6" w:space="0" w:color="auto"/>
              <w:bottom w:val="outset" w:sz="6" w:space="0" w:color="auto"/>
              <w:right w:val="outset" w:sz="6" w:space="0" w:color="auto"/>
            </w:tcBorders>
            <w:hideMark/>
          </w:tcPr>
          <w:p w14:paraId="454594DF" w14:textId="728076AD" w:rsidR="00145D81" w:rsidRPr="00836FE4" w:rsidRDefault="002A525E" w:rsidP="00145D81">
            <w:pPr>
              <w:jc w:val="both"/>
            </w:pPr>
            <w:r w:rsidRPr="00836FE4">
              <w:t xml:space="preserve">Projekta īstenošanai nepieciešamie valsts budžeta līdzekļi normatīvajos aktos noteiktajā kārtībā tiks pieprasīti no 74. resora </w:t>
            </w:r>
            <w:r w:rsidR="00C476D7">
              <w:t>“</w:t>
            </w:r>
            <w:r w:rsidRPr="00836FE4">
              <w:t xml:space="preserve">Gadskārtējā valsts budžeta izpildes procesā pārdalāmais finansējums” 80.00.00 programmas </w:t>
            </w:r>
            <w:r w:rsidR="00610B65">
              <w:t>“</w:t>
            </w:r>
            <w:r w:rsidRPr="00836FE4">
              <w:t>Nesadalītais finansējums Eiropas Savienības politiku instrumentu un pārējās ārvalstu finanšu palīdzības līdzfinansēto projektu un pasākumu īstenošanai”.</w:t>
            </w:r>
          </w:p>
          <w:p w14:paraId="196D16A4" w14:textId="77777777" w:rsidR="00145D81" w:rsidRPr="00836FE4" w:rsidRDefault="00145D81" w:rsidP="00145D81">
            <w:pPr>
              <w:tabs>
                <w:tab w:val="left" w:pos="993"/>
              </w:tabs>
              <w:contextualSpacing/>
              <w:jc w:val="both"/>
            </w:pPr>
          </w:p>
          <w:p w14:paraId="090A4D13" w14:textId="34DE563E" w:rsidR="00145D81" w:rsidRPr="00836FE4" w:rsidRDefault="00145D81" w:rsidP="00373B96">
            <w:pPr>
              <w:jc w:val="both"/>
              <w:rPr>
                <w:iCs/>
                <w:color w:val="A6A6A6" w:themeColor="background1" w:themeShade="A6"/>
                <w:lang w:eastAsia="lv-LV"/>
              </w:rPr>
            </w:pPr>
          </w:p>
        </w:tc>
      </w:tr>
    </w:tbl>
    <w:p w14:paraId="66C05D2A" w14:textId="77777777" w:rsidR="00145D81" w:rsidRPr="00836FE4" w:rsidRDefault="00145D81" w:rsidP="00B559D5">
      <w:pPr>
        <w:jc w:val="both"/>
      </w:pPr>
    </w:p>
    <w:tbl>
      <w:tblPr>
        <w:tblW w:w="5452" w:type="pct"/>
        <w:tblCellSpacing w:w="15" w:type="dxa"/>
        <w:tblInd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19"/>
      </w:tblGrid>
      <w:tr w:rsidR="00CC6F38" w14:paraId="6179559C" w14:textId="77777777" w:rsidTr="00262DE5">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7CC30A91" w14:textId="77777777" w:rsidR="00B559D5" w:rsidRPr="00836FE4" w:rsidRDefault="002A525E" w:rsidP="00262DE5">
            <w:pPr>
              <w:pStyle w:val="tvhtml"/>
              <w:spacing w:before="0" w:after="0"/>
              <w:jc w:val="center"/>
              <w:rPr>
                <w:b/>
                <w:bCs/>
              </w:rPr>
            </w:pPr>
            <w:r w:rsidRPr="00836FE4">
              <w:rPr>
                <w:b/>
                <w:bCs/>
              </w:rPr>
              <w:t>IV. Tiesību akta projekta ietekme uz spēkā esošo tiesību normu sistēmu</w:t>
            </w:r>
          </w:p>
        </w:tc>
      </w:tr>
      <w:tr w:rsidR="00CC6F38" w14:paraId="5FE736E1" w14:textId="77777777" w:rsidTr="00262DE5">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06D6221C" w14:textId="77777777" w:rsidR="00B559D5" w:rsidRPr="00836FE4" w:rsidRDefault="002A525E" w:rsidP="00262DE5">
            <w:pPr>
              <w:pStyle w:val="tvhtml"/>
              <w:spacing w:before="0" w:after="0"/>
              <w:jc w:val="center"/>
            </w:pPr>
            <w:r w:rsidRPr="00836FE4">
              <w:t>Projekts šo jomu neskar</w:t>
            </w:r>
          </w:p>
        </w:tc>
      </w:tr>
    </w:tbl>
    <w:p w14:paraId="4431441C" w14:textId="77777777" w:rsidR="00B559D5" w:rsidRPr="00836FE4" w:rsidRDefault="00B559D5" w:rsidP="00B559D5">
      <w:pPr>
        <w:rPr>
          <w:iCs/>
          <w:lang w:eastAsia="en-US"/>
        </w:rPr>
      </w:pPr>
    </w:p>
    <w:tbl>
      <w:tblPr>
        <w:tblW w:w="5452" w:type="pct"/>
        <w:tblCellSpacing w:w="15" w:type="dxa"/>
        <w:tblInd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19"/>
      </w:tblGrid>
      <w:tr w:rsidR="00CC6F38" w14:paraId="1B5C821F" w14:textId="77777777" w:rsidTr="00262DE5">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310EAF01" w14:textId="77777777" w:rsidR="00B559D5" w:rsidRPr="00836FE4" w:rsidRDefault="002A525E" w:rsidP="00262DE5">
            <w:pPr>
              <w:pStyle w:val="tvhtml"/>
              <w:spacing w:before="0" w:after="0"/>
              <w:jc w:val="center"/>
              <w:rPr>
                <w:b/>
                <w:bCs/>
              </w:rPr>
            </w:pPr>
            <w:r w:rsidRPr="00836FE4">
              <w:rPr>
                <w:b/>
                <w:bCs/>
              </w:rPr>
              <w:t>V. Tiesību akta projekta atbilstība Latvijas Republikas starptautiskajām saistībām</w:t>
            </w:r>
          </w:p>
        </w:tc>
      </w:tr>
      <w:tr w:rsidR="00CC6F38" w14:paraId="4B4735A1" w14:textId="77777777" w:rsidTr="00262DE5">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46F8A10C" w14:textId="77777777" w:rsidR="00B559D5" w:rsidRPr="00836FE4" w:rsidRDefault="002A525E" w:rsidP="00262DE5">
            <w:pPr>
              <w:pStyle w:val="tvhtml"/>
              <w:spacing w:before="0" w:after="0"/>
              <w:jc w:val="center"/>
              <w:rPr>
                <w:bCs/>
              </w:rPr>
            </w:pPr>
            <w:r w:rsidRPr="00836FE4">
              <w:rPr>
                <w:bCs/>
              </w:rPr>
              <w:t>Projekts šo jomu neskar</w:t>
            </w:r>
          </w:p>
        </w:tc>
      </w:tr>
    </w:tbl>
    <w:p w14:paraId="05E14D64" w14:textId="77777777" w:rsidR="00B559D5" w:rsidRPr="00836FE4" w:rsidRDefault="00B559D5" w:rsidP="00B559D5">
      <w:pPr>
        <w:rPr>
          <w:sz w:val="20"/>
          <w:szCs w:val="20"/>
        </w:rPr>
      </w:pPr>
    </w:p>
    <w:tbl>
      <w:tblPr>
        <w:tblW w:w="542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3000"/>
        <w:gridCol w:w="6105"/>
      </w:tblGrid>
      <w:tr w:rsidR="00CC6F38" w14:paraId="746ED579" w14:textId="77777777" w:rsidTr="00836FE4">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2F629805" w14:textId="77777777" w:rsidR="00836FE4" w:rsidRPr="00836FE4" w:rsidRDefault="002A525E" w:rsidP="00373B96">
            <w:pPr>
              <w:jc w:val="center"/>
              <w:rPr>
                <w:b/>
                <w:bCs/>
                <w:iCs/>
                <w:color w:val="414142"/>
                <w:lang w:eastAsia="lv-LV"/>
              </w:rPr>
            </w:pPr>
            <w:r w:rsidRPr="00836FE4">
              <w:rPr>
                <w:b/>
                <w:bCs/>
                <w:iCs/>
                <w:color w:val="414142"/>
                <w:lang w:eastAsia="lv-LV"/>
              </w:rPr>
              <w:t>VI. Sabiedrības līdzdalība un komunikācijas aktivitātes</w:t>
            </w:r>
          </w:p>
        </w:tc>
      </w:tr>
      <w:tr w:rsidR="00CC6F38" w14:paraId="4E796290" w14:textId="77777777" w:rsidTr="00836FE4">
        <w:trPr>
          <w:tblCellSpacing w:w="15" w:type="dxa"/>
        </w:trPr>
        <w:tc>
          <w:tcPr>
            <w:tcW w:w="273" w:type="pct"/>
            <w:tcBorders>
              <w:top w:val="outset" w:sz="6" w:space="0" w:color="auto"/>
              <w:left w:val="outset" w:sz="6" w:space="0" w:color="auto"/>
              <w:bottom w:val="outset" w:sz="6" w:space="0" w:color="auto"/>
              <w:right w:val="outset" w:sz="6" w:space="0" w:color="auto"/>
            </w:tcBorders>
            <w:hideMark/>
          </w:tcPr>
          <w:p w14:paraId="5B00851B" w14:textId="77777777" w:rsidR="00836FE4" w:rsidRPr="00836FE4" w:rsidRDefault="002A525E" w:rsidP="007830FC">
            <w:pPr>
              <w:rPr>
                <w:iCs/>
                <w:color w:val="414142"/>
                <w:lang w:eastAsia="lv-LV"/>
              </w:rPr>
            </w:pPr>
            <w:r w:rsidRPr="00836FE4">
              <w:rPr>
                <w:iCs/>
                <w:color w:val="414142"/>
                <w:lang w:eastAsia="lv-LV"/>
              </w:rPr>
              <w:lastRenderedPageBreak/>
              <w:t>1.</w:t>
            </w:r>
          </w:p>
        </w:tc>
        <w:tc>
          <w:tcPr>
            <w:tcW w:w="1545" w:type="pct"/>
            <w:tcBorders>
              <w:top w:val="outset" w:sz="6" w:space="0" w:color="auto"/>
              <w:left w:val="outset" w:sz="6" w:space="0" w:color="auto"/>
              <w:bottom w:val="outset" w:sz="6" w:space="0" w:color="auto"/>
              <w:right w:val="outset" w:sz="6" w:space="0" w:color="auto"/>
            </w:tcBorders>
            <w:hideMark/>
          </w:tcPr>
          <w:p w14:paraId="3DFF4A47" w14:textId="77777777" w:rsidR="00836FE4" w:rsidRPr="00836FE4" w:rsidRDefault="002A525E" w:rsidP="007830FC">
            <w:pPr>
              <w:rPr>
                <w:iCs/>
                <w:color w:val="414142"/>
                <w:lang w:eastAsia="lv-LV"/>
              </w:rPr>
            </w:pPr>
            <w:r w:rsidRPr="00836FE4">
              <w:rPr>
                <w:iCs/>
                <w:color w:val="414142"/>
                <w:lang w:eastAsia="lv-LV"/>
              </w:rPr>
              <w:t>Plānotās sabiedrības līdzdalības un komunikācijas aktivitātes saistībā ar projektu</w:t>
            </w:r>
          </w:p>
        </w:tc>
        <w:tc>
          <w:tcPr>
            <w:tcW w:w="3121" w:type="pct"/>
            <w:tcBorders>
              <w:top w:val="outset" w:sz="6" w:space="0" w:color="auto"/>
              <w:left w:val="outset" w:sz="6" w:space="0" w:color="auto"/>
              <w:bottom w:val="outset" w:sz="6" w:space="0" w:color="auto"/>
              <w:right w:val="outset" w:sz="6" w:space="0" w:color="auto"/>
            </w:tcBorders>
            <w:hideMark/>
          </w:tcPr>
          <w:p w14:paraId="05D16E19" w14:textId="77777777" w:rsidR="00836FE4" w:rsidRPr="0037721B" w:rsidRDefault="002A525E" w:rsidP="00373B96">
            <w:pPr>
              <w:jc w:val="both"/>
              <w:rPr>
                <w:iCs/>
                <w:lang w:eastAsia="lv-LV"/>
              </w:rPr>
            </w:pPr>
            <w:r w:rsidRPr="0037721B">
              <w:rPr>
                <w:iCs/>
                <w:lang w:eastAsia="lv-LV"/>
              </w:rPr>
              <w:t>Sabiedrības līdzdalības</w:t>
            </w:r>
            <w:r w:rsidR="00E77BD1" w:rsidRPr="0037721B">
              <w:rPr>
                <w:iCs/>
                <w:lang w:eastAsia="lv-LV"/>
              </w:rPr>
              <w:t xml:space="preserve"> pasākumu organizēt nav nepieciešams, jo </w:t>
            </w:r>
            <w:r w:rsidR="0037721B">
              <w:rPr>
                <w:iCs/>
                <w:lang w:eastAsia="lv-LV"/>
              </w:rPr>
              <w:t xml:space="preserve">projekts neietekmē sabiedrību tiešā veidā. </w:t>
            </w:r>
          </w:p>
        </w:tc>
      </w:tr>
      <w:tr w:rsidR="00CC6F38" w14:paraId="39A0E6ED" w14:textId="77777777" w:rsidTr="00836FE4">
        <w:trPr>
          <w:tblCellSpacing w:w="15" w:type="dxa"/>
        </w:trPr>
        <w:tc>
          <w:tcPr>
            <w:tcW w:w="273" w:type="pct"/>
            <w:tcBorders>
              <w:top w:val="outset" w:sz="6" w:space="0" w:color="auto"/>
              <w:left w:val="outset" w:sz="6" w:space="0" w:color="auto"/>
              <w:bottom w:val="outset" w:sz="6" w:space="0" w:color="auto"/>
              <w:right w:val="outset" w:sz="6" w:space="0" w:color="auto"/>
            </w:tcBorders>
            <w:hideMark/>
          </w:tcPr>
          <w:p w14:paraId="21C711F8" w14:textId="77777777" w:rsidR="00836FE4" w:rsidRPr="00836FE4" w:rsidRDefault="002A525E" w:rsidP="007830FC">
            <w:pPr>
              <w:rPr>
                <w:iCs/>
                <w:color w:val="414142"/>
                <w:lang w:eastAsia="lv-LV"/>
              </w:rPr>
            </w:pPr>
            <w:r w:rsidRPr="00836FE4">
              <w:rPr>
                <w:iCs/>
                <w:color w:val="414142"/>
                <w:lang w:eastAsia="lv-LV"/>
              </w:rPr>
              <w:t>2.</w:t>
            </w:r>
          </w:p>
        </w:tc>
        <w:tc>
          <w:tcPr>
            <w:tcW w:w="1545" w:type="pct"/>
            <w:tcBorders>
              <w:top w:val="outset" w:sz="6" w:space="0" w:color="auto"/>
              <w:left w:val="outset" w:sz="6" w:space="0" w:color="auto"/>
              <w:bottom w:val="outset" w:sz="6" w:space="0" w:color="auto"/>
              <w:right w:val="outset" w:sz="6" w:space="0" w:color="auto"/>
            </w:tcBorders>
            <w:hideMark/>
          </w:tcPr>
          <w:p w14:paraId="6D0920E5" w14:textId="77777777" w:rsidR="00836FE4" w:rsidRPr="00836FE4" w:rsidRDefault="002A525E" w:rsidP="007830FC">
            <w:pPr>
              <w:rPr>
                <w:iCs/>
                <w:color w:val="414142"/>
                <w:lang w:eastAsia="lv-LV"/>
              </w:rPr>
            </w:pPr>
            <w:r w:rsidRPr="00836FE4">
              <w:rPr>
                <w:iCs/>
                <w:color w:val="414142"/>
                <w:lang w:eastAsia="lv-LV"/>
              </w:rPr>
              <w:t>Sabiedrības līdzdalība projekta izstrādē</w:t>
            </w:r>
          </w:p>
        </w:tc>
        <w:tc>
          <w:tcPr>
            <w:tcW w:w="3121" w:type="pct"/>
            <w:tcBorders>
              <w:top w:val="outset" w:sz="6" w:space="0" w:color="auto"/>
              <w:left w:val="outset" w:sz="6" w:space="0" w:color="auto"/>
              <w:bottom w:val="outset" w:sz="6" w:space="0" w:color="auto"/>
              <w:right w:val="outset" w:sz="6" w:space="0" w:color="auto"/>
            </w:tcBorders>
            <w:hideMark/>
          </w:tcPr>
          <w:p w14:paraId="123FEE2D" w14:textId="77777777" w:rsidR="00836FE4" w:rsidRPr="00836FE4" w:rsidRDefault="002A525E" w:rsidP="007830FC">
            <w:pPr>
              <w:rPr>
                <w:iCs/>
                <w:lang w:eastAsia="lv-LV"/>
              </w:rPr>
            </w:pPr>
            <w:r w:rsidRPr="00836FE4">
              <w:rPr>
                <w:iCs/>
                <w:lang w:eastAsia="lv-LV"/>
              </w:rPr>
              <w:t>Nav</w:t>
            </w:r>
          </w:p>
        </w:tc>
      </w:tr>
      <w:tr w:rsidR="00CC6F38" w14:paraId="46503E67" w14:textId="77777777" w:rsidTr="00836FE4">
        <w:trPr>
          <w:tblCellSpacing w:w="15" w:type="dxa"/>
        </w:trPr>
        <w:tc>
          <w:tcPr>
            <w:tcW w:w="273" w:type="pct"/>
            <w:tcBorders>
              <w:top w:val="outset" w:sz="6" w:space="0" w:color="auto"/>
              <w:left w:val="outset" w:sz="6" w:space="0" w:color="auto"/>
              <w:bottom w:val="outset" w:sz="6" w:space="0" w:color="auto"/>
              <w:right w:val="outset" w:sz="6" w:space="0" w:color="auto"/>
            </w:tcBorders>
            <w:hideMark/>
          </w:tcPr>
          <w:p w14:paraId="6CC7DCE0" w14:textId="77777777" w:rsidR="00836FE4" w:rsidRPr="00836FE4" w:rsidRDefault="002A525E" w:rsidP="007830FC">
            <w:pPr>
              <w:rPr>
                <w:iCs/>
                <w:color w:val="414142"/>
                <w:lang w:eastAsia="lv-LV"/>
              </w:rPr>
            </w:pPr>
            <w:r w:rsidRPr="00836FE4">
              <w:rPr>
                <w:iCs/>
                <w:color w:val="414142"/>
                <w:lang w:eastAsia="lv-LV"/>
              </w:rPr>
              <w:t>3.</w:t>
            </w:r>
          </w:p>
        </w:tc>
        <w:tc>
          <w:tcPr>
            <w:tcW w:w="1545" w:type="pct"/>
            <w:tcBorders>
              <w:top w:val="outset" w:sz="6" w:space="0" w:color="auto"/>
              <w:left w:val="outset" w:sz="6" w:space="0" w:color="auto"/>
              <w:bottom w:val="outset" w:sz="6" w:space="0" w:color="auto"/>
              <w:right w:val="outset" w:sz="6" w:space="0" w:color="auto"/>
            </w:tcBorders>
            <w:hideMark/>
          </w:tcPr>
          <w:p w14:paraId="4A7161DB" w14:textId="77777777" w:rsidR="00836FE4" w:rsidRPr="00836FE4" w:rsidRDefault="002A525E" w:rsidP="007830FC">
            <w:pPr>
              <w:rPr>
                <w:iCs/>
                <w:color w:val="414142"/>
                <w:lang w:eastAsia="lv-LV"/>
              </w:rPr>
            </w:pPr>
            <w:r w:rsidRPr="00836FE4">
              <w:rPr>
                <w:iCs/>
                <w:color w:val="414142"/>
                <w:lang w:eastAsia="lv-LV"/>
              </w:rPr>
              <w:t>Sabiedrības līdzdalības rezultāti</w:t>
            </w:r>
          </w:p>
        </w:tc>
        <w:tc>
          <w:tcPr>
            <w:tcW w:w="3121" w:type="pct"/>
            <w:tcBorders>
              <w:top w:val="outset" w:sz="6" w:space="0" w:color="auto"/>
              <w:left w:val="outset" w:sz="6" w:space="0" w:color="auto"/>
              <w:bottom w:val="outset" w:sz="6" w:space="0" w:color="auto"/>
              <w:right w:val="outset" w:sz="6" w:space="0" w:color="auto"/>
            </w:tcBorders>
            <w:hideMark/>
          </w:tcPr>
          <w:p w14:paraId="7AC3D85C" w14:textId="77777777" w:rsidR="00836FE4" w:rsidRPr="00836FE4" w:rsidRDefault="002A525E" w:rsidP="007830FC">
            <w:pPr>
              <w:rPr>
                <w:iCs/>
                <w:lang w:eastAsia="lv-LV"/>
              </w:rPr>
            </w:pPr>
            <w:r w:rsidRPr="00836FE4">
              <w:rPr>
                <w:iCs/>
                <w:lang w:eastAsia="lv-LV"/>
              </w:rPr>
              <w:t>Nav</w:t>
            </w:r>
          </w:p>
        </w:tc>
      </w:tr>
      <w:tr w:rsidR="00CC6F38" w14:paraId="393D1575" w14:textId="77777777" w:rsidTr="00836FE4">
        <w:trPr>
          <w:tblCellSpacing w:w="15" w:type="dxa"/>
        </w:trPr>
        <w:tc>
          <w:tcPr>
            <w:tcW w:w="273" w:type="pct"/>
            <w:tcBorders>
              <w:top w:val="outset" w:sz="6" w:space="0" w:color="auto"/>
              <w:left w:val="outset" w:sz="6" w:space="0" w:color="auto"/>
              <w:bottom w:val="outset" w:sz="6" w:space="0" w:color="auto"/>
              <w:right w:val="outset" w:sz="6" w:space="0" w:color="auto"/>
            </w:tcBorders>
            <w:hideMark/>
          </w:tcPr>
          <w:p w14:paraId="0F76CE5C" w14:textId="77777777" w:rsidR="00836FE4" w:rsidRPr="00836FE4" w:rsidRDefault="002A525E" w:rsidP="007830FC">
            <w:pPr>
              <w:rPr>
                <w:iCs/>
                <w:color w:val="414142"/>
                <w:lang w:eastAsia="lv-LV"/>
              </w:rPr>
            </w:pPr>
            <w:r w:rsidRPr="00836FE4">
              <w:rPr>
                <w:iCs/>
                <w:color w:val="414142"/>
                <w:lang w:eastAsia="lv-LV"/>
              </w:rPr>
              <w:t>4.</w:t>
            </w:r>
          </w:p>
        </w:tc>
        <w:tc>
          <w:tcPr>
            <w:tcW w:w="1545" w:type="pct"/>
            <w:tcBorders>
              <w:top w:val="outset" w:sz="6" w:space="0" w:color="auto"/>
              <w:left w:val="outset" w:sz="6" w:space="0" w:color="auto"/>
              <w:bottom w:val="outset" w:sz="6" w:space="0" w:color="auto"/>
              <w:right w:val="outset" w:sz="6" w:space="0" w:color="auto"/>
            </w:tcBorders>
            <w:hideMark/>
          </w:tcPr>
          <w:p w14:paraId="5BD76A33" w14:textId="77777777" w:rsidR="00836FE4" w:rsidRPr="00836FE4" w:rsidRDefault="002A525E" w:rsidP="007830FC">
            <w:pPr>
              <w:rPr>
                <w:iCs/>
                <w:color w:val="414142"/>
                <w:lang w:eastAsia="lv-LV"/>
              </w:rPr>
            </w:pPr>
            <w:r w:rsidRPr="00836FE4">
              <w:rPr>
                <w:iCs/>
                <w:color w:val="414142"/>
                <w:lang w:eastAsia="lv-LV"/>
              </w:rPr>
              <w:t>Cita informācija</w:t>
            </w:r>
          </w:p>
        </w:tc>
        <w:tc>
          <w:tcPr>
            <w:tcW w:w="3121" w:type="pct"/>
            <w:tcBorders>
              <w:top w:val="outset" w:sz="6" w:space="0" w:color="auto"/>
              <w:left w:val="outset" w:sz="6" w:space="0" w:color="auto"/>
              <w:bottom w:val="outset" w:sz="6" w:space="0" w:color="auto"/>
              <w:right w:val="outset" w:sz="6" w:space="0" w:color="auto"/>
            </w:tcBorders>
            <w:hideMark/>
          </w:tcPr>
          <w:p w14:paraId="72120B01" w14:textId="77777777" w:rsidR="00836FE4" w:rsidRPr="00836FE4" w:rsidRDefault="002A525E" w:rsidP="007830FC">
            <w:pPr>
              <w:rPr>
                <w:iCs/>
                <w:color w:val="A6A6A6" w:themeColor="background1" w:themeShade="A6"/>
                <w:lang w:eastAsia="lv-LV"/>
              </w:rPr>
            </w:pPr>
            <w:r w:rsidRPr="00836FE4">
              <w:rPr>
                <w:iCs/>
                <w:lang w:eastAsia="lv-LV"/>
              </w:rPr>
              <w:t>Nav</w:t>
            </w:r>
          </w:p>
        </w:tc>
      </w:tr>
    </w:tbl>
    <w:p w14:paraId="776CF926" w14:textId="77777777" w:rsidR="00836FE4" w:rsidRPr="00836FE4" w:rsidRDefault="00836FE4" w:rsidP="00B559D5">
      <w:pPr>
        <w:rPr>
          <w:iCs/>
          <w:lang w:eastAsia="en-US"/>
        </w:rPr>
      </w:pPr>
    </w:p>
    <w:tbl>
      <w:tblPr>
        <w:tblW w:w="9642" w:type="dxa"/>
        <w:tblInd w:w="-33" w:type="dxa"/>
        <w:tblBorders>
          <w:top w:val="thickThinSmallGap" w:sz="12" w:space="0" w:color="D9D9D9" w:themeColor="background1" w:themeShade="D9"/>
          <w:left w:val="thickThinSmallGap" w:sz="12" w:space="0" w:color="D9D9D9" w:themeColor="background1" w:themeShade="D9"/>
          <w:bottom w:val="thickThinSmallGap" w:sz="12" w:space="0" w:color="D9D9D9" w:themeColor="background1" w:themeShade="D9"/>
          <w:right w:val="thickThinSmallGap" w:sz="12" w:space="0" w:color="D9D9D9" w:themeColor="background1" w:themeShade="D9"/>
          <w:insideH w:val="thickThinSmallGap" w:sz="12" w:space="0" w:color="D9D9D9" w:themeColor="background1" w:themeShade="D9"/>
          <w:insideV w:val="thickThinSmallGap" w:sz="12" w:space="0" w:color="D9D9D9" w:themeColor="background1" w:themeShade="D9"/>
        </w:tblBorders>
        <w:tblLayout w:type="fixed"/>
        <w:tblCellMar>
          <w:top w:w="57" w:type="dxa"/>
          <w:left w:w="57" w:type="dxa"/>
          <w:bottom w:w="57" w:type="dxa"/>
          <w:right w:w="57" w:type="dxa"/>
        </w:tblCellMar>
        <w:tblLook w:val="0000" w:firstRow="0" w:lastRow="0" w:firstColumn="0" w:lastColumn="0" w:noHBand="0" w:noVBand="0"/>
      </w:tblPr>
      <w:tblGrid>
        <w:gridCol w:w="658"/>
        <w:gridCol w:w="4376"/>
        <w:gridCol w:w="4608"/>
      </w:tblGrid>
      <w:tr w:rsidR="00CC6F38" w14:paraId="3723E3FD" w14:textId="77777777" w:rsidTr="00862572">
        <w:tc>
          <w:tcPr>
            <w:tcW w:w="9642" w:type="dxa"/>
            <w:gridSpan w:val="3"/>
          </w:tcPr>
          <w:p w14:paraId="2A9F2A3B" w14:textId="77777777" w:rsidR="00B559D5" w:rsidRPr="00836FE4" w:rsidRDefault="002A525E" w:rsidP="00262DE5">
            <w:pPr>
              <w:pStyle w:val="naisnod"/>
              <w:spacing w:before="0" w:after="0"/>
              <w:ind w:left="57" w:right="57"/>
            </w:pPr>
            <w:r w:rsidRPr="00836FE4">
              <w:t>VII. Tiesību akta projekta izpildes nodrošināšana un tās ietekme uz institūcijām</w:t>
            </w:r>
          </w:p>
        </w:tc>
      </w:tr>
      <w:tr w:rsidR="00CC6F38" w14:paraId="2CA8ADCA" w14:textId="77777777" w:rsidTr="00862572">
        <w:tblPrEx>
          <w:tblCellMar>
            <w:top w:w="28" w:type="dxa"/>
            <w:left w:w="28" w:type="dxa"/>
            <w:bottom w:w="28" w:type="dxa"/>
            <w:right w:w="28" w:type="dxa"/>
          </w:tblCellMar>
        </w:tblPrEx>
        <w:trPr>
          <w:trHeight w:val="427"/>
        </w:trPr>
        <w:tc>
          <w:tcPr>
            <w:tcW w:w="658" w:type="dxa"/>
          </w:tcPr>
          <w:p w14:paraId="76EE307B" w14:textId="77777777" w:rsidR="00B559D5" w:rsidRPr="00836FE4" w:rsidRDefault="002A525E" w:rsidP="00262DE5">
            <w:pPr>
              <w:pStyle w:val="naisnod"/>
              <w:spacing w:before="0" w:after="0"/>
              <w:ind w:left="57" w:right="57"/>
              <w:jc w:val="left"/>
            </w:pPr>
            <w:r w:rsidRPr="00836FE4">
              <w:rPr>
                <w:b w:val="0"/>
                <w:bCs w:val="0"/>
              </w:rPr>
              <w:t>1.</w:t>
            </w:r>
          </w:p>
        </w:tc>
        <w:tc>
          <w:tcPr>
            <w:tcW w:w="4376" w:type="dxa"/>
          </w:tcPr>
          <w:p w14:paraId="2AC6DB24" w14:textId="77777777" w:rsidR="00B559D5" w:rsidRPr="00836FE4" w:rsidRDefault="002A525E" w:rsidP="00262DE5">
            <w:pPr>
              <w:pStyle w:val="naisf"/>
              <w:spacing w:before="0" w:after="0"/>
              <w:ind w:left="57" w:right="57" w:firstLine="0"/>
              <w:jc w:val="left"/>
            </w:pPr>
            <w:r w:rsidRPr="00836FE4">
              <w:t xml:space="preserve">Projekta izpildē iesaistītās institūcijas </w:t>
            </w:r>
          </w:p>
        </w:tc>
        <w:tc>
          <w:tcPr>
            <w:tcW w:w="4608" w:type="dxa"/>
          </w:tcPr>
          <w:p w14:paraId="29D1C2AE" w14:textId="77777777" w:rsidR="00B559D5" w:rsidRPr="00836FE4" w:rsidRDefault="00136660" w:rsidP="00262DE5">
            <w:pPr>
              <w:jc w:val="both"/>
              <w:rPr>
                <w:lang w:eastAsia="lv-LV"/>
              </w:rPr>
            </w:pPr>
            <w:r>
              <w:rPr>
                <w:lang w:eastAsia="lv-LV"/>
              </w:rPr>
              <w:t>VARAM, Valsts reģionālās attīstības aģentūra</w:t>
            </w:r>
          </w:p>
          <w:p w14:paraId="6F265570" w14:textId="0E6BBC70" w:rsidR="00B559D5" w:rsidRPr="00836FE4" w:rsidRDefault="00F67870" w:rsidP="00262DE5">
            <w:pPr>
              <w:pStyle w:val="VPBody"/>
              <w:spacing w:after="120" w:line="276" w:lineRule="auto"/>
              <w:jc w:val="both"/>
              <w:rPr>
                <w:sz w:val="24"/>
                <w:szCs w:val="24"/>
              </w:rPr>
            </w:pPr>
            <w:r>
              <w:rPr>
                <w:sz w:val="24"/>
                <w:szCs w:val="24"/>
              </w:rPr>
              <w:t>Jelgavas pilsētas dome, Ogres novada pašvaldība, Ventspils pilsētas dome, Daugavpils pilsētas dome, Liepājas pilsētas pašvaldība.</w:t>
            </w:r>
          </w:p>
        </w:tc>
      </w:tr>
      <w:tr w:rsidR="00CC6F38" w14:paraId="4E662A73" w14:textId="77777777" w:rsidTr="00862572">
        <w:tblPrEx>
          <w:tblCellMar>
            <w:top w:w="28" w:type="dxa"/>
            <w:left w:w="28" w:type="dxa"/>
            <w:bottom w:w="28" w:type="dxa"/>
            <w:right w:w="28" w:type="dxa"/>
          </w:tblCellMar>
        </w:tblPrEx>
        <w:trPr>
          <w:trHeight w:val="463"/>
        </w:trPr>
        <w:tc>
          <w:tcPr>
            <w:tcW w:w="658" w:type="dxa"/>
          </w:tcPr>
          <w:p w14:paraId="5E1FDAD9" w14:textId="77777777" w:rsidR="00B559D5" w:rsidRPr="00836FE4" w:rsidRDefault="002A525E" w:rsidP="00262DE5">
            <w:pPr>
              <w:pStyle w:val="naisnod"/>
              <w:spacing w:before="0" w:after="0"/>
              <w:ind w:left="57" w:right="57"/>
              <w:jc w:val="left"/>
            </w:pPr>
            <w:r w:rsidRPr="00836FE4">
              <w:rPr>
                <w:b w:val="0"/>
                <w:bCs w:val="0"/>
              </w:rPr>
              <w:t>2.</w:t>
            </w:r>
          </w:p>
        </w:tc>
        <w:tc>
          <w:tcPr>
            <w:tcW w:w="4376" w:type="dxa"/>
          </w:tcPr>
          <w:p w14:paraId="071BA714" w14:textId="77777777" w:rsidR="00B559D5" w:rsidRPr="00836FE4" w:rsidRDefault="002A525E" w:rsidP="00262DE5">
            <w:pPr>
              <w:pStyle w:val="naisf"/>
              <w:spacing w:before="0" w:after="0"/>
              <w:ind w:left="57" w:right="57" w:firstLine="0"/>
              <w:jc w:val="left"/>
            </w:pPr>
            <w:r w:rsidRPr="00836FE4">
              <w:t>Projekta izpildes ietekme uz pārvaldes funkcijām un institucionālo struktūru</w:t>
            </w:r>
          </w:p>
        </w:tc>
        <w:tc>
          <w:tcPr>
            <w:tcW w:w="4608" w:type="dxa"/>
          </w:tcPr>
          <w:p w14:paraId="4AE5617D" w14:textId="77777777" w:rsidR="00B559D5" w:rsidRPr="00836FE4" w:rsidRDefault="002A525E" w:rsidP="00262DE5">
            <w:pPr>
              <w:rPr>
                <w:color w:val="000000" w:themeColor="text1"/>
                <w:lang w:eastAsia="lv-LV"/>
              </w:rPr>
            </w:pPr>
            <w:r>
              <w:rPr>
                <w:color w:val="000000" w:themeColor="text1"/>
                <w:lang w:eastAsia="lv-LV"/>
              </w:rPr>
              <w:t>Rīkojuma</w:t>
            </w:r>
            <w:r w:rsidRPr="00836FE4">
              <w:rPr>
                <w:color w:val="000000" w:themeColor="text1"/>
                <w:lang w:eastAsia="lv-LV"/>
              </w:rPr>
              <w:t xml:space="preserve"> projekts neradīs jaunas funkcijas. </w:t>
            </w:r>
          </w:p>
          <w:p w14:paraId="5CD9CD3A" w14:textId="77777777" w:rsidR="00B559D5" w:rsidRPr="00836FE4" w:rsidRDefault="00B559D5" w:rsidP="00262DE5">
            <w:pPr>
              <w:rPr>
                <w:color w:val="000000" w:themeColor="text1"/>
                <w:lang w:eastAsia="lv-LV"/>
              </w:rPr>
            </w:pPr>
          </w:p>
          <w:p w14:paraId="2AA31B97" w14:textId="77777777" w:rsidR="00B559D5" w:rsidRPr="00836FE4" w:rsidRDefault="002A525E" w:rsidP="00262DE5">
            <w:pPr>
              <w:pStyle w:val="naisnod"/>
              <w:spacing w:before="0" w:after="0"/>
              <w:ind w:right="57"/>
              <w:jc w:val="both"/>
            </w:pPr>
            <w:r w:rsidRPr="00836FE4">
              <w:rPr>
                <w:b w:val="0"/>
                <w:color w:val="000000" w:themeColor="text1"/>
                <w:lang w:eastAsia="lv-LV"/>
              </w:rPr>
              <w:t xml:space="preserve">Saistībā ar </w:t>
            </w:r>
            <w:r w:rsidR="006D2AE7">
              <w:rPr>
                <w:b w:val="0"/>
                <w:color w:val="000000" w:themeColor="text1"/>
                <w:lang w:eastAsia="lv-LV"/>
              </w:rPr>
              <w:t>rīkojuma</w:t>
            </w:r>
            <w:r w:rsidRPr="00836FE4">
              <w:rPr>
                <w:b w:val="0"/>
                <w:color w:val="000000" w:themeColor="text1"/>
                <w:lang w:eastAsia="lv-LV"/>
              </w:rPr>
              <w:t xml:space="preserve"> projekta izpildi nav nepieciešams veidot jaunas, likvidēt vai reorganizēt esošas institūcijas.</w:t>
            </w:r>
          </w:p>
        </w:tc>
      </w:tr>
      <w:tr w:rsidR="00CC6F38" w14:paraId="3CBE4626" w14:textId="77777777" w:rsidTr="00862572">
        <w:tblPrEx>
          <w:tblCellMar>
            <w:top w:w="28" w:type="dxa"/>
            <w:left w:w="28" w:type="dxa"/>
            <w:bottom w:w="28" w:type="dxa"/>
            <w:right w:w="28" w:type="dxa"/>
          </w:tblCellMar>
        </w:tblPrEx>
        <w:trPr>
          <w:trHeight w:val="476"/>
        </w:trPr>
        <w:tc>
          <w:tcPr>
            <w:tcW w:w="658" w:type="dxa"/>
          </w:tcPr>
          <w:p w14:paraId="40775944" w14:textId="77777777" w:rsidR="00B559D5" w:rsidRPr="00836FE4" w:rsidRDefault="002A525E" w:rsidP="00262DE5">
            <w:pPr>
              <w:pStyle w:val="naiskr"/>
              <w:spacing w:before="0" w:after="0"/>
              <w:ind w:left="57" w:right="57"/>
            </w:pPr>
            <w:r w:rsidRPr="00836FE4">
              <w:t>3.</w:t>
            </w:r>
          </w:p>
        </w:tc>
        <w:tc>
          <w:tcPr>
            <w:tcW w:w="4376" w:type="dxa"/>
          </w:tcPr>
          <w:p w14:paraId="3DA8573A" w14:textId="77777777" w:rsidR="00B559D5" w:rsidRPr="00836FE4" w:rsidRDefault="002A525E" w:rsidP="00262DE5">
            <w:pPr>
              <w:pStyle w:val="naiskr"/>
              <w:spacing w:before="0" w:after="0"/>
              <w:ind w:left="57" w:right="57"/>
            </w:pPr>
            <w:r w:rsidRPr="00836FE4">
              <w:t>Cita informācija</w:t>
            </w:r>
          </w:p>
        </w:tc>
        <w:tc>
          <w:tcPr>
            <w:tcW w:w="4608" w:type="dxa"/>
          </w:tcPr>
          <w:p w14:paraId="7E271785" w14:textId="509F60CA" w:rsidR="00B559D5" w:rsidRPr="00836FE4" w:rsidRDefault="00F67870" w:rsidP="00404896">
            <w:pPr>
              <w:pStyle w:val="naiskr"/>
              <w:spacing w:before="0" w:after="0"/>
              <w:ind w:left="57" w:right="57"/>
            </w:pPr>
            <w:r w:rsidRPr="00F67870">
              <w:t xml:space="preserve">Pašvaldības kā risinājuma izmantotāji </w:t>
            </w:r>
            <w:r>
              <w:t xml:space="preserve">projekta rezultātu </w:t>
            </w:r>
            <w:r w:rsidRPr="00F67870">
              <w:t>uzturēšanā piedal</w:t>
            </w:r>
            <w:r>
              <w:t>īsies</w:t>
            </w:r>
            <w:r w:rsidRPr="00F67870">
              <w:t xml:space="preserve"> arī ar saviem budžeta līdzekļiem</w:t>
            </w:r>
            <w:r>
              <w:t>.</w:t>
            </w:r>
          </w:p>
        </w:tc>
      </w:tr>
    </w:tbl>
    <w:p w14:paraId="6A95EAF5" w14:textId="77777777" w:rsidR="00B559D5" w:rsidRPr="00836FE4" w:rsidRDefault="00B559D5" w:rsidP="00B559D5">
      <w:pPr>
        <w:ind w:left="-426"/>
        <w:jc w:val="both"/>
        <w:rPr>
          <w:highlight w:val="yellow"/>
        </w:rPr>
      </w:pPr>
    </w:p>
    <w:p w14:paraId="146399F7" w14:textId="2DF0032C" w:rsidR="006E119D" w:rsidRPr="00373B96" w:rsidRDefault="00136660" w:rsidP="006E119D">
      <w:pPr>
        <w:numPr>
          <w:ilvl w:val="0"/>
          <w:numId w:val="3"/>
        </w:numPr>
        <w:suppressAutoHyphens w:val="0"/>
        <w:rPr>
          <w:bCs/>
        </w:rPr>
      </w:pPr>
      <w:r w:rsidRPr="00373B96">
        <w:rPr>
          <w:bCs/>
        </w:rPr>
        <w:t>Vides aizsardzības un reģionālās attīstības ministrs</w:t>
      </w:r>
      <w:r w:rsidR="002A525E" w:rsidRPr="00373B96">
        <w:rPr>
          <w:bCs/>
        </w:rPr>
        <w:tab/>
      </w:r>
      <w:r w:rsidR="002A525E" w:rsidRPr="00373B96">
        <w:rPr>
          <w:bCs/>
        </w:rPr>
        <w:tab/>
      </w:r>
      <w:r w:rsidR="002A525E" w:rsidRPr="00373B96">
        <w:rPr>
          <w:bCs/>
        </w:rPr>
        <w:tab/>
      </w:r>
      <w:r w:rsidR="002A525E" w:rsidRPr="00373B96">
        <w:rPr>
          <w:bCs/>
        </w:rPr>
        <w:tab/>
      </w:r>
      <w:r w:rsidR="00C414F5" w:rsidRPr="00373B96">
        <w:rPr>
          <w:bCs/>
        </w:rPr>
        <w:t xml:space="preserve"> </w:t>
      </w:r>
      <w:proofErr w:type="spellStart"/>
      <w:r w:rsidR="00C414F5" w:rsidRPr="00B1313A">
        <w:rPr>
          <w:rStyle w:val="name"/>
          <w:bCs/>
          <w:color w:val="000000"/>
        </w:rPr>
        <w:t>K.Gerhards</w:t>
      </w:r>
      <w:proofErr w:type="spellEnd"/>
      <w:r w:rsidR="00C414F5" w:rsidRPr="00C414F5" w:rsidDel="00C414F5">
        <w:rPr>
          <w:rStyle w:val="name"/>
          <w:bCs/>
          <w:color w:val="000000"/>
        </w:rPr>
        <w:t xml:space="preserve"> </w:t>
      </w:r>
    </w:p>
    <w:p w14:paraId="4C164DDB" w14:textId="77777777" w:rsidR="00B559D5" w:rsidRPr="00836FE4" w:rsidRDefault="00B559D5" w:rsidP="00B559D5">
      <w:pPr>
        <w:rPr>
          <w:sz w:val="28"/>
          <w:szCs w:val="28"/>
        </w:rPr>
      </w:pPr>
    </w:p>
    <w:p w14:paraId="52640518" w14:textId="77777777" w:rsidR="006519E4" w:rsidRDefault="006519E4" w:rsidP="00B559D5">
      <w:pPr>
        <w:ind w:left="-426"/>
      </w:pPr>
    </w:p>
    <w:p w14:paraId="63AE59B2" w14:textId="77777777" w:rsidR="00972F1E" w:rsidRPr="00836FE4" w:rsidRDefault="00972F1E" w:rsidP="00B559D5">
      <w:pPr>
        <w:ind w:left="-426"/>
      </w:pPr>
    </w:p>
    <w:p w14:paraId="29A53668" w14:textId="7E6103D5" w:rsidR="00972F1E" w:rsidRDefault="00972F1E" w:rsidP="007A7F81">
      <w:pPr>
        <w:rPr>
          <w:sz w:val="20"/>
          <w:szCs w:val="20"/>
        </w:rPr>
      </w:pPr>
      <w:r>
        <w:rPr>
          <w:sz w:val="20"/>
          <w:szCs w:val="20"/>
        </w:rPr>
        <w:t>Kalniņa 67026576</w:t>
      </w:r>
    </w:p>
    <w:p w14:paraId="2DA7186E" w14:textId="0094B347" w:rsidR="00972F1E" w:rsidRDefault="007408C9" w:rsidP="007A7F81">
      <w:pPr>
        <w:rPr>
          <w:sz w:val="20"/>
          <w:szCs w:val="20"/>
        </w:rPr>
      </w:pPr>
      <w:hyperlink r:id="rId10" w:history="1">
        <w:r w:rsidR="00972F1E" w:rsidRPr="00353F38">
          <w:rPr>
            <w:rStyle w:val="Hyperlink"/>
            <w:sz w:val="20"/>
            <w:szCs w:val="20"/>
          </w:rPr>
          <w:t>lelda.kalnina@varam.gov.lv</w:t>
        </w:r>
      </w:hyperlink>
    </w:p>
    <w:p w14:paraId="62245B15" w14:textId="3040A038" w:rsidR="007A7F81" w:rsidRPr="00836FE4" w:rsidRDefault="00A64FB8" w:rsidP="007A7F81">
      <w:pPr>
        <w:rPr>
          <w:sz w:val="20"/>
          <w:szCs w:val="20"/>
        </w:rPr>
      </w:pPr>
      <w:r>
        <w:rPr>
          <w:sz w:val="20"/>
          <w:szCs w:val="20"/>
        </w:rPr>
        <w:t>Andžāne</w:t>
      </w:r>
      <w:r w:rsidR="002A525E" w:rsidRPr="00836FE4">
        <w:rPr>
          <w:sz w:val="20"/>
          <w:szCs w:val="20"/>
        </w:rPr>
        <w:t xml:space="preserve"> 67</w:t>
      </w:r>
      <w:r w:rsidR="006D1DBB">
        <w:rPr>
          <w:sz w:val="20"/>
          <w:szCs w:val="20"/>
        </w:rPr>
        <w:t>026</w:t>
      </w:r>
      <w:r>
        <w:rPr>
          <w:sz w:val="20"/>
          <w:szCs w:val="20"/>
        </w:rPr>
        <w:t>935</w:t>
      </w:r>
      <w:r w:rsidR="002A525E" w:rsidRPr="00836FE4">
        <w:rPr>
          <w:sz w:val="20"/>
          <w:szCs w:val="20"/>
        </w:rPr>
        <w:t>,</w:t>
      </w:r>
    </w:p>
    <w:p w14:paraId="27C72E04" w14:textId="06DA5249" w:rsidR="007A7F81" w:rsidRPr="00836FE4" w:rsidRDefault="007408C9" w:rsidP="007A7F81">
      <w:pPr>
        <w:jc w:val="both"/>
        <w:outlineLvl w:val="0"/>
        <w:rPr>
          <w:rStyle w:val="Hyperlink"/>
        </w:rPr>
      </w:pPr>
      <w:hyperlink r:id="rId11" w:history="1">
        <w:r w:rsidR="00A64FB8" w:rsidRPr="003F3879">
          <w:rPr>
            <w:rStyle w:val="Hyperlink"/>
            <w:sz w:val="20"/>
            <w:szCs w:val="20"/>
          </w:rPr>
          <w:t>diana.andzane@varam.gov.lv</w:t>
        </w:r>
      </w:hyperlink>
    </w:p>
    <w:sectPr w:rsidR="007A7F81" w:rsidRPr="00836FE4" w:rsidSect="00CE7475">
      <w:headerReference w:type="even" r:id="rId12"/>
      <w:headerReference w:type="default" r:id="rId13"/>
      <w:footerReference w:type="even" r:id="rId14"/>
      <w:footerReference w:type="default" r:id="rId15"/>
      <w:headerReference w:type="first" r:id="rId16"/>
      <w:footerReference w:type="first" r:id="rId17"/>
      <w:pgSz w:w="11906" w:h="16838"/>
      <w:pgMar w:top="1276" w:right="1276" w:bottom="1418"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8A3281" w14:textId="77777777" w:rsidR="00D17A2D" w:rsidRDefault="00D17A2D">
      <w:r>
        <w:separator/>
      </w:r>
    </w:p>
  </w:endnote>
  <w:endnote w:type="continuationSeparator" w:id="0">
    <w:p w14:paraId="0655FB3C" w14:textId="77777777" w:rsidR="00D17A2D" w:rsidRDefault="00D17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69FFE" w14:textId="77777777" w:rsidR="005302E2" w:rsidRDefault="005302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1CA51" w14:textId="77777777" w:rsidR="00D17A2D" w:rsidRPr="005302E2" w:rsidRDefault="00D17A2D" w:rsidP="006E119D">
    <w:pPr>
      <w:pStyle w:val="Footer"/>
      <w:jc w:val="both"/>
      <w:rPr>
        <w:noProof/>
        <w:sz w:val="20"/>
        <w:szCs w:val="20"/>
      </w:rPr>
    </w:pPr>
    <w:r w:rsidRPr="005302E2">
      <w:rPr>
        <w:noProof/>
        <w:sz w:val="20"/>
        <w:szCs w:val="20"/>
      </w:rPr>
      <w:t>VARAMAnot_MA 44.0</w:t>
    </w:r>
    <w:r w:rsidRPr="005302E2">
      <w:rPr>
        <w:noProof/>
        <w:sz w:val="20"/>
        <w:szCs w:val="20"/>
      </w:rPr>
      <w:fldChar w:fldCharType="begin"/>
    </w:r>
    <w:r w:rsidRPr="005302E2">
      <w:rPr>
        <w:noProof/>
        <w:sz w:val="20"/>
        <w:szCs w:val="20"/>
      </w:rPr>
      <w:instrText xml:space="preserve"> FILENAME  \* MERGEFORMAT </w:instrText>
    </w:r>
    <w:r w:rsidRPr="005302E2">
      <w:rPr>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924D2" w14:textId="042C52F7" w:rsidR="00D17A2D" w:rsidRPr="005302E2" w:rsidRDefault="005302E2" w:rsidP="006E119D">
    <w:pPr>
      <w:pStyle w:val="Footer"/>
      <w:jc w:val="both"/>
      <w:rPr>
        <w:sz w:val="20"/>
        <w:szCs w:val="20"/>
      </w:rPr>
    </w:pPr>
    <w:r w:rsidRPr="005302E2">
      <w:rPr>
        <w:noProof/>
        <w:sz w:val="20"/>
        <w:szCs w:val="20"/>
      </w:rPr>
      <w:t>VARAMAnot_MA 44.0</w:t>
    </w:r>
    <w:r w:rsidR="00D17A2D" w:rsidRPr="005302E2">
      <w:rPr>
        <w:sz w:val="20"/>
        <w:szCs w:val="20"/>
      </w:rPr>
      <w:fldChar w:fldCharType="begin"/>
    </w:r>
    <w:r w:rsidR="00D17A2D" w:rsidRPr="005302E2">
      <w:rPr>
        <w:sz w:val="20"/>
        <w:szCs w:val="20"/>
      </w:rPr>
      <w:instrText xml:space="preserve"> FILENAME  \* MERGEFORMAT </w:instrText>
    </w:r>
    <w:r w:rsidR="00D17A2D" w:rsidRPr="005302E2">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46E21" w14:textId="77777777" w:rsidR="00D17A2D" w:rsidRDefault="00D17A2D">
      <w:r>
        <w:separator/>
      </w:r>
    </w:p>
  </w:footnote>
  <w:footnote w:type="continuationSeparator" w:id="0">
    <w:p w14:paraId="385299A7" w14:textId="77777777" w:rsidR="00D17A2D" w:rsidRDefault="00D17A2D">
      <w:r>
        <w:continuationSeparator/>
      </w:r>
    </w:p>
  </w:footnote>
  <w:footnote w:id="1">
    <w:p w14:paraId="2B5718AB" w14:textId="77777777" w:rsidR="00D17A2D" w:rsidRDefault="00D17A2D" w:rsidP="00F405F5">
      <w:pPr>
        <w:pStyle w:val="FootnoteText"/>
      </w:pPr>
      <w:r>
        <w:rPr>
          <w:rStyle w:val="FootnoteReference"/>
        </w:rPr>
        <w:footnoteRef/>
      </w:r>
      <w:r>
        <w:t xml:space="preserve"> </w:t>
      </w:r>
      <w:hyperlink r:id="rId1" w:history="1">
        <w:r>
          <w:rPr>
            <w:rStyle w:val="Hyperlink"/>
          </w:rPr>
          <w:t>http://tap.mk.gov.lv/doc/2018_04/VARAMinfozin_Atviegl_060318.463.docx</w:t>
        </w:r>
      </w:hyperlink>
    </w:p>
  </w:footnote>
  <w:footnote w:id="2">
    <w:p w14:paraId="475A2B84" w14:textId="77777777" w:rsidR="00D17A2D" w:rsidRDefault="00D17A2D" w:rsidP="00F405F5">
      <w:pPr>
        <w:pStyle w:val="FootnoteText"/>
      </w:pPr>
      <w:r>
        <w:rPr>
          <w:rStyle w:val="FootnoteReference"/>
        </w:rPr>
        <w:footnoteRef/>
      </w:r>
      <w:r>
        <w:t xml:space="preserve"> </w:t>
      </w:r>
      <w:hyperlink r:id="rId2" w:history="1">
        <w:r w:rsidRPr="00E359B1">
          <w:rPr>
            <w:rStyle w:val="Hyperlink"/>
          </w:rPr>
          <w:t>https://likumi.lv/doc.php?id=298100</w:t>
        </w:r>
      </w:hyperlink>
      <w:r>
        <w:t xml:space="preserve"> (TA-463)</w:t>
      </w:r>
    </w:p>
  </w:footnote>
  <w:footnote w:id="3">
    <w:p w14:paraId="69444729" w14:textId="77777777" w:rsidR="00D17A2D" w:rsidRDefault="00D17A2D" w:rsidP="00F405F5">
      <w:pPr>
        <w:pStyle w:val="FootnoteText"/>
      </w:pPr>
      <w:r>
        <w:rPr>
          <w:rStyle w:val="FootnoteReference"/>
        </w:rPr>
        <w:footnoteRef/>
      </w:r>
      <w:r>
        <w:t xml:space="preserve"> </w:t>
      </w:r>
      <w:hyperlink r:id="rId3" w:history="1">
        <w:r>
          <w:rPr>
            <w:rStyle w:val="Hyperlink"/>
          </w:rPr>
          <w:t>http://tap.mk.gov.lv/doc/2018_04/VARAMinfozin_Atviegl_060318.463.docx</w:t>
        </w:r>
      </w:hyperlink>
    </w:p>
  </w:footnote>
  <w:footnote w:id="4">
    <w:p w14:paraId="7B6AD26C" w14:textId="77777777" w:rsidR="00D17A2D" w:rsidRDefault="00D17A2D" w:rsidP="00F405F5">
      <w:pPr>
        <w:pStyle w:val="FootnoteText"/>
      </w:pPr>
      <w:r>
        <w:rPr>
          <w:rStyle w:val="FootnoteReference"/>
        </w:rPr>
        <w:footnoteRef/>
      </w:r>
      <w:r>
        <w:t xml:space="preserve"> VARAM </w:t>
      </w:r>
      <w:hyperlink r:id="rId4" w:history="1">
        <w:r w:rsidRPr="00A33BD6">
          <w:rPr>
            <w:rStyle w:val="Hyperlink"/>
          </w:rPr>
          <w:t>Informatīvais ziņojums "Par publiskās pārvaldes informācijas sistēmu konceptuālo arhitektūru"</w:t>
        </w:r>
      </w:hyperlink>
      <w:r>
        <w:t xml:space="preserve"> (VSS-1008, TA-238, 10.03.2015)</w:t>
      </w:r>
    </w:p>
  </w:footnote>
  <w:footnote w:id="5">
    <w:p w14:paraId="3AC8B8F3" w14:textId="77777777" w:rsidR="00D17A2D" w:rsidRDefault="00D17A2D" w:rsidP="00F405F5">
      <w:pPr>
        <w:pStyle w:val="FootnoteText"/>
      </w:pPr>
      <w:r>
        <w:rPr>
          <w:rStyle w:val="FootnoteReference"/>
        </w:rPr>
        <w:footnoteRef/>
      </w:r>
      <w:r>
        <w:t xml:space="preserve"> </w:t>
      </w:r>
      <w:hyperlink r:id="rId5" w:history="1">
        <w:r w:rsidRPr="00A33BD6">
          <w:rPr>
            <w:rStyle w:val="Hyperlink"/>
          </w:rPr>
          <w:t>http://www.varam.gov.lv/lat/publ/petijumi/pet_Eparv/?doc=14321</w:t>
        </w:r>
      </w:hyperlink>
    </w:p>
  </w:footnote>
  <w:footnote w:id="6">
    <w:p w14:paraId="416C2389" w14:textId="0D50FE2D" w:rsidR="00D17A2D" w:rsidRDefault="00D17A2D" w:rsidP="00F405F5">
      <w:pPr>
        <w:pStyle w:val="FootnoteText"/>
      </w:pPr>
      <w:r>
        <w:rPr>
          <w:rStyle w:val="FootnoteReference"/>
        </w:rPr>
        <w:footnoteRef/>
      </w:r>
      <w:r>
        <w:t xml:space="preserve"> </w:t>
      </w:r>
      <w:r w:rsidRPr="00D17A2D">
        <w:t xml:space="preserve"> </w:t>
      </w:r>
      <w:r>
        <w:rPr>
          <w:rStyle w:val="Hyperlink"/>
        </w:rPr>
        <w:t>Eiropas Parlamenta</w:t>
      </w:r>
      <w:r w:rsidRPr="00D17A2D">
        <w:rPr>
          <w:rStyle w:val="Hyperlink"/>
        </w:rPr>
        <w:t xml:space="preserve"> </w:t>
      </w:r>
      <w:r>
        <w:rPr>
          <w:rStyle w:val="Hyperlink"/>
        </w:rPr>
        <w:t>un</w:t>
      </w:r>
      <w:r w:rsidRPr="00D17A2D">
        <w:rPr>
          <w:rStyle w:val="Hyperlink"/>
        </w:rPr>
        <w:t xml:space="preserve"> </w:t>
      </w:r>
      <w:r>
        <w:rPr>
          <w:rStyle w:val="Hyperlink"/>
        </w:rPr>
        <w:t>Padomes regula</w:t>
      </w:r>
      <w:r w:rsidRPr="00D17A2D">
        <w:rPr>
          <w:rStyle w:val="Hyperlink"/>
        </w:rPr>
        <w:t xml:space="preserve"> (ES) 2016/679</w:t>
      </w:r>
      <w:r>
        <w:rPr>
          <w:rStyle w:val="Hyperlink"/>
        </w:rPr>
        <w:t xml:space="preserve"> </w:t>
      </w:r>
      <w:r w:rsidRPr="00D17A2D">
        <w:rPr>
          <w:rStyle w:val="Hyperlink"/>
        </w:rPr>
        <w:t>(2016. gada 27. aprīlis)</w:t>
      </w:r>
      <w:r>
        <w:rPr>
          <w:rStyle w:val="Hyperlink"/>
        </w:rPr>
        <w:t xml:space="preserve"> </w:t>
      </w:r>
      <w:r w:rsidRPr="00D17A2D">
        <w:rPr>
          <w:rStyle w:val="Hyperlink"/>
        </w:rPr>
        <w:t>par fizisku personu aizsardzību attiecībā uz personas datu apstrādi un šādu datu brīvu apriti un ar ko atceļ Direktīvu 95/46/EK (Vispārīgā datu aizsardzības regula)</w:t>
      </w:r>
    </w:p>
  </w:footnote>
  <w:footnote w:id="7">
    <w:p w14:paraId="6C9C0FC4" w14:textId="77777777" w:rsidR="00D17A2D" w:rsidRDefault="00D17A2D" w:rsidP="00F405F5">
      <w:pPr>
        <w:pStyle w:val="FootnoteText"/>
      </w:pPr>
      <w:r>
        <w:rPr>
          <w:rStyle w:val="FootnoteReference"/>
        </w:rPr>
        <w:footnoteRef/>
      </w:r>
      <w:r>
        <w:t xml:space="preserve"> </w:t>
      </w:r>
      <w:hyperlink r:id="rId6" w:history="1">
        <w:r w:rsidRPr="001603AE">
          <w:rPr>
            <w:rStyle w:val="Hyperlink"/>
          </w:rPr>
          <w:t>http://www.varam.gov.lv/lat/publ/petijumi/pet_Eparv/?doc=14321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7A059" w14:textId="77777777" w:rsidR="005302E2" w:rsidRDefault="005302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6BE23" w14:textId="77777777" w:rsidR="00D17A2D" w:rsidRDefault="00D17A2D">
    <w:pPr>
      <w:pStyle w:val="Header"/>
      <w:jc w:val="center"/>
    </w:pPr>
    <w:r>
      <w:fldChar w:fldCharType="begin"/>
    </w:r>
    <w:r>
      <w:instrText xml:space="preserve"> PAGE </w:instrText>
    </w:r>
    <w:r>
      <w:fldChar w:fldCharType="separate"/>
    </w:r>
    <w:r w:rsidR="007408C9">
      <w:rPr>
        <w:noProof/>
      </w:rPr>
      <w:t>12</w:t>
    </w:r>
    <w:r>
      <w:rPr>
        <w:noProof/>
      </w:rPr>
      <w:fldChar w:fldCharType="end"/>
    </w:r>
  </w:p>
  <w:p w14:paraId="2DC90E25" w14:textId="77777777" w:rsidR="00D17A2D" w:rsidRDefault="00D17A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4D286" w14:textId="77777777" w:rsidR="005302E2" w:rsidRPr="005302E2" w:rsidRDefault="005302E2">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1">
    <w:nsid w:val="00000005"/>
    <w:multiLevelType w:val="singleLevel"/>
    <w:tmpl w:val="00000005"/>
    <w:name w:val="WW8Num14"/>
    <w:lvl w:ilvl="0">
      <w:start w:val="1"/>
      <w:numFmt w:val="decimal"/>
      <w:lvlText w:val="%1)"/>
      <w:lvlJc w:val="left"/>
      <w:pPr>
        <w:tabs>
          <w:tab w:val="num" w:pos="0"/>
        </w:tabs>
        <w:ind w:left="360" w:hanging="360"/>
      </w:pPr>
    </w:lvl>
  </w:abstractNum>
  <w:abstractNum w:abstractNumId="2" w15:restartNumberingAfterBreak="0">
    <w:nsid w:val="11575F5A"/>
    <w:multiLevelType w:val="hybridMultilevel"/>
    <w:tmpl w:val="9EF6BB3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140948EA"/>
    <w:multiLevelType w:val="hybridMultilevel"/>
    <w:tmpl w:val="DCB0CA14"/>
    <w:lvl w:ilvl="0" w:tplc="6A1AF168">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4" w15:restartNumberingAfterBreak="0">
    <w:nsid w:val="15965DAD"/>
    <w:multiLevelType w:val="hybridMultilevel"/>
    <w:tmpl w:val="FF0ADF2A"/>
    <w:lvl w:ilvl="0" w:tplc="04260003">
      <w:start w:val="1"/>
      <w:numFmt w:val="bullet"/>
      <w:lvlText w:val="o"/>
      <w:lvlJc w:val="left"/>
      <w:pPr>
        <w:ind w:left="360" w:hanging="360"/>
      </w:pPr>
      <w:rPr>
        <w:rFonts w:ascii="Courier New" w:hAnsi="Courier New" w:cs="Courier New"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21AF6A8D"/>
    <w:multiLevelType w:val="hybridMultilevel"/>
    <w:tmpl w:val="C7D0ED60"/>
    <w:lvl w:ilvl="0" w:tplc="04260003">
      <w:start w:val="1"/>
      <w:numFmt w:val="bullet"/>
      <w:lvlText w:val="o"/>
      <w:lvlJc w:val="left"/>
      <w:pPr>
        <w:ind w:left="2520" w:hanging="360"/>
      </w:pPr>
      <w:rPr>
        <w:rFonts w:ascii="Courier New" w:hAnsi="Courier New" w:cs="Courier New" w:hint="default"/>
      </w:rPr>
    </w:lvl>
    <w:lvl w:ilvl="1" w:tplc="04260003" w:tentative="1">
      <w:start w:val="1"/>
      <w:numFmt w:val="bullet"/>
      <w:lvlText w:val="o"/>
      <w:lvlJc w:val="left"/>
      <w:pPr>
        <w:ind w:left="3240" w:hanging="360"/>
      </w:pPr>
      <w:rPr>
        <w:rFonts w:ascii="Courier New" w:hAnsi="Courier New" w:cs="Courier New" w:hint="default"/>
      </w:rPr>
    </w:lvl>
    <w:lvl w:ilvl="2" w:tplc="04260005">
      <w:start w:val="1"/>
      <w:numFmt w:val="bullet"/>
      <w:lvlText w:val=""/>
      <w:lvlJc w:val="left"/>
      <w:pPr>
        <w:ind w:left="3960" w:hanging="360"/>
      </w:pPr>
      <w:rPr>
        <w:rFonts w:ascii="Wingdings" w:hAnsi="Wingdings" w:hint="default"/>
      </w:rPr>
    </w:lvl>
    <w:lvl w:ilvl="3" w:tplc="04260001" w:tentative="1">
      <w:start w:val="1"/>
      <w:numFmt w:val="bullet"/>
      <w:lvlText w:val=""/>
      <w:lvlJc w:val="left"/>
      <w:pPr>
        <w:ind w:left="4680" w:hanging="360"/>
      </w:pPr>
      <w:rPr>
        <w:rFonts w:ascii="Symbol" w:hAnsi="Symbol" w:hint="default"/>
      </w:rPr>
    </w:lvl>
    <w:lvl w:ilvl="4" w:tplc="04260003" w:tentative="1">
      <w:start w:val="1"/>
      <w:numFmt w:val="bullet"/>
      <w:lvlText w:val="o"/>
      <w:lvlJc w:val="left"/>
      <w:pPr>
        <w:ind w:left="5400" w:hanging="360"/>
      </w:pPr>
      <w:rPr>
        <w:rFonts w:ascii="Courier New" w:hAnsi="Courier New" w:cs="Courier New" w:hint="default"/>
      </w:rPr>
    </w:lvl>
    <w:lvl w:ilvl="5" w:tplc="04260005" w:tentative="1">
      <w:start w:val="1"/>
      <w:numFmt w:val="bullet"/>
      <w:lvlText w:val=""/>
      <w:lvlJc w:val="left"/>
      <w:pPr>
        <w:ind w:left="6120" w:hanging="360"/>
      </w:pPr>
      <w:rPr>
        <w:rFonts w:ascii="Wingdings" w:hAnsi="Wingdings" w:hint="default"/>
      </w:rPr>
    </w:lvl>
    <w:lvl w:ilvl="6" w:tplc="04260001" w:tentative="1">
      <w:start w:val="1"/>
      <w:numFmt w:val="bullet"/>
      <w:lvlText w:val=""/>
      <w:lvlJc w:val="left"/>
      <w:pPr>
        <w:ind w:left="6840" w:hanging="360"/>
      </w:pPr>
      <w:rPr>
        <w:rFonts w:ascii="Symbol" w:hAnsi="Symbol" w:hint="default"/>
      </w:rPr>
    </w:lvl>
    <w:lvl w:ilvl="7" w:tplc="04260003" w:tentative="1">
      <w:start w:val="1"/>
      <w:numFmt w:val="bullet"/>
      <w:lvlText w:val="o"/>
      <w:lvlJc w:val="left"/>
      <w:pPr>
        <w:ind w:left="7560" w:hanging="360"/>
      </w:pPr>
      <w:rPr>
        <w:rFonts w:ascii="Courier New" w:hAnsi="Courier New" w:cs="Courier New" w:hint="default"/>
      </w:rPr>
    </w:lvl>
    <w:lvl w:ilvl="8" w:tplc="04260005" w:tentative="1">
      <w:start w:val="1"/>
      <w:numFmt w:val="bullet"/>
      <w:lvlText w:val=""/>
      <w:lvlJc w:val="left"/>
      <w:pPr>
        <w:ind w:left="8280" w:hanging="360"/>
      </w:pPr>
      <w:rPr>
        <w:rFonts w:ascii="Wingdings" w:hAnsi="Wingdings" w:hint="default"/>
      </w:rPr>
    </w:lvl>
  </w:abstractNum>
  <w:abstractNum w:abstractNumId="6" w15:restartNumberingAfterBreak="0">
    <w:nsid w:val="2E7B71B7"/>
    <w:multiLevelType w:val="hybridMultilevel"/>
    <w:tmpl w:val="7BBAF602"/>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327A4258"/>
    <w:multiLevelType w:val="hybridMultilevel"/>
    <w:tmpl w:val="C33C8FCA"/>
    <w:lvl w:ilvl="0" w:tplc="EC8EC276">
      <w:start w:val="1"/>
      <w:numFmt w:val="decimal"/>
      <w:lvlText w:val="%1."/>
      <w:lvlJc w:val="left"/>
      <w:pPr>
        <w:ind w:left="502" w:hanging="431"/>
      </w:pPr>
      <w:rPr>
        <w:rFonts w:hint="default"/>
      </w:rPr>
    </w:lvl>
    <w:lvl w:ilvl="1" w:tplc="04260019">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8" w15:restartNumberingAfterBreak="1">
    <w:nsid w:val="36D83434"/>
    <w:multiLevelType w:val="hybridMultilevel"/>
    <w:tmpl w:val="E9E831E2"/>
    <w:lvl w:ilvl="0" w:tplc="6B3412F8">
      <w:start w:val="1"/>
      <w:numFmt w:val="decimal"/>
      <w:lvlText w:val="%1)"/>
      <w:lvlJc w:val="left"/>
      <w:pPr>
        <w:ind w:left="720" w:hanging="360"/>
      </w:pPr>
      <w:rPr>
        <w:rFonts w:hint="default"/>
      </w:rPr>
    </w:lvl>
    <w:lvl w:ilvl="1" w:tplc="3390A542" w:tentative="1">
      <w:start w:val="1"/>
      <w:numFmt w:val="lowerLetter"/>
      <w:lvlText w:val="%2."/>
      <w:lvlJc w:val="left"/>
      <w:pPr>
        <w:ind w:left="1440" w:hanging="360"/>
      </w:pPr>
    </w:lvl>
    <w:lvl w:ilvl="2" w:tplc="46E412DE" w:tentative="1">
      <w:start w:val="1"/>
      <w:numFmt w:val="lowerRoman"/>
      <w:lvlText w:val="%3."/>
      <w:lvlJc w:val="right"/>
      <w:pPr>
        <w:ind w:left="2160" w:hanging="180"/>
      </w:pPr>
    </w:lvl>
    <w:lvl w:ilvl="3" w:tplc="2A4CEFE0" w:tentative="1">
      <w:start w:val="1"/>
      <w:numFmt w:val="decimal"/>
      <w:lvlText w:val="%4."/>
      <w:lvlJc w:val="left"/>
      <w:pPr>
        <w:ind w:left="2880" w:hanging="360"/>
      </w:pPr>
    </w:lvl>
    <w:lvl w:ilvl="4" w:tplc="05EEF6BA" w:tentative="1">
      <w:start w:val="1"/>
      <w:numFmt w:val="lowerLetter"/>
      <w:lvlText w:val="%5."/>
      <w:lvlJc w:val="left"/>
      <w:pPr>
        <w:ind w:left="3600" w:hanging="360"/>
      </w:pPr>
    </w:lvl>
    <w:lvl w:ilvl="5" w:tplc="010EBB34" w:tentative="1">
      <w:start w:val="1"/>
      <w:numFmt w:val="lowerRoman"/>
      <w:lvlText w:val="%6."/>
      <w:lvlJc w:val="right"/>
      <w:pPr>
        <w:ind w:left="4320" w:hanging="180"/>
      </w:pPr>
    </w:lvl>
    <w:lvl w:ilvl="6" w:tplc="6ECCEFDC" w:tentative="1">
      <w:start w:val="1"/>
      <w:numFmt w:val="decimal"/>
      <w:lvlText w:val="%7."/>
      <w:lvlJc w:val="left"/>
      <w:pPr>
        <w:ind w:left="5040" w:hanging="360"/>
      </w:pPr>
    </w:lvl>
    <w:lvl w:ilvl="7" w:tplc="8A0427B4" w:tentative="1">
      <w:start w:val="1"/>
      <w:numFmt w:val="lowerLetter"/>
      <w:lvlText w:val="%8."/>
      <w:lvlJc w:val="left"/>
      <w:pPr>
        <w:ind w:left="5760" w:hanging="360"/>
      </w:pPr>
    </w:lvl>
    <w:lvl w:ilvl="8" w:tplc="AC5A9A06" w:tentative="1">
      <w:start w:val="1"/>
      <w:numFmt w:val="lowerRoman"/>
      <w:lvlText w:val="%9."/>
      <w:lvlJc w:val="right"/>
      <w:pPr>
        <w:ind w:left="6480" w:hanging="180"/>
      </w:pPr>
    </w:lvl>
  </w:abstractNum>
  <w:abstractNum w:abstractNumId="9" w15:restartNumberingAfterBreak="0">
    <w:nsid w:val="4100628E"/>
    <w:multiLevelType w:val="hybridMultilevel"/>
    <w:tmpl w:val="3F0C27A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4D307E47"/>
    <w:multiLevelType w:val="hybridMultilevel"/>
    <w:tmpl w:val="FD4262E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76B609E"/>
    <w:multiLevelType w:val="hybridMultilevel"/>
    <w:tmpl w:val="0B40FBB4"/>
    <w:lvl w:ilvl="0" w:tplc="BF6C30B6">
      <w:numFmt w:val="bullet"/>
      <w:lvlText w:val="-"/>
      <w:lvlJc w:val="left"/>
      <w:pPr>
        <w:ind w:left="720" w:hanging="720"/>
      </w:pPr>
      <w:rPr>
        <w:rFonts w:ascii="Times New Roman" w:eastAsia="Times New Roman" w:hAnsi="Times New Roman"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2" w15:restartNumberingAfterBreak="0">
    <w:nsid w:val="5885300B"/>
    <w:multiLevelType w:val="hybridMultilevel"/>
    <w:tmpl w:val="BD7CE848"/>
    <w:lvl w:ilvl="0" w:tplc="0426000F">
      <w:start w:val="1"/>
      <w:numFmt w:val="decimal"/>
      <w:lvlText w:val="%1."/>
      <w:lvlJc w:val="left"/>
      <w:pPr>
        <w:ind w:left="791" w:hanging="360"/>
      </w:pPr>
    </w:lvl>
    <w:lvl w:ilvl="1" w:tplc="04260019" w:tentative="1">
      <w:start w:val="1"/>
      <w:numFmt w:val="lowerLetter"/>
      <w:lvlText w:val="%2."/>
      <w:lvlJc w:val="left"/>
      <w:pPr>
        <w:ind w:left="1511" w:hanging="360"/>
      </w:pPr>
    </w:lvl>
    <w:lvl w:ilvl="2" w:tplc="0426001B" w:tentative="1">
      <w:start w:val="1"/>
      <w:numFmt w:val="lowerRoman"/>
      <w:lvlText w:val="%3."/>
      <w:lvlJc w:val="right"/>
      <w:pPr>
        <w:ind w:left="2231" w:hanging="180"/>
      </w:pPr>
    </w:lvl>
    <w:lvl w:ilvl="3" w:tplc="0426000F" w:tentative="1">
      <w:start w:val="1"/>
      <w:numFmt w:val="decimal"/>
      <w:lvlText w:val="%4."/>
      <w:lvlJc w:val="left"/>
      <w:pPr>
        <w:ind w:left="2951" w:hanging="360"/>
      </w:pPr>
    </w:lvl>
    <w:lvl w:ilvl="4" w:tplc="04260019" w:tentative="1">
      <w:start w:val="1"/>
      <w:numFmt w:val="lowerLetter"/>
      <w:lvlText w:val="%5."/>
      <w:lvlJc w:val="left"/>
      <w:pPr>
        <w:ind w:left="3671" w:hanging="360"/>
      </w:pPr>
    </w:lvl>
    <w:lvl w:ilvl="5" w:tplc="0426001B" w:tentative="1">
      <w:start w:val="1"/>
      <w:numFmt w:val="lowerRoman"/>
      <w:lvlText w:val="%6."/>
      <w:lvlJc w:val="right"/>
      <w:pPr>
        <w:ind w:left="4391" w:hanging="180"/>
      </w:pPr>
    </w:lvl>
    <w:lvl w:ilvl="6" w:tplc="0426000F" w:tentative="1">
      <w:start w:val="1"/>
      <w:numFmt w:val="decimal"/>
      <w:lvlText w:val="%7."/>
      <w:lvlJc w:val="left"/>
      <w:pPr>
        <w:ind w:left="5111" w:hanging="360"/>
      </w:pPr>
    </w:lvl>
    <w:lvl w:ilvl="7" w:tplc="04260019" w:tentative="1">
      <w:start w:val="1"/>
      <w:numFmt w:val="lowerLetter"/>
      <w:lvlText w:val="%8."/>
      <w:lvlJc w:val="left"/>
      <w:pPr>
        <w:ind w:left="5831" w:hanging="360"/>
      </w:pPr>
    </w:lvl>
    <w:lvl w:ilvl="8" w:tplc="0426001B" w:tentative="1">
      <w:start w:val="1"/>
      <w:numFmt w:val="lowerRoman"/>
      <w:lvlText w:val="%9."/>
      <w:lvlJc w:val="right"/>
      <w:pPr>
        <w:ind w:left="6551" w:hanging="180"/>
      </w:pPr>
    </w:lvl>
  </w:abstractNum>
  <w:abstractNum w:abstractNumId="13" w15:restartNumberingAfterBreak="0">
    <w:nsid w:val="69DA27D2"/>
    <w:multiLevelType w:val="hybridMultilevel"/>
    <w:tmpl w:val="5D969E0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D8005E4"/>
    <w:multiLevelType w:val="hybridMultilevel"/>
    <w:tmpl w:val="748A6D2E"/>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6E19727C"/>
    <w:multiLevelType w:val="hybridMultilevel"/>
    <w:tmpl w:val="89FACA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E2132DB"/>
    <w:multiLevelType w:val="hybridMultilevel"/>
    <w:tmpl w:val="3BD6FD82"/>
    <w:lvl w:ilvl="0" w:tplc="1FDCB03A">
      <w:start w:val="215"/>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7" w15:restartNumberingAfterBreak="0">
    <w:nsid w:val="77891846"/>
    <w:multiLevelType w:val="hybridMultilevel"/>
    <w:tmpl w:val="1EE0F26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7"/>
  </w:num>
  <w:num w:numId="6">
    <w:abstractNumId w:val="4"/>
  </w:num>
  <w:num w:numId="7">
    <w:abstractNumId w:val="5"/>
  </w:num>
  <w:num w:numId="8">
    <w:abstractNumId w:val="16"/>
  </w:num>
  <w:num w:numId="9">
    <w:abstractNumId w:val="11"/>
  </w:num>
  <w:num w:numId="10">
    <w:abstractNumId w:val="2"/>
  </w:num>
  <w:num w:numId="11">
    <w:abstractNumId w:val="10"/>
  </w:num>
  <w:num w:numId="12">
    <w:abstractNumId w:val="9"/>
  </w:num>
  <w:num w:numId="13">
    <w:abstractNumId w:val="6"/>
  </w:num>
  <w:num w:numId="14">
    <w:abstractNumId w:val="12"/>
  </w:num>
  <w:num w:numId="15">
    <w:abstractNumId w:val="7"/>
  </w:num>
  <w:num w:numId="16">
    <w:abstractNumId w:val="15"/>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9D5"/>
    <w:rsid w:val="0004479D"/>
    <w:rsid w:val="00073073"/>
    <w:rsid w:val="000E1E1A"/>
    <w:rsid w:val="000F1F1E"/>
    <w:rsid w:val="00102821"/>
    <w:rsid w:val="00124878"/>
    <w:rsid w:val="00136660"/>
    <w:rsid w:val="00144814"/>
    <w:rsid w:val="00145D81"/>
    <w:rsid w:val="0017332A"/>
    <w:rsid w:val="001A1F3F"/>
    <w:rsid w:val="001D603F"/>
    <w:rsid w:val="001E7143"/>
    <w:rsid w:val="001F006D"/>
    <w:rsid w:val="00207A37"/>
    <w:rsid w:val="002262F6"/>
    <w:rsid w:val="00246FF6"/>
    <w:rsid w:val="00251190"/>
    <w:rsid w:val="00262DE5"/>
    <w:rsid w:val="0028302E"/>
    <w:rsid w:val="002A525E"/>
    <w:rsid w:val="002B705E"/>
    <w:rsid w:val="002C7BC5"/>
    <w:rsid w:val="003067C1"/>
    <w:rsid w:val="00313D1B"/>
    <w:rsid w:val="003338DA"/>
    <w:rsid w:val="00352997"/>
    <w:rsid w:val="00362892"/>
    <w:rsid w:val="00373B96"/>
    <w:rsid w:val="0037721B"/>
    <w:rsid w:val="003C067D"/>
    <w:rsid w:val="003E5313"/>
    <w:rsid w:val="003F4D13"/>
    <w:rsid w:val="00404896"/>
    <w:rsid w:val="00407A9D"/>
    <w:rsid w:val="00412FA3"/>
    <w:rsid w:val="0041503B"/>
    <w:rsid w:val="004E5799"/>
    <w:rsid w:val="004E64AB"/>
    <w:rsid w:val="004F402D"/>
    <w:rsid w:val="00516A77"/>
    <w:rsid w:val="005177A5"/>
    <w:rsid w:val="005302E2"/>
    <w:rsid w:val="005318D2"/>
    <w:rsid w:val="00536626"/>
    <w:rsid w:val="0055231C"/>
    <w:rsid w:val="005B36CB"/>
    <w:rsid w:val="005F4356"/>
    <w:rsid w:val="00610B65"/>
    <w:rsid w:val="00611331"/>
    <w:rsid w:val="00631B2A"/>
    <w:rsid w:val="006340A8"/>
    <w:rsid w:val="00637DF1"/>
    <w:rsid w:val="006519E4"/>
    <w:rsid w:val="006571CC"/>
    <w:rsid w:val="006D1DBB"/>
    <w:rsid w:val="006D2AE7"/>
    <w:rsid w:val="006E119D"/>
    <w:rsid w:val="006E2D92"/>
    <w:rsid w:val="00740092"/>
    <w:rsid w:val="007408C9"/>
    <w:rsid w:val="0075411E"/>
    <w:rsid w:val="007563AA"/>
    <w:rsid w:val="007830FC"/>
    <w:rsid w:val="007A7F81"/>
    <w:rsid w:val="007E0327"/>
    <w:rsid w:val="007F6576"/>
    <w:rsid w:val="00814C39"/>
    <w:rsid w:val="00836FE4"/>
    <w:rsid w:val="00841251"/>
    <w:rsid w:val="00844222"/>
    <w:rsid w:val="00861618"/>
    <w:rsid w:val="00862572"/>
    <w:rsid w:val="008850B0"/>
    <w:rsid w:val="00887C31"/>
    <w:rsid w:val="00892EA0"/>
    <w:rsid w:val="00893EA0"/>
    <w:rsid w:val="008B310C"/>
    <w:rsid w:val="008C33B3"/>
    <w:rsid w:val="009402F7"/>
    <w:rsid w:val="00972F1E"/>
    <w:rsid w:val="00993643"/>
    <w:rsid w:val="009D0EC7"/>
    <w:rsid w:val="009E4120"/>
    <w:rsid w:val="00A35D51"/>
    <w:rsid w:val="00A64FB8"/>
    <w:rsid w:val="00A73C18"/>
    <w:rsid w:val="00A806E7"/>
    <w:rsid w:val="00AD00E2"/>
    <w:rsid w:val="00AD3A6F"/>
    <w:rsid w:val="00B36618"/>
    <w:rsid w:val="00B559D5"/>
    <w:rsid w:val="00B65CC4"/>
    <w:rsid w:val="00BB174A"/>
    <w:rsid w:val="00C414F5"/>
    <w:rsid w:val="00C41AC3"/>
    <w:rsid w:val="00C476D7"/>
    <w:rsid w:val="00C7265A"/>
    <w:rsid w:val="00C81CFF"/>
    <w:rsid w:val="00CC6F38"/>
    <w:rsid w:val="00CE7475"/>
    <w:rsid w:val="00D003D6"/>
    <w:rsid w:val="00D17A2D"/>
    <w:rsid w:val="00D93C68"/>
    <w:rsid w:val="00DC77CF"/>
    <w:rsid w:val="00DD3248"/>
    <w:rsid w:val="00DF6FF3"/>
    <w:rsid w:val="00E1300F"/>
    <w:rsid w:val="00E67640"/>
    <w:rsid w:val="00E70980"/>
    <w:rsid w:val="00E77BD1"/>
    <w:rsid w:val="00E81B07"/>
    <w:rsid w:val="00F405F5"/>
    <w:rsid w:val="00F53E88"/>
    <w:rsid w:val="00F67870"/>
    <w:rsid w:val="00FB0398"/>
    <w:rsid w:val="00FD0C8D"/>
    <w:rsid w:val="00FD0D66"/>
    <w:rsid w:val="00FD2B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BF04D"/>
  <w15:chartTrackingRefBased/>
  <w15:docId w15:val="{7DC0A3A9-DFDE-4B61-BB65-143A5C753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9D5"/>
    <w:pPr>
      <w:suppressAutoHyphens/>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559D5"/>
    <w:rPr>
      <w:color w:val="0000FF"/>
      <w:u w:val="single"/>
    </w:rPr>
  </w:style>
  <w:style w:type="paragraph" w:customStyle="1" w:styleId="naisf">
    <w:name w:val="naisf"/>
    <w:basedOn w:val="Normal"/>
    <w:uiPriority w:val="99"/>
    <w:rsid w:val="00B559D5"/>
    <w:pPr>
      <w:spacing w:before="75" w:after="75"/>
      <w:ind w:firstLine="375"/>
      <w:jc w:val="both"/>
    </w:pPr>
  </w:style>
  <w:style w:type="paragraph" w:customStyle="1" w:styleId="naisnod">
    <w:name w:val="naisnod"/>
    <w:basedOn w:val="Normal"/>
    <w:uiPriority w:val="99"/>
    <w:rsid w:val="00B559D5"/>
    <w:pPr>
      <w:spacing w:before="150" w:after="150"/>
      <w:jc w:val="center"/>
    </w:pPr>
    <w:rPr>
      <w:b/>
      <w:bCs/>
    </w:rPr>
  </w:style>
  <w:style w:type="paragraph" w:customStyle="1" w:styleId="naiskr">
    <w:name w:val="naiskr"/>
    <w:basedOn w:val="Normal"/>
    <w:uiPriority w:val="99"/>
    <w:rsid w:val="00B559D5"/>
    <w:pPr>
      <w:spacing w:before="75" w:after="75"/>
    </w:pPr>
  </w:style>
  <w:style w:type="paragraph" w:styleId="Header">
    <w:name w:val="header"/>
    <w:basedOn w:val="Normal"/>
    <w:link w:val="HeaderChar1"/>
    <w:uiPriority w:val="99"/>
    <w:rsid w:val="00B559D5"/>
  </w:style>
  <w:style w:type="character" w:customStyle="1" w:styleId="HeaderChar">
    <w:name w:val="Header Char"/>
    <w:basedOn w:val="DefaultParagraphFont"/>
    <w:uiPriority w:val="99"/>
    <w:semiHidden/>
    <w:rsid w:val="00B559D5"/>
    <w:rPr>
      <w:rFonts w:ascii="Times New Roman" w:eastAsia="Times New Roman" w:hAnsi="Times New Roman" w:cs="Times New Roman"/>
      <w:sz w:val="24"/>
      <w:szCs w:val="24"/>
      <w:lang w:eastAsia="zh-CN"/>
    </w:rPr>
  </w:style>
  <w:style w:type="character" w:customStyle="1" w:styleId="HeaderChar1">
    <w:name w:val="Header Char1"/>
    <w:basedOn w:val="DefaultParagraphFont"/>
    <w:link w:val="Header"/>
    <w:uiPriority w:val="99"/>
    <w:locked/>
    <w:rsid w:val="00B559D5"/>
    <w:rPr>
      <w:rFonts w:ascii="Times New Roman" w:eastAsia="Times New Roman" w:hAnsi="Times New Roman" w:cs="Times New Roman"/>
      <w:sz w:val="24"/>
      <w:szCs w:val="24"/>
      <w:lang w:eastAsia="zh-CN"/>
    </w:rPr>
  </w:style>
  <w:style w:type="paragraph" w:styleId="Footer">
    <w:name w:val="footer"/>
    <w:basedOn w:val="Normal"/>
    <w:link w:val="FooterChar1"/>
    <w:uiPriority w:val="99"/>
    <w:rsid w:val="00B559D5"/>
  </w:style>
  <w:style w:type="character" w:customStyle="1" w:styleId="FooterChar">
    <w:name w:val="Footer Char"/>
    <w:basedOn w:val="DefaultParagraphFont"/>
    <w:uiPriority w:val="99"/>
    <w:semiHidden/>
    <w:rsid w:val="00B559D5"/>
    <w:rPr>
      <w:rFonts w:ascii="Times New Roman" w:eastAsia="Times New Roman" w:hAnsi="Times New Roman" w:cs="Times New Roman"/>
      <w:sz w:val="24"/>
      <w:szCs w:val="24"/>
      <w:lang w:eastAsia="zh-CN"/>
    </w:rPr>
  </w:style>
  <w:style w:type="character" w:customStyle="1" w:styleId="FooterChar1">
    <w:name w:val="Footer Char1"/>
    <w:basedOn w:val="DefaultParagraphFont"/>
    <w:link w:val="Footer"/>
    <w:uiPriority w:val="99"/>
    <w:locked/>
    <w:rsid w:val="00B559D5"/>
    <w:rPr>
      <w:rFonts w:ascii="Times New Roman" w:eastAsia="Times New Roman" w:hAnsi="Times New Roman" w:cs="Times New Roman"/>
      <w:sz w:val="24"/>
      <w:szCs w:val="24"/>
      <w:lang w:eastAsia="zh-CN"/>
    </w:rPr>
  </w:style>
  <w:style w:type="paragraph" w:customStyle="1" w:styleId="VPBody">
    <w:name w:val="VP Body"/>
    <w:basedOn w:val="Normal"/>
    <w:link w:val="VPBodyChar"/>
    <w:qFormat/>
    <w:rsid w:val="00B559D5"/>
    <w:pPr>
      <w:spacing w:after="160" w:line="254" w:lineRule="auto"/>
    </w:pPr>
    <w:rPr>
      <w:sz w:val="22"/>
      <w:szCs w:val="22"/>
    </w:rPr>
  </w:style>
  <w:style w:type="paragraph" w:customStyle="1" w:styleId="tvhtml">
    <w:name w:val="tv_html"/>
    <w:basedOn w:val="Normal"/>
    <w:rsid w:val="00B559D5"/>
    <w:pPr>
      <w:spacing w:before="280" w:after="280"/>
    </w:pPr>
  </w:style>
  <w:style w:type="paragraph" w:customStyle="1" w:styleId="VPTitle">
    <w:name w:val="VP Title"/>
    <w:basedOn w:val="Title"/>
    <w:qFormat/>
    <w:rsid w:val="00B559D5"/>
    <w:pPr>
      <w:keepNext/>
      <w:suppressAutoHyphens w:val="0"/>
      <w:spacing w:before="80" w:line="360" w:lineRule="auto"/>
      <w:contextualSpacing w:val="0"/>
    </w:pPr>
    <w:rPr>
      <w:rFonts w:ascii="Calibri" w:eastAsia="Times New Roman" w:hAnsi="Calibri" w:cs="Calibri"/>
      <w:b/>
      <w:bCs/>
      <w:sz w:val="48"/>
      <w:szCs w:val="48"/>
      <w:lang w:eastAsia="lv-LV"/>
    </w:rPr>
  </w:style>
  <w:style w:type="character" w:customStyle="1" w:styleId="VPBodyChar">
    <w:name w:val="VP Body Char"/>
    <w:link w:val="VPBody"/>
    <w:locked/>
    <w:rsid w:val="00B559D5"/>
    <w:rPr>
      <w:rFonts w:ascii="Times New Roman" w:eastAsia="Times New Roman" w:hAnsi="Times New Roman" w:cs="Times New Roman"/>
      <w:lang w:eastAsia="zh-CN"/>
    </w:rPr>
  </w:style>
  <w:style w:type="paragraph" w:customStyle="1" w:styleId="Default">
    <w:name w:val="Default"/>
    <w:rsid w:val="00B559D5"/>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B559D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59D5"/>
    <w:rPr>
      <w:rFonts w:asciiTheme="majorHAnsi" w:eastAsiaTheme="majorEastAsia" w:hAnsiTheme="majorHAnsi" w:cstheme="majorBidi"/>
      <w:spacing w:val="-10"/>
      <w:kern w:val="28"/>
      <w:sz w:val="56"/>
      <w:szCs w:val="56"/>
      <w:lang w:eastAsia="zh-CN"/>
    </w:rPr>
  </w:style>
  <w:style w:type="character" w:customStyle="1" w:styleId="name">
    <w:name w:val="name"/>
    <w:rsid w:val="006E119D"/>
  </w:style>
  <w:style w:type="table" w:styleId="TableGrid">
    <w:name w:val="Table Grid"/>
    <w:basedOn w:val="TableNormal"/>
    <w:uiPriority w:val="59"/>
    <w:rsid w:val="00F40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405F5"/>
    <w:rPr>
      <w:sz w:val="20"/>
      <w:szCs w:val="20"/>
    </w:rPr>
  </w:style>
  <w:style w:type="character" w:customStyle="1" w:styleId="FootnoteTextChar">
    <w:name w:val="Footnote Text Char"/>
    <w:basedOn w:val="DefaultParagraphFont"/>
    <w:link w:val="FootnoteText"/>
    <w:uiPriority w:val="99"/>
    <w:semiHidden/>
    <w:rsid w:val="00F405F5"/>
    <w:rPr>
      <w:rFonts w:ascii="Times New Roman" w:eastAsia="Times New Roman" w:hAnsi="Times New Roman" w:cs="Times New Roman"/>
      <w:sz w:val="20"/>
      <w:szCs w:val="20"/>
      <w:lang w:eastAsia="zh-CN"/>
    </w:rPr>
  </w:style>
  <w:style w:type="character" w:styleId="FootnoteReference">
    <w:name w:val="footnote reference"/>
    <w:aliases w:val="Footnote symbol,Footnote Reference Number,fr,SUPERS,Footnote Reference Superscript,Footnote Refernece,ftref,Odwołanie przypisu,BVI fnr,Footnotes refss,Ref,de nota al pie,-E Fußnotenzeichen,Footnote reference number,Times 10 Point,E"/>
    <w:basedOn w:val="DefaultParagraphFont"/>
    <w:uiPriority w:val="99"/>
    <w:unhideWhenUsed/>
    <w:rsid w:val="00F405F5"/>
    <w:rPr>
      <w:vertAlign w:val="superscript"/>
    </w:rPr>
  </w:style>
  <w:style w:type="paragraph" w:styleId="ListParagraph">
    <w:name w:val="List Paragraph"/>
    <w:basedOn w:val="Normal"/>
    <w:uiPriority w:val="34"/>
    <w:qFormat/>
    <w:rsid w:val="00136660"/>
    <w:pPr>
      <w:ind w:left="720"/>
      <w:contextualSpacing/>
    </w:pPr>
  </w:style>
  <w:style w:type="character" w:styleId="CommentReference">
    <w:name w:val="annotation reference"/>
    <w:basedOn w:val="DefaultParagraphFont"/>
    <w:uiPriority w:val="99"/>
    <w:semiHidden/>
    <w:unhideWhenUsed/>
    <w:rsid w:val="00C476D7"/>
    <w:rPr>
      <w:sz w:val="16"/>
      <w:szCs w:val="16"/>
    </w:rPr>
  </w:style>
  <w:style w:type="paragraph" w:styleId="CommentText">
    <w:name w:val="annotation text"/>
    <w:basedOn w:val="Normal"/>
    <w:link w:val="CommentTextChar"/>
    <w:uiPriority w:val="99"/>
    <w:semiHidden/>
    <w:unhideWhenUsed/>
    <w:rsid w:val="00C476D7"/>
    <w:rPr>
      <w:sz w:val="20"/>
      <w:szCs w:val="20"/>
    </w:rPr>
  </w:style>
  <w:style w:type="character" w:customStyle="1" w:styleId="CommentTextChar">
    <w:name w:val="Comment Text Char"/>
    <w:basedOn w:val="DefaultParagraphFont"/>
    <w:link w:val="CommentText"/>
    <w:uiPriority w:val="99"/>
    <w:semiHidden/>
    <w:rsid w:val="00C476D7"/>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476D7"/>
    <w:rPr>
      <w:b/>
      <w:bCs/>
    </w:rPr>
  </w:style>
  <w:style w:type="character" w:customStyle="1" w:styleId="CommentSubjectChar">
    <w:name w:val="Comment Subject Char"/>
    <w:basedOn w:val="CommentTextChar"/>
    <w:link w:val="CommentSubject"/>
    <w:uiPriority w:val="99"/>
    <w:semiHidden/>
    <w:rsid w:val="00C476D7"/>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C476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D7"/>
    <w:rPr>
      <w:rFonts w:ascii="Segoe UI" w:eastAsia="Times New Roman" w:hAnsi="Segoe UI" w:cs="Segoe UI"/>
      <w:sz w:val="18"/>
      <w:szCs w:val="18"/>
      <w:lang w:eastAsia="zh-CN"/>
    </w:rPr>
  </w:style>
  <w:style w:type="character" w:styleId="FollowedHyperlink">
    <w:name w:val="FollowedHyperlink"/>
    <w:basedOn w:val="DefaultParagraphFont"/>
    <w:uiPriority w:val="99"/>
    <w:semiHidden/>
    <w:unhideWhenUsed/>
    <w:rsid w:val="004F40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75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tvija.lv"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ana.andzane@varam.gov.l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lelda.kalnina@varam.gov.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atvija.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tap.mk.gov.lv/doc/2018_04/VARAMinfozin_Atviegl_060318.463.docx" TargetMode="External"/><Relationship Id="rId2" Type="http://schemas.openxmlformats.org/officeDocument/2006/relationships/hyperlink" Target="https://likumi.lv/doc.php?id=298100" TargetMode="External"/><Relationship Id="rId1" Type="http://schemas.openxmlformats.org/officeDocument/2006/relationships/hyperlink" Target="http://tap.mk.gov.lv/doc/2018_04/VARAMinfozin_Atviegl_060318.463.docx" TargetMode="External"/><Relationship Id="rId6" Type="http://schemas.openxmlformats.org/officeDocument/2006/relationships/hyperlink" Target="http://www.varam.gov.lv/lat/publ/petijumi/pet_Eparv/?doc=14321" TargetMode="External"/><Relationship Id="rId5" Type="http://schemas.openxmlformats.org/officeDocument/2006/relationships/hyperlink" Target="http://www.varam.gov.lv/lat/publ/petijumi/pet_Eparv/?doc=14321" TargetMode="External"/><Relationship Id="rId4" Type="http://schemas.openxmlformats.org/officeDocument/2006/relationships/hyperlink" Target="http://tap.mk.gov.lv/doc/2015_07/VARAMZINO_270115_ISARH.23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12</Pages>
  <Words>17515</Words>
  <Characters>9984</Characters>
  <Application>Microsoft Office Word</Application>
  <DocSecurity>0</DocSecurity>
  <Lines>83</Lines>
  <Paragraphs>54</Paragraphs>
  <ScaleCrop>false</ScaleCrop>
  <HeadingPairs>
    <vt:vector size="2" baseType="variant">
      <vt:variant>
        <vt:lpstr>Title</vt:lpstr>
      </vt:variant>
      <vt:variant>
        <vt:i4>1</vt:i4>
      </vt:variant>
    </vt:vector>
  </HeadingPairs>
  <TitlesOfParts>
    <vt:vector size="1" baseType="lpstr">
      <vt:lpstr>Par informācijas sabiedrības attīstības pamatnostādņu ieviešanu publiskās pārvaldes informācijas sistēmu jomā (mērķarhitektūras 44.0 versija)</vt:lpstr>
    </vt:vector>
  </TitlesOfParts>
  <Company>Vides aizsardzības un reģionālās attīstības ministrija</Company>
  <LinksUpToDate>false</LinksUpToDate>
  <CharactersWithSpaces>27445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informācijas sabiedrības attīstības pamatnostādņu ieviešanu publiskās pārvaldes informācijas sistēmu jomā (mērķarhitektūras 44.0 versija)</dc:title>
  <dc:subject>Rīkojuma projekts</dc:subject>
  <dc:creator>Lelda Kalniņa</dc:creator>
  <dc:description>67026576, lelda.kalnina@varam.gov.lv</dc:description>
  <cp:lastModifiedBy>Lelda Kalniņa</cp:lastModifiedBy>
  <cp:revision>8</cp:revision>
  <dcterms:created xsi:type="dcterms:W3CDTF">2018-10-09T11:11:00Z</dcterms:created>
  <dcterms:modified xsi:type="dcterms:W3CDTF">2018-10-15T15:24:00Z</dcterms:modified>
</cp:coreProperties>
</file>