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427C" w14:textId="77777777" w:rsidR="00EB1721" w:rsidRPr="00AF72FA" w:rsidRDefault="009C1EDA" w:rsidP="00727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>1.</w:t>
      </w:r>
      <w:r w:rsidR="00023C9C">
        <w:rPr>
          <w:rFonts w:ascii="Times New Roman" w:hAnsi="Times New Roman" w:cs="Times New Roman"/>
          <w:sz w:val="28"/>
          <w:szCs w:val="28"/>
        </w:rPr>
        <w:t> </w:t>
      </w:r>
      <w:r w:rsidRPr="00AF72FA">
        <w:rPr>
          <w:rFonts w:ascii="Times New Roman" w:hAnsi="Times New Roman" w:cs="Times New Roman"/>
          <w:sz w:val="28"/>
          <w:szCs w:val="28"/>
        </w:rPr>
        <w:t>pielikums</w:t>
      </w:r>
    </w:p>
    <w:p w14:paraId="47E6427D" w14:textId="77777777" w:rsidR="00EB1721" w:rsidRPr="00AF72FA" w:rsidRDefault="009C1EDA" w:rsidP="00727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E88BF4C" w14:textId="3E2B648E" w:rsidR="00B546A0" w:rsidRPr="00B546A0" w:rsidRDefault="00B546A0" w:rsidP="007276D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46A0">
        <w:rPr>
          <w:rFonts w:ascii="Times New Roman" w:hAnsi="Times New Roman" w:cs="Times New Roman"/>
          <w:sz w:val="28"/>
        </w:rPr>
        <w:t xml:space="preserve">2018. gada </w:t>
      </w:r>
      <w:r w:rsidR="00773E40">
        <w:rPr>
          <w:rFonts w:ascii="Times New Roman" w:hAnsi="Times New Roman" w:cs="Times New Roman"/>
          <w:sz w:val="28"/>
          <w:szCs w:val="28"/>
        </w:rPr>
        <w:t>13. novembr</w:t>
      </w:r>
      <w:r w:rsidR="00773E40">
        <w:rPr>
          <w:rFonts w:ascii="Times New Roman" w:hAnsi="Times New Roman" w:cs="Times New Roman"/>
          <w:sz w:val="28"/>
          <w:szCs w:val="28"/>
        </w:rPr>
        <w:t>a</w:t>
      </w:r>
    </w:p>
    <w:p w14:paraId="5F1FC815" w14:textId="653B3A4F" w:rsidR="00B546A0" w:rsidRPr="00B546A0" w:rsidRDefault="00B546A0" w:rsidP="007276D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46A0">
        <w:rPr>
          <w:rFonts w:ascii="Times New Roman" w:hAnsi="Times New Roman" w:cs="Times New Roman"/>
          <w:sz w:val="28"/>
        </w:rPr>
        <w:t>noteikumiem Nr. </w:t>
      </w:r>
      <w:r w:rsidR="00773E40">
        <w:rPr>
          <w:rFonts w:ascii="Times New Roman" w:hAnsi="Times New Roman" w:cs="Times New Roman"/>
          <w:sz w:val="28"/>
        </w:rPr>
        <w:t>682</w:t>
      </w:r>
      <w:bookmarkStart w:id="0" w:name="_GoBack"/>
      <w:bookmarkEnd w:id="0"/>
    </w:p>
    <w:p w14:paraId="47E6427F" w14:textId="68040D8D" w:rsidR="00EB1721" w:rsidRPr="00AF72FA" w:rsidRDefault="00EB1721" w:rsidP="00727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E64281" w14:textId="7792EA05" w:rsidR="00EB1721" w:rsidRDefault="0003415A" w:rsidP="0072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Piemērotā a</w:t>
      </w:r>
      <w:r w:rsidR="009C1EDA" w:rsidRPr="00B45A62">
        <w:rPr>
          <w:rFonts w:ascii="Times New Roman" w:hAnsi="Times New Roman" w:cs="Times New Roman"/>
          <w:b/>
          <w:sz w:val="28"/>
          <w:szCs w:val="28"/>
        </w:rPr>
        <w:t xml:space="preserve">tkritumu </w:t>
      </w:r>
      <w:r w:rsidR="00C05050">
        <w:rPr>
          <w:rFonts w:ascii="Times New Roman" w:hAnsi="Times New Roman" w:cs="Times New Roman"/>
          <w:b/>
          <w:sz w:val="28"/>
          <w:szCs w:val="28"/>
        </w:rPr>
        <w:t>statusa</w:t>
      </w:r>
      <w:r w:rsidR="009C1EDA" w:rsidRPr="00B45A62">
        <w:rPr>
          <w:rFonts w:ascii="Times New Roman" w:hAnsi="Times New Roman" w:cs="Times New Roman"/>
          <w:b/>
          <w:sz w:val="28"/>
          <w:szCs w:val="28"/>
        </w:rPr>
        <w:t xml:space="preserve"> izbeigšana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2D0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DA" w:rsidRPr="00B45A62">
        <w:rPr>
          <w:rFonts w:ascii="Times New Roman" w:hAnsi="Times New Roman" w:cs="Times New Roman"/>
          <w:b/>
          <w:sz w:val="28"/>
          <w:szCs w:val="28"/>
        </w:rPr>
        <w:t xml:space="preserve">kritēriji </w:t>
      </w:r>
      <w:r w:rsidR="007E6281">
        <w:rPr>
          <w:rFonts w:ascii="Times New Roman" w:hAnsi="Times New Roman" w:cs="Times New Roman"/>
          <w:b/>
          <w:sz w:val="28"/>
          <w:szCs w:val="28"/>
        </w:rPr>
        <w:t>no nolietot</w:t>
      </w:r>
      <w:r w:rsidR="007E6281" w:rsidRPr="007E6281">
        <w:rPr>
          <w:rFonts w:ascii="Times New Roman" w:hAnsi="Times New Roman" w:cs="Times New Roman"/>
          <w:b/>
          <w:sz w:val="28"/>
          <w:szCs w:val="28"/>
        </w:rPr>
        <w:t>ām riepām iegūtiem gumijas materiāliem</w:t>
      </w:r>
      <w:r w:rsidR="007E6281" w:rsidRPr="00B45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D12655" w14:textId="60B86B76" w:rsidR="007276D3" w:rsidRDefault="007276D3" w:rsidP="0072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6"/>
        <w:gridCol w:w="4522"/>
        <w:gridCol w:w="4111"/>
      </w:tblGrid>
      <w:tr w:rsidR="007276D3" w14:paraId="1C32FA8E" w14:textId="77777777" w:rsidTr="0001207F">
        <w:tc>
          <w:tcPr>
            <w:tcW w:w="576" w:type="dxa"/>
          </w:tcPr>
          <w:p w14:paraId="10E7CA73" w14:textId="77777777" w:rsidR="007276D3" w:rsidRPr="007276D3" w:rsidRDefault="007276D3" w:rsidP="007276D3">
            <w:pPr>
              <w:ind w:left="-1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391F6761" w14:textId="7E02814C" w:rsidR="007276D3" w:rsidRPr="007276D3" w:rsidRDefault="007276D3" w:rsidP="007276D3">
            <w:pPr>
              <w:ind w:left="-1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p. k.</w:t>
            </w:r>
          </w:p>
        </w:tc>
        <w:tc>
          <w:tcPr>
            <w:tcW w:w="4522" w:type="dxa"/>
          </w:tcPr>
          <w:p w14:paraId="04CDBF05" w14:textId="5673F688" w:rsidR="007276D3" w:rsidRPr="007276D3" w:rsidRDefault="007C1E6B" w:rsidP="007276D3">
            <w:pPr>
              <w:ind w:left="-1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Piemēro</w:t>
            </w:r>
            <w:r>
              <w:rPr>
                <w:rFonts w:ascii="Times New Roman" w:hAnsi="Times New Roman"/>
                <w:sz w:val="24"/>
                <w:szCs w:val="24"/>
              </w:rPr>
              <w:t>tā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6D3" w:rsidRPr="007276D3">
              <w:rPr>
                <w:rFonts w:ascii="Times New Roman" w:hAnsi="Times New Roman"/>
                <w:sz w:val="24"/>
                <w:szCs w:val="24"/>
              </w:rPr>
              <w:t>atkritumu statusa izbeigšana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>ritēriji</w:t>
            </w:r>
          </w:p>
        </w:tc>
        <w:tc>
          <w:tcPr>
            <w:tcW w:w="4111" w:type="dxa"/>
          </w:tcPr>
          <w:p w14:paraId="6425E0EE" w14:textId="240198E2" w:rsidR="007276D3" w:rsidRPr="007276D3" w:rsidRDefault="007276D3" w:rsidP="007276D3">
            <w:pPr>
              <w:ind w:left="-1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Paškontroles kritēriji</w:t>
            </w:r>
          </w:p>
        </w:tc>
      </w:tr>
      <w:tr w:rsidR="007276D3" w14:paraId="38758927" w14:textId="77777777" w:rsidTr="0001207F">
        <w:tc>
          <w:tcPr>
            <w:tcW w:w="576" w:type="dxa"/>
          </w:tcPr>
          <w:p w14:paraId="6AC2E93C" w14:textId="792A203B" w:rsidR="007276D3" w:rsidRPr="007276D3" w:rsidRDefault="007276D3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2" w:type="dxa"/>
          </w:tcPr>
          <w:p w14:paraId="527A7FDB" w14:textId="6BD6001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 xml:space="preserve">Kvalitātes prasības </w:t>
            </w:r>
            <w:r w:rsidR="00F05EB1" w:rsidRPr="007276D3">
              <w:rPr>
                <w:rFonts w:ascii="Times New Roman" w:hAnsi="Times New Roman"/>
                <w:sz w:val="24"/>
                <w:szCs w:val="24"/>
              </w:rPr>
              <w:t>gumijas materiāliem</w:t>
            </w:r>
            <w:r w:rsidR="00F05EB1">
              <w:rPr>
                <w:rFonts w:ascii="Times New Roman" w:hAnsi="Times New Roman"/>
                <w:sz w:val="24"/>
                <w:szCs w:val="24"/>
              </w:rPr>
              <w:t>, kas iegūti</w:t>
            </w:r>
            <w:r w:rsidR="00F05EB1" w:rsidRPr="007276D3">
              <w:rPr>
                <w:rFonts w:ascii="Times New Roman" w:hAnsi="Times New Roman"/>
                <w:sz w:val="24"/>
                <w:szCs w:val="24"/>
              </w:rPr>
              <w:t xml:space="preserve"> mehāniskas pārstrādes rezultātā 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>no lietotām gumijas riepām:</w:t>
            </w:r>
          </w:p>
        </w:tc>
        <w:tc>
          <w:tcPr>
            <w:tcW w:w="4111" w:type="dxa"/>
            <w:vMerge w:val="restart"/>
          </w:tcPr>
          <w:p w14:paraId="2D6BD335" w14:textId="05749B04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Gumijas materiālu kvalitāti novērtē</w:t>
            </w:r>
            <w:r w:rsidR="00347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26A27" w14:textId="5A86F6EE" w:rsidR="007276D3" w:rsidRPr="00812F91" w:rsidRDefault="003472A6" w:rsidP="00812F91">
            <w:pPr>
              <w:pStyle w:val="ListParagraph"/>
              <w:numPr>
                <w:ilvl w:val="0"/>
                <w:numId w:val="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 w:rsidRPr="00812F91">
              <w:rPr>
                <w:rFonts w:ascii="Times New Roman" w:hAnsi="Times New Roman"/>
                <w:sz w:val="24"/>
                <w:szCs w:val="24"/>
              </w:rPr>
              <w:t>v</w:t>
            </w:r>
            <w:r w:rsidR="007276D3" w:rsidRPr="00812F91">
              <w:rPr>
                <w:rFonts w:ascii="Times New Roman" w:hAnsi="Times New Roman"/>
                <w:sz w:val="24"/>
                <w:szCs w:val="24"/>
              </w:rPr>
              <w:t>izuāl</w:t>
            </w:r>
            <w:r w:rsidRPr="00812F91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14:paraId="37FF221A" w14:textId="081CD168" w:rsidR="007276D3" w:rsidRPr="00812F91" w:rsidRDefault="003472A6" w:rsidP="00812F91">
            <w:pPr>
              <w:pStyle w:val="ListParagraph"/>
              <w:numPr>
                <w:ilvl w:val="0"/>
                <w:numId w:val="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 w:rsidRPr="00812F91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="007276D3" w:rsidRPr="00812F91">
              <w:rPr>
                <w:rFonts w:ascii="Times New Roman" w:hAnsi="Times New Roman"/>
                <w:sz w:val="24"/>
                <w:szCs w:val="24"/>
              </w:rPr>
              <w:t>fizikāl</w:t>
            </w:r>
            <w:r w:rsidRPr="00812F91">
              <w:rPr>
                <w:rFonts w:ascii="Times New Roman" w:hAnsi="Times New Roman"/>
                <w:sz w:val="24"/>
                <w:szCs w:val="24"/>
              </w:rPr>
              <w:t>ā</w:t>
            </w:r>
            <w:r w:rsidR="007276D3" w:rsidRPr="00812F91">
              <w:rPr>
                <w:rFonts w:ascii="Times New Roman" w:hAnsi="Times New Roman"/>
                <w:sz w:val="24"/>
                <w:szCs w:val="24"/>
              </w:rPr>
              <w:t xml:space="preserve"> un ķīmisk</w:t>
            </w:r>
            <w:r w:rsidRPr="00812F91">
              <w:rPr>
                <w:rFonts w:ascii="Times New Roman" w:hAnsi="Times New Roman"/>
                <w:sz w:val="24"/>
                <w:szCs w:val="24"/>
              </w:rPr>
              <w:t>ā</w:t>
            </w:r>
            <w:r w:rsidR="007276D3" w:rsidRPr="00812F91">
              <w:rPr>
                <w:rFonts w:ascii="Times New Roman" w:hAnsi="Times New Roman"/>
                <w:sz w:val="24"/>
                <w:szCs w:val="24"/>
              </w:rPr>
              <w:t xml:space="preserve"> raksturojum</w:t>
            </w:r>
            <w:r w:rsidRPr="00812F91">
              <w:rPr>
                <w:rFonts w:ascii="Times New Roman" w:hAnsi="Times New Roman"/>
                <w:sz w:val="24"/>
                <w:szCs w:val="24"/>
              </w:rPr>
              <w:t>a, kas iegūts</w:t>
            </w:r>
            <w:r w:rsidR="007276D3" w:rsidRPr="00812F91">
              <w:rPr>
                <w:rFonts w:ascii="Times New Roman" w:hAnsi="Times New Roman"/>
                <w:sz w:val="24"/>
                <w:szCs w:val="24"/>
              </w:rPr>
              <w:t xml:space="preserve"> laboratorijas testos, tai skaitā </w:t>
            </w:r>
            <w:r w:rsidR="00F05EB1" w:rsidRPr="00812F91">
              <w:rPr>
                <w:rFonts w:ascii="Times New Roman" w:hAnsi="Times New Roman"/>
                <w:sz w:val="24"/>
                <w:szCs w:val="24"/>
              </w:rPr>
              <w:t>tādos</w:t>
            </w:r>
            <w:r w:rsidR="007276D3" w:rsidRPr="00812F91">
              <w:rPr>
                <w:rFonts w:ascii="Times New Roman" w:hAnsi="Times New Roman"/>
                <w:sz w:val="24"/>
                <w:szCs w:val="24"/>
              </w:rPr>
              <w:t xml:space="preserve">, kas ietverti otrreizējo izejvielu pircēju tehniskajās specifikācijās. Pēc otrreizējo izejvielu pircēja pieprasījuma tiek veikti arī citi laboratorijas testi saskaņā ar otrreizējo izejvielu pircēja papildu specifikācijām. </w:t>
            </w:r>
          </w:p>
          <w:p w14:paraId="51CC014E" w14:textId="7777777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0094" w14:textId="7777777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Katram otrreizējo izejvielu veidam, kas iegūts no nolietotām riepām, tiek veikta reprezentatīvu paraugu analīze.</w:t>
            </w:r>
          </w:p>
          <w:p w14:paraId="3031EF2E" w14:textId="7777777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8125" w14:textId="7777777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Reprezentatīvus paraugus iegūst saskaņā ar kvalitātes pārvaldības sistēmā iekļauto paraugu ņemšanas procedūru, kura tiek detalizēti aprakstīta (piemēram, izmantotā paraugu ņemšanas metodika, biežums, lielums, paraugu tipoloģija un skaits, statistiskā apstrāde).</w:t>
            </w:r>
          </w:p>
          <w:p w14:paraId="62B41C37" w14:textId="7777777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5787" w14:textId="7777777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Fizikālos un ķīmiskos rādītājus nosaka laboratorijā.</w:t>
            </w:r>
          </w:p>
          <w:p w14:paraId="72499EF2" w14:textId="77777777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E553" w14:textId="320BD5CD" w:rsidR="007276D3" w:rsidRPr="007276D3" w:rsidRDefault="007276D3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Šā pielikuma 1.</w:t>
            </w:r>
            <w:r w:rsidR="00F05E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punktā minētie otrreizējo izejvielu atbilstības kritēriji ir ietverti un aprakstīti ieviestajā kvalitātes pārvaldības sistēmā</w:t>
            </w:r>
          </w:p>
        </w:tc>
      </w:tr>
      <w:tr w:rsidR="007276D3" w14:paraId="48BF7CAB" w14:textId="77777777" w:rsidTr="0001207F">
        <w:tc>
          <w:tcPr>
            <w:tcW w:w="576" w:type="dxa"/>
          </w:tcPr>
          <w:p w14:paraId="1871EC30" w14:textId="2146B04D" w:rsidR="007276D3" w:rsidRPr="007276D3" w:rsidRDefault="007276D3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22" w:type="dxa"/>
          </w:tcPr>
          <w:p w14:paraId="657EAD33" w14:textId="656754DC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 xml:space="preserve">tiem nav bīstamu īpašību, kas minētas Komisijas 2014. gada 18. decembra Regulā (ES) Nr. 1357/2014, ar ko aizstāj III pielikumu Eiropas Parlamenta un Padomes Direktīvai 2008/98/EK par atkritumiem un par dažu direktīvu atcelšanu, un tie nepārsniedz koncentrācijas robežvērtības, kas noteiktas </w:t>
            </w:r>
            <w:r w:rsidRPr="007276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Eiropas Parlamenta un Padomes 2004. gada 29. aprīļa Regulas (EK) Nr. 850/2004  par noturīgiem organiskajiem piesārņotājiem, ar ko groza Direktīvu 79/117/EEK,</w:t>
            </w:r>
            <w:r w:rsidRPr="007276D3">
              <w:rPr>
                <w:rStyle w:val="Strong"/>
                <w:b w:val="0"/>
                <w:sz w:val="24"/>
                <w:szCs w:val="24"/>
              </w:rPr>
              <w:t xml:space="preserve"> 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>IV pielikumā</w:t>
            </w:r>
          </w:p>
        </w:tc>
        <w:tc>
          <w:tcPr>
            <w:tcW w:w="4111" w:type="dxa"/>
            <w:vMerge/>
          </w:tcPr>
          <w:p w14:paraId="47C76D78" w14:textId="77777777" w:rsidR="007276D3" w:rsidRPr="007276D3" w:rsidRDefault="007276D3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6D3" w14:paraId="7C08800C" w14:textId="77777777" w:rsidTr="0001207F">
        <w:tc>
          <w:tcPr>
            <w:tcW w:w="576" w:type="dxa"/>
          </w:tcPr>
          <w:p w14:paraId="62CED84C" w14:textId="5665E4E3" w:rsidR="007276D3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22" w:type="dxa"/>
          </w:tcPr>
          <w:p w14:paraId="344CC808" w14:textId="76A31D8D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tie atbilst ierobežojumiem, kas paredzēti E</w:t>
            </w:r>
            <w:r w:rsidRPr="007276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iropas Parlamenta un Padomes 2006. gada 18. decembra Regulas (EK) Nr. 1907/2006, kas attiecas uz ķimikāliju reģistrēšanu, vērtēšanu, licencēšanu un ierobežošanu (REACH), un ar kuru izveido Eiropas Ķimikāliju aģentūru, groza Direktīvu 1999/45/EK un atceļ Padomes Regulu </w:t>
            </w:r>
            <w:proofErr w:type="gramStart"/>
            <w:r w:rsidRPr="007276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 w:rsidRPr="007276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EEK) Nr. 793/93 un Komisijas Regulu (EK) Nr. 1488/94, kā arī Padomes Direktīvu 76/769/EEK un Komisijas Direktīvu 91/155/EEK, Direktīvu 93/67/EEK, Direktīvu 93/105/EK un Direktīvu 2000/21/EK, 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>XVII pielikuma 50. punktā</w:t>
            </w:r>
          </w:p>
        </w:tc>
        <w:tc>
          <w:tcPr>
            <w:tcW w:w="4111" w:type="dxa"/>
            <w:vMerge/>
          </w:tcPr>
          <w:p w14:paraId="00A2AE61" w14:textId="77777777" w:rsidR="007276D3" w:rsidRPr="007276D3" w:rsidRDefault="007276D3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6D3" w14:paraId="119362B2" w14:textId="77777777" w:rsidTr="0001207F">
        <w:tc>
          <w:tcPr>
            <w:tcW w:w="576" w:type="dxa"/>
          </w:tcPr>
          <w:p w14:paraId="15F5E9D1" w14:textId="6BF20F9E" w:rsidR="007276D3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22" w:type="dxa"/>
          </w:tcPr>
          <w:p w14:paraId="1617BAE3" w14:textId="69B92014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tie nesatur pamanāmus eļļas un smērvielu daudzumus</w:t>
            </w:r>
          </w:p>
        </w:tc>
        <w:tc>
          <w:tcPr>
            <w:tcW w:w="4111" w:type="dxa"/>
            <w:vMerge/>
          </w:tcPr>
          <w:p w14:paraId="276966A4" w14:textId="77777777" w:rsidR="007276D3" w:rsidRPr="007276D3" w:rsidRDefault="007276D3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6D3" w14:paraId="646A698F" w14:textId="77777777" w:rsidTr="0001207F">
        <w:trPr>
          <w:trHeight w:val="733"/>
        </w:trPr>
        <w:tc>
          <w:tcPr>
            <w:tcW w:w="576" w:type="dxa"/>
          </w:tcPr>
          <w:p w14:paraId="6FEE7E48" w14:textId="5B259BBE" w:rsidR="007276D3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22" w:type="dxa"/>
          </w:tcPr>
          <w:p w14:paraId="2B6F8BF0" w14:textId="50EE0D34" w:rsidR="007276D3" w:rsidRPr="007276D3" w:rsidRDefault="007276D3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atdalīšan</w:t>
            </w:r>
            <w:r w:rsidR="00AF593D">
              <w:rPr>
                <w:rFonts w:ascii="Times New Roman" w:hAnsi="Times New Roman"/>
                <w:sz w:val="24"/>
                <w:szCs w:val="24"/>
              </w:rPr>
              <w:t>a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 xml:space="preserve"> un kvantitatīv</w:t>
            </w:r>
            <w:r w:rsidR="00DC77C1">
              <w:rPr>
                <w:rFonts w:ascii="Times New Roman" w:hAnsi="Times New Roman"/>
                <w:sz w:val="24"/>
                <w:szCs w:val="24"/>
              </w:rPr>
              <w:t>ā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 xml:space="preserve"> noteikšan</w:t>
            </w:r>
            <w:r w:rsidR="00DC77C1">
              <w:rPr>
                <w:rFonts w:ascii="Times New Roman" w:hAnsi="Times New Roman"/>
                <w:sz w:val="24"/>
                <w:szCs w:val="24"/>
              </w:rPr>
              <w:t>a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 xml:space="preserve"> vei</w:t>
            </w:r>
            <w:r w:rsidR="00DC77C1">
              <w:rPr>
                <w:rFonts w:ascii="Times New Roman" w:hAnsi="Times New Roman"/>
                <w:sz w:val="24"/>
                <w:szCs w:val="24"/>
              </w:rPr>
              <w:t>kta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 xml:space="preserve"> saskaņā ar tipoloģiju/lielumu</w:t>
            </w:r>
          </w:p>
        </w:tc>
        <w:tc>
          <w:tcPr>
            <w:tcW w:w="4111" w:type="dxa"/>
            <w:vMerge/>
          </w:tcPr>
          <w:p w14:paraId="715852B9" w14:textId="77777777" w:rsidR="007276D3" w:rsidRPr="007276D3" w:rsidRDefault="007276D3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C1" w14:paraId="748CAE91" w14:textId="77777777" w:rsidTr="0001207F">
        <w:tc>
          <w:tcPr>
            <w:tcW w:w="576" w:type="dxa"/>
          </w:tcPr>
          <w:p w14:paraId="4C73B0EB" w14:textId="15524173" w:rsidR="00DC77C1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2" w:type="dxa"/>
          </w:tcPr>
          <w:p w14:paraId="0D56FFA4" w14:textId="161C3190" w:rsidR="00DC77C1" w:rsidRPr="007276D3" w:rsidRDefault="00DC77C1" w:rsidP="009E28C4">
            <w:pPr>
              <w:rPr>
                <w:rFonts w:ascii="Times New Roman" w:hAnsi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Prasības atkritumiem, kurus pārstrādājot tiks iegūtas otrreizējās izejvielas:</w:t>
            </w:r>
          </w:p>
        </w:tc>
        <w:tc>
          <w:tcPr>
            <w:tcW w:w="4111" w:type="dxa"/>
            <w:vMerge w:val="restart"/>
          </w:tcPr>
          <w:p w14:paraId="61123DAF" w14:textId="6940D04C" w:rsidR="00DC77C1" w:rsidRPr="007276D3" w:rsidRDefault="00DC77C1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Gumijas materiālu kvalitāt</w:t>
            </w:r>
            <w:r w:rsidR="00812F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 novērtē vizuāl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D544A9" w14:textId="77777777" w:rsidR="00DC77C1" w:rsidRPr="007276D3" w:rsidRDefault="00DC77C1" w:rsidP="009E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E901" w14:textId="1392D98A" w:rsidR="00DC77C1" w:rsidRPr="007276D3" w:rsidRDefault="00812F91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aņemto </w:t>
            </w:r>
            <w:r w:rsidR="00DC77C1" w:rsidRPr="007276D3">
              <w:rPr>
                <w:rFonts w:ascii="Times New Roman" w:hAnsi="Times New Roman" w:cs="Times New Roman"/>
                <w:sz w:val="24"/>
                <w:szCs w:val="24"/>
              </w:rPr>
              <w:t>un pārstrādāto nolietoto riepu daudzum</w:t>
            </w:r>
            <w:r w:rsidR="009E28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77C1">
              <w:rPr>
                <w:rFonts w:ascii="Times New Roman" w:hAnsi="Times New Roman" w:cs="Times New Roman"/>
                <w:sz w:val="24"/>
                <w:szCs w:val="24"/>
              </w:rPr>
              <w:t xml:space="preserve"> uzskait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77C1"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veic </w:t>
            </w:r>
            <w:r w:rsidR="00DC77C1"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DC77C1" w:rsidRPr="0072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normatīvajiem aktiem par oficiālajām vides statistikas veidlapām</w:t>
            </w:r>
          </w:p>
        </w:tc>
      </w:tr>
      <w:tr w:rsidR="00DC77C1" w14:paraId="2D8278F8" w14:textId="77777777" w:rsidTr="0001207F">
        <w:tc>
          <w:tcPr>
            <w:tcW w:w="576" w:type="dxa"/>
          </w:tcPr>
          <w:p w14:paraId="28EEAD2B" w14:textId="71D75D46" w:rsidR="00DC77C1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22" w:type="dxa"/>
          </w:tcPr>
          <w:p w14:paraId="677611A7" w14:textId="3E0163A3" w:rsidR="00DC77C1" w:rsidRPr="007276D3" w:rsidRDefault="00DC77C1" w:rsidP="009E28C4">
            <w:pPr>
              <w:rPr>
                <w:rFonts w:ascii="Times New Roman" w:hAnsi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atļauts izmantot tikai nolietotas riepas atbilstoši normatīvajiem aktiem par atkritumu klasifikatoru un īpašībām, kuras padara atkritumus bīstamus</w:t>
            </w:r>
          </w:p>
        </w:tc>
        <w:tc>
          <w:tcPr>
            <w:tcW w:w="4111" w:type="dxa"/>
            <w:vMerge/>
          </w:tcPr>
          <w:p w14:paraId="37901500" w14:textId="77777777" w:rsidR="00DC77C1" w:rsidRPr="007276D3" w:rsidRDefault="00DC77C1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C1" w14:paraId="5EB94664" w14:textId="77777777" w:rsidTr="0001207F">
        <w:tc>
          <w:tcPr>
            <w:tcW w:w="576" w:type="dxa"/>
          </w:tcPr>
          <w:p w14:paraId="0FF21C9E" w14:textId="55455F8C" w:rsidR="00DC77C1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22" w:type="dxa"/>
          </w:tcPr>
          <w:p w14:paraId="56409557" w14:textId="2F98650E" w:rsidR="00DC77C1" w:rsidRPr="007276D3" w:rsidRDefault="00DC77C1" w:rsidP="009E28C4">
            <w:pPr>
              <w:rPr>
                <w:rFonts w:ascii="Times New Roman" w:hAnsi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aizliegts izmantot nolietotas riepas, kas ir piesārņotas ar bīstamām vielām vai bīstamajiem atkritumiem</w:t>
            </w:r>
          </w:p>
        </w:tc>
        <w:tc>
          <w:tcPr>
            <w:tcW w:w="4111" w:type="dxa"/>
            <w:vMerge/>
          </w:tcPr>
          <w:p w14:paraId="06AE1070" w14:textId="77777777" w:rsidR="00DC77C1" w:rsidRPr="007276D3" w:rsidRDefault="00DC77C1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C1" w14:paraId="0C39AFFA" w14:textId="77777777" w:rsidTr="0001207F">
        <w:tc>
          <w:tcPr>
            <w:tcW w:w="576" w:type="dxa"/>
          </w:tcPr>
          <w:p w14:paraId="0F1F9BA7" w14:textId="668DDF4F" w:rsidR="00DC77C1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2" w:type="dxa"/>
          </w:tcPr>
          <w:p w14:paraId="4AA30FF6" w14:textId="00FB9709" w:rsidR="00DC77C1" w:rsidRPr="007276D3" w:rsidRDefault="00DC77C1" w:rsidP="009E28C4">
            <w:pPr>
              <w:rPr>
                <w:rFonts w:ascii="Times New Roman" w:hAnsi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Nolietot</w:t>
            </w:r>
            <w:r w:rsidR="00AF593D">
              <w:rPr>
                <w:rFonts w:ascii="Times New Roman" w:hAnsi="Times New Roman"/>
                <w:sz w:val="24"/>
                <w:szCs w:val="24"/>
              </w:rPr>
              <w:t>u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 xml:space="preserve"> riepu pārstrādi veic:</w:t>
            </w:r>
          </w:p>
        </w:tc>
        <w:tc>
          <w:tcPr>
            <w:tcW w:w="4111" w:type="dxa"/>
            <w:vMerge w:val="restart"/>
          </w:tcPr>
          <w:p w14:paraId="6CA83658" w14:textId="66F03323" w:rsidR="00DC77C1" w:rsidRPr="007276D3" w:rsidRDefault="00DC77C1" w:rsidP="009E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>Riepu attīrīšan</w:t>
            </w:r>
            <w:r w:rsidR="00812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 vei</w:t>
            </w:r>
            <w:r w:rsidR="00812F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276D3">
              <w:rPr>
                <w:rFonts w:ascii="Times New Roman" w:hAnsi="Times New Roman" w:cs="Times New Roman"/>
                <w:sz w:val="24"/>
                <w:szCs w:val="24"/>
              </w:rPr>
              <w:t xml:space="preserve"> mehāniski vai manuāli</w:t>
            </w:r>
          </w:p>
        </w:tc>
      </w:tr>
      <w:tr w:rsidR="00DC77C1" w14:paraId="29A07328" w14:textId="77777777" w:rsidTr="0001207F">
        <w:tc>
          <w:tcPr>
            <w:tcW w:w="576" w:type="dxa"/>
          </w:tcPr>
          <w:p w14:paraId="69C64AEA" w14:textId="55836456" w:rsidR="00DC77C1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2" w:type="dxa"/>
          </w:tcPr>
          <w:p w14:paraId="7734D071" w14:textId="1DBAA4E9" w:rsidR="00DC77C1" w:rsidRPr="007276D3" w:rsidRDefault="00DC77C1" w:rsidP="00DC77C1">
            <w:pPr>
              <w:rPr>
                <w:rFonts w:ascii="Times New Roman" w:hAnsi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 xml:space="preserve">riepas iepriekš attīrot no liekiem piemaisījumiem </w:t>
            </w:r>
            <w:r w:rsidR="009E28C4">
              <w:rPr>
                <w:rFonts w:ascii="Times New Roman" w:hAnsi="Times New Roman"/>
                <w:sz w:val="24"/>
                <w:szCs w:val="24"/>
              </w:rPr>
              <w:t>(</w:t>
            </w:r>
            <w:r w:rsidRPr="007276D3">
              <w:rPr>
                <w:rFonts w:ascii="Times New Roman" w:hAnsi="Times New Roman"/>
                <w:sz w:val="24"/>
                <w:szCs w:val="24"/>
              </w:rPr>
              <w:t>piemēram, akmeņiem, metāla gabaliem, dažādiem atkritumiem</w:t>
            </w:r>
            <w:r w:rsidR="009E2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</w:tcPr>
          <w:p w14:paraId="402D6C4C" w14:textId="77777777" w:rsidR="00DC77C1" w:rsidRPr="007276D3" w:rsidRDefault="00DC77C1" w:rsidP="0072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C1" w14:paraId="3B364D31" w14:textId="77777777" w:rsidTr="0001207F">
        <w:tc>
          <w:tcPr>
            <w:tcW w:w="576" w:type="dxa"/>
          </w:tcPr>
          <w:p w14:paraId="304E0F97" w14:textId="7DB6D8A3" w:rsidR="00DC77C1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2" w:type="dxa"/>
          </w:tcPr>
          <w:p w14:paraId="3DB8E467" w14:textId="7F7F91EB" w:rsidR="00DC77C1" w:rsidRPr="007276D3" w:rsidRDefault="00DC77C1" w:rsidP="00DC77C1">
            <w:pPr>
              <w:rPr>
                <w:rFonts w:ascii="Times New Roman" w:hAnsi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izmantojot metodes un procesus, kuri nerada nelabvēlīgu ietekmi uz vidi</w:t>
            </w:r>
          </w:p>
        </w:tc>
        <w:tc>
          <w:tcPr>
            <w:tcW w:w="4111" w:type="dxa"/>
            <w:vMerge/>
          </w:tcPr>
          <w:p w14:paraId="791F275F" w14:textId="77777777" w:rsidR="00DC77C1" w:rsidRPr="007276D3" w:rsidRDefault="00DC77C1" w:rsidP="0072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C1" w14:paraId="4AE283E3" w14:textId="77777777" w:rsidTr="0001207F">
        <w:tc>
          <w:tcPr>
            <w:tcW w:w="576" w:type="dxa"/>
          </w:tcPr>
          <w:p w14:paraId="2EBC1BC1" w14:textId="7FBBD905" w:rsidR="00DC77C1" w:rsidRPr="007276D3" w:rsidRDefault="00DC77C1" w:rsidP="007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22" w:type="dxa"/>
          </w:tcPr>
          <w:p w14:paraId="01818FDC" w14:textId="1AFAF034" w:rsidR="00DC77C1" w:rsidRPr="007276D3" w:rsidRDefault="00DC77C1" w:rsidP="00DC77C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6D3">
              <w:rPr>
                <w:rFonts w:ascii="Times New Roman" w:hAnsi="Times New Roman"/>
                <w:sz w:val="24"/>
                <w:szCs w:val="24"/>
              </w:rPr>
              <w:t>ievērojot atkritumu apsaimniekošanu un apriti regulējošos normatīvos aktus</w:t>
            </w:r>
          </w:p>
        </w:tc>
        <w:tc>
          <w:tcPr>
            <w:tcW w:w="4111" w:type="dxa"/>
            <w:vMerge/>
          </w:tcPr>
          <w:p w14:paraId="6278AF1B" w14:textId="77777777" w:rsidR="00DC77C1" w:rsidRPr="007276D3" w:rsidRDefault="00DC77C1" w:rsidP="0072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E9DD10" w14:textId="77777777" w:rsidR="00B546A0" w:rsidRDefault="00B546A0" w:rsidP="007276D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4D28BBA" w14:textId="77777777" w:rsidR="00B546A0" w:rsidRPr="00347B25" w:rsidRDefault="00B546A0" w:rsidP="007276D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C471B09" w14:textId="77777777" w:rsidR="00B546A0" w:rsidRPr="00347B25" w:rsidRDefault="00B546A0" w:rsidP="007276D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EE51882" w14:textId="77777777" w:rsidR="00B546A0" w:rsidRDefault="00B546A0" w:rsidP="007276D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35EA3753" w14:textId="77777777" w:rsidR="00B546A0" w:rsidRPr="00347B25" w:rsidRDefault="00B546A0" w:rsidP="007276D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Pr="00347B25"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  <w:t>Kaspars Gerhards</w:t>
      </w:r>
    </w:p>
    <w:sectPr w:rsidR="00B546A0" w:rsidRPr="00347B25" w:rsidSect="00B546A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42AF" w14:textId="77777777" w:rsidR="004A179A" w:rsidRDefault="009C1EDA">
      <w:pPr>
        <w:spacing w:after="0" w:line="240" w:lineRule="auto"/>
      </w:pPr>
      <w:r>
        <w:separator/>
      </w:r>
    </w:p>
  </w:endnote>
  <w:endnote w:type="continuationSeparator" w:id="0">
    <w:p w14:paraId="47E642B1" w14:textId="77777777" w:rsidR="004A179A" w:rsidRDefault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BCC8" w14:textId="7377D72E" w:rsidR="00B546A0" w:rsidRPr="00B546A0" w:rsidRDefault="00B546A0" w:rsidP="00B546A0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N1213_8</w:t>
    </w:r>
    <w:r w:rsidR="007D591A">
      <w:rPr>
        <w:rFonts w:ascii="Times New Roman" w:hAnsi="Times New Roman" w:cs="Times New Roman"/>
        <w:sz w:val="16"/>
        <w:szCs w:val="16"/>
        <w:lang w:val="en-US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B51D" w14:textId="578C6ABE" w:rsidR="00B546A0" w:rsidRPr="00B546A0" w:rsidRDefault="00B546A0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N1213_8</w:t>
    </w:r>
    <w:r w:rsidR="007D591A">
      <w:rPr>
        <w:rFonts w:ascii="Times New Roman" w:hAnsi="Times New Roman" w:cs="Times New Roman"/>
        <w:sz w:val="16"/>
        <w:szCs w:val="16"/>
        <w:lang w:val="en-US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42AB" w14:textId="77777777" w:rsidR="004A179A" w:rsidRDefault="009C1EDA">
      <w:pPr>
        <w:spacing w:after="0" w:line="240" w:lineRule="auto"/>
      </w:pPr>
      <w:r>
        <w:separator/>
      </w:r>
    </w:p>
  </w:footnote>
  <w:footnote w:type="continuationSeparator" w:id="0">
    <w:p w14:paraId="47E642AD" w14:textId="77777777" w:rsidR="004A179A" w:rsidRDefault="009C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474092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E642A7" w14:textId="0F7FC96B" w:rsidR="00B81661" w:rsidRPr="00B81661" w:rsidRDefault="009C1ED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6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6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6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9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6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73F8"/>
    <w:multiLevelType w:val="hybridMultilevel"/>
    <w:tmpl w:val="531A7632"/>
    <w:lvl w:ilvl="0" w:tplc="F01AB918">
      <w:start w:val="1"/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1">
    <w:nsid w:val="1C2A38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21783DF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544FA"/>
    <w:multiLevelType w:val="hybridMultilevel"/>
    <w:tmpl w:val="FF68D2AA"/>
    <w:lvl w:ilvl="0" w:tplc="DD26B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9DA4165"/>
    <w:multiLevelType w:val="hybridMultilevel"/>
    <w:tmpl w:val="EE70F250"/>
    <w:lvl w:ilvl="0" w:tplc="DD26B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A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2B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6A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F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C3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EA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8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46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21"/>
    <w:rsid w:val="00003ABB"/>
    <w:rsid w:val="0001207F"/>
    <w:rsid w:val="00013F2C"/>
    <w:rsid w:val="00015DAB"/>
    <w:rsid w:val="00023C9C"/>
    <w:rsid w:val="000318B6"/>
    <w:rsid w:val="0003415A"/>
    <w:rsid w:val="00045B51"/>
    <w:rsid w:val="0005487F"/>
    <w:rsid w:val="00070BE9"/>
    <w:rsid w:val="00080AF7"/>
    <w:rsid w:val="00082B98"/>
    <w:rsid w:val="000C57CC"/>
    <w:rsid w:val="000C7A84"/>
    <w:rsid w:val="000D6C3A"/>
    <w:rsid w:val="000E66F2"/>
    <w:rsid w:val="000F3828"/>
    <w:rsid w:val="000F446A"/>
    <w:rsid w:val="0013258E"/>
    <w:rsid w:val="00133E44"/>
    <w:rsid w:val="0015511B"/>
    <w:rsid w:val="001F03AC"/>
    <w:rsid w:val="00210769"/>
    <w:rsid w:val="00221BD3"/>
    <w:rsid w:val="00225CD9"/>
    <w:rsid w:val="002534B0"/>
    <w:rsid w:val="002632C2"/>
    <w:rsid w:val="00265142"/>
    <w:rsid w:val="00283D61"/>
    <w:rsid w:val="002A5793"/>
    <w:rsid w:val="002D0C6B"/>
    <w:rsid w:val="002D7F1C"/>
    <w:rsid w:val="003432E9"/>
    <w:rsid w:val="003472A6"/>
    <w:rsid w:val="00356B78"/>
    <w:rsid w:val="00373974"/>
    <w:rsid w:val="00381687"/>
    <w:rsid w:val="00396DB3"/>
    <w:rsid w:val="003A7867"/>
    <w:rsid w:val="00402C78"/>
    <w:rsid w:val="00462230"/>
    <w:rsid w:val="004853D7"/>
    <w:rsid w:val="004A179A"/>
    <w:rsid w:val="004E686B"/>
    <w:rsid w:val="004F3C0B"/>
    <w:rsid w:val="00502063"/>
    <w:rsid w:val="005115E0"/>
    <w:rsid w:val="005433A9"/>
    <w:rsid w:val="005750AD"/>
    <w:rsid w:val="005841EB"/>
    <w:rsid w:val="005939DF"/>
    <w:rsid w:val="00593EE7"/>
    <w:rsid w:val="0059698D"/>
    <w:rsid w:val="005A1BD9"/>
    <w:rsid w:val="005B206B"/>
    <w:rsid w:val="005B27B8"/>
    <w:rsid w:val="005F173B"/>
    <w:rsid w:val="0060359D"/>
    <w:rsid w:val="00626C83"/>
    <w:rsid w:val="006341BD"/>
    <w:rsid w:val="00653351"/>
    <w:rsid w:val="00674BD3"/>
    <w:rsid w:val="00681413"/>
    <w:rsid w:val="006859C5"/>
    <w:rsid w:val="006C79FD"/>
    <w:rsid w:val="006D6E2A"/>
    <w:rsid w:val="007276D3"/>
    <w:rsid w:val="00742A3A"/>
    <w:rsid w:val="00747CC3"/>
    <w:rsid w:val="00773E40"/>
    <w:rsid w:val="00785437"/>
    <w:rsid w:val="007B5D72"/>
    <w:rsid w:val="007C1E6B"/>
    <w:rsid w:val="007D591A"/>
    <w:rsid w:val="007E6281"/>
    <w:rsid w:val="00812F91"/>
    <w:rsid w:val="0082360B"/>
    <w:rsid w:val="00827479"/>
    <w:rsid w:val="00846750"/>
    <w:rsid w:val="00856012"/>
    <w:rsid w:val="0086411F"/>
    <w:rsid w:val="008663B9"/>
    <w:rsid w:val="008876FA"/>
    <w:rsid w:val="008C7035"/>
    <w:rsid w:val="00906EE2"/>
    <w:rsid w:val="00932709"/>
    <w:rsid w:val="009626E2"/>
    <w:rsid w:val="009978B6"/>
    <w:rsid w:val="00997DE6"/>
    <w:rsid w:val="009A57BE"/>
    <w:rsid w:val="009C1EDA"/>
    <w:rsid w:val="009C2324"/>
    <w:rsid w:val="009D2E73"/>
    <w:rsid w:val="009E19AD"/>
    <w:rsid w:val="009E28C4"/>
    <w:rsid w:val="00A02EDE"/>
    <w:rsid w:val="00A257E6"/>
    <w:rsid w:val="00A25EED"/>
    <w:rsid w:val="00A82133"/>
    <w:rsid w:val="00A95799"/>
    <w:rsid w:val="00AB519E"/>
    <w:rsid w:val="00AF593D"/>
    <w:rsid w:val="00AF72FA"/>
    <w:rsid w:val="00B45843"/>
    <w:rsid w:val="00B45A62"/>
    <w:rsid w:val="00B520DE"/>
    <w:rsid w:val="00B546A0"/>
    <w:rsid w:val="00B62BE7"/>
    <w:rsid w:val="00B7548F"/>
    <w:rsid w:val="00B81661"/>
    <w:rsid w:val="00BB4489"/>
    <w:rsid w:val="00C05050"/>
    <w:rsid w:val="00C6564E"/>
    <w:rsid w:val="00C75107"/>
    <w:rsid w:val="00C943E7"/>
    <w:rsid w:val="00D13B53"/>
    <w:rsid w:val="00D847EF"/>
    <w:rsid w:val="00D973F1"/>
    <w:rsid w:val="00D97986"/>
    <w:rsid w:val="00DA2928"/>
    <w:rsid w:val="00DA557B"/>
    <w:rsid w:val="00DC55D4"/>
    <w:rsid w:val="00DC77C1"/>
    <w:rsid w:val="00DD22D6"/>
    <w:rsid w:val="00E001F2"/>
    <w:rsid w:val="00E30307"/>
    <w:rsid w:val="00E43DE9"/>
    <w:rsid w:val="00EB1721"/>
    <w:rsid w:val="00EE43D6"/>
    <w:rsid w:val="00F05EB1"/>
    <w:rsid w:val="00F13757"/>
    <w:rsid w:val="00F22837"/>
    <w:rsid w:val="00F30563"/>
    <w:rsid w:val="00F53088"/>
    <w:rsid w:val="00F64309"/>
    <w:rsid w:val="00F77B64"/>
    <w:rsid w:val="00FE74B5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6427C"/>
  <w15:docId w15:val="{7463B727-1F2B-4D35-B356-8CA70FE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21"/>
    <w:pPr>
      <w:ind w:left="720"/>
      <w:contextualSpacing/>
    </w:pPr>
    <w:rPr>
      <w:rFonts w:ascii="Calibri" w:eastAsia="SimSun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EB1721"/>
    <w:rPr>
      <w:b/>
      <w:bCs/>
    </w:rPr>
  </w:style>
  <w:style w:type="paragraph" w:customStyle="1" w:styleId="naisf">
    <w:name w:val="naisf"/>
    <w:basedOn w:val="Normal"/>
    <w:rsid w:val="00EB172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89"/>
  </w:style>
  <w:style w:type="paragraph" w:styleId="Footer">
    <w:name w:val="footer"/>
    <w:basedOn w:val="Normal"/>
    <w:link w:val="Foot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89"/>
  </w:style>
  <w:style w:type="paragraph" w:styleId="BalloonText">
    <w:name w:val="Balloon Text"/>
    <w:basedOn w:val="Normal"/>
    <w:link w:val="BalloonTextChar"/>
    <w:uiPriority w:val="99"/>
    <w:semiHidden/>
    <w:unhideWhenUsed/>
    <w:rsid w:val="00B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D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2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5150-68CF-4C4E-A2FA-1EEE3EE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gumijas materiāliem, kas iegūti no nolietotām riepām"</vt:lpstr>
    </vt:vector>
  </TitlesOfParts>
  <Company>VARAM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gumijas materiāliem, kas iegūti no nolietotām riepām"</dc:title>
  <dc:subject>Noteikumu projekts</dc:subject>
  <dc:creator>Ilze Doniņa</dc:creator>
  <dc:description>67026487, natalija.slaidina@varam.gov.lv, 67026515, ilze.donina@varam.gov.lv</dc:description>
  <cp:lastModifiedBy>Leontine Babkina</cp:lastModifiedBy>
  <cp:revision>12</cp:revision>
  <cp:lastPrinted>2018-11-09T11:42:00Z</cp:lastPrinted>
  <dcterms:created xsi:type="dcterms:W3CDTF">2018-05-24T08:12:00Z</dcterms:created>
  <dcterms:modified xsi:type="dcterms:W3CDTF">2018-11-14T09:27:00Z</dcterms:modified>
</cp:coreProperties>
</file>