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41D6" w14:textId="77777777" w:rsidR="00000FF8" w:rsidRPr="00382312" w:rsidRDefault="00AC7BC4" w:rsidP="0038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312">
        <w:rPr>
          <w:rFonts w:ascii="Times New Roman" w:hAnsi="Times New Roman" w:cs="Times New Roman"/>
          <w:sz w:val="28"/>
          <w:szCs w:val="28"/>
        </w:rPr>
        <w:t>2.</w:t>
      </w:r>
      <w:r w:rsidR="008F6DB0" w:rsidRPr="00382312">
        <w:rPr>
          <w:rFonts w:ascii="Times New Roman" w:hAnsi="Times New Roman" w:cs="Times New Roman"/>
          <w:sz w:val="28"/>
          <w:szCs w:val="28"/>
        </w:rPr>
        <w:t> </w:t>
      </w:r>
      <w:r w:rsidRPr="00382312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79DD41D7" w14:textId="77777777" w:rsidR="00000FF8" w:rsidRPr="00382312" w:rsidRDefault="00AC7BC4" w:rsidP="0038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31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AB575C9" w14:textId="3DBBE971" w:rsidR="00382312" w:rsidRPr="00382312" w:rsidRDefault="00382312" w:rsidP="0038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312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447739">
        <w:rPr>
          <w:rFonts w:ascii="Times New Roman" w:hAnsi="Times New Roman" w:cs="Times New Roman"/>
          <w:sz w:val="28"/>
          <w:szCs w:val="28"/>
        </w:rPr>
        <w:t>13. novembr</w:t>
      </w:r>
      <w:r w:rsidR="00447739">
        <w:rPr>
          <w:rFonts w:ascii="Times New Roman" w:hAnsi="Times New Roman" w:cs="Times New Roman"/>
          <w:sz w:val="28"/>
          <w:szCs w:val="28"/>
        </w:rPr>
        <w:t>a</w:t>
      </w:r>
    </w:p>
    <w:p w14:paraId="7E74822C" w14:textId="6FE25676" w:rsidR="00382312" w:rsidRPr="00382312" w:rsidRDefault="00382312" w:rsidP="0038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312">
        <w:rPr>
          <w:rFonts w:ascii="Times New Roman" w:hAnsi="Times New Roman" w:cs="Times New Roman"/>
          <w:sz w:val="28"/>
          <w:szCs w:val="28"/>
        </w:rPr>
        <w:t>noteikumiem Nr. </w:t>
      </w:r>
      <w:r w:rsidR="00447739">
        <w:rPr>
          <w:rFonts w:ascii="Times New Roman" w:hAnsi="Times New Roman" w:cs="Times New Roman"/>
          <w:sz w:val="28"/>
          <w:szCs w:val="28"/>
        </w:rPr>
        <w:t>682</w:t>
      </w:r>
      <w:bookmarkStart w:id="0" w:name="_GoBack"/>
      <w:bookmarkEnd w:id="0"/>
    </w:p>
    <w:p w14:paraId="79DD41DA" w14:textId="77777777" w:rsidR="00E054D3" w:rsidRPr="00382312" w:rsidRDefault="00E054D3" w:rsidP="003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43CF4" w14:textId="77777777" w:rsidR="00D623E6" w:rsidRDefault="00AC7BC4" w:rsidP="0038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12">
        <w:rPr>
          <w:rFonts w:ascii="Times New Roman" w:hAnsi="Times New Roman" w:cs="Times New Roman"/>
          <w:b/>
          <w:sz w:val="28"/>
          <w:szCs w:val="28"/>
        </w:rPr>
        <w:t xml:space="preserve">Deklarācija par </w:t>
      </w:r>
      <w:r w:rsidR="008C354B" w:rsidRPr="00382312">
        <w:rPr>
          <w:rFonts w:ascii="Times New Roman" w:hAnsi="Times New Roman" w:cs="Times New Roman"/>
          <w:b/>
          <w:sz w:val="28"/>
          <w:szCs w:val="28"/>
        </w:rPr>
        <w:t>otrreizēj</w:t>
      </w:r>
      <w:r w:rsidR="00D623E6">
        <w:rPr>
          <w:rFonts w:ascii="Times New Roman" w:hAnsi="Times New Roman" w:cs="Times New Roman"/>
          <w:b/>
          <w:sz w:val="28"/>
          <w:szCs w:val="28"/>
        </w:rPr>
        <w:t>o</w:t>
      </w:r>
      <w:r w:rsidR="008C354B" w:rsidRPr="00382312">
        <w:rPr>
          <w:rFonts w:ascii="Times New Roman" w:hAnsi="Times New Roman" w:cs="Times New Roman"/>
          <w:b/>
          <w:sz w:val="28"/>
          <w:szCs w:val="28"/>
        </w:rPr>
        <w:t xml:space="preserve"> izejviel</w:t>
      </w:r>
      <w:r w:rsidR="00D623E6">
        <w:rPr>
          <w:rFonts w:ascii="Times New Roman" w:hAnsi="Times New Roman" w:cs="Times New Roman"/>
          <w:b/>
          <w:sz w:val="28"/>
          <w:szCs w:val="28"/>
        </w:rPr>
        <w:t>u atbilstību</w:t>
      </w:r>
      <w:r w:rsidR="00AE0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DD41DB" w14:textId="11B4B36E" w:rsidR="00000FF8" w:rsidRPr="00382312" w:rsidRDefault="00AC7BC4" w:rsidP="0038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12">
        <w:rPr>
          <w:rFonts w:ascii="Times New Roman" w:hAnsi="Times New Roman" w:cs="Times New Roman"/>
          <w:b/>
          <w:sz w:val="28"/>
          <w:szCs w:val="28"/>
        </w:rPr>
        <w:t xml:space="preserve">atkritumu </w:t>
      </w:r>
      <w:r w:rsidR="00303674" w:rsidRPr="00382312">
        <w:rPr>
          <w:rFonts w:ascii="Times New Roman" w:hAnsi="Times New Roman" w:cs="Times New Roman"/>
          <w:b/>
          <w:sz w:val="28"/>
          <w:szCs w:val="28"/>
        </w:rPr>
        <w:t>statusa</w:t>
      </w:r>
      <w:r w:rsidRPr="00382312">
        <w:rPr>
          <w:rFonts w:ascii="Times New Roman" w:hAnsi="Times New Roman" w:cs="Times New Roman"/>
          <w:b/>
          <w:sz w:val="28"/>
          <w:szCs w:val="28"/>
        </w:rPr>
        <w:t xml:space="preserve"> izbeigšanas kritērijiem</w:t>
      </w:r>
    </w:p>
    <w:p w14:paraId="79DD41DC" w14:textId="08F735EA" w:rsidR="00DE1BB0" w:rsidRDefault="00DE1BB0" w:rsidP="0038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FB72" w14:textId="295A81A2" w:rsidR="004E25F4" w:rsidRPr="004E25F4" w:rsidRDefault="004E25F4" w:rsidP="00CB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67F94">
        <w:rPr>
          <w:rFonts w:ascii="Times New Roman" w:hAnsi="Times New Roman" w:cs="Times New Roman"/>
          <w:sz w:val="28"/>
          <w:szCs w:val="28"/>
        </w:rPr>
        <w:t xml:space="preserve">Ziņas par nolietotu riepu </w:t>
      </w:r>
      <w:r>
        <w:rPr>
          <w:rFonts w:ascii="Times New Roman" w:hAnsi="Times New Roman" w:cs="Times New Roman"/>
          <w:sz w:val="28"/>
          <w:szCs w:val="28"/>
        </w:rPr>
        <w:t>pārstrādātāju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2"/>
      </w:tblGrid>
      <w:tr w:rsidR="004E25F4" w14:paraId="0960CABE" w14:textId="77777777" w:rsidTr="004E25F4">
        <w:tc>
          <w:tcPr>
            <w:tcW w:w="3823" w:type="dxa"/>
          </w:tcPr>
          <w:p w14:paraId="43254C21" w14:textId="48754A63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Juridisk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s personas nosaukums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8E66296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0CBA7AF3" w14:textId="77777777" w:rsidTr="004E25F4">
        <w:tc>
          <w:tcPr>
            <w:tcW w:w="3823" w:type="dxa"/>
          </w:tcPr>
          <w:p w14:paraId="614EA1FB" w14:textId="1B1D587D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Reģistrācijas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numurs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20A8F48D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0697D52F" w14:textId="77777777" w:rsidTr="004E25F4">
        <w:tc>
          <w:tcPr>
            <w:tcW w:w="3823" w:type="dxa"/>
          </w:tcPr>
          <w:p w14:paraId="690B78D1" w14:textId="3F6D6A8E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Faktiskā adrese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7826E122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0E149A25" w14:textId="77777777" w:rsidTr="004E25F4">
        <w:tc>
          <w:tcPr>
            <w:tcW w:w="3823" w:type="dxa"/>
          </w:tcPr>
          <w:p w14:paraId="09DA1B0F" w14:textId="3F5F1668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0F4CBDA8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72550827" w14:textId="77777777" w:rsidTr="004E25F4">
        <w:tc>
          <w:tcPr>
            <w:tcW w:w="3823" w:type="dxa"/>
          </w:tcPr>
          <w:p w14:paraId="476A3530" w14:textId="3C323B9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Kontaktpersona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508751AC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0019981B" w14:textId="77777777" w:rsidTr="004E25F4">
        <w:tc>
          <w:tcPr>
            <w:tcW w:w="3823" w:type="dxa"/>
          </w:tcPr>
          <w:p w14:paraId="4326A3BF" w14:textId="4C1641F6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3C64BFA9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5B1CDFD9" w14:textId="77777777" w:rsidTr="004E25F4">
        <w:tc>
          <w:tcPr>
            <w:tcW w:w="3823" w:type="dxa"/>
          </w:tcPr>
          <w:p w14:paraId="70ECF1E3" w14:textId="718670B8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14:paraId="4D088681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49F9E3" w14:textId="2D145A5C" w:rsidR="004E25F4" w:rsidRDefault="004E25F4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B4BAD" w14:textId="664A07D2" w:rsidR="004E25F4" w:rsidRDefault="004E25F4" w:rsidP="00CB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67F94">
        <w:rPr>
          <w:rFonts w:ascii="Times New Roman" w:hAnsi="Times New Roman" w:cs="Times New Roman"/>
          <w:sz w:val="28"/>
          <w:szCs w:val="28"/>
        </w:rPr>
        <w:t xml:space="preserve">Otrreizējo izejvielu pircēja tehniskajā specifikācijā </w:t>
      </w:r>
      <w:r w:rsidR="00AE01BB">
        <w:rPr>
          <w:rFonts w:ascii="Times New Roman" w:hAnsi="Times New Roman" w:cs="Times New Roman"/>
          <w:sz w:val="28"/>
          <w:szCs w:val="28"/>
        </w:rPr>
        <w:t>noteiktās</w:t>
      </w:r>
      <w:r w:rsidRPr="00B67F94">
        <w:rPr>
          <w:rFonts w:ascii="Times New Roman" w:hAnsi="Times New Roman" w:cs="Times New Roman"/>
          <w:sz w:val="28"/>
          <w:szCs w:val="28"/>
        </w:rPr>
        <w:t xml:space="preserve"> otrreizējo izejvielu tehniskās prasības, t</w:t>
      </w:r>
      <w:r>
        <w:rPr>
          <w:rFonts w:ascii="Times New Roman" w:hAnsi="Times New Roman" w:cs="Times New Roman"/>
          <w:sz w:val="28"/>
          <w:szCs w:val="28"/>
        </w:rPr>
        <w:t xml:space="preserve">ai </w:t>
      </w:r>
      <w:r w:rsidRPr="00B67F94">
        <w:rPr>
          <w:rFonts w:ascii="Times New Roman" w:hAnsi="Times New Roman" w:cs="Times New Roman"/>
          <w:sz w:val="28"/>
          <w:szCs w:val="28"/>
        </w:rPr>
        <w:t>sk</w:t>
      </w:r>
      <w:r>
        <w:rPr>
          <w:rFonts w:ascii="Times New Roman" w:hAnsi="Times New Roman" w:cs="Times New Roman"/>
          <w:sz w:val="28"/>
          <w:szCs w:val="28"/>
        </w:rPr>
        <w:t>aitā</w:t>
      </w:r>
      <w:r w:rsidRPr="00B67F94">
        <w:rPr>
          <w:rFonts w:ascii="Times New Roman" w:hAnsi="Times New Roman" w:cs="Times New Roman"/>
          <w:sz w:val="28"/>
          <w:szCs w:val="28"/>
        </w:rPr>
        <w:t xml:space="preserve"> sastāvs, izmērs, piejaukumi, fizikālās un ķīmiskās īpašības (norādīt tehniskās prasības)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E25F4" w14:paraId="0908DB2B" w14:textId="77777777" w:rsidTr="004E25F4">
        <w:tc>
          <w:tcPr>
            <w:tcW w:w="9055" w:type="dxa"/>
          </w:tcPr>
          <w:p w14:paraId="09AE914D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F4" w14:paraId="4D9C2679" w14:textId="77777777" w:rsidTr="004E25F4">
        <w:tc>
          <w:tcPr>
            <w:tcW w:w="9055" w:type="dxa"/>
          </w:tcPr>
          <w:p w14:paraId="33CCA9D5" w14:textId="77777777" w:rsidR="004E25F4" w:rsidRDefault="004E25F4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5037A" w14:textId="2AF9D291" w:rsidR="004E25F4" w:rsidRDefault="00AE01BB" w:rsidP="00AE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4">
        <w:rPr>
          <w:rFonts w:ascii="Times New Roman" w:hAnsi="Times New Roman" w:cs="Times New Roman"/>
          <w:sz w:val="28"/>
          <w:szCs w:val="28"/>
        </w:rPr>
        <w:t>No nolietotām riepām iegūt</w:t>
      </w:r>
      <w:r w:rsidR="001D36B2">
        <w:rPr>
          <w:rFonts w:ascii="Times New Roman" w:hAnsi="Times New Roman" w:cs="Times New Roman"/>
          <w:sz w:val="28"/>
          <w:szCs w:val="28"/>
        </w:rPr>
        <w:t>ā</w:t>
      </w:r>
      <w:r w:rsidRPr="00B67F94">
        <w:rPr>
          <w:rFonts w:ascii="Times New Roman" w:hAnsi="Times New Roman" w:cs="Times New Roman"/>
          <w:sz w:val="28"/>
          <w:szCs w:val="28"/>
        </w:rPr>
        <w:t>s otrreizējās izejvielas atbilst tehniskajā specifikācijā noteiktajām prasībām.</w:t>
      </w:r>
    </w:p>
    <w:p w14:paraId="55E4BC1E" w14:textId="43B7C9DC" w:rsidR="004E25F4" w:rsidRDefault="004E25F4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7DD6D" w14:textId="4ED66565" w:rsidR="00AE01BB" w:rsidRDefault="00AE01BB" w:rsidP="00CB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01BB">
        <w:rPr>
          <w:rFonts w:ascii="Times New Roman" w:hAnsi="Times New Roman" w:cs="Times New Roman"/>
          <w:sz w:val="28"/>
          <w:szCs w:val="28"/>
        </w:rPr>
        <w:t xml:space="preserve"> </w:t>
      </w:r>
      <w:r w:rsidRPr="00B67F94">
        <w:rPr>
          <w:rFonts w:ascii="Times New Roman" w:hAnsi="Times New Roman" w:cs="Times New Roman"/>
          <w:sz w:val="28"/>
          <w:szCs w:val="28"/>
        </w:rPr>
        <w:t>Sūtījuma apjoms kilogramos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3941F353" w14:textId="5F5FD619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569E0" w14:textId="102BFFF1" w:rsidR="00AE01BB" w:rsidRDefault="00AE01BB" w:rsidP="00CB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CD7">
        <w:rPr>
          <w:rFonts w:ascii="Times New Roman" w:hAnsi="Times New Roman" w:cs="Times New Roman"/>
          <w:sz w:val="28"/>
          <w:szCs w:val="28"/>
        </w:rPr>
        <w:t> </w:t>
      </w:r>
      <w:r w:rsidRPr="00B67F94">
        <w:rPr>
          <w:rFonts w:ascii="Times New Roman" w:hAnsi="Times New Roman" w:cs="Times New Roman"/>
          <w:sz w:val="28"/>
          <w:szCs w:val="28"/>
        </w:rPr>
        <w:t>No nolietotām riepām iegūtās otrreizējās izejvielas atbilst piemēro</w:t>
      </w:r>
      <w:r>
        <w:rPr>
          <w:rFonts w:ascii="Times New Roman" w:hAnsi="Times New Roman" w:cs="Times New Roman"/>
          <w:sz w:val="28"/>
          <w:szCs w:val="28"/>
        </w:rPr>
        <w:t>tā</w:t>
      </w:r>
      <w:r w:rsidRPr="00B67F94">
        <w:rPr>
          <w:rFonts w:ascii="Times New Roman" w:hAnsi="Times New Roman" w:cs="Times New Roman"/>
          <w:sz w:val="28"/>
          <w:szCs w:val="28"/>
        </w:rPr>
        <w:t xml:space="preserve"> atkritumu statusa izbeigšanas kritērijiem.*</w:t>
      </w:r>
    </w:p>
    <w:p w14:paraId="36047B9E" w14:textId="65072D05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703BD" w14:textId="04DE1103" w:rsidR="00AE01BB" w:rsidRDefault="00AE01BB" w:rsidP="00CB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67F94">
        <w:rPr>
          <w:rFonts w:ascii="Times New Roman" w:hAnsi="Times New Roman" w:cs="Times New Roman"/>
          <w:sz w:val="28"/>
          <w:szCs w:val="28"/>
        </w:rPr>
        <w:t xml:space="preserve">Nolietotu riepu </w:t>
      </w:r>
      <w:r w:rsidRPr="00B67F94">
        <w:rPr>
          <w:rFonts w:ascii="Times New Roman" w:hAnsi="Times New Roman"/>
          <w:sz w:val="28"/>
          <w:szCs w:val="28"/>
        </w:rPr>
        <w:t xml:space="preserve">pārstrādes veicējs </w:t>
      </w:r>
      <w:r w:rsidRPr="00B67F94">
        <w:rPr>
          <w:rFonts w:ascii="Times New Roman" w:hAnsi="Times New Roman" w:cs="Times New Roman"/>
          <w:sz w:val="28"/>
          <w:szCs w:val="28"/>
        </w:rPr>
        <w:t>darbojas saskaņā ar kvalitātes pārvaldības sistēmu.</w:t>
      </w:r>
    </w:p>
    <w:p w14:paraId="24D3728D" w14:textId="563F49AD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A446B" w14:textId="6FF07EBE" w:rsidR="00AE01BB" w:rsidRDefault="00AE01BB" w:rsidP="00CB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67F94">
        <w:rPr>
          <w:rFonts w:ascii="Times New Roman" w:hAnsi="Times New Roman" w:cs="Times New Roman"/>
          <w:sz w:val="28"/>
          <w:szCs w:val="28"/>
        </w:rPr>
        <w:t>Sūtījumā ietvertās otrreizējās izejvielas ir paredzētas tikai tiešai izmantošanai (norādīt paredzēto izmantošanu)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E01BB" w14:paraId="0D65CA98" w14:textId="77777777" w:rsidTr="00AE01BB">
        <w:tc>
          <w:tcPr>
            <w:tcW w:w="9055" w:type="dxa"/>
            <w:tcBorders>
              <w:bottom w:val="single" w:sz="4" w:space="0" w:color="auto"/>
            </w:tcBorders>
          </w:tcPr>
          <w:p w14:paraId="4D59E9A9" w14:textId="77777777" w:rsidR="00AE01BB" w:rsidRDefault="00AE01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B" w14:paraId="1DB2B923" w14:textId="77777777" w:rsidTr="00AE01BB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14:paraId="1519E6AA" w14:textId="77777777" w:rsidR="00AE01BB" w:rsidRDefault="00AE01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CCAAA" w14:textId="783B2D9D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612F" w14:textId="1E5294F3" w:rsidR="00AE01BB" w:rsidRDefault="00AE01BB" w:rsidP="00CB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Cita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E01BB" w14:paraId="5F32D9F0" w14:textId="77777777" w:rsidTr="00AE01BB">
        <w:tc>
          <w:tcPr>
            <w:tcW w:w="9055" w:type="dxa"/>
            <w:tcBorders>
              <w:bottom w:val="single" w:sz="4" w:space="0" w:color="auto"/>
            </w:tcBorders>
          </w:tcPr>
          <w:p w14:paraId="3441E675" w14:textId="77777777" w:rsidR="00AE01BB" w:rsidRDefault="00AE01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B" w14:paraId="6DAE8CA8" w14:textId="77777777" w:rsidTr="00AE01BB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14:paraId="3CDFB84F" w14:textId="77777777" w:rsidR="00AE01BB" w:rsidRDefault="00AE01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8DE01" w14:textId="77D9C140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43F4E" w14:textId="3430BBF4" w:rsidR="00AE01BB" w:rsidRDefault="00AE01BB" w:rsidP="00CB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B67F94">
        <w:rPr>
          <w:rFonts w:ascii="Times New Roman" w:hAnsi="Times New Roman" w:cs="Times New Roman"/>
          <w:sz w:val="28"/>
          <w:szCs w:val="28"/>
        </w:rPr>
        <w:t>Apliecinu, ka visa deklarācijā minētā informācija ir pilnīga un pareiza.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679"/>
        <w:gridCol w:w="311"/>
        <w:gridCol w:w="2666"/>
        <w:gridCol w:w="324"/>
        <w:gridCol w:w="1506"/>
      </w:tblGrid>
      <w:tr w:rsidR="00F423BB" w14:paraId="25DCA302" w14:textId="77777777" w:rsidTr="00F423BB">
        <w:tc>
          <w:tcPr>
            <w:tcW w:w="1569" w:type="dxa"/>
          </w:tcPr>
          <w:p w14:paraId="4208A377" w14:textId="7345BB3D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Komersanta pārstāv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6073E432" w14:textId="77777777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9063571" w14:textId="77777777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5E3D23BD" w14:textId="77777777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14:paraId="6A90F4E1" w14:textId="77777777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60F592B" w14:textId="77777777" w:rsidR="00F423BB" w:rsidRDefault="00F423BB" w:rsidP="004E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B" w14:paraId="23A2B879" w14:textId="77777777" w:rsidTr="00F423BB">
        <w:tc>
          <w:tcPr>
            <w:tcW w:w="1569" w:type="dxa"/>
          </w:tcPr>
          <w:p w14:paraId="1C665C25" w14:textId="77777777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1DE9B7CF" w14:textId="1DAFFB26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23B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" w:type="dxa"/>
          </w:tcPr>
          <w:p w14:paraId="2A3D34CD" w14:textId="77777777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91F6395" w14:textId="0342A8AA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23BB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" w:type="dxa"/>
          </w:tcPr>
          <w:p w14:paraId="143C0D12" w14:textId="77777777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ECE1905" w14:textId="2F4D3CA7" w:rsidR="00F423BB" w:rsidRPr="00F423BB" w:rsidRDefault="00F423BB" w:rsidP="00F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23BB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DEA48C" w14:textId="39C6728B" w:rsidR="00AE01BB" w:rsidRDefault="00AE01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508FB" w14:textId="056ED2E2" w:rsidR="00F423BB" w:rsidRDefault="00F423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 ________________________</w:t>
      </w:r>
    </w:p>
    <w:p w14:paraId="1625D31C" w14:textId="77777777" w:rsidR="00F423BB" w:rsidRDefault="00F423BB" w:rsidP="004E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D421A" w14:textId="2195FCFC" w:rsidR="00000FF8" w:rsidRPr="00F423BB" w:rsidRDefault="00AC7BC4" w:rsidP="00F423BB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3BB">
        <w:rPr>
          <w:rFonts w:ascii="Times New Roman" w:hAnsi="Times New Roman" w:cs="Times New Roman"/>
          <w:sz w:val="24"/>
          <w:szCs w:val="24"/>
        </w:rPr>
        <w:t xml:space="preserve">Piezīme. * </w:t>
      </w:r>
      <w:r w:rsidR="008C354B" w:rsidRPr="00F423BB">
        <w:rPr>
          <w:rFonts w:ascii="Times New Roman" w:hAnsi="Times New Roman" w:cs="Times New Roman"/>
          <w:sz w:val="24"/>
          <w:szCs w:val="24"/>
        </w:rPr>
        <w:t>Kritēriji noteikti Ministru kabineta 2018.</w:t>
      </w:r>
      <w:r w:rsidR="00D811EB" w:rsidRPr="00F423BB">
        <w:rPr>
          <w:rFonts w:ascii="Times New Roman" w:hAnsi="Times New Roman" w:cs="Times New Roman"/>
          <w:sz w:val="24"/>
          <w:szCs w:val="24"/>
        </w:rPr>
        <w:t> </w:t>
      </w:r>
      <w:r w:rsidR="008C354B" w:rsidRPr="00F423BB">
        <w:rPr>
          <w:rFonts w:ascii="Times New Roman" w:hAnsi="Times New Roman" w:cs="Times New Roman"/>
          <w:sz w:val="24"/>
          <w:szCs w:val="24"/>
        </w:rPr>
        <w:t xml:space="preserve">gada </w:t>
      </w:r>
      <w:r w:rsidR="00855DA5">
        <w:rPr>
          <w:rFonts w:ascii="Times New Roman" w:hAnsi="Times New Roman" w:cs="Times New Roman"/>
          <w:sz w:val="24"/>
          <w:szCs w:val="24"/>
        </w:rPr>
        <w:t>13. novembra</w:t>
      </w:r>
      <w:r w:rsidR="008C354B" w:rsidRPr="00F423BB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855DA5">
        <w:rPr>
          <w:rFonts w:ascii="Times New Roman" w:hAnsi="Times New Roman" w:cs="Times New Roman"/>
          <w:sz w:val="24"/>
          <w:szCs w:val="24"/>
        </w:rPr>
        <w:t> 682</w:t>
      </w:r>
      <w:r w:rsidR="008C354B" w:rsidRPr="00F423BB">
        <w:rPr>
          <w:rFonts w:ascii="Times New Roman" w:hAnsi="Times New Roman" w:cs="Times New Roman"/>
          <w:sz w:val="24"/>
          <w:szCs w:val="24"/>
        </w:rPr>
        <w:t xml:space="preserve"> </w:t>
      </w:r>
      <w:r w:rsidR="00382312" w:rsidRPr="00F423BB">
        <w:rPr>
          <w:rFonts w:ascii="Times New Roman" w:hAnsi="Times New Roman" w:cs="Times New Roman"/>
          <w:sz w:val="24"/>
          <w:szCs w:val="24"/>
        </w:rPr>
        <w:t>"</w:t>
      </w:r>
      <w:r w:rsidR="001D36B2" w:rsidRPr="001D36B2">
        <w:rPr>
          <w:rFonts w:ascii="Times New Roman" w:hAnsi="Times New Roman" w:cs="Times New Roman"/>
          <w:sz w:val="24"/>
          <w:szCs w:val="24"/>
        </w:rPr>
        <w:t>Kārtība, kādā izbeidz piemērot atkritumu statusu no nolietotām riepām iegūtiem gumijas materiāliem</w:t>
      </w:r>
      <w:r w:rsidR="00382312" w:rsidRPr="00F423BB">
        <w:rPr>
          <w:rFonts w:ascii="Times New Roman" w:hAnsi="Times New Roman" w:cs="Times New Roman"/>
          <w:sz w:val="24"/>
          <w:szCs w:val="24"/>
        </w:rPr>
        <w:t>"</w:t>
      </w:r>
      <w:r w:rsidR="008C354B" w:rsidRPr="00F423BB">
        <w:rPr>
          <w:rFonts w:ascii="Times New Roman" w:hAnsi="Times New Roman" w:cs="Times New Roman"/>
          <w:sz w:val="24"/>
          <w:szCs w:val="24"/>
        </w:rPr>
        <w:t xml:space="preserve"> 1.</w:t>
      </w:r>
      <w:r w:rsidR="00D811EB" w:rsidRPr="00F423BB">
        <w:rPr>
          <w:rFonts w:ascii="Times New Roman" w:hAnsi="Times New Roman" w:cs="Times New Roman"/>
          <w:sz w:val="24"/>
          <w:szCs w:val="24"/>
        </w:rPr>
        <w:t> </w:t>
      </w:r>
      <w:r w:rsidR="008C354B" w:rsidRPr="00F423BB">
        <w:rPr>
          <w:rFonts w:ascii="Times New Roman" w:hAnsi="Times New Roman" w:cs="Times New Roman"/>
          <w:sz w:val="24"/>
          <w:szCs w:val="24"/>
        </w:rPr>
        <w:t>pielikumā un ie</w:t>
      </w:r>
      <w:r w:rsidR="001D36B2">
        <w:rPr>
          <w:rFonts w:ascii="Times New Roman" w:hAnsi="Times New Roman" w:cs="Times New Roman"/>
          <w:sz w:val="24"/>
          <w:szCs w:val="24"/>
        </w:rPr>
        <w:t>kļauti</w:t>
      </w:r>
      <w:r w:rsidR="008C354B" w:rsidRPr="00F423BB">
        <w:rPr>
          <w:rFonts w:ascii="Times New Roman" w:hAnsi="Times New Roman" w:cs="Times New Roman"/>
          <w:sz w:val="24"/>
          <w:szCs w:val="24"/>
        </w:rPr>
        <w:t xml:space="preserve"> </w:t>
      </w:r>
      <w:r w:rsidR="00230A94" w:rsidRPr="00F423BB">
        <w:rPr>
          <w:rFonts w:ascii="Times New Roman" w:hAnsi="Times New Roman" w:cs="Times New Roman"/>
          <w:sz w:val="24"/>
          <w:szCs w:val="24"/>
        </w:rPr>
        <w:t>nolietotu riepu pārstrād</w:t>
      </w:r>
      <w:r w:rsidRPr="00F423BB">
        <w:rPr>
          <w:rFonts w:ascii="Times New Roman" w:hAnsi="Times New Roman" w:cs="Times New Roman"/>
          <w:sz w:val="24"/>
          <w:szCs w:val="24"/>
        </w:rPr>
        <w:t>ātāja</w:t>
      </w:r>
      <w:r w:rsidR="00230A94" w:rsidRPr="00F423BB">
        <w:rPr>
          <w:rFonts w:ascii="Times New Roman" w:hAnsi="Times New Roman" w:cs="Times New Roman"/>
          <w:sz w:val="24"/>
          <w:szCs w:val="24"/>
        </w:rPr>
        <w:t xml:space="preserve"> </w:t>
      </w:r>
      <w:r w:rsidR="008C354B" w:rsidRPr="00F423BB">
        <w:rPr>
          <w:rFonts w:ascii="Times New Roman" w:hAnsi="Times New Roman" w:cs="Times New Roman"/>
          <w:sz w:val="24"/>
          <w:szCs w:val="24"/>
        </w:rPr>
        <w:t>kvalitātes pārvaldības sistēmā.</w:t>
      </w:r>
    </w:p>
    <w:p w14:paraId="11912A39" w14:textId="77777777" w:rsidR="00382312" w:rsidRPr="00347B25" w:rsidRDefault="00382312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90D7F10" w14:textId="576087EF" w:rsidR="00382312" w:rsidRDefault="00382312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D4BAEFF" w14:textId="77777777" w:rsidR="00CB1CD7" w:rsidRPr="00347B25" w:rsidRDefault="00CB1CD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5D03EAF" w14:textId="77777777" w:rsidR="00382312" w:rsidRDefault="00382312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0101B06C" w14:textId="77777777" w:rsidR="00382312" w:rsidRPr="00347B25" w:rsidRDefault="00382312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  <w:t>Kaspars Gerhards</w:t>
      </w:r>
    </w:p>
    <w:sectPr w:rsidR="00382312" w:rsidRPr="00347B25" w:rsidSect="00382312">
      <w:headerReference w:type="default" r:id="rId7"/>
      <w:footerReference w:type="default" r:id="rId8"/>
      <w:footerReference w:type="first" r:id="rId9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4228" w14:textId="77777777" w:rsidR="007C183D" w:rsidRDefault="00AC7BC4">
      <w:pPr>
        <w:spacing w:after="0" w:line="240" w:lineRule="auto"/>
      </w:pPr>
      <w:r>
        <w:separator/>
      </w:r>
    </w:p>
  </w:endnote>
  <w:endnote w:type="continuationSeparator" w:id="0">
    <w:p w14:paraId="79DD422A" w14:textId="77777777" w:rsidR="007C183D" w:rsidRDefault="00A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5658" w14:textId="77777777" w:rsidR="00382312" w:rsidRPr="00382312" w:rsidRDefault="00382312" w:rsidP="0038231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N1213_8p2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0355" w14:textId="7FB56E14" w:rsidR="00382312" w:rsidRPr="00382312" w:rsidRDefault="0038231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N1213_8p2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4224" w14:textId="77777777" w:rsidR="007C183D" w:rsidRDefault="00AC7BC4">
      <w:pPr>
        <w:spacing w:after="0" w:line="240" w:lineRule="auto"/>
      </w:pPr>
      <w:r>
        <w:separator/>
      </w:r>
    </w:p>
  </w:footnote>
  <w:footnote w:type="continuationSeparator" w:id="0">
    <w:p w14:paraId="79DD4226" w14:textId="77777777" w:rsidR="007C183D" w:rsidRDefault="00AC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61515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DD4220" w14:textId="184EC9AE" w:rsidR="002D1E29" w:rsidRPr="0078724D" w:rsidRDefault="00AC7BC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2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D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2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AA728F"/>
    <w:multiLevelType w:val="hybridMultilevel"/>
    <w:tmpl w:val="79E4A316"/>
    <w:lvl w:ilvl="0" w:tplc="58728A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CE23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C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5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EB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ED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2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A4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84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FF0B1C"/>
    <w:multiLevelType w:val="hybridMultilevel"/>
    <w:tmpl w:val="FE76C0C6"/>
    <w:lvl w:ilvl="0" w:tplc="9E26C6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760D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89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D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2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03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8B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64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0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E59493C"/>
    <w:multiLevelType w:val="hybridMultilevel"/>
    <w:tmpl w:val="B58A1206"/>
    <w:lvl w:ilvl="0" w:tplc="0CBE2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9CA6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8B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2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E5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06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7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C7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ED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F8"/>
    <w:rsid w:val="00000FF8"/>
    <w:rsid w:val="00080D59"/>
    <w:rsid w:val="00085233"/>
    <w:rsid w:val="000B6B76"/>
    <w:rsid w:val="000B6D43"/>
    <w:rsid w:val="000D6C3A"/>
    <w:rsid w:val="0010273C"/>
    <w:rsid w:val="0012185C"/>
    <w:rsid w:val="001374A6"/>
    <w:rsid w:val="00151D1C"/>
    <w:rsid w:val="00192B7E"/>
    <w:rsid w:val="001D36B2"/>
    <w:rsid w:val="001D455B"/>
    <w:rsid w:val="001F2946"/>
    <w:rsid w:val="002028FC"/>
    <w:rsid w:val="002142B9"/>
    <w:rsid w:val="0022481E"/>
    <w:rsid w:val="0022569D"/>
    <w:rsid w:val="00230A94"/>
    <w:rsid w:val="002324C3"/>
    <w:rsid w:val="00234C22"/>
    <w:rsid w:val="00254BBD"/>
    <w:rsid w:val="002823BC"/>
    <w:rsid w:val="00296526"/>
    <w:rsid w:val="002A6E61"/>
    <w:rsid w:val="002C2B81"/>
    <w:rsid w:val="002C551E"/>
    <w:rsid w:val="002D1E29"/>
    <w:rsid w:val="002D5DC2"/>
    <w:rsid w:val="00303674"/>
    <w:rsid w:val="003130D4"/>
    <w:rsid w:val="003637B6"/>
    <w:rsid w:val="00382312"/>
    <w:rsid w:val="00384025"/>
    <w:rsid w:val="003C7088"/>
    <w:rsid w:val="003D036A"/>
    <w:rsid w:val="003F4B3D"/>
    <w:rsid w:val="004060E4"/>
    <w:rsid w:val="00425729"/>
    <w:rsid w:val="00436840"/>
    <w:rsid w:val="0044264F"/>
    <w:rsid w:val="00447739"/>
    <w:rsid w:val="00471293"/>
    <w:rsid w:val="00486B0F"/>
    <w:rsid w:val="00495D8D"/>
    <w:rsid w:val="004B6518"/>
    <w:rsid w:val="004C2438"/>
    <w:rsid w:val="004C4485"/>
    <w:rsid w:val="004C73D0"/>
    <w:rsid w:val="004D7192"/>
    <w:rsid w:val="004E25F4"/>
    <w:rsid w:val="005056C2"/>
    <w:rsid w:val="0053482C"/>
    <w:rsid w:val="00534D97"/>
    <w:rsid w:val="00535703"/>
    <w:rsid w:val="005549C2"/>
    <w:rsid w:val="0057019A"/>
    <w:rsid w:val="005B34C9"/>
    <w:rsid w:val="005D0E22"/>
    <w:rsid w:val="006134CC"/>
    <w:rsid w:val="006328D4"/>
    <w:rsid w:val="00673D10"/>
    <w:rsid w:val="006A4968"/>
    <w:rsid w:val="006E3887"/>
    <w:rsid w:val="006F292F"/>
    <w:rsid w:val="0070083C"/>
    <w:rsid w:val="0073036C"/>
    <w:rsid w:val="0073387E"/>
    <w:rsid w:val="00745139"/>
    <w:rsid w:val="00766540"/>
    <w:rsid w:val="0078724D"/>
    <w:rsid w:val="00793FD1"/>
    <w:rsid w:val="007C183D"/>
    <w:rsid w:val="0081585D"/>
    <w:rsid w:val="008330E1"/>
    <w:rsid w:val="00855DA5"/>
    <w:rsid w:val="008663B9"/>
    <w:rsid w:val="00875DDF"/>
    <w:rsid w:val="00877A5F"/>
    <w:rsid w:val="0088493F"/>
    <w:rsid w:val="008B17E9"/>
    <w:rsid w:val="008C354B"/>
    <w:rsid w:val="008C77C1"/>
    <w:rsid w:val="008E476C"/>
    <w:rsid w:val="008F47BA"/>
    <w:rsid w:val="008F6DB0"/>
    <w:rsid w:val="009000C9"/>
    <w:rsid w:val="00905E57"/>
    <w:rsid w:val="009234D0"/>
    <w:rsid w:val="0094740E"/>
    <w:rsid w:val="00963319"/>
    <w:rsid w:val="009A04F0"/>
    <w:rsid w:val="009A2C9C"/>
    <w:rsid w:val="00A150EF"/>
    <w:rsid w:val="00A23DED"/>
    <w:rsid w:val="00A35EE2"/>
    <w:rsid w:val="00A379E6"/>
    <w:rsid w:val="00A52F01"/>
    <w:rsid w:val="00A578D1"/>
    <w:rsid w:val="00A6554A"/>
    <w:rsid w:val="00A83586"/>
    <w:rsid w:val="00AC7BC4"/>
    <w:rsid w:val="00AE01BB"/>
    <w:rsid w:val="00AF72FA"/>
    <w:rsid w:val="00B55A64"/>
    <w:rsid w:val="00B64F99"/>
    <w:rsid w:val="00B67F94"/>
    <w:rsid w:val="00B72400"/>
    <w:rsid w:val="00B754AC"/>
    <w:rsid w:val="00BB6587"/>
    <w:rsid w:val="00BC1E43"/>
    <w:rsid w:val="00BF750F"/>
    <w:rsid w:val="00C2138E"/>
    <w:rsid w:val="00C23F0B"/>
    <w:rsid w:val="00C64229"/>
    <w:rsid w:val="00C7049F"/>
    <w:rsid w:val="00CA60C4"/>
    <w:rsid w:val="00CB1CD7"/>
    <w:rsid w:val="00CB7FD0"/>
    <w:rsid w:val="00CD01D7"/>
    <w:rsid w:val="00D16BD8"/>
    <w:rsid w:val="00D35F51"/>
    <w:rsid w:val="00D50B7C"/>
    <w:rsid w:val="00D623E6"/>
    <w:rsid w:val="00D72141"/>
    <w:rsid w:val="00D811EB"/>
    <w:rsid w:val="00D83C4D"/>
    <w:rsid w:val="00DE1BB0"/>
    <w:rsid w:val="00DF2AC4"/>
    <w:rsid w:val="00E04B5B"/>
    <w:rsid w:val="00E04BEF"/>
    <w:rsid w:val="00E054D3"/>
    <w:rsid w:val="00E212E4"/>
    <w:rsid w:val="00E63431"/>
    <w:rsid w:val="00E81887"/>
    <w:rsid w:val="00ED5B42"/>
    <w:rsid w:val="00ED73C3"/>
    <w:rsid w:val="00EE3C11"/>
    <w:rsid w:val="00F03ECE"/>
    <w:rsid w:val="00F145A1"/>
    <w:rsid w:val="00F34D2D"/>
    <w:rsid w:val="00F423BB"/>
    <w:rsid w:val="00F5126C"/>
    <w:rsid w:val="00FA5EAF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41D6"/>
  <w15:docId w15:val="{86D0CE91-268D-4527-A9E1-1D0FA11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0F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D3"/>
  </w:style>
  <w:style w:type="paragraph" w:styleId="Footer">
    <w:name w:val="footer"/>
    <w:basedOn w:val="Normal"/>
    <w:link w:val="Foot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D3"/>
  </w:style>
  <w:style w:type="paragraph" w:styleId="BalloonText">
    <w:name w:val="Balloon Text"/>
    <w:basedOn w:val="Normal"/>
    <w:link w:val="BalloonTextChar"/>
    <w:uiPriority w:val="99"/>
    <w:semiHidden/>
    <w:unhideWhenUsed/>
    <w:rsid w:val="00E0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0EF"/>
    <w:pPr>
      <w:ind w:left="720"/>
      <w:contextualSpacing/>
    </w:pPr>
  </w:style>
  <w:style w:type="paragraph" w:styleId="Revision">
    <w:name w:val="Revision"/>
    <w:hidden/>
    <w:uiPriority w:val="99"/>
    <w:semiHidden/>
    <w:rsid w:val="00A52F01"/>
    <w:pPr>
      <w:spacing w:after="0" w:line="240" w:lineRule="auto"/>
    </w:pPr>
  </w:style>
  <w:style w:type="table" w:styleId="TableGrid">
    <w:name w:val="Table Grid"/>
    <w:basedOn w:val="TableNormal"/>
    <w:uiPriority w:val="39"/>
    <w:rsid w:val="0042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gumijas materiāliem, kas iegūti no nolietotām riepām"</vt:lpstr>
    </vt:vector>
  </TitlesOfParts>
  <Company>VARAM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gumijas materiāliem, kas iegūti no nolietotām riepām"</dc:title>
  <dc:subject>Noteikumu projekts</dc:subject>
  <dc:creator>Ilze Doniņa</dc:creator>
  <dc:description>67026487, natalija.slaidina@varam.gov.lv, 67026515, ilze.donina@varam.gov.lv</dc:description>
  <cp:lastModifiedBy>Leontine Babkina</cp:lastModifiedBy>
  <cp:revision>13</cp:revision>
  <cp:lastPrinted>2018-11-12T08:05:00Z</cp:lastPrinted>
  <dcterms:created xsi:type="dcterms:W3CDTF">2018-05-24T08:14:00Z</dcterms:created>
  <dcterms:modified xsi:type="dcterms:W3CDTF">2018-11-14T09:28:00Z</dcterms:modified>
</cp:coreProperties>
</file>