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4BDB" w14:textId="2F944A40" w:rsidR="00F37B32" w:rsidRPr="00F37B32" w:rsidRDefault="00F37B32" w:rsidP="00F37B32">
      <w:pPr>
        <w:pStyle w:val="NoSpacing"/>
        <w:jc w:val="center"/>
        <w:rPr>
          <w:rFonts w:ascii="Times New Roman" w:hAnsi="Times New Roman"/>
          <w:sz w:val="26"/>
          <w:szCs w:val="26"/>
        </w:rPr>
      </w:pPr>
      <w:bookmarkStart w:id="0" w:name="OLE_LINK3"/>
      <w:bookmarkStart w:id="1" w:name="OLE_LINK4"/>
      <w:bookmarkStart w:id="2" w:name="OLE_LINK1"/>
      <w:r w:rsidRPr="00F37B32">
        <w:rPr>
          <w:rFonts w:ascii="Times New Roman" w:hAnsi="Times New Roman"/>
          <w:sz w:val="26"/>
          <w:szCs w:val="26"/>
        </w:rPr>
        <w:t>Ministru kabineta noteikumu</w:t>
      </w:r>
    </w:p>
    <w:p w14:paraId="2CFCEBF9" w14:textId="18DD7A21" w:rsidR="00F37B32" w:rsidRPr="00F37B32" w:rsidRDefault="00F37B32" w:rsidP="00F37B32">
      <w:pPr>
        <w:pStyle w:val="NoSpacing"/>
        <w:jc w:val="center"/>
        <w:rPr>
          <w:rFonts w:ascii="Times New Roman" w:hAnsi="Times New Roman"/>
          <w:b/>
          <w:sz w:val="26"/>
          <w:szCs w:val="26"/>
        </w:rPr>
      </w:pPr>
      <w:r w:rsidRPr="00F37B32">
        <w:rPr>
          <w:rFonts w:ascii="Times New Roman" w:hAnsi="Times New Roman"/>
          <w:b/>
          <w:sz w:val="26"/>
          <w:szCs w:val="26"/>
        </w:rPr>
        <w:t>„</w:t>
      </w:r>
      <w:r w:rsidRPr="00F37B32">
        <w:rPr>
          <w:rFonts w:ascii="Times New Roman" w:hAnsi="Times New Roman"/>
          <w:b/>
          <w:iCs/>
          <w:sz w:val="26"/>
          <w:szCs w:val="26"/>
        </w:rPr>
        <w:t xml:space="preserve"> </w:t>
      </w:r>
      <w:r w:rsidR="00752F8C">
        <w:rPr>
          <w:rFonts w:ascii="Times New Roman" w:hAnsi="Times New Roman"/>
          <w:b/>
          <w:iCs/>
          <w:sz w:val="26"/>
          <w:szCs w:val="26"/>
        </w:rPr>
        <w:t>Grozījumi Ministru kabineta 2013. gada 22. oktobra noteikumos Nr. 1176 “Cilvēka audu un šūnu izmantošanas kārtība</w:t>
      </w:r>
      <w:r w:rsidRPr="00F37B32">
        <w:rPr>
          <w:rFonts w:ascii="Times New Roman" w:hAnsi="Times New Roman"/>
          <w:b/>
          <w:sz w:val="26"/>
          <w:szCs w:val="26"/>
        </w:rPr>
        <w:t>”</w:t>
      </w:r>
    </w:p>
    <w:p w14:paraId="7DF57A02" w14:textId="144E66C2" w:rsidR="00F37B32" w:rsidRDefault="00F37B32" w:rsidP="00F37B32">
      <w:pPr>
        <w:pStyle w:val="NoSpacing"/>
        <w:jc w:val="center"/>
        <w:rPr>
          <w:rFonts w:ascii="Times New Roman" w:hAnsi="Times New Roman"/>
          <w:sz w:val="26"/>
          <w:szCs w:val="26"/>
        </w:rPr>
      </w:pPr>
      <w:r w:rsidRPr="00F37B32">
        <w:rPr>
          <w:rFonts w:ascii="Times New Roman" w:hAnsi="Times New Roman"/>
          <w:sz w:val="26"/>
          <w:szCs w:val="26"/>
        </w:rPr>
        <w:t>projekta sākotnējās ietekmes novērtējuma ziņojums (anotācija)</w:t>
      </w:r>
    </w:p>
    <w:p w14:paraId="1EC8EFFA" w14:textId="77777777" w:rsidR="0078035A" w:rsidRPr="0078035A" w:rsidRDefault="0078035A" w:rsidP="00F37B32">
      <w:pPr>
        <w:pStyle w:val="NoSpacing"/>
        <w:jc w:val="center"/>
        <w:rPr>
          <w:rFonts w:ascii="Times New Roman" w:hAnsi="Times New Roman"/>
          <w:sz w:val="24"/>
          <w:szCs w:val="24"/>
        </w:rPr>
      </w:pPr>
    </w:p>
    <w:tbl>
      <w:tblPr>
        <w:tblStyle w:val="TableGrid"/>
        <w:tblW w:w="0" w:type="auto"/>
        <w:tblLook w:val="04A0" w:firstRow="1" w:lastRow="0" w:firstColumn="1" w:lastColumn="0" w:noHBand="0" w:noVBand="1"/>
      </w:tblPr>
      <w:tblGrid>
        <w:gridCol w:w="3539"/>
        <w:gridCol w:w="5522"/>
      </w:tblGrid>
      <w:tr w:rsidR="00F37B32" w:rsidRPr="00F37B32" w14:paraId="38162076" w14:textId="77777777" w:rsidTr="004320D3">
        <w:tc>
          <w:tcPr>
            <w:tcW w:w="9061" w:type="dxa"/>
            <w:gridSpan w:val="2"/>
          </w:tcPr>
          <w:p w14:paraId="0D921401" w14:textId="77777777" w:rsidR="00F37B32" w:rsidRPr="00C645DA" w:rsidRDefault="00F37B32" w:rsidP="00F37B32">
            <w:pPr>
              <w:pStyle w:val="naisc"/>
              <w:spacing w:before="0" w:after="0"/>
              <w:rPr>
                <w:iCs/>
                <w:sz w:val="24"/>
                <w:szCs w:val="24"/>
              </w:rPr>
            </w:pPr>
            <w:r w:rsidRPr="00C645DA">
              <w:rPr>
                <w:b/>
                <w:bCs/>
                <w:iCs/>
                <w:sz w:val="24"/>
                <w:szCs w:val="24"/>
                <w:lang w:val="sv-SE"/>
              </w:rPr>
              <w:t>Tiesību akta projekta anotācijas kopsavilkums</w:t>
            </w:r>
          </w:p>
        </w:tc>
      </w:tr>
      <w:tr w:rsidR="00F37B32" w:rsidRPr="00F37B32" w14:paraId="06C19E25" w14:textId="77777777" w:rsidTr="004320D3">
        <w:tc>
          <w:tcPr>
            <w:tcW w:w="3539" w:type="dxa"/>
          </w:tcPr>
          <w:p w14:paraId="43E82E40" w14:textId="77777777" w:rsidR="00F37B32" w:rsidRPr="00C645DA" w:rsidRDefault="00F37B32" w:rsidP="00C645DA">
            <w:pPr>
              <w:pStyle w:val="naisc"/>
              <w:spacing w:before="0" w:after="0"/>
              <w:jc w:val="both"/>
              <w:rPr>
                <w:iCs/>
                <w:sz w:val="24"/>
                <w:szCs w:val="24"/>
              </w:rPr>
            </w:pPr>
            <w:r w:rsidRPr="00C645DA">
              <w:rPr>
                <w:iCs/>
                <w:sz w:val="24"/>
                <w:szCs w:val="24"/>
              </w:rPr>
              <w:t>Mērķis, risinājums un projekta spēkā stāšanās laiks (500 zīmes bez atstarpēm)</w:t>
            </w:r>
          </w:p>
        </w:tc>
        <w:tc>
          <w:tcPr>
            <w:tcW w:w="5522" w:type="dxa"/>
          </w:tcPr>
          <w:p w14:paraId="3D432FDB" w14:textId="4597A259" w:rsidR="00F37B32" w:rsidRDefault="00573B92" w:rsidP="00C645DA">
            <w:pPr>
              <w:pStyle w:val="naisc"/>
              <w:spacing w:before="0" w:after="0"/>
              <w:jc w:val="both"/>
              <w:rPr>
                <w:bCs/>
                <w:iCs/>
                <w:sz w:val="24"/>
                <w:szCs w:val="24"/>
              </w:rPr>
            </w:pPr>
            <w:r w:rsidRPr="00752F8C">
              <w:rPr>
                <w:bCs/>
                <w:iCs/>
                <w:sz w:val="24"/>
                <w:szCs w:val="24"/>
              </w:rPr>
              <w:t>Ministru kabineta noteikumu projekta “</w:t>
            </w:r>
            <w:r w:rsidR="00752F8C" w:rsidRPr="00752F8C">
              <w:rPr>
                <w:bCs/>
                <w:iCs/>
                <w:sz w:val="24"/>
                <w:szCs w:val="24"/>
              </w:rPr>
              <w:t xml:space="preserve">Grozījumi Ministru kabineta 2013. gada 22. oktobra noteikumos Nr. 1176 “Cilvēka audu un šūnu izmantošanas kārtība”” </w:t>
            </w:r>
            <w:r w:rsidRPr="00752F8C">
              <w:rPr>
                <w:iCs/>
                <w:sz w:val="24"/>
                <w:szCs w:val="24"/>
              </w:rPr>
              <w:t>(turpmāk – Noteikumu projekts)</w:t>
            </w:r>
            <w:r>
              <w:rPr>
                <w:iCs/>
                <w:sz w:val="24"/>
                <w:szCs w:val="24"/>
              </w:rPr>
              <w:t xml:space="preserve"> </w:t>
            </w:r>
            <w:r w:rsidR="00F37B32" w:rsidRPr="00C645DA">
              <w:rPr>
                <w:iCs/>
                <w:sz w:val="24"/>
                <w:szCs w:val="24"/>
              </w:rPr>
              <w:t xml:space="preserve">mērķis ir </w:t>
            </w:r>
            <w:r w:rsidR="00752F8C">
              <w:rPr>
                <w:iCs/>
                <w:sz w:val="24"/>
                <w:szCs w:val="24"/>
              </w:rPr>
              <w:t xml:space="preserve">nodrošināt Seksuālās un reproduktīvās veselības likuma 5. panta sestajā daļā Ministru kabinetam dotā uzdevuma izpildi. </w:t>
            </w:r>
          </w:p>
          <w:p w14:paraId="3A83BF58" w14:textId="304A0479" w:rsidR="00573B92" w:rsidRPr="00573B92" w:rsidRDefault="00573B92" w:rsidP="00573B92">
            <w:pPr>
              <w:pStyle w:val="naisc"/>
              <w:spacing w:before="0" w:after="0"/>
              <w:jc w:val="both"/>
              <w:rPr>
                <w:iCs/>
                <w:sz w:val="24"/>
                <w:szCs w:val="24"/>
                <w:u w:val="single"/>
              </w:rPr>
            </w:pPr>
            <w:r w:rsidRPr="00F45B93">
              <w:rPr>
                <w:iCs/>
                <w:sz w:val="24"/>
                <w:szCs w:val="24"/>
              </w:rPr>
              <w:t>Risinājums: Noteikumu projekts</w:t>
            </w:r>
            <w:r w:rsidR="00F45B93" w:rsidRPr="00F45B93">
              <w:rPr>
                <w:iCs/>
                <w:sz w:val="24"/>
                <w:szCs w:val="24"/>
              </w:rPr>
              <w:t xml:space="preserve"> paredz</w:t>
            </w:r>
            <w:r w:rsidRPr="00F45B93">
              <w:rPr>
                <w:iCs/>
                <w:sz w:val="24"/>
                <w:szCs w:val="24"/>
              </w:rPr>
              <w:t xml:space="preserve"> p</w:t>
            </w:r>
            <w:r w:rsidR="00F45B93" w:rsidRPr="00F45B93">
              <w:rPr>
                <w:iCs/>
                <w:sz w:val="24"/>
                <w:szCs w:val="24"/>
              </w:rPr>
              <w:t>apildināt</w:t>
            </w:r>
            <w:r w:rsidRPr="00573B92">
              <w:rPr>
                <w:iCs/>
                <w:sz w:val="24"/>
                <w:szCs w:val="24"/>
                <w:u w:val="single"/>
              </w:rPr>
              <w:t xml:space="preserve"> </w:t>
            </w:r>
            <w:r w:rsidR="00F45B93" w:rsidRPr="00F45B93">
              <w:rPr>
                <w:iCs/>
                <w:sz w:val="24"/>
                <w:szCs w:val="24"/>
              </w:rPr>
              <w:t xml:space="preserve">norādi, uz kāda likuma pamata </w:t>
            </w:r>
            <w:r w:rsidR="00F45B93" w:rsidRPr="00F45B93">
              <w:rPr>
                <w:bCs/>
                <w:iCs/>
                <w:sz w:val="24"/>
                <w:szCs w:val="24"/>
              </w:rPr>
              <w:t xml:space="preserve">Ministru kabineta 2013. gada 22. oktobra noteikumi Nr. 1176 “Cilvēka audu un šūnu izmantošanas kārtība” </w:t>
            </w:r>
            <w:r w:rsidR="00F45B93">
              <w:rPr>
                <w:bCs/>
                <w:iCs/>
                <w:sz w:val="24"/>
                <w:szCs w:val="24"/>
              </w:rPr>
              <w:t xml:space="preserve">(turpmāk – Noteikumi Nr. 1176) </w:t>
            </w:r>
            <w:r w:rsidR="00F45B93" w:rsidRPr="00F45B93">
              <w:rPr>
                <w:iCs/>
                <w:sz w:val="24"/>
                <w:szCs w:val="24"/>
              </w:rPr>
              <w:t>izdoti, kā arī noteikum</w:t>
            </w:r>
            <w:r w:rsidR="00D4416A">
              <w:rPr>
                <w:iCs/>
                <w:sz w:val="24"/>
                <w:szCs w:val="24"/>
              </w:rPr>
              <w:t>u</w:t>
            </w:r>
            <w:r w:rsidR="00F45B93" w:rsidRPr="00F45B93">
              <w:rPr>
                <w:iCs/>
                <w:sz w:val="24"/>
                <w:szCs w:val="24"/>
              </w:rPr>
              <w:t xml:space="preserve"> mērķi.</w:t>
            </w:r>
          </w:p>
          <w:p w14:paraId="558FBFE5" w14:textId="2D49CB9C" w:rsidR="00A35655" w:rsidRPr="00C645DA" w:rsidRDefault="00F37B32" w:rsidP="00573B92">
            <w:pPr>
              <w:pStyle w:val="naisc"/>
              <w:spacing w:before="0" w:after="0"/>
              <w:jc w:val="both"/>
              <w:rPr>
                <w:iCs/>
                <w:sz w:val="24"/>
                <w:szCs w:val="24"/>
              </w:rPr>
            </w:pPr>
            <w:r w:rsidRPr="00C645DA">
              <w:rPr>
                <w:iCs/>
                <w:sz w:val="24"/>
                <w:szCs w:val="24"/>
              </w:rPr>
              <w:t xml:space="preserve">Tiesību akta projekts stāsies spēkā Oficiālo publikāciju un tiesiskās informācijas likumā noteiktajā kārtībā. </w:t>
            </w:r>
          </w:p>
        </w:tc>
      </w:tr>
    </w:tbl>
    <w:p w14:paraId="4766D9B6" w14:textId="310556F1" w:rsidR="00D927A8" w:rsidRPr="0078035A" w:rsidRDefault="00D927A8" w:rsidP="00D927A8">
      <w:pPr>
        <w:ind w:left="360"/>
        <w:jc w:val="center"/>
        <w:rPr>
          <w:b/>
          <w:bCs/>
        </w:rPr>
      </w:pPr>
    </w:p>
    <w:tbl>
      <w:tblPr>
        <w:tblW w:w="5000" w:type="pct"/>
        <w:tblInd w:w="-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26"/>
        <w:gridCol w:w="1619"/>
        <w:gridCol w:w="7010"/>
      </w:tblGrid>
      <w:tr w:rsidR="00F12091" w:rsidRPr="00FD4C7E" w14:paraId="534B618E" w14:textId="77777777" w:rsidTr="00F37B32">
        <w:trPr>
          <w:trHeight w:val="272"/>
        </w:trPr>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14:paraId="4FBAFB66" w14:textId="77777777" w:rsidR="00F12091" w:rsidRPr="00FD4C7E" w:rsidRDefault="00F12091" w:rsidP="00611957">
            <w:pPr>
              <w:pStyle w:val="naisc"/>
              <w:spacing w:before="0" w:after="0"/>
              <w:rPr>
                <w:sz w:val="24"/>
                <w:szCs w:val="24"/>
              </w:rPr>
            </w:pPr>
            <w:r w:rsidRPr="00FD4C7E">
              <w:rPr>
                <w:b/>
                <w:bCs/>
                <w:sz w:val="24"/>
                <w:szCs w:val="24"/>
              </w:rPr>
              <w:t>I. Tiesību akta projekta izstrādes nepieciešamība</w:t>
            </w:r>
          </w:p>
        </w:tc>
      </w:tr>
      <w:tr w:rsidR="00F12091" w:rsidRPr="00FD4C7E" w14:paraId="7F3521D9" w14:textId="77777777" w:rsidTr="00F876BA">
        <w:trPr>
          <w:trHeight w:val="500"/>
        </w:trPr>
        <w:tc>
          <w:tcPr>
            <w:tcW w:w="235" w:type="pct"/>
            <w:tcBorders>
              <w:top w:val="outset" w:sz="6" w:space="0" w:color="auto"/>
              <w:left w:val="outset" w:sz="6" w:space="0" w:color="auto"/>
              <w:bottom w:val="outset" w:sz="6" w:space="0" w:color="auto"/>
              <w:right w:val="outset" w:sz="6" w:space="0" w:color="auto"/>
            </w:tcBorders>
          </w:tcPr>
          <w:p w14:paraId="0DEA54D6" w14:textId="77777777" w:rsidR="00F12091" w:rsidRPr="003B0BBE" w:rsidRDefault="00F12091" w:rsidP="00F12091">
            <w:pPr>
              <w:pStyle w:val="NoSpacing"/>
              <w:rPr>
                <w:rFonts w:ascii="Times New Roman" w:hAnsi="Times New Roman"/>
                <w:sz w:val="24"/>
                <w:szCs w:val="24"/>
              </w:rPr>
            </w:pPr>
            <w:r w:rsidRPr="003B0BBE">
              <w:rPr>
                <w:rFonts w:ascii="Times New Roman" w:hAnsi="Times New Roman"/>
                <w:sz w:val="24"/>
                <w:szCs w:val="24"/>
              </w:rPr>
              <w:t>1. </w:t>
            </w:r>
          </w:p>
        </w:tc>
        <w:tc>
          <w:tcPr>
            <w:tcW w:w="894" w:type="pct"/>
            <w:tcBorders>
              <w:top w:val="outset" w:sz="6" w:space="0" w:color="auto"/>
              <w:left w:val="outset" w:sz="6" w:space="0" w:color="auto"/>
              <w:bottom w:val="outset" w:sz="6" w:space="0" w:color="auto"/>
              <w:right w:val="outset" w:sz="6" w:space="0" w:color="auto"/>
            </w:tcBorders>
          </w:tcPr>
          <w:p w14:paraId="71C55DD2" w14:textId="77777777" w:rsidR="00F12091" w:rsidRPr="00DC12A7" w:rsidRDefault="00F12091" w:rsidP="003B0BBE">
            <w:pPr>
              <w:pStyle w:val="NoSpacing"/>
              <w:rPr>
                <w:rFonts w:ascii="Times New Roman" w:hAnsi="Times New Roman"/>
                <w:sz w:val="24"/>
                <w:szCs w:val="24"/>
              </w:rPr>
            </w:pPr>
            <w:r w:rsidRPr="00DC12A7">
              <w:rPr>
                <w:rFonts w:ascii="Times New Roman" w:hAnsi="Times New Roman"/>
                <w:sz w:val="24"/>
                <w:szCs w:val="24"/>
              </w:rPr>
              <w:t>Pamatojums</w:t>
            </w:r>
          </w:p>
        </w:tc>
        <w:tc>
          <w:tcPr>
            <w:tcW w:w="3871" w:type="pct"/>
            <w:tcBorders>
              <w:top w:val="outset" w:sz="6" w:space="0" w:color="auto"/>
              <w:left w:val="outset" w:sz="6" w:space="0" w:color="auto"/>
              <w:bottom w:val="outset" w:sz="6" w:space="0" w:color="auto"/>
              <w:right w:val="outset" w:sz="6" w:space="0" w:color="auto"/>
            </w:tcBorders>
          </w:tcPr>
          <w:p w14:paraId="3BAD3774" w14:textId="6AABCB48" w:rsidR="00A35655" w:rsidRPr="00DC12A7" w:rsidRDefault="00DC12A7" w:rsidP="00A35655">
            <w:pPr>
              <w:shd w:val="clear" w:color="auto" w:fill="FFFFFF"/>
              <w:spacing w:before="19"/>
              <w:jc w:val="both"/>
            </w:pPr>
            <w:r>
              <w:t>Noteikumu projekts</w:t>
            </w:r>
            <w:r w:rsidRPr="00DC12A7">
              <w:t xml:space="preserve"> izstrādāts saskaņā ar </w:t>
            </w:r>
            <w:r w:rsidR="00752F8C">
              <w:rPr>
                <w:bCs/>
              </w:rPr>
              <w:t xml:space="preserve">Seksuālās un reproduktīvās veselības </w:t>
            </w:r>
            <w:r w:rsidRPr="00DC12A7">
              <w:rPr>
                <w:bCs/>
              </w:rPr>
              <w:t>5</w:t>
            </w:r>
            <w:r w:rsidR="00752F8C">
              <w:rPr>
                <w:bCs/>
              </w:rPr>
              <w:t>.</w:t>
            </w:r>
            <w:r w:rsidR="00A73669">
              <w:rPr>
                <w:bCs/>
              </w:rPr>
              <w:t xml:space="preserve"> </w:t>
            </w:r>
            <w:r w:rsidR="004D18B6">
              <w:rPr>
                <w:bCs/>
                <w:vertAlign w:val="superscript"/>
              </w:rPr>
              <w:t xml:space="preserve"> </w:t>
            </w:r>
            <w:r w:rsidRPr="00DC12A7">
              <w:rPr>
                <w:bCs/>
              </w:rPr>
              <w:t>pant</w:t>
            </w:r>
            <w:r w:rsidR="00EF07E5">
              <w:rPr>
                <w:bCs/>
              </w:rPr>
              <w:t xml:space="preserve">a </w:t>
            </w:r>
            <w:r w:rsidR="00752F8C">
              <w:rPr>
                <w:bCs/>
              </w:rPr>
              <w:t>sestaj</w:t>
            </w:r>
            <w:r w:rsidR="00EF07E5">
              <w:rPr>
                <w:bCs/>
              </w:rPr>
              <w:t>ā daļ</w:t>
            </w:r>
            <w:r w:rsidRPr="00DC12A7">
              <w:rPr>
                <w:bCs/>
              </w:rPr>
              <w:t>ā noteikto deleģējumu.</w:t>
            </w:r>
          </w:p>
        </w:tc>
      </w:tr>
      <w:tr w:rsidR="00F12091" w:rsidRPr="00454935" w14:paraId="4C6B7239" w14:textId="77777777" w:rsidTr="00F37B32">
        <w:trPr>
          <w:trHeight w:val="855"/>
        </w:trPr>
        <w:tc>
          <w:tcPr>
            <w:tcW w:w="235" w:type="pct"/>
            <w:tcBorders>
              <w:top w:val="outset" w:sz="6" w:space="0" w:color="auto"/>
              <w:left w:val="outset" w:sz="6" w:space="0" w:color="auto"/>
              <w:bottom w:val="outset" w:sz="6" w:space="0" w:color="auto"/>
              <w:right w:val="outset" w:sz="6" w:space="0" w:color="auto"/>
            </w:tcBorders>
          </w:tcPr>
          <w:p w14:paraId="34607154" w14:textId="77777777" w:rsidR="00F12091" w:rsidRPr="00FD4C7E" w:rsidRDefault="00F12091" w:rsidP="003B0BBE">
            <w:pPr>
              <w:pStyle w:val="naisf"/>
              <w:spacing w:before="0" w:after="0"/>
              <w:ind w:firstLine="0"/>
              <w:jc w:val="left"/>
            </w:pPr>
            <w:r w:rsidRPr="00FD4C7E">
              <w:t>2. </w:t>
            </w:r>
          </w:p>
          <w:p w14:paraId="72E861C7" w14:textId="77777777" w:rsidR="00F12091" w:rsidRPr="00FD4C7E" w:rsidRDefault="00F12091" w:rsidP="003B0BBE">
            <w:pPr>
              <w:pStyle w:val="NoSpacing"/>
            </w:pPr>
          </w:p>
        </w:tc>
        <w:tc>
          <w:tcPr>
            <w:tcW w:w="894" w:type="pct"/>
            <w:tcBorders>
              <w:top w:val="outset" w:sz="6" w:space="0" w:color="auto"/>
              <w:left w:val="outset" w:sz="6" w:space="0" w:color="auto"/>
              <w:bottom w:val="outset" w:sz="6" w:space="0" w:color="auto"/>
              <w:right w:val="outset" w:sz="6" w:space="0" w:color="auto"/>
            </w:tcBorders>
          </w:tcPr>
          <w:p w14:paraId="57FC0D52" w14:textId="0B4FEC08" w:rsidR="00F12091" w:rsidRPr="00111DBF" w:rsidRDefault="00F12091" w:rsidP="003B0BBE">
            <w:pPr>
              <w:shd w:val="clear" w:color="auto" w:fill="FFFFFF"/>
              <w:spacing w:before="19"/>
              <w:jc w:val="both"/>
            </w:pPr>
            <w:r w:rsidRPr="00111DBF">
              <w:t xml:space="preserve">Pašreizējā situācija un problēmas, kuru risināšanai tiesību akta projekts </w:t>
            </w:r>
            <w:r w:rsidR="00B504C8" w:rsidRPr="00111DBF">
              <w:t>izstrādāts</w:t>
            </w:r>
            <w:r w:rsidRPr="00111DBF">
              <w:t>, tiesiskā regulējuma mērķis un būtība</w:t>
            </w:r>
          </w:p>
        </w:tc>
        <w:tc>
          <w:tcPr>
            <w:tcW w:w="3871" w:type="pct"/>
            <w:tcBorders>
              <w:top w:val="outset" w:sz="6" w:space="0" w:color="auto"/>
              <w:left w:val="outset" w:sz="6" w:space="0" w:color="auto"/>
              <w:bottom w:val="outset" w:sz="6" w:space="0" w:color="auto"/>
              <w:right w:val="outset" w:sz="6" w:space="0" w:color="auto"/>
            </w:tcBorders>
          </w:tcPr>
          <w:p w14:paraId="15FC729D" w14:textId="77777777" w:rsidR="00157946" w:rsidRPr="00157946" w:rsidRDefault="00F12091" w:rsidP="00157946">
            <w:pPr>
              <w:shd w:val="clear" w:color="auto" w:fill="FFFFFF"/>
              <w:spacing w:before="19"/>
              <w:jc w:val="both"/>
              <w:rPr>
                <w:u w:val="single"/>
              </w:rPr>
            </w:pPr>
            <w:r w:rsidRPr="00111DBF">
              <w:t>1.</w:t>
            </w:r>
            <w:r w:rsidR="00752F8C">
              <w:t xml:space="preserve"> </w:t>
            </w:r>
            <w:r w:rsidR="00157946" w:rsidRPr="00157946">
              <w:t>Saskaņā ar likuma “</w:t>
            </w:r>
            <w:r w:rsidR="00157946" w:rsidRPr="00157946">
              <w:rPr>
                <w:bCs/>
              </w:rPr>
              <w:t xml:space="preserve">Par miruša cilvēka ķermeņa aizsardzību un cilvēka audu un orgānu izmantošanu medicīnā” 1. un 4. </w:t>
            </w:r>
            <w:r w:rsidR="00157946" w:rsidRPr="00157946">
              <w:rPr>
                <w:bCs/>
                <w:vertAlign w:val="superscript"/>
              </w:rPr>
              <w:t xml:space="preserve">1 </w:t>
            </w:r>
            <w:r w:rsidR="00157946" w:rsidRPr="00157946">
              <w:rPr>
                <w:bCs/>
              </w:rPr>
              <w:t xml:space="preserve">pantu </w:t>
            </w:r>
            <w:r w:rsidR="00157946" w:rsidRPr="00157946">
              <w:t>par audu un orgānu izmantošanu uzskatāmas jebkuras ar audiem un orgāniem veiktas darbības, ieskaitot audu un orgānu donoru atlasi, audu un orgānu iegūšanu, izņemšanu, testēšanu, apstrādi, konservāciju, marķēšanu, procesu dokumentēšanu, uzglabāšanu, izplatīšanu (arī eksportēšanu un importēšanu), transportēšanu un transplantāciju. Tiesības izmantot audus vai orgānus ir ārstniecības iestādei, kurai ir Zāļu valsts aģentūras (turpmāk – Aģentūra) izsniegta audu vai orgānu izmantošanas atļauja.</w:t>
            </w:r>
          </w:p>
          <w:p w14:paraId="64B85F03" w14:textId="39FB0635" w:rsidR="00157946" w:rsidRDefault="00157946" w:rsidP="00157946">
            <w:pPr>
              <w:shd w:val="clear" w:color="auto" w:fill="FFFFFF"/>
              <w:spacing w:before="19"/>
              <w:jc w:val="both"/>
            </w:pPr>
            <w:r w:rsidRPr="00157946">
              <w:t>2013. gada 12. novembrī spēkā stājās Noteikumi Nr. 1176, kuros tika noteikta kārtība cilvēka audu un šūnu izmantošanai, tai skaitā prasības</w:t>
            </w:r>
            <w:r>
              <w:t xml:space="preserve"> dzimumšūnu donor</w:t>
            </w:r>
            <w:r w:rsidR="00683C84">
              <w:t>u atlasei</w:t>
            </w:r>
            <w:r>
              <w:t xml:space="preserve">, dzimumšūnu ieguvei, </w:t>
            </w:r>
            <w:r w:rsidR="00683C84" w:rsidRPr="00683C84">
              <w:rPr>
                <w:bCs/>
                <w:iCs/>
              </w:rPr>
              <w:t>apstrād</w:t>
            </w:r>
            <w:r w:rsidR="00683C84">
              <w:rPr>
                <w:bCs/>
                <w:iCs/>
              </w:rPr>
              <w:t>ei</w:t>
            </w:r>
            <w:r w:rsidR="00683C84" w:rsidRPr="00683C84">
              <w:rPr>
                <w:bCs/>
                <w:iCs/>
              </w:rPr>
              <w:t>, uzglabā</w:t>
            </w:r>
            <w:r w:rsidR="00683C84">
              <w:rPr>
                <w:bCs/>
                <w:iCs/>
              </w:rPr>
              <w:t>šanai, izplatīšanai</w:t>
            </w:r>
            <w:r w:rsidR="00683C84" w:rsidRPr="00683C84">
              <w:rPr>
                <w:bCs/>
                <w:iCs/>
              </w:rPr>
              <w:t xml:space="preserve"> (arī eksport</w:t>
            </w:r>
            <w:r w:rsidR="00683C84">
              <w:rPr>
                <w:bCs/>
                <w:iCs/>
              </w:rPr>
              <w:t>am</w:t>
            </w:r>
            <w:r w:rsidR="00683C84" w:rsidRPr="00683C84">
              <w:rPr>
                <w:bCs/>
                <w:iCs/>
              </w:rPr>
              <w:t xml:space="preserve"> </w:t>
            </w:r>
            <w:r w:rsidR="00683C84">
              <w:rPr>
                <w:bCs/>
                <w:iCs/>
              </w:rPr>
              <w:t>un importam) un izsekojamībai.</w:t>
            </w:r>
            <w:r w:rsidR="00683C84" w:rsidRPr="00683C84">
              <w:t xml:space="preserve"> </w:t>
            </w:r>
            <w:r>
              <w:t>Minētās tiesību normas Noteikumos Nr.1176 iekļautas, pārņemot Eiropas Padomes direktīvu (</w:t>
            </w:r>
            <w:r w:rsidR="00683C84" w:rsidRPr="00683C84">
              <w:t>Eiropas Parlamenta un Padomes 2004.</w:t>
            </w:r>
            <w:r w:rsidR="00683C84">
              <w:t xml:space="preserve"> </w:t>
            </w:r>
            <w:r w:rsidR="00683C84" w:rsidRPr="00683C84">
              <w:t>gada 31.</w:t>
            </w:r>
            <w:r w:rsidR="00683C84">
              <w:t xml:space="preserve"> </w:t>
            </w:r>
            <w:r w:rsidR="00683C84" w:rsidRPr="00683C84">
              <w:t>marta Direktīvas 2004/23/EK par kvalitātes un drošības standartu noteikšanu cilvēka audu un šūnu ziedošanai, ieguvei, testēšanai, apstrādei, konservācija</w:t>
            </w:r>
            <w:r w:rsidR="00683C84">
              <w:t>i, uzglabāšanai un izplatīšanai;</w:t>
            </w:r>
            <w:r w:rsidR="00683C84" w:rsidRPr="00683C84">
              <w:t xml:space="preserve"> Komisijas 2006.</w:t>
            </w:r>
            <w:r w:rsidR="00683C84">
              <w:t xml:space="preserve"> </w:t>
            </w:r>
            <w:r w:rsidR="00683C84" w:rsidRPr="00683C84">
              <w:t>gada 8.</w:t>
            </w:r>
            <w:r w:rsidR="00683C84">
              <w:t xml:space="preserve"> </w:t>
            </w:r>
            <w:r w:rsidR="00683C84" w:rsidRPr="00683C84">
              <w:t>februāra Direktīvas 2006/17/EK, ar ko īsteno Eiropas Parlamenta un Padomes Direktīvu 2004/23/EK par noteiktām tehniskajām prasībām cilvēka audu un šūnu zi</w:t>
            </w:r>
            <w:r w:rsidR="00683C84">
              <w:t>edošanai, ieguvei un testēšanai;</w:t>
            </w:r>
            <w:r w:rsidR="00683C84" w:rsidRPr="00683C84">
              <w:t xml:space="preserve"> Komisijas 2006.gada 24.oktobra Direktīvas 2006/86/EK, ar ko īsteno Eiropas Parlamenta un Padomes Direktīvu 2004/23/EK par izsekojamības prasībām, nopietnu blakņu un nevēlamu notikumu </w:t>
            </w:r>
            <w:r w:rsidR="00683C84" w:rsidRPr="00683C84">
              <w:lastRenderedPageBreak/>
              <w:t>paziņošanu un noteiktām tehniskām prasībām cilvēku audu un šūnu kodēšanai, apstrādei, konservācijai, uzglabāšanai un izplatīšanai</w:t>
            </w:r>
            <w:r w:rsidR="00683C84">
              <w:t>;</w:t>
            </w:r>
            <w:r w:rsidR="00683C84" w:rsidRPr="00683C84">
              <w:t xml:space="preserve"> </w:t>
            </w:r>
            <w:r w:rsidR="00683C84">
              <w:t xml:space="preserve">Komisijas 2012. gada 26. novembra Direktīva 2012/39/ES, ar kuru groza </w:t>
            </w:r>
            <w:r w:rsidR="00683C84" w:rsidRPr="00683C84">
              <w:t>Direktīv</w:t>
            </w:r>
            <w:r w:rsidR="00683C84">
              <w:t xml:space="preserve">u 2006/17/EK </w:t>
            </w:r>
            <w:r w:rsidR="00683C84" w:rsidRPr="00683C84">
              <w:t>par noteiktām tehniskajām prasībām cilvēka audu un šūnu testēšanai</w:t>
            </w:r>
            <w:r w:rsidR="00683C84">
              <w:t xml:space="preserve">; </w:t>
            </w:r>
            <w:r w:rsidRPr="00157946">
              <w:t>Eiropas Komisijas 2015. gada 8. aprīļa Direktīva 2015/565 ar ko groza Direktīvu 2006/86/EK attiecībā uz noteiktām tehniskajām prasībām</w:t>
            </w:r>
            <w:r w:rsidR="00683C84">
              <w:t xml:space="preserve"> cilvēka audu un šūnu kodēšanai;</w:t>
            </w:r>
            <w:r>
              <w:t xml:space="preserve"> </w:t>
            </w:r>
            <w:r w:rsidRPr="00157946">
              <w:t>Eiropas Komisijas 2015. gada 8. aprīļa Direktīva 2015/566 ar ko īsteno Direktīvu 2004/23/EK attiecībā uz procedūrām, ar kurām pārbauda importētu audu un šūnu līdzvērtīgus kv</w:t>
            </w:r>
            <w:r w:rsidR="00B04A46">
              <w:t>alitātes un drošības standartus</w:t>
            </w:r>
            <w:r w:rsidRPr="00157946">
              <w:t>),</w:t>
            </w:r>
            <w:r>
              <w:t xml:space="preserve"> prasības</w:t>
            </w:r>
            <w:r w:rsidR="00B04A46">
              <w:t>.</w:t>
            </w:r>
          </w:p>
          <w:p w14:paraId="04B8E8E4" w14:textId="0CCB70D5" w:rsidR="00A73669" w:rsidRDefault="00157946" w:rsidP="003B0BBE">
            <w:pPr>
              <w:shd w:val="clear" w:color="auto" w:fill="FFFFFF"/>
              <w:spacing w:before="19"/>
              <w:jc w:val="both"/>
            </w:pPr>
            <w:r>
              <w:t xml:space="preserve">2. </w:t>
            </w:r>
            <w:r w:rsidR="00A73669">
              <w:t>Šā gada 18.jūlijā spēka stājās grozījumi Seksuālās un rep</w:t>
            </w:r>
            <w:r w:rsidR="00AB74DA">
              <w:t>roduktīvās veselības likumā, ar kuriem tika papildināts likuma 5.pants</w:t>
            </w:r>
            <w:r w:rsidR="00A73669">
              <w:t xml:space="preserve"> paredz</w:t>
            </w:r>
            <w:r w:rsidR="00AB74DA">
              <w:t>ot</w:t>
            </w:r>
            <w:r w:rsidR="00A73669">
              <w:t xml:space="preserve"> Ministru kabinetam</w:t>
            </w:r>
            <w:r w:rsidR="00AB74DA">
              <w:t xml:space="preserve"> deleģējumu</w:t>
            </w:r>
            <w:r w:rsidR="00A73669">
              <w:t xml:space="preserve"> noteikt d</w:t>
            </w:r>
            <w:r w:rsidR="00A73669" w:rsidRPr="00A73669">
              <w:t xml:space="preserve">zimumšūnu ieguves, apstrādes, uzglabāšanas, izplatīšanas (arī eksportēšanas un importēšanas) un izsekojamības kārtību, kā arī </w:t>
            </w:r>
            <w:r w:rsidR="00A73669">
              <w:t>kvalitātes un drošības prasības.</w:t>
            </w:r>
          </w:p>
          <w:p w14:paraId="5AA76413" w14:textId="7939ED3E" w:rsidR="00AB74DA" w:rsidRDefault="00D4416A" w:rsidP="003B0BBE">
            <w:pPr>
              <w:shd w:val="clear" w:color="auto" w:fill="FFFFFF"/>
              <w:spacing w:before="19"/>
              <w:jc w:val="both"/>
            </w:pPr>
            <w:r>
              <w:t>Tādējādi secināms, ka</w:t>
            </w:r>
            <w:r w:rsidR="00AB74DA">
              <w:t xml:space="preserve"> jau šobrīd Noteikumos Nr. 1176 ir iekļautas dzimumšūnu kvalitātes un drošības prasības, kā arī noteikta kārtība </w:t>
            </w:r>
            <w:r w:rsidRPr="00D4416A">
              <w:t>d</w:t>
            </w:r>
            <w:r>
              <w:t>zimumšūnu ieguvei</w:t>
            </w:r>
            <w:r w:rsidRPr="00D4416A">
              <w:t>, apstrāde</w:t>
            </w:r>
            <w:r>
              <w:t>i</w:t>
            </w:r>
            <w:r w:rsidRPr="00D4416A">
              <w:t>, uzglabāšana</w:t>
            </w:r>
            <w:r>
              <w:t>i</w:t>
            </w:r>
            <w:r w:rsidRPr="00D4416A">
              <w:t>, izplatīšana</w:t>
            </w:r>
            <w:r>
              <w:t>i</w:t>
            </w:r>
            <w:r w:rsidRPr="00D4416A">
              <w:t xml:space="preserve"> (arī eksportēšana</w:t>
            </w:r>
            <w:r>
              <w:t>i</w:t>
            </w:r>
            <w:r w:rsidRPr="00D4416A">
              <w:t xml:space="preserve"> un importēšana</w:t>
            </w:r>
            <w:r>
              <w:t>i</w:t>
            </w:r>
            <w:r w:rsidRPr="00D4416A">
              <w:t>) un izsekojamība</w:t>
            </w:r>
            <w:r>
              <w:t xml:space="preserve">i. Ņemot vērā minēto, lai nodrošinātu Ministru kabinetam dotā uzdevuma izpildi, Veselības ministrija ir izstrādājusi Noteikumu projektu, kas paredz papildināt </w:t>
            </w:r>
            <w:r w:rsidRPr="00D4416A">
              <w:rPr>
                <w:iCs/>
              </w:rPr>
              <w:t>norādi, uz kāda likuma pamata</w:t>
            </w:r>
            <w:r>
              <w:rPr>
                <w:iCs/>
              </w:rPr>
              <w:t>,</w:t>
            </w:r>
            <w:r>
              <w:t xml:space="preserve"> Noteikumu Nr. 1176 izdoti, kā arī Noteikumu Nr. 1176 mērķi.</w:t>
            </w:r>
          </w:p>
          <w:p w14:paraId="54520392" w14:textId="2E3A9889" w:rsidR="00667D29" w:rsidRDefault="00721F20" w:rsidP="00667D29">
            <w:pPr>
              <w:shd w:val="clear" w:color="auto" w:fill="FFFFFF"/>
              <w:spacing w:before="19"/>
              <w:jc w:val="both"/>
              <w:rPr>
                <w:bCs/>
              </w:rPr>
            </w:pPr>
            <w:r>
              <w:rPr>
                <w:bCs/>
              </w:rPr>
              <w:t>N</w:t>
            </w:r>
            <w:r w:rsidR="00667D29" w:rsidRPr="00667D29">
              <w:rPr>
                <w:bCs/>
              </w:rPr>
              <w:t xml:space="preserve">oteikumu projekta mērķis ir </w:t>
            </w:r>
            <w:r w:rsidR="00D4416A" w:rsidRPr="00D4416A">
              <w:rPr>
                <w:bCs/>
                <w:iCs/>
              </w:rPr>
              <w:t>nodrošināt Seksuālās un reproduktīvās veselības likuma 5. panta sestajā daļā Ministru kabinetam dotā uzdevuma izpildi.</w:t>
            </w:r>
          </w:p>
          <w:p w14:paraId="195CC073" w14:textId="548F41CC" w:rsidR="00EC39B0" w:rsidRPr="00D4416A" w:rsidRDefault="00EC39B0" w:rsidP="00EC39B0">
            <w:pPr>
              <w:shd w:val="clear" w:color="auto" w:fill="FFFFFF"/>
              <w:spacing w:before="19"/>
              <w:jc w:val="both"/>
              <w:rPr>
                <w:bCs/>
              </w:rPr>
            </w:pPr>
            <w:r w:rsidRPr="00D4416A">
              <w:rPr>
                <w:bCs/>
              </w:rPr>
              <w:t>Noteikumu projekts pilnībā atrisinās iepriekš norādītās problēmas un sasniegs paredzēto mērķ</w:t>
            </w:r>
            <w:r w:rsidR="00807E12" w:rsidRPr="00D4416A">
              <w:rPr>
                <w:bCs/>
              </w:rPr>
              <w:t>i</w:t>
            </w:r>
            <w:r w:rsidRPr="00D4416A">
              <w:rPr>
                <w:bCs/>
              </w:rPr>
              <w:t>.</w:t>
            </w:r>
          </w:p>
          <w:p w14:paraId="695FC849" w14:textId="5DFE28B5" w:rsidR="00667D29" w:rsidRPr="00667D29" w:rsidRDefault="00D4416A" w:rsidP="00667D29">
            <w:pPr>
              <w:shd w:val="clear" w:color="auto" w:fill="FFFFFF"/>
              <w:spacing w:before="19"/>
              <w:jc w:val="both"/>
              <w:rPr>
                <w:bCs/>
              </w:rPr>
            </w:pPr>
            <w:r>
              <w:rPr>
                <w:bCs/>
              </w:rPr>
              <w:t>N</w:t>
            </w:r>
            <w:r w:rsidR="00667D29" w:rsidRPr="00667D29">
              <w:rPr>
                <w:bCs/>
              </w:rPr>
              <w:t>oteikumu projekta būtība:</w:t>
            </w:r>
          </w:p>
          <w:p w14:paraId="7A55985F" w14:textId="6423CA71" w:rsidR="008E7A04" w:rsidRDefault="00667D29" w:rsidP="00667D29">
            <w:pPr>
              <w:shd w:val="clear" w:color="auto" w:fill="FFFFFF"/>
              <w:spacing w:before="19"/>
              <w:jc w:val="both"/>
              <w:rPr>
                <w:bCs/>
              </w:rPr>
            </w:pPr>
            <w:r w:rsidRPr="00667D29">
              <w:rPr>
                <w:bCs/>
              </w:rPr>
              <w:t xml:space="preserve">1) </w:t>
            </w:r>
            <w:r w:rsidR="00D4416A">
              <w:rPr>
                <w:bCs/>
              </w:rPr>
              <w:t xml:space="preserve">precizēta norāde </w:t>
            </w:r>
            <w:r w:rsidR="00D4416A" w:rsidRPr="00D4416A">
              <w:rPr>
                <w:bCs/>
                <w:iCs/>
              </w:rPr>
              <w:t xml:space="preserve">uz kāda likuma pamata </w:t>
            </w:r>
            <w:r w:rsidR="00D4416A">
              <w:rPr>
                <w:bCs/>
                <w:iCs/>
              </w:rPr>
              <w:t>N</w:t>
            </w:r>
            <w:r w:rsidR="00D4416A" w:rsidRPr="00D4416A">
              <w:rPr>
                <w:bCs/>
                <w:iCs/>
              </w:rPr>
              <w:t xml:space="preserve">oteikumi Nr. 1176 </w:t>
            </w:r>
            <w:r w:rsidR="00D4416A">
              <w:rPr>
                <w:bCs/>
                <w:iCs/>
              </w:rPr>
              <w:t>izdoti, papildinot ar Seksuālās un reproduktīvās veselības likuma 5.panta sesto daļu.</w:t>
            </w:r>
          </w:p>
          <w:p w14:paraId="376A786C" w14:textId="77777777" w:rsidR="00B04A46" w:rsidRDefault="00667D29" w:rsidP="00B04A46">
            <w:pPr>
              <w:shd w:val="clear" w:color="auto" w:fill="FFFFFF"/>
              <w:spacing w:before="19"/>
              <w:rPr>
                <w:bCs/>
              </w:rPr>
            </w:pPr>
            <w:r w:rsidRPr="0065778A">
              <w:rPr>
                <w:bCs/>
              </w:rPr>
              <w:t>2</w:t>
            </w:r>
            <w:r w:rsidRPr="006F2DE1">
              <w:rPr>
                <w:bCs/>
              </w:rPr>
              <w:t xml:space="preserve">) </w:t>
            </w:r>
            <w:r w:rsidR="00D4416A">
              <w:rPr>
                <w:bCs/>
              </w:rPr>
              <w:t>papildināts Noteikumu Nr.1176 mērķis, paredzot, ka N</w:t>
            </w:r>
            <w:r w:rsidR="00B04A46">
              <w:rPr>
                <w:bCs/>
              </w:rPr>
              <w:t>oteikumi Nr. 1176 nosaka:</w:t>
            </w:r>
          </w:p>
          <w:p w14:paraId="77AE92BE" w14:textId="66CF2258" w:rsidR="00B04A46" w:rsidRPr="00B04A46" w:rsidRDefault="00B04A46" w:rsidP="00B04A46">
            <w:pPr>
              <w:shd w:val="clear" w:color="auto" w:fill="FFFFFF"/>
              <w:spacing w:before="19"/>
              <w:jc w:val="both"/>
              <w:rPr>
                <w:bCs/>
              </w:rPr>
            </w:pPr>
            <w:r>
              <w:rPr>
                <w:bCs/>
              </w:rPr>
              <w:t xml:space="preserve">- </w:t>
            </w:r>
            <w:r w:rsidRPr="00B04A46">
              <w:rPr>
                <w:bCs/>
              </w:rPr>
              <w:t xml:space="preserve">kārtību, kādā </w:t>
            </w:r>
            <w:r w:rsidRPr="00B04A46">
              <w:rPr>
                <w:bCs/>
                <w:iCs/>
              </w:rPr>
              <w:t>iegūst, apstrādā, uzglabā, izplata (arī eksportē un importē) dzimumšūnas un nodrošina to izsekojamību;</w:t>
            </w:r>
          </w:p>
          <w:p w14:paraId="6D074EEB" w14:textId="5D520BFB" w:rsidR="00F12091" w:rsidRPr="00111DBF" w:rsidRDefault="00B04A46" w:rsidP="00B04A46">
            <w:pPr>
              <w:shd w:val="clear" w:color="auto" w:fill="FFFFFF"/>
              <w:spacing w:before="19"/>
              <w:jc w:val="both"/>
            </w:pPr>
            <w:r>
              <w:rPr>
                <w:bCs/>
                <w:iCs/>
              </w:rPr>
              <w:t xml:space="preserve">- </w:t>
            </w:r>
            <w:r w:rsidRPr="00B04A46">
              <w:rPr>
                <w:bCs/>
                <w:iCs/>
              </w:rPr>
              <w:t xml:space="preserve">kvalitātes un drošības prasības dzimumšūnu izmantošanai. </w:t>
            </w:r>
          </w:p>
        </w:tc>
      </w:tr>
      <w:tr w:rsidR="00F12091" w:rsidRPr="00FD4C7E" w14:paraId="213E9770" w14:textId="77777777" w:rsidTr="00F37B32">
        <w:trPr>
          <w:trHeight w:val="855"/>
        </w:trPr>
        <w:tc>
          <w:tcPr>
            <w:tcW w:w="235" w:type="pct"/>
            <w:tcBorders>
              <w:top w:val="outset" w:sz="6" w:space="0" w:color="auto"/>
              <w:left w:val="outset" w:sz="6" w:space="0" w:color="auto"/>
              <w:bottom w:val="outset" w:sz="6" w:space="0" w:color="auto"/>
              <w:right w:val="outset" w:sz="6" w:space="0" w:color="auto"/>
            </w:tcBorders>
          </w:tcPr>
          <w:p w14:paraId="5109E16D" w14:textId="77777777" w:rsidR="00F12091" w:rsidRPr="00FD4C7E" w:rsidRDefault="00F12091" w:rsidP="00F12091">
            <w:pPr>
              <w:pStyle w:val="NormalWeb"/>
              <w:spacing w:before="0" w:beforeAutospacing="0" w:after="0" w:afterAutospacing="0"/>
            </w:pPr>
            <w:r>
              <w:lastRenderedPageBreak/>
              <w:t>3</w:t>
            </w:r>
            <w:r w:rsidRPr="00FD4C7E">
              <w:t xml:space="preserve">. </w:t>
            </w:r>
          </w:p>
        </w:tc>
        <w:tc>
          <w:tcPr>
            <w:tcW w:w="894" w:type="pct"/>
            <w:tcBorders>
              <w:top w:val="outset" w:sz="6" w:space="0" w:color="auto"/>
              <w:left w:val="outset" w:sz="6" w:space="0" w:color="auto"/>
              <w:bottom w:val="outset" w:sz="6" w:space="0" w:color="auto"/>
              <w:right w:val="outset" w:sz="6" w:space="0" w:color="auto"/>
            </w:tcBorders>
          </w:tcPr>
          <w:p w14:paraId="031A01F2" w14:textId="77777777" w:rsidR="00F12091" w:rsidRPr="00111DBF" w:rsidRDefault="00F12091" w:rsidP="003B0BBE">
            <w:pPr>
              <w:pStyle w:val="BodyText2"/>
              <w:jc w:val="both"/>
              <w:rPr>
                <w:b w:val="0"/>
                <w:sz w:val="24"/>
              </w:rPr>
            </w:pPr>
            <w:r w:rsidRPr="00111DBF">
              <w:rPr>
                <w:b w:val="0"/>
                <w:sz w:val="24"/>
              </w:rPr>
              <w:t>Projekta izstrādē iesaistītās institūcijas</w:t>
            </w:r>
          </w:p>
        </w:tc>
        <w:tc>
          <w:tcPr>
            <w:tcW w:w="3871" w:type="pct"/>
            <w:tcBorders>
              <w:top w:val="outset" w:sz="6" w:space="0" w:color="auto"/>
              <w:left w:val="outset" w:sz="6" w:space="0" w:color="auto"/>
              <w:bottom w:val="outset" w:sz="6" w:space="0" w:color="auto"/>
              <w:right w:val="outset" w:sz="6" w:space="0" w:color="auto"/>
            </w:tcBorders>
          </w:tcPr>
          <w:p w14:paraId="17C9513F" w14:textId="5389C10C" w:rsidR="00F12091" w:rsidRPr="00111DBF" w:rsidRDefault="00DC6CB8" w:rsidP="003B0BBE">
            <w:pPr>
              <w:pStyle w:val="BodyText2"/>
              <w:jc w:val="both"/>
              <w:rPr>
                <w:b w:val="0"/>
                <w:sz w:val="24"/>
              </w:rPr>
            </w:pPr>
            <w:r>
              <w:rPr>
                <w:b w:val="0"/>
                <w:sz w:val="24"/>
              </w:rPr>
              <w:t>Veselības ministrija</w:t>
            </w:r>
          </w:p>
        </w:tc>
      </w:tr>
      <w:tr w:rsidR="00F12091" w:rsidRPr="00FD4C7E" w14:paraId="4AC2AFB2" w14:textId="77777777" w:rsidTr="00F37B32">
        <w:trPr>
          <w:trHeight w:val="583"/>
        </w:trPr>
        <w:tc>
          <w:tcPr>
            <w:tcW w:w="235" w:type="pct"/>
            <w:tcBorders>
              <w:top w:val="outset" w:sz="6" w:space="0" w:color="auto"/>
              <w:left w:val="outset" w:sz="6" w:space="0" w:color="auto"/>
              <w:bottom w:val="outset" w:sz="6" w:space="0" w:color="auto"/>
              <w:right w:val="outset" w:sz="6" w:space="0" w:color="auto"/>
            </w:tcBorders>
          </w:tcPr>
          <w:p w14:paraId="79445AFB" w14:textId="77777777" w:rsidR="00F12091" w:rsidRDefault="00F12091" w:rsidP="00611957">
            <w:pPr>
              <w:pStyle w:val="NormalWeb"/>
              <w:spacing w:before="0" w:beforeAutospacing="0" w:after="0" w:afterAutospacing="0"/>
            </w:pPr>
            <w:r>
              <w:t>4</w:t>
            </w:r>
            <w:r w:rsidRPr="00FD4C7E">
              <w:t>.</w:t>
            </w:r>
          </w:p>
          <w:p w14:paraId="4E635155" w14:textId="77777777" w:rsidR="00F12091" w:rsidRPr="00FD4C7E" w:rsidRDefault="00F12091" w:rsidP="00611957">
            <w:pPr>
              <w:pStyle w:val="NormalWeb"/>
              <w:spacing w:before="0" w:beforeAutospacing="0" w:after="0" w:afterAutospacing="0"/>
            </w:pPr>
          </w:p>
        </w:tc>
        <w:tc>
          <w:tcPr>
            <w:tcW w:w="894" w:type="pct"/>
            <w:tcBorders>
              <w:top w:val="outset" w:sz="6" w:space="0" w:color="auto"/>
              <w:left w:val="outset" w:sz="6" w:space="0" w:color="auto"/>
              <w:bottom w:val="outset" w:sz="6" w:space="0" w:color="auto"/>
              <w:right w:val="outset" w:sz="6" w:space="0" w:color="auto"/>
            </w:tcBorders>
          </w:tcPr>
          <w:p w14:paraId="53341759" w14:textId="77777777" w:rsidR="00F12091" w:rsidRPr="00187CB3" w:rsidRDefault="00F12091" w:rsidP="0096361A">
            <w:pPr>
              <w:pStyle w:val="NoSpacing"/>
            </w:pPr>
            <w:r w:rsidRPr="00F12091">
              <w:rPr>
                <w:rFonts w:ascii="Times New Roman" w:hAnsi="Times New Roman"/>
                <w:sz w:val="24"/>
                <w:szCs w:val="24"/>
              </w:rPr>
              <w:t>Cita informācija</w:t>
            </w:r>
          </w:p>
        </w:tc>
        <w:tc>
          <w:tcPr>
            <w:tcW w:w="3871" w:type="pct"/>
            <w:tcBorders>
              <w:top w:val="outset" w:sz="6" w:space="0" w:color="auto"/>
              <w:left w:val="outset" w:sz="6" w:space="0" w:color="auto"/>
              <w:bottom w:val="outset" w:sz="6" w:space="0" w:color="auto"/>
              <w:right w:val="outset" w:sz="6" w:space="0" w:color="auto"/>
            </w:tcBorders>
          </w:tcPr>
          <w:p w14:paraId="107099A3" w14:textId="77777777" w:rsidR="00F12091" w:rsidRPr="001D63F6" w:rsidRDefault="00546CCB" w:rsidP="003872B1">
            <w:pPr>
              <w:pStyle w:val="NoSpacing"/>
              <w:rPr>
                <w:b/>
                <w:bCs/>
              </w:rPr>
            </w:pPr>
            <w:r>
              <w:rPr>
                <w:rFonts w:ascii="Times New Roman" w:hAnsi="Times New Roman"/>
                <w:sz w:val="24"/>
                <w:szCs w:val="24"/>
              </w:rPr>
              <w:t>Nav</w:t>
            </w:r>
            <w:r w:rsidR="00F12091">
              <w:rPr>
                <w:rFonts w:ascii="Times New Roman" w:hAnsi="Times New Roman"/>
                <w:sz w:val="24"/>
                <w:szCs w:val="24"/>
              </w:rPr>
              <w:t xml:space="preserve"> </w:t>
            </w:r>
          </w:p>
        </w:tc>
      </w:tr>
    </w:tbl>
    <w:p w14:paraId="29DB2352" w14:textId="5306BE22" w:rsidR="00D80392" w:rsidRDefault="00D80392" w:rsidP="00915F79">
      <w:pPr>
        <w:rPr>
          <w:sz w:val="28"/>
          <w:szCs w:val="28"/>
        </w:rPr>
      </w:pPr>
    </w:p>
    <w:p w14:paraId="44B8F2B9" w14:textId="77777777" w:rsidR="0078035A" w:rsidRDefault="0078035A" w:rsidP="00915F79">
      <w:pPr>
        <w:rPr>
          <w:sz w:val="28"/>
          <w:szCs w:val="28"/>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3597"/>
        <w:gridCol w:w="4924"/>
      </w:tblGrid>
      <w:tr w:rsidR="00F12091" w:rsidRPr="00BF1423" w14:paraId="6EF6FFD5" w14:textId="77777777" w:rsidTr="00A35655">
        <w:tc>
          <w:tcPr>
            <w:tcW w:w="5000" w:type="pct"/>
            <w:gridSpan w:val="3"/>
          </w:tcPr>
          <w:p w14:paraId="56E6CA98" w14:textId="77777777" w:rsidR="00F12091" w:rsidRPr="00BF1423" w:rsidRDefault="00F12091" w:rsidP="00F12091">
            <w:pPr>
              <w:spacing w:before="200" w:after="120"/>
              <w:jc w:val="center"/>
              <w:rPr>
                <w:b/>
              </w:rPr>
            </w:pPr>
            <w:r w:rsidRPr="00BF1423">
              <w:rPr>
                <w:b/>
              </w:rPr>
              <w:t>II. Tiesību akta projekta ietekme uz sabiedrību</w:t>
            </w:r>
            <w:r>
              <w:rPr>
                <w:b/>
              </w:rPr>
              <w:t>, tautsaimniecības attīstību un administratīvo slogu</w:t>
            </w:r>
            <w:r w:rsidRPr="00BF1423">
              <w:rPr>
                <w:b/>
              </w:rPr>
              <w:t xml:space="preserve"> </w:t>
            </w:r>
          </w:p>
        </w:tc>
      </w:tr>
      <w:tr w:rsidR="00F12091" w:rsidRPr="001D63F6" w14:paraId="3CDB13F8" w14:textId="77777777" w:rsidTr="00A35655">
        <w:tc>
          <w:tcPr>
            <w:tcW w:w="295" w:type="pct"/>
          </w:tcPr>
          <w:p w14:paraId="14C18DAF" w14:textId="77777777" w:rsidR="00F12091" w:rsidRPr="00FA0B42" w:rsidRDefault="00F12091" w:rsidP="00F12091">
            <w:pPr>
              <w:spacing w:after="120"/>
            </w:pPr>
            <w:r>
              <w:t>1.</w:t>
            </w:r>
          </w:p>
        </w:tc>
        <w:tc>
          <w:tcPr>
            <w:tcW w:w="1986" w:type="pct"/>
          </w:tcPr>
          <w:p w14:paraId="60653D6D" w14:textId="77777777" w:rsidR="00F12091" w:rsidRPr="00FA0B42" w:rsidRDefault="00F12091" w:rsidP="00F12091">
            <w:pPr>
              <w:spacing w:after="120"/>
            </w:pPr>
            <w:r w:rsidRPr="00FA0B42">
              <w:t>Sabiedrības mērķgrupa</w:t>
            </w:r>
            <w:r>
              <w:t>s, kuras tiesiskais regulējums ietekmē vai varētu ietekmēt</w:t>
            </w:r>
          </w:p>
        </w:tc>
        <w:tc>
          <w:tcPr>
            <w:tcW w:w="2718" w:type="pct"/>
          </w:tcPr>
          <w:p w14:paraId="4A229B85" w14:textId="77777777" w:rsidR="00B04A46" w:rsidRDefault="00A54AEA" w:rsidP="00157946">
            <w:pPr>
              <w:jc w:val="both"/>
            </w:pPr>
            <w:r>
              <w:t>N</w:t>
            </w:r>
            <w:r w:rsidR="009331AD" w:rsidRPr="00426F8E">
              <w:t>oteikumu projektā ietvert</w:t>
            </w:r>
            <w:r w:rsidR="009331AD">
              <w:t>o</w:t>
            </w:r>
            <w:r w:rsidR="009331AD" w:rsidRPr="00426F8E">
              <w:t xml:space="preserve"> prasīb</w:t>
            </w:r>
            <w:r w:rsidR="009331AD">
              <w:t>u</w:t>
            </w:r>
            <w:r w:rsidR="009331AD" w:rsidRPr="00426F8E">
              <w:t xml:space="preserve"> īst</w:t>
            </w:r>
            <w:r w:rsidR="009331AD">
              <w:t>enošanā ir iesaistīta</w:t>
            </w:r>
            <w:r>
              <w:t>s</w:t>
            </w:r>
            <w:r w:rsidR="00B04A46">
              <w:t>:</w:t>
            </w:r>
          </w:p>
          <w:p w14:paraId="3B74C9EB" w14:textId="77777777" w:rsidR="00B04A46" w:rsidRDefault="00B04A46" w:rsidP="00157946">
            <w:pPr>
              <w:jc w:val="both"/>
            </w:pPr>
            <w:r>
              <w:t>1)</w:t>
            </w:r>
            <w:r w:rsidR="009331AD">
              <w:t xml:space="preserve"> </w:t>
            </w:r>
            <w:r w:rsidR="005146A2">
              <w:t>ārstniecības iestādes</w:t>
            </w:r>
            <w:r>
              <w:t xml:space="preserve"> (audu centri un ieguves organizācijas)</w:t>
            </w:r>
            <w:r w:rsidR="00A54AEA">
              <w:t xml:space="preserve">, kas </w:t>
            </w:r>
            <w:r>
              <w:t>veic</w:t>
            </w:r>
            <w:r w:rsidR="00157946">
              <w:t xml:space="preserve"> cilvēka dzimumšūnu </w:t>
            </w:r>
            <w:r>
              <w:t>ieguvi;</w:t>
            </w:r>
          </w:p>
          <w:p w14:paraId="253D51FA" w14:textId="7F88E858" w:rsidR="00B04A46" w:rsidRDefault="00B04A46" w:rsidP="00157946">
            <w:pPr>
              <w:jc w:val="both"/>
            </w:pPr>
            <w:r>
              <w:t xml:space="preserve">2) audu centri, kas </w:t>
            </w:r>
            <w:r w:rsidRPr="00B04A46">
              <w:rPr>
                <w:bCs/>
                <w:iCs/>
              </w:rPr>
              <w:t>apstrādā, uzglabā, izplata (arī eksportē un importē) dzimumšūnas un nodrošina to izsekojamību</w:t>
            </w:r>
            <w:r>
              <w:rPr>
                <w:bCs/>
                <w:iCs/>
              </w:rPr>
              <w:t>.</w:t>
            </w:r>
          </w:p>
          <w:p w14:paraId="26F26A0C" w14:textId="3C7EB618" w:rsidR="00A35655" w:rsidRPr="001D63F6" w:rsidRDefault="00157946" w:rsidP="00157946">
            <w:pPr>
              <w:jc w:val="both"/>
            </w:pPr>
            <w:r>
              <w:t>Vienlaikus Noteikumu projekta normas, nemaina esošās prasības cilvēka dzimumšūnu izmantošanā.</w:t>
            </w:r>
          </w:p>
        </w:tc>
      </w:tr>
      <w:tr w:rsidR="00F12091" w:rsidRPr="001D63F6" w14:paraId="66A97FB4" w14:textId="77777777" w:rsidTr="00A35655">
        <w:tc>
          <w:tcPr>
            <w:tcW w:w="295" w:type="pct"/>
          </w:tcPr>
          <w:p w14:paraId="3B99E11E" w14:textId="77777777" w:rsidR="00F12091" w:rsidRPr="00FA0B42" w:rsidRDefault="00F12091" w:rsidP="00F12091">
            <w:pPr>
              <w:spacing w:after="120"/>
              <w:jc w:val="both"/>
            </w:pPr>
            <w:r>
              <w:t>2.</w:t>
            </w:r>
          </w:p>
        </w:tc>
        <w:tc>
          <w:tcPr>
            <w:tcW w:w="1986" w:type="pct"/>
          </w:tcPr>
          <w:p w14:paraId="0794C613" w14:textId="77777777" w:rsidR="00F12091" w:rsidRDefault="009331AD" w:rsidP="009331AD">
            <w:pPr>
              <w:spacing w:after="120"/>
              <w:jc w:val="both"/>
            </w:pPr>
            <w:r w:rsidRPr="00FA0B42">
              <w:t xml:space="preserve">Tiesiskā regulējuma ietekme </w:t>
            </w:r>
            <w:r>
              <w:t>uz tautsaimniecību un administratīvo slogu</w:t>
            </w:r>
          </w:p>
          <w:p w14:paraId="195E1571" w14:textId="36AF8BD9" w:rsidR="00F876BA" w:rsidRPr="00FA0B42" w:rsidRDefault="00F876BA" w:rsidP="006469A3">
            <w:pPr>
              <w:spacing w:after="120"/>
              <w:jc w:val="both"/>
            </w:pPr>
          </w:p>
        </w:tc>
        <w:tc>
          <w:tcPr>
            <w:tcW w:w="2718" w:type="pct"/>
          </w:tcPr>
          <w:p w14:paraId="496945D9" w14:textId="2B030552" w:rsidR="00A35655" w:rsidRPr="00225063" w:rsidRDefault="004C4E3B" w:rsidP="00B04A46">
            <w:pPr>
              <w:shd w:val="clear" w:color="auto" w:fill="FFFFFF"/>
              <w:spacing w:before="19"/>
              <w:jc w:val="both"/>
            </w:pPr>
            <w:r>
              <w:t xml:space="preserve"> Noteikumu p</w:t>
            </w:r>
            <w:r w:rsidR="00B04A46" w:rsidRPr="00B04A46">
              <w:t>rojektam tiešā veidā nav ietekmes uz tautsaimniecību vai uzņēmējdarbības vidi.</w:t>
            </w:r>
            <w:r w:rsidR="00B04A46">
              <w:t xml:space="preserve"> </w:t>
            </w:r>
            <w:r w:rsidR="00B04A46" w:rsidRPr="00B04A46">
              <w:t xml:space="preserve">Administratīvais slogs </w:t>
            </w:r>
            <w:r>
              <w:t xml:space="preserve">Noteikumu </w:t>
            </w:r>
            <w:r w:rsidR="00B04A46" w:rsidRPr="00B04A46">
              <w:t>projektā paredzētajā regulējumā paliek nemainīgs.</w:t>
            </w:r>
          </w:p>
        </w:tc>
      </w:tr>
      <w:tr w:rsidR="00F12091" w:rsidRPr="001D63F6" w14:paraId="128AB716" w14:textId="77777777" w:rsidTr="00A35655">
        <w:tc>
          <w:tcPr>
            <w:tcW w:w="295" w:type="pct"/>
          </w:tcPr>
          <w:p w14:paraId="0F950F7C" w14:textId="77777777" w:rsidR="00F12091" w:rsidRPr="00FA0B42" w:rsidRDefault="00F12091" w:rsidP="00F12091">
            <w:pPr>
              <w:spacing w:after="120"/>
            </w:pPr>
            <w:r>
              <w:t>3.</w:t>
            </w:r>
          </w:p>
        </w:tc>
        <w:tc>
          <w:tcPr>
            <w:tcW w:w="1986" w:type="pct"/>
          </w:tcPr>
          <w:p w14:paraId="647FBB85" w14:textId="77777777" w:rsidR="00F12091" w:rsidRPr="00FA0B42" w:rsidRDefault="009331AD" w:rsidP="00F12091">
            <w:pPr>
              <w:spacing w:after="120"/>
            </w:pPr>
            <w:r>
              <w:t>Administratīvo izmaksu monetārs novērtējums</w:t>
            </w:r>
          </w:p>
        </w:tc>
        <w:tc>
          <w:tcPr>
            <w:tcW w:w="2718" w:type="pct"/>
          </w:tcPr>
          <w:p w14:paraId="1349D55B" w14:textId="77777777" w:rsidR="00F12091" w:rsidRPr="001D63F6" w:rsidRDefault="005146A2" w:rsidP="00D80392">
            <w:pPr>
              <w:spacing w:after="120"/>
              <w:jc w:val="both"/>
            </w:pPr>
            <w:r>
              <w:t>Noteikumu p</w:t>
            </w:r>
            <w:r w:rsidR="009331AD" w:rsidRPr="001D63F6">
              <w:t>rojekts šo jomu neskar</w:t>
            </w:r>
          </w:p>
        </w:tc>
      </w:tr>
      <w:tr w:rsidR="00F12091" w:rsidRPr="00A6720D" w14:paraId="794A1833" w14:textId="77777777" w:rsidTr="00A35655">
        <w:tc>
          <w:tcPr>
            <w:tcW w:w="295" w:type="pct"/>
          </w:tcPr>
          <w:p w14:paraId="6E9E9537" w14:textId="77777777" w:rsidR="00F12091" w:rsidRPr="00FA0B42" w:rsidRDefault="00F12091" w:rsidP="00F12091">
            <w:pPr>
              <w:spacing w:after="120"/>
            </w:pPr>
            <w:r>
              <w:t>4.</w:t>
            </w:r>
          </w:p>
        </w:tc>
        <w:tc>
          <w:tcPr>
            <w:tcW w:w="1986" w:type="pct"/>
          </w:tcPr>
          <w:p w14:paraId="54CF5118" w14:textId="77777777" w:rsidR="00F12091" w:rsidRPr="00FA0B42" w:rsidRDefault="009331AD" w:rsidP="00F12091">
            <w:pPr>
              <w:spacing w:after="120"/>
            </w:pPr>
            <w:r>
              <w:t>Cita informācija</w:t>
            </w:r>
            <w:r w:rsidR="00F12091" w:rsidRPr="00FA0B42">
              <w:t xml:space="preserve"> </w:t>
            </w:r>
          </w:p>
        </w:tc>
        <w:tc>
          <w:tcPr>
            <w:tcW w:w="2718" w:type="pct"/>
          </w:tcPr>
          <w:p w14:paraId="3066F823" w14:textId="2868D967" w:rsidR="00A35655" w:rsidRPr="00B04A46" w:rsidRDefault="00B04A46" w:rsidP="00DB1293">
            <w:pPr>
              <w:jc w:val="both"/>
            </w:pPr>
            <w:r w:rsidRPr="00B04A46">
              <w:t>Nav</w:t>
            </w:r>
          </w:p>
        </w:tc>
      </w:tr>
    </w:tbl>
    <w:p w14:paraId="538B28D8" w14:textId="305BE305" w:rsidR="00DC6CB8" w:rsidRPr="0078035A" w:rsidRDefault="00DC6CB8" w:rsidP="00DC6CB8"/>
    <w:tbl>
      <w:tblPr>
        <w:tblStyle w:val="TableGrid"/>
        <w:tblW w:w="9072" w:type="dxa"/>
        <w:tblInd w:w="-5" w:type="dxa"/>
        <w:tblLook w:val="04A0" w:firstRow="1" w:lastRow="0" w:firstColumn="1" w:lastColumn="0" w:noHBand="0" w:noVBand="1"/>
      </w:tblPr>
      <w:tblGrid>
        <w:gridCol w:w="9072"/>
      </w:tblGrid>
      <w:tr w:rsidR="00DC6CB8" w:rsidRPr="00DC6CB8" w14:paraId="612CBF81" w14:textId="77777777" w:rsidTr="00A35655">
        <w:tc>
          <w:tcPr>
            <w:tcW w:w="9072" w:type="dxa"/>
          </w:tcPr>
          <w:p w14:paraId="1CAAD7FD" w14:textId="77777777" w:rsidR="00DC6CB8" w:rsidRPr="00DC6CB8" w:rsidRDefault="00DC6CB8" w:rsidP="00DC6CB8">
            <w:pPr>
              <w:jc w:val="center"/>
              <w:rPr>
                <w:b/>
              </w:rPr>
            </w:pPr>
            <w:r w:rsidRPr="00DC6CB8">
              <w:rPr>
                <w:b/>
              </w:rPr>
              <w:t>III. Tiesību akta projekta ietekme uz valsts budžetu un pašvaldību budžetiem</w:t>
            </w:r>
          </w:p>
        </w:tc>
      </w:tr>
      <w:tr w:rsidR="00DC6CB8" w:rsidRPr="00DC6CB8" w14:paraId="1310B538" w14:textId="77777777" w:rsidTr="00A35655">
        <w:tc>
          <w:tcPr>
            <w:tcW w:w="9072" w:type="dxa"/>
          </w:tcPr>
          <w:p w14:paraId="0CBB935B" w14:textId="7E414D06" w:rsidR="00A35655" w:rsidRPr="00DC6CB8" w:rsidRDefault="00DC6CB8" w:rsidP="004A754A">
            <w:pPr>
              <w:jc w:val="center"/>
            </w:pPr>
            <w:r w:rsidRPr="00DC6CB8">
              <w:t>Projekts šo jomu neskar</w:t>
            </w:r>
          </w:p>
        </w:tc>
      </w:tr>
    </w:tbl>
    <w:p w14:paraId="26FF6A8F" w14:textId="02507CAD" w:rsidR="00DC6CB8" w:rsidRPr="0078035A" w:rsidRDefault="00DC6CB8" w:rsidP="00DC6CB8"/>
    <w:tbl>
      <w:tblPr>
        <w:tblStyle w:val="TableGrid"/>
        <w:tblW w:w="9072" w:type="dxa"/>
        <w:tblInd w:w="-5" w:type="dxa"/>
        <w:tblLook w:val="04A0" w:firstRow="1" w:lastRow="0" w:firstColumn="1" w:lastColumn="0" w:noHBand="0" w:noVBand="1"/>
      </w:tblPr>
      <w:tblGrid>
        <w:gridCol w:w="9072"/>
      </w:tblGrid>
      <w:tr w:rsidR="00F876BA" w:rsidRPr="00F876BA" w14:paraId="50B9B761" w14:textId="77777777" w:rsidTr="00067338">
        <w:tc>
          <w:tcPr>
            <w:tcW w:w="9072" w:type="dxa"/>
            <w:tcBorders>
              <w:bottom w:val="single" w:sz="4" w:space="0" w:color="000000"/>
            </w:tcBorders>
          </w:tcPr>
          <w:p w14:paraId="0830BC70" w14:textId="77777777" w:rsidR="00F876BA" w:rsidRPr="00F876BA" w:rsidRDefault="00F876BA" w:rsidP="00F876BA">
            <w:pPr>
              <w:jc w:val="center"/>
              <w:rPr>
                <w:b/>
              </w:rPr>
            </w:pPr>
            <w:r w:rsidRPr="00F876BA">
              <w:rPr>
                <w:b/>
                <w:bCs/>
              </w:rPr>
              <w:t>IV. Tiesību akta projekta ietekme uz spēkā esošo tiesību normu sistēmu</w:t>
            </w:r>
          </w:p>
        </w:tc>
      </w:tr>
      <w:tr w:rsidR="00F876BA" w:rsidRPr="00F876BA" w14:paraId="0C331058" w14:textId="77777777" w:rsidTr="00067338">
        <w:tc>
          <w:tcPr>
            <w:tcW w:w="9072" w:type="dxa"/>
            <w:tcBorders>
              <w:bottom w:val="single" w:sz="4" w:space="0" w:color="auto"/>
            </w:tcBorders>
          </w:tcPr>
          <w:p w14:paraId="7FBCE1E5" w14:textId="77777777" w:rsidR="00F876BA" w:rsidRPr="00F876BA" w:rsidRDefault="00F876BA" w:rsidP="00F876BA">
            <w:pPr>
              <w:jc w:val="center"/>
            </w:pPr>
            <w:r w:rsidRPr="00F876BA">
              <w:t>Projekts šo jomu neskar</w:t>
            </w:r>
          </w:p>
        </w:tc>
      </w:tr>
      <w:tr w:rsidR="00067338" w:rsidRPr="00F876BA" w14:paraId="51F11826" w14:textId="77777777" w:rsidTr="00067338">
        <w:tc>
          <w:tcPr>
            <w:tcW w:w="9072" w:type="dxa"/>
            <w:tcBorders>
              <w:top w:val="single" w:sz="4" w:space="0" w:color="auto"/>
              <w:left w:val="nil"/>
              <w:bottom w:val="single" w:sz="4" w:space="0" w:color="auto"/>
              <w:right w:val="nil"/>
            </w:tcBorders>
          </w:tcPr>
          <w:p w14:paraId="024CA8B7" w14:textId="77777777" w:rsidR="00067338" w:rsidRPr="00F876BA" w:rsidRDefault="00067338" w:rsidP="00F876BA">
            <w:pPr>
              <w:jc w:val="center"/>
            </w:pP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A43A7" w:rsidRPr="00EA43A7" w14:paraId="233B863E" w14:textId="77777777" w:rsidTr="00067338">
        <w:trPr>
          <w:trHeight w:val="280"/>
        </w:trPr>
        <w:tc>
          <w:tcPr>
            <w:tcW w:w="9072" w:type="dxa"/>
            <w:tcBorders>
              <w:top w:val="single" w:sz="4" w:space="0" w:color="auto"/>
              <w:left w:val="single" w:sz="4" w:space="0" w:color="auto"/>
              <w:bottom w:val="single" w:sz="4" w:space="0" w:color="auto"/>
              <w:right w:val="single" w:sz="4" w:space="0" w:color="auto"/>
            </w:tcBorders>
            <w:hideMark/>
          </w:tcPr>
          <w:p w14:paraId="694F534C" w14:textId="77777777" w:rsidR="00EA43A7" w:rsidRPr="00067338" w:rsidRDefault="00EA43A7" w:rsidP="00EA43A7">
            <w:r w:rsidRPr="00067338">
              <w:rPr>
                <w:b/>
              </w:rPr>
              <w:t xml:space="preserve">V. Tiesību akta projekta atbilstība Latvijas Republikas starptautiskajām saistībām </w:t>
            </w:r>
          </w:p>
        </w:tc>
      </w:tr>
      <w:tr w:rsidR="00B04A46" w:rsidRPr="00EA43A7" w14:paraId="6B0A554B" w14:textId="77777777" w:rsidTr="00B04A46">
        <w:trPr>
          <w:trHeight w:val="474"/>
        </w:trPr>
        <w:tc>
          <w:tcPr>
            <w:tcW w:w="9072" w:type="dxa"/>
            <w:tcBorders>
              <w:top w:val="single" w:sz="4" w:space="0" w:color="auto"/>
              <w:left w:val="single" w:sz="4" w:space="0" w:color="auto"/>
              <w:bottom w:val="single" w:sz="4" w:space="0" w:color="auto"/>
              <w:right w:val="single" w:sz="4" w:space="0" w:color="auto"/>
            </w:tcBorders>
            <w:hideMark/>
          </w:tcPr>
          <w:p w14:paraId="64CB5A5F" w14:textId="1C7D9BB7" w:rsidR="00B04A46" w:rsidRPr="00B04A46" w:rsidRDefault="00B04A46" w:rsidP="00B04A46">
            <w:pPr>
              <w:jc w:val="center"/>
            </w:pPr>
            <w:r>
              <w:t>Projekts šo jomu neskar</w:t>
            </w:r>
          </w:p>
        </w:tc>
      </w:tr>
    </w:tbl>
    <w:p w14:paraId="050CB74E" w14:textId="5E30AEE1" w:rsidR="00DB0DCF" w:rsidRPr="0078035A" w:rsidRDefault="00DB0DCF" w:rsidP="00915F79"/>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110"/>
        <w:gridCol w:w="4423"/>
      </w:tblGrid>
      <w:tr w:rsidR="009331AD" w:rsidRPr="002C7FCC" w14:paraId="27BA2C59" w14:textId="77777777" w:rsidTr="004A681D">
        <w:tc>
          <w:tcPr>
            <w:tcW w:w="9072" w:type="dxa"/>
            <w:gridSpan w:val="3"/>
          </w:tcPr>
          <w:p w14:paraId="577B13F9" w14:textId="77777777" w:rsidR="009331AD" w:rsidRPr="00057ADE" w:rsidRDefault="009331AD" w:rsidP="007F2E82">
            <w:pPr>
              <w:jc w:val="center"/>
              <w:rPr>
                <w:b/>
              </w:rPr>
            </w:pPr>
            <w:r w:rsidRPr="00057ADE">
              <w:rPr>
                <w:b/>
              </w:rPr>
              <w:t>VI. Sabiedrības līdzdalība un komunikācijas aktivitātes</w:t>
            </w:r>
          </w:p>
        </w:tc>
      </w:tr>
      <w:tr w:rsidR="00B04A46" w:rsidRPr="00426F8E" w14:paraId="3481B5F4" w14:textId="77777777" w:rsidTr="00595964">
        <w:tc>
          <w:tcPr>
            <w:tcW w:w="539" w:type="dxa"/>
          </w:tcPr>
          <w:p w14:paraId="2C441399" w14:textId="77777777" w:rsidR="00B04A46" w:rsidRPr="002C7FCC" w:rsidRDefault="00B04A46" w:rsidP="00B04A46">
            <w:r>
              <w:t>1.</w:t>
            </w:r>
          </w:p>
        </w:tc>
        <w:tc>
          <w:tcPr>
            <w:tcW w:w="4110" w:type="dxa"/>
          </w:tcPr>
          <w:p w14:paraId="4AB09013" w14:textId="77777777" w:rsidR="00B04A46" w:rsidRPr="00057ADE" w:rsidRDefault="00B04A46" w:rsidP="00B04A46">
            <w:r w:rsidRPr="00057ADE">
              <w:t>Plānotās sabiedrības līdzdalības un komunikācijas aktivitātes saistībā ar projektu</w:t>
            </w:r>
          </w:p>
        </w:tc>
        <w:tc>
          <w:tcPr>
            <w:tcW w:w="4423" w:type="dxa"/>
            <w:tcBorders>
              <w:top w:val="outset" w:sz="6" w:space="0" w:color="414142"/>
              <w:left w:val="outset" w:sz="6" w:space="0" w:color="414142"/>
              <w:bottom w:val="outset" w:sz="6" w:space="0" w:color="414142"/>
              <w:right w:val="outset" w:sz="6" w:space="0" w:color="414142"/>
            </w:tcBorders>
          </w:tcPr>
          <w:p w14:paraId="72940B48" w14:textId="579FF1C6" w:rsidR="004C4E3B" w:rsidRPr="00057ADE" w:rsidRDefault="004C4E3B" w:rsidP="00067338">
            <w:pPr>
              <w:jc w:val="both"/>
            </w:pPr>
            <w:r>
              <w:t xml:space="preserve">Noteikumu projekts </w:t>
            </w:r>
            <w:r w:rsidR="00B04A46" w:rsidRPr="005A6312">
              <w:t>pirms izsludināšanas Valsts sekretāru sanāksmē</w:t>
            </w:r>
            <w:r w:rsidR="00067338">
              <w:t xml:space="preserve"> 2018. gada 31. jūlijā ar vēstuli Nr. 01-16.1/3376</w:t>
            </w:r>
            <w:r>
              <w:t xml:space="preserve"> tika nosūtīts izvērtēšanai Zāļu valsts aģentūrai un Latvijas Cilvēka reprodukcijas biedrībai</w:t>
            </w:r>
            <w:r w:rsidR="00A806AA">
              <w:t xml:space="preserve"> (turpmāk – Biedrība)</w:t>
            </w:r>
            <w:r>
              <w:t xml:space="preserve">, </w:t>
            </w:r>
            <w:r w:rsidR="00B04A46" w:rsidRPr="005A6312">
              <w:t>tādējādi informējot sabiedrību par projekta izstrādi.</w:t>
            </w:r>
            <w:r w:rsidR="00067338">
              <w:t xml:space="preserve"> Pēc priekšlikumu saņemšanas 2018. gada 23. oktobrī tika organizēta tikšanās, kurā pārrunāti saņemtie priekšlikumi.</w:t>
            </w:r>
            <w:r w:rsidRPr="004C4E3B">
              <w:rPr>
                <w:color w:val="FF0000"/>
              </w:rPr>
              <w:t xml:space="preserve"> </w:t>
            </w:r>
          </w:p>
        </w:tc>
      </w:tr>
      <w:tr w:rsidR="00B04A46" w:rsidRPr="00426F8E" w14:paraId="7B1991FA" w14:textId="77777777" w:rsidTr="00595964">
        <w:tc>
          <w:tcPr>
            <w:tcW w:w="539" w:type="dxa"/>
          </w:tcPr>
          <w:p w14:paraId="6F2E2196" w14:textId="77777777" w:rsidR="00B04A46" w:rsidRPr="002C7FCC" w:rsidRDefault="00B04A46" w:rsidP="00B04A46">
            <w:r>
              <w:t>2.</w:t>
            </w:r>
          </w:p>
        </w:tc>
        <w:tc>
          <w:tcPr>
            <w:tcW w:w="4110" w:type="dxa"/>
          </w:tcPr>
          <w:p w14:paraId="57CB706D" w14:textId="77777777" w:rsidR="00B04A46" w:rsidRPr="00057ADE" w:rsidRDefault="00B04A46" w:rsidP="00B04A46">
            <w:r w:rsidRPr="00057ADE">
              <w:t>Sabiedrības līdzdalība projekta izstrādē</w:t>
            </w:r>
          </w:p>
        </w:tc>
        <w:tc>
          <w:tcPr>
            <w:tcW w:w="4423" w:type="dxa"/>
            <w:tcBorders>
              <w:top w:val="outset" w:sz="6" w:space="0" w:color="414142"/>
              <w:left w:val="outset" w:sz="6" w:space="0" w:color="414142"/>
              <w:bottom w:val="outset" w:sz="6" w:space="0" w:color="414142"/>
              <w:right w:val="outset" w:sz="6" w:space="0" w:color="414142"/>
            </w:tcBorders>
          </w:tcPr>
          <w:p w14:paraId="71CD462D" w14:textId="27028663" w:rsidR="00F80630" w:rsidRPr="00057ADE" w:rsidRDefault="00067338" w:rsidP="00F80630">
            <w:pPr>
              <w:jc w:val="both"/>
            </w:pPr>
            <w:r>
              <w:t>Priekšlikum</w:t>
            </w:r>
            <w:r w:rsidR="00F80630">
              <w:t>us Noteikumu projektā ietveramajām tiesību normām sniedza</w:t>
            </w:r>
            <w:r>
              <w:t xml:space="preserve"> Zāļu valsts aģentūra un </w:t>
            </w:r>
            <w:r w:rsidR="00A806AA">
              <w:t>B</w:t>
            </w:r>
            <w:r w:rsidR="00F80630">
              <w:t xml:space="preserve">iedrība. </w:t>
            </w:r>
            <w:r w:rsidR="00BF5403">
              <w:t xml:space="preserve">Viedokli par sniegtajiem priekšlikumiem attiecībā uz ģenētiskajiem izmeklējumiem un </w:t>
            </w:r>
            <w:r w:rsidR="00BF5403">
              <w:lastRenderedPageBreak/>
              <w:t xml:space="preserve">konsultācijām sniedza </w:t>
            </w:r>
            <w:r w:rsidR="00BF5403" w:rsidRPr="00BF5403">
              <w:t> Latvijas Cilvēka ģenētikas as</w:t>
            </w:r>
            <w:r w:rsidR="00BF5403">
              <w:t xml:space="preserve">ociācija. </w:t>
            </w:r>
            <w:r w:rsidR="00F80630">
              <w:t xml:space="preserve">Sanāksmē par saņemtajiem priekšlikumiem piedalījās </w:t>
            </w:r>
            <w:r w:rsidR="00A806AA">
              <w:t>B</w:t>
            </w:r>
            <w:r w:rsidR="00F80630">
              <w:t xml:space="preserve">iedrība, kurā tika pārstāvētas 5 ārstniecības iestādes, kas veic dzimumšūnu izmantošanu. </w:t>
            </w:r>
          </w:p>
          <w:p w14:paraId="32A4E608" w14:textId="6FAD10B5" w:rsidR="004C4E3B" w:rsidRPr="00057ADE" w:rsidRDefault="004C4E3B" w:rsidP="00B04A46">
            <w:pPr>
              <w:jc w:val="both"/>
            </w:pPr>
          </w:p>
        </w:tc>
      </w:tr>
      <w:tr w:rsidR="00B04A46" w:rsidRPr="00426F8E" w14:paraId="3B1637FB" w14:textId="77777777" w:rsidTr="00595964">
        <w:tc>
          <w:tcPr>
            <w:tcW w:w="539" w:type="dxa"/>
          </w:tcPr>
          <w:p w14:paraId="1F021231" w14:textId="77777777" w:rsidR="00B04A46" w:rsidRPr="002C7FCC" w:rsidRDefault="00B04A46" w:rsidP="00B04A46">
            <w:r>
              <w:lastRenderedPageBreak/>
              <w:t>3.</w:t>
            </w:r>
          </w:p>
        </w:tc>
        <w:tc>
          <w:tcPr>
            <w:tcW w:w="4110" w:type="dxa"/>
          </w:tcPr>
          <w:p w14:paraId="2D80AAB5" w14:textId="77777777" w:rsidR="00B04A46" w:rsidRPr="00057ADE" w:rsidRDefault="00B04A46" w:rsidP="00B04A46">
            <w:r w:rsidRPr="00057ADE">
              <w:t>Sabiedrības līdzdalības rezultāti</w:t>
            </w:r>
          </w:p>
          <w:p w14:paraId="3C21B17A" w14:textId="77777777" w:rsidR="00B04A46" w:rsidRPr="00057ADE" w:rsidRDefault="00B04A46" w:rsidP="00B04A46"/>
        </w:tc>
        <w:tc>
          <w:tcPr>
            <w:tcW w:w="4423" w:type="dxa"/>
            <w:tcBorders>
              <w:top w:val="outset" w:sz="6" w:space="0" w:color="414142"/>
              <w:left w:val="outset" w:sz="6" w:space="0" w:color="414142"/>
              <w:bottom w:val="outset" w:sz="6" w:space="0" w:color="414142"/>
              <w:right w:val="outset" w:sz="6" w:space="0" w:color="414142"/>
            </w:tcBorders>
          </w:tcPr>
          <w:p w14:paraId="30DC64AF" w14:textId="05AAD5B4" w:rsidR="00B04A46" w:rsidRDefault="00B04A46" w:rsidP="00B04A46">
            <w:pPr>
              <w:jc w:val="both"/>
            </w:pPr>
            <w:r w:rsidRPr="00B04A46">
              <w:t xml:space="preserve">Zāļu valsts aģentūra </w:t>
            </w:r>
            <w:r w:rsidR="00267FAE" w:rsidRPr="00267FAE">
              <w:t xml:space="preserve">savā 2018. gada 3. septembra vēstulē </w:t>
            </w:r>
            <w:r w:rsidRPr="00B04A46">
              <w:t xml:space="preserve">un </w:t>
            </w:r>
            <w:r w:rsidR="00A806AA">
              <w:t>B</w:t>
            </w:r>
            <w:r w:rsidRPr="00B04A46">
              <w:t>iedrība</w:t>
            </w:r>
            <w:r w:rsidR="00A806AA">
              <w:t xml:space="preserve"> savā </w:t>
            </w:r>
            <w:r w:rsidR="00A806AA" w:rsidRPr="00A806AA">
              <w:t>2018. gada 17. septembra vēstulē Nr.17092018-01</w:t>
            </w:r>
            <w:r w:rsidR="00A806AA">
              <w:t xml:space="preserve"> un </w:t>
            </w:r>
            <w:r w:rsidR="00A806AA" w:rsidRPr="00A806AA">
              <w:t xml:space="preserve"> </w:t>
            </w:r>
            <w:r w:rsidRPr="00B04A46">
              <w:t xml:space="preserve"> </w:t>
            </w:r>
            <w:r w:rsidR="00A806AA" w:rsidRPr="00A806AA">
              <w:t xml:space="preserve">vēstulē Nr.17092018-02 </w:t>
            </w:r>
            <w:r w:rsidRPr="00B04A46">
              <w:t>neizteica iebildumus Noteikumu p</w:t>
            </w:r>
            <w:r>
              <w:t>rojektā iekļautajām tiesību normām.</w:t>
            </w:r>
          </w:p>
          <w:p w14:paraId="3E5E891A" w14:textId="62700A24" w:rsidR="00F80630" w:rsidRDefault="00F80630" w:rsidP="00B04A46">
            <w:pPr>
              <w:jc w:val="both"/>
            </w:pPr>
            <w:r>
              <w:t xml:space="preserve">Vienlaikus Zāļu valsts aģentūra savā vēstulē aktualizēja jautājumu par nepieciešamību </w:t>
            </w:r>
            <w:r w:rsidR="00A04058">
              <w:t xml:space="preserve">Noteikumos Nr. 1176 </w:t>
            </w:r>
            <w:r>
              <w:t xml:space="preserve">paredzēt papildus ierobežojumus donora dzimumšūnu izplatīšanai EEZ valstīs un eksportēšanas no valstīm ārpus EEZ, kā arī </w:t>
            </w:r>
            <w:r w:rsidR="00230078">
              <w:t>nepieciešamību donoru obligātai ģenētiskai izmeklēšanai papildus kariotipam (piemēram, ģenētiķa konsultācija).</w:t>
            </w:r>
          </w:p>
          <w:p w14:paraId="7D45210D" w14:textId="4C1BF90F" w:rsidR="00230078" w:rsidRDefault="00A806AA" w:rsidP="00B04A46">
            <w:pPr>
              <w:jc w:val="both"/>
            </w:pPr>
            <w:r>
              <w:t>B</w:t>
            </w:r>
            <w:r w:rsidR="00230078">
              <w:t xml:space="preserve">iedrība vēstulē Nr.17092018-01 izteica priekšlikumu </w:t>
            </w:r>
            <w:r w:rsidR="00A04058">
              <w:t>Noteikumos Nr. 1176</w:t>
            </w:r>
            <w:r w:rsidR="00230078">
              <w:t xml:space="preserve"> precizēt tiesību normas attiecībā uz spermas donoru testēšanu uz hlamīdijām urīnā (NAT), paredzot, ka donora testēšana ziedošanas laikā tiek veikta ik pēc pusgada, ja donors vēl ir aktīvs. Vienlaikus vēstulē Nr.17092018-02</w:t>
            </w:r>
            <w:r>
              <w:t xml:space="preserve"> B</w:t>
            </w:r>
            <w:r w:rsidR="00230078">
              <w:t>iedrība norādīja, ka ierobežojumi donora dzimumšūnu eksportēšanai un izplatīšanai ir noteikti normatīvajos aktos atbilstoši direktīvu prasībām.</w:t>
            </w:r>
            <w:r w:rsidR="00BF5403">
              <w:t xml:space="preserve"> Attiecībā uz ģenētiķa konsultāciju nodrošināšanu dzimumšūnu donoriem</w:t>
            </w:r>
            <w:r>
              <w:t>, Biedrība pauda viedokli, ka ģenētiķa konsultācija ir nepieciešama gadījumos, kad, izvērtējot potenciālo dzimumšūnu donoru, klīniku ārstiem (ginekologiem vai urologiem) rodas neskaidra klīniskā  situācija.</w:t>
            </w:r>
          </w:p>
          <w:p w14:paraId="3BF297C4" w14:textId="719A33EB" w:rsidR="000C4611" w:rsidRDefault="000C4611" w:rsidP="00B04A46">
            <w:pPr>
              <w:jc w:val="both"/>
            </w:pPr>
            <w:r w:rsidRPr="000C4611">
              <w:t>Latvijas Cilvēka ģenētikas asociācija</w:t>
            </w:r>
            <w:r>
              <w:t xml:space="preserve"> pauda atbalstu Biedrības sniegtajam viedoklim par ģenētiķa konsultācijas nozīmēšanu tikai atsevišķos gadījumos, kā arī ierosināja reproduktīvo klīniku ārstu veikto dzimumšūnu donoru izmeklējumu papildināt ar vienotu veidlapu ģenētiskā riska izvērtēšanai, kas ļautu identificēt potenciālos biežāko riska alēļu nesējus bez ģenētiķa konsultācijas, kā arī pauda gatavību piedalīties minētās veidlapas izstrādē.</w:t>
            </w:r>
          </w:p>
          <w:p w14:paraId="43C6AACB" w14:textId="61648560" w:rsidR="000C4611" w:rsidRDefault="000C4611" w:rsidP="00B04A46">
            <w:pPr>
              <w:jc w:val="both"/>
            </w:pPr>
            <w:r>
              <w:t>Tikšanās laikā</w:t>
            </w:r>
            <w:r w:rsidR="00A04058">
              <w:t>,</w:t>
            </w:r>
            <w:r>
              <w:t xml:space="preserve"> izvērtējot Biedrības, Latvijas Cilvēka ģenētikas asociācijas un Zāļu valsts aģentūras sniegtos viedokļus par </w:t>
            </w:r>
            <w:r w:rsidR="00A04058">
              <w:t xml:space="preserve">ģenētiskajiem izmeklējumiem un ģenētiķa konsultācijas nepieciešamību, tika pieņemts lēmums par nepieciešamību Biedrībai sadarbībā ar Latvijas Cilvēka ģenētikas asociāciju izstrādāt veidlapu ģenētiskā riska izvērtēšanai un pēc tās saskaņošanas ar Zāļu valsts aģentūru, veikt atsevišķus grozījumus Noteikumos Nr. 1176. </w:t>
            </w:r>
          </w:p>
          <w:p w14:paraId="685DA6D0" w14:textId="4A04B8AC" w:rsidR="00842C22" w:rsidRDefault="0078035A" w:rsidP="00B04A46">
            <w:pPr>
              <w:jc w:val="both"/>
            </w:pPr>
            <w:r>
              <w:t xml:space="preserve">Biedrības izteiktais priekšlikums attiecībā uz laika periodu kad veicama </w:t>
            </w:r>
            <w:r w:rsidRPr="0078035A">
              <w:t xml:space="preserve">spermas donoru testēšanu uz hlamīdijām urīnā (NAT), </w:t>
            </w:r>
            <w:r>
              <w:t>būtu izvērtējams padziļināti, ņemot vērā tikšanās laikā pausto viedokli par atšķirībām ārstniecības iestādēm termina “ziedošanas laiks” piemērošanā</w:t>
            </w:r>
            <w:r w:rsidRPr="0078035A">
              <w:t>.</w:t>
            </w:r>
          </w:p>
          <w:p w14:paraId="73A27959" w14:textId="322D70D5" w:rsidR="004C4E3B" w:rsidRPr="00057ADE" w:rsidRDefault="00A04058" w:rsidP="0078035A">
            <w:pPr>
              <w:jc w:val="both"/>
            </w:pPr>
            <w:r>
              <w:t xml:space="preserve">Savukārt Zāļu valsts aģentūras izteiktais priekšlikumus par papildus ierobežojumu noteikšanu dzimumšūnu izplatīšanai EEZ valstīs un </w:t>
            </w:r>
            <w:r w:rsidRPr="00A04058">
              <w:t>eksportēšana</w:t>
            </w:r>
            <w:r>
              <w:t>i</w:t>
            </w:r>
            <w:r w:rsidRPr="00A04058">
              <w:t xml:space="preserve"> no valstīm ārpus EEZ</w:t>
            </w:r>
            <w:r>
              <w:t xml:space="preserve">, ņemot vērā Biedrības sniegto viedokli būtu jāizvērtē padziļināti, saņemot konkrētus priekšlikumus un nozares speciālistu viedokli. </w:t>
            </w:r>
          </w:p>
        </w:tc>
      </w:tr>
      <w:tr w:rsidR="00B04A46" w:rsidRPr="00426F8E" w14:paraId="282925A5" w14:textId="77777777" w:rsidTr="00595964">
        <w:tc>
          <w:tcPr>
            <w:tcW w:w="539" w:type="dxa"/>
          </w:tcPr>
          <w:p w14:paraId="5E6E5A58" w14:textId="77777777" w:rsidR="00B04A46" w:rsidRPr="002C7FCC" w:rsidRDefault="00B04A46" w:rsidP="00B04A46">
            <w:r>
              <w:lastRenderedPageBreak/>
              <w:t>4.</w:t>
            </w:r>
          </w:p>
        </w:tc>
        <w:tc>
          <w:tcPr>
            <w:tcW w:w="4110" w:type="dxa"/>
          </w:tcPr>
          <w:p w14:paraId="4A8CCAB8" w14:textId="77777777" w:rsidR="00B04A46" w:rsidRPr="00057ADE" w:rsidRDefault="00B04A46" w:rsidP="00B04A46">
            <w:r w:rsidRPr="00057ADE">
              <w:t>Cita informācija</w:t>
            </w:r>
          </w:p>
        </w:tc>
        <w:tc>
          <w:tcPr>
            <w:tcW w:w="4423" w:type="dxa"/>
            <w:tcBorders>
              <w:top w:val="outset" w:sz="6" w:space="0" w:color="414142"/>
              <w:left w:val="outset" w:sz="6" w:space="0" w:color="414142"/>
              <w:bottom w:val="outset" w:sz="6" w:space="0" w:color="414142"/>
              <w:right w:val="outset" w:sz="6" w:space="0" w:color="414142"/>
            </w:tcBorders>
          </w:tcPr>
          <w:p w14:paraId="1649CC23" w14:textId="4DAE537B" w:rsidR="00B04A46" w:rsidRPr="00057ADE" w:rsidRDefault="00B04A46" w:rsidP="00B04A46">
            <w:r w:rsidRPr="00006D51">
              <w:t>Nav</w:t>
            </w:r>
          </w:p>
        </w:tc>
      </w:tr>
    </w:tbl>
    <w:p w14:paraId="4D95F6FE" w14:textId="266C7961" w:rsidR="009331AD" w:rsidRPr="0078035A" w:rsidRDefault="009331AD" w:rsidP="00915F79"/>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110"/>
        <w:gridCol w:w="4423"/>
      </w:tblGrid>
      <w:tr w:rsidR="002C2B9A" w:rsidRPr="003A0775" w14:paraId="38C1DA06" w14:textId="77777777" w:rsidTr="002535A1">
        <w:tc>
          <w:tcPr>
            <w:tcW w:w="9072" w:type="dxa"/>
            <w:gridSpan w:val="3"/>
          </w:tcPr>
          <w:p w14:paraId="0D315621" w14:textId="77777777" w:rsidR="002C2B9A" w:rsidRPr="002C7FCC" w:rsidRDefault="002C2B9A" w:rsidP="007F2E82">
            <w:pPr>
              <w:jc w:val="center"/>
              <w:rPr>
                <w:b/>
              </w:rPr>
            </w:pPr>
            <w:r w:rsidRPr="002C7FCC">
              <w:rPr>
                <w:b/>
              </w:rPr>
              <w:t>VII. Tiesību akta projekta izpildes nodrošināšana un tās ietekme uz institūcijām</w:t>
            </w:r>
          </w:p>
        </w:tc>
      </w:tr>
      <w:tr w:rsidR="002C2B9A" w:rsidRPr="003A0775" w14:paraId="085CC33B" w14:textId="77777777" w:rsidTr="002535A1">
        <w:tc>
          <w:tcPr>
            <w:tcW w:w="539" w:type="dxa"/>
          </w:tcPr>
          <w:p w14:paraId="7FD5EE32" w14:textId="77777777" w:rsidR="002C2B9A" w:rsidRPr="002C7FCC" w:rsidRDefault="002C2B9A" w:rsidP="002C2B9A">
            <w:r w:rsidRPr="002C7FCC">
              <w:t>1.</w:t>
            </w:r>
          </w:p>
        </w:tc>
        <w:tc>
          <w:tcPr>
            <w:tcW w:w="4110" w:type="dxa"/>
          </w:tcPr>
          <w:p w14:paraId="4D1FE215" w14:textId="77777777" w:rsidR="002C2B9A" w:rsidRPr="002C7FCC" w:rsidRDefault="002C2B9A" w:rsidP="002C2B9A">
            <w:r w:rsidRPr="002C7FCC">
              <w:t>Projekta izpildē iesaistītās institūcijas</w:t>
            </w:r>
          </w:p>
        </w:tc>
        <w:tc>
          <w:tcPr>
            <w:tcW w:w="4423" w:type="dxa"/>
          </w:tcPr>
          <w:p w14:paraId="5B312B73" w14:textId="1B38118C" w:rsidR="00A35655" w:rsidRPr="00426F8E" w:rsidRDefault="00B04A46" w:rsidP="00683C84">
            <w:pPr>
              <w:jc w:val="both"/>
            </w:pPr>
            <w:r>
              <w:t xml:space="preserve">Ārstniecības iestādes, kas  </w:t>
            </w:r>
            <w:r w:rsidR="00683C84">
              <w:t xml:space="preserve">iegūst, </w:t>
            </w:r>
            <w:r w:rsidR="00683C84" w:rsidRPr="00683C84">
              <w:rPr>
                <w:bCs/>
                <w:iCs/>
              </w:rPr>
              <w:t>apstrādā, uzglabā, izplata (arī eksportē un importē) dzimumšūnas un nodrošina to izsekojamību.</w:t>
            </w:r>
            <w:r>
              <w:t xml:space="preserve"> </w:t>
            </w:r>
          </w:p>
        </w:tc>
      </w:tr>
      <w:tr w:rsidR="002C2B9A" w:rsidRPr="00587BAD" w14:paraId="4E8569DE" w14:textId="77777777" w:rsidTr="002535A1">
        <w:tc>
          <w:tcPr>
            <w:tcW w:w="539" w:type="dxa"/>
          </w:tcPr>
          <w:p w14:paraId="69BA69D9" w14:textId="77777777" w:rsidR="002C2B9A" w:rsidRPr="002C7FCC" w:rsidRDefault="007F2E82" w:rsidP="002C2B9A">
            <w:r>
              <w:t>2</w:t>
            </w:r>
            <w:r w:rsidR="002C2B9A" w:rsidRPr="002C7FCC">
              <w:t>.</w:t>
            </w:r>
          </w:p>
        </w:tc>
        <w:tc>
          <w:tcPr>
            <w:tcW w:w="4110" w:type="dxa"/>
          </w:tcPr>
          <w:p w14:paraId="2F7BAB9C" w14:textId="77777777" w:rsidR="002C2B9A" w:rsidRPr="002C7FCC" w:rsidRDefault="002C2B9A" w:rsidP="00DC6CB8">
            <w:pPr>
              <w:jc w:val="both"/>
            </w:pPr>
            <w:r w:rsidRPr="002C7FCC">
              <w:t>Projekta izpildes ietekme uz pārvaldes institucionālo struktūru.</w:t>
            </w:r>
          </w:p>
          <w:p w14:paraId="7FF362A4" w14:textId="683A5231" w:rsidR="002C2B9A" w:rsidRPr="002C7FCC" w:rsidRDefault="002C2B9A" w:rsidP="00A35655">
            <w:pPr>
              <w:jc w:val="both"/>
            </w:pPr>
            <w:r w:rsidRPr="002C7FCC">
              <w:lastRenderedPageBreak/>
              <w:t>Jaunu institūciju izveide</w:t>
            </w:r>
            <w:r w:rsidR="007F2E82">
              <w:t>, e</w:t>
            </w:r>
            <w:r w:rsidR="007F2E82" w:rsidRPr="002C7FCC">
              <w:t>sošo institūciju likvidācija</w:t>
            </w:r>
            <w:r w:rsidR="007F2E82">
              <w:t xml:space="preserve"> vai reorganizācija, to ietekme uz institūcijas cilvēkresursiem</w:t>
            </w:r>
          </w:p>
        </w:tc>
        <w:tc>
          <w:tcPr>
            <w:tcW w:w="4423" w:type="dxa"/>
          </w:tcPr>
          <w:p w14:paraId="371C2A09" w14:textId="77777777" w:rsidR="002C2B9A" w:rsidRPr="00426F8E" w:rsidRDefault="002C2B9A" w:rsidP="002C2B9A">
            <w:pPr>
              <w:jc w:val="both"/>
            </w:pPr>
            <w:r w:rsidRPr="00426F8E">
              <w:lastRenderedPageBreak/>
              <w:t>Projekts šo jomu neskar</w:t>
            </w:r>
            <w:r w:rsidR="00913BF9">
              <w:t>.</w:t>
            </w:r>
          </w:p>
        </w:tc>
      </w:tr>
      <w:tr w:rsidR="002C2B9A" w:rsidRPr="003A0775" w14:paraId="5CABDD14" w14:textId="77777777" w:rsidTr="002535A1">
        <w:tc>
          <w:tcPr>
            <w:tcW w:w="539" w:type="dxa"/>
          </w:tcPr>
          <w:p w14:paraId="6F3B583D" w14:textId="77777777" w:rsidR="002C2B9A" w:rsidRPr="002C7FCC" w:rsidRDefault="007F2E82" w:rsidP="002C2B9A">
            <w:r>
              <w:t>3</w:t>
            </w:r>
            <w:r w:rsidR="002C2B9A" w:rsidRPr="002C7FCC">
              <w:t>.</w:t>
            </w:r>
          </w:p>
        </w:tc>
        <w:tc>
          <w:tcPr>
            <w:tcW w:w="4110" w:type="dxa"/>
          </w:tcPr>
          <w:p w14:paraId="52B52042" w14:textId="77777777" w:rsidR="002C2B9A" w:rsidRPr="002C7FCC" w:rsidRDefault="002C2B9A" w:rsidP="002C2B9A">
            <w:r w:rsidRPr="002C7FCC">
              <w:t>Cita informācija</w:t>
            </w:r>
          </w:p>
        </w:tc>
        <w:tc>
          <w:tcPr>
            <w:tcW w:w="4423" w:type="dxa"/>
          </w:tcPr>
          <w:p w14:paraId="1B6822E4" w14:textId="77777777" w:rsidR="002C2B9A" w:rsidRDefault="002C2B9A" w:rsidP="002C2B9A">
            <w:r w:rsidRPr="00426F8E">
              <w:t>Nav</w:t>
            </w:r>
          </w:p>
          <w:p w14:paraId="09A366D0" w14:textId="41209E5D" w:rsidR="00A35655" w:rsidRPr="00426F8E" w:rsidRDefault="00A35655" w:rsidP="002C2B9A"/>
        </w:tc>
      </w:tr>
    </w:tbl>
    <w:p w14:paraId="52B1F103" w14:textId="08D901B7" w:rsidR="0038783E" w:rsidRDefault="0038783E" w:rsidP="00E5576E">
      <w:pPr>
        <w:rPr>
          <w:sz w:val="28"/>
          <w:szCs w:val="28"/>
        </w:rPr>
      </w:pPr>
    </w:p>
    <w:p w14:paraId="08239024" w14:textId="77777777" w:rsidR="003E41DF" w:rsidRDefault="003E41DF" w:rsidP="00E5576E">
      <w:pPr>
        <w:rPr>
          <w:sz w:val="28"/>
          <w:szCs w:val="28"/>
        </w:rPr>
      </w:pPr>
    </w:p>
    <w:p w14:paraId="76E01E6C" w14:textId="478BF3CF" w:rsidR="003E41DF" w:rsidRPr="0031211A" w:rsidRDefault="00A35655" w:rsidP="003E41DF">
      <w:pPr>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sidR="003E41DF" w:rsidRPr="0031211A">
        <w:rPr>
          <w:sz w:val="28"/>
          <w:szCs w:val="28"/>
        </w:rPr>
        <w:t xml:space="preserve">                                      </w:t>
      </w:r>
      <w:r>
        <w:rPr>
          <w:sz w:val="28"/>
          <w:szCs w:val="28"/>
        </w:rPr>
        <w:tab/>
        <w:t xml:space="preserve">     Anda Čakša</w:t>
      </w:r>
      <w:r w:rsidR="003E41DF" w:rsidRPr="0031211A">
        <w:rPr>
          <w:sz w:val="28"/>
          <w:szCs w:val="28"/>
        </w:rPr>
        <w:tab/>
      </w:r>
    </w:p>
    <w:p w14:paraId="78FFEDB9" w14:textId="77777777" w:rsidR="003E41DF" w:rsidRPr="0031211A" w:rsidRDefault="003E41DF" w:rsidP="003E41DF">
      <w:pPr>
        <w:rPr>
          <w:sz w:val="28"/>
          <w:szCs w:val="28"/>
        </w:rPr>
      </w:pPr>
    </w:p>
    <w:p w14:paraId="0D4FCA19" w14:textId="0133EE9C" w:rsidR="003E41DF" w:rsidRPr="003E41DF" w:rsidRDefault="00A35655" w:rsidP="003E41DF">
      <w:pPr>
        <w:rPr>
          <w:sz w:val="26"/>
          <w:szCs w:val="26"/>
        </w:rPr>
      </w:pPr>
      <w:r>
        <w:rPr>
          <w:sz w:val="28"/>
          <w:szCs w:val="28"/>
        </w:rPr>
        <w:t>Vīza: Valsts sekretār</w:t>
      </w:r>
      <w:r w:rsidR="004C4E3B">
        <w:rPr>
          <w:sz w:val="28"/>
          <w:szCs w:val="28"/>
        </w:rPr>
        <w:t>a p.i.</w:t>
      </w:r>
      <w:r w:rsidR="003E41DF" w:rsidRPr="0031211A">
        <w:rPr>
          <w:sz w:val="28"/>
          <w:szCs w:val="28"/>
        </w:rPr>
        <w:t xml:space="preserve">                              </w:t>
      </w:r>
      <w:r>
        <w:rPr>
          <w:sz w:val="28"/>
          <w:szCs w:val="28"/>
        </w:rPr>
        <w:tab/>
        <w:t xml:space="preserve">   </w:t>
      </w:r>
      <w:r w:rsidR="004C4E3B">
        <w:rPr>
          <w:sz w:val="28"/>
          <w:szCs w:val="28"/>
        </w:rPr>
        <w:tab/>
        <w:t xml:space="preserve">   Daina Mūrmane-Umbraško</w:t>
      </w:r>
      <w:r w:rsidR="003E41DF" w:rsidRPr="003E41DF">
        <w:rPr>
          <w:sz w:val="26"/>
          <w:szCs w:val="26"/>
        </w:rPr>
        <w:t xml:space="preserve"> </w:t>
      </w:r>
    </w:p>
    <w:p w14:paraId="7866223B" w14:textId="14BD2161" w:rsidR="00B504C8" w:rsidRDefault="00B504C8" w:rsidP="00E5576E">
      <w:pPr>
        <w:rPr>
          <w:sz w:val="28"/>
          <w:szCs w:val="28"/>
        </w:rPr>
      </w:pPr>
    </w:p>
    <w:p w14:paraId="4C43EC6C" w14:textId="53C9BB0A" w:rsidR="0031211A" w:rsidRPr="0031211A" w:rsidRDefault="00F66B05" w:rsidP="0031211A">
      <w:pPr>
        <w:rPr>
          <w:sz w:val="22"/>
          <w:szCs w:val="22"/>
        </w:rPr>
      </w:pPr>
      <w:bookmarkStart w:id="3" w:name="_GoBack"/>
      <w:bookmarkEnd w:id="3"/>
      <w:r>
        <w:rPr>
          <w:sz w:val="22"/>
          <w:szCs w:val="22"/>
        </w:rPr>
        <w:t>Jerm</w:t>
      </w:r>
      <w:r w:rsidR="0031211A">
        <w:rPr>
          <w:sz w:val="22"/>
          <w:szCs w:val="22"/>
        </w:rPr>
        <w:t>acāne</w:t>
      </w:r>
      <w:r w:rsidR="0031211A" w:rsidRPr="0031211A">
        <w:rPr>
          <w:sz w:val="22"/>
          <w:szCs w:val="22"/>
        </w:rPr>
        <w:t xml:space="preserve"> 67</w:t>
      </w:r>
      <w:r w:rsidR="0031211A">
        <w:rPr>
          <w:sz w:val="22"/>
          <w:szCs w:val="22"/>
        </w:rPr>
        <w:t>876167</w:t>
      </w:r>
    </w:p>
    <w:p w14:paraId="077CA845" w14:textId="78EA35FC" w:rsidR="006E2188" w:rsidRDefault="0031211A" w:rsidP="00E5576E">
      <w:pPr>
        <w:rPr>
          <w:sz w:val="28"/>
          <w:szCs w:val="28"/>
        </w:rPr>
      </w:pPr>
      <w:r>
        <w:rPr>
          <w:sz w:val="22"/>
          <w:szCs w:val="22"/>
        </w:rPr>
        <w:t>guna.jermacane</w:t>
      </w:r>
      <w:r w:rsidRPr="0031211A">
        <w:rPr>
          <w:sz w:val="22"/>
          <w:szCs w:val="22"/>
        </w:rPr>
        <w:t>@vm.gov.lv</w:t>
      </w:r>
    </w:p>
    <w:sectPr w:rsidR="006E2188" w:rsidSect="006469A3">
      <w:headerReference w:type="even" r:id="rId8"/>
      <w:headerReference w:type="default" r:id="rId9"/>
      <w:footerReference w:type="even" r:id="rId10"/>
      <w:footerReference w:type="default" r:id="rId11"/>
      <w:footerReference w:type="first" r:id="rId12"/>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998A" w14:textId="77777777" w:rsidR="00F876BA" w:rsidRDefault="00F876BA">
      <w:r>
        <w:separator/>
      </w:r>
    </w:p>
  </w:endnote>
  <w:endnote w:type="continuationSeparator" w:id="0">
    <w:p w14:paraId="5C059ADC" w14:textId="77777777" w:rsidR="00F876BA" w:rsidRDefault="00F8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60CD" w14:textId="77777777" w:rsidR="00F876BA" w:rsidRDefault="00F876BA" w:rsidP="00611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F42F5" w14:textId="77777777" w:rsidR="00F876BA" w:rsidRDefault="00F876BA" w:rsidP="00611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F2C9" w14:textId="6A12DCF5" w:rsidR="00F876BA" w:rsidRPr="00ED1BCA" w:rsidRDefault="00F876BA" w:rsidP="002B66CE">
    <w:pPr>
      <w:jc w:val="both"/>
      <w:rPr>
        <w:sz w:val="22"/>
        <w:szCs w:val="22"/>
      </w:rPr>
    </w:pPr>
    <w:r>
      <w:rPr>
        <w:sz w:val="22"/>
        <w:szCs w:val="22"/>
      </w:rPr>
      <w:t>VMa</w:t>
    </w:r>
    <w:r w:rsidRPr="00ED1BCA">
      <w:rPr>
        <w:sz w:val="22"/>
        <w:szCs w:val="22"/>
      </w:rPr>
      <w:t>not_</w:t>
    </w:r>
    <w:r w:rsidR="004C4E3B">
      <w:rPr>
        <w:sz w:val="22"/>
        <w:szCs w:val="22"/>
      </w:rPr>
      <w:t>0811</w:t>
    </w:r>
    <w:r>
      <w:rPr>
        <w:sz w:val="22"/>
        <w:szCs w:val="22"/>
      </w:rPr>
      <w:t>18_</w:t>
    </w:r>
    <w:r w:rsidR="0073600B">
      <w:rPr>
        <w:sz w:val="22"/>
        <w:szCs w:val="22"/>
      </w:rPr>
      <w:t>groz_audi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20CE" w14:textId="7D945E4C" w:rsidR="00F876BA" w:rsidRPr="00ED1BCA" w:rsidRDefault="00F876BA" w:rsidP="00CD0BBE">
    <w:pPr>
      <w:ind w:left="360"/>
      <w:jc w:val="both"/>
      <w:rPr>
        <w:sz w:val="22"/>
        <w:szCs w:val="22"/>
      </w:rPr>
    </w:pPr>
    <w:r w:rsidRPr="002C44DE">
      <w:rPr>
        <w:sz w:val="22"/>
        <w:szCs w:val="22"/>
      </w:rPr>
      <w:t>VManot_</w:t>
    </w:r>
    <w:r w:rsidR="004C4E3B">
      <w:rPr>
        <w:sz w:val="22"/>
        <w:szCs w:val="22"/>
      </w:rPr>
      <w:t>0811</w:t>
    </w:r>
    <w:r w:rsidR="0073600B">
      <w:rPr>
        <w:sz w:val="22"/>
        <w:szCs w:val="22"/>
      </w:rPr>
      <w:t>18_groz_audi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4A23F" w14:textId="77777777" w:rsidR="00F876BA" w:rsidRDefault="00F876BA">
      <w:r>
        <w:separator/>
      </w:r>
    </w:p>
  </w:footnote>
  <w:footnote w:type="continuationSeparator" w:id="0">
    <w:p w14:paraId="2BDCB0C2" w14:textId="77777777" w:rsidR="00F876BA" w:rsidRDefault="00F8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4C61" w14:textId="77777777" w:rsidR="00F876BA" w:rsidRDefault="00F876BA"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A0C7E" w14:textId="77777777" w:rsidR="00F876BA" w:rsidRDefault="00F87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201" w14:textId="17082A2D" w:rsidR="00F876BA" w:rsidRDefault="00F876BA"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868">
      <w:rPr>
        <w:rStyle w:val="PageNumber"/>
        <w:noProof/>
      </w:rPr>
      <w:t>12</w:t>
    </w:r>
    <w:r>
      <w:rPr>
        <w:rStyle w:val="PageNumber"/>
      </w:rPr>
      <w:fldChar w:fldCharType="end"/>
    </w:r>
  </w:p>
  <w:p w14:paraId="262EF6CA" w14:textId="77777777" w:rsidR="00F876BA" w:rsidRPr="004F7101" w:rsidRDefault="00F876BA" w:rsidP="0061195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15:restartNumberingAfterBreak="0">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15:restartNumberingAfterBreak="0">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15:restartNumberingAfterBreak="0">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15:restartNumberingAfterBreak="0">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A0A6E25"/>
    <w:multiLevelType w:val="multilevel"/>
    <w:tmpl w:val="AAB8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1"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4"/>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2"/>
  </w:num>
  <w:num w:numId="15">
    <w:abstractNumId w:val="12"/>
  </w:num>
  <w:num w:numId="16">
    <w:abstractNumId w:val="10"/>
  </w:num>
  <w:num w:numId="17">
    <w:abstractNumId w:val="13"/>
  </w:num>
  <w:num w:numId="18">
    <w:abstractNumId w:val="21"/>
  </w:num>
  <w:num w:numId="19">
    <w:abstractNumId w:val="2"/>
  </w:num>
  <w:num w:numId="20">
    <w:abstractNumId w:val="17"/>
  </w:num>
  <w:num w:numId="21">
    <w:abstractNumId w:val="20"/>
  </w:num>
  <w:num w:numId="22">
    <w:abstractNumId w:val="6"/>
  </w:num>
  <w:num w:numId="23">
    <w:abstractNumId w:val="15"/>
  </w:num>
  <w:num w:numId="24">
    <w:abstractNumId w:val="2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A3"/>
    <w:rsid w:val="0000077B"/>
    <w:rsid w:val="00002B58"/>
    <w:rsid w:val="00004B53"/>
    <w:rsid w:val="00004EB3"/>
    <w:rsid w:val="00004F24"/>
    <w:rsid w:val="00005545"/>
    <w:rsid w:val="00005804"/>
    <w:rsid w:val="00006D80"/>
    <w:rsid w:val="00007451"/>
    <w:rsid w:val="0001138B"/>
    <w:rsid w:val="0001214F"/>
    <w:rsid w:val="00012789"/>
    <w:rsid w:val="000129D0"/>
    <w:rsid w:val="000155F7"/>
    <w:rsid w:val="00017D69"/>
    <w:rsid w:val="00020359"/>
    <w:rsid w:val="000225DF"/>
    <w:rsid w:val="00023105"/>
    <w:rsid w:val="00023AEC"/>
    <w:rsid w:val="00024665"/>
    <w:rsid w:val="0002478A"/>
    <w:rsid w:val="00024E57"/>
    <w:rsid w:val="000260BF"/>
    <w:rsid w:val="00026EF5"/>
    <w:rsid w:val="00030731"/>
    <w:rsid w:val="0003077C"/>
    <w:rsid w:val="0003085D"/>
    <w:rsid w:val="0003149C"/>
    <w:rsid w:val="0004019E"/>
    <w:rsid w:val="00040F31"/>
    <w:rsid w:val="0004378D"/>
    <w:rsid w:val="00047B9A"/>
    <w:rsid w:val="000509E4"/>
    <w:rsid w:val="0005292F"/>
    <w:rsid w:val="000542B7"/>
    <w:rsid w:val="000543BF"/>
    <w:rsid w:val="00056035"/>
    <w:rsid w:val="00057ADE"/>
    <w:rsid w:val="00060134"/>
    <w:rsid w:val="00060471"/>
    <w:rsid w:val="00060E69"/>
    <w:rsid w:val="000610A7"/>
    <w:rsid w:val="0006133B"/>
    <w:rsid w:val="000640B5"/>
    <w:rsid w:val="000644D4"/>
    <w:rsid w:val="0006484D"/>
    <w:rsid w:val="0006507B"/>
    <w:rsid w:val="00065F46"/>
    <w:rsid w:val="00066105"/>
    <w:rsid w:val="000665EA"/>
    <w:rsid w:val="00066A68"/>
    <w:rsid w:val="00067215"/>
    <w:rsid w:val="00067338"/>
    <w:rsid w:val="000678F1"/>
    <w:rsid w:val="00072186"/>
    <w:rsid w:val="0007389F"/>
    <w:rsid w:val="00075668"/>
    <w:rsid w:val="00075FF2"/>
    <w:rsid w:val="00076927"/>
    <w:rsid w:val="0007737A"/>
    <w:rsid w:val="00081C0D"/>
    <w:rsid w:val="00083765"/>
    <w:rsid w:val="00083F5F"/>
    <w:rsid w:val="0008413C"/>
    <w:rsid w:val="00090403"/>
    <w:rsid w:val="000A064A"/>
    <w:rsid w:val="000A2A51"/>
    <w:rsid w:val="000A3009"/>
    <w:rsid w:val="000A60C4"/>
    <w:rsid w:val="000B07CE"/>
    <w:rsid w:val="000B20C5"/>
    <w:rsid w:val="000B2B89"/>
    <w:rsid w:val="000B2CF6"/>
    <w:rsid w:val="000B5E09"/>
    <w:rsid w:val="000B5E98"/>
    <w:rsid w:val="000B6DD6"/>
    <w:rsid w:val="000B75E2"/>
    <w:rsid w:val="000C12C1"/>
    <w:rsid w:val="000C1AE2"/>
    <w:rsid w:val="000C23FA"/>
    <w:rsid w:val="000C2752"/>
    <w:rsid w:val="000C28AB"/>
    <w:rsid w:val="000C3953"/>
    <w:rsid w:val="000C4611"/>
    <w:rsid w:val="000C562A"/>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BF9"/>
    <w:rsid w:val="000F1B8D"/>
    <w:rsid w:val="000F28A9"/>
    <w:rsid w:val="000F50F8"/>
    <w:rsid w:val="000F5D0C"/>
    <w:rsid w:val="000F5D86"/>
    <w:rsid w:val="000F703F"/>
    <w:rsid w:val="000F7A35"/>
    <w:rsid w:val="0010088F"/>
    <w:rsid w:val="0010178C"/>
    <w:rsid w:val="0010186F"/>
    <w:rsid w:val="00101C50"/>
    <w:rsid w:val="001038AD"/>
    <w:rsid w:val="0010392E"/>
    <w:rsid w:val="00103AFA"/>
    <w:rsid w:val="00103CBB"/>
    <w:rsid w:val="00106021"/>
    <w:rsid w:val="0011031E"/>
    <w:rsid w:val="00111DBF"/>
    <w:rsid w:val="00114D2D"/>
    <w:rsid w:val="00114D88"/>
    <w:rsid w:val="00114E31"/>
    <w:rsid w:val="001151CC"/>
    <w:rsid w:val="00116521"/>
    <w:rsid w:val="00120B04"/>
    <w:rsid w:val="00121B5C"/>
    <w:rsid w:val="0012216C"/>
    <w:rsid w:val="001235CB"/>
    <w:rsid w:val="0012497F"/>
    <w:rsid w:val="001250CB"/>
    <w:rsid w:val="00125CE4"/>
    <w:rsid w:val="00125E65"/>
    <w:rsid w:val="00126C1E"/>
    <w:rsid w:val="00126D70"/>
    <w:rsid w:val="0012782C"/>
    <w:rsid w:val="00130ED4"/>
    <w:rsid w:val="00132875"/>
    <w:rsid w:val="001329ED"/>
    <w:rsid w:val="00132FDC"/>
    <w:rsid w:val="00136C1C"/>
    <w:rsid w:val="00137475"/>
    <w:rsid w:val="0014056E"/>
    <w:rsid w:val="001417CA"/>
    <w:rsid w:val="00141AB1"/>
    <w:rsid w:val="00141FC7"/>
    <w:rsid w:val="00142423"/>
    <w:rsid w:val="001469A3"/>
    <w:rsid w:val="00146F88"/>
    <w:rsid w:val="00147843"/>
    <w:rsid w:val="00150FBE"/>
    <w:rsid w:val="00151ACF"/>
    <w:rsid w:val="00152353"/>
    <w:rsid w:val="0015493C"/>
    <w:rsid w:val="00155F16"/>
    <w:rsid w:val="00157378"/>
    <w:rsid w:val="00157946"/>
    <w:rsid w:val="00163E08"/>
    <w:rsid w:val="0016483C"/>
    <w:rsid w:val="00166A3B"/>
    <w:rsid w:val="001678C5"/>
    <w:rsid w:val="00170E73"/>
    <w:rsid w:val="0017280F"/>
    <w:rsid w:val="0017337C"/>
    <w:rsid w:val="00173927"/>
    <w:rsid w:val="00175E55"/>
    <w:rsid w:val="00175F31"/>
    <w:rsid w:val="001807A6"/>
    <w:rsid w:val="0018259D"/>
    <w:rsid w:val="0018417E"/>
    <w:rsid w:val="001856E4"/>
    <w:rsid w:val="001859C1"/>
    <w:rsid w:val="0018683C"/>
    <w:rsid w:val="00187CB3"/>
    <w:rsid w:val="0019093A"/>
    <w:rsid w:val="00193C24"/>
    <w:rsid w:val="00194122"/>
    <w:rsid w:val="00194808"/>
    <w:rsid w:val="00194DF6"/>
    <w:rsid w:val="00195106"/>
    <w:rsid w:val="0019699E"/>
    <w:rsid w:val="00197EFF"/>
    <w:rsid w:val="001A0CD5"/>
    <w:rsid w:val="001A13AB"/>
    <w:rsid w:val="001A23DE"/>
    <w:rsid w:val="001A2AC9"/>
    <w:rsid w:val="001A3220"/>
    <w:rsid w:val="001A41FE"/>
    <w:rsid w:val="001A4450"/>
    <w:rsid w:val="001A4CCD"/>
    <w:rsid w:val="001A5573"/>
    <w:rsid w:val="001A558E"/>
    <w:rsid w:val="001A578A"/>
    <w:rsid w:val="001A710E"/>
    <w:rsid w:val="001B0806"/>
    <w:rsid w:val="001B2565"/>
    <w:rsid w:val="001B3733"/>
    <w:rsid w:val="001B5662"/>
    <w:rsid w:val="001B5C43"/>
    <w:rsid w:val="001B6802"/>
    <w:rsid w:val="001B7FFA"/>
    <w:rsid w:val="001C44FC"/>
    <w:rsid w:val="001C5712"/>
    <w:rsid w:val="001C621A"/>
    <w:rsid w:val="001C6B62"/>
    <w:rsid w:val="001C6C96"/>
    <w:rsid w:val="001D5342"/>
    <w:rsid w:val="001D63F6"/>
    <w:rsid w:val="001D6AF2"/>
    <w:rsid w:val="001D74E2"/>
    <w:rsid w:val="001D7B8D"/>
    <w:rsid w:val="001D7C6B"/>
    <w:rsid w:val="001E09DD"/>
    <w:rsid w:val="001E0FEF"/>
    <w:rsid w:val="001E168D"/>
    <w:rsid w:val="001E2AE1"/>
    <w:rsid w:val="001E3098"/>
    <w:rsid w:val="001E5504"/>
    <w:rsid w:val="001E677B"/>
    <w:rsid w:val="001E7566"/>
    <w:rsid w:val="001F0379"/>
    <w:rsid w:val="001F13FD"/>
    <w:rsid w:val="001F148B"/>
    <w:rsid w:val="001F2426"/>
    <w:rsid w:val="001F3656"/>
    <w:rsid w:val="001F5450"/>
    <w:rsid w:val="001F5654"/>
    <w:rsid w:val="001F697A"/>
    <w:rsid w:val="001F7A95"/>
    <w:rsid w:val="00200DB4"/>
    <w:rsid w:val="00201253"/>
    <w:rsid w:val="00202F1A"/>
    <w:rsid w:val="0020587A"/>
    <w:rsid w:val="00210F0E"/>
    <w:rsid w:val="002120AA"/>
    <w:rsid w:val="00213D95"/>
    <w:rsid w:val="00216D95"/>
    <w:rsid w:val="00225063"/>
    <w:rsid w:val="002259FC"/>
    <w:rsid w:val="0022655E"/>
    <w:rsid w:val="00230078"/>
    <w:rsid w:val="00230A69"/>
    <w:rsid w:val="00230D25"/>
    <w:rsid w:val="002333F3"/>
    <w:rsid w:val="002343CB"/>
    <w:rsid w:val="00234EB8"/>
    <w:rsid w:val="00235571"/>
    <w:rsid w:val="002357A7"/>
    <w:rsid w:val="00235C3D"/>
    <w:rsid w:val="00237905"/>
    <w:rsid w:val="00237EFC"/>
    <w:rsid w:val="00240BA4"/>
    <w:rsid w:val="00240BE0"/>
    <w:rsid w:val="00245745"/>
    <w:rsid w:val="00246190"/>
    <w:rsid w:val="00246A52"/>
    <w:rsid w:val="002502E5"/>
    <w:rsid w:val="00251F16"/>
    <w:rsid w:val="002522E9"/>
    <w:rsid w:val="002535A1"/>
    <w:rsid w:val="0025387E"/>
    <w:rsid w:val="00254C95"/>
    <w:rsid w:val="00255774"/>
    <w:rsid w:val="0025738F"/>
    <w:rsid w:val="002621CB"/>
    <w:rsid w:val="002632B2"/>
    <w:rsid w:val="0026352A"/>
    <w:rsid w:val="00265651"/>
    <w:rsid w:val="00265A95"/>
    <w:rsid w:val="0026705F"/>
    <w:rsid w:val="00267839"/>
    <w:rsid w:val="00267FAE"/>
    <w:rsid w:val="002712B9"/>
    <w:rsid w:val="00274440"/>
    <w:rsid w:val="00274578"/>
    <w:rsid w:val="002762AB"/>
    <w:rsid w:val="00280C78"/>
    <w:rsid w:val="00281E50"/>
    <w:rsid w:val="00284A6E"/>
    <w:rsid w:val="0028510D"/>
    <w:rsid w:val="00287D25"/>
    <w:rsid w:val="00290A5B"/>
    <w:rsid w:val="00290BBC"/>
    <w:rsid w:val="002914CD"/>
    <w:rsid w:val="00291A90"/>
    <w:rsid w:val="00292822"/>
    <w:rsid w:val="002931F6"/>
    <w:rsid w:val="00293E79"/>
    <w:rsid w:val="002A3049"/>
    <w:rsid w:val="002A3358"/>
    <w:rsid w:val="002A3B74"/>
    <w:rsid w:val="002A4A8D"/>
    <w:rsid w:val="002A5365"/>
    <w:rsid w:val="002A730D"/>
    <w:rsid w:val="002A75A2"/>
    <w:rsid w:val="002B1B57"/>
    <w:rsid w:val="002B2173"/>
    <w:rsid w:val="002B2222"/>
    <w:rsid w:val="002B240F"/>
    <w:rsid w:val="002B2B2A"/>
    <w:rsid w:val="002B4E43"/>
    <w:rsid w:val="002B5436"/>
    <w:rsid w:val="002B66CE"/>
    <w:rsid w:val="002C02E9"/>
    <w:rsid w:val="002C0ACD"/>
    <w:rsid w:val="002C2B9A"/>
    <w:rsid w:val="002C3B1E"/>
    <w:rsid w:val="002C44DE"/>
    <w:rsid w:val="002C46D6"/>
    <w:rsid w:val="002C56ED"/>
    <w:rsid w:val="002C7FCC"/>
    <w:rsid w:val="002D1113"/>
    <w:rsid w:val="002D1624"/>
    <w:rsid w:val="002D1A23"/>
    <w:rsid w:val="002D298F"/>
    <w:rsid w:val="002D3883"/>
    <w:rsid w:val="002D47D7"/>
    <w:rsid w:val="002D4F4B"/>
    <w:rsid w:val="002D67E4"/>
    <w:rsid w:val="002D75FA"/>
    <w:rsid w:val="002E0945"/>
    <w:rsid w:val="002E245C"/>
    <w:rsid w:val="002E3F4E"/>
    <w:rsid w:val="002E52A1"/>
    <w:rsid w:val="002E5449"/>
    <w:rsid w:val="002E5E2E"/>
    <w:rsid w:val="002E6CE6"/>
    <w:rsid w:val="002F0A08"/>
    <w:rsid w:val="002F18DD"/>
    <w:rsid w:val="002F1BFD"/>
    <w:rsid w:val="002F23BE"/>
    <w:rsid w:val="002F4063"/>
    <w:rsid w:val="002F5939"/>
    <w:rsid w:val="002F6019"/>
    <w:rsid w:val="002F6224"/>
    <w:rsid w:val="002F6F7D"/>
    <w:rsid w:val="003015CF"/>
    <w:rsid w:val="003015D4"/>
    <w:rsid w:val="003018B2"/>
    <w:rsid w:val="00302986"/>
    <w:rsid w:val="00302D2B"/>
    <w:rsid w:val="0030423F"/>
    <w:rsid w:val="00307A94"/>
    <w:rsid w:val="0031211A"/>
    <w:rsid w:val="00312D59"/>
    <w:rsid w:val="0031364D"/>
    <w:rsid w:val="003139E2"/>
    <w:rsid w:val="00314973"/>
    <w:rsid w:val="00315172"/>
    <w:rsid w:val="003165D0"/>
    <w:rsid w:val="00316B56"/>
    <w:rsid w:val="0031773B"/>
    <w:rsid w:val="00320D57"/>
    <w:rsid w:val="00321E61"/>
    <w:rsid w:val="003220BD"/>
    <w:rsid w:val="00322220"/>
    <w:rsid w:val="00323982"/>
    <w:rsid w:val="00323EA9"/>
    <w:rsid w:val="003242DD"/>
    <w:rsid w:val="0032434A"/>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45C5"/>
    <w:rsid w:val="0034511D"/>
    <w:rsid w:val="00346556"/>
    <w:rsid w:val="003470D6"/>
    <w:rsid w:val="00347143"/>
    <w:rsid w:val="003504E8"/>
    <w:rsid w:val="0035105F"/>
    <w:rsid w:val="003518D2"/>
    <w:rsid w:val="003522E1"/>
    <w:rsid w:val="00352418"/>
    <w:rsid w:val="0035281D"/>
    <w:rsid w:val="0035633B"/>
    <w:rsid w:val="00357A17"/>
    <w:rsid w:val="00361406"/>
    <w:rsid w:val="003626E4"/>
    <w:rsid w:val="00363B1C"/>
    <w:rsid w:val="00364750"/>
    <w:rsid w:val="003663E7"/>
    <w:rsid w:val="00370676"/>
    <w:rsid w:val="003711F4"/>
    <w:rsid w:val="003717A2"/>
    <w:rsid w:val="00371DC7"/>
    <w:rsid w:val="00372119"/>
    <w:rsid w:val="0037239D"/>
    <w:rsid w:val="003732AD"/>
    <w:rsid w:val="00374859"/>
    <w:rsid w:val="00374DCE"/>
    <w:rsid w:val="00375026"/>
    <w:rsid w:val="003758CA"/>
    <w:rsid w:val="00376CB2"/>
    <w:rsid w:val="00377D3A"/>
    <w:rsid w:val="00380765"/>
    <w:rsid w:val="00381CF6"/>
    <w:rsid w:val="00386F1E"/>
    <w:rsid w:val="003872B1"/>
    <w:rsid w:val="0038783E"/>
    <w:rsid w:val="00387F9F"/>
    <w:rsid w:val="003942C4"/>
    <w:rsid w:val="0039484E"/>
    <w:rsid w:val="003978D9"/>
    <w:rsid w:val="003A10C3"/>
    <w:rsid w:val="003A1D4A"/>
    <w:rsid w:val="003A3C86"/>
    <w:rsid w:val="003A4C87"/>
    <w:rsid w:val="003A59CE"/>
    <w:rsid w:val="003A63EC"/>
    <w:rsid w:val="003A7E39"/>
    <w:rsid w:val="003B0BBE"/>
    <w:rsid w:val="003B1537"/>
    <w:rsid w:val="003B20D6"/>
    <w:rsid w:val="003B4B2A"/>
    <w:rsid w:val="003B4F6C"/>
    <w:rsid w:val="003B6B1F"/>
    <w:rsid w:val="003B6C23"/>
    <w:rsid w:val="003B6FD5"/>
    <w:rsid w:val="003B7FF8"/>
    <w:rsid w:val="003C03D3"/>
    <w:rsid w:val="003C0408"/>
    <w:rsid w:val="003C0A0E"/>
    <w:rsid w:val="003C5277"/>
    <w:rsid w:val="003C5714"/>
    <w:rsid w:val="003C6106"/>
    <w:rsid w:val="003C73AD"/>
    <w:rsid w:val="003C7F69"/>
    <w:rsid w:val="003D02CB"/>
    <w:rsid w:val="003D1ABA"/>
    <w:rsid w:val="003D233C"/>
    <w:rsid w:val="003D40A8"/>
    <w:rsid w:val="003E08C9"/>
    <w:rsid w:val="003E09A8"/>
    <w:rsid w:val="003E125D"/>
    <w:rsid w:val="003E197C"/>
    <w:rsid w:val="003E41DF"/>
    <w:rsid w:val="003E743C"/>
    <w:rsid w:val="003E7A1E"/>
    <w:rsid w:val="003E7E02"/>
    <w:rsid w:val="003F086E"/>
    <w:rsid w:val="003F18B7"/>
    <w:rsid w:val="003F3C53"/>
    <w:rsid w:val="003F5925"/>
    <w:rsid w:val="003F5A35"/>
    <w:rsid w:val="003F6482"/>
    <w:rsid w:val="003F7A60"/>
    <w:rsid w:val="0040245C"/>
    <w:rsid w:val="00404420"/>
    <w:rsid w:val="00405100"/>
    <w:rsid w:val="00405878"/>
    <w:rsid w:val="00406EF4"/>
    <w:rsid w:val="00407734"/>
    <w:rsid w:val="004116B8"/>
    <w:rsid w:val="00412071"/>
    <w:rsid w:val="004124B5"/>
    <w:rsid w:val="0041314F"/>
    <w:rsid w:val="0041387C"/>
    <w:rsid w:val="00414018"/>
    <w:rsid w:val="00414BA3"/>
    <w:rsid w:val="0041541D"/>
    <w:rsid w:val="0041562A"/>
    <w:rsid w:val="0041572C"/>
    <w:rsid w:val="00415A83"/>
    <w:rsid w:val="004160F3"/>
    <w:rsid w:val="00416B61"/>
    <w:rsid w:val="00416CD5"/>
    <w:rsid w:val="00416EE0"/>
    <w:rsid w:val="00417D41"/>
    <w:rsid w:val="00424718"/>
    <w:rsid w:val="00426F8E"/>
    <w:rsid w:val="00426F9A"/>
    <w:rsid w:val="00427281"/>
    <w:rsid w:val="00427578"/>
    <w:rsid w:val="00431B9F"/>
    <w:rsid w:val="004320D3"/>
    <w:rsid w:val="00433066"/>
    <w:rsid w:val="00434146"/>
    <w:rsid w:val="0043454F"/>
    <w:rsid w:val="004365E3"/>
    <w:rsid w:val="00442419"/>
    <w:rsid w:val="0044337F"/>
    <w:rsid w:val="00445183"/>
    <w:rsid w:val="004506E0"/>
    <w:rsid w:val="00450C6F"/>
    <w:rsid w:val="0045276B"/>
    <w:rsid w:val="00454935"/>
    <w:rsid w:val="0045761D"/>
    <w:rsid w:val="00460449"/>
    <w:rsid w:val="004624DD"/>
    <w:rsid w:val="00463637"/>
    <w:rsid w:val="0046438F"/>
    <w:rsid w:val="00465D62"/>
    <w:rsid w:val="00470F9B"/>
    <w:rsid w:val="00471BB2"/>
    <w:rsid w:val="00471C64"/>
    <w:rsid w:val="004726D4"/>
    <w:rsid w:val="00473DB7"/>
    <w:rsid w:val="00473EC3"/>
    <w:rsid w:val="0047656E"/>
    <w:rsid w:val="00476855"/>
    <w:rsid w:val="004814D4"/>
    <w:rsid w:val="00481FE5"/>
    <w:rsid w:val="004830B3"/>
    <w:rsid w:val="00483830"/>
    <w:rsid w:val="0048398F"/>
    <w:rsid w:val="00483F6F"/>
    <w:rsid w:val="00485C69"/>
    <w:rsid w:val="00485CB4"/>
    <w:rsid w:val="00485EFD"/>
    <w:rsid w:val="0048757B"/>
    <w:rsid w:val="00492B22"/>
    <w:rsid w:val="00493766"/>
    <w:rsid w:val="00493FBE"/>
    <w:rsid w:val="004960E2"/>
    <w:rsid w:val="00497A61"/>
    <w:rsid w:val="004A39DE"/>
    <w:rsid w:val="004A5878"/>
    <w:rsid w:val="004A67C2"/>
    <w:rsid w:val="004A681D"/>
    <w:rsid w:val="004A754A"/>
    <w:rsid w:val="004A78D6"/>
    <w:rsid w:val="004B02C0"/>
    <w:rsid w:val="004B10B6"/>
    <w:rsid w:val="004B20E4"/>
    <w:rsid w:val="004B3A38"/>
    <w:rsid w:val="004B403F"/>
    <w:rsid w:val="004B493B"/>
    <w:rsid w:val="004B55B8"/>
    <w:rsid w:val="004C3E3D"/>
    <w:rsid w:val="004C4B39"/>
    <w:rsid w:val="004C4E3B"/>
    <w:rsid w:val="004C7C1C"/>
    <w:rsid w:val="004D10D2"/>
    <w:rsid w:val="004D18B6"/>
    <w:rsid w:val="004D2216"/>
    <w:rsid w:val="004D329B"/>
    <w:rsid w:val="004D3D57"/>
    <w:rsid w:val="004E0392"/>
    <w:rsid w:val="004E2178"/>
    <w:rsid w:val="004E35A5"/>
    <w:rsid w:val="004E48A9"/>
    <w:rsid w:val="004E58B5"/>
    <w:rsid w:val="004E6144"/>
    <w:rsid w:val="004E7EC5"/>
    <w:rsid w:val="004F61F6"/>
    <w:rsid w:val="004F6708"/>
    <w:rsid w:val="0050069D"/>
    <w:rsid w:val="0050270F"/>
    <w:rsid w:val="005039B4"/>
    <w:rsid w:val="005040D2"/>
    <w:rsid w:val="005051AE"/>
    <w:rsid w:val="00506CE0"/>
    <w:rsid w:val="00510669"/>
    <w:rsid w:val="00510CF6"/>
    <w:rsid w:val="005113F3"/>
    <w:rsid w:val="00511ECE"/>
    <w:rsid w:val="00512E10"/>
    <w:rsid w:val="005141D4"/>
    <w:rsid w:val="005146A2"/>
    <w:rsid w:val="0051583E"/>
    <w:rsid w:val="00523517"/>
    <w:rsid w:val="00524239"/>
    <w:rsid w:val="00525FF7"/>
    <w:rsid w:val="00527A0B"/>
    <w:rsid w:val="0053083B"/>
    <w:rsid w:val="00530AE3"/>
    <w:rsid w:val="00531195"/>
    <w:rsid w:val="00533A92"/>
    <w:rsid w:val="005348AB"/>
    <w:rsid w:val="00535695"/>
    <w:rsid w:val="00535FAA"/>
    <w:rsid w:val="00536484"/>
    <w:rsid w:val="00541DCF"/>
    <w:rsid w:val="00546CCB"/>
    <w:rsid w:val="00551075"/>
    <w:rsid w:val="005517B7"/>
    <w:rsid w:val="0055214D"/>
    <w:rsid w:val="00552211"/>
    <w:rsid w:val="0055257E"/>
    <w:rsid w:val="00552ACE"/>
    <w:rsid w:val="005531B5"/>
    <w:rsid w:val="005538AF"/>
    <w:rsid w:val="005569A4"/>
    <w:rsid w:val="00557271"/>
    <w:rsid w:val="00560472"/>
    <w:rsid w:val="005621A6"/>
    <w:rsid w:val="0056296B"/>
    <w:rsid w:val="0056331E"/>
    <w:rsid w:val="00563378"/>
    <w:rsid w:val="0056744F"/>
    <w:rsid w:val="00567F40"/>
    <w:rsid w:val="00573B92"/>
    <w:rsid w:val="005760F9"/>
    <w:rsid w:val="00577CC9"/>
    <w:rsid w:val="00580908"/>
    <w:rsid w:val="00580FCD"/>
    <w:rsid w:val="00581588"/>
    <w:rsid w:val="00581A02"/>
    <w:rsid w:val="00582A71"/>
    <w:rsid w:val="00584600"/>
    <w:rsid w:val="00584DF0"/>
    <w:rsid w:val="00586F45"/>
    <w:rsid w:val="00590A5D"/>
    <w:rsid w:val="00590DE2"/>
    <w:rsid w:val="00593500"/>
    <w:rsid w:val="005971AB"/>
    <w:rsid w:val="005A1B2C"/>
    <w:rsid w:val="005A278E"/>
    <w:rsid w:val="005A6CD6"/>
    <w:rsid w:val="005A74BA"/>
    <w:rsid w:val="005B0142"/>
    <w:rsid w:val="005B062C"/>
    <w:rsid w:val="005B403D"/>
    <w:rsid w:val="005B4A12"/>
    <w:rsid w:val="005B50E2"/>
    <w:rsid w:val="005B6291"/>
    <w:rsid w:val="005C16FF"/>
    <w:rsid w:val="005C1EFE"/>
    <w:rsid w:val="005C2005"/>
    <w:rsid w:val="005C200E"/>
    <w:rsid w:val="005C248E"/>
    <w:rsid w:val="005C2883"/>
    <w:rsid w:val="005C4797"/>
    <w:rsid w:val="005C4824"/>
    <w:rsid w:val="005C7553"/>
    <w:rsid w:val="005D249E"/>
    <w:rsid w:val="005D2C94"/>
    <w:rsid w:val="005D4FB5"/>
    <w:rsid w:val="005E0A85"/>
    <w:rsid w:val="005E1039"/>
    <w:rsid w:val="005E3003"/>
    <w:rsid w:val="005E53A8"/>
    <w:rsid w:val="005E54C6"/>
    <w:rsid w:val="005E7A12"/>
    <w:rsid w:val="005F2535"/>
    <w:rsid w:val="005F3D14"/>
    <w:rsid w:val="005F41F3"/>
    <w:rsid w:val="005F56D0"/>
    <w:rsid w:val="005F59BC"/>
    <w:rsid w:val="005F5FAB"/>
    <w:rsid w:val="005F66A1"/>
    <w:rsid w:val="006005B5"/>
    <w:rsid w:val="00601650"/>
    <w:rsid w:val="00604476"/>
    <w:rsid w:val="00606ED0"/>
    <w:rsid w:val="00606FE4"/>
    <w:rsid w:val="00611957"/>
    <w:rsid w:val="006137E5"/>
    <w:rsid w:val="0061694F"/>
    <w:rsid w:val="0062362A"/>
    <w:rsid w:val="00623C9F"/>
    <w:rsid w:val="0062716B"/>
    <w:rsid w:val="006271B1"/>
    <w:rsid w:val="00627FEA"/>
    <w:rsid w:val="00630186"/>
    <w:rsid w:val="00631008"/>
    <w:rsid w:val="00631A9F"/>
    <w:rsid w:val="00631F1B"/>
    <w:rsid w:val="006344E5"/>
    <w:rsid w:val="00634C31"/>
    <w:rsid w:val="00640A74"/>
    <w:rsid w:val="00642311"/>
    <w:rsid w:val="006459AA"/>
    <w:rsid w:val="006469A3"/>
    <w:rsid w:val="006500C5"/>
    <w:rsid w:val="00650CBC"/>
    <w:rsid w:val="006541C6"/>
    <w:rsid w:val="00654375"/>
    <w:rsid w:val="0065692D"/>
    <w:rsid w:val="0065778A"/>
    <w:rsid w:val="006603F0"/>
    <w:rsid w:val="00660C34"/>
    <w:rsid w:val="00663759"/>
    <w:rsid w:val="00663A68"/>
    <w:rsid w:val="00665293"/>
    <w:rsid w:val="00666E60"/>
    <w:rsid w:val="00667D29"/>
    <w:rsid w:val="0067122B"/>
    <w:rsid w:val="006736C2"/>
    <w:rsid w:val="006746AB"/>
    <w:rsid w:val="00680C15"/>
    <w:rsid w:val="00680E98"/>
    <w:rsid w:val="0068182A"/>
    <w:rsid w:val="00682048"/>
    <w:rsid w:val="006835A9"/>
    <w:rsid w:val="00683C84"/>
    <w:rsid w:val="00684761"/>
    <w:rsid w:val="006908D5"/>
    <w:rsid w:val="00690AFE"/>
    <w:rsid w:val="00690F8D"/>
    <w:rsid w:val="00691D4E"/>
    <w:rsid w:val="0069228A"/>
    <w:rsid w:val="006928C3"/>
    <w:rsid w:val="006936A0"/>
    <w:rsid w:val="00693F11"/>
    <w:rsid w:val="006959EE"/>
    <w:rsid w:val="00696C32"/>
    <w:rsid w:val="00696E7E"/>
    <w:rsid w:val="006A02BD"/>
    <w:rsid w:val="006A0747"/>
    <w:rsid w:val="006A1629"/>
    <w:rsid w:val="006A3050"/>
    <w:rsid w:val="006A351C"/>
    <w:rsid w:val="006A4B5E"/>
    <w:rsid w:val="006A6282"/>
    <w:rsid w:val="006A6D76"/>
    <w:rsid w:val="006A70F4"/>
    <w:rsid w:val="006B0CF8"/>
    <w:rsid w:val="006B0E29"/>
    <w:rsid w:val="006B2FA2"/>
    <w:rsid w:val="006B764E"/>
    <w:rsid w:val="006B7A7D"/>
    <w:rsid w:val="006C3CCB"/>
    <w:rsid w:val="006D4D38"/>
    <w:rsid w:val="006D4FDD"/>
    <w:rsid w:val="006D5038"/>
    <w:rsid w:val="006D5AB0"/>
    <w:rsid w:val="006D5DE0"/>
    <w:rsid w:val="006D62E8"/>
    <w:rsid w:val="006D6908"/>
    <w:rsid w:val="006E1FD1"/>
    <w:rsid w:val="006E2188"/>
    <w:rsid w:val="006E25B9"/>
    <w:rsid w:val="006E3015"/>
    <w:rsid w:val="006E43FA"/>
    <w:rsid w:val="006F1DE0"/>
    <w:rsid w:val="006F2DE1"/>
    <w:rsid w:val="006F32B3"/>
    <w:rsid w:val="006F63A5"/>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160D6"/>
    <w:rsid w:val="00721736"/>
    <w:rsid w:val="00721F20"/>
    <w:rsid w:val="00722327"/>
    <w:rsid w:val="0072275C"/>
    <w:rsid w:val="007227F4"/>
    <w:rsid w:val="007228F5"/>
    <w:rsid w:val="00722AF3"/>
    <w:rsid w:val="00722C2D"/>
    <w:rsid w:val="007242A6"/>
    <w:rsid w:val="007249E6"/>
    <w:rsid w:val="00724A96"/>
    <w:rsid w:val="007262A5"/>
    <w:rsid w:val="00727848"/>
    <w:rsid w:val="007279D9"/>
    <w:rsid w:val="00730C5D"/>
    <w:rsid w:val="00732BD9"/>
    <w:rsid w:val="00733066"/>
    <w:rsid w:val="00733F99"/>
    <w:rsid w:val="0073600B"/>
    <w:rsid w:val="00742833"/>
    <w:rsid w:val="0074416E"/>
    <w:rsid w:val="00752E8C"/>
    <w:rsid w:val="00752F8C"/>
    <w:rsid w:val="00755A2A"/>
    <w:rsid w:val="007566BB"/>
    <w:rsid w:val="007573B7"/>
    <w:rsid w:val="00762BA2"/>
    <w:rsid w:val="0076386C"/>
    <w:rsid w:val="007645DF"/>
    <w:rsid w:val="00764D8E"/>
    <w:rsid w:val="00766343"/>
    <w:rsid w:val="00766BBB"/>
    <w:rsid w:val="0077027F"/>
    <w:rsid w:val="0077137E"/>
    <w:rsid w:val="00772083"/>
    <w:rsid w:val="00772BA1"/>
    <w:rsid w:val="00773CBB"/>
    <w:rsid w:val="00774B47"/>
    <w:rsid w:val="007752EF"/>
    <w:rsid w:val="007763E1"/>
    <w:rsid w:val="0078035A"/>
    <w:rsid w:val="007819AB"/>
    <w:rsid w:val="00782E03"/>
    <w:rsid w:val="00783A23"/>
    <w:rsid w:val="00783CD6"/>
    <w:rsid w:val="007845E9"/>
    <w:rsid w:val="0078585C"/>
    <w:rsid w:val="007868B1"/>
    <w:rsid w:val="0079113F"/>
    <w:rsid w:val="007911E5"/>
    <w:rsid w:val="00794342"/>
    <w:rsid w:val="00796B3F"/>
    <w:rsid w:val="0079763D"/>
    <w:rsid w:val="007A0E33"/>
    <w:rsid w:val="007A370B"/>
    <w:rsid w:val="007A389D"/>
    <w:rsid w:val="007A38BD"/>
    <w:rsid w:val="007A4FFE"/>
    <w:rsid w:val="007A6512"/>
    <w:rsid w:val="007A69FD"/>
    <w:rsid w:val="007A7147"/>
    <w:rsid w:val="007A73FD"/>
    <w:rsid w:val="007A76FC"/>
    <w:rsid w:val="007A7DF1"/>
    <w:rsid w:val="007B1C69"/>
    <w:rsid w:val="007B259D"/>
    <w:rsid w:val="007B3302"/>
    <w:rsid w:val="007B374F"/>
    <w:rsid w:val="007B43DB"/>
    <w:rsid w:val="007B5255"/>
    <w:rsid w:val="007C1D96"/>
    <w:rsid w:val="007C33E2"/>
    <w:rsid w:val="007C3C01"/>
    <w:rsid w:val="007C4565"/>
    <w:rsid w:val="007C4F79"/>
    <w:rsid w:val="007C5724"/>
    <w:rsid w:val="007C66F9"/>
    <w:rsid w:val="007D019E"/>
    <w:rsid w:val="007D09FB"/>
    <w:rsid w:val="007D1711"/>
    <w:rsid w:val="007D372A"/>
    <w:rsid w:val="007D5071"/>
    <w:rsid w:val="007D7DFE"/>
    <w:rsid w:val="007E140E"/>
    <w:rsid w:val="007E2876"/>
    <w:rsid w:val="007E49D6"/>
    <w:rsid w:val="007E6D48"/>
    <w:rsid w:val="007F0010"/>
    <w:rsid w:val="007F0DC0"/>
    <w:rsid w:val="007F2B59"/>
    <w:rsid w:val="007F2E82"/>
    <w:rsid w:val="007F3BF6"/>
    <w:rsid w:val="007F5B7B"/>
    <w:rsid w:val="007F6793"/>
    <w:rsid w:val="00800535"/>
    <w:rsid w:val="00801B30"/>
    <w:rsid w:val="00801B53"/>
    <w:rsid w:val="00802126"/>
    <w:rsid w:val="00802E0E"/>
    <w:rsid w:val="00803770"/>
    <w:rsid w:val="008040B4"/>
    <w:rsid w:val="00804267"/>
    <w:rsid w:val="00806CAF"/>
    <w:rsid w:val="00807E12"/>
    <w:rsid w:val="008109F2"/>
    <w:rsid w:val="008112E6"/>
    <w:rsid w:val="008113AE"/>
    <w:rsid w:val="008136A8"/>
    <w:rsid w:val="008148FB"/>
    <w:rsid w:val="00814A48"/>
    <w:rsid w:val="00814E0B"/>
    <w:rsid w:val="0081655D"/>
    <w:rsid w:val="00822341"/>
    <w:rsid w:val="0082269F"/>
    <w:rsid w:val="0082433C"/>
    <w:rsid w:val="00825228"/>
    <w:rsid w:val="00825E6C"/>
    <w:rsid w:val="0082684B"/>
    <w:rsid w:val="0082720C"/>
    <w:rsid w:val="008304F5"/>
    <w:rsid w:val="00831B18"/>
    <w:rsid w:val="008321B8"/>
    <w:rsid w:val="008347D2"/>
    <w:rsid w:val="00834B4B"/>
    <w:rsid w:val="00835EEE"/>
    <w:rsid w:val="008366ED"/>
    <w:rsid w:val="00836C56"/>
    <w:rsid w:val="00836E93"/>
    <w:rsid w:val="00842C22"/>
    <w:rsid w:val="008446D2"/>
    <w:rsid w:val="00850584"/>
    <w:rsid w:val="00850609"/>
    <w:rsid w:val="008515D7"/>
    <w:rsid w:val="0085266A"/>
    <w:rsid w:val="00852DDD"/>
    <w:rsid w:val="0085603C"/>
    <w:rsid w:val="0085638E"/>
    <w:rsid w:val="00857205"/>
    <w:rsid w:val="00860EE7"/>
    <w:rsid w:val="00863A2C"/>
    <w:rsid w:val="00865DD3"/>
    <w:rsid w:val="00866020"/>
    <w:rsid w:val="00867008"/>
    <w:rsid w:val="00870666"/>
    <w:rsid w:val="008708B2"/>
    <w:rsid w:val="008732A7"/>
    <w:rsid w:val="008737CD"/>
    <w:rsid w:val="0087382E"/>
    <w:rsid w:val="00873DA0"/>
    <w:rsid w:val="00874ECA"/>
    <w:rsid w:val="00875334"/>
    <w:rsid w:val="00876134"/>
    <w:rsid w:val="008802C9"/>
    <w:rsid w:val="00880B76"/>
    <w:rsid w:val="008813A6"/>
    <w:rsid w:val="0088313A"/>
    <w:rsid w:val="008843D2"/>
    <w:rsid w:val="00884453"/>
    <w:rsid w:val="008877F9"/>
    <w:rsid w:val="00891288"/>
    <w:rsid w:val="00892090"/>
    <w:rsid w:val="00892106"/>
    <w:rsid w:val="00892403"/>
    <w:rsid w:val="0089736E"/>
    <w:rsid w:val="00897FA9"/>
    <w:rsid w:val="008A29C4"/>
    <w:rsid w:val="008A300D"/>
    <w:rsid w:val="008A754E"/>
    <w:rsid w:val="008A7A57"/>
    <w:rsid w:val="008B0565"/>
    <w:rsid w:val="008B1C9F"/>
    <w:rsid w:val="008B31D3"/>
    <w:rsid w:val="008B4A84"/>
    <w:rsid w:val="008B570B"/>
    <w:rsid w:val="008B74E6"/>
    <w:rsid w:val="008B7688"/>
    <w:rsid w:val="008B7BD3"/>
    <w:rsid w:val="008B7C42"/>
    <w:rsid w:val="008C2A3A"/>
    <w:rsid w:val="008C40B3"/>
    <w:rsid w:val="008C4F87"/>
    <w:rsid w:val="008C5C60"/>
    <w:rsid w:val="008C601A"/>
    <w:rsid w:val="008D02BD"/>
    <w:rsid w:val="008D0600"/>
    <w:rsid w:val="008D2F46"/>
    <w:rsid w:val="008D55CB"/>
    <w:rsid w:val="008D784C"/>
    <w:rsid w:val="008E0699"/>
    <w:rsid w:val="008E0AB1"/>
    <w:rsid w:val="008E1145"/>
    <w:rsid w:val="008E23C6"/>
    <w:rsid w:val="008E3317"/>
    <w:rsid w:val="008E5E10"/>
    <w:rsid w:val="008E7A04"/>
    <w:rsid w:val="008F07DC"/>
    <w:rsid w:val="008F15F6"/>
    <w:rsid w:val="008F2FA9"/>
    <w:rsid w:val="008F35D3"/>
    <w:rsid w:val="008F37BD"/>
    <w:rsid w:val="008F4ABA"/>
    <w:rsid w:val="008F4EB3"/>
    <w:rsid w:val="008F51A3"/>
    <w:rsid w:val="008F5BDA"/>
    <w:rsid w:val="009008AF"/>
    <w:rsid w:val="00905D16"/>
    <w:rsid w:val="009078F2"/>
    <w:rsid w:val="00910D04"/>
    <w:rsid w:val="00910D3C"/>
    <w:rsid w:val="009118E5"/>
    <w:rsid w:val="00913BF9"/>
    <w:rsid w:val="00913E3A"/>
    <w:rsid w:val="00913EBC"/>
    <w:rsid w:val="009148E5"/>
    <w:rsid w:val="0091593B"/>
    <w:rsid w:val="00915F79"/>
    <w:rsid w:val="0091626D"/>
    <w:rsid w:val="00921671"/>
    <w:rsid w:val="00921D65"/>
    <w:rsid w:val="00921EBE"/>
    <w:rsid w:val="00921ECC"/>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281"/>
    <w:rsid w:val="00944818"/>
    <w:rsid w:val="009453C1"/>
    <w:rsid w:val="00946992"/>
    <w:rsid w:val="0095090E"/>
    <w:rsid w:val="00950A45"/>
    <w:rsid w:val="00956686"/>
    <w:rsid w:val="00961717"/>
    <w:rsid w:val="0096235D"/>
    <w:rsid w:val="00963405"/>
    <w:rsid w:val="0096361A"/>
    <w:rsid w:val="009638C6"/>
    <w:rsid w:val="00965A04"/>
    <w:rsid w:val="00966121"/>
    <w:rsid w:val="0096628E"/>
    <w:rsid w:val="00966FA2"/>
    <w:rsid w:val="0096736C"/>
    <w:rsid w:val="009703C4"/>
    <w:rsid w:val="009719CB"/>
    <w:rsid w:val="009719E6"/>
    <w:rsid w:val="00973ED1"/>
    <w:rsid w:val="00975251"/>
    <w:rsid w:val="009753A6"/>
    <w:rsid w:val="0097667D"/>
    <w:rsid w:val="00977772"/>
    <w:rsid w:val="009807AE"/>
    <w:rsid w:val="009817ED"/>
    <w:rsid w:val="00981DDE"/>
    <w:rsid w:val="00983AEF"/>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20FC"/>
    <w:rsid w:val="009B3082"/>
    <w:rsid w:val="009B6464"/>
    <w:rsid w:val="009B67F6"/>
    <w:rsid w:val="009B77C2"/>
    <w:rsid w:val="009C12AA"/>
    <w:rsid w:val="009C18C4"/>
    <w:rsid w:val="009C3167"/>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058"/>
    <w:rsid w:val="00A046F9"/>
    <w:rsid w:val="00A04ECD"/>
    <w:rsid w:val="00A05A5D"/>
    <w:rsid w:val="00A061B9"/>
    <w:rsid w:val="00A0643E"/>
    <w:rsid w:val="00A073FC"/>
    <w:rsid w:val="00A07504"/>
    <w:rsid w:val="00A11052"/>
    <w:rsid w:val="00A1206E"/>
    <w:rsid w:val="00A13EC5"/>
    <w:rsid w:val="00A141D1"/>
    <w:rsid w:val="00A15555"/>
    <w:rsid w:val="00A157BC"/>
    <w:rsid w:val="00A20BA0"/>
    <w:rsid w:val="00A21F7B"/>
    <w:rsid w:val="00A22688"/>
    <w:rsid w:val="00A22D99"/>
    <w:rsid w:val="00A22F35"/>
    <w:rsid w:val="00A23268"/>
    <w:rsid w:val="00A23F1B"/>
    <w:rsid w:val="00A2514B"/>
    <w:rsid w:val="00A263F9"/>
    <w:rsid w:val="00A275A7"/>
    <w:rsid w:val="00A32B4E"/>
    <w:rsid w:val="00A3415F"/>
    <w:rsid w:val="00A35655"/>
    <w:rsid w:val="00A35FC6"/>
    <w:rsid w:val="00A413BD"/>
    <w:rsid w:val="00A41855"/>
    <w:rsid w:val="00A440BF"/>
    <w:rsid w:val="00A44EC1"/>
    <w:rsid w:val="00A455E5"/>
    <w:rsid w:val="00A47565"/>
    <w:rsid w:val="00A50BA2"/>
    <w:rsid w:val="00A52EA3"/>
    <w:rsid w:val="00A54584"/>
    <w:rsid w:val="00A545E4"/>
    <w:rsid w:val="00A54AEA"/>
    <w:rsid w:val="00A55DC8"/>
    <w:rsid w:val="00A63A46"/>
    <w:rsid w:val="00A65857"/>
    <w:rsid w:val="00A660E6"/>
    <w:rsid w:val="00A6720D"/>
    <w:rsid w:val="00A673BC"/>
    <w:rsid w:val="00A67868"/>
    <w:rsid w:val="00A705C7"/>
    <w:rsid w:val="00A70633"/>
    <w:rsid w:val="00A72095"/>
    <w:rsid w:val="00A73035"/>
    <w:rsid w:val="00A73669"/>
    <w:rsid w:val="00A76291"/>
    <w:rsid w:val="00A76E9B"/>
    <w:rsid w:val="00A778E4"/>
    <w:rsid w:val="00A77E18"/>
    <w:rsid w:val="00A806AA"/>
    <w:rsid w:val="00A8134C"/>
    <w:rsid w:val="00A827AF"/>
    <w:rsid w:val="00A86238"/>
    <w:rsid w:val="00A86AE4"/>
    <w:rsid w:val="00A870B5"/>
    <w:rsid w:val="00A8759C"/>
    <w:rsid w:val="00A917D7"/>
    <w:rsid w:val="00A92BA1"/>
    <w:rsid w:val="00A937EC"/>
    <w:rsid w:val="00A93C77"/>
    <w:rsid w:val="00A94626"/>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B74DA"/>
    <w:rsid w:val="00AC314C"/>
    <w:rsid w:val="00AC31D7"/>
    <w:rsid w:val="00AC5A04"/>
    <w:rsid w:val="00AC6D61"/>
    <w:rsid w:val="00AC7C94"/>
    <w:rsid w:val="00AD1F7D"/>
    <w:rsid w:val="00AD27C0"/>
    <w:rsid w:val="00AD2C49"/>
    <w:rsid w:val="00AD3D8F"/>
    <w:rsid w:val="00AD5023"/>
    <w:rsid w:val="00AD662E"/>
    <w:rsid w:val="00AE2167"/>
    <w:rsid w:val="00AE23A8"/>
    <w:rsid w:val="00AE2815"/>
    <w:rsid w:val="00AE52C9"/>
    <w:rsid w:val="00AE5FB9"/>
    <w:rsid w:val="00AE7FB2"/>
    <w:rsid w:val="00AF0890"/>
    <w:rsid w:val="00AF1087"/>
    <w:rsid w:val="00AF2DA2"/>
    <w:rsid w:val="00AF44A4"/>
    <w:rsid w:val="00AF54F9"/>
    <w:rsid w:val="00AF735A"/>
    <w:rsid w:val="00AF762F"/>
    <w:rsid w:val="00AF7B71"/>
    <w:rsid w:val="00B024D8"/>
    <w:rsid w:val="00B04A46"/>
    <w:rsid w:val="00B05729"/>
    <w:rsid w:val="00B063C6"/>
    <w:rsid w:val="00B077EC"/>
    <w:rsid w:val="00B07EC9"/>
    <w:rsid w:val="00B07F6B"/>
    <w:rsid w:val="00B10CAC"/>
    <w:rsid w:val="00B12442"/>
    <w:rsid w:val="00B12B42"/>
    <w:rsid w:val="00B12BF9"/>
    <w:rsid w:val="00B14194"/>
    <w:rsid w:val="00B14A5F"/>
    <w:rsid w:val="00B15695"/>
    <w:rsid w:val="00B15AFA"/>
    <w:rsid w:val="00B16868"/>
    <w:rsid w:val="00B20319"/>
    <w:rsid w:val="00B208D0"/>
    <w:rsid w:val="00B248CA"/>
    <w:rsid w:val="00B25DE1"/>
    <w:rsid w:val="00B26976"/>
    <w:rsid w:val="00B3093C"/>
    <w:rsid w:val="00B3133A"/>
    <w:rsid w:val="00B317F5"/>
    <w:rsid w:val="00B337DD"/>
    <w:rsid w:val="00B3596F"/>
    <w:rsid w:val="00B40555"/>
    <w:rsid w:val="00B40F5F"/>
    <w:rsid w:val="00B41999"/>
    <w:rsid w:val="00B44D87"/>
    <w:rsid w:val="00B45A3A"/>
    <w:rsid w:val="00B45D21"/>
    <w:rsid w:val="00B4610F"/>
    <w:rsid w:val="00B47BD8"/>
    <w:rsid w:val="00B504C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691"/>
    <w:rsid w:val="00B70F0E"/>
    <w:rsid w:val="00B71EB3"/>
    <w:rsid w:val="00B72FAA"/>
    <w:rsid w:val="00B73679"/>
    <w:rsid w:val="00B73853"/>
    <w:rsid w:val="00B7571B"/>
    <w:rsid w:val="00B8385B"/>
    <w:rsid w:val="00B84E33"/>
    <w:rsid w:val="00B85DF5"/>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1A91"/>
    <w:rsid w:val="00BA1BF0"/>
    <w:rsid w:val="00BA2314"/>
    <w:rsid w:val="00BA2943"/>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E7D08"/>
    <w:rsid w:val="00BF1423"/>
    <w:rsid w:val="00BF24E1"/>
    <w:rsid w:val="00BF5403"/>
    <w:rsid w:val="00BF67BE"/>
    <w:rsid w:val="00BF6F2F"/>
    <w:rsid w:val="00BF6F73"/>
    <w:rsid w:val="00BF7F2F"/>
    <w:rsid w:val="00C0154E"/>
    <w:rsid w:val="00C01585"/>
    <w:rsid w:val="00C0340E"/>
    <w:rsid w:val="00C0670A"/>
    <w:rsid w:val="00C072D5"/>
    <w:rsid w:val="00C07D62"/>
    <w:rsid w:val="00C10BE4"/>
    <w:rsid w:val="00C14033"/>
    <w:rsid w:val="00C14ACE"/>
    <w:rsid w:val="00C15DEF"/>
    <w:rsid w:val="00C20445"/>
    <w:rsid w:val="00C21877"/>
    <w:rsid w:val="00C22888"/>
    <w:rsid w:val="00C22C15"/>
    <w:rsid w:val="00C244BB"/>
    <w:rsid w:val="00C245EE"/>
    <w:rsid w:val="00C24F71"/>
    <w:rsid w:val="00C264B7"/>
    <w:rsid w:val="00C31AB5"/>
    <w:rsid w:val="00C31EE9"/>
    <w:rsid w:val="00C33ED0"/>
    <w:rsid w:val="00C4023F"/>
    <w:rsid w:val="00C408AF"/>
    <w:rsid w:val="00C42952"/>
    <w:rsid w:val="00C4592E"/>
    <w:rsid w:val="00C4640F"/>
    <w:rsid w:val="00C51AC7"/>
    <w:rsid w:val="00C56E75"/>
    <w:rsid w:val="00C56E7A"/>
    <w:rsid w:val="00C6130C"/>
    <w:rsid w:val="00C625C9"/>
    <w:rsid w:val="00C63CA6"/>
    <w:rsid w:val="00C63FD1"/>
    <w:rsid w:val="00C645DA"/>
    <w:rsid w:val="00C65022"/>
    <w:rsid w:val="00C6639E"/>
    <w:rsid w:val="00C70B8E"/>
    <w:rsid w:val="00C75924"/>
    <w:rsid w:val="00C80BDE"/>
    <w:rsid w:val="00C810CE"/>
    <w:rsid w:val="00C826AB"/>
    <w:rsid w:val="00C853CD"/>
    <w:rsid w:val="00C86E1E"/>
    <w:rsid w:val="00C91198"/>
    <w:rsid w:val="00C91235"/>
    <w:rsid w:val="00C9187E"/>
    <w:rsid w:val="00C92321"/>
    <w:rsid w:val="00C92C72"/>
    <w:rsid w:val="00C92E1A"/>
    <w:rsid w:val="00C94B34"/>
    <w:rsid w:val="00C957C2"/>
    <w:rsid w:val="00C958A8"/>
    <w:rsid w:val="00CA087D"/>
    <w:rsid w:val="00CA16DF"/>
    <w:rsid w:val="00CA1CB8"/>
    <w:rsid w:val="00CA56D8"/>
    <w:rsid w:val="00CA5AA6"/>
    <w:rsid w:val="00CB03BB"/>
    <w:rsid w:val="00CB1237"/>
    <w:rsid w:val="00CB2857"/>
    <w:rsid w:val="00CB5651"/>
    <w:rsid w:val="00CB64BB"/>
    <w:rsid w:val="00CC1651"/>
    <w:rsid w:val="00CC4264"/>
    <w:rsid w:val="00CC4C01"/>
    <w:rsid w:val="00CC67C6"/>
    <w:rsid w:val="00CC6E1A"/>
    <w:rsid w:val="00CC722D"/>
    <w:rsid w:val="00CD0813"/>
    <w:rsid w:val="00CD0AAB"/>
    <w:rsid w:val="00CD0BBE"/>
    <w:rsid w:val="00CD46F5"/>
    <w:rsid w:val="00CD744E"/>
    <w:rsid w:val="00CE0F39"/>
    <w:rsid w:val="00CE178E"/>
    <w:rsid w:val="00CE2592"/>
    <w:rsid w:val="00CE3B32"/>
    <w:rsid w:val="00CE4955"/>
    <w:rsid w:val="00CE5B9C"/>
    <w:rsid w:val="00CE6667"/>
    <w:rsid w:val="00CE675E"/>
    <w:rsid w:val="00CF3C8D"/>
    <w:rsid w:val="00CF42E9"/>
    <w:rsid w:val="00CF4E76"/>
    <w:rsid w:val="00D00563"/>
    <w:rsid w:val="00D0140C"/>
    <w:rsid w:val="00D01803"/>
    <w:rsid w:val="00D02ADC"/>
    <w:rsid w:val="00D045E9"/>
    <w:rsid w:val="00D045F6"/>
    <w:rsid w:val="00D05651"/>
    <w:rsid w:val="00D06539"/>
    <w:rsid w:val="00D06AFA"/>
    <w:rsid w:val="00D06F88"/>
    <w:rsid w:val="00D10DA0"/>
    <w:rsid w:val="00D12386"/>
    <w:rsid w:val="00D129CC"/>
    <w:rsid w:val="00D13215"/>
    <w:rsid w:val="00D15421"/>
    <w:rsid w:val="00D1591E"/>
    <w:rsid w:val="00D164CB"/>
    <w:rsid w:val="00D170D4"/>
    <w:rsid w:val="00D17588"/>
    <w:rsid w:val="00D17C22"/>
    <w:rsid w:val="00D206D6"/>
    <w:rsid w:val="00D20E02"/>
    <w:rsid w:val="00D2552B"/>
    <w:rsid w:val="00D27719"/>
    <w:rsid w:val="00D30948"/>
    <w:rsid w:val="00D312C5"/>
    <w:rsid w:val="00D32C1F"/>
    <w:rsid w:val="00D32DDC"/>
    <w:rsid w:val="00D33E09"/>
    <w:rsid w:val="00D36110"/>
    <w:rsid w:val="00D40F96"/>
    <w:rsid w:val="00D410B6"/>
    <w:rsid w:val="00D414E6"/>
    <w:rsid w:val="00D4416A"/>
    <w:rsid w:val="00D443ED"/>
    <w:rsid w:val="00D44B6B"/>
    <w:rsid w:val="00D45516"/>
    <w:rsid w:val="00D50399"/>
    <w:rsid w:val="00D511CE"/>
    <w:rsid w:val="00D512FE"/>
    <w:rsid w:val="00D52F92"/>
    <w:rsid w:val="00D54444"/>
    <w:rsid w:val="00D570CF"/>
    <w:rsid w:val="00D57C97"/>
    <w:rsid w:val="00D61798"/>
    <w:rsid w:val="00D63882"/>
    <w:rsid w:val="00D64C8E"/>
    <w:rsid w:val="00D65597"/>
    <w:rsid w:val="00D65E84"/>
    <w:rsid w:val="00D66697"/>
    <w:rsid w:val="00D67290"/>
    <w:rsid w:val="00D708F3"/>
    <w:rsid w:val="00D710C7"/>
    <w:rsid w:val="00D73284"/>
    <w:rsid w:val="00D747ED"/>
    <w:rsid w:val="00D77870"/>
    <w:rsid w:val="00D77AB3"/>
    <w:rsid w:val="00D80392"/>
    <w:rsid w:val="00D81743"/>
    <w:rsid w:val="00D833ED"/>
    <w:rsid w:val="00D85CBA"/>
    <w:rsid w:val="00D87263"/>
    <w:rsid w:val="00D900C5"/>
    <w:rsid w:val="00D92345"/>
    <w:rsid w:val="00D927A8"/>
    <w:rsid w:val="00D93867"/>
    <w:rsid w:val="00D94F10"/>
    <w:rsid w:val="00D94FEC"/>
    <w:rsid w:val="00DA0883"/>
    <w:rsid w:val="00DA15D8"/>
    <w:rsid w:val="00DA2EE8"/>
    <w:rsid w:val="00DA3C5C"/>
    <w:rsid w:val="00DB0DCF"/>
    <w:rsid w:val="00DB1293"/>
    <w:rsid w:val="00DB2233"/>
    <w:rsid w:val="00DB275A"/>
    <w:rsid w:val="00DB4F64"/>
    <w:rsid w:val="00DB5599"/>
    <w:rsid w:val="00DB791D"/>
    <w:rsid w:val="00DC12A7"/>
    <w:rsid w:val="00DC1600"/>
    <w:rsid w:val="00DC169A"/>
    <w:rsid w:val="00DC2294"/>
    <w:rsid w:val="00DC44AF"/>
    <w:rsid w:val="00DC5C31"/>
    <w:rsid w:val="00DC67C6"/>
    <w:rsid w:val="00DC6CB8"/>
    <w:rsid w:val="00DC7E1D"/>
    <w:rsid w:val="00DD2AFB"/>
    <w:rsid w:val="00DD2BF1"/>
    <w:rsid w:val="00DD3BC9"/>
    <w:rsid w:val="00DD45CF"/>
    <w:rsid w:val="00DD47B5"/>
    <w:rsid w:val="00DD7C5E"/>
    <w:rsid w:val="00DD7FDA"/>
    <w:rsid w:val="00DE1170"/>
    <w:rsid w:val="00DE24A5"/>
    <w:rsid w:val="00DE4840"/>
    <w:rsid w:val="00DE6211"/>
    <w:rsid w:val="00DE6359"/>
    <w:rsid w:val="00DE6FE1"/>
    <w:rsid w:val="00DF03C4"/>
    <w:rsid w:val="00DF10CD"/>
    <w:rsid w:val="00DF21E8"/>
    <w:rsid w:val="00DF3733"/>
    <w:rsid w:val="00DF3825"/>
    <w:rsid w:val="00DF3FFF"/>
    <w:rsid w:val="00DF4BDA"/>
    <w:rsid w:val="00DF52D1"/>
    <w:rsid w:val="00DF56B7"/>
    <w:rsid w:val="00DF6BD5"/>
    <w:rsid w:val="00DF6CD7"/>
    <w:rsid w:val="00DF7BB8"/>
    <w:rsid w:val="00E00E40"/>
    <w:rsid w:val="00E04A59"/>
    <w:rsid w:val="00E061E3"/>
    <w:rsid w:val="00E06506"/>
    <w:rsid w:val="00E1131E"/>
    <w:rsid w:val="00E1273D"/>
    <w:rsid w:val="00E131AC"/>
    <w:rsid w:val="00E134A8"/>
    <w:rsid w:val="00E16955"/>
    <w:rsid w:val="00E22F0F"/>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6DA3"/>
    <w:rsid w:val="00E47CC7"/>
    <w:rsid w:val="00E51201"/>
    <w:rsid w:val="00E513C9"/>
    <w:rsid w:val="00E51F71"/>
    <w:rsid w:val="00E53C7E"/>
    <w:rsid w:val="00E5576E"/>
    <w:rsid w:val="00E56AB7"/>
    <w:rsid w:val="00E60ECF"/>
    <w:rsid w:val="00E635D6"/>
    <w:rsid w:val="00E64F5B"/>
    <w:rsid w:val="00E6744B"/>
    <w:rsid w:val="00E67460"/>
    <w:rsid w:val="00E700C5"/>
    <w:rsid w:val="00E70586"/>
    <w:rsid w:val="00E7136B"/>
    <w:rsid w:val="00E72309"/>
    <w:rsid w:val="00E744EE"/>
    <w:rsid w:val="00E762E4"/>
    <w:rsid w:val="00E7638F"/>
    <w:rsid w:val="00E766D6"/>
    <w:rsid w:val="00E77016"/>
    <w:rsid w:val="00E842BA"/>
    <w:rsid w:val="00E84B5E"/>
    <w:rsid w:val="00E84C4C"/>
    <w:rsid w:val="00E8511B"/>
    <w:rsid w:val="00E85CF4"/>
    <w:rsid w:val="00E908F7"/>
    <w:rsid w:val="00E93166"/>
    <w:rsid w:val="00E94F48"/>
    <w:rsid w:val="00E95C41"/>
    <w:rsid w:val="00EA43A7"/>
    <w:rsid w:val="00EA634D"/>
    <w:rsid w:val="00EA67BC"/>
    <w:rsid w:val="00EB4212"/>
    <w:rsid w:val="00EB427F"/>
    <w:rsid w:val="00EB4762"/>
    <w:rsid w:val="00EB4FC2"/>
    <w:rsid w:val="00EB58E1"/>
    <w:rsid w:val="00EB6164"/>
    <w:rsid w:val="00EB7BD5"/>
    <w:rsid w:val="00EC1F71"/>
    <w:rsid w:val="00EC37B3"/>
    <w:rsid w:val="00EC39B0"/>
    <w:rsid w:val="00EC6A00"/>
    <w:rsid w:val="00EC779F"/>
    <w:rsid w:val="00EC7C32"/>
    <w:rsid w:val="00ED0DCE"/>
    <w:rsid w:val="00ED1BCA"/>
    <w:rsid w:val="00ED3C17"/>
    <w:rsid w:val="00ED3CC8"/>
    <w:rsid w:val="00ED475A"/>
    <w:rsid w:val="00ED47EA"/>
    <w:rsid w:val="00ED5DFA"/>
    <w:rsid w:val="00ED6734"/>
    <w:rsid w:val="00ED7DD5"/>
    <w:rsid w:val="00EE1941"/>
    <w:rsid w:val="00EE40FC"/>
    <w:rsid w:val="00EE47D3"/>
    <w:rsid w:val="00EE4F1C"/>
    <w:rsid w:val="00EE503B"/>
    <w:rsid w:val="00EE686C"/>
    <w:rsid w:val="00EE727C"/>
    <w:rsid w:val="00EF07E5"/>
    <w:rsid w:val="00EF25F2"/>
    <w:rsid w:val="00EF4BB0"/>
    <w:rsid w:val="00EF69C3"/>
    <w:rsid w:val="00EF7312"/>
    <w:rsid w:val="00F019BF"/>
    <w:rsid w:val="00F038AC"/>
    <w:rsid w:val="00F06752"/>
    <w:rsid w:val="00F067A7"/>
    <w:rsid w:val="00F10B6A"/>
    <w:rsid w:val="00F12091"/>
    <w:rsid w:val="00F1254F"/>
    <w:rsid w:val="00F13E09"/>
    <w:rsid w:val="00F2012E"/>
    <w:rsid w:val="00F20403"/>
    <w:rsid w:val="00F24373"/>
    <w:rsid w:val="00F244E0"/>
    <w:rsid w:val="00F302ED"/>
    <w:rsid w:val="00F31A7A"/>
    <w:rsid w:val="00F32845"/>
    <w:rsid w:val="00F3330B"/>
    <w:rsid w:val="00F34686"/>
    <w:rsid w:val="00F35764"/>
    <w:rsid w:val="00F367E6"/>
    <w:rsid w:val="00F37590"/>
    <w:rsid w:val="00F378E5"/>
    <w:rsid w:val="00F37B32"/>
    <w:rsid w:val="00F44797"/>
    <w:rsid w:val="00F45B93"/>
    <w:rsid w:val="00F50CA5"/>
    <w:rsid w:val="00F50D79"/>
    <w:rsid w:val="00F51884"/>
    <w:rsid w:val="00F52B0C"/>
    <w:rsid w:val="00F52C8F"/>
    <w:rsid w:val="00F53923"/>
    <w:rsid w:val="00F54486"/>
    <w:rsid w:val="00F54AD5"/>
    <w:rsid w:val="00F55B2A"/>
    <w:rsid w:val="00F57873"/>
    <w:rsid w:val="00F610D4"/>
    <w:rsid w:val="00F61EAB"/>
    <w:rsid w:val="00F646D6"/>
    <w:rsid w:val="00F66525"/>
    <w:rsid w:val="00F66B05"/>
    <w:rsid w:val="00F66B8A"/>
    <w:rsid w:val="00F672C9"/>
    <w:rsid w:val="00F70EFE"/>
    <w:rsid w:val="00F70F12"/>
    <w:rsid w:val="00F731A1"/>
    <w:rsid w:val="00F747DC"/>
    <w:rsid w:val="00F751F2"/>
    <w:rsid w:val="00F75B48"/>
    <w:rsid w:val="00F76180"/>
    <w:rsid w:val="00F77925"/>
    <w:rsid w:val="00F80630"/>
    <w:rsid w:val="00F82235"/>
    <w:rsid w:val="00F83861"/>
    <w:rsid w:val="00F83A7F"/>
    <w:rsid w:val="00F83FE6"/>
    <w:rsid w:val="00F85E33"/>
    <w:rsid w:val="00F86AB5"/>
    <w:rsid w:val="00F870DD"/>
    <w:rsid w:val="00F87292"/>
    <w:rsid w:val="00F876BA"/>
    <w:rsid w:val="00F90DFF"/>
    <w:rsid w:val="00F90FE1"/>
    <w:rsid w:val="00F9383C"/>
    <w:rsid w:val="00F9385F"/>
    <w:rsid w:val="00F939B3"/>
    <w:rsid w:val="00F9416E"/>
    <w:rsid w:val="00F94331"/>
    <w:rsid w:val="00F94EE5"/>
    <w:rsid w:val="00F964E0"/>
    <w:rsid w:val="00FA0B42"/>
    <w:rsid w:val="00FA26DE"/>
    <w:rsid w:val="00FA2A97"/>
    <w:rsid w:val="00FA36A1"/>
    <w:rsid w:val="00FA373B"/>
    <w:rsid w:val="00FA39F4"/>
    <w:rsid w:val="00FA541E"/>
    <w:rsid w:val="00FA6AFD"/>
    <w:rsid w:val="00FA6B10"/>
    <w:rsid w:val="00FA745E"/>
    <w:rsid w:val="00FB1911"/>
    <w:rsid w:val="00FB61B9"/>
    <w:rsid w:val="00FB6340"/>
    <w:rsid w:val="00FC0873"/>
    <w:rsid w:val="00FC274F"/>
    <w:rsid w:val="00FC3997"/>
    <w:rsid w:val="00FC4712"/>
    <w:rsid w:val="00FC5C68"/>
    <w:rsid w:val="00FD0662"/>
    <w:rsid w:val="00FD0DDC"/>
    <w:rsid w:val="00FD103A"/>
    <w:rsid w:val="00FD2F86"/>
    <w:rsid w:val="00FD3977"/>
    <w:rsid w:val="00FD4C7E"/>
    <w:rsid w:val="00FD6BB4"/>
    <w:rsid w:val="00FE240E"/>
    <w:rsid w:val="00FE2A81"/>
    <w:rsid w:val="00FE3F71"/>
    <w:rsid w:val="00FE4D95"/>
    <w:rsid w:val="00FE5092"/>
    <w:rsid w:val="00FE53C4"/>
    <w:rsid w:val="00FE55CC"/>
    <w:rsid w:val="00FE6A00"/>
    <w:rsid w:val="00FF096D"/>
    <w:rsid w:val="00FF2CB6"/>
    <w:rsid w:val="00FF34D6"/>
    <w:rsid w:val="00FF35DE"/>
    <w:rsid w:val="00FF3B0A"/>
    <w:rsid w:val="00FF489C"/>
    <w:rsid w:val="00FF547D"/>
    <w:rsid w:val="00FF56CC"/>
    <w:rsid w:val="00FF5DC7"/>
    <w:rsid w:val="00FF6647"/>
    <w:rsid w:val="00FF6B10"/>
    <w:rsid w:val="00FF7011"/>
    <w:rsid w:val="00FF78C1"/>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D883"/>
  <w15:docId w15:val="{BEA853A2-8449-4C4C-AE86-40B0F946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iPriority w:val="99"/>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nhideWhenUsed/>
    <w:rsid w:val="00B063C6"/>
    <w:rPr>
      <w:sz w:val="16"/>
      <w:szCs w:val="16"/>
    </w:rPr>
  </w:style>
  <w:style w:type="paragraph" w:styleId="CommentText">
    <w:name w:val="annotation text"/>
    <w:basedOn w:val="Normal"/>
    <w:link w:val="CommentTextChar"/>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character" w:styleId="UnresolvedMention">
    <w:name w:val="Unresolved Mention"/>
    <w:basedOn w:val="DefaultParagraphFont"/>
    <w:uiPriority w:val="99"/>
    <w:semiHidden/>
    <w:unhideWhenUsed/>
    <w:rsid w:val="00483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660084848">
      <w:bodyDiv w:val="1"/>
      <w:marLeft w:val="0"/>
      <w:marRight w:val="0"/>
      <w:marTop w:val="0"/>
      <w:marBottom w:val="0"/>
      <w:divBdr>
        <w:top w:val="none" w:sz="0" w:space="0" w:color="auto"/>
        <w:left w:val="none" w:sz="0" w:space="0" w:color="auto"/>
        <w:bottom w:val="none" w:sz="0" w:space="0" w:color="auto"/>
        <w:right w:val="none" w:sz="0" w:space="0" w:color="auto"/>
      </w:divBdr>
      <w:divsChild>
        <w:div w:id="1834683844">
          <w:marLeft w:val="45"/>
          <w:marRight w:val="45"/>
          <w:marTop w:val="15"/>
          <w:marBottom w:val="0"/>
          <w:divBdr>
            <w:top w:val="none" w:sz="0" w:space="0" w:color="auto"/>
            <w:left w:val="none" w:sz="0" w:space="0" w:color="auto"/>
            <w:bottom w:val="none" w:sz="0" w:space="0" w:color="auto"/>
            <w:right w:val="none" w:sz="0" w:space="0" w:color="auto"/>
          </w:divBdr>
          <w:divsChild>
            <w:div w:id="1183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897860653">
      <w:bodyDiv w:val="1"/>
      <w:marLeft w:val="0"/>
      <w:marRight w:val="0"/>
      <w:marTop w:val="0"/>
      <w:marBottom w:val="0"/>
      <w:divBdr>
        <w:top w:val="none" w:sz="0" w:space="0" w:color="auto"/>
        <w:left w:val="none" w:sz="0" w:space="0" w:color="auto"/>
        <w:bottom w:val="none" w:sz="0" w:space="0" w:color="auto"/>
        <w:right w:val="none" w:sz="0" w:space="0" w:color="auto"/>
      </w:divBdr>
    </w:div>
    <w:div w:id="1017730708">
      <w:bodyDiv w:val="1"/>
      <w:marLeft w:val="0"/>
      <w:marRight w:val="0"/>
      <w:marTop w:val="0"/>
      <w:marBottom w:val="0"/>
      <w:divBdr>
        <w:top w:val="none" w:sz="0" w:space="0" w:color="auto"/>
        <w:left w:val="none" w:sz="0" w:space="0" w:color="auto"/>
        <w:bottom w:val="none" w:sz="0" w:space="0" w:color="auto"/>
        <w:right w:val="none" w:sz="0" w:space="0" w:color="auto"/>
      </w:divBdr>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 w:id="20781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0AF0F-6F52-4C60-9312-908586E8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6966</Words>
  <Characters>3972</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2009.gada 20.janvāra noteikumos Nr.60 "Noteikumi par obligātajām prasībām ārstniecības iestādēm un to struktūrvienībām"" sākotnējās ietekmes novērtējuma ziņojums (anotācija)</vt:lpstr>
      <vt:lpstr>Ministru kabineta noteikumu projekta "Grozījums Ministru kabineta 2009.gada 20.janvāra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10917</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20.janvāra noteikumos Nr.60 "Noteikumi par obligātajām prasībām ārstniecības iestādēm un to struktūrvienībām"" sākotnējās ietekmes novērtējuma ziņojums (anotācija)</dc:title>
  <dc:subject>Anotācija</dc:subject>
  <dc:creator>Guna Jermacāne</dc:creator>
  <dc:description>guna.jermacane@vm.gov.lv,
67876167</dc:description>
  <cp:lastModifiedBy>Guna Jermacāne</cp:lastModifiedBy>
  <cp:revision>6</cp:revision>
  <cp:lastPrinted>2018-11-08T13:23:00Z</cp:lastPrinted>
  <dcterms:created xsi:type="dcterms:W3CDTF">2018-11-08T12:23:00Z</dcterms:created>
  <dcterms:modified xsi:type="dcterms:W3CDTF">2018-11-08T14:08:00Z</dcterms:modified>
</cp:coreProperties>
</file>