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2087" w14:textId="77777777" w:rsidR="00771C3C" w:rsidRPr="0043346E" w:rsidRDefault="0043346E" w:rsidP="00575B7F">
      <w:pPr>
        <w:pStyle w:val="naisc"/>
        <w:spacing w:before="0" w:after="0"/>
        <w:rPr>
          <w:b/>
          <w:sz w:val="28"/>
          <w:szCs w:val="28"/>
        </w:rPr>
      </w:pPr>
      <w:bookmarkStart w:id="0" w:name="OLE_LINK4"/>
      <w:bookmarkStart w:id="1" w:name="OLE_LINK5"/>
      <w:bookmarkStart w:id="2" w:name="OLE_LINK1"/>
      <w:bookmarkStart w:id="3" w:name="OLE_LINK2"/>
      <w:bookmarkStart w:id="4" w:name="OLE_LINK3"/>
      <w:r w:rsidRPr="0043346E">
        <w:rPr>
          <w:b/>
          <w:sz w:val="28"/>
          <w:szCs w:val="28"/>
        </w:rPr>
        <w:t xml:space="preserve">Ministru kabineta noteikumu projekta </w:t>
      </w:r>
      <w:r w:rsidR="00EF3C1A" w:rsidRPr="00EF3C1A">
        <w:rPr>
          <w:rStyle w:val="Emphasis"/>
          <w:b/>
          <w:i w:val="0"/>
          <w:sz w:val="28"/>
          <w:szCs w:val="28"/>
        </w:rPr>
        <w:t>"</w:t>
      </w:r>
      <w:r w:rsidR="00C35DA3" w:rsidRPr="00C35DA3">
        <w:rPr>
          <w:b/>
          <w:sz w:val="28"/>
          <w:szCs w:val="28"/>
        </w:rPr>
        <w:t xml:space="preserve">Grozījumi Ministru kabineta </w:t>
      </w:r>
      <w:r w:rsidR="009A75D6" w:rsidRPr="00C35DA3">
        <w:rPr>
          <w:b/>
          <w:sz w:val="28"/>
          <w:szCs w:val="28"/>
        </w:rPr>
        <w:t>2000.</w:t>
      </w:r>
      <w:r w:rsidR="001D1482">
        <w:rPr>
          <w:b/>
          <w:sz w:val="28"/>
          <w:szCs w:val="28"/>
        </w:rPr>
        <w:t> </w:t>
      </w:r>
      <w:r w:rsidR="009A75D6" w:rsidRPr="00C35DA3">
        <w:rPr>
          <w:b/>
          <w:sz w:val="28"/>
          <w:szCs w:val="28"/>
        </w:rPr>
        <w:t>gada</w:t>
      </w:r>
      <w:r w:rsidR="00C35DA3" w:rsidRPr="00C35DA3">
        <w:rPr>
          <w:b/>
          <w:sz w:val="28"/>
          <w:szCs w:val="28"/>
        </w:rPr>
        <w:t xml:space="preserve"> </w:t>
      </w:r>
      <w:r w:rsidR="009A75D6" w:rsidRPr="00C35DA3">
        <w:rPr>
          <w:b/>
          <w:sz w:val="28"/>
          <w:szCs w:val="28"/>
        </w:rPr>
        <w:t>26.</w:t>
      </w:r>
      <w:r w:rsidR="001D1482">
        <w:rPr>
          <w:b/>
          <w:sz w:val="28"/>
          <w:szCs w:val="28"/>
        </w:rPr>
        <w:t> </w:t>
      </w:r>
      <w:r w:rsidR="009A75D6" w:rsidRPr="00C35DA3">
        <w:rPr>
          <w:b/>
          <w:sz w:val="28"/>
          <w:szCs w:val="28"/>
        </w:rPr>
        <w:t>septembra</w:t>
      </w:r>
      <w:r w:rsidR="00C35DA3" w:rsidRPr="00C35DA3">
        <w:rPr>
          <w:b/>
          <w:sz w:val="28"/>
          <w:szCs w:val="28"/>
        </w:rPr>
        <w:t xml:space="preserve"> noteikumos</w:t>
      </w:r>
      <w:r w:rsidR="00C35DA3">
        <w:rPr>
          <w:b/>
          <w:sz w:val="28"/>
          <w:szCs w:val="28"/>
        </w:rPr>
        <w:t xml:space="preserve"> Nr.</w:t>
      </w:r>
      <w:r w:rsidR="001D1482">
        <w:rPr>
          <w:b/>
          <w:sz w:val="28"/>
          <w:szCs w:val="28"/>
        </w:rPr>
        <w:t> </w:t>
      </w:r>
      <w:r w:rsidR="00C35DA3">
        <w:rPr>
          <w:b/>
          <w:sz w:val="28"/>
          <w:szCs w:val="28"/>
        </w:rPr>
        <w:t xml:space="preserve">330 </w:t>
      </w:r>
      <w:r w:rsidR="00EF3C1A" w:rsidRPr="00EF3C1A">
        <w:rPr>
          <w:b/>
          <w:sz w:val="28"/>
          <w:szCs w:val="28"/>
        </w:rPr>
        <w:t>"</w:t>
      </w:r>
      <w:r w:rsidR="00C35DA3">
        <w:rPr>
          <w:b/>
          <w:sz w:val="28"/>
          <w:szCs w:val="28"/>
        </w:rPr>
        <w:t>Vakcinācijas noteikumi</w:t>
      </w:r>
      <w:r w:rsidR="00EF3C1A" w:rsidRPr="00EF3C1A">
        <w:rPr>
          <w:b/>
          <w:sz w:val="28"/>
          <w:szCs w:val="28"/>
        </w:rPr>
        <w:t>""</w:t>
      </w:r>
      <w:r w:rsidRPr="0043346E">
        <w:rPr>
          <w:b/>
          <w:sz w:val="28"/>
          <w:szCs w:val="28"/>
        </w:rPr>
        <w:t xml:space="preserve"> sākotnējās ietekmes novērtējuma ziņojums (anotācija</w:t>
      </w:r>
      <w:r w:rsidR="00864308">
        <w:rPr>
          <w:b/>
          <w:sz w:val="28"/>
          <w:szCs w:val="28"/>
        </w:rPr>
        <w:t>)</w:t>
      </w:r>
      <w:bookmarkEnd w:id="0"/>
      <w:bookmarkEnd w:id="1"/>
    </w:p>
    <w:bookmarkEnd w:id="2"/>
    <w:bookmarkEnd w:id="3"/>
    <w:bookmarkEnd w:id="4"/>
    <w:p w14:paraId="0DA8B7CF" w14:textId="77777777" w:rsidR="0043346E" w:rsidRDefault="0043346E" w:rsidP="00575B7F">
      <w:pPr>
        <w:pStyle w:val="naisc"/>
        <w:spacing w:before="0" w:after="0"/>
        <w:rPr>
          <w:b/>
          <w:bCs/>
          <w:sz w:val="28"/>
          <w:szCs w:val="28"/>
        </w:rPr>
      </w:pPr>
    </w:p>
    <w:tbl>
      <w:tblPr>
        <w:tblStyle w:val="TableGrid"/>
        <w:tblW w:w="0" w:type="auto"/>
        <w:tblLook w:val="04A0" w:firstRow="1" w:lastRow="0" w:firstColumn="1" w:lastColumn="0" w:noHBand="0" w:noVBand="1"/>
      </w:tblPr>
      <w:tblGrid>
        <w:gridCol w:w="2660"/>
        <w:gridCol w:w="6379"/>
      </w:tblGrid>
      <w:tr w:rsidR="00697904" w:rsidRPr="00FB27E9" w14:paraId="482D8E0E" w14:textId="77777777" w:rsidTr="00D80106">
        <w:tc>
          <w:tcPr>
            <w:tcW w:w="9039" w:type="dxa"/>
            <w:gridSpan w:val="2"/>
          </w:tcPr>
          <w:p w14:paraId="1CA02EBB" w14:textId="77777777" w:rsidR="00697904" w:rsidRPr="00BD25F7" w:rsidRDefault="0047580E" w:rsidP="0047580E">
            <w:pPr>
              <w:pStyle w:val="naisc"/>
              <w:spacing w:before="0" w:after="0"/>
              <w:rPr>
                <w:b/>
                <w:bCs/>
                <w:highlight w:val="yellow"/>
              </w:rPr>
            </w:pPr>
            <w:r w:rsidRPr="00916E0D">
              <w:rPr>
                <w:b/>
                <w:bCs/>
              </w:rPr>
              <w:t>Tiesību akta projekta anotācijas kopsavilkums</w:t>
            </w:r>
          </w:p>
        </w:tc>
      </w:tr>
      <w:tr w:rsidR="00697904" w:rsidRPr="00FB27E9" w14:paraId="65D79856" w14:textId="77777777" w:rsidTr="00D80106">
        <w:tc>
          <w:tcPr>
            <w:tcW w:w="2660" w:type="dxa"/>
          </w:tcPr>
          <w:p w14:paraId="16AF8BED" w14:textId="77777777" w:rsidR="00FB27E9" w:rsidRPr="00916E0D" w:rsidRDefault="00FB27E9" w:rsidP="00FB27E9">
            <w:pPr>
              <w:pStyle w:val="naisc"/>
              <w:spacing w:before="0" w:after="0"/>
              <w:jc w:val="both"/>
              <w:rPr>
                <w:bCs/>
              </w:rPr>
            </w:pPr>
            <w:r w:rsidRPr="00916E0D">
              <w:rPr>
                <w:bCs/>
              </w:rPr>
              <w:t>Mērķis, risinājums un projekta spēkā</w:t>
            </w:r>
          </w:p>
          <w:p w14:paraId="6797B898" w14:textId="77777777" w:rsidR="00697904" w:rsidRPr="00916E0D" w:rsidRDefault="00FB27E9" w:rsidP="00FB27E9">
            <w:pPr>
              <w:pStyle w:val="naisc"/>
              <w:spacing w:before="0" w:after="0"/>
              <w:jc w:val="both"/>
              <w:rPr>
                <w:bCs/>
              </w:rPr>
            </w:pPr>
            <w:r w:rsidRPr="00916E0D">
              <w:rPr>
                <w:bCs/>
              </w:rPr>
              <w:t>stāšanās laiks (500 zīmes bez atstarpēm)</w:t>
            </w:r>
          </w:p>
        </w:tc>
        <w:tc>
          <w:tcPr>
            <w:tcW w:w="6379" w:type="dxa"/>
          </w:tcPr>
          <w:p w14:paraId="36A55628" w14:textId="17FCFD89" w:rsidR="00627AC9" w:rsidRDefault="00627AC9" w:rsidP="00106DCF">
            <w:pPr>
              <w:pStyle w:val="naisc"/>
              <w:spacing w:before="0" w:after="0"/>
              <w:jc w:val="both"/>
            </w:pPr>
            <w:r w:rsidRPr="00627AC9">
              <w:rPr>
                <w:bCs/>
              </w:rPr>
              <w:t>Ministru kabineta noteikumu projekt</w:t>
            </w:r>
            <w:r>
              <w:rPr>
                <w:bCs/>
              </w:rPr>
              <w:t>a</w:t>
            </w:r>
            <w:r w:rsidRPr="00627AC9">
              <w:rPr>
                <w:bCs/>
              </w:rPr>
              <w:t xml:space="preserve"> "Grozījumi Ministru kabineta 2000. gada 26. septembra noteikumos Nr. 330 "Vakcinācijas noteikumi"" (turpmāk – noteikumu projekts) </w:t>
            </w:r>
            <w:r w:rsidR="00106DCF" w:rsidRPr="00106DCF">
              <w:rPr>
                <w:bCs/>
              </w:rPr>
              <w:t xml:space="preserve">mērķis ir </w:t>
            </w:r>
            <w:r w:rsidR="00B83511" w:rsidRPr="007848A3">
              <w:t xml:space="preserve">samazināt </w:t>
            </w:r>
            <w:r w:rsidR="00B83511" w:rsidRPr="001E6972">
              <w:t xml:space="preserve">iedzīvotāju saslimstību ar </w:t>
            </w:r>
            <w:r w:rsidR="00E04060">
              <w:t xml:space="preserve">vakcīnregulējamām </w:t>
            </w:r>
            <w:r w:rsidR="00B83511" w:rsidRPr="001E6972">
              <w:t>infekcijas slimībām</w:t>
            </w:r>
            <w:r w:rsidR="00B83511">
              <w:t>,</w:t>
            </w:r>
            <w:r w:rsidR="00B83511">
              <w:rPr>
                <w:bCs/>
              </w:rPr>
              <w:t xml:space="preserve"> </w:t>
            </w:r>
            <w:r w:rsidR="00A977B2">
              <w:rPr>
                <w:bCs/>
              </w:rPr>
              <w:t>p</w:t>
            </w:r>
            <w:r w:rsidR="00A6597A">
              <w:rPr>
                <w:bCs/>
              </w:rPr>
              <w:t>aplašin</w:t>
            </w:r>
            <w:r w:rsidR="00B83511">
              <w:rPr>
                <w:bCs/>
              </w:rPr>
              <w:t>o</w:t>
            </w:r>
            <w:r w:rsidR="00A6597A">
              <w:rPr>
                <w:bCs/>
              </w:rPr>
              <w:t>t</w:t>
            </w:r>
            <w:r w:rsidR="00A977B2">
              <w:rPr>
                <w:bCs/>
              </w:rPr>
              <w:t xml:space="preserve"> vakcinācijas kalendāru</w:t>
            </w:r>
            <w:r w:rsidR="00A6597A">
              <w:rPr>
                <w:bCs/>
              </w:rPr>
              <w:t xml:space="preserve"> un vakcinējamo personu loku</w:t>
            </w:r>
            <w:r w:rsidR="00106DCF" w:rsidRPr="00106DCF">
              <w:rPr>
                <w:bCs/>
              </w:rPr>
              <w:t xml:space="preserve">, </w:t>
            </w:r>
            <w:r w:rsidR="0017231E">
              <w:rPr>
                <w:bCs/>
              </w:rPr>
              <w:t xml:space="preserve">kā arī </w:t>
            </w:r>
            <w:r w:rsidR="00097EC2">
              <w:rPr>
                <w:bCs/>
              </w:rPr>
              <w:t xml:space="preserve">uzlabot </w:t>
            </w:r>
            <w:r w:rsidR="00097EC2" w:rsidRPr="00097EC2">
              <w:rPr>
                <w:bCs/>
              </w:rPr>
              <w:t>vakcīnu krājumu racionālu izlietojumu</w:t>
            </w:r>
            <w:r w:rsidR="00097EC2">
              <w:rPr>
                <w:bCs/>
              </w:rPr>
              <w:t xml:space="preserve"> valstī</w:t>
            </w:r>
            <w:r w:rsidR="00106DCF" w:rsidRPr="00106DCF">
              <w:rPr>
                <w:bCs/>
              </w:rPr>
              <w:t>.</w:t>
            </w:r>
            <w:r>
              <w:t xml:space="preserve"> </w:t>
            </w:r>
          </w:p>
          <w:p w14:paraId="42919395" w14:textId="04E6FC57" w:rsidR="00C16F10" w:rsidRPr="00FB27E9" w:rsidRDefault="00627AC9" w:rsidP="00106DCF">
            <w:pPr>
              <w:pStyle w:val="naisc"/>
              <w:spacing w:before="0" w:after="0"/>
              <w:jc w:val="both"/>
              <w:rPr>
                <w:bCs/>
              </w:rPr>
            </w:pPr>
            <w:r>
              <w:rPr>
                <w:bCs/>
              </w:rPr>
              <w:t>N</w:t>
            </w:r>
            <w:r w:rsidRPr="00627AC9">
              <w:rPr>
                <w:bCs/>
              </w:rPr>
              <w:t xml:space="preserve">oteikumu projekts stāsies spēkā Oficiālo publikāciju un tiesiskās informācijas likumā noteiktajā kārtībā. </w:t>
            </w:r>
            <w:r w:rsidR="00106DCF" w:rsidRPr="00106DCF">
              <w:rPr>
                <w:bCs/>
              </w:rPr>
              <w:t xml:space="preserve"> </w:t>
            </w:r>
            <w:r w:rsidR="00B71711" w:rsidRPr="002B532D">
              <w:rPr>
                <w:bCs/>
              </w:rPr>
              <w:t>Atsevišķiem</w:t>
            </w:r>
            <w:r w:rsidRPr="002B532D">
              <w:rPr>
                <w:bCs/>
              </w:rPr>
              <w:t xml:space="preserve"> noteikumu projekta</w:t>
            </w:r>
            <w:r w:rsidR="00B71711" w:rsidRPr="002B532D">
              <w:rPr>
                <w:bCs/>
              </w:rPr>
              <w:t xml:space="preserve"> punktiem ir paredzēts noteikts spēkā stāšanās laiks.</w:t>
            </w:r>
            <w:r w:rsidR="00106DCF" w:rsidRPr="00106DCF">
              <w:rPr>
                <w:bCs/>
              </w:rPr>
              <w:t xml:space="preserve"> </w:t>
            </w:r>
          </w:p>
        </w:tc>
      </w:tr>
    </w:tbl>
    <w:p w14:paraId="1AFC19F3" w14:textId="77777777" w:rsidR="00697904" w:rsidRPr="0043346E" w:rsidRDefault="00697904" w:rsidP="00575B7F">
      <w:pPr>
        <w:pStyle w:val="naisc"/>
        <w:spacing w:before="0" w:after="0"/>
        <w:rPr>
          <w:b/>
          <w:bCs/>
          <w:sz w:val="28"/>
          <w:szCs w:val="28"/>
        </w:rPr>
      </w:pPr>
    </w:p>
    <w:tbl>
      <w:tblPr>
        <w:tblStyle w:val="TableGrid"/>
        <w:tblW w:w="0" w:type="auto"/>
        <w:tblLook w:val="0000" w:firstRow="0" w:lastRow="0" w:firstColumn="0" w:lastColumn="0" w:noHBand="0" w:noVBand="0"/>
      </w:tblPr>
      <w:tblGrid>
        <w:gridCol w:w="526"/>
        <w:gridCol w:w="2179"/>
        <w:gridCol w:w="6356"/>
      </w:tblGrid>
      <w:tr w:rsidR="00771C3C" w:rsidRPr="007848A3" w14:paraId="3C96FD92" w14:textId="77777777" w:rsidTr="003812D2">
        <w:tc>
          <w:tcPr>
            <w:tcW w:w="9101" w:type="dxa"/>
            <w:gridSpan w:val="3"/>
          </w:tcPr>
          <w:p w14:paraId="547C38AC" w14:textId="77777777" w:rsidR="00771C3C" w:rsidRPr="007848A3" w:rsidRDefault="00771C3C" w:rsidP="0073447B">
            <w:pPr>
              <w:pStyle w:val="naisc"/>
              <w:spacing w:before="20" w:after="20"/>
            </w:pPr>
            <w:r w:rsidRPr="007848A3">
              <w:rPr>
                <w:b/>
                <w:bCs/>
              </w:rPr>
              <w:t> I. Tiesību akta projekta izstrādes nepieciešamība</w:t>
            </w:r>
          </w:p>
        </w:tc>
      </w:tr>
      <w:tr w:rsidR="00771C3C" w:rsidRPr="007848A3" w14:paraId="0F232309" w14:textId="77777777" w:rsidTr="003812D2">
        <w:trPr>
          <w:trHeight w:val="464"/>
        </w:trPr>
        <w:tc>
          <w:tcPr>
            <w:tcW w:w="528" w:type="dxa"/>
          </w:tcPr>
          <w:p w14:paraId="078A90C6" w14:textId="77777777" w:rsidR="00771C3C" w:rsidRPr="007848A3" w:rsidRDefault="00771C3C" w:rsidP="0073447B">
            <w:pPr>
              <w:pStyle w:val="naiskr"/>
              <w:spacing w:before="20" w:after="20"/>
              <w:jc w:val="center"/>
            </w:pPr>
            <w:r w:rsidRPr="007848A3">
              <w:t>1.</w:t>
            </w:r>
          </w:p>
        </w:tc>
        <w:tc>
          <w:tcPr>
            <w:tcW w:w="2181" w:type="dxa"/>
          </w:tcPr>
          <w:p w14:paraId="69E0C163" w14:textId="77777777" w:rsidR="00771C3C" w:rsidRPr="007848A3" w:rsidRDefault="00771C3C" w:rsidP="0073447B">
            <w:pPr>
              <w:pStyle w:val="naislab"/>
              <w:spacing w:before="20" w:after="20"/>
              <w:jc w:val="left"/>
            </w:pPr>
            <w:r w:rsidRPr="007848A3">
              <w:t>Pamatojums</w:t>
            </w:r>
          </w:p>
        </w:tc>
        <w:tc>
          <w:tcPr>
            <w:tcW w:w="6392" w:type="dxa"/>
          </w:tcPr>
          <w:p w14:paraId="2159534B" w14:textId="57064A00" w:rsidR="00967252" w:rsidRDefault="009C5F8F" w:rsidP="009C5F8F">
            <w:pPr>
              <w:pStyle w:val="naiskr"/>
              <w:spacing w:before="20" w:after="20"/>
              <w:jc w:val="both"/>
            </w:pPr>
            <w:r w:rsidRPr="007848A3">
              <w:t>Sabiedrības veselības pamatnostādnēs 2014.-</w:t>
            </w:r>
            <w:r w:rsidR="00342BBE" w:rsidRPr="007848A3">
              <w:t>2020.</w:t>
            </w:r>
            <w:r w:rsidR="008A40D3">
              <w:t> </w:t>
            </w:r>
            <w:r w:rsidR="00342BBE" w:rsidRPr="007848A3">
              <w:t>gadam</w:t>
            </w:r>
            <w:r w:rsidRPr="007848A3">
              <w:t xml:space="preserve">, kas apstiprinātas ar Ministru kabineta </w:t>
            </w:r>
            <w:r w:rsidR="00342BBE" w:rsidRPr="007848A3">
              <w:t>2014.</w:t>
            </w:r>
            <w:r w:rsidR="008A40D3">
              <w:t> </w:t>
            </w:r>
            <w:r w:rsidR="00342BBE" w:rsidRPr="007848A3">
              <w:t>gada</w:t>
            </w:r>
            <w:r w:rsidRPr="007848A3">
              <w:t xml:space="preserve"> </w:t>
            </w:r>
            <w:r w:rsidR="00342BBE" w:rsidRPr="007848A3">
              <w:t>14.</w:t>
            </w:r>
            <w:r w:rsidR="008A40D3">
              <w:t> </w:t>
            </w:r>
            <w:r w:rsidR="00342BBE" w:rsidRPr="007848A3">
              <w:t>oktobra</w:t>
            </w:r>
            <w:r w:rsidRPr="007848A3">
              <w:t xml:space="preserve"> rīkojumu Nr.</w:t>
            </w:r>
            <w:r w:rsidR="008A40D3">
              <w:t> </w:t>
            </w:r>
            <w:r w:rsidRPr="007848A3">
              <w:t xml:space="preserve">589, definētais apakšmērķis – samazināt </w:t>
            </w:r>
            <w:r w:rsidRPr="001E6972">
              <w:t>iedzīvotāju saslimstību ar infekcijas slimībām.</w:t>
            </w:r>
          </w:p>
          <w:p w14:paraId="7ADD195E" w14:textId="1F9A43CF" w:rsidR="00A42919" w:rsidRPr="007848A3" w:rsidRDefault="00627AC9" w:rsidP="008A40D3">
            <w:pPr>
              <w:pStyle w:val="naiskr"/>
              <w:spacing w:before="20" w:after="20"/>
              <w:jc w:val="both"/>
            </w:pPr>
            <w:r>
              <w:t>N</w:t>
            </w:r>
            <w:r w:rsidR="00A91A5A" w:rsidRPr="00517BE0">
              <w:rPr>
                <w:rStyle w:val="Emphasis"/>
                <w:i w:val="0"/>
              </w:rPr>
              <w:t>oteikumu projekts</w:t>
            </w:r>
            <w:r w:rsidR="00A469CE" w:rsidRPr="001E6972">
              <w:rPr>
                <w:rStyle w:val="Emphasis"/>
                <w:i w:val="0"/>
              </w:rPr>
              <w:t xml:space="preserve"> </w:t>
            </w:r>
            <w:r w:rsidR="00E045AB" w:rsidRPr="001E6972">
              <w:t>ir izstrādāts pēc Veselības ministrijas</w:t>
            </w:r>
            <w:r w:rsidR="006308E0">
              <w:t xml:space="preserve"> (</w:t>
            </w:r>
            <w:r w:rsidR="006308E0" w:rsidRPr="00517BE0">
              <w:rPr>
                <w:rStyle w:val="Emphasis"/>
                <w:i w:val="0"/>
              </w:rPr>
              <w:t>turpmāk –</w:t>
            </w:r>
            <w:r w:rsidR="006308E0">
              <w:rPr>
                <w:rStyle w:val="Emphasis"/>
                <w:i w:val="0"/>
              </w:rPr>
              <w:t xml:space="preserve"> VM</w:t>
            </w:r>
            <w:r w:rsidR="006308E0">
              <w:t>)</w:t>
            </w:r>
            <w:r w:rsidR="00E045AB" w:rsidRPr="001E6972">
              <w:t xml:space="preserve"> iniciatīvas. Priekšlikumus grozījumu izstrādei ir sniegus</w:t>
            </w:r>
            <w:r w:rsidR="00BD0A3C">
              <w:t>i</w:t>
            </w:r>
            <w:r w:rsidR="00E045AB" w:rsidRPr="001E6972">
              <w:t xml:space="preserve"> </w:t>
            </w:r>
            <w:r w:rsidR="00BD0A3C">
              <w:t>Imunizācijas valsts padome</w:t>
            </w:r>
            <w:r w:rsidR="00C131B7">
              <w:t xml:space="preserve"> </w:t>
            </w:r>
            <w:r w:rsidR="00BD0A3C">
              <w:t>un</w:t>
            </w:r>
            <w:r w:rsidR="00E045AB" w:rsidRPr="001E6972">
              <w:t xml:space="preserve"> </w:t>
            </w:r>
            <w:r w:rsidR="00BA1BC3">
              <w:rPr>
                <w:rStyle w:val="Emphasis"/>
                <w:i w:val="0"/>
              </w:rPr>
              <w:t>VM</w:t>
            </w:r>
            <w:r w:rsidR="00E045AB" w:rsidRPr="001E6972">
              <w:t xml:space="preserve"> padotības iestādes – Slimību profilakses un kontroles centrs</w:t>
            </w:r>
            <w:r w:rsidR="00176241">
              <w:t xml:space="preserve"> (</w:t>
            </w:r>
            <w:r w:rsidR="00176241" w:rsidRPr="00517BE0">
              <w:rPr>
                <w:rStyle w:val="Emphasis"/>
                <w:i w:val="0"/>
              </w:rPr>
              <w:t>turpmāk –</w:t>
            </w:r>
            <w:r w:rsidR="00176241">
              <w:rPr>
                <w:rStyle w:val="Emphasis"/>
                <w:i w:val="0"/>
              </w:rPr>
              <w:t xml:space="preserve"> SPKC</w:t>
            </w:r>
            <w:r w:rsidR="00176241">
              <w:t>)</w:t>
            </w:r>
            <w:r w:rsidR="00E045AB" w:rsidRPr="001E6972">
              <w:t>, Nacionālais veselības dienests</w:t>
            </w:r>
            <w:r w:rsidR="00170295">
              <w:t xml:space="preserve"> (</w:t>
            </w:r>
            <w:r w:rsidR="00170295" w:rsidRPr="00517BE0">
              <w:rPr>
                <w:rStyle w:val="Emphasis"/>
                <w:i w:val="0"/>
              </w:rPr>
              <w:t>turpmāk –</w:t>
            </w:r>
            <w:r w:rsidR="00170295">
              <w:rPr>
                <w:rStyle w:val="Emphasis"/>
                <w:i w:val="0"/>
              </w:rPr>
              <w:t xml:space="preserve"> NVD</w:t>
            </w:r>
            <w:r w:rsidR="00170295">
              <w:t>)</w:t>
            </w:r>
            <w:r w:rsidR="00EF1BCE">
              <w:t>,</w:t>
            </w:r>
            <w:r w:rsidR="00170295">
              <w:t xml:space="preserve"> </w:t>
            </w:r>
            <w:r w:rsidR="00E045AB" w:rsidRPr="001E6972">
              <w:t xml:space="preserve"> Veselības inspekcija</w:t>
            </w:r>
            <w:r w:rsidR="00170295">
              <w:t xml:space="preserve"> (</w:t>
            </w:r>
            <w:r w:rsidR="00170295" w:rsidRPr="00517BE0">
              <w:rPr>
                <w:rStyle w:val="Emphasis"/>
                <w:i w:val="0"/>
              </w:rPr>
              <w:t>turpmāk –</w:t>
            </w:r>
            <w:r w:rsidR="00170295">
              <w:rPr>
                <w:rStyle w:val="Emphasis"/>
                <w:i w:val="0"/>
              </w:rPr>
              <w:t xml:space="preserve"> VI</w:t>
            </w:r>
            <w:r w:rsidR="00170295">
              <w:t>)</w:t>
            </w:r>
            <w:r w:rsidR="00EF1BCE">
              <w:t xml:space="preserve"> </w:t>
            </w:r>
            <w:r w:rsidR="00EF1BCE" w:rsidRPr="001E6972">
              <w:t xml:space="preserve">un </w:t>
            </w:r>
            <w:r w:rsidR="00EF1BCE" w:rsidRPr="00EF1BCE">
              <w:t>Zāļu valsts aģentūra</w:t>
            </w:r>
            <w:r w:rsidR="00EF1BCE">
              <w:t xml:space="preserve"> (</w:t>
            </w:r>
            <w:r w:rsidR="00EF1BCE" w:rsidRPr="00517BE0">
              <w:rPr>
                <w:rStyle w:val="Emphasis"/>
                <w:i w:val="0"/>
              </w:rPr>
              <w:t>turpmāk –</w:t>
            </w:r>
            <w:r w:rsidR="00EF1BCE">
              <w:rPr>
                <w:rStyle w:val="Emphasis"/>
                <w:i w:val="0"/>
              </w:rPr>
              <w:t xml:space="preserve"> ZVA</w:t>
            </w:r>
            <w:r w:rsidR="00EF1BCE">
              <w:t>)</w:t>
            </w:r>
            <w:r w:rsidR="00E045AB" w:rsidRPr="001E6972">
              <w:t>.</w:t>
            </w:r>
          </w:p>
        </w:tc>
      </w:tr>
      <w:tr w:rsidR="00771C3C" w:rsidRPr="007848A3" w14:paraId="4BA99FAE" w14:textId="77777777" w:rsidTr="00481B82">
        <w:trPr>
          <w:trHeight w:val="557"/>
        </w:trPr>
        <w:tc>
          <w:tcPr>
            <w:tcW w:w="528" w:type="dxa"/>
          </w:tcPr>
          <w:p w14:paraId="5203DBB9" w14:textId="77777777" w:rsidR="00771C3C" w:rsidRPr="007848A3" w:rsidRDefault="00771C3C" w:rsidP="0073447B">
            <w:pPr>
              <w:pStyle w:val="naiskr"/>
              <w:spacing w:before="20" w:after="20"/>
              <w:jc w:val="center"/>
            </w:pPr>
            <w:r w:rsidRPr="007848A3">
              <w:t>2.</w:t>
            </w:r>
          </w:p>
        </w:tc>
        <w:tc>
          <w:tcPr>
            <w:tcW w:w="2181" w:type="dxa"/>
          </w:tcPr>
          <w:p w14:paraId="79111EAC" w14:textId="77777777" w:rsidR="00771C3C" w:rsidRPr="007848A3" w:rsidRDefault="008F13D6" w:rsidP="0073447B">
            <w:pPr>
              <w:pStyle w:val="naiskr"/>
              <w:spacing w:before="20" w:after="20"/>
            </w:pPr>
            <w:r w:rsidRPr="007848A3">
              <w:t>Pašreizējā situācija un problēmas, kuru risināšanai tiesību akta projekts izstrādāts, tiesiskā regulējuma mērķis un būtība</w:t>
            </w:r>
          </w:p>
        </w:tc>
        <w:tc>
          <w:tcPr>
            <w:tcW w:w="6392" w:type="dxa"/>
          </w:tcPr>
          <w:p w14:paraId="457B8701" w14:textId="186B34B2" w:rsidR="0017258E" w:rsidRDefault="00DC49B1" w:rsidP="00EA55C5">
            <w:pPr>
              <w:jc w:val="both"/>
            </w:pPr>
            <w:r>
              <w:t xml:space="preserve">Ņemot vērā, ka </w:t>
            </w:r>
            <w:r w:rsidR="008D04CC">
              <w:t xml:space="preserve">noteikumu projekts tiek papildināts ar jaunām </w:t>
            </w:r>
            <w:r w:rsidR="00F21617">
              <w:t>vakcinējamo personu grupām</w:t>
            </w:r>
            <w:r w:rsidR="009D47D7">
              <w:t xml:space="preserve"> (</w:t>
            </w:r>
            <w:r w:rsidR="009D47D7" w:rsidRPr="000B6729">
              <w:rPr>
                <w:i/>
              </w:rPr>
              <w:t xml:space="preserve">bērni no 6 mēnešu vecumam līdz diviem gadiem – vakcinācija pret sezonālo gripu; grūtnieces – vakcinācija pret sezonālo gripu; </w:t>
            </w:r>
            <w:r w:rsidR="0097208E" w:rsidRPr="000B6729">
              <w:rPr>
                <w:i/>
              </w:rPr>
              <w:t>nevakcinēt</w:t>
            </w:r>
            <w:r w:rsidR="00AC76B4">
              <w:rPr>
                <w:i/>
              </w:rPr>
              <w:t>as kontaktpersonas</w:t>
            </w:r>
            <w:r w:rsidR="009D47D7">
              <w:t>)</w:t>
            </w:r>
            <w:r w:rsidR="00F21617">
              <w:t xml:space="preserve">, kā arī tiek </w:t>
            </w:r>
            <w:r w:rsidR="00F210F6">
              <w:t xml:space="preserve">labotas neprecizitātes </w:t>
            </w:r>
            <w:r w:rsidR="00112E83" w:rsidRPr="001E6972">
              <w:t>2000.</w:t>
            </w:r>
            <w:r w:rsidR="00112E83">
              <w:t> </w:t>
            </w:r>
            <w:r w:rsidR="00112E83" w:rsidRPr="001E6972">
              <w:t>gada 26.</w:t>
            </w:r>
            <w:r w:rsidR="00112E83">
              <w:t> </w:t>
            </w:r>
            <w:r w:rsidR="00112E83" w:rsidRPr="001E6972">
              <w:t>septembra noteikum</w:t>
            </w:r>
            <w:r w:rsidR="00112E83">
              <w:t>u</w:t>
            </w:r>
            <w:r w:rsidR="00112E83" w:rsidRPr="001E6972">
              <w:t xml:space="preserve"> Nr.</w:t>
            </w:r>
            <w:r w:rsidR="00112E83">
              <w:t> 330 "Vakcinācijas noteikumi"</w:t>
            </w:r>
            <w:r w:rsidR="00112E83" w:rsidRPr="001E6972">
              <w:t xml:space="preserve"> </w:t>
            </w:r>
            <w:r w:rsidR="00112E83" w:rsidRPr="001E6972">
              <w:rPr>
                <w:rStyle w:val="Emphasis"/>
                <w:i w:val="0"/>
              </w:rPr>
              <w:t>(</w:t>
            </w:r>
            <w:r w:rsidR="00112E83" w:rsidRPr="00517BE0">
              <w:rPr>
                <w:rStyle w:val="Emphasis"/>
                <w:i w:val="0"/>
              </w:rPr>
              <w:t xml:space="preserve">turpmāk – </w:t>
            </w:r>
            <w:r w:rsidR="00112E83" w:rsidRPr="00517BE0">
              <w:t>Vakcinācijas noteikumi</w:t>
            </w:r>
            <w:r w:rsidR="00112E83" w:rsidRPr="00517BE0">
              <w:rPr>
                <w:rStyle w:val="Emphasis"/>
                <w:i w:val="0"/>
              </w:rPr>
              <w:t xml:space="preserve">) </w:t>
            </w:r>
            <w:r w:rsidR="00112E83">
              <w:t>3. </w:t>
            </w:r>
            <w:r w:rsidR="00F210F6">
              <w:t xml:space="preserve">punktā, vieglākai </w:t>
            </w:r>
            <w:r w:rsidR="001E6571">
              <w:t xml:space="preserve">noteikumu projekta uztverei viss punkts tiek izteikts jaunā redakcijā, vienkopus norādot visas </w:t>
            </w:r>
            <w:r w:rsidR="00B80AB3">
              <w:t>vakcinējamo personu grupas</w:t>
            </w:r>
            <w:r w:rsidR="00064ADC">
              <w:t xml:space="preserve"> (</w:t>
            </w:r>
            <w:r w:rsidR="00064ADC" w:rsidRPr="00DD1C8A">
              <w:rPr>
                <w:i/>
              </w:rPr>
              <w:t>norādīts</w:t>
            </w:r>
            <w:r w:rsidR="00DD1C8A">
              <w:rPr>
                <w:i/>
              </w:rPr>
              <w:t xml:space="preserve"> arī</w:t>
            </w:r>
            <w:r w:rsidR="00064ADC" w:rsidRPr="00DD1C8A">
              <w:rPr>
                <w:i/>
              </w:rPr>
              <w:t xml:space="preserve">, ka </w:t>
            </w:r>
            <w:r w:rsidR="00DD1C8A" w:rsidRPr="00DD1C8A">
              <w:rPr>
                <w:i/>
              </w:rPr>
              <w:t>bērni saskaņā ar 23.</w:t>
            </w:r>
            <w:r w:rsidR="00DD1C8A" w:rsidRPr="00DD1C8A">
              <w:rPr>
                <w:i/>
                <w:vertAlign w:val="superscript"/>
              </w:rPr>
              <w:t>1</w:t>
            </w:r>
            <w:r w:rsidR="00DD1C8A" w:rsidRPr="00DD1C8A">
              <w:rPr>
                <w:i/>
              </w:rPr>
              <w:t> punkta prasībām tiek vakcinēti pret ērču encefalītu</w:t>
            </w:r>
            <w:r w:rsidR="00064ADC">
              <w:t>)</w:t>
            </w:r>
            <w:r w:rsidR="00B80AB3">
              <w:t>, kurām ir paredzēta obligātā vakcinācija</w:t>
            </w:r>
            <w:r w:rsidR="00D112B2">
              <w:t xml:space="preserve"> (noteikumu </w:t>
            </w:r>
            <w:r w:rsidR="00D112B2" w:rsidRPr="00365E80">
              <w:t xml:space="preserve">projekta </w:t>
            </w:r>
            <w:r w:rsidR="002A70BF" w:rsidRPr="00365E80">
              <w:rPr>
                <w:b/>
              </w:rPr>
              <w:t>1</w:t>
            </w:r>
            <w:r w:rsidR="00D112B2" w:rsidRPr="00365E80">
              <w:rPr>
                <w:b/>
              </w:rPr>
              <w:t>. punkts</w:t>
            </w:r>
            <w:r w:rsidR="00D112B2">
              <w:t>)</w:t>
            </w:r>
            <w:r w:rsidR="00B80AB3">
              <w:t>.</w:t>
            </w:r>
          </w:p>
          <w:p w14:paraId="4AFE874A" w14:textId="2D2285F3" w:rsidR="00AE1FC7" w:rsidRDefault="0017258E" w:rsidP="00EA55C5">
            <w:pPr>
              <w:jc w:val="both"/>
            </w:pPr>
            <w:r>
              <w:t>T</w:t>
            </w:r>
            <w:r w:rsidR="008B7187">
              <w:t>erminoloģiski precizē</w:t>
            </w:r>
            <w:r>
              <w:t>ta</w:t>
            </w:r>
            <w:r w:rsidR="008B7187">
              <w:t xml:space="preserve"> </w:t>
            </w:r>
            <w:r w:rsidR="00AE1FC7" w:rsidRPr="007848A3">
              <w:t>frāz</w:t>
            </w:r>
            <w:r>
              <w:t>e</w:t>
            </w:r>
            <w:r w:rsidR="00AE1FC7" w:rsidRPr="007848A3">
              <w:t xml:space="preserve"> </w:t>
            </w:r>
            <w:r w:rsidR="00AE1FC7" w:rsidRPr="00FD76E0">
              <w:t>"</w:t>
            </w:r>
            <w:r w:rsidR="00AE1FC7" w:rsidRPr="007848A3">
              <w:t>hemodialīžu slimnieki</w:t>
            </w:r>
            <w:r w:rsidR="00AE1FC7" w:rsidRPr="00FD76E0">
              <w:t>"</w:t>
            </w:r>
            <w:r w:rsidR="00AE1FC7" w:rsidRPr="007848A3">
              <w:t xml:space="preserve">, jo pacienti neslimo ar hemodialīzi. </w:t>
            </w:r>
            <w:r w:rsidR="00AE1FC7" w:rsidRPr="00220763">
              <w:t xml:space="preserve">Turklāt jāņem vērā, ka bez hemodialīzes procedūras ar tādu pašu ierīci tiek veiktas arī hemodiafiltrācijas procedūras un tas nozīmē, ka abos gadījumos inficēšanās </w:t>
            </w:r>
            <w:r w:rsidR="00AE1FC7">
              <w:t xml:space="preserve">risks ar B hepatītu ir </w:t>
            </w:r>
            <w:r w:rsidR="00AE1FC7" w:rsidRPr="00560B27">
              <w:t>vienāds. Attiecīgi precizēti</w:t>
            </w:r>
            <w:r w:rsidR="0066612C" w:rsidRPr="00560B27">
              <w:t xml:space="preserve"> arī</w:t>
            </w:r>
            <w:r w:rsidR="00AE1FC7" w:rsidRPr="00560B27">
              <w:t xml:space="preserve"> </w:t>
            </w:r>
            <w:r w:rsidR="0066612C" w:rsidRPr="00560B27">
              <w:t>Vakcinācijas noteikum</w:t>
            </w:r>
            <w:r w:rsidR="002A70BF" w:rsidRPr="00560B27">
              <w:t>u</w:t>
            </w:r>
            <w:r w:rsidR="0069098A" w:rsidRPr="00560B27">
              <w:rPr>
                <w:rStyle w:val="Emphasis"/>
                <w:i w:val="0"/>
              </w:rPr>
              <w:t xml:space="preserve"> </w:t>
            </w:r>
            <w:r w:rsidR="00AE1FC7" w:rsidRPr="00560B27">
              <w:t>3. pielikuma atbilstošie punkti.</w:t>
            </w:r>
            <w:r w:rsidR="00D64DBD" w:rsidRPr="00560B27">
              <w:t xml:space="preserve"> Personām, kuras saņem hroniskās</w:t>
            </w:r>
            <w:r w:rsidR="00D64DBD" w:rsidRPr="002A7B24">
              <w:t xml:space="preserve"> hemodialīzes vai </w:t>
            </w:r>
            <w:r w:rsidR="00D64DBD" w:rsidRPr="002A7B24">
              <w:lastRenderedPageBreak/>
              <w:t xml:space="preserve">hemodiafiltrācijas procedūras, vakcinācija pret B hepatītu sastāv no 4 potēm. </w:t>
            </w:r>
          </w:p>
          <w:p w14:paraId="07847CC9" w14:textId="738B22D4" w:rsidR="00612217" w:rsidRPr="00C2539E" w:rsidRDefault="00B9210A" w:rsidP="00C2539E">
            <w:pPr>
              <w:pStyle w:val="naiskr"/>
              <w:spacing w:before="0" w:after="0"/>
              <w:jc w:val="both"/>
              <w:rPr>
                <w:rStyle w:val="Emphasis"/>
                <w:i w:val="0"/>
                <w:iCs w:val="0"/>
              </w:rPr>
            </w:pPr>
            <w:r w:rsidRPr="002D58B4">
              <w:rPr>
                <w:rStyle w:val="Emphasis"/>
                <w:i w:val="0"/>
              </w:rPr>
              <w:t>Paš</w:t>
            </w:r>
            <w:r>
              <w:rPr>
                <w:rStyle w:val="Emphasis"/>
                <w:i w:val="0"/>
              </w:rPr>
              <w:t>laik</w:t>
            </w:r>
            <w:r w:rsidRPr="002D58B4">
              <w:rPr>
                <w:rStyle w:val="Emphasis"/>
                <w:i w:val="0"/>
              </w:rPr>
              <w:t xml:space="preserve"> jautājums par nevakcinētu kontaktpersonu (ieskaitot pieaugušos) imunizāciju pēc epidemioloģiskajām indikācijām normatīvajos aktos nav skaidri formulēts.</w:t>
            </w:r>
            <w:r w:rsidRPr="002D58B4">
              <w:t xml:space="preserve"> </w:t>
            </w:r>
            <w:r w:rsidR="00C2539E">
              <w:t xml:space="preserve">2012. gada 6. novembra Ministru kabineta noteikumi Nr. 752 </w:t>
            </w:r>
            <w:r w:rsidR="00C2539E" w:rsidRPr="001E6972">
              <w:t>"</w:t>
            </w:r>
            <w:r w:rsidR="00C2539E" w:rsidRPr="001B69C0">
              <w:t xml:space="preserve">Noteikumi par masalu un masaliņu </w:t>
            </w:r>
            <w:proofErr w:type="spellStart"/>
            <w:r w:rsidR="00C2539E" w:rsidRPr="001B69C0">
              <w:t>pretepidēmijas</w:t>
            </w:r>
            <w:proofErr w:type="spellEnd"/>
            <w:r w:rsidR="00C2539E" w:rsidRPr="001B69C0">
              <w:t xml:space="preserve"> pasākumiem</w:t>
            </w:r>
            <w:r w:rsidR="00C2539E" w:rsidRPr="001E6972">
              <w:t>"</w:t>
            </w:r>
            <w:r w:rsidR="00C2539E">
              <w:t xml:space="preserve"> nosaka kontaktpersonu vakcinācijas nepieciešamību. </w:t>
            </w:r>
            <w:r>
              <w:t xml:space="preserve">2006. gada 19. septembra Ministru kabineta noteikumi Nr. 774 </w:t>
            </w:r>
            <w:r w:rsidRPr="00E045AB">
              <w:t>"</w:t>
            </w:r>
            <w:r>
              <w:t>Kontaktpersonu noteikšanas, primārās medicīniskās pārbaudes, laboratoriskās pārbaudes un medicīniskās novērošanas kārtība</w:t>
            </w:r>
            <w:r w:rsidRPr="00E045AB">
              <w:t>"</w:t>
            </w:r>
            <w:r>
              <w:t xml:space="preserve"> un</w:t>
            </w:r>
            <w:r>
              <w:rPr>
                <w:rStyle w:val="Emphasis"/>
                <w:i w:val="0"/>
              </w:rPr>
              <w:t xml:space="preserve"> Vakcinācijas noteikumi</w:t>
            </w:r>
            <w:r w:rsidRPr="002D58B4">
              <w:rPr>
                <w:rStyle w:val="Emphasis"/>
                <w:i w:val="0"/>
              </w:rPr>
              <w:t xml:space="preserve"> nenosaka nekādas prasības kontaktpersonu vakcinācijai, </w:t>
            </w:r>
            <w:r w:rsidRPr="00AE4C94">
              <w:rPr>
                <w:rStyle w:val="Emphasis"/>
                <w:i w:val="0"/>
              </w:rPr>
              <w:t xml:space="preserve">līdz ar to ārstniecības personām nav skaidrs, par kādiem </w:t>
            </w:r>
            <w:r>
              <w:rPr>
                <w:rStyle w:val="Emphasis"/>
                <w:i w:val="0"/>
              </w:rPr>
              <w:t xml:space="preserve">finanšu </w:t>
            </w:r>
            <w:r w:rsidRPr="00AE4C94">
              <w:rPr>
                <w:rStyle w:val="Emphasis"/>
                <w:i w:val="0"/>
              </w:rPr>
              <w:t xml:space="preserve">līdzekļiem būtu veicama nevakcinētu kontaktpersonu, sevišķi pieaugušo, vakcinācija pret epidemioloģiski nozīmīgām infekcijas slimībām, lai novērstu jaunus saslimšanas gadījumus un infekciju izplatīšanos. Jautājums par kontaktpersonu vakcināciju infekcijas slimības gadījumā </w:t>
            </w:r>
            <w:r w:rsidR="00C07DD1">
              <w:rPr>
                <w:rStyle w:val="Emphasis"/>
                <w:i w:val="0"/>
              </w:rPr>
              <w:t>ir</w:t>
            </w:r>
            <w:r w:rsidRPr="00AE4C94">
              <w:rPr>
                <w:rStyle w:val="Emphasis"/>
                <w:i w:val="0"/>
              </w:rPr>
              <w:t xml:space="preserve"> aktuāls arī saistībā ar patvēruma meklētāju uzņemšanu valstī, jo </w:t>
            </w:r>
            <w:r w:rsidR="005E5236">
              <w:rPr>
                <w:rStyle w:val="Emphasis"/>
                <w:i w:val="0"/>
              </w:rPr>
              <w:t xml:space="preserve">pastāv </w:t>
            </w:r>
            <w:r w:rsidRPr="00365E80">
              <w:rPr>
                <w:rStyle w:val="Emphasis"/>
                <w:i w:val="0"/>
              </w:rPr>
              <w:t xml:space="preserve">vakcīnregulējamo </w:t>
            </w:r>
            <w:r w:rsidR="008C33E6" w:rsidRPr="00365E80">
              <w:rPr>
                <w:rStyle w:val="Emphasis"/>
                <w:i w:val="0"/>
              </w:rPr>
              <w:t xml:space="preserve">infekcijas </w:t>
            </w:r>
            <w:r w:rsidRPr="00365E80">
              <w:rPr>
                <w:rStyle w:val="Emphasis"/>
                <w:i w:val="0"/>
              </w:rPr>
              <w:t xml:space="preserve">slimību uzliesmojumu risks. </w:t>
            </w:r>
            <w:r w:rsidRPr="00365E80">
              <w:t xml:space="preserve">Noteikumu projekta </w:t>
            </w:r>
            <w:r w:rsidRPr="00365E80">
              <w:rPr>
                <w:rStyle w:val="Emphasis"/>
                <w:b/>
                <w:i w:val="0"/>
              </w:rPr>
              <w:t>1.</w:t>
            </w:r>
            <w:r w:rsidR="00AD5FD1" w:rsidRPr="00365E80">
              <w:rPr>
                <w:rStyle w:val="Emphasis"/>
                <w:b/>
                <w:i w:val="0"/>
              </w:rPr>
              <w:t xml:space="preserve"> </w:t>
            </w:r>
            <w:r w:rsidRPr="00365E80">
              <w:rPr>
                <w:rStyle w:val="Emphasis"/>
                <w:b/>
                <w:i w:val="0"/>
              </w:rPr>
              <w:t>punkts</w:t>
            </w:r>
            <w:r w:rsidRPr="00365E80">
              <w:rPr>
                <w:rStyle w:val="Emphasis"/>
                <w:i w:val="0"/>
              </w:rPr>
              <w:t xml:space="preserve"> piedāvā problēmas risinājumu, nosakot epidemioloģiski nozīmīgas infekcijas slimības (difterija, poliomielīts, masalas, masaliņas un epidēmiskais parotīts), kuru gadījumā nevakcinētas kontaktpersonas vakcinācija veicama par valsts budžeta līdzekļiem, lai nepieļautu infekcijas slimību plašu izplatīšanos</w:t>
            </w:r>
            <w:r w:rsidRPr="00334CD6">
              <w:rPr>
                <w:rStyle w:val="Emphasis"/>
                <w:i w:val="0"/>
              </w:rPr>
              <w:t>.</w:t>
            </w:r>
            <w:r w:rsidR="00870698">
              <w:t xml:space="preserve"> Imunizācijas valsts </w:t>
            </w:r>
            <w:r w:rsidR="00870698" w:rsidRPr="00B22D62">
              <w:t>padomes locekļi</w:t>
            </w:r>
            <w:r w:rsidR="00870698">
              <w:t xml:space="preserve"> ir </w:t>
            </w:r>
            <w:r w:rsidR="00870698" w:rsidRPr="00B22D62">
              <w:t>atbalstīj</w:t>
            </w:r>
            <w:r w:rsidR="00870698">
              <w:t>uši</w:t>
            </w:r>
            <w:r w:rsidR="00870698" w:rsidRPr="00B22D62">
              <w:t xml:space="preserve"> </w:t>
            </w:r>
            <w:r w:rsidR="00870698">
              <w:t>kontaktpersonu vakcināciju</w:t>
            </w:r>
            <w:r w:rsidR="00870698" w:rsidRPr="00B22D62">
              <w:t>.</w:t>
            </w:r>
          </w:p>
          <w:p w14:paraId="0377B4BB" w14:textId="51ABA4AC" w:rsidR="00C032A0" w:rsidRDefault="00F041D4" w:rsidP="00EA55C5">
            <w:pPr>
              <w:jc w:val="both"/>
              <w:rPr>
                <w:rStyle w:val="Emphasis"/>
                <w:i w:val="0"/>
              </w:rPr>
            </w:pPr>
            <w:r>
              <w:t xml:space="preserve">Pašreiz </w:t>
            </w:r>
            <w:r w:rsidRPr="005463BC">
              <w:rPr>
                <w:iCs/>
              </w:rPr>
              <w:t>no ambulatorai aprūpei nepieciešamo zāļu kompensācijas līdzekļiem gripas vakcīna tiek kompensēta grūtniecēm 50</w:t>
            </w:r>
            <w:r>
              <w:rPr>
                <w:iCs/>
              </w:rPr>
              <w:t> </w:t>
            </w:r>
            <w:r w:rsidRPr="005463BC">
              <w:rPr>
                <w:iCs/>
              </w:rPr>
              <w:t>% apmērā un bērniem līdz divu gadu vecumam 100</w:t>
            </w:r>
            <w:r>
              <w:rPr>
                <w:iCs/>
              </w:rPr>
              <w:t> </w:t>
            </w:r>
            <w:r w:rsidRPr="005463BC">
              <w:rPr>
                <w:iCs/>
              </w:rPr>
              <w:t xml:space="preserve">% apmērā. Esošā vakcīnu kompensācijas sistēma paredz no valsts budžeta kompensējamo zāļu receptes izrakstīšanu, vakcīnas pasūtīšanu aptiekā, kas ir sarežģīta procedūra un ierobežo vakcinācijas procesu, kā arī var ietekmēt pretgripas vakcīnu efektivitāti un drošumu, ja netiek ievērots vakcīnu uzglabāšanas režīms posmā starp </w:t>
            </w:r>
            <w:r w:rsidR="007B013C">
              <w:rPr>
                <w:iCs/>
              </w:rPr>
              <w:t>aptieku un vakcinācijas iestādi</w:t>
            </w:r>
            <w:r w:rsidRPr="005463BC">
              <w:rPr>
                <w:iCs/>
              </w:rPr>
              <w:t xml:space="preserve">. Lai mazinātu slogu ārstiem un uzlabotu pretgripas vakcīnas pieejamību, kā arī </w:t>
            </w:r>
            <w:r w:rsidR="00BB791E">
              <w:rPr>
                <w:iCs/>
              </w:rPr>
              <w:t xml:space="preserve">lai </w:t>
            </w:r>
            <w:r w:rsidRPr="005463BC">
              <w:rPr>
                <w:iCs/>
              </w:rPr>
              <w:t xml:space="preserve">nodrošinātu vienotu pieeju no valsts budžeta </w:t>
            </w:r>
            <w:r w:rsidR="001D6077">
              <w:rPr>
                <w:iCs/>
              </w:rPr>
              <w:t xml:space="preserve">līdzekļiem </w:t>
            </w:r>
            <w:r w:rsidRPr="005463BC">
              <w:rPr>
                <w:iCs/>
              </w:rPr>
              <w:t xml:space="preserve">apmaksātu vakcīnu nodrošināšanai, </w:t>
            </w:r>
            <w:r w:rsidR="00EC5572" w:rsidRPr="005463BC">
              <w:rPr>
                <w:iCs/>
              </w:rPr>
              <w:t>pretgripas vakcīn</w:t>
            </w:r>
            <w:r w:rsidR="00EC5572">
              <w:rPr>
                <w:iCs/>
              </w:rPr>
              <w:t>a iepriekšminētajām pacientu grupām</w:t>
            </w:r>
            <w:r w:rsidR="00EC5572" w:rsidRPr="005463BC">
              <w:rPr>
                <w:iCs/>
              </w:rPr>
              <w:t xml:space="preserve"> </w:t>
            </w:r>
            <w:r w:rsidR="00D65F0A">
              <w:rPr>
                <w:iCs/>
              </w:rPr>
              <w:t>tiek</w:t>
            </w:r>
            <w:r w:rsidRPr="005463BC">
              <w:rPr>
                <w:iCs/>
              </w:rPr>
              <w:t xml:space="preserve"> iekļaut</w:t>
            </w:r>
            <w:r w:rsidR="00EC5572">
              <w:rPr>
                <w:iCs/>
              </w:rPr>
              <w:t>a</w:t>
            </w:r>
            <w:r w:rsidRPr="005463BC">
              <w:rPr>
                <w:iCs/>
              </w:rPr>
              <w:t xml:space="preserve"> vakcinācijas kalendārā</w:t>
            </w:r>
            <w:r>
              <w:rPr>
                <w:iCs/>
              </w:rPr>
              <w:t xml:space="preserve">. </w:t>
            </w:r>
            <w:r w:rsidR="00C8699C">
              <w:rPr>
                <w:iCs/>
              </w:rPr>
              <w:t xml:space="preserve">Šāds </w:t>
            </w:r>
            <w:r w:rsidR="00C8699C" w:rsidRPr="00A47880">
              <w:rPr>
                <w:iCs/>
              </w:rPr>
              <w:t>pasākum</w:t>
            </w:r>
            <w:r w:rsidR="00C8699C">
              <w:rPr>
                <w:iCs/>
              </w:rPr>
              <w:t xml:space="preserve">s ir </w:t>
            </w:r>
            <w:r w:rsidR="00C8699C" w:rsidRPr="00A47880">
              <w:rPr>
                <w:iCs/>
              </w:rPr>
              <w:t>ietvert</w:t>
            </w:r>
            <w:r w:rsidR="00C8699C">
              <w:rPr>
                <w:iCs/>
              </w:rPr>
              <w:t>s</w:t>
            </w:r>
            <w:r w:rsidR="00C8699C" w:rsidRPr="00A47880">
              <w:rPr>
                <w:iCs/>
              </w:rPr>
              <w:t xml:space="preserve"> </w:t>
            </w:r>
            <w:r w:rsidR="00C8699C">
              <w:rPr>
                <w:iCs/>
              </w:rPr>
              <w:t>arī p</w:t>
            </w:r>
            <w:r w:rsidR="00A47880" w:rsidRPr="00A47880">
              <w:rPr>
                <w:iCs/>
              </w:rPr>
              <w:t>olitikas plānošanas dokument</w:t>
            </w:r>
            <w:r w:rsidR="00131262">
              <w:rPr>
                <w:iCs/>
              </w:rPr>
              <w:t>ā</w:t>
            </w:r>
            <w:r w:rsidR="00A47880" w:rsidRPr="00A47880">
              <w:rPr>
                <w:iCs/>
              </w:rPr>
              <w:t xml:space="preserve"> </w:t>
            </w:r>
            <w:r w:rsidR="00131262">
              <w:t>"</w:t>
            </w:r>
            <w:r w:rsidR="00A47880" w:rsidRPr="00A47880">
              <w:rPr>
                <w:iCs/>
              </w:rPr>
              <w:t>Mātes un bērna vese</w:t>
            </w:r>
            <w:r w:rsidR="00C8699C">
              <w:rPr>
                <w:iCs/>
              </w:rPr>
              <w:t>lības uzlabošanas plāns 2018.-</w:t>
            </w:r>
            <w:r w:rsidR="00A47880" w:rsidRPr="00A47880">
              <w:rPr>
                <w:iCs/>
              </w:rPr>
              <w:t>2020.</w:t>
            </w:r>
            <w:r w:rsidR="00C8699C">
              <w:rPr>
                <w:iCs/>
              </w:rPr>
              <w:t> </w:t>
            </w:r>
            <w:r w:rsidR="00A47880" w:rsidRPr="00A47880">
              <w:rPr>
                <w:iCs/>
              </w:rPr>
              <w:t>gadam</w:t>
            </w:r>
            <w:r w:rsidR="00131262">
              <w:t>"</w:t>
            </w:r>
            <w:r w:rsidR="001233FB">
              <w:rPr>
                <w:iCs/>
              </w:rPr>
              <w:t>.</w:t>
            </w:r>
            <w:r w:rsidR="008C539A" w:rsidRPr="008C539A">
              <w:rPr>
                <w:iCs/>
              </w:rPr>
              <w:t xml:space="preserve"> </w:t>
            </w:r>
            <w:r w:rsidR="008C539A" w:rsidRPr="00E408CF">
              <w:rPr>
                <w:iCs/>
              </w:rPr>
              <w:t>Pasaules Veselības organizācijas</w:t>
            </w:r>
            <w:r w:rsidR="00E408CF" w:rsidRPr="00E408CF">
              <w:rPr>
                <w:iCs/>
              </w:rPr>
              <w:t xml:space="preserve"> (</w:t>
            </w:r>
            <w:r w:rsidR="00E408CF" w:rsidRPr="00E408CF">
              <w:rPr>
                <w:rStyle w:val="Emphasis"/>
                <w:i w:val="0"/>
              </w:rPr>
              <w:t>turpmāk – PVO</w:t>
            </w:r>
            <w:r w:rsidR="00E408CF" w:rsidRPr="00E408CF">
              <w:rPr>
                <w:iCs/>
              </w:rPr>
              <w:t>)</w:t>
            </w:r>
            <w:r w:rsidR="008C539A" w:rsidRPr="00E408CF">
              <w:rPr>
                <w:iCs/>
              </w:rPr>
              <w:t xml:space="preserve"> rekome</w:t>
            </w:r>
            <w:r w:rsidR="008C539A" w:rsidRPr="008C539A">
              <w:rPr>
                <w:iCs/>
              </w:rPr>
              <w:t>ndācijās (</w:t>
            </w:r>
            <w:proofErr w:type="spellStart"/>
            <w:r w:rsidR="008C539A" w:rsidRPr="00483E05">
              <w:rPr>
                <w:i/>
                <w:iCs/>
              </w:rPr>
              <w:t>Vaccines</w:t>
            </w:r>
            <w:proofErr w:type="spellEnd"/>
            <w:r w:rsidR="008C539A" w:rsidRPr="00483E05">
              <w:rPr>
                <w:i/>
                <w:iCs/>
              </w:rPr>
              <w:t xml:space="preserve"> </w:t>
            </w:r>
            <w:proofErr w:type="spellStart"/>
            <w:r w:rsidR="008C539A" w:rsidRPr="00483E05">
              <w:rPr>
                <w:i/>
                <w:iCs/>
              </w:rPr>
              <w:t>against</w:t>
            </w:r>
            <w:proofErr w:type="spellEnd"/>
            <w:r w:rsidR="008C539A" w:rsidRPr="00483E05">
              <w:rPr>
                <w:i/>
                <w:iCs/>
              </w:rPr>
              <w:t xml:space="preserve"> </w:t>
            </w:r>
            <w:proofErr w:type="spellStart"/>
            <w:r w:rsidR="008C539A" w:rsidRPr="00483E05">
              <w:rPr>
                <w:i/>
                <w:iCs/>
              </w:rPr>
              <w:t>influenza</w:t>
            </w:r>
            <w:proofErr w:type="spellEnd"/>
            <w:r w:rsidR="008C539A" w:rsidRPr="00483E05">
              <w:rPr>
                <w:i/>
                <w:iCs/>
              </w:rPr>
              <w:t xml:space="preserve">. WHO </w:t>
            </w:r>
            <w:proofErr w:type="spellStart"/>
            <w:r w:rsidR="008C539A" w:rsidRPr="00483E05">
              <w:rPr>
                <w:i/>
                <w:iCs/>
              </w:rPr>
              <w:t>Position</w:t>
            </w:r>
            <w:proofErr w:type="spellEnd"/>
            <w:r w:rsidR="008C539A" w:rsidRPr="00483E05">
              <w:rPr>
                <w:i/>
                <w:iCs/>
              </w:rPr>
              <w:t xml:space="preserve"> Paper </w:t>
            </w:r>
            <w:proofErr w:type="spellStart"/>
            <w:r w:rsidR="008C539A" w:rsidRPr="00483E05">
              <w:rPr>
                <w:i/>
                <w:iCs/>
              </w:rPr>
              <w:t>November</w:t>
            </w:r>
            <w:proofErr w:type="spellEnd"/>
            <w:r w:rsidR="008C539A" w:rsidRPr="00483E05">
              <w:rPr>
                <w:i/>
                <w:iCs/>
              </w:rPr>
              <w:t xml:space="preserve"> 2012</w:t>
            </w:r>
            <w:r w:rsidR="008C539A" w:rsidRPr="008C539A">
              <w:rPr>
                <w:iCs/>
              </w:rPr>
              <w:t>)</w:t>
            </w:r>
            <w:r w:rsidR="008C539A">
              <w:rPr>
                <w:iCs/>
              </w:rPr>
              <w:t xml:space="preserve"> </w:t>
            </w:r>
            <w:r w:rsidR="008C539A" w:rsidRPr="008C539A">
              <w:rPr>
                <w:iCs/>
              </w:rPr>
              <w:t>grūtnieces un īpaši bērni līdz divu gadu vecumam ir atzīti kā personas, k</w:t>
            </w:r>
            <w:r w:rsidR="005C1B09">
              <w:rPr>
                <w:iCs/>
              </w:rPr>
              <w:t>urā</w:t>
            </w:r>
            <w:r w:rsidR="008C539A" w:rsidRPr="008C539A">
              <w:rPr>
                <w:iCs/>
              </w:rPr>
              <w:t xml:space="preserve">m ir augsti riski saistībā ar gripas infekciju. Gripas infekcija grūtniecēm var veicināt ne tikai dažādas veselības problēmas, bet arī </w:t>
            </w:r>
            <w:r w:rsidR="00801803">
              <w:rPr>
                <w:iCs/>
              </w:rPr>
              <w:t xml:space="preserve">var </w:t>
            </w:r>
            <w:r w:rsidR="008C539A" w:rsidRPr="008C539A">
              <w:rPr>
                <w:iCs/>
              </w:rPr>
              <w:t xml:space="preserve">būt par iemeslu nedzīvi dzimuša bērna </w:t>
            </w:r>
            <w:r w:rsidR="008C539A" w:rsidRPr="008C539A">
              <w:rPr>
                <w:iCs/>
              </w:rPr>
              <w:lastRenderedPageBreak/>
              <w:t>piedzimšanai, jaundzimušā nāvei, priekšlaicīgām dzemdībām un</w:t>
            </w:r>
            <w:r w:rsidR="003217F6">
              <w:rPr>
                <w:iCs/>
              </w:rPr>
              <w:t xml:space="preserve"> jaundzimušā samazinātam svaram</w:t>
            </w:r>
            <w:r w:rsidR="008C539A" w:rsidRPr="008C539A">
              <w:rPr>
                <w:iCs/>
              </w:rPr>
              <w:t xml:space="preserve">. Pētījumi ir pierādījuši, ka īpaši </w:t>
            </w:r>
            <w:r w:rsidR="0083405A" w:rsidRPr="008C539A">
              <w:rPr>
                <w:iCs/>
              </w:rPr>
              <w:t xml:space="preserve">bērni </w:t>
            </w:r>
            <w:r w:rsidR="008C539A" w:rsidRPr="008C539A">
              <w:rPr>
                <w:iCs/>
              </w:rPr>
              <w:t xml:space="preserve">līdz divu gadu vecumam ir pakļauti augstākam nāves gadījumu no gripas izraisītām komplikācijām riskam, kā arī </w:t>
            </w:r>
            <w:r w:rsidR="0083405A" w:rsidRPr="008C539A">
              <w:rPr>
                <w:iCs/>
              </w:rPr>
              <w:t>šie bērni</w:t>
            </w:r>
            <w:r w:rsidR="0083405A">
              <w:rPr>
                <w:iCs/>
              </w:rPr>
              <w:t>,</w:t>
            </w:r>
            <w:r w:rsidR="0083405A" w:rsidRPr="008C539A">
              <w:rPr>
                <w:iCs/>
              </w:rPr>
              <w:t xml:space="preserve"> ja nav vakcinēti </w:t>
            </w:r>
            <w:r w:rsidR="0083405A" w:rsidRPr="00730CEB">
              <w:rPr>
                <w:iCs/>
              </w:rPr>
              <w:t xml:space="preserve">pret gripu, biežāk tiek ārstēti stacionārā saistībā ar </w:t>
            </w:r>
            <w:r w:rsidR="00050E69" w:rsidRPr="00730CEB">
              <w:rPr>
                <w:iCs/>
              </w:rPr>
              <w:t>gripu.</w:t>
            </w:r>
            <w:r w:rsidR="00477121" w:rsidRPr="00730CEB">
              <w:t xml:space="preserve"> </w:t>
            </w:r>
            <w:r w:rsidR="00D62E3E" w:rsidRPr="00730CEB">
              <w:t xml:space="preserve">Modelējošie pētījumi parāda, ka </w:t>
            </w:r>
            <w:r w:rsidR="00A743C6" w:rsidRPr="00730CEB">
              <w:rPr>
                <w:iCs/>
              </w:rPr>
              <w:t>b</w:t>
            </w:r>
            <w:r w:rsidR="00477121" w:rsidRPr="00730CEB">
              <w:rPr>
                <w:iCs/>
              </w:rPr>
              <w:t>ērni ir galvenie gripas infekcijas izplatītāji, tādēļ bērnu vakcinācija pret gripu samazin</w:t>
            </w:r>
            <w:r w:rsidR="00C94B0A" w:rsidRPr="00730CEB">
              <w:rPr>
                <w:iCs/>
              </w:rPr>
              <w:t>ās</w:t>
            </w:r>
            <w:r w:rsidR="00477121" w:rsidRPr="00730CEB">
              <w:rPr>
                <w:iCs/>
              </w:rPr>
              <w:t xml:space="preserve"> gripas infekcijas izplatību un mirstību no gripas visā populācijā.</w:t>
            </w:r>
            <w:r w:rsidR="00477121" w:rsidRPr="00730CEB">
              <w:rPr>
                <w:rStyle w:val="FootnoteReference"/>
                <w:iCs/>
              </w:rPr>
              <w:footnoteReference w:id="1"/>
            </w:r>
            <w:r w:rsidR="00D40FB5" w:rsidRPr="00730CEB">
              <w:rPr>
                <w:iCs/>
                <w:color w:val="7030A0"/>
              </w:rPr>
              <w:t xml:space="preserve"> </w:t>
            </w:r>
            <w:r w:rsidR="00050E69" w:rsidRPr="00730CEB">
              <w:rPr>
                <w:iCs/>
              </w:rPr>
              <w:t>V</w:t>
            </w:r>
            <w:r w:rsidR="008C539A" w:rsidRPr="00730CEB">
              <w:rPr>
                <w:iCs/>
              </w:rPr>
              <w:t>akcinācija pret gripu samazina antibiotiku patēriņu elpceļu</w:t>
            </w:r>
            <w:r w:rsidR="008C539A" w:rsidRPr="008C539A">
              <w:rPr>
                <w:iCs/>
              </w:rPr>
              <w:t xml:space="preserve"> infekciju ārstēšanai, kas ir viens no atbildīgas antibiotiku lietošanas pamatprincipiem un pasākumiem antimikrob</w:t>
            </w:r>
            <w:r w:rsidR="00203DC0">
              <w:rPr>
                <w:iCs/>
              </w:rPr>
              <w:t>iāl</w:t>
            </w:r>
            <w:r w:rsidR="008C539A" w:rsidRPr="008C539A">
              <w:rPr>
                <w:iCs/>
              </w:rPr>
              <w:t>ās rezistences mazināšanai</w:t>
            </w:r>
            <w:r w:rsidR="00203DC0">
              <w:rPr>
                <w:iCs/>
              </w:rPr>
              <w:t>.</w:t>
            </w:r>
            <w:r w:rsidR="000D4A6C">
              <w:rPr>
                <w:iCs/>
              </w:rPr>
              <w:t xml:space="preserve"> </w:t>
            </w:r>
            <w:r w:rsidR="001233FB">
              <w:rPr>
                <w:iCs/>
              </w:rPr>
              <w:t xml:space="preserve">Tādēļ </w:t>
            </w:r>
            <w:r w:rsidR="008B3394">
              <w:rPr>
                <w:iCs/>
              </w:rPr>
              <w:t>V</w:t>
            </w:r>
            <w:r w:rsidR="006942BC">
              <w:rPr>
                <w:iCs/>
              </w:rPr>
              <w:t xml:space="preserve">akcinācijas noteikumos plānota </w:t>
            </w:r>
            <w:r w:rsidR="006942BC" w:rsidRPr="006942BC">
              <w:rPr>
                <w:iCs/>
              </w:rPr>
              <w:t>bērn</w:t>
            </w:r>
            <w:r w:rsidR="006942BC">
              <w:rPr>
                <w:iCs/>
              </w:rPr>
              <w:t>u</w:t>
            </w:r>
            <w:r w:rsidR="006942BC" w:rsidRPr="006942BC">
              <w:rPr>
                <w:iCs/>
              </w:rPr>
              <w:t xml:space="preserve"> </w:t>
            </w:r>
            <w:r w:rsidR="006942BC" w:rsidRPr="00365E80">
              <w:rPr>
                <w:iCs/>
              </w:rPr>
              <w:t xml:space="preserve">vecumā no 6 </w:t>
            </w:r>
            <w:r w:rsidR="00A21F22" w:rsidRPr="00365E80">
              <w:rPr>
                <w:iCs/>
              </w:rPr>
              <w:t xml:space="preserve">mēnešiem </w:t>
            </w:r>
            <w:r w:rsidR="006942BC" w:rsidRPr="00365E80">
              <w:rPr>
                <w:iCs/>
              </w:rPr>
              <w:t xml:space="preserve">līdz </w:t>
            </w:r>
            <w:r w:rsidR="00A21F22" w:rsidRPr="00365E80">
              <w:rPr>
                <w:iCs/>
              </w:rPr>
              <w:t>diviem gadiem</w:t>
            </w:r>
            <w:r w:rsidR="006942BC" w:rsidRPr="00365E80">
              <w:rPr>
                <w:iCs/>
              </w:rPr>
              <w:t xml:space="preserve"> un grūtnieču vakcinācija pret gripu.</w:t>
            </w:r>
            <w:r w:rsidR="009369C6" w:rsidRPr="00365E80">
              <w:rPr>
                <w:iCs/>
              </w:rPr>
              <w:t xml:space="preserve"> </w:t>
            </w:r>
            <w:r w:rsidR="007D2381" w:rsidRPr="00365E80">
              <w:rPr>
                <w:iCs/>
              </w:rPr>
              <w:t>Secīgi</w:t>
            </w:r>
            <w:r w:rsidR="00732853" w:rsidRPr="00365E80">
              <w:rPr>
                <w:iCs/>
              </w:rPr>
              <w:t xml:space="preserve"> </w:t>
            </w:r>
            <w:r w:rsidR="00FC32CC" w:rsidRPr="00365E80">
              <w:rPr>
                <w:iCs/>
              </w:rPr>
              <w:t>papildinājumi</w:t>
            </w:r>
            <w:r w:rsidR="00732853" w:rsidRPr="00365E80">
              <w:rPr>
                <w:iCs/>
              </w:rPr>
              <w:t xml:space="preserve"> </w:t>
            </w:r>
            <w:r w:rsidR="001E4E6A" w:rsidRPr="00365E80">
              <w:rPr>
                <w:iCs/>
              </w:rPr>
              <w:t>nepieciešami</w:t>
            </w:r>
            <w:r w:rsidR="00732853" w:rsidRPr="00365E80">
              <w:rPr>
                <w:iCs/>
              </w:rPr>
              <w:t xml:space="preserve"> arī</w:t>
            </w:r>
            <w:r w:rsidR="00FC32CC" w:rsidRPr="00365E80">
              <w:t xml:space="preserve"> </w:t>
            </w:r>
            <w:r w:rsidR="00FC32CC" w:rsidRPr="00365E80">
              <w:rPr>
                <w:iCs/>
              </w:rPr>
              <w:t xml:space="preserve">Vakcinācijas noteikumu </w:t>
            </w:r>
            <w:r w:rsidR="008B16BD" w:rsidRPr="00365E80">
              <w:rPr>
                <w:iCs/>
              </w:rPr>
              <w:t xml:space="preserve">1. un </w:t>
            </w:r>
            <w:r w:rsidR="00FC32CC" w:rsidRPr="00365E80">
              <w:rPr>
                <w:iCs/>
              </w:rPr>
              <w:t>3.</w:t>
            </w:r>
            <w:r w:rsidR="00244E11" w:rsidRPr="00365E80">
              <w:rPr>
                <w:iCs/>
              </w:rPr>
              <w:t> </w:t>
            </w:r>
            <w:r w:rsidR="00FC32CC" w:rsidRPr="00365E80">
              <w:rPr>
                <w:iCs/>
              </w:rPr>
              <w:t>pielikumā.</w:t>
            </w:r>
            <w:r w:rsidR="009B612E" w:rsidRPr="00365E80">
              <w:rPr>
                <w:iCs/>
              </w:rPr>
              <w:t xml:space="preserve"> </w:t>
            </w:r>
            <w:r w:rsidR="001E4E6A" w:rsidRPr="00365E80">
              <w:rPr>
                <w:rStyle w:val="Emphasis"/>
                <w:i w:val="0"/>
              </w:rPr>
              <w:t>N</w:t>
            </w:r>
            <w:r w:rsidR="0091339D" w:rsidRPr="00365E80">
              <w:rPr>
                <w:rStyle w:val="Emphasis"/>
                <w:i w:val="0"/>
              </w:rPr>
              <w:t xml:space="preserve">oteikumu </w:t>
            </w:r>
            <w:r w:rsidR="0091339D" w:rsidRPr="005F428A">
              <w:rPr>
                <w:rStyle w:val="Emphasis"/>
                <w:i w:val="0"/>
              </w:rPr>
              <w:t xml:space="preserve">projekta </w:t>
            </w:r>
            <w:r w:rsidR="007432D5">
              <w:rPr>
                <w:rStyle w:val="Emphasis"/>
                <w:b/>
                <w:i w:val="0"/>
              </w:rPr>
              <w:t>13</w:t>
            </w:r>
            <w:r w:rsidR="0091339D" w:rsidRPr="005F428A">
              <w:rPr>
                <w:rStyle w:val="Emphasis"/>
                <w:b/>
                <w:i w:val="0"/>
              </w:rPr>
              <w:t>. punkts</w:t>
            </w:r>
            <w:r w:rsidR="0091339D" w:rsidRPr="005F428A">
              <w:rPr>
                <w:rStyle w:val="Emphasis"/>
                <w:i w:val="0"/>
              </w:rPr>
              <w:t xml:space="preserve"> nosaka</w:t>
            </w:r>
            <w:r w:rsidR="0091339D" w:rsidRPr="00365E80">
              <w:rPr>
                <w:rStyle w:val="Emphasis"/>
                <w:i w:val="0"/>
              </w:rPr>
              <w:t xml:space="preserve">, ka vakcinācija pret gripu </w:t>
            </w:r>
            <w:r w:rsidR="00AD1C9A" w:rsidRPr="00365E80">
              <w:rPr>
                <w:rStyle w:val="Emphasis"/>
                <w:i w:val="0"/>
              </w:rPr>
              <w:t xml:space="preserve">vakcinācijas kalendāra ietvaros </w:t>
            </w:r>
            <w:r w:rsidR="00246B23" w:rsidRPr="00365E80">
              <w:rPr>
                <w:rStyle w:val="Emphasis"/>
                <w:i w:val="0"/>
              </w:rPr>
              <w:t>tiks uzsākta 2019.</w:t>
            </w:r>
            <w:r w:rsidR="00815275" w:rsidRPr="00365E80">
              <w:rPr>
                <w:rStyle w:val="Emphasis"/>
                <w:i w:val="0"/>
              </w:rPr>
              <w:t> </w:t>
            </w:r>
            <w:r w:rsidR="00246B23" w:rsidRPr="00365E80">
              <w:rPr>
                <w:rStyle w:val="Emphasis"/>
                <w:i w:val="0"/>
              </w:rPr>
              <w:t>gada rudenī, sākoties sezonālajai gripai</w:t>
            </w:r>
            <w:r w:rsidR="0091339D" w:rsidRPr="00365E80">
              <w:rPr>
                <w:rStyle w:val="Emphasis"/>
                <w:i w:val="0"/>
              </w:rPr>
              <w:t>.</w:t>
            </w:r>
          </w:p>
          <w:p w14:paraId="769161CD" w14:textId="4F9987E0" w:rsidR="000C1749" w:rsidRDefault="00276F79" w:rsidP="00EA55C5">
            <w:pPr>
              <w:jc w:val="both"/>
              <w:rPr>
                <w:rStyle w:val="Emphasis"/>
                <w:i w:val="0"/>
              </w:rPr>
            </w:pPr>
            <w:r>
              <w:rPr>
                <w:iCs/>
              </w:rPr>
              <w:t xml:space="preserve">Atbilstoši </w:t>
            </w:r>
            <w:r w:rsidR="00BE7DA3" w:rsidRPr="00BE7DA3">
              <w:rPr>
                <w:iCs/>
              </w:rPr>
              <w:t>Vesel</w:t>
            </w:r>
            <w:r w:rsidR="00BE7DA3">
              <w:rPr>
                <w:iCs/>
              </w:rPr>
              <w:t xml:space="preserve">ības aprūpes finansēšanas likumam un </w:t>
            </w:r>
            <w:r w:rsidR="00B745AA" w:rsidRPr="00B745AA">
              <w:rPr>
                <w:iCs/>
              </w:rPr>
              <w:t>Ministru kabineta 2018.</w:t>
            </w:r>
            <w:r w:rsidR="008F0C0D">
              <w:rPr>
                <w:iCs/>
              </w:rPr>
              <w:t> </w:t>
            </w:r>
            <w:r w:rsidR="00B745AA" w:rsidRPr="00B745AA">
              <w:rPr>
                <w:iCs/>
              </w:rPr>
              <w:t>gada 28.</w:t>
            </w:r>
            <w:r w:rsidR="008F0C0D">
              <w:rPr>
                <w:iCs/>
              </w:rPr>
              <w:t> </w:t>
            </w:r>
            <w:r w:rsidR="00B745AA" w:rsidRPr="00B745AA">
              <w:rPr>
                <w:iCs/>
              </w:rPr>
              <w:t>august</w:t>
            </w:r>
            <w:r w:rsidR="00B745AA">
              <w:rPr>
                <w:iCs/>
              </w:rPr>
              <w:t>a</w:t>
            </w:r>
            <w:r w:rsidR="00B745AA" w:rsidRPr="00B745AA">
              <w:rPr>
                <w:iCs/>
              </w:rPr>
              <w:t xml:space="preserve"> noteikumi</w:t>
            </w:r>
            <w:r w:rsidR="00B745AA">
              <w:rPr>
                <w:iCs/>
              </w:rPr>
              <w:t>em</w:t>
            </w:r>
            <w:r w:rsidR="00B745AA" w:rsidRPr="00B745AA">
              <w:rPr>
                <w:iCs/>
              </w:rPr>
              <w:t xml:space="preserve"> Nr.</w:t>
            </w:r>
            <w:r w:rsidR="008F0C0D">
              <w:rPr>
                <w:iCs/>
              </w:rPr>
              <w:t> </w:t>
            </w:r>
            <w:r w:rsidR="00B745AA" w:rsidRPr="00B745AA">
              <w:rPr>
                <w:iCs/>
              </w:rPr>
              <w:t>555</w:t>
            </w:r>
            <w:r w:rsidR="00B745AA">
              <w:rPr>
                <w:iCs/>
              </w:rPr>
              <w:t xml:space="preserve"> </w:t>
            </w:r>
            <w:r w:rsidR="00B745AA">
              <w:t>"</w:t>
            </w:r>
            <w:r w:rsidR="00B745AA" w:rsidRPr="00B745AA">
              <w:rPr>
                <w:iCs/>
              </w:rPr>
              <w:t>Veselības aprūpes pakalpojumu organizēšanas un samaksas kārtība</w:t>
            </w:r>
            <w:r w:rsidR="00B745AA">
              <w:t xml:space="preserve">" arī </w:t>
            </w:r>
            <w:r w:rsidRPr="00276F79">
              <w:rPr>
                <w:iCs/>
              </w:rPr>
              <w:t>patvēruma meklētāj</w:t>
            </w:r>
            <w:r w:rsidR="00B745AA">
              <w:rPr>
                <w:iCs/>
              </w:rPr>
              <w:t>u</w:t>
            </w:r>
            <w:r w:rsidRPr="00276F79">
              <w:rPr>
                <w:iCs/>
              </w:rPr>
              <w:t xml:space="preserve"> (</w:t>
            </w:r>
            <w:r w:rsidR="00B745AA">
              <w:rPr>
                <w:iCs/>
              </w:rPr>
              <w:t>gan bērni, gan</w:t>
            </w:r>
            <w:r w:rsidRPr="00276F79">
              <w:rPr>
                <w:iCs/>
              </w:rPr>
              <w:t xml:space="preserve"> pieaugušie) </w:t>
            </w:r>
            <w:r w:rsidR="00B745AA">
              <w:rPr>
                <w:iCs/>
              </w:rPr>
              <w:t xml:space="preserve">vakcinācija tiek nodrošināta </w:t>
            </w:r>
            <w:r w:rsidR="00B745AA" w:rsidRPr="00276F79">
              <w:rPr>
                <w:iCs/>
              </w:rPr>
              <w:t>pret</w:t>
            </w:r>
            <w:r w:rsidR="00B745AA">
              <w:rPr>
                <w:iCs/>
              </w:rPr>
              <w:t xml:space="preserve"> </w:t>
            </w:r>
            <w:r w:rsidR="00B745AA" w:rsidRPr="00365E80">
              <w:rPr>
                <w:iCs/>
              </w:rPr>
              <w:t>Vakcinācijas noteikumu</w:t>
            </w:r>
            <w:r w:rsidR="00B745AA">
              <w:rPr>
                <w:iCs/>
              </w:rPr>
              <w:t xml:space="preserve"> 3. punktā </w:t>
            </w:r>
            <w:r w:rsidR="00B745AA" w:rsidRPr="00276F79">
              <w:rPr>
                <w:iCs/>
              </w:rPr>
              <w:t>norādītajām infekcijas slimībām</w:t>
            </w:r>
            <w:r w:rsidR="004471F5">
              <w:rPr>
                <w:iCs/>
              </w:rPr>
              <w:t xml:space="preserve">, tādēļ šo personu grupu īpaši izcelt kā vakcinējamo grupu </w:t>
            </w:r>
            <w:r w:rsidR="006E41B0" w:rsidRPr="00365E80">
              <w:rPr>
                <w:iCs/>
              </w:rPr>
              <w:t>Vakcinācijas noteikumu</w:t>
            </w:r>
            <w:r w:rsidR="006E41B0">
              <w:rPr>
                <w:iCs/>
              </w:rPr>
              <w:t xml:space="preserve"> 3. punktā </w:t>
            </w:r>
            <w:r w:rsidR="004471F5">
              <w:rPr>
                <w:iCs/>
              </w:rPr>
              <w:t>nav nepieciešams.</w:t>
            </w:r>
          </w:p>
          <w:p w14:paraId="434E7D44" w14:textId="57687238" w:rsidR="000C1749" w:rsidRDefault="000C1749" w:rsidP="00EA55C5">
            <w:pPr>
              <w:jc w:val="both"/>
              <w:rPr>
                <w:rStyle w:val="Emphasis"/>
                <w:i w:val="0"/>
              </w:rPr>
            </w:pPr>
            <w:r>
              <w:rPr>
                <w:rStyle w:val="Emphasis"/>
                <w:i w:val="0"/>
              </w:rPr>
              <w:t xml:space="preserve">Ņemot vērā to, ka </w:t>
            </w:r>
            <w:r w:rsidR="00D212CC">
              <w:rPr>
                <w:rStyle w:val="Emphasis"/>
                <w:i w:val="0"/>
              </w:rPr>
              <w:t xml:space="preserve">Vakcinācijas noteikumu 3. punkts ir izteikts jaunā redakcijā, nepieciešams precizēt arī </w:t>
            </w:r>
            <w:r w:rsidR="0033638B">
              <w:rPr>
                <w:rStyle w:val="Emphasis"/>
                <w:i w:val="0"/>
              </w:rPr>
              <w:t>Vakcinācijas noteikumu 3.</w:t>
            </w:r>
            <w:r w:rsidR="0033638B" w:rsidRPr="0033638B">
              <w:rPr>
                <w:rStyle w:val="Emphasis"/>
                <w:i w:val="0"/>
                <w:vertAlign w:val="superscript"/>
              </w:rPr>
              <w:t>1</w:t>
            </w:r>
            <w:r w:rsidR="001E342F">
              <w:rPr>
                <w:rStyle w:val="Emphasis"/>
                <w:i w:val="0"/>
              </w:rPr>
              <w:t> punktu</w:t>
            </w:r>
            <w:r w:rsidR="0033638B">
              <w:rPr>
                <w:rStyle w:val="Emphasis"/>
                <w:i w:val="0"/>
              </w:rPr>
              <w:t>.</w:t>
            </w:r>
          </w:p>
          <w:p w14:paraId="66AA647F" w14:textId="77777777" w:rsidR="00FC6527" w:rsidRDefault="00FC6527" w:rsidP="00EA55C5">
            <w:pPr>
              <w:jc w:val="both"/>
            </w:pPr>
          </w:p>
          <w:p w14:paraId="6F2F23F1" w14:textId="06C4BBE6" w:rsidR="00F22F00" w:rsidRPr="00365E80" w:rsidRDefault="00262925" w:rsidP="00EA55C5">
            <w:pPr>
              <w:jc w:val="both"/>
            </w:pPr>
            <w:r>
              <w:t>Atbilstoši jaunākajām PVO un zinātniskajām publikācijām</w:t>
            </w:r>
            <w:r w:rsidR="006A7259">
              <w:t xml:space="preserve"> vakcinācijas absolūtās kontrindikācijas </w:t>
            </w:r>
            <w:r w:rsidR="00494DE6">
              <w:t>(</w:t>
            </w:r>
            <w:proofErr w:type="spellStart"/>
            <w:r w:rsidR="00494DE6">
              <w:t>anafilakse</w:t>
            </w:r>
            <w:proofErr w:type="spellEnd"/>
            <w:r w:rsidR="00494DE6">
              <w:t xml:space="preserve">) </w:t>
            </w:r>
            <w:r w:rsidR="006A7259">
              <w:t xml:space="preserve">gadījumā </w:t>
            </w:r>
            <w:r w:rsidR="00494DE6">
              <w:t>p</w:t>
            </w:r>
            <w:r w:rsidR="00295862">
              <w:t>ersona netiek vakcinēta, savukārt, ja ārsts konstatē kādu no relatīvajām kontrindikācijām vai citu piesardzību vakcinācijas veikšanai, t.sk. vakcīnas zāļu aprakstā norādītās, personas vakcinācija tiek atlikta.</w:t>
            </w:r>
            <w:r w:rsidR="001F70DC">
              <w:t xml:space="preserve"> </w:t>
            </w:r>
            <w:r w:rsidR="00B81A59">
              <w:t>T</w:t>
            </w:r>
            <w:r w:rsidR="001F70DC" w:rsidRPr="001F70DC">
              <w:t xml:space="preserve">as netiek uzskatīts par kontrindikāciju vakcinācijai nākotnē un šāda persona tiek vakcinēta saskaņā ar jaunākajām zinātniskajām un uz pierādījumiem balstītajām nacionālajām vai </w:t>
            </w:r>
            <w:r w:rsidR="00F03B00">
              <w:t>starptautiskajām rekomendācijām</w:t>
            </w:r>
            <w:r w:rsidR="001F70DC" w:rsidRPr="001F70DC">
              <w:t xml:space="preserve">. </w:t>
            </w:r>
            <w:r w:rsidR="00295862">
              <w:t xml:space="preserve"> </w:t>
            </w:r>
            <w:r w:rsidR="00F22F00">
              <w:t xml:space="preserve">Attiecīgi </w:t>
            </w:r>
            <w:r w:rsidR="00F22F00" w:rsidRPr="001E1C6F">
              <w:t>Imunizācijas valsts padome (</w:t>
            </w:r>
            <w:r w:rsidR="005153D0" w:rsidRPr="005153D0">
              <w:t>protokols Nr.</w:t>
            </w:r>
            <w:r w:rsidR="005153D0">
              <w:t> 52</w:t>
            </w:r>
            <w:r w:rsidR="00F22F00" w:rsidRPr="001E1C6F">
              <w:t xml:space="preserve">) lēma, ka nepieciešams pārskatīt esošo </w:t>
            </w:r>
            <w:r w:rsidR="00F22F00" w:rsidRPr="001E1C6F">
              <w:rPr>
                <w:rStyle w:val="Emphasis"/>
                <w:i w:val="0"/>
              </w:rPr>
              <w:t xml:space="preserve">Vakcinācijas noteikumu </w:t>
            </w:r>
            <w:r w:rsidR="00F22F00" w:rsidRPr="001E1C6F">
              <w:t xml:space="preserve">5. punkta redakciju, lai nepieļautu pārspīlētu </w:t>
            </w:r>
            <w:r w:rsidR="00F22F00" w:rsidRPr="00365E80">
              <w:t>kontrindikāciju noteikšanu vakcinācijai, tādēļ 5. punktam ir mainīta redakcija, novēršot konstatētās problēmas (noteikumu projekta</w:t>
            </w:r>
            <w:r w:rsidR="00F22F00" w:rsidRPr="00365E80">
              <w:rPr>
                <w:rStyle w:val="Emphasis"/>
                <w:i w:val="0"/>
              </w:rPr>
              <w:t xml:space="preserve"> </w:t>
            </w:r>
            <w:r w:rsidR="00F03B00">
              <w:rPr>
                <w:rStyle w:val="Emphasis"/>
                <w:b/>
                <w:i w:val="0"/>
              </w:rPr>
              <w:t>2. </w:t>
            </w:r>
            <w:r w:rsidR="00F22F00" w:rsidRPr="00365E80">
              <w:rPr>
                <w:rStyle w:val="Emphasis"/>
                <w:b/>
                <w:i w:val="0"/>
              </w:rPr>
              <w:t>punkts</w:t>
            </w:r>
            <w:r w:rsidR="00F22F00" w:rsidRPr="00365E80">
              <w:t>).</w:t>
            </w:r>
          </w:p>
          <w:p w14:paraId="1848CE94" w14:textId="29A6630A" w:rsidR="006A7259" w:rsidRDefault="00295862" w:rsidP="00EA55C5">
            <w:pPr>
              <w:jc w:val="both"/>
            </w:pPr>
            <w:r w:rsidRPr="00365E80">
              <w:t xml:space="preserve">Jaunāko zinātnisko un uz pierādījumiem balstīto starptautisko rekomendāciju piemēri ir atrodami PVO mājaslapā, Apvienotās karalistes </w:t>
            </w:r>
            <w:proofErr w:type="spellStart"/>
            <w:r w:rsidRPr="00365E80">
              <w:rPr>
                <w:i/>
                <w:color w:val="0B0C0C"/>
                <w:shd w:val="clear" w:color="auto" w:fill="FFFFFF"/>
              </w:rPr>
              <w:t>Public</w:t>
            </w:r>
            <w:proofErr w:type="spellEnd"/>
            <w:r w:rsidRPr="00365E80">
              <w:rPr>
                <w:i/>
                <w:color w:val="0B0C0C"/>
                <w:shd w:val="clear" w:color="auto" w:fill="FFFFFF"/>
              </w:rPr>
              <w:t xml:space="preserve"> Health</w:t>
            </w:r>
            <w:r w:rsidR="00494DE6" w:rsidRPr="00365E80">
              <w:rPr>
                <w:i/>
                <w:color w:val="0B0C0C"/>
                <w:shd w:val="clear" w:color="auto" w:fill="FFFFFF"/>
              </w:rPr>
              <w:t xml:space="preserve"> </w:t>
            </w:r>
            <w:r w:rsidRPr="00365E80">
              <w:rPr>
                <w:i/>
                <w:color w:val="0B0C0C"/>
                <w:shd w:val="clear" w:color="auto" w:fill="FFFFFF"/>
              </w:rPr>
              <w:t>England</w:t>
            </w:r>
            <w:r w:rsidRPr="00365E80">
              <w:t xml:space="preserve"> mājaslapā, savukārt nacionālās </w:t>
            </w:r>
            <w:r w:rsidRPr="00365E80">
              <w:lastRenderedPageBreak/>
              <w:t>rekomendācijas par nevēlam</w:t>
            </w:r>
            <w:r w:rsidR="009103A1" w:rsidRPr="00365E80">
              <w:t>iem</w:t>
            </w:r>
            <w:r w:rsidRPr="00365E80">
              <w:t xml:space="preserve"> notikum</w:t>
            </w:r>
            <w:r w:rsidR="009103A1" w:rsidRPr="00365E80">
              <w:t>iem</w:t>
            </w:r>
            <w:r w:rsidRPr="00365E80">
              <w:t xml:space="preserve"> pēc vakcinācijas Latvijas speciālisti pašreiz izstrādā.</w:t>
            </w:r>
            <w:r w:rsidR="00F22F00" w:rsidRPr="00365E80">
              <w:t xml:space="preserve"> </w:t>
            </w:r>
            <w:r w:rsidR="00983895">
              <w:t>Plānots, ka t</w:t>
            </w:r>
            <w:r w:rsidR="00690C69" w:rsidRPr="00365E80">
              <w:t>ās būs</w:t>
            </w:r>
            <w:r w:rsidR="00983895">
              <w:t xml:space="preserve"> apstiprinātas ar veselības ministra rīkojumu un būs</w:t>
            </w:r>
            <w:r w:rsidR="00690C69" w:rsidRPr="00365E80">
              <w:t xml:space="preserve"> pieejamas </w:t>
            </w:r>
            <w:r w:rsidR="00983895">
              <w:t xml:space="preserve">VM un </w:t>
            </w:r>
            <w:r w:rsidR="00690C69" w:rsidRPr="00365E80">
              <w:t>SPKC mājaslapā un tās atvieglos ārstniecības personu darbu.</w:t>
            </w:r>
          </w:p>
          <w:p w14:paraId="6F324E26" w14:textId="77ECE7A3" w:rsidR="00C56F39" w:rsidRDefault="00C56F39" w:rsidP="00EA55C5">
            <w:pPr>
              <w:jc w:val="both"/>
            </w:pPr>
          </w:p>
          <w:p w14:paraId="567F3E57" w14:textId="2B01A3C8" w:rsidR="00C56F39" w:rsidRPr="00365E80" w:rsidRDefault="00C56F39" w:rsidP="00EA55C5">
            <w:pPr>
              <w:jc w:val="both"/>
            </w:pPr>
            <w:r w:rsidRPr="00C56F39">
              <w:t>Atbilstoši Epidemioloģiskās drošības likumam (grozījums pieņemts 19.04.2018.) vārdi "Imunizācijas valsts programm</w:t>
            </w:r>
            <w:r>
              <w:t>a</w:t>
            </w:r>
            <w:r w:rsidRPr="00C56F39">
              <w:t>" ir aizstāti ar vārdiem "imunizācijas valsts politik</w:t>
            </w:r>
            <w:r>
              <w:t>a</w:t>
            </w:r>
            <w:r w:rsidRPr="00C56F39">
              <w:t xml:space="preserve">" (noteikumu projekta </w:t>
            </w:r>
            <w:r w:rsidRPr="00C56F39">
              <w:rPr>
                <w:b/>
              </w:rPr>
              <w:t>3.</w:t>
            </w:r>
            <w:r w:rsidR="001E05EC">
              <w:rPr>
                <w:b/>
              </w:rPr>
              <w:t> </w:t>
            </w:r>
            <w:r w:rsidRPr="00C56F39">
              <w:rPr>
                <w:b/>
              </w:rPr>
              <w:t>punkts</w:t>
            </w:r>
            <w:r w:rsidRPr="00C56F39">
              <w:t xml:space="preserve">). </w:t>
            </w:r>
          </w:p>
          <w:p w14:paraId="16B71B3E" w14:textId="77777777" w:rsidR="00C032A0" w:rsidRPr="00365E80" w:rsidRDefault="00C032A0" w:rsidP="00EA55C5">
            <w:pPr>
              <w:jc w:val="both"/>
            </w:pPr>
          </w:p>
          <w:p w14:paraId="60489345" w14:textId="136CAF89" w:rsidR="0032125A" w:rsidRPr="00365E80" w:rsidRDefault="00615817" w:rsidP="0032125A">
            <w:pPr>
              <w:jc w:val="both"/>
            </w:pPr>
            <w:r w:rsidRPr="007848A3">
              <w:t xml:space="preserve">Situācijā, kad </w:t>
            </w:r>
            <w:r w:rsidRPr="00A1320B">
              <w:t xml:space="preserve">valstī </w:t>
            </w:r>
            <w:r w:rsidR="00EE4854">
              <w:t>201</w:t>
            </w:r>
            <w:r w:rsidR="007C2792">
              <w:t>5</w:t>
            </w:r>
            <w:r w:rsidR="00EE4854">
              <w:t xml:space="preserve">. gadā </w:t>
            </w:r>
            <w:r w:rsidR="00861CEB" w:rsidRPr="00A1320B">
              <w:t>bija</w:t>
            </w:r>
            <w:r w:rsidRPr="00A1320B">
              <w:t xml:space="preserve"> </w:t>
            </w:r>
            <w:r w:rsidR="00861CEB" w:rsidRPr="00A1320B">
              <w:t>izveidojies</w:t>
            </w:r>
            <w:r w:rsidRPr="00A1320B">
              <w:t xml:space="preserve"> tuberkulozes </w:t>
            </w:r>
            <w:r w:rsidR="0073675E" w:rsidRPr="00A1320B">
              <w:t xml:space="preserve">vakcīnas </w:t>
            </w:r>
            <w:r w:rsidRPr="00A1320B">
              <w:t xml:space="preserve">(BCG) </w:t>
            </w:r>
            <w:r w:rsidR="0073675E" w:rsidRPr="00A1320B">
              <w:t xml:space="preserve">trūkums </w:t>
            </w:r>
            <w:r w:rsidRPr="00A1320B">
              <w:t>un tika meklēti iespējamie</w:t>
            </w:r>
            <w:r w:rsidR="00E015CF" w:rsidRPr="00A1320B">
              <w:t xml:space="preserve"> risinājumi</w:t>
            </w:r>
            <w:r w:rsidRPr="00A1320B">
              <w:t xml:space="preserve"> situācijas uzlabošana</w:t>
            </w:r>
            <w:r w:rsidR="00E015CF" w:rsidRPr="00A1320B">
              <w:t>i</w:t>
            </w:r>
            <w:r w:rsidRPr="00A1320B">
              <w:t xml:space="preserve">, tika konstatēts, ka vakcinācijas iestādēs </w:t>
            </w:r>
            <w:r w:rsidR="002B2F57" w:rsidRPr="00A1320B">
              <w:t>mēdz būt</w:t>
            </w:r>
            <w:r w:rsidRPr="00A1320B">
              <w:t xml:space="preserve"> gadījumi, kad</w:t>
            </w:r>
            <w:r w:rsidR="00646F99" w:rsidRPr="00A1320B">
              <w:t xml:space="preserve"> dažādu iemeslu dēļ</w:t>
            </w:r>
            <w:r w:rsidRPr="00A1320B">
              <w:t xml:space="preserve"> tiek norakstītas par valsts budžeta līdzekļiem iegādātās vakcīnas</w:t>
            </w:r>
            <w:r w:rsidR="00B64EC7">
              <w:t xml:space="preserve">. Vienlaikus </w:t>
            </w:r>
            <w:r w:rsidR="00B64EC7" w:rsidRPr="001A314B">
              <w:t>Vakcinācijas noteikumu 10.1.</w:t>
            </w:r>
            <w:r w:rsidR="00B64EC7">
              <w:t> </w:t>
            </w:r>
            <w:r w:rsidR="00B64EC7" w:rsidRPr="001A314B">
              <w:t>apakšpunkta pašreizējā redakcija</w:t>
            </w:r>
            <w:r w:rsidR="009D3E4D">
              <w:t xml:space="preserve"> nenosaka precīzas prasības vakcinācijas iestādēm uzturēt </w:t>
            </w:r>
            <w:r w:rsidR="00B64EC7" w:rsidRPr="001A314B">
              <w:t>vakcīnu drošuma krājum</w:t>
            </w:r>
            <w:r w:rsidR="009D3E4D">
              <w:t>us</w:t>
            </w:r>
            <w:r w:rsidR="00B64EC7" w:rsidRPr="001A314B">
              <w:t xml:space="preserve">, kas nodrošinātu vakcinācijas nepārtrauktību, jo nelielās vakcinācijas iestādēs mēdz būt ievērojamas vakcinācijas </w:t>
            </w:r>
            <w:r w:rsidR="00B64EC7">
              <w:t>svārstības.</w:t>
            </w:r>
            <w:r w:rsidR="00B36BE8">
              <w:t xml:space="preserve"> T</w:t>
            </w:r>
            <w:r w:rsidR="00CE3117" w:rsidRPr="00A1320B">
              <w:t>ā</w:t>
            </w:r>
            <w:r w:rsidR="00D20D7D" w:rsidRPr="00A1320B">
              <w:t>dēļ</w:t>
            </w:r>
            <w:r w:rsidRPr="00A1320B">
              <w:t xml:space="preserve"> tika nolemts, ka </w:t>
            </w:r>
            <w:r w:rsidRPr="00365E80">
              <w:t>nepieciešams stiprināt pasākumus racionālas vakcīnu izlietošanas panākšanai</w:t>
            </w:r>
            <w:r w:rsidR="00CE3117" w:rsidRPr="00365E80">
              <w:t xml:space="preserve"> valstiskā līmenī</w:t>
            </w:r>
            <w:r w:rsidRPr="00365E80">
              <w:t>.</w:t>
            </w:r>
            <w:r w:rsidR="003172B7" w:rsidRPr="00365E80">
              <w:t xml:space="preserve"> Noteikumu projekta</w:t>
            </w:r>
            <w:r w:rsidR="003172B7" w:rsidRPr="00365E80">
              <w:rPr>
                <w:b/>
              </w:rPr>
              <w:t xml:space="preserve"> </w:t>
            </w:r>
            <w:r w:rsidR="001E05EC">
              <w:rPr>
                <w:b/>
              </w:rPr>
              <w:t>4</w:t>
            </w:r>
            <w:r w:rsidR="003172B7" w:rsidRPr="00365E80">
              <w:rPr>
                <w:b/>
              </w:rPr>
              <w:t>. punktā</w:t>
            </w:r>
            <w:r w:rsidR="003172B7" w:rsidRPr="00365E80">
              <w:t xml:space="preserve"> tiks reglamentēta prasība vakcinācijas iestādēm aprēķināt maksimālo vakcīnu </w:t>
            </w:r>
            <w:r w:rsidR="00620EFB" w:rsidRPr="00365E80">
              <w:t>pasūtījumu</w:t>
            </w:r>
            <w:r w:rsidR="003172B7" w:rsidRPr="00365E80">
              <w:t>, kas veicinās atbilstošu vakcīnu uzglabāšanu un sekmēs vakcīnu racionālu pasūtīšanu un izlietošanu.</w:t>
            </w:r>
            <w:r w:rsidR="0032125A" w:rsidRPr="00365E80">
              <w:t xml:space="preserve"> </w:t>
            </w:r>
          </w:p>
          <w:p w14:paraId="493C1E74" w14:textId="77777777" w:rsidR="00C72604" w:rsidRPr="00365E80" w:rsidRDefault="00C72604" w:rsidP="0032125A">
            <w:pPr>
              <w:jc w:val="both"/>
            </w:pPr>
          </w:p>
          <w:p w14:paraId="0253E355" w14:textId="2EB95F71" w:rsidR="00121E60" w:rsidRDefault="00056FBF" w:rsidP="00EA55C5">
            <w:pPr>
              <w:jc w:val="both"/>
            </w:pPr>
            <w:r w:rsidRPr="00365E80">
              <w:t xml:space="preserve">Vakcinācijas iestādēm nav nekādas atbildības par nelietderīgu vakcīnu izlietojumu, tādēļ nevar izslēgt </w:t>
            </w:r>
            <w:r w:rsidR="00246973" w:rsidRPr="00365E80">
              <w:t xml:space="preserve">nesaimniecisku vakcīnu norakstīšanu, kas saistīta ar </w:t>
            </w:r>
            <w:r w:rsidR="00980CD3" w:rsidRPr="00365E80">
              <w:t>nepareizu vakcīnu pasūtījumu plānošanu un krājumu uzturēšanu</w:t>
            </w:r>
            <w:r w:rsidR="00246973" w:rsidRPr="00365E80">
              <w:t xml:space="preserve">. </w:t>
            </w:r>
            <w:r w:rsidR="00B970B8" w:rsidRPr="00365E80">
              <w:t>Lai to novērstu</w:t>
            </w:r>
            <w:r w:rsidR="006E575A" w:rsidRPr="00365E80">
              <w:t>,</w:t>
            </w:r>
            <w:r w:rsidR="00B970B8" w:rsidRPr="00365E80">
              <w:t xml:space="preserve"> n</w:t>
            </w:r>
            <w:r w:rsidR="002E49A5" w:rsidRPr="00365E80">
              <w:t>oteikumu projekta</w:t>
            </w:r>
            <w:r w:rsidR="00017128" w:rsidRPr="00365E80">
              <w:t xml:space="preserve"> </w:t>
            </w:r>
            <w:r w:rsidR="00774798">
              <w:rPr>
                <w:b/>
              </w:rPr>
              <w:t>5</w:t>
            </w:r>
            <w:r w:rsidR="00435F86" w:rsidRPr="00365E80">
              <w:rPr>
                <w:b/>
              </w:rPr>
              <w:t>. </w:t>
            </w:r>
            <w:r w:rsidR="00017128" w:rsidRPr="00365E80">
              <w:rPr>
                <w:b/>
              </w:rPr>
              <w:t>punkt</w:t>
            </w:r>
            <w:r w:rsidR="00CF3A3B" w:rsidRPr="00365E80">
              <w:rPr>
                <w:b/>
              </w:rPr>
              <w:t>ā</w:t>
            </w:r>
            <w:r w:rsidR="00017128" w:rsidRPr="00365E80">
              <w:t xml:space="preserve"> </w:t>
            </w:r>
            <w:r w:rsidR="00CF3A3B" w:rsidRPr="00365E80">
              <w:t>tiek noteikta atbildība vakcīnu krājumu vadības nodrošināšanā</w:t>
            </w:r>
            <w:r w:rsidR="00CF3A3B" w:rsidRPr="00A1320B">
              <w:t xml:space="preserve"> (vakcīnu </w:t>
            </w:r>
            <w:r w:rsidR="00CF3A3B" w:rsidRPr="006004B7">
              <w:t>loģistika)</w:t>
            </w:r>
            <w:r w:rsidR="00CF3A3B">
              <w:t xml:space="preserve"> – </w:t>
            </w:r>
            <w:r w:rsidR="004E78E5" w:rsidRPr="00A1320B">
              <w:t>racionāl</w:t>
            </w:r>
            <w:r w:rsidR="00CF3A3B">
              <w:t>a</w:t>
            </w:r>
            <w:r w:rsidR="004E78E5" w:rsidRPr="00A1320B">
              <w:t xml:space="preserve"> vakcīnu</w:t>
            </w:r>
            <w:r w:rsidR="004E78E5" w:rsidRPr="002D744F">
              <w:t xml:space="preserve"> </w:t>
            </w:r>
            <w:r w:rsidR="004E78E5" w:rsidRPr="00DD1F3C">
              <w:t>plānošan</w:t>
            </w:r>
            <w:r w:rsidR="00CF3A3B" w:rsidRPr="00DD1F3C">
              <w:t>a</w:t>
            </w:r>
            <w:r w:rsidR="00380FBF" w:rsidRPr="00DD1F3C">
              <w:t xml:space="preserve"> (piemēram, patēriņa apjoma plānošana)</w:t>
            </w:r>
            <w:r w:rsidR="006C126E" w:rsidRPr="00DD1F3C">
              <w:t>,</w:t>
            </w:r>
            <w:r w:rsidR="004E78E5" w:rsidRPr="002D744F">
              <w:t xml:space="preserve"> pasūtī</w:t>
            </w:r>
            <w:r w:rsidR="00CF3A3B">
              <w:t>šana</w:t>
            </w:r>
            <w:r w:rsidR="006C126E" w:rsidRPr="002D744F">
              <w:t>,</w:t>
            </w:r>
            <w:r w:rsidR="004E78E5" w:rsidRPr="002D744F">
              <w:t xml:space="preserve"> </w:t>
            </w:r>
            <w:r w:rsidR="004E78E5" w:rsidRPr="00A1320B">
              <w:t>vakcīnu krājumu uzturēšan</w:t>
            </w:r>
            <w:r w:rsidR="00CF3A3B">
              <w:t xml:space="preserve">a, </w:t>
            </w:r>
            <w:r w:rsidR="00BC146A" w:rsidRPr="00BC146A">
              <w:t>atbilstoš</w:t>
            </w:r>
            <w:r w:rsidR="00BC146A">
              <w:t>a</w:t>
            </w:r>
            <w:r w:rsidR="00BC146A" w:rsidRPr="00BC146A">
              <w:t xml:space="preserve"> uzglabāšan</w:t>
            </w:r>
            <w:r w:rsidR="00BC146A">
              <w:t>a,</w:t>
            </w:r>
            <w:r w:rsidR="00BC146A" w:rsidRPr="00BC146A">
              <w:t xml:space="preserve"> </w:t>
            </w:r>
            <w:r w:rsidR="004E78E5" w:rsidRPr="00A1320B">
              <w:t>izlietojum</w:t>
            </w:r>
            <w:r w:rsidR="00CF3A3B">
              <w:t>s</w:t>
            </w:r>
            <w:r w:rsidR="008C3D58" w:rsidRPr="00A1320B">
              <w:t>.</w:t>
            </w:r>
            <w:r w:rsidR="000A2896" w:rsidRPr="00A1320B">
              <w:t xml:space="preserve"> </w:t>
            </w:r>
            <w:r w:rsidR="00080B7C">
              <w:t>Vienlaikus ir paredzēts norīkot atbildīgo personu, kura par to būs atbildīga.</w:t>
            </w:r>
          </w:p>
          <w:p w14:paraId="6744EBD9" w14:textId="121B08FB" w:rsidR="00121E60" w:rsidRDefault="005D207C" w:rsidP="00F87A51">
            <w:pPr>
              <w:jc w:val="both"/>
            </w:pPr>
            <w:r>
              <w:t>V</w:t>
            </w:r>
            <w:r w:rsidR="00080B7C">
              <w:t xml:space="preserve">akcinācijas iestādei ir jāatbild par vakcīnu uzglabāšanu, jo neievērojot vakcīnu uzglabāšanas temperatūru, tās kļūst </w:t>
            </w:r>
            <w:r w:rsidR="006C2210">
              <w:t xml:space="preserve">nederīgas lietošanai. </w:t>
            </w:r>
            <w:r w:rsidR="00D21741" w:rsidRPr="00D21741">
              <w:t>Atbildīg</w:t>
            </w:r>
            <w:r w:rsidR="00D21741">
              <w:t>ajai</w:t>
            </w:r>
            <w:r w:rsidR="00D21741" w:rsidRPr="00D21741">
              <w:t xml:space="preserve"> persona</w:t>
            </w:r>
            <w:r w:rsidR="00D21741">
              <w:t>i ir</w:t>
            </w:r>
            <w:r w:rsidR="00D21741" w:rsidRPr="00D21741">
              <w:t xml:space="preserve"> </w:t>
            </w:r>
            <w:r w:rsidR="00D21741">
              <w:t>jā</w:t>
            </w:r>
            <w:r w:rsidR="00D21741" w:rsidRPr="00D21741">
              <w:t xml:space="preserve">kontrolē, lai maksimālo </w:t>
            </w:r>
            <w:proofErr w:type="spellStart"/>
            <w:r w:rsidR="00D21741" w:rsidRPr="00D21741">
              <w:t>pasūtāmo</w:t>
            </w:r>
            <w:proofErr w:type="spellEnd"/>
            <w:r w:rsidR="00D21741" w:rsidRPr="00D21741">
              <w:t xml:space="preserve"> un uzglabājamo vakcīnu iepakojumu skaits nepārsniegtu iestādes ledusskapja izmantojamo apjomu vakcīnu uzglabāšanai un atbilstu </w:t>
            </w:r>
            <w:r w:rsidR="00D21741">
              <w:t>Vakcinācijas</w:t>
            </w:r>
            <w:r w:rsidR="00D21741" w:rsidRPr="00D21741">
              <w:t xml:space="preserve"> noteikumu 18.</w:t>
            </w:r>
            <w:r w:rsidR="00D21741">
              <w:t> punkta prasībām.</w:t>
            </w:r>
            <w:r w:rsidR="00D21741" w:rsidRPr="00D21741">
              <w:t xml:space="preserve"> </w:t>
            </w:r>
            <w:r w:rsidR="00471823">
              <w:t>L</w:t>
            </w:r>
            <w:r w:rsidR="0096468F">
              <w:t>edusskapja izmantojamais apjoms</w:t>
            </w:r>
            <w:r w:rsidR="0020022D">
              <w:t xml:space="preserve"> (aptuvena vērtība, kuru izmanto plānošanas nolūkos, lai nepārvērtētu kopējo pieejamo vakcīnu apjomu vakcīnu </w:t>
            </w:r>
            <w:r w:rsidR="0020022D">
              <w:lastRenderedPageBreak/>
              <w:t>uzglabāšanai</w:t>
            </w:r>
            <w:r w:rsidR="0020022D">
              <w:rPr>
                <w:rStyle w:val="FootnoteReference"/>
              </w:rPr>
              <w:footnoteReference w:id="2"/>
            </w:r>
            <w:r w:rsidR="0020022D">
              <w:t>)</w:t>
            </w:r>
            <w:r w:rsidR="0096468F">
              <w:t xml:space="preserve"> </w:t>
            </w:r>
            <w:r w:rsidR="00B113B5">
              <w:t xml:space="preserve">vakcīnu pareizai uzglabāšanai </w:t>
            </w:r>
            <w:r w:rsidR="0096468F">
              <w:t xml:space="preserve">sastāda tikai aptuveni 30 % no </w:t>
            </w:r>
            <w:r w:rsidR="00B113B5">
              <w:t>visas ledusskapja ietilpības</w:t>
            </w:r>
            <w:r w:rsidR="006C2210">
              <w:t>.</w:t>
            </w:r>
          </w:p>
          <w:p w14:paraId="1D57D451" w14:textId="6732FE24" w:rsidR="005C542F" w:rsidRDefault="005C542F" w:rsidP="00B4198D">
            <w:pPr>
              <w:jc w:val="both"/>
            </w:pPr>
          </w:p>
          <w:p w14:paraId="319B459A" w14:textId="6BCCC466" w:rsidR="00664203" w:rsidRPr="00365E80" w:rsidRDefault="005C7C61" w:rsidP="005A08DE">
            <w:pPr>
              <w:jc w:val="both"/>
            </w:pPr>
            <w:r>
              <w:t xml:space="preserve">Vakcīnu uzglabāšanā ir stingri jāievēro ražotāja noteiktais uzglabāšanas temperatūras režīms, jo, uzglabājot vakcīnas neatbilstošā temperatūrā, </w:t>
            </w:r>
            <w:r w:rsidR="00BD6792">
              <w:t>tās tiek bojātas, samazinās to efektivitāte</w:t>
            </w:r>
            <w:r w:rsidR="00906D9C">
              <w:t xml:space="preserve">, </w:t>
            </w:r>
            <w:r w:rsidR="00906D9C" w:rsidRPr="00906D9C">
              <w:t xml:space="preserve">kas var  </w:t>
            </w:r>
            <w:r w:rsidR="00906D9C">
              <w:t>novest pie</w:t>
            </w:r>
            <w:r w:rsidR="00906D9C" w:rsidRPr="00906D9C">
              <w:t xml:space="preserve"> neefektīv</w:t>
            </w:r>
            <w:r w:rsidR="00906D9C">
              <w:t>as</w:t>
            </w:r>
            <w:r w:rsidR="00906D9C" w:rsidRPr="00906D9C">
              <w:t xml:space="preserve"> vakcinācij</w:t>
            </w:r>
            <w:r w:rsidR="00906D9C">
              <w:t>as</w:t>
            </w:r>
            <w:r w:rsidR="00906D9C" w:rsidRPr="00906D9C">
              <w:t>, neuzticīb</w:t>
            </w:r>
            <w:r w:rsidR="00906D9C">
              <w:t>as</w:t>
            </w:r>
            <w:r w:rsidR="00906D9C" w:rsidRPr="00906D9C">
              <w:t xml:space="preserve"> imunizācijas politikai, vakcinācijas aptveres kritum</w:t>
            </w:r>
            <w:r w:rsidR="00906D9C">
              <w:t>am</w:t>
            </w:r>
            <w:r w:rsidR="00906D9C" w:rsidRPr="00906D9C">
              <w:t xml:space="preserve"> un lieliem ekonomiskajiem zaudējumiem saistībā ar vakcīnu norakstīšanu un infekcijas slimību izplatīšanos.</w:t>
            </w:r>
            <w:r w:rsidR="007170E8">
              <w:t xml:space="preserve"> Piemēram, PVO savā novērtēšanās ziņojumā par cilvēka papilomas vīrusa vakcīnas </w:t>
            </w:r>
            <w:r w:rsidR="007170E8" w:rsidRPr="001C78F7">
              <w:t>ieviešanu</w:t>
            </w:r>
            <w:r w:rsidR="000E51F3">
              <w:t xml:space="preserve"> Latvijā</w:t>
            </w:r>
            <w:r w:rsidR="007170E8" w:rsidRPr="001C78F7">
              <w:t xml:space="preserve"> (</w:t>
            </w:r>
            <w:r w:rsidR="00104F8D" w:rsidRPr="001C78F7">
              <w:rPr>
                <w:i/>
              </w:rPr>
              <w:t xml:space="preserve">HPV </w:t>
            </w:r>
            <w:proofErr w:type="spellStart"/>
            <w:r w:rsidR="00104F8D" w:rsidRPr="001C78F7">
              <w:rPr>
                <w:i/>
              </w:rPr>
              <w:t>Vaccine</w:t>
            </w:r>
            <w:proofErr w:type="spellEnd"/>
            <w:r w:rsidR="00104F8D" w:rsidRPr="001C78F7">
              <w:rPr>
                <w:i/>
              </w:rPr>
              <w:t>: Post-</w:t>
            </w:r>
            <w:proofErr w:type="spellStart"/>
            <w:r w:rsidR="00104F8D" w:rsidRPr="001C78F7">
              <w:rPr>
                <w:i/>
              </w:rPr>
              <w:t>Introduction</w:t>
            </w:r>
            <w:proofErr w:type="spellEnd"/>
            <w:r w:rsidR="00104F8D" w:rsidRPr="001C78F7">
              <w:rPr>
                <w:i/>
              </w:rPr>
              <w:t xml:space="preserve"> </w:t>
            </w:r>
            <w:proofErr w:type="spellStart"/>
            <w:r w:rsidR="00104F8D" w:rsidRPr="001C78F7">
              <w:rPr>
                <w:i/>
              </w:rPr>
              <w:t>Evaluation</w:t>
            </w:r>
            <w:proofErr w:type="spellEnd"/>
            <w:r w:rsidR="00104F8D" w:rsidRPr="001C78F7">
              <w:t>; 2012</w:t>
            </w:r>
            <w:r w:rsidR="007170E8" w:rsidRPr="001C78F7">
              <w:t>)</w:t>
            </w:r>
            <w:r w:rsidR="001E798A" w:rsidRPr="001C78F7">
              <w:t xml:space="preserve"> </w:t>
            </w:r>
            <w:r w:rsidR="00104F8D" w:rsidRPr="001C78F7">
              <w:t xml:space="preserve">norāda uz </w:t>
            </w:r>
            <w:r w:rsidR="0068597D" w:rsidRPr="001C78F7">
              <w:t xml:space="preserve">to, ka </w:t>
            </w:r>
            <w:r w:rsidR="004136ED" w:rsidRPr="001C78F7">
              <w:t xml:space="preserve">apmeklētajā </w:t>
            </w:r>
            <w:r w:rsidR="0068597D" w:rsidRPr="001C78F7">
              <w:t>vakcinācijas iestādē</w:t>
            </w:r>
            <w:r w:rsidR="00664203" w:rsidRPr="001C78F7">
              <w:t xml:space="preserve"> netiek </w:t>
            </w:r>
            <w:proofErr w:type="spellStart"/>
            <w:r w:rsidR="00664203" w:rsidRPr="001C78F7">
              <w:t>mon</w:t>
            </w:r>
            <w:r w:rsidR="00664203">
              <w:t>itorēta</w:t>
            </w:r>
            <w:proofErr w:type="spellEnd"/>
            <w:r w:rsidR="00664203" w:rsidRPr="0068597D">
              <w:t xml:space="preserve"> ledusskapj</w:t>
            </w:r>
            <w:r w:rsidR="00664203">
              <w:t>u</w:t>
            </w:r>
            <w:r w:rsidR="00664203" w:rsidRPr="0068597D">
              <w:t xml:space="preserve"> darbības pārtraukšan</w:t>
            </w:r>
            <w:r w:rsidR="004136ED">
              <w:t>ā</w:t>
            </w:r>
            <w:r w:rsidR="00664203" w:rsidRPr="0068597D">
              <w:t>s</w:t>
            </w:r>
            <w:r w:rsidR="004136ED">
              <w:t xml:space="preserve">, jo </w:t>
            </w:r>
            <w:r w:rsidR="004136ED" w:rsidRPr="00365E80">
              <w:t>vakcīnu marķējums liecina par to</w:t>
            </w:r>
            <w:r w:rsidR="006A5C70" w:rsidRPr="00365E80">
              <w:t xml:space="preserve"> iepriekšēju</w:t>
            </w:r>
            <w:r w:rsidR="004136ED" w:rsidRPr="00365E80">
              <w:t xml:space="preserve"> sasaldēšanu.</w:t>
            </w:r>
          </w:p>
          <w:p w14:paraId="3F7CB15F" w14:textId="097B3546" w:rsidR="00627AE8" w:rsidRDefault="001E798A" w:rsidP="005A08DE">
            <w:pPr>
              <w:jc w:val="both"/>
            </w:pPr>
            <w:r w:rsidRPr="00365E80">
              <w:t>PVO sniedz detalizētas rekomendācijas vakcīnu aukstuma ķēdes nodrošināšanai</w:t>
            </w:r>
            <w:r w:rsidRPr="00365E80">
              <w:rPr>
                <w:rStyle w:val="FootnoteReference"/>
              </w:rPr>
              <w:footnoteReference w:id="3"/>
            </w:r>
            <w:r w:rsidR="00057BA5">
              <w:t xml:space="preserve">, piemēram, </w:t>
            </w:r>
            <w:r w:rsidR="00364D99">
              <w:t>v</w:t>
            </w:r>
            <w:r w:rsidR="00364D99" w:rsidRPr="00364D99">
              <w:t>akcīnas uzglabā atsevišķā ledusskapī, nodrošinot vakcīnu iepak</w:t>
            </w:r>
            <w:r w:rsidR="00364D99">
              <w:t>ojumiem brīvu gaisa cirkulāciju;</w:t>
            </w:r>
            <w:r w:rsidR="00364D99" w:rsidRPr="00364D99">
              <w:t xml:space="preserve"> </w:t>
            </w:r>
            <w:r w:rsidR="00364D99">
              <w:t>v</w:t>
            </w:r>
            <w:r w:rsidR="00364D99" w:rsidRPr="00364D99">
              <w:t>akcīnas neuzglabā ledusskapja durvju plauktos un ledusskapja apakšējā nodalījumā</w:t>
            </w:r>
            <w:r w:rsidR="00364D99">
              <w:t>;</w:t>
            </w:r>
            <w:r w:rsidR="00364D99" w:rsidRPr="00364D99">
              <w:t xml:space="preserve"> </w:t>
            </w:r>
            <w:r w:rsidR="00364D99">
              <w:t>l</w:t>
            </w:r>
            <w:r w:rsidR="00364D99" w:rsidRPr="00364D99">
              <w:t xml:space="preserve">edusskapja iekšējās temperatūras stabilizācijai ledusskapja apakšējā nodalījumā ievieto </w:t>
            </w:r>
            <w:proofErr w:type="spellStart"/>
            <w:r w:rsidR="00364D99" w:rsidRPr="00364D99">
              <w:t>aukstumelementus</w:t>
            </w:r>
            <w:proofErr w:type="spellEnd"/>
            <w:r w:rsidR="00364D99" w:rsidRPr="00364D99">
              <w:t xml:space="preserve"> vai slēgtas tvertnes ar ūdeni</w:t>
            </w:r>
            <w:r w:rsidR="00364D99">
              <w:t>;</w:t>
            </w:r>
            <w:r w:rsidR="00364D99" w:rsidRPr="00364D99">
              <w:t xml:space="preserve"> </w:t>
            </w:r>
            <w:r w:rsidR="00364D99">
              <w:t>l</w:t>
            </w:r>
            <w:r w:rsidR="00364D99" w:rsidRPr="00364D99">
              <w:t xml:space="preserve">edusskapi aprīko ar vismaz vienu temperatūras mērīšanas līdzekli vai temperatūras reģistrēšanas ierīci, </w:t>
            </w:r>
            <w:r w:rsidR="00364D99">
              <w:t xml:space="preserve">kas ir kalibrēta vai verificēta; </w:t>
            </w:r>
            <w:r w:rsidR="00656F70">
              <w:t>v</w:t>
            </w:r>
            <w:r w:rsidR="00656F70" w:rsidRPr="00656F70">
              <w:t>akcinācijas iestādē pietiekamā daudzumā ir termokonteineri vai aukstumsomas vakcīnu īslaicīgai uzglabāšanai</w:t>
            </w:r>
            <w:r w:rsidR="00656F70">
              <w:t>;</w:t>
            </w:r>
            <w:r w:rsidR="00656F70" w:rsidRPr="00656F70">
              <w:t xml:space="preserve"> </w:t>
            </w:r>
            <w:r w:rsidR="00656F70">
              <w:t>l</w:t>
            </w:r>
            <w:r w:rsidR="00656F70" w:rsidRPr="00656F70">
              <w:t>edusskapja saldētavā pastāvīgi ir pietiekams aukstumelementu krājums, kā arī darba vietā ir pieejama instrukcija par sasaldēto aukstumelementu sagatavošanu (atkausēšanu) pirms ievietošanas termokonteinerā, aukstumsomā vai ledusskapja apakšējā nodalījumā</w:t>
            </w:r>
            <w:r w:rsidRPr="00365E80">
              <w:t xml:space="preserve">, </w:t>
            </w:r>
            <w:r w:rsidR="00627AE8" w:rsidRPr="00365E80">
              <w:t>savukārt noteikumu projekta</w:t>
            </w:r>
            <w:r w:rsidR="00627AE8" w:rsidRPr="00365E80">
              <w:rPr>
                <w:rStyle w:val="Emphasis"/>
                <w:b/>
                <w:i w:val="0"/>
              </w:rPr>
              <w:t xml:space="preserve"> </w:t>
            </w:r>
            <w:r w:rsidR="00656F70">
              <w:rPr>
                <w:rStyle w:val="Emphasis"/>
                <w:b/>
                <w:i w:val="0"/>
              </w:rPr>
              <w:t>6</w:t>
            </w:r>
            <w:r w:rsidR="00627AE8" w:rsidRPr="00365E80">
              <w:rPr>
                <w:rStyle w:val="Emphasis"/>
                <w:b/>
                <w:i w:val="0"/>
              </w:rPr>
              <w:t xml:space="preserve">. punkts </w:t>
            </w:r>
            <w:r w:rsidR="00627AE8" w:rsidRPr="00365E80">
              <w:t>akcentē tikai galvenās/būtiskās prasības vakcīnu uzglabāšanā.</w:t>
            </w:r>
            <w:r w:rsidR="00DC1919">
              <w:t xml:space="preserve"> </w:t>
            </w:r>
          </w:p>
          <w:p w14:paraId="35DCF67A" w14:textId="3435B5B7" w:rsidR="008A430B" w:rsidRPr="00365E80" w:rsidRDefault="008A430B" w:rsidP="006E0D93">
            <w:pPr>
              <w:jc w:val="both"/>
              <w:rPr>
                <w:rStyle w:val="Emphasis"/>
                <w:i w:val="0"/>
              </w:rPr>
            </w:pPr>
          </w:p>
          <w:p w14:paraId="4A5D9525" w14:textId="32EB131B" w:rsidR="00005FA5" w:rsidRDefault="001C0280" w:rsidP="00A658B2">
            <w:pPr>
              <w:jc w:val="both"/>
            </w:pPr>
            <w:r w:rsidRPr="00365E80">
              <w:t xml:space="preserve">Noteikumu projekta </w:t>
            </w:r>
            <w:r w:rsidR="00322521">
              <w:rPr>
                <w:b/>
              </w:rPr>
              <w:t>7</w:t>
            </w:r>
            <w:r w:rsidRPr="00365E80">
              <w:rPr>
                <w:b/>
              </w:rPr>
              <w:t xml:space="preserve">. </w:t>
            </w:r>
            <w:r w:rsidR="00A12927" w:rsidRPr="00365E80">
              <w:t>un</w:t>
            </w:r>
            <w:r w:rsidR="00A12927" w:rsidRPr="00365E80">
              <w:rPr>
                <w:b/>
              </w:rPr>
              <w:t xml:space="preserve"> </w:t>
            </w:r>
            <w:r w:rsidR="005B47D6">
              <w:rPr>
                <w:b/>
              </w:rPr>
              <w:t>22</w:t>
            </w:r>
            <w:r w:rsidRPr="00365E80">
              <w:rPr>
                <w:b/>
              </w:rPr>
              <w:t>.</w:t>
            </w:r>
            <w:r w:rsidR="004D79C3" w:rsidRPr="00365E80">
              <w:rPr>
                <w:b/>
              </w:rPr>
              <w:t> </w:t>
            </w:r>
            <w:r w:rsidRPr="00365E80">
              <w:rPr>
                <w:b/>
              </w:rPr>
              <w:t xml:space="preserve">punkts </w:t>
            </w:r>
            <w:r w:rsidR="009508C3" w:rsidRPr="00365E80">
              <w:t>ir paredzēts, l</w:t>
            </w:r>
            <w:r w:rsidR="00261486" w:rsidRPr="00365E80">
              <w:t xml:space="preserve">ai iegūtu </w:t>
            </w:r>
            <w:r w:rsidR="006A7FE6" w:rsidRPr="00365E80">
              <w:t xml:space="preserve">un analizētu </w:t>
            </w:r>
            <w:r w:rsidR="00261486" w:rsidRPr="00365E80">
              <w:t xml:space="preserve">informāciju par vakcīnu norakstīšanas iemesliem, vakcinācijas iestādēm </w:t>
            </w:r>
            <w:r w:rsidR="00672FDB" w:rsidRPr="00365E80">
              <w:t>tiek</w:t>
            </w:r>
            <w:r w:rsidR="00261486" w:rsidRPr="00365E80">
              <w:t xml:space="preserve"> uzlikt</w:t>
            </w:r>
            <w:r w:rsidR="00672FDB" w:rsidRPr="00365E80">
              <w:t>s</w:t>
            </w:r>
            <w:r w:rsidR="00261486" w:rsidRPr="00365E80">
              <w:t xml:space="preserve"> par pienākumu aizpildīt jaunu veidlapu</w:t>
            </w:r>
            <w:r w:rsidR="00F34983" w:rsidRPr="00365E80">
              <w:t xml:space="preserve"> (</w:t>
            </w:r>
            <w:r w:rsidR="005E5066" w:rsidRPr="00365E80">
              <w:t>8</w:t>
            </w:r>
            <w:r w:rsidR="00F34983" w:rsidRPr="00365E80">
              <w:t>.</w:t>
            </w:r>
            <w:r w:rsidR="008A40D3" w:rsidRPr="00365E80">
              <w:t> </w:t>
            </w:r>
            <w:r w:rsidR="00F34983" w:rsidRPr="00365E80">
              <w:t>pielikums)</w:t>
            </w:r>
            <w:r w:rsidR="00672FDB" w:rsidRPr="007848A3">
              <w:t xml:space="preserve"> par vakcīnu norakstīšanu</w:t>
            </w:r>
            <w:r w:rsidR="00F61BF7" w:rsidRPr="007848A3">
              <w:t>.</w:t>
            </w:r>
            <w:r w:rsidR="00261486" w:rsidRPr="007848A3">
              <w:t xml:space="preserve"> </w:t>
            </w:r>
            <w:r w:rsidR="00656C3A" w:rsidRPr="00E65B5A">
              <w:t xml:space="preserve">Šīs prasības noteikšana normatīvajā aktā paaugstinās vakcinācijas iestāžu vadītāju atbildību par efektīvu un racionālu vakcīnu apriti savā iestādē un samazinās </w:t>
            </w:r>
            <w:r w:rsidR="009C1FE0">
              <w:t>nelietderīgu</w:t>
            </w:r>
            <w:r w:rsidR="00656C3A" w:rsidRPr="00E65B5A">
              <w:t xml:space="preserve"> </w:t>
            </w:r>
            <w:r w:rsidR="00355B61" w:rsidRPr="00E65B5A">
              <w:t xml:space="preserve">vakcīnu </w:t>
            </w:r>
            <w:r w:rsidR="00656C3A" w:rsidRPr="00E65B5A">
              <w:t>norakstī</w:t>
            </w:r>
            <w:r w:rsidR="00355B61">
              <w:t>šanu</w:t>
            </w:r>
            <w:r w:rsidR="0033538C">
              <w:t>.</w:t>
            </w:r>
            <w:r w:rsidR="00485EBB">
              <w:t xml:space="preserve"> Līdz šim vakcinācijas iestādes sagatavoja vienkāršu rakstisku </w:t>
            </w:r>
            <w:r w:rsidR="00485EBB" w:rsidRPr="00365E80">
              <w:t>informāciju par vakcīnu norakstīšanas iemesliem.</w:t>
            </w:r>
            <w:r w:rsidR="00053028" w:rsidRPr="00365E80">
              <w:t xml:space="preserve"> Arī topošā vakcinācijas reģistra funkcionalitāte paredz vakcīnu kustības uzskaiti. </w:t>
            </w:r>
          </w:p>
          <w:p w14:paraId="54F3815E" w14:textId="77777777" w:rsidR="009A4E02" w:rsidRPr="00365E80" w:rsidRDefault="009A4E02" w:rsidP="00A658B2">
            <w:pPr>
              <w:jc w:val="both"/>
            </w:pPr>
          </w:p>
          <w:p w14:paraId="773A09C7" w14:textId="00566A6A" w:rsidR="000A5DE6" w:rsidRPr="00365E80" w:rsidRDefault="0077741C" w:rsidP="006D0450">
            <w:pPr>
              <w:jc w:val="both"/>
            </w:pPr>
            <w:r w:rsidRPr="00365E80">
              <w:rPr>
                <w:rStyle w:val="Emphasis"/>
                <w:i w:val="0"/>
              </w:rPr>
              <w:lastRenderedPageBreak/>
              <w:t>Vakcinācijas noteikumu 25. punkts</w:t>
            </w:r>
            <w:r w:rsidR="000A5DE6" w:rsidRPr="00365E80">
              <w:rPr>
                <w:rStyle w:val="Emphasis"/>
                <w:i w:val="0"/>
              </w:rPr>
              <w:t xml:space="preserve"> tiek izteikts jaunā redakcijā, jo pirms vakcinācijas ārstniecības persona neveic vakcinējamās personas fizisku apskati. Pirms vakcinācijas tiek veikta vakcinējamās personas vai tās </w:t>
            </w:r>
            <w:r w:rsidR="0085742B" w:rsidRPr="00365E80">
              <w:rPr>
                <w:rStyle w:val="Emphasis"/>
                <w:i w:val="0"/>
              </w:rPr>
              <w:t xml:space="preserve">likumīgā pārstāvja iztaujāšana par veselības stāvokli un iespējamajām </w:t>
            </w:r>
            <w:r w:rsidR="001A2E0F" w:rsidRPr="00365E80">
              <w:rPr>
                <w:rStyle w:val="Emphasis"/>
                <w:i w:val="0"/>
              </w:rPr>
              <w:t>kontrindikācijām</w:t>
            </w:r>
            <w:r w:rsidR="000D1F6B" w:rsidRPr="00365E80">
              <w:rPr>
                <w:rStyle w:val="Emphasis"/>
                <w:i w:val="0"/>
              </w:rPr>
              <w:t xml:space="preserve"> (absolūtā vai relatīvās)</w:t>
            </w:r>
            <w:r w:rsidR="001A2E0F" w:rsidRPr="00365E80">
              <w:rPr>
                <w:rStyle w:val="Emphasis"/>
                <w:i w:val="0"/>
              </w:rPr>
              <w:t xml:space="preserve"> vakcinācijai</w:t>
            </w:r>
            <w:r w:rsidR="0085742B" w:rsidRPr="00365E80">
              <w:rPr>
                <w:rStyle w:val="Emphasis"/>
                <w:i w:val="0"/>
              </w:rPr>
              <w:t>.</w:t>
            </w:r>
            <w:r w:rsidR="0003100C">
              <w:rPr>
                <w:rStyle w:val="Emphasis"/>
                <w:i w:val="0"/>
              </w:rPr>
              <w:t xml:space="preserve"> </w:t>
            </w:r>
            <w:r w:rsidR="0003100C" w:rsidRPr="0003100C">
              <w:rPr>
                <w:rStyle w:val="Emphasis"/>
                <w:i w:val="0"/>
              </w:rPr>
              <w:t>Ārstniecības persona noskaidro vakcinējamās personas veselības stāvokli atbilstoši jaunākajām zinātniskajām un uz pierādījumiem balstītajām nacionālajām vai starptautiskajām rekomendācijām</w:t>
            </w:r>
            <w:r w:rsidR="0003100C">
              <w:rPr>
                <w:rStyle w:val="Emphasis"/>
                <w:i w:val="0"/>
              </w:rPr>
              <w:t>.</w:t>
            </w:r>
            <w:r w:rsidR="0003100C" w:rsidRPr="0003100C">
              <w:rPr>
                <w:rStyle w:val="Emphasis"/>
                <w:i w:val="0"/>
              </w:rPr>
              <w:t xml:space="preserve"> </w:t>
            </w:r>
            <w:r w:rsidR="00CA0BC7" w:rsidRPr="00365E80">
              <w:t>Imunizācijas valsts padome (</w:t>
            </w:r>
            <w:r w:rsidR="00A26104" w:rsidRPr="00365E80">
              <w:t>protokols Nr. 52</w:t>
            </w:r>
            <w:r w:rsidR="00CA0BC7" w:rsidRPr="00365E80">
              <w:t>) lēma, ka no Vakcinācijas noteikumu 25. punkta ir svītrojama prasība vakcinējamās personas apskatei pirms vakcinācijas</w:t>
            </w:r>
            <w:r w:rsidR="00314112" w:rsidRPr="00365E80">
              <w:t xml:space="preserve">, nosakot, ka ārsts </w:t>
            </w:r>
            <w:r w:rsidR="004D30E6">
              <w:t xml:space="preserve">vai </w:t>
            </w:r>
            <w:r w:rsidR="004D30E6" w:rsidRPr="004D30E6">
              <w:t>ārsta palīg</w:t>
            </w:r>
            <w:r w:rsidR="004D30E6">
              <w:t>s</w:t>
            </w:r>
            <w:r w:rsidR="004D30E6" w:rsidRPr="004D30E6">
              <w:t xml:space="preserve"> </w:t>
            </w:r>
            <w:r w:rsidR="00314112" w:rsidRPr="00365E80">
              <w:t>lemj par personas vakcināciju</w:t>
            </w:r>
            <w:r w:rsidR="00F47440" w:rsidRPr="00365E80">
              <w:t xml:space="preserve"> (</w:t>
            </w:r>
            <w:r w:rsidR="00F47440" w:rsidRPr="00365E80">
              <w:rPr>
                <w:rStyle w:val="Emphasis"/>
                <w:i w:val="0"/>
              </w:rPr>
              <w:t xml:space="preserve">noteikumu projekta </w:t>
            </w:r>
            <w:r w:rsidR="00EF0AE2">
              <w:rPr>
                <w:rStyle w:val="Emphasis"/>
                <w:b/>
                <w:i w:val="0"/>
              </w:rPr>
              <w:t>8</w:t>
            </w:r>
            <w:r w:rsidR="00F47440" w:rsidRPr="00365E80">
              <w:rPr>
                <w:rStyle w:val="Emphasis"/>
                <w:b/>
                <w:i w:val="0"/>
              </w:rPr>
              <w:t>.</w:t>
            </w:r>
            <w:r w:rsidR="00EF0AE2">
              <w:rPr>
                <w:rStyle w:val="Emphasis"/>
                <w:b/>
                <w:i w:val="0"/>
              </w:rPr>
              <w:t> </w:t>
            </w:r>
            <w:r w:rsidR="00F47440" w:rsidRPr="00365E80">
              <w:rPr>
                <w:rStyle w:val="Emphasis"/>
                <w:b/>
                <w:i w:val="0"/>
              </w:rPr>
              <w:t>punkts</w:t>
            </w:r>
            <w:r w:rsidR="00F47440" w:rsidRPr="00365E80">
              <w:t>)</w:t>
            </w:r>
            <w:r w:rsidR="00314112" w:rsidRPr="00365E80">
              <w:t>.</w:t>
            </w:r>
          </w:p>
          <w:p w14:paraId="670187DE" w14:textId="40C632A1" w:rsidR="001B549F" w:rsidRPr="00365E80" w:rsidRDefault="001B549F" w:rsidP="006D0450">
            <w:pPr>
              <w:jc w:val="both"/>
            </w:pPr>
          </w:p>
          <w:p w14:paraId="0E91224F" w14:textId="09B58274" w:rsidR="001B549F" w:rsidRPr="00365E80" w:rsidRDefault="005D306E" w:rsidP="006D0450">
            <w:pPr>
              <w:jc w:val="both"/>
            </w:pPr>
            <w:r w:rsidRPr="00365E80">
              <w:t xml:space="preserve">Vakcinācijas noteikumu 26.1. apakšpunkts tiek izteikts jaunā redakcijā, lai </w:t>
            </w:r>
            <w:r w:rsidR="00EF3F80" w:rsidRPr="00365E80">
              <w:t xml:space="preserve">uzsvērtu, kādas ir iespējamās kontrindikācijas (absolūtā un relatīvās), </w:t>
            </w:r>
            <w:r w:rsidR="002F6944" w:rsidRPr="00365E80">
              <w:t xml:space="preserve">kā arī uzsvērtu to, ka var būt </w:t>
            </w:r>
            <w:r w:rsidR="005C2CBD" w:rsidRPr="00365E80">
              <w:t xml:space="preserve">cita piesardzība vakcinācijas veikšanai (noteikumu projekta </w:t>
            </w:r>
            <w:r w:rsidR="00D26CF6">
              <w:rPr>
                <w:b/>
              </w:rPr>
              <w:t>9</w:t>
            </w:r>
            <w:r w:rsidR="005C2CBD" w:rsidRPr="00365E80">
              <w:rPr>
                <w:b/>
              </w:rPr>
              <w:t>. punkts</w:t>
            </w:r>
            <w:r w:rsidR="005C2CBD" w:rsidRPr="00365E80">
              <w:t>).</w:t>
            </w:r>
            <w:r w:rsidR="00AD41F6" w:rsidRPr="00365E80">
              <w:t xml:space="preserve"> Minētā punkta grozījums ir saistīts ar grozījumu veikšanu Vakcinācijas noteikumu 5. un 25. punktā.</w:t>
            </w:r>
          </w:p>
          <w:p w14:paraId="36B2A9EF" w14:textId="7F2DFF53" w:rsidR="00C914BC" w:rsidRPr="00365E80" w:rsidRDefault="00C914BC" w:rsidP="006D0450">
            <w:pPr>
              <w:jc w:val="both"/>
            </w:pPr>
          </w:p>
          <w:p w14:paraId="7E419536" w14:textId="201AF975" w:rsidR="006D3909" w:rsidRDefault="006D3909" w:rsidP="006D3909">
            <w:pPr>
              <w:jc w:val="both"/>
            </w:pPr>
            <w:r w:rsidRPr="00365E80">
              <w:t xml:space="preserve">Noteikumu projekta </w:t>
            </w:r>
            <w:r w:rsidR="002F4B46">
              <w:rPr>
                <w:b/>
              </w:rPr>
              <w:t>10</w:t>
            </w:r>
            <w:r w:rsidRPr="00365E80">
              <w:rPr>
                <w:b/>
              </w:rPr>
              <w:t xml:space="preserve">. punkts </w:t>
            </w:r>
            <w:r w:rsidRPr="00365E80">
              <w:t xml:space="preserve">paredz </w:t>
            </w:r>
            <w:r w:rsidR="00230E36" w:rsidRPr="00365E80">
              <w:t xml:space="preserve">Vakcinācijas noteikumu 27.3. apakšpunktu neizdalīt vairākos apakšpunktos, bet uzskaitīt </w:t>
            </w:r>
            <w:proofErr w:type="spellStart"/>
            <w:r w:rsidR="00230E36" w:rsidRPr="00365E80">
              <w:t>komercvakcīnas</w:t>
            </w:r>
            <w:proofErr w:type="spellEnd"/>
            <w:r w:rsidR="00230E36" w:rsidRPr="00365E80">
              <w:t xml:space="preserve">, kuras ārstniecības persona noteiktai riska grupai </w:t>
            </w:r>
            <w:r w:rsidR="00A75C8A" w:rsidRPr="00365E80">
              <w:t>varētu rekomendēt vakcinēt</w:t>
            </w:r>
            <w:r w:rsidR="00FC5911" w:rsidRPr="00365E80">
              <w:t xml:space="preserve"> (piemēram, grūtniecēm ir svarīgi ieteikt vakcinēties pret garo klepu)</w:t>
            </w:r>
            <w:r w:rsidR="00A75C8A" w:rsidRPr="00365E80">
              <w:t xml:space="preserve">, </w:t>
            </w:r>
            <w:r w:rsidR="00230E36" w:rsidRPr="00365E80">
              <w:t>kā arī svītrot</w:t>
            </w:r>
            <w:r w:rsidRPr="00365E80">
              <w:t xml:space="preserve"> vārdus "rotavīrusu infekciju", jo vakcinācija pret </w:t>
            </w:r>
            <w:r w:rsidR="00D76DE4" w:rsidRPr="00365E80">
              <w:t>rotavīrusu infekciju</w:t>
            </w:r>
            <w:r w:rsidRPr="00365E80">
              <w:t xml:space="preserve"> jau ir iekļauta</w:t>
            </w:r>
            <w:r w:rsidRPr="00CA1113">
              <w:t xml:space="preserve"> Vakcinācijas kalendārā.</w:t>
            </w:r>
          </w:p>
          <w:p w14:paraId="350639CB" w14:textId="77777777" w:rsidR="00281DD5" w:rsidRDefault="00281DD5" w:rsidP="006D3909">
            <w:pPr>
              <w:jc w:val="both"/>
            </w:pPr>
          </w:p>
          <w:p w14:paraId="2910DF35" w14:textId="16800B11" w:rsidR="00396F7D" w:rsidRDefault="008E7059" w:rsidP="008E7059">
            <w:pPr>
              <w:jc w:val="both"/>
            </w:pPr>
            <w:r w:rsidRPr="001F390E">
              <w:t xml:space="preserve">Noteikumu </w:t>
            </w:r>
            <w:r w:rsidRPr="00365E80">
              <w:t xml:space="preserve">projekta </w:t>
            </w:r>
            <w:r w:rsidR="004A5E43">
              <w:rPr>
                <w:b/>
              </w:rPr>
              <w:t>11</w:t>
            </w:r>
            <w:r w:rsidRPr="00365E80">
              <w:rPr>
                <w:b/>
              </w:rPr>
              <w:t>. </w:t>
            </w:r>
            <w:r w:rsidR="00F14C32" w:rsidRPr="00365E80">
              <w:t xml:space="preserve">un </w:t>
            </w:r>
            <w:r w:rsidR="004A5E43">
              <w:rPr>
                <w:b/>
              </w:rPr>
              <w:t>12</w:t>
            </w:r>
            <w:r w:rsidR="00F14C32" w:rsidRPr="00365E80">
              <w:rPr>
                <w:b/>
              </w:rPr>
              <w:t>. </w:t>
            </w:r>
            <w:r w:rsidRPr="00365E80">
              <w:rPr>
                <w:b/>
              </w:rPr>
              <w:t>punktā</w:t>
            </w:r>
            <w:r w:rsidRPr="00365E80">
              <w:t xml:space="preserve"> tiek precizēti </w:t>
            </w:r>
            <w:r w:rsidR="007325C5" w:rsidRPr="00365E80">
              <w:t>VI</w:t>
            </w:r>
            <w:r w:rsidRPr="00365E80">
              <w:t xml:space="preserve"> pienākumi vakcīnu </w:t>
            </w:r>
            <w:r w:rsidR="005B27F7" w:rsidRPr="00365E80">
              <w:t>izplatīšanā un lietošanā</w:t>
            </w:r>
            <w:r w:rsidR="005F31D9" w:rsidRPr="00365E80">
              <w:t>, jo ļoti būtiski ir kontrolēt, piemēram, vakcīnu aukstuma ķēdes nodrošināšanu, lai samazinātu par val</w:t>
            </w:r>
            <w:r w:rsidR="005F31D9" w:rsidRPr="007848A3">
              <w:t>sts budžeta līdzekļiem iegādāto vakcīnu norakstīšanu</w:t>
            </w:r>
            <w:r w:rsidR="00BE7172">
              <w:t>,</w:t>
            </w:r>
            <w:r w:rsidR="00BE7172" w:rsidRPr="00BE7172">
              <w:t xml:space="preserve"> valsts apmaksāto vakcīnu norakstīšanas gadījumu kontroli</w:t>
            </w:r>
            <w:r w:rsidR="00BE7172">
              <w:t>, kas samazina iespējas, ka vakcīnas tiks norakstītas</w:t>
            </w:r>
            <w:r w:rsidR="005B27F7">
              <w:t xml:space="preserve">. </w:t>
            </w:r>
            <w:r w:rsidR="00396F7D">
              <w:t xml:space="preserve">Vakcīnu izplatīšana sevī ietver Farmācijas likumā sniegto skaidrojumu zāļu </w:t>
            </w:r>
            <w:r w:rsidR="00396F7D" w:rsidRPr="00396F7D">
              <w:t>izplatīšana</w:t>
            </w:r>
            <w:r w:rsidR="00396F7D">
              <w:t>i (</w:t>
            </w:r>
            <w:r w:rsidR="008042C1">
              <w:t xml:space="preserve">piemēram, </w:t>
            </w:r>
            <w:r w:rsidR="00396F7D" w:rsidRPr="00396F7D">
              <w:t>iepirkšana, uzglabāšana, piegāde, pārvietošana pāri valsts robežai (ievešana, izvešana), pārdošana</w:t>
            </w:r>
            <w:r w:rsidR="0026378A">
              <w:t>).</w:t>
            </w:r>
            <w:r w:rsidR="00781680">
              <w:t xml:space="preserve"> </w:t>
            </w:r>
            <w:r w:rsidR="00AB6634">
              <w:t xml:space="preserve">Savukārt vakcinācijas komplikāciju </w:t>
            </w:r>
            <w:r w:rsidR="00146F97">
              <w:t>reģistrāciju VI neveic.</w:t>
            </w:r>
          </w:p>
          <w:p w14:paraId="49354BC4" w14:textId="1CA867B6" w:rsidR="00FD7442" w:rsidRDefault="00FD7442" w:rsidP="008E7059">
            <w:pPr>
              <w:jc w:val="both"/>
            </w:pPr>
          </w:p>
          <w:p w14:paraId="399525ED" w14:textId="45591B7F" w:rsidR="00E714DF" w:rsidRDefault="00FD7442" w:rsidP="008E7059">
            <w:pPr>
              <w:jc w:val="both"/>
            </w:pPr>
            <w:r w:rsidRPr="005F428A">
              <w:t xml:space="preserve">Noteikumu projekta </w:t>
            </w:r>
            <w:r w:rsidRPr="005F428A">
              <w:rPr>
                <w:b/>
              </w:rPr>
              <w:t>13. punkts</w:t>
            </w:r>
            <w:r w:rsidRPr="005F428A">
              <w:t xml:space="preserve"> </w:t>
            </w:r>
            <w:r w:rsidR="00E714DF">
              <w:t xml:space="preserve">papildina noslēguma jautājumus, </w:t>
            </w:r>
            <w:r w:rsidRPr="005F428A">
              <w:t>nosak</w:t>
            </w:r>
            <w:r w:rsidR="00E714DF">
              <w:t>ot</w:t>
            </w:r>
            <w:r w:rsidRPr="005F428A">
              <w:t xml:space="preserve"> ka</w:t>
            </w:r>
            <w:r w:rsidR="00E714DF">
              <w:t>:</w:t>
            </w:r>
          </w:p>
          <w:p w14:paraId="039F6BDD" w14:textId="1122C7A0" w:rsidR="00FD7442" w:rsidRDefault="00FD7442" w:rsidP="008E7059">
            <w:pPr>
              <w:jc w:val="both"/>
            </w:pPr>
            <w:r w:rsidRPr="005F428A">
              <w:t xml:space="preserve"> </w:t>
            </w:r>
            <w:r w:rsidR="00E714DF">
              <w:t xml:space="preserve">1) </w:t>
            </w:r>
            <w:r w:rsidRPr="005F428A">
              <w:t>8. pielikumu paredzēts izmantot sākot ar 2019. gada 1. janvāri.</w:t>
            </w:r>
          </w:p>
          <w:p w14:paraId="6489CA29" w14:textId="151D7D6F" w:rsidR="00411FCE" w:rsidRDefault="00411FCE" w:rsidP="008E7059">
            <w:pPr>
              <w:jc w:val="both"/>
            </w:pPr>
          </w:p>
          <w:p w14:paraId="6DECB89B" w14:textId="2F248BA8" w:rsidR="00411FCE" w:rsidRDefault="00E714DF" w:rsidP="00411FCE">
            <w:pPr>
              <w:jc w:val="both"/>
            </w:pPr>
            <w:r>
              <w:t xml:space="preserve">2) </w:t>
            </w:r>
            <w:r w:rsidR="00411FCE" w:rsidRPr="007563B0">
              <w:t>ka prasība vakcinēt bērnus līdz divu gadu vecumam un grūtniec</w:t>
            </w:r>
            <w:r w:rsidR="00411FCE">
              <w:t xml:space="preserve">es pret gripu stāsies spēkā ar </w:t>
            </w:r>
            <w:r w:rsidR="00411FCE" w:rsidRPr="00391364">
              <w:t>2019.</w:t>
            </w:r>
            <w:r w:rsidR="00411FCE">
              <w:t> </w:t>
            </w:r>
            <w:r w:rsidR="00411FCE" w:rsidRPr="00391364">
              <w:t>gada 1.</w:t>
            </w:r>
            <w:r w:rsidR="00411FCE">
              <w:t xml:space="preserve"> oktobri, </w:t>
            </w:r>
            <w:r w:rsidR="00411FCE" w:rsidRPr="00391364">
              <w:t xml:space="preserve">jo minētā pasākuma ieviešanai nepieciešams piešķirt papildu </w:t>
            </w:r>
            <w:r w:rsidR="00411FCE" w:rsidRPr="00391364">
              <w:lastRenderedPageBreak/>
              <w:t>budžeta līdzekļus</w:t>
            </w:r>
            <w:r w:rsidR="00411FCE">
              <w:t xml:space="preserve">, kā arī </w:t>
            </w:r>
            <w:r w:rsidR="00411FCE" w:rsidRPr="00391364">
              <w:t>nepieciešams</w:t>
            </w:r>
            <w:r w:rsidR="00411FCE">
              <w:t xml:space="preserve"> izsludināt konkursu vakcīnu iepirkumam. </w:t>
            </w:r>
          </w:p>
          <w:p w14:paraId="2761CC70" w14:textId="77777777" w:rsidR="00411FCE" w:rsidRDefault="00411FCE" w:rsidP="008E7059">
            <w:pPr>
              <w:jc w:val="both"/>
            </w:pPr>
          </w:p>
          <w:p w14:paraId="7FD50A07" w14:textId="53BC3D94" w:rsidR="00020B2B" w:rsidRDefault="00E714DF" w:rsidP="00020B2B">
            <w:pPr>
              <w:jc w:val="both"/>
            </w:pPr>
            <w:r>
              <w:t xml:space="preserve">3) </w:t>
            </w:r>
            <w:r w:rsidR="00020B2B" w:rsidRPr="000E14C9">
              <w:t>ka prasība vakcinēt 14 gadus vecus bērnus pret garo</w:t>
            </w:r>
            <w:r w:rsidR="00020B2B">
              <w:t xml:space="preserve"> klepu ar sesto devu stāsies spēkā ar </w:t>
            </w:r>
            <w:r w:rsidR="00020B2B" w:rsidRPr="00B22CCE">
              <w:t>2020. gada 1. janvāri</w:t>
            </w:r>
            <w:r w:rsidR="00020B2B">
              <w:t xml:space="preserve">, </w:t>
            </w:r>
            <w:r w:rsidR="00020B2B" w:rsidRPr="003102D0">
              <w:t>jo minētā pasākuma ieviešanai nepieciešams piešķirt papildu budžeta līdzekļus,</w:t>
            </w:r>
            <w:r w:rsidR="00020B2B">
              <w:t xml:space="preserve"> kā arī 2018.-2019. gadam v</w:t>
            </w:r>
            <w:r w:rsidR="00020B2B" w:rsidRPr="00BC0A27">
              <w:t>akcīnu iepirkum</w:t>
            </w:r>
            <w:r w:rsidR="00020B2B">
              <w:t>ā jau ir iepirkta vakcīna ar poliomielīta komponenti.</w:t>
            </w:r>
            <w:r w:rsidR="00020B2B" w:rsidRPr="00B1332B">
              <w:rPr>
                <w:color w:val="FF0000"/>
              </w:rPr>
              <w:t xml:space="preserve"> </w:t>
            </w:r>
          </w:p>
          <w:p w14:paraId="074FBE83" w14:textId="77777777" w:rsidR="003F1726" w:rsidRDefault="003F1726" w:rsidP="008E7059">
            <w:pPr>
              <w:jc w:val="both"/>
            </w:pPr>
          </w:p>
          <w:p w14:paraId="2385D7E5" w14:textId="095508AF" w:rsidR="001A64F7" w:rsidRPr="005A201F" w:rsidRDefault="001A64F7" w:rsidP="00EF4CA7">
            <w:pPr>
              <w:jc w:val="both"/>
            </w:pPr>
            <w:r w:rsidRPr="00634EA9">
              <w:t xml:space="preserve">Vakcinācijas </w:t>
            </w:r>
            <w:r w:rsidRPr="00365E80">
              <w:t>noteikumu 1.</w:t>
            </w:r>
            <w:r w:rsidR="00B6536F" w:rsidRPr="00365E80">
              <w:t> </w:t>
            </w:r>
            <w:r w:rsidRPr="00365E80">
              <w:t xml:space="preserve">pielikums (noteikumu projekta </w:t>
            </w:r>
            <w:r w:rsidR="00E714DF">
              <w:rPr>
                <w:b/>
              </w:rPr>
              <w:t>14</w:t>
            </w:r>
            <w:r w:rsidRPr="00365E80">
              <w:rPr>
                <w:b/>
              </w:rPr>
              <w:t>. punkts</w:t>
            </w:r>
            <w:r w:rsidRPr="00365E80">
              <w:t>) izteikts jaunā redakcijā</w:t>
            </w:r>
            <w:r w:rsidR="005A15F4" w:rsidRPr="00365E80">
              <w:t xml:space="preserve"> (</w:t>
            </w:r>
            <w:r w:rsidR="005A15F4" w:rsidRPr="00365E80">
              <w:rPr>
                <w:i/>
              </w:rPr>
              <w:t>tajā skaitā norādot uz to, ka tas ir bērnu</w:t>
            </w:r>
            <w:r w:rsidR="005A15F4" w:rsidRPr="005A15F4">
              <w:rPr>
                <w:i/>
              </w:rPr>
              <w:t xml:space="preserve"> vakcinācijas kalendārs</w:t>
            </w:r>
            <w:r w:rsidR="005A15F4">
              <w:t>)</w:t>
            </w:r>
            <w:r w:rsidRPr="00415F05">
              <w:t>, jo tajā veiktas vairākas izmaiņas</w:t>
            </w:r>
            <w:r w:rsidR="004E220B" w:rsidRPr="00C15EBA">
              <w:t xml:space="preserve">, kas saskan arī ar </w:t>
            </w:r>
            <w:r w:rsidR="00EF4CA7" w:rsidRPr="00C15EBA">
              <w:t>Padomes secinājumi</w:t>
            </w:r>
            <w:r w:rsidR="00323AB0" w:rsidRPr="00C15EBA">
              <w:t>em</w:t>
            </w:r>
            <w:r w:rsidR="00EF4CA7" w:rsidRPr="00C15EBA">
              <w:t xml:space="preserve"> par vakcināciju kā efektīvu līdzekli sabiedrības veselības jomā</w:t>
            </w:r>
            <w:r w:rsidR="00323AB0" w:rsidRPr="00C15EBA">
              <w:rPr>
                <w:rStyle w:val="FootnoteReference"/>
              </w:rPr>
              <w:footnoteReference w:id="4"/>
            </w:r>
            <w:r w:rsidR="00EC7EA4" w:rsidRPr="00C15EBA">
              <w:t>, kuros dalībvalstis tiek aicinātas turpināt uzlabot valsts vakcinācijas programmas un pastiprināt valsts spējas veikt uz pierādījumiem balstītu, izmaksu ziņā lietderīgu vakcināciju, tostarp jaunu vakcīnu ieviešanu gadījumos, kad tas tiek uzskatīts par nepieciešamu</w:t>
            </w:r>
            <w:r w:rsidRPr="00C15EBA">
              <w:t>:</w:t>
            </w:r>
          </w:p>
          <w:p w14:paraId="16D104B0" w14:textId="77777777" w:rsidR="001A64F7" w:rsidRDefault="001A64F7" w:rsidP="001A64F7">
            <w:pPr>
              <w:pStyle w:val="ListParagraph"/>
              <w:numPr>
                <w:ilvl w:val="0"/>
                <w:numId w:val="21"/>
              </w:numPr>
              <w:jc w:val="both"/>
            </w:pPr>
            <w:r w:rsidRPr="007848A3">
              <w:t xml:space="preserve">Situācijās, kad izveidojies konkrētas vakcīnas trūkums starptautiskajā tirgū un zāļu lieltirgotavas nevar nodrošināt noteiktas </w:t>
            </w:r>
            <w:r>
              <w:t xml:space="preserve">Vakcinācijas noteikumos minētas </w:t>
            </w:r>
            <w:r w:rsidRPr="007848A3">
              <w:t xml:space="preserve">kombinētās vakcīnas piegādi vai piedāvājumu </w:t>
            </w:r>
            <w:r w:rsidR="00AC0A7C">
              <w:t>NVD</w:t>
            </w:r>
            <w:r w:rsidRPr="007848A3">
              <w:t xml:space="preserve"> rīkotajam iepirkuma konkursam, nolūkā novērst vakcinācijas pārtraukšanu</w:t>
            </w:r>
            <w:r w:rsidR="003A4A7F">
              <w:t>,</w:t>
            </w:r>
            <w:r w:rsidRPr="007848A3">
              <w:t xml:space="preserve"> ir nepieciešams noteikt īstermiņa alternatīvu risinājumu līdzvērtīgu vakcīnu iegādei, nosakot, ja vakcinācijas kalendārā noteiktā kombinētā vakcīna nav pieejama valstī, to var aizvietot ar citu līdzvērtīgu vakcīnu kombināciju. </w:t>
            </w:r>
          </w:p>
          <w:p w14:paraId="6BAD8876" w14:textId="77777777" w:rsidR="001A64F7" w:rsidRPr="00D7588F" w:rsidRDefault="001A64F7" w:rsidP="001A64F7">
            <w:pPr>
              <w:pStyle w:val="ListParagraph"/>
              <w:numPr>
                <w:ilvl w:val="0"/>
                <w:numId w:val="21"/>
              </w:numPr>
              <w:jc w:val="both"/>
              <w:rPr>
                <w:rStyle w:val="Emphasis"/>
                <w:i w:val="0"/>
                <w:iCs w:val="0"/>
              </w:rPr>
            </w:pPr>
            <w:r w:rsidRPr="009E2F6C">
              <w:rPr>
                <w:rStyle w:val="Emphasis"/>
                <w:i w:val="0"/>
              </w:rPr>
              <w:t>Mūsdienās jaunajiem vecākiem nereti ir vēlme jaundzimušo no dzemdību nodaļas izrakstīt agrāk nekā iepriekšējos gados, tāpēc noteikts, ka vakcinēt pret tuberkulozi drīkst jau no 12 stundām līdzšinējo 2-5 dienu vietā. Vakcīnas pret tuberkulozi (BCG vakcīna) lietošanas instrukcijā nav noteikts konkrēts bērna vecums, kurā bērnam ir jāievada BCG vakcīna. Arī citās ES valstīs, kurās vakcinē bērnus pret tuberkulozi, BCG vakcīnas ievadīšanas laiks ir dažāds, piemēram, Igaunijā – pirmajās 12 stundās pēc dzimšanas, Lietuvā – 2.-3.</w:t>
            </w:r>
            <w:r>
              <w:rPr>
                <w:rStyle w:val="Emphasis"/>
                <w:i w:val="0"/>
              </w:rPr>
              <w:t> </w:t>
            </w:r>
            <w:r w:rsidRPr="009E2F6C">
              <w:rPr>
                <w:rStyle w:val="Emphasis"/>
                <w:i w:val="0"/>
              </w:rPr>
              <w:t>dienā, Slovākijā – 3.</w:t>
            </w:r>
            <w:r>
              <w:rPr>
                <w:rStyle w:val="Emphasis"/>
                <w:i w:val="0"/>
              </w:rPr>
              <w:t> </w:t>
            </w:r>
            <w:r w:rsidRPr="009E2F6C">
              <w:rPr>
                <w:rStyle w:val="Emphasis"/>
                <w:i w:val="0"/>
              </w:rPr>
              <w:t xml:space="preserve">dienā, Polijā – pirmajās 24 stundās pēc dzimšanas, Īrijā – mēneša laikā pēc </w:t>
            </w:r>
            <w:r w:rsidRPr="00D7588F">
              <w:rPr>
                <w:rStyle w:val="Emphasis"/>
                <w:i w:val="0"/>
              </w:rPr>
              <w:t>dzimšanas.</w:t>
            </w:r>
          </w:p>
          <w:p w14:paraId="7B58FD5E" w14:textId="77777777" w:rsidR="001A64F7" w:rsidRPr="00D7588F" w:rsidRDefault="001A64F7" w:rsidP="001A64F7">
            <w:pPr>
              <w:pStyle w:val="ListParagraph"/>
              <w:numPr>
                <w:ilvl w:val="0"/>
                <w:numId w:val="21"/>
              </w:numPr>
              <w:jc w:val="both"/>
              <w:rPr>
                <w:rStyle w:val="Emphasis"/>
                <w:i w:val="0"/>
                <w:iCs w:val="0"/>
              </w:rPr>
            </w:pPr>
            <w:r w:rsidRPr="00D7588F">
              <w:rPr>
                <w:rStyle w:val="Emphasis"/>
                <w:i w:val="0"/>
              </w:rPr>
              <w:t>Atbilstoši vakcīnu pret rotavīrusu infekcijas</w:t>
            </w:r>
            <w:r w:rsidR="0074337E">
              <w:rPr>
                <w:rStyle w:val="Emphasis"/>
                <w:i w:val="0"/>
              </w:rPr>
              <w:t xml:space="preserve"> lietošanas instrukcijām (vakcinācij</w:t>
            </w:r>
            <w:r w:rsidRPr="00D7588F">
              <w:rPr>
                <w:rStyle w:val="Emphasis"/>
                <w:i w:val="0"/>
              </w:rPr>
              <w:t>a ar 2 vai 3 devām), vakcināciju var uzsākt jau no 6 nedēļām, lai panāktu agrīnu bērnu aizsardzību pret šo infekciju.</w:t>
            </w:r>
          </w:p>
          <w:p w14:paraId="1FFCEB92" w14:textId="77777777" w:rsidR="001A64F7" w:rsidRDefault="001A64F7" w:rsidP="00DE28BC">
            <w:pPr>
              <w:pStyle w:val="ListParagraph"/>
              <w:numPr>
                <w:ilvl w:val="0"/>
                <w:numId w:val="21"/>
              </w:numPr>
              <w:jc w:val="both"/>
            </w:pPr>
            <w:r w:rsidRPr="00D7588F">
              <w:rPr>
                <w:rStyle w:val="Emphasis"/>
                <w:i w:val="0"/>
              </w:rPr>
              <w:t xml:space="preserve">Vakcinācija pret masaliņām un B hepatītu, kas attiecas uz nelielu agrāk nevakcinētu bērnu skaitu, tiek svītrota, jo šo jautājumu regulē </w:t>
            </w:r>
            <w:r w:rsidRPr="00D7588F">
              <w:t>Vakcinācijas noteikumu 3.</w:t>
            </w:r>
            <w:r w:rsidRPr="00D7588F">
              <w:rPr>
                <w:vertAlign w:val="superscript"/>
              </w:rPr>
              <w:t>1</w:t>
            </w:r>
            <w:r>
              <w:t> </w:t>
            </w:r>
            <w:r w:rsidRPr="00D7588F">
              <w:t xml:space="preserve">punkts, kas nosaka, ka katram bērnam, kurš nav saņēmis vakcinācijas </w:t>
            </w:r>
            <w:r w:rsidRPr="00D7588F">
              <w:lastRenderedPageBreak/>
              <w:t>kalendārā norādīto vakcīnu, ir tiesības to saņemt līdz 18 gadu vecuma sasniegšanai</w:t>
            </w:r>
            <w:r>
              <w:t>, ja to pieļauj vakcīnas lietošanas instrukcija</w:t>
            </w:r>
            <w:r w:rsidRPr="00D7588F">
              <w:t>.</w:t>
            </w:r>
          </w:p>
          <w:p w14:paraId="44E61396" w14:textId="2DFED5F2" w:rsidR="001A64F7" w:rsidRPr="00DC4C9D" w:rsidRDefault="00045080" w:rsidP="001A64F7">
            <w:pPr>
              <w:pStyle w:val="ListParagraph"/>
              <w:numPr>
                <w:ilvl w:val="0"/>
                <w:numId w:val="21"/>
              </w:numPr>
              <w:jc w:val="both"/>
              <w:rPr>
                <w:rStyle w:val="Emphasis"/>
                <w:i w:val="0"/>
                <w:iCs w:val="0"/>
              </w:rPr>
            </w:pPr>
            <w:r>
              <w:rPr>
                <w:rStyle w:val="Emphasis"/>
                <w:i w:val="0"/>
                <w:iCs w:val="0"/>
              </w:rPr>
              <w:t>S</w:t>
            </w:r>
            <w:r w:rsidR="001A64F7" w:rsidRPr="00DC4C9D">
              <w:rPr>
                <w:rStyle w:val="Emphasis"/>
                <w:i w:val="0"/>
                <w:iCs w:val="0"/>
              </w:rPr>
              <w:t>ākot ar 2019. gad</w:t>
            </w:r>
            <w:r w:rsidR="00B318BF">
              <w:rPr>
                <w:rStyle w:val="Emphasis"/>
                <w:i w:val="0"/>
                <w:iCs w:val="0"/>
              </w:rPr>
              <w:t>a rudeni</w:t>
            </w:r>
            <w:r w:rsidR="001A64F7" w:rsidRPr="00DC4C9D">
              <w:rPr>
                <w:rStyle w:val="Emphasis"/>
                <w:i w:val="0"/>
                <w:iCs w:val="0"/>
              </w:rPr>
              <w:t xml:space="preserve"> paredzēts uzsākt bērnu no 6 līdz 2</w:t>
            </w:r>
            <w:r w:rsidR="00B318BF">
              <w:rPr>
                <w:rStyle w:val="Emphasis"/>
                <w:i w:val="0"/>
                <w:iCs w:val="0"/>
              </w:rPr>
              <w:t>3</w:t>
            </w:r>
            <w:r w:rsidR="001A64F7" w:rsidRPr="00DC4C9D">
              <w:rPr>
                <w:rStyle w:val="Emphasis"/>
                <w:i w:val="0"/>
                <w:iCs w:val="0"/>
              </w:rPr>
              <w:t xml:space="preserve"> mēnešu vecumam</w:t>
            </w:r>
            <w:r w:rsidR="00B318BF">
              <w:rPr>
                <w:rStyle w:val="Emphasis"/>
                <w:i w:val="0"/>
                <w:iCs w:val="0"/>
              </w:rPr>
              <w:t xml:space="preserve"> (ieskai</w:t>
            </w:r>
            <w:r w:rsidR="00014F00">
              <w:rPr>
                <w:rStyle w:val="Emphasis"/>
                <w:i w:val="0"/>
                <w:iCs w:val="0"/>
              </w:rPr>
              <w:t>tot</w:t>
            </w:r>
            <w:r w:rsidR="00B318BF">
              <w:rPr>
                <w:rStyle w:val="Emphasis"/>
                <w:i w:val="0"/>
                <w:iCs w:val="0"/>
              </w:rPr>
              <w:t>)</w:t>
            </w:r>
            <w:r w:rsidR="001A64F7" w:rsidRPr="00DC4C9D">
              <w:rPr>
                <w:rStyle w:val="Emphasis"/>
                <w:i w:val="0"/>
                <w:iCs w:val="0"/>
              </w:rPr>
              <w:t xml:space="preserve"> vakcināciju pret gripu. </w:t>
            </w:r>
          </w:p>
          <w:p w14:paraId="498A2946" w14:textId="2D8FF760" w:rsidR="001A64F7" w:rsidRPr="00DC4C9D" w:rsidRDefault="001A64F7" w:rsidP="001A64F7">
            <w:pPr>
              <w:pStyle w:val="ListParagraph"/>
              <w:numPr>
                <w:ilvl w:val="0"/>
                <w:numId w:val="21"/>
              </w:numPr>
              <w:jc w:val="both"/>
              <w:rPr>
                <w:rStyle w:val="Emphasis"/>
                <w:i w:val="0"/>
                <w:iCs w:val="0"/>
              </w:rPr>
            </w:pPr>
            <w:r w:rsidRPr="00DC4C9D">
              <w:rPr>
                <w:rStyle w:val="Emphasis"/>
                <w:i w:val="0"/>
                <w:iCs w:val="0"/>
              </w:rPr>
              <w:t>Atbilstoši Imunizācijas valsts padomes 2017. gada 17. maijā pieņemtajam lēmumam paredzēts atteikties no sestās poliomielīta vakcīnas devas, aizstājot to ar sesto garā klepus vakcīnas devu. Ir novērojams garā klepus gadījumu skaita pieaugums, tādēļ ir nepieciešama papildu vakcīnas pret garo klepu deva pusaudžu vecumā. Čehijā, Igaunijā, Lietuvā, Ungārijā, Polijā, Slovākijā un Rumānijā balstvakcinācija pret garo klepu tiek veikta arī vecuma grupās no 10-17 gadiem. Kopumā šāda balstvakcinācija pret garo kle</w:t>
            </w:r>
            <w:r w:rsidR="00EE776E">
              <w:rPr>
                <w:rStyle w:val="Emphasis"/>
                <w:i w:val="0"/>
                <w:iCs w:val="0"/>
              </w:rPr>
              <w:t>pu vecuma grupās no 8-17 gadiem</w:t>
            </w:r>
            <w:r w:rsidRPr="00DC4C9D">
              <w:rPr>
                <w:rStyle w:val="Emphasis"/>
                <w:i w:val="0"/>
                <w:iCs w:val="0"/>
              </w:rPr>
              <w:t xml:space="preserve"> tiek veikta lielākajā daļā Eiropas valstu. Sešas vakcīnas devas pret poliomielītu izmanto tikai 4 ES valstīs (Horvātija, Latvija, Luksemburga, Nīderlande). </w:t>
            </w:r>
          </w:p>
          <w:p w14:paraId="545E3CB8" w14:textId="77777777" w:rsidR="001A64F7" w:rsidRPr="007848A3" w:rsidRDefault="001A64F7" w:rsidP="008E7059">
            <w:pPr>
              <w:jc w:val="both"/>
            </w:pPr>
          </w:p>
          <w:p w14:paraId="17C3322B" w14:textId="7B779B7E" w:rsidR="00C7338A" w:rsidRPr="007563B0" w:rsidRDefault="00137778" w:rsidP="00B410E7">
            <w:pPr>
              <w:jc w:val="both"/>
            </w:pPr>
            <w:r>
              <w:t>Ņemot vērā to, ka grozījumi tiek veikti gan V</w:t>
            </w:r>
            <w:r w:rsidR="006C1724">
              <w:t>akcinācijas noteikumu 3. punktā</w:t>
            </w:r>
            <w:r w:rsidR="00684657">
              <w:t xml:space="preserve"> (</w:t>
            </w:r>
            <w:r w:rsidR="00684657" w:rsidRPr="00684657">
              <w:rPr>
                <w:i/>
              </w:rPr>
              <w:t>bērnu un grūtnieču vakcinācija pret gripu; kontaktpersonu vakcinācija; patvēruma meklētāju vakcinācija</w:t>
            </w:r>
            <w:r w:rsidR="00684657">
              <w:t>)</w:t>
            </w:r>
            <w:r>
              <w:t xml:space="preserve"> </w:t>
            </w:r>
            <w:r w:rsidR="006C1724">
              <w:t>un</w:t>
            </w:r>
            <w:r>
              <w:t xml:space="preserve"> 1. pielikumā</w:t>
            </w:r>
            <w:r w:rsidR="007F2C91">
              <w:t xml:space="preserve"> (</w:t>
            </w:r>
            <w:r w:rsidR="007F2C91" w:rsidRPr="00386BBB">
              <w:rPr>
                <w:i/>
              </w:rPr>
              <w:t>sestā</w:t>
            </w:r>
            <w:r w:rsidR="00FB29FC">
              <w:rPr>
                <w:i/>
              </w:rPr>
              <w:t>s</w:t>
            </w:r>
            <w:r w:rsidR="007F2C91" w:rsidRPr="00386BBB">
              <w:rPr>
                <w:i/>
              </w:rPr>
              <w:t xml:space="preserve"> garā klepus vakcīnas devas ieviešana</w:t>
            </w:r>
            <w:r w:rsidR="00FA2555" w:rsidRPr="00386BBB">
              <w:rPr>
                <w:i/>
              </w:rPr>
              <w:t xml:space="preserve">; līdz 15 gadu vecumam vakcinācijas kurss paredz 2 potes meiteņu vakcinācijai pret cilvēka papilomas vīrusu infekciju, bet no 15 gadu vecuma ievada 3 vakcīnas devas; </w:t>
            </w:r>
            <w:r w:rsidR="00A55CDF" w:rsidRPr="00A55CDF">
              <w:rPr>
                <w:i/>
              </w:rPr>
              <w:t>vakcinācija pret rotavīrusu infekciju sastāv no divām vai trijām devām atkarībā no izmantotās vakcīnas</w:t>
            </w:r>
            <w:r w:rsidR="007F2C91">
              <w:t>)</w:t>
            </w:r>
            <w:r w:rsidR="008B0C35">
              <w:t>,</w:t>
            </w:r>
            <w:r w:rsidR="009B0337">
              <w:t xml:space="preserve"> </w:t>
            </w:r>
            <w:r w:rsidR="00386BBB">
              <w:t>gan izdarīti citi precizējumi</w:t>
            </w:r>
            <w:r w:rsidR="009B0337">
              <w:t xml:space="preserve"> </w:t>
            </w:r>
            <w:r w:rsidR="00386BBB">
              <w:t>(</w:t>
            </w:r>
            <w:r w:rsidR="00FB29FC" w:rsidRPr="00FB29FC">
              <w:rPr>
                <w:i/>
              </w:rPr>
              <w:t>piemēram,</w:t>
            </w:r>
            <w:r w:rsidR="00FB29FC">
              <w:t xml:space="preserve"> </w:t>
            </w:r>
            <w:r w:rsidR="00D2364D">
              <w:rPr>
                <w:i/>
              </w:rPr>
              <w:t>a</w:t>
            </w:r>
            <w:r w:rsidR="00D2364D" w:rsidRPr="00D2364D">
              <w:rPr>
                <w:i/>
              </w:rPr>
              <w:t xml:space="preserve">tbilstoši Pasaules Veselības asamblejas 2014. gada 2. maija rezolūcijai A67/35 sekretariāts ierosināja labojumu Starptautisko veselības aizsardzības noteikumu 7. pielikumā. Tādējādi no 2016. gada 11. jūlija aizsardzība, vakcinējoties pret dzelteno drudzi, vakcinētām personām turpinās visu dzīvi un nav nepieciešama </w:t>
            </w:r>
            <w:r w:rsidR="00D2364D" w:rsidRPr="007563B0">
              <w:rPr>
                <w:i/>
              </w:rPr>
              <w:t>balstvakcinācija</w:t>
            </w:r>
            <w:r w:rsidR="00386BBB" w:rsidRPr="007563B0">
              <w:t>)</w:t>
            </w:r>
            <w:r w:rsidR="009B0337" w:rsidRPr="007563B0">
              <w:t>,</w:t>
            </w:r>
            <w:r w:rsidR="00074FF7" w:rsidRPr="007563B0">
              <w:t xml:space="preserve"> </w:t>
            </w:r>
            <w:r w:rsidR="003E3CB8" w:rsidRPr="007563B0">
              <w:t xml:space="preserve">tiek grozīti attiecīgie </w:t>
            </w:r>
            <w:r w:rsidR="00074FF7" w:rsidRPr="007563B0">
              <w:t xml:space="preserve">Vakcinācijas noteikumu 3. pielikuma </w:t>
            </w:r>
            <w:r w:rsidR="003E3CB8" w:rsidRPr="007563B0">
              <w:t xml:space="preserve">punkti </w:t>
            </w:r>
            <w:r w:rsidR="00C7338A" w:rsidRPr="007563B0">
              <w:t xml:space="preserve">(noteikumu projekta </w:t>
            </w:r>
            <w:r w:rsidR="00E714DF">
              <w:rPr>
                <w:b/>
              </w:rPr>
              <w:t>15</w:t>
            </w:r>
            <w:r w:rsidR="00C7338A" w:rsidRPr="007563B0">
              <w:rPr>
                <w:b/>
              </w:rPr>
              <w:t>.</w:t>
            </w:r>
            <w:r w:rsidR="00D2463C" w:rsidRPr="007563B0">
              <w:rPr>
                <w:b/>
              </w:rPr>
              <w:t>-</w:t>
            </w:r>
            <w:r w:rsidR="00E714DF">
              <w:rPr>
                <w:b/>
              </w:rPr>
              <w:t>19</w:t>
            </w:r>
            <w:r w:rsidR="00D2463C" w:rsidRPr="007563B0">
              <w:rPr>
                <w:b/>
              </w:rPr>
              <w:t>.</w:t>
            </w:r>
            <w:r w:rsidR="00C7338A" w:rsidRPr="007563B0">
              <w:rPr>
                <w:b/>
              </w:rPr>
              <w:t> punkt</w:t>
            </w:r>
            <w:r w:rsidR="00D2463C" w:rsidRPr="007563B0">
              <w:rPr>
                <w:b/>
              </w:rPr>
              <w:t>i</w:t>
            </w:r>
            <w:r w:rsidR="00C7338A" w:rsidRPr="007563B0">
              <w:t>).</w:t>
            </w:r>
            <w:r w:rsidR="00913453" w:rsidRPr="007563B0">
              <w:t xml:space="preserve"> </w:t>
            </w:r>
          </w:p>
          <w:p w14:paraId="3668523F" w14:textId="77777777" w:rsidR="00507E37" w:rsidRPr="007563B0" w:rsidRDefault="00507E37" w:rsidP="00B16476">
            <w:pPr>
              <w:jc w:val="both"/>
            </w:pPr>
          </w:p>
          <w:p w14:paraId="6153469B" w14:textId="09C15F84" w:rsidR="00391364" w:rsidRDefault="00B52C0F" w:rsidP="006B4DEE">
            <w:pPr>
              <w:jc w:val="both"/>
            </w:pPr>
            <w:r w:rsidRPr="007563B0">
              <w:t>Imunizācijas valsts padomes sēdē (protokols Nr. 51) tika nolemts aktualizēt iestāžu sarakstu, kas veic vakcināciju pret dzelteno drudzi, tādēļ veikt</w:t>
            </w:r>
            <w:r w:rsidR="004452D1" w:rsidRPr="007563B0">
              <w:t>i</w:t>
            </w:r>
            <w:r w:rsidRPr="007563B0">
              <w:t xml:space="preserve"> grozījum</w:t>
            </w:r>
            <w:r w:rsidR="004452D1" w:rsidRPr="007563B0">
              <w:t>i</w:t>
            </w:r>
            <w:r w:rsidRPr="007563B0">
              <w:t xml:space="preserve"> Vakcinācijas noteikumu 6. pielikumā (</w:t>
            </w:r>
            <w:r w:rsidR="00E714DF">
              <w:rPr>
                <w:b/>
              </w:rPr>
              <w:t>20</w:t>
            </w:r>
            <w:r w:rsidRPr="007563B0">
              <w:rPr>
                <w:b/>
              </w:rPr>
              <w:t>.</w:t>
            </w:r>
            <w:r w:rsidR="000553D3" w:rsidRPr="007563B0">
              <w:rPr>
                <w:b/>
              </w:rPr>
              <w:t xml:space="preserve"> </w:t>
            </w:r>
            <w:r w:rsidRPr="007563B0">
              <w:t>un</w:t>
            </w:r>
            <w:r w:rsidR="00F3130C" w:rsidRPr="007563B0">
              <w:rPr>
                <w:b/>
              </w:rPr>
              <w:t xml:space="preserve"> </w:t>
            </w:r>
            <w:r w:rsidR="00E714DF">
              <w:rPr>
                <w:b/>
              </w:rPr>
              <w:t>21</w:t>
            </w:r>
            <w:r w:rsidRPr="007563B0">
              <w:rPr>
                <w:b/>
              </w:rPr>
              <w:t>. punkts</w:t>
            </w:r>
            <w:r w:rsidRPr="007563B0">
              <w:t>).</w:t>
            </w:r>
          </w:p>
          <w:p w14:paraId="71AB982C" w14:textId="77777777" w:rsidR="00650230" w:rsidRPr="007848A3" w:rsidRDefault="00650230" w:rsidP="00EA55C5">
            <w:pPr>
              <w:jc w:val="both"/>
            </w:pPr>
          </w:p>
          <w:p w14:paraId="5EF9C03A" w14:textId="77777777" w:rsidR="00D9599A" w:rsidRPr="00824DF2" w:rsidRDefault="00D9599A" w:rsidP="00EA55C5">
            <w:pPr>
              <w:pStyle w:val="naiskr"/>
              <w:spacing w:before="0" w:after="0"/>
              <w:jc w:val="both"/>
            </w:pPr>
            <w:r w:rsidRPr="007848A3">
              <w:t xml:space="preserve">Projekta </w:t>
            </w:r>
            <w:r w:rsidRPr="00824DF2">
              <w:t>mērķis ir:</w:t>
            </w:r>
          </w:p>
          <w:p w14:paraId="2E504ECF" w14:textId="0CC40AAD" w:rsidR="00751C40" w:rsidRPr="00824DF2" w:rsidRDefault="00257262" w:rsidP="00EA55C5">
            <w:pPr>
              <w:pStyle w:val="naiskr"/>
              <w:numPr>
                <w:ilvl w:val="0"/>
                <w:numId w:val="20"/>
              </w:numPr>
              <w:spacing w:before="0" w:after="0"/>
              <w:jc w:val="both"/>
            </w:pPr>
            <w:r>
              <w:t>Bērnu v</w:t>
            </w:r>
            <w:r w:rsidR="00033B1A" w:rsidRPr="00824DF2">
              <w:t>akcinācijas kalendārā iekļaut bērnu (6-2</w:t>
            </w:r>
            <w:r w:rsidR="00C552E7">
              <w:t>3</w:t>
            </w:r>
            <w:r w:rsidR="00033B1A" w:rsidRPr="00824DF2">
              <w:t xml:space="preserve"> mēneši</w:t>
            </w:r>
            <w:r w:rsidR="00C552E7">
              <w:t xml:space="preserve"> (ieskaitot)</w:t>
            </w:r>
            <w:r w:rsidR="00033B1A" w:rsidRPr="00824DF2">
              <w:t>) un grūtnieču vakcināciju pret gripu.</w:t>
            </w:r>
          </w:p>
          <w:p w14:paraId="59EC1797" w14:textId="74A80659" w:rsidR="00033B1A" w:rsidRPr="00824DF2" w:rsidRDefault="008D6072" w:rsidP="00EA55C5">
            <w:pPr>
              <w:pStyle w:val="naiskr"/>
              <w:numPr>
                <w:ilvl w:val="0"/>
                <w:numId w:val="20"/>
              </w:numPr>
              <w:spacing w:before="0" w:after="0"/>
              <w:jc w:val="both"/>
            </w:pPr>
            <w:r>
              <w:t>Bērnu v</w:t>
            </w:r>
            <w:r w:rsidRPr="00824DF2">
              <w:t xml:space="preserve">akcinācijas </w:t>
            </w:r>
            <w:r w:rsidR="009866D1" w:rsidRPr="00824DF2">
              <w:t>kalendārā 14 gadus veciem bērniem iekļaut vakcināciju pret garo klepu (6. deva) un pārtraukt vakcinācijas pret poliomielīta 6. devas ievadīšanu.</w:t>
            </w:r>
          </w:p>
          <w:p w14:paraId="5151E521" w14:textId="78FA1F79" w:rsidR="00335EF9" w:rsidRDefault="00335EF9" w:rsidP="00EA55C5">
            <w:pPr>
              <w:pStyle w:val="naiskr"/>
              <w:numPr>
                <w:ilvl w:val="0"/>
                <w:numId w:val="20"/>
              </w:numPr>
              <w:spacing w:before="0" w:after="0"/>
              <w:jc w:val="both"/>
            </w:pPr>
            <w:r>
              <w:t xml:space="preserve">Precizēt </w:t>
            </w:r>
            <w:r w:rsidR="006C6B08">
              <w:t xml:space="preserve">bērnu </w:t>
            </w:r>
            <w:r>
              <w:t>v</w:t>
            </w:r>
            <w:r w:rsidR="00797C76" w:rsidRPr="007848A3">
              <w:t>akcinācijas kalendār</w:t>
            </w:r>
            <w:r>
              <w:t>u atbilstoši citiem grozījumiem.</w:t>
            </w:r>
          </w:p>
          <w:p w14:paraId="4DD004B2" w14:textId="77777777" w:rsidR="002F73A2" w:rsidRPr="0085394C" w:rsidRDefault="00F8792D" w:rsidP="00EA55C5">
            <w:pPr>
              <w:pStyle w:val="naiskr"/>
              <w:numPr>
                <w:ilvl w:val="0"/>
                <w:numId w:val="20"/>
              </w:numPr>
              <w:spacing w:before="0" w:after="0"/>
              <w:jc w:val="both"/>
            </w:pPr>
            <w:r w:rsidRPr="00283C78">
              <w:lastRenderedPageBreak/>
              <w:t>Noteikt</w:t>
            </w:r>
            <w:r w:rsidR="005E3F2D" w:rsidRPr="00283C78">
              <w:t xml:space="preserve">, </w:t>
            </w:r>
            <w:r w:rsidR="005E3F2D" w:rsidRPr="0085394C">
              <w:t>ka</w:t>
            </w:r>
            <w:r w:rsidRPr="0085394C">
              <w:t xml:space="preserve"> </w:t>
            </w:r>
            <w:r w:rsidR="00283C78" w:rsidRPr="0085394C">
              <w:t>nevakcinētām kontaktpersonām</w:t>
            </w:r>
            <w:r w:rsidR="005E3F2D" w:rsidRPr="0085394C">
              <w:t xml:space="preserve"> (bērni</w:t>
            </w:r>
            <w:r w:rsidR="00283C78" w:rsidRPr="0085394C">
              <w:t>em</w:t>
            </w:r>
            <w:r w:rsidR="005E3F2D" w:rsidRPr="0085394C">
              <w:t xml:space="preserve"> un pieauguš</w:t>
            </w:r>
            <w:r w:rsidR="00283C78" w:rsidRPr="0085394C">
              <w:t>aj</w:t>
            </w:r>
            <w:r w:rsidR="005E3F2D" w:rsidRPr="0085394C">
              <w:t>ie</w:t>
            </w:r>
            <w:r w:rsidR="00283C78" w:rsidRPr="0085394C">
              <w:t>m</w:t>
            </w:r>
            <w:r w:rsidR="005E3F2D" w:rsidRPr="0085394C">
              <w:t xml:space="preserve">) pēc epidemioloģiskām indikācijām </w:t>
            </w:r>
            <w:r w:rsidR="00283C78" w:rsidRPr="0085394C">
              <w:t>ir tiesības uz valsts apmaksātu vakcināciju</w:t>
            </w:r>
            <w:r w:rsidR="005E3F2D" w:rsidRPr="0085394C">
              <w:t xml:space="preserve"> pret difteriju, poliomielītu, masalām, masaliņām un epidēmisko parotītu par valsts budžeta līdzekļiem.</w:t>
            </w:r>
          </w:p>
          <w:p w14:paraId="767C330E" w14:textId="640B6B2C" w:rsidR="00D9599A" w:rsidRPr="0085394C" w:rsidRDefault="005D7882" w:rsidP="00EA55C5">
            <w:pPr>
              <w:pStyle w:val="naiskr"/>
              <w:numPr>
                <w:ilvl w:val="0"/>
                <w:numId w:val="20"/>
              </w:numPr>
              <w:spacing w:before="0" w:after="0"/>
              <w:jc w:val="both"/>
            </w:pPr>
            <w:r w:rsidRPr="0085394C">
              <w:t>Uzlikt visām vakcinācijas iestādēm</w:t>
            </w:r>
            <w:r w:rsidR="00E21EAD" w:rsidRPr="0085394C">
              <w:t xml:space="preserve"> </w:t>
            </w:r>
            <w:r w:rsidRPr="0085394C">
              <w:t xml:space="preserve">par pienākumu </w:t>
            </w:r>
            <w:r w:rsidR="00220312" w:rsidRPr="0085394C">
              <w:t xml:space="preserve">atbildēt par vakcīnu krājumu racionālu izlietojumu un </w:t>
            </w:r>
            <w:r w:rsidR="00DA03F5" w:rsidRPr="0085394C">
              <w:t xml:space="preserve">nepieciešamības gadījumā </w:t>
            </w:r>
            <w:r w:rsidR="00220312" w:rsidRPr="0085394C">
              <w:t>aizpildīt veidlap</w:t>
            </w:r>
            <w:r w:rsidR="0094297B">
              <w:t>u</w:t>
            </w:r>
            <w:r w:rsidR="00220312" w:rsidRPr="0085394C">
              <w:t xml:space="preserve"> par vakcīnu norakstīšan</w:t>
            </w:r>
            <w:r w:rsidR="0094297B">
              <w:t>u/atgriešanu</w:t>
            </w:r>
            <w:r w:rsidR="00220312" w:rsidRPr="0085394C">
              <w:t xml:space="preserve">. </w:t>
            </w:r>
          </w:p>
          <w:p w14:paraId="719AD4F8" w14:textId="507838BA" w:rsidR="00C11B10" w:rsidRDefault="00C11B10" w:rsidP="00EA55C5">
            <w:pPr>
              <w:pStyle w:val="naiskr"/>
              <w:numPr>
                <w:ilvl w:val="0"/>
                <w:numId w:val="20"/>
              </w:numPr>
              <w:spacing w:before="0" w:after="0"/>
              <w:jc w:val="both"/>
            </w:pPr>
            <w:r w:rsidRPr="001D1889">
              <w:t xml:space="preserve">Precizēti </w:t>
            </w:r>
            <w:r w:rsidR="00DB6275">
              <w:t>VI pienākumi vakcinācijas jomā.</w:t>
            </w:r>
          </w:p>
          <w:p w14:paraId="2F25153B" w14:textId="77777777" w:rsidR="00084964" w:rsidRPr="001D1889" w:rsidRDefault="00084964" w:rsidP="00084964">
            <w:pPr>
              <w:pStyle w:val="naiskr"/>
              <w:spacing w:before="0" w:after="0"/>
              <w:ind w:left="360"/>
              <w:jc w:val="both"/>
            </w:pPr>
          </w:p>
          <w:p w14:paraId="19AAE1EA" w14:textId="77777777" w:rsidR="007050D7" w:rsidRPr="007848A3" w:rsidRDefault="00D9599A" w:rsidP="00EA55C5">
            <w:pPr>
              <w:pStyle w:val="naiskr"/>
              <w:spacing w:before="0" w:after="0"/>
              <w:jc w:val="both"/>
            </w:pPr>
            <w:r w:rsidRPr="007848A3">
              <w:t>Noteikumu projekts atrisinās identificētās problēmas un novērsīs tiesiskā regulējuma nepilnības.</w:t>
            </w:r>
          </w:p>
        </w:tc>
      </w:tr>
      <w:tr w:rsidR="00771C3C" w:rsidRPr="007848A3" w14:paraId="232143C5" w14:textId="77777777" w:rsidTr="00021155">
        <w:trPr>
          <w:trHeight w:val="274"/>
        </w:trPr>
        <w:tc>
          <w:tcPr>
            <w:tcW w:w="528" w:type="dxa"/>
          </w:tcPr>
          <w:p w14:paraId="455FAF9A" w14:textId="77777777" w:rsidR="00771C3C" w:rsidRPr="007848A3" w:rsidRDefault="00771C3C" w:rsidP="0073447B">
            <w:pPr>
              <w:pStyle w:val="naiskr"/>
              <w:spacing w:before="20" w:after="20"/>
              <w:jc w:val="center"/>
            </w:pPr>
            <w:r w:rsidRPr="007848A3">
              <w:lastRenderedPageBreak/>
              <w:t>3.</w:t>
            </w:r>
          </w:p>
        </w:tc>
        <w:tc>
          <w:tcPr>
            <w:tcW w:w="2181" w:type="dxa"/>
          </w:tcPr>
          <w:p w14:paraId="02E0752D" w14:textId="77777777" w:rsidR="000F45F1" w:rsidRPr="00563059" w:rsidRDefault="00EE53E8" w:rsidP="000F45F1">
            <w:pPr>
              <w:pStyle w:val="naiskr"/>
              <w:spacing w:before="20" w:after="20"/>
            </w:pPr>
            <w:r w:rsidRPr="007848A3">
              <w:t xml:space="preserve">Projekta izstrādē iesaistītās </w:t>
            </w:r>
            <w:r w:rsidRPr="00563059">
              <w:t>institūcijas</w:t>
            </w:r>
            <w:r w:rsidR="000F45F1" w:rsidRPr="00563059">
              <w:t xml:space="preserve"> un publiskas personas</w:t>
            </w:r>
          </w:p>
          <w:p w14:paraId="77FBE4BC" w14:textId="77777777" w:rsidR="00771C3C" w:rsidRPr="007848A3" w:rsidRDefault="000F45F1" w:rsidP="000F45F1">
            <w:pPr>
              <w:pStyle w:val="naiskr"/>
              <w:spacing w:before="20" w:after="20"/>
            </w:pPr>
            <w:r w:rsidRPr="00563059">
              <w:t>kapitālsabiedrības</w:t>
            </w:r>
          </w:p>
        </w:tc>
        <w:tc>
          <w:tcPr>
            <w:tcW w:w="6392" w:type="dxa"/>
          </w:tcPr>
          <w:p w14:paraId="5BA34F2C" w14:textId="252CD97A" w:rsidR="005E3BCF" w:rsidRPr="007848A3" w:rsidRDefault="00BA1BC3" w:rsidP="00AC672B">
            <w:pPr>
              <w:pStyle w:val="naiskr"/>
              <w:spacing w:before="20" w:after="20"/>
              <w:jc w:val="both"/>
            </w:pPr>
            <w:r>
              <w:t>VM</w:t>
            </w:r>
            <w:r w:rsidR="00AC672B" w:rsidRPr="00AC672B">
              <w:t xml:space="preserve">, </w:t>
            </w:r>
            <w:r w:rsidR="00204294">
              <w:t>NVD</w:t>
            </w:r>
            <w:r w:rsidR="00F501F2" w:rsidRPr="007848A3">
              <w:t>,</w:t>
            </w:r>
            <w:r w:rsidR="0055132B" w:rsidRPr="007848A3">
              <w:t xml:space="preserve"> </w:t>
            </w:r>
            <w:r w:rsidR="00204294">
              <w:t>SPKC</w:t>
            </w:r>
            <w:r w:rsidR="00F501F2" w:rsidRPr="007848A3">
              <w:t xml:space="preserve">, </w:t>
            </w:r>
            <w:r w:rsidR="00204294">
              <w:t>VI</w:t>
            </w:r>
            <w:r w:rsidR="00563059">
              <w:t>,</w:t>
            </w:r>
            <w:r w:rsidR="00204294">
              <w:t xml:space="preserve"> </w:t>
            </w:r>
            <w:r w:rsidR="006F27F2" w:rsidRPr="006F27F2">
              <w:t>ZVA</w:t>
            </w:r>
            <w:r w:rsidR="00563059">
              <w:t xml:space="preserve">, </w:t>
            </w:r>
            <w:r w:rsidR="00D87049" w:rsidRPr="00D87049">
              <w:t>Imunizācijas valsts padome</w:t>
            </w:r>
            <w:r w:rsidR="00B52AEB">
              <w:t xml:space="preserve"> (</w:t>
            </w:r>
            <w:r w:rsidR="00C57197" w:rsidRPr="00953562">
              <w:rPr>
                <w:i/>
              </w:rPr>
              <w:t xml:space="preserve">sastāvs: </w:t>
            </w:r>
            <w:r w:rsidR="00460451" w:rsidRPr="00953562">
              <w:rPr>
                <w:i/>
              </w:rPr>
              <w:t xml:space="preserve">VSIA </w:t>
            </w:r>
            <w:r w:rsidR="00311E47" w:rsidRPr="00953562">
              <w:rPr>
                <w:i/>
              </w:rPr>
              <w:t>"</w:t>
            </w:r>
            <w:r w:rsidR="00460451" w:rsidRPr="00953562">
              <w:rPr>
                <w:i/>
              </w:rPr>
              <w:t>Bērnu klīniskā universitātes slimnīca</w:t>
            </w:r>
            <w:r w:rsidR="00311E47" w:rsidRPr="00953562">
              <w:rPr>
                <w:i/>
              </w:rPr>
              <w:t>"</w:t>
            </w:r>
            <w:r w:rsidR="002C62A2" w:rsidRPr="00953562">
              <w:rPr>
                <w:i/>
              </w:rPr>
              <w:t>,</w:t>
            </w:r>
            <w:r w:rsidR="00D067F2" w:rsidRPr="00953562">
              <w:rPr>
                <w:i/>
              </w:rPr>
              <w:t xml:space="preserve"> VSIA </w:t>
            </w:r>
            <w:r w:rsidR="00311E47" w:rsidRPr="00953562">
              <w:rPr>
                <w:i/>
              </w:rPr>
              <w:t>"</w:t>
            </w:r>
            <w:r w:rsidR="00D067F2" w:rsidRPr="00953562">
              <w:rPr>
                <w:i/>
              </w:rPr>
              <w:t>Paula Stradiņa klīniskā universitātes slimnīca</w:t>
            </w:r>
            <w:r w:rsidR="00311E47" w:rsidRPr="00953562">
              <w:rPr>
                <w:i/>
              </w:rPr>
              <w:t>"</w:t>
            </w:r>
            <w:r w:rsidR="00DB18B5" w:rsidRPr="00953562">
              <w:rPr>
                <w:i/>
              </w:rPr>
              <w:t xml:space="preserve">, Rīgas Stradiņa universitāte, </w:t>
            </w:r>
            <w:r w:rsidR="00311E47" w:rsidRPr="00953562">
              <w:rPr>
                <w:i/>
              </w:rPr>
              <w:t xml:space="preserve">SIA "Rīgas Dzemdību nams", </w:t>
            </w:r>
            <w:r w:rsidR="00835F2E" w:rsidRPr="00953562">
              <w:rPr>
                <w:i/>
              </w:rPr>
              <w:t xml:space="preserve">SIA "Rīgas Austrumu klīniskā universitātes slimnīca", </w:t>
            </w:r>
            <w:r w:rsidR="00D70658" w:rsidRPr="00953562">
              <w:rPr>
                <w:i/>
              </w:rPr>
              <w:t>ģimenes ārsts</w:t>
            </w:r>
            <w:r w:rsidR="00B52AEB">
              <w:t>)</w:t>
            </w:r>
            <w:r w:rsidR="00E67B03">
              <w:t>.</w:t>
            </w:r>
          </w:p>
        </w:tc>
      </w:tr>
      <w:tr w:rsidR="00771C3C" w:rsidRPr="007848A3" w14:paraId="218FB75B" w14:textId="77777777" w:rsidTr="003812D2">
        <w:tc>
          <w:tcPr>
            <w:tcW w:w="528" w:type="dxa"/>
          </w:tcPr>
          <w:p w14:paraId="4E31AEE9" w14:textId="77777777" w:rsidR="00771C3C" w:rsidRPr="007848A3" w:rsidRDefault="00331B42" w:rsidP="0073447B">
            <w:pPr>
              <w:pStyle w:val="naiskr"/>
              <w:spacing w:before="20" w:after="20"/>
              <w:jc w:val="center"/>
            </w:pPr>
            <w:r w:rsidRPr="007848A3">
              <w:t>4</w:t>
            </w:r>
            <w:r w:rsidR="00771C3C" w:rsidRPr="007848A3">
              <w:t>.</w:t>
            </w:r>
          </w:p>
        </w:tc>
        <w:tc>
          <w:tcPr>
            <w:tcW w:w="2181" w:type="dxa"/>
          </w:tcPr>
          <w:p w14:paraId="63101262" w14:textId="77777777" w:rsidR="00771C3C" w:rsidRPr="007848A3" w:rsidRDefault="00771C3C" w:rsidP="0073447B">
            <w:pPr>
              <w:pStyle w:val="naiskr"/>
              <w:spacing w:before="20" w:after="20"/>
            </w:pPr>
            <w:r w:rsidRPr="007848A3">
              <w:t> Cita informācija</w:t>
            </w:r>
          </w:p>
        </w:tc>
        <w:tc>
          <w:tcPr>
            <w:tcW w:w="6392" w:type="dxa"/>
          </w:tcPr>
          <w:p w14:paraId="7A9E2F76" w14:textId="77777777" w:rsidR="00771C3C" w:rsidRPr="007848A3" w:rsidRDefault="00B941C3" w:rsidP="00B129D9">
            <w:pPr>
              <w:pStyle w:val="naiskr"/>
              <w:spacing w:before="20" w:after="20"/>
            </w:pPr>
            <w:r w:rsidRPr="007848A3">
              <w:t>Nav</w:t>
            </w:r>
          </w:p>
        </w:tc>
      </w:tr>
    </w:tbl>
    <w:p w14:paraId="2179F0B5" w14:textId="77777777" w:rsidR="009A2357" w:rsidRDefault="009A2357" w:rsidP="00A57857">
      <w:pPr>
        <w:pStyle w:val="naisf"/>
        <w:spacing w:before="0" w:after="0"/>
        <w:ind w:firstLine="289"/>
        <w:jc w:val="center"/>
        <w:rPr>
          <w:sz w:val="28"/>
          <w:szCs w:val="28"/>
        </w:rPr>
      </w:pPr>
    </w:p>
    <w:tbl>
      <w:tblPr>
        <w:tblStyle w:val="TableGrid"/>
        <w:tblW w:w="5000" w:type="pct"/>
        <w:tblLook w:val="04A0" w:firstRow="1" w:lastRow="0" w:firstColumn="1" w:lastColumn="0" w:noHBand="0" w:noVBand="1"/>
      </w:tblPr>
      <w:tblGrid>
        <w:gridCol w:w="451"/>
        <w:gridCol w:w="2789"/>
        <w:gridCol w:w="5821"/>
      </w:tblGrid>
      <w:tr w:rsidR="00803E0A" w:rsidRPr="009A75D6" w14:paraId="42CF48F5" w14:textId="77777777" w:rsidTr="0023421F">
        <w:trPr>
          <w:trHeight w:val="555"/>
        </w:trPr>
        <w:tc>
          <w:tcPr>
            <w:tcW w:w="5000" w:type="pct"/>
            <w:gridSpan w:val="3"/>
            <w:hideMark/>
          </w:tcPr>
          <w:p w14:paraId="5E1410A4" w14:textId="77777777" w:rsidR="00803E0A" w:rsidRPr="009A75D6" w:rsidRDefault="00803E0A" w:rsidP="005D64CB">
            <w:pPr>
              <w:spacing w:before="100" w:beforeAutospacing="1" w:after="100" w:afterAutospacing="1"/>
              <w:ind w:firstLine="272"/>
              <w:jc w:val="center"/>
              <w:rPr>
                <w:b/>
                <w:bCs/>
              </w:rPr>
            </w:pPr>
            <w:r w:rsidRPr="009A75D6">
              <w:rPr>
                <w:b/>
                <w:bCs/>
              </w:rPr>
              <w:t>II. Tiesību akta projekta ietekme uz sabiedrību, tautsaimniecības attīstību un administratīvo slogu</w:t>
            </w:r>
          </w:p>
        </w:tc>
      </w:tr>
      <w:tr w:rsidR="00803E0A" w:rsidRPr="009A75D6" w14:paraId="55434A83" w14:textId="77777777" w:rsidTr="0023421F">
        <w:trPr>
          <w:trHeight w:val="465"/>
        </w:trPr>
        <w:tc>
          <w:tcPr>
            <w:tcW w:w="249" w:type="pct"/>
            <w:hideMark/>
          </w:tcPr>
          <w:p w14:paraId="252EAFA1" w14:textId="77777777" w:rsidR="00803E0A" w:rsidRPr="009A75D6" w:rsidRDefault="00803E0A" w:rsidP="00803E0A">
            <w:r w:rsidRPr="009A75D6">
              <w:t>1.</w:t>
            </w:r>
          </w:p>
        </w:tc>
        <w:tc>
          <w:tcPr>
            <w:tcW w:w="1539" w:type="pct"/>
            <w:hideMark/>
          </w:tcPr>
          <w:p w14:paraId="0B14780D" w14:textId="77777777" w:rsidR="00803E0A" w:rsidRPr="009A75D6" w:rsidRDefault="00803E0A" w:rsidP="00803E0A">
            <w:r w:rsidRPr="009A75D6">
              <w:t xml:space="preserve">Sabiedrības </w:t>
            </w:r>
            <w:proofErr w:type="spellStart"/>
            <w:r w:rsidRPr="009A75D6">
              <w:t>mērķgrupas</w:t>
            </w:r>
            <w:proofErr w:type="spellEnd"/>
            <w:r w:rsidRPr="009A75D6">
              <w:t>, kuras tiesiskais regulējums ietekmē vai varētu ietekmēt</w:t>
            </w:r>
          </w:p>
        </w:tc>
        <w:tc>
          <w:tcPr>
            <w:tcW w:w="3212" w:type="pct"/>
            <w:hideMark/>
          </w:tcPr>
          <w:p w14:paraId="2B4E45EB" w14:textId="77777777" w:rsidR="006B2754" w:rsidRDefault="006B2754" w:rsidP="00C8222D">
            <w:pPr>
              <w:jc w:val="both"/>
            </w:pPr>
            <w:r w:rsidRPr="009A75D6">
              <w:t xml:space="preserve">Noteikumu </w:t>
            </w:r>
            <w:r w:rsidRPr="001D1889">
              <w:t>projektam ir pozitīva ietekme uz sabiedrības veselību – tiek aizstāvētas sabiedrības intereses kopumā</w:t>
            </w:r>
            <w:r w:rsidR="00936451">
              <w:t xml:space="preserve">, jo vakcinējamais personu loks tiek pasargāts pret inficēšanos un saslimšanu ar </w:t>
            </w:r>
            <w:proofErr w:type="spellStart"/>
            <w:r w:rsidR="00936451">
              <w:t>vakcīnregulējamajām</w:t>
            </w:r>
            <w:proofErr w:type="spellEnd"/>
            <w:r w:rsidR="00936451">
              <w:t xml:space="preserve"> infekcijas slimībām</w:t>
            </w:r>
            <w:r w:rsidRPr="001D1889">
              <w:t>.</w:t>
            </w:r>
          </w:p>
          <w:p w14:paraId="74DD0EE0" w14:textId="77777777" w:rsidR="00FE564B" w:rsidRPr="001D1889" w:rsidRDefault="00FE564B" w:rsidP="00C8222D">
            <w:pPr>
              <w:jc w:val="both"/>
            </w:pPr>
          </w:p>
          <w:p w14:paraId="4B098F7B" w14:textId="0EA83CF4" w:rsidR="00673E7A" w:rsidRDefault="008521AB" w:rsidP="0063760B">
            <w:pPr>
              <w:jc w:val="both"/>
            </w:pPr>
            <w:r w:rsidRPr="001D1889">
              <w:t>Noteikumu projekts attiecināms</w:t>
            </w:r>
            <w:r w:rsidR="0039237B">
              <w:t xml:space="preserve"> uz</w:t>
            </w:r>
            <w:r w:rsidR="0063760B">
              <w:t xml:space="preserve"> </w:t>
            </w:r>
            <w:r w:rsidRPr="001D1889">
              <w:t>jebkuru sabiedrības locekli, kuram saskaņā ar vakcinācijas kalendāru ir jāveic vakcinācija pret kādu no vakcīnregulējamām infekcijas slimībām.</w:t>
            </w:r>
          </w:p>
          <w:p w14:paraId="48D65FC0" w14:textId="77777777" w:rsidR="001B1575" w:rsidRPr="009A75D6" w:rsidRDefault="001B1575" w:rsidP="00C8222D">
            <w:pPr>
              <w:jc w:val="both"/>
            </w:pPr>
          </w:p>
          <w:p w14:paraId="6324206A" w14:textId="77777777" w:rsidR="00FA3A90" w:rsidRDefault="00286025" w:rsidP="00C64A46">
            <w:pPr>
              <w:jc w:val="both"/>
            </w:pPr>
            <w:r w:rsidRPr="009A75D6">
              <w:t>Noteikumu projekts ietekmē</w:t>
            </w:r>
            <w:r w:rsidR="00FA3A90">
              <w:t>:</w:t>
            </w:r>
            <w:r w:rsidR="00260856">
              <w:t xml:space="preserve"> </w:t>
            </w:r>
          </w:p>
          <w:p w14:paraId="7BFC7046" w14:textId="42BEF89F" w:rsidR="00FA3A90" w:rsidRDefault="00C64A46" w:rsidP="00FA3A90">
            <w:pPr>
              <w:pStyle w:val="ListParagraph"/>
              <w:numPr>
                <w:ilvl w:val="0"/>
                <w:numId w:val="24"/>
              </w:numPr>
              <w:jc w:val="both"/>
            </w:pPr>
            <w:r>
              <w:t>ģ</w:t>
            </w:r>
            <w:r w:rsidRPr="005A1FB1">
              <w:t>imenes ārst</w:t>
            </w:r>
            <w:r>
              <w:t xml:space="preserve">us un </w:t>
            </w:r>
            <w:r w:rsidR="00260856">
              <w:t>v</w:t>
            </w:r>
            <w:r w:rsidR="00475D59" w:rsidRPr="009A75D6">
              <w:t xml:space="preserve">akcinācijas </w:t>
            </w:r>
            <w:r w:rsidR="00475D59" w:rsidRPr="0040623C">
              <w:t>iestādes</w:t>
            </w:r>
            <w:r w:rsidR="00B6467F" w:rsidRPr="0040623C">
              <w:t>.</w:t>
            </w:r>
            <w:r w:rsidR="000309A5">
              <w:t xml:space="preserve"> </w:t>
            </w:r>
          </w:p>
          <w:p w14:paraId="1E6C319B" w14:textId="77777777" w:rsidR="00FA3A90" w:rsidRDefault="00FA3A90" w:rsidP="00FA3A90">
            <w:pPr>
              <w:pStyle w:val="ListParagraph"/>
              <w:numPr>
                <w:ilvl w:val="0"/>
                <w:numId w:val="24"/>
              </w:numPr>
              <w:jc w:val="both"/>
            </w:pPr>
            <w:r>
              <w:t>SPKC</w:t>
            </w:r>
            <w:r w:rsidR="00286025" w:rsidRPr="009A75D6">
              <w:t xml:space="preserve"> </w:t>
            </w:r>
            <w:r w:rsidR="00C04F17">
              <w:t>darbiniekus</w:t>
            </w:r>
            <w:r w:rsidR="00EA5E5C" w:rsidRPr="006708DB">
              <w:t>, k</w:t>
            </w:r>
            <w:r w:rsidR="00661F13" w:rsidRPr="006708DB">
              <w:t>uri</w:t>
            </w:r>
            <w:r w:rsidR="00EA5E5C" w:rsidRPr="006708DB">
              <w:t xml:space="preserve"> </w:t>
            </w:r>
            <w:r w:rsidR="00106466" w:rsidRPr="006708DB">
              <w:t>apkopo vakcinācijas iestāžu vakcīnu pasūtījumus, atskaites par vakcināciju un vakcīnu izlietojumu</w:t>
            </w:r>
            <w:r w:rsidR="00712E6B" w:rsidRPr="006708DB">
              <w:t>.</w:t>
            </w:r>
          </w:p>
          <w:p w14:paraId="37B7CAAC" w14:textId="77777777" w:rsidR="00CE31E7" w:rsidRDefault="00FA3A90" w:rsidP="00CE31E7">
            <w:pPr>
              <w:pStyle w:val="ListParagraph"/>
              <w:numPr>
                <w:ilvl w:val="0"/>
                <w:numId w:val="24"/>
              </w:numPr>
              <w:jc w:val="both"/>
            </w:pPr>
            <w:r>
              <w:t>VI</w:t>
            </w:r>
            <w:r w:rsidR="00C04F17">
              <w:t xml:space="preserve"> inspektorus</w:t>
            </w:r>
            <w:r w:rsidR="005A4A52" w:rsidRPr="009A75D6">
              <w:t xml:space="preserve">, </w:t>
            </w:r>
            <w:r w:rsidR="006769DD" w:rsidRPr="009A75D6">
              <w:t>veic kontroles vakcinācijas iestād</w:t>
            </w:r>
            <w:r w:rsidR="00D32C45" w:rsidRPr="009A75D6">
              <w:t>ēs un veic vakcinācijas uzraudzību un kontroli.</w:t>
            </w:r>
          </w:p>
          <w:p w14:paraId="20E6E747" w14:textId="0BF0A034" w:rsidR="00C8222D" w:rsidRPr="009A75D6" w:rsidRDefault="00CE31E7" w:rsidP="00A352B6">
            <w:pPr>
              <w:pStyle w:val="ListParagraph"/>
              <w:numPr>
                <w:ilvl w:val="0"/>
                <w:numId w:val="24"/>
              </w:numPr>
              <w:jc w:val="both"/>
            </w:pPr>
            <w:r>
              <w:t>NVD</w:t>
            </w:r>
            <w:r w:rsidR="00C04F17">
              <w:t xml:space="preserve"> </w:t>
            </w:r>
            <w:r w:rsidR="00AF5280">
              <w:t>darbiniekus</w:t>
            </w:r>
            <w:r w:rsidR="00F539A7" w:rsidRPr="00BA281A">
              <w:t>, kuri</w:t>
            </w:r>
            <w:r w:rsidR="00F539A7" w:rsidRPr="009A75D6">
              <w:t xml:space="preserve"> </w:t>
            </w:r>
            <w:r w:rsidR="00394289" w:rsidRPr="0046173F">
              <w:t>nodarbojas ar iepirkumu (vakcīnas un šļirces) veikšanu.</w:t>
            </w:r>
          </w:p>
        </w:tc>
      </w:tr>
      <w:tr w:rsidR="00803E0A" w:rsidRPr="009A75D6" w14:paraId="0A24359C" w14:textId="77777777" w:rsidTr="0023421F">
        <w:trPr>
          <w:trHeight w:val="510"/>
        </w:trPr>
        <w:tc>
          <w:tcPr>
            <w:tcW w:w="249" w:type="pct"/>
            <w:hideMark/>
          </w:tcPr>
          <w:p w14:paraId="118E5484" w14:textId="77777777" w:rsidR="00803E0A" w:rsidRPr="009A75D6" w:rsidRDefault="00803E0A" w:rsidP="00803E0A">
            <w:r w:rsidRPr="009A75D6">
              <w:t>2.</w:t>
            </w:r>
          </w:p>
        </w:tc>
        <w:tc>
          <w:tcPr>
            <w:tcW w:w="1539" w:type="pct"/>
            <w:hideMark/>
          </w:tcPr>
          <w:p w14:paraId="1C4D0606" w14:textId="77777777" w:rsidR="00803E0A" w:rsidRPr="009A75D6" w:rsidRDefault="00803E0A" w:rsidP="00803E0A">
            <w:r w:rsidRPr="009A75D6">
              <w:t>Tiesiskā regulējuma ietekme uz tautsaimniecību un administratīvo slogu</w:t>
            </w:r>
          </w:p>
        </w:tc>
        <w:tc>
          <w:tcPr>
            <w:tcW w:w="3212" w:type="pct"/>
            <w:hideMark/>
          </w:tcPr>
          <w:p w14:paraId="51ECE540" w14:textId="18B48DAB" w:rsidR="005957F5" w:rsidRDefault="00516272" w:rsidP="00257A4C">
            <w:pPr>
              <w:jc w:val="both"/>
            </w:pPr>
            <w:r w:rsidRPr="009A75D6">
              <w:t xml:space="preserve">Noteikumu projektam ir pozitīva ietekme uz </w:t>
            </w:r>
            <w:r w:rsidRPr="00250DEB">
              <w:t>tautsaimniecību un uzņēmējdarbības vidi</w:t>
            </w:r>
            <w:r w:rsidR="00A616CF" w:rsidRPr="00250DEB">
              <w:t>, jo</w:t>
            </w:r>
            <w:r w:rsidR="00E845AE">
              <w:t>, piemēram,</w:t>
            </w:r>
            <w:r w:rsidR="00ED423F" w:rsidRPr="00250DEB">
              <w:t xml:space="preserve"> vakcinējamie zīdaiņi</w:t>
            </w:r>
            <w:r w:rsidR="008B482D" w:rsidRPr="00250DEB">
              <w:t xml:space="preserve"> saņems</w:t>
            </w:r>
            <w:r w:rsidR="008B482D" w:rsidRPr="009A75D6">
              <w:t xml:space="preserve"> vakcīnu </w:t>
            </w:r>
            <w:r w:rsidR="00E845AE">
              <w:t>pret tuberkulozi</w:t>
            </w:r>
            <w:r w:rsidR="00271125">
              <w:t xml:space="preserve"> </w:t>
            </w:r>
            <w:r w:rsidR="008B482D" w:rsidRPr="009A75D6">
              <w:t>ātrāk</w:t>
            </w:r>
            <w:r w:rsidR="00271125">
              <w:t xml:space="preserve"> un ātrāk varēs izrakstīties no dzemdību nodaļas</w:t>
            </w:r>
            <w:r w:rsidR="008B482D" w:rsidRPr="009A75D6">
              <w:t xml:space="preserve">, noteiktas </w:t>
            </w:r>
            <w:r w:rsidR="00EF4E08">
              <w:t xml:space="preserve">kombinētās </w:t>
            </w:r>
            <w:r w:rsidR="008B482D" w:rsidRPr="009A75D6">
              <w:t>vakcīnas trūkuma gadījumā tā tiks aizvietota ar citu piemērotu vakcīnu</w:t>
            </w:r>
            <w:r w:rsidR="00B401AF" w:rsidRPr="009A75D6">
              <w:t>,</w:t>
            </w:r>
            <w:r w:rsidR="008B482D" w:rsidRPr="009A75D6">
              <w:t xml:space="preserve"> </w:t>
            </w:r>
            <w:r w:rsidR="008A03A7">
              <w:t>g</w:t>
            </w:r>
            <w:r w:rsidR="00C641BB">
              <w:t xml:space="preserve">an mazi bērni, gan grūtnieces tiks pasargātas </w:t>
            </w:r>
            <w:r w:rsidR="00C641BB" w:rsidRPr="009A75D6">
              <w:t>no inficēšanās ar</w:t>
            </w:r>
            <w:r w:rsidR="00C641BB">
              <w:t xml:space="preserve"> gripu.</w:t>
            </w:r>
            <w:r w:rsidR="00664F6E">
              <w:t xml:space="preserve"> </w:t>
            </w:r>
          </w:p>
          <w:p w14:paraId="720021F9" w14:textId="0B41CB18" w:rsidR="001F2B65" w:rsidRPr="00B8001A" w:rsidRDefault="00664F6E" w:rsidP="00FA2713">
            <w:pPr>
              <w:jc w:val="both"/>
            </w:pPr>
            <w:r>
              <w:lastRenderedPageBreak/>
              <w:t xml:space="preserve">Ģimenes ārstiem un </w:t>
            </w:r>
            <w:r w:rsidRPr="006062CE">
              <w:t>vakcinācijas iestādēm administratīv</w:t>
            </w:r>
            <w:r>
              <w:t>ais</w:t>
            </w:r>
            <w:r w:rsidRPr="006062CE">
              <w:t xml:space="preserve"> slog</w:t>
            </w:r>
            <w:r>
              <w:t xml:space="preserve">s nepieaugs, jo </w:t>
            </w:r>
            <w:r w:rsidR="00DA4895">
              <w:t>viņu līdzšinējais darbs tiks sistematizēts un atvieglots, piedāvājot aizpildīt konkrētu veidlapu</w:t>
            </w:r>
            <w:r w:rsidR="00DC0221">
              <w:t xml:space="preserve"> (kas arī tika darīts līdz šim, tikai Vakcinācijas noteikumos minētā veidlapa nebija iekļauta)</w:t>
            </w:r>
            <w:r w:rsidR="00DA4895">
              <w:t>.</w:t>
            </w:r>
          </w:p>
        </w:tc>
      </w:tr>
      <w:tr w:rsidR="00803E0A" w:rsidRPr="009A75D6" w14:paraId="690C81FB" w14:textId="77777777" w:rsidTr="0023421F">
        <w:trPr>
          <w:trHeight w:val="510"/>
        </w:trPr>
        <w:tc>
          <w:tcPr>
            <w:tcW w:w="249" w:type="pct"/>
            <w:hideMark/>
          </w:tcPr>
          <w:p w14:paraId="2A2967BB" w14:textId="77777777" w:rsidR="00803E0A" w:rsidRPr="009A75D6" w:rsidRDefault="00803E0A" w:rsidP="00803E0A">
            <w:r w:rsidRPr="009A75D6">
              <w:lastRenderedPageBreak/>
              <w:t>3.</w:t>
            </w:r>
          </w:p>
        </w:tc>
        <w:tc>
          <w:tcPr>
            <w:tcW w:w="1539" w:type="pct"/>
            <w:hideMark/>
          </w:tcPr>
          <w:p w14:paraId="117D4468" w14:textId="77777777" w:rsidR="00803E0A" w:rsidRPr="009A75D6" w:rsidRDefault="00803E0A" w:rsidP="00803E0A">
            <w:r w:rsidRPr="009A75D6">
              <w:t>Administratīvo izmaksu monetārs novērtējums</w:t>
            </w:r>
          </w:p>
        </w:tc>
        <w:tc>
          <w:tcPr>
            <w:tcW w:w="3212" w:type="pct"/>
            <w:hideMark/>
          </w:tcPr>
          <w:p w14:paraId="60E5C03B" w14:textId="16B19733" w:rsidR="00D91249" w:rsidRPr="009A75D6" w:rsidRDefault="00DD29C7" w:rsidP="00C423E6">
            <w:pPr>
              <w:jc w:val="both"/>
            </w:pPr>
            <w:r w:rsidRPr="009A75D6">
              <w:t xml:space="preserve">Tiesiskajam regulējumam </w:t>
            </w:r>
            <w:r w:rsidR="007E784F">
              <w:t>nav</w:t>
            </w:r>
            <w:r w:rsidRPr="009A75D6">
              <w:t xml:space="preserve"> ietekme</w:t>
            </w:r>
            <w:r w:rsidR="007E784F">
              <w:t>s</w:t>
            </w:r>
            <w:r w:rsidRPr="009A75D6">
              <w:t xml:space="preserve"> uz administratīvajām izmaksām</w:t>
            </w:r>
            <w:r w:rsidR="006D40E3" w:rsidRPr="009A75D6">
              <w:t xml:space="preserve">, jo </w:t>
            </w:r>
            <w:r w:rsidR="007E784F">
              <w:t>ģ</w:t>
            </w:r>
            <w:r w:rsidR="007E784F" w:rsidRPr="007E784F">
              <w:t>imenes ārsti un</w:t>
            </w:r>
            <w:r w:rsidR="007E784F">
              <w:t xml:space="preserve"> </w:t>
            </w:r>
            <w:r w:rsidR="007E784F" w:rsidRPr="007E784F">
              <w:t>vakcinācijas iestād</w:t>
            </w:r>
            <w:r w:rsidR="007E784F">
              <w:t xml:space="preserve">es arī pašreiz nepieciešamības gadījumā sagatavo un sniedz informāciju SPKC par </w:t>
            </w:r>
            <w:r w:rsidR="00322048" w:rsidRPr="00322048">
              <w:t>vakcīnu norakstīšanu/atgriešanu</w:t>
            </w:r>
            <w:r w:rsidR="00C423E6" w:rsidRPr="0046173F">
              <w:t>.</w:t>
            </w:r>
            <w:r w:rsidR="00C423E6">
              <w:t xml:space="preserve"> </w:t>
            </w:r>
          </w:p>
        </w:tc>
      </w:tr>
      <w:tr w:rsidR="00E013B6" w:rsidRPr="009A75D6" w14:paraId="15BB62D2" w14:textId="77777777" w:rsidTr="0023421F">
        <w:trPr>
          <w:trHeight w:val="510"/>
        </w:trPr>
        <w:tc>
          <w:tcPr>
            <w:tcW w:w="249" w:type="pct"/>
          </w:tcPr>
          <w:p w14:paraId="1FE35F44" w14:textId="77777777" w:rsidR="00E013B6" w:rsidRPr="009A75D6" w:rsidRDefault="00E013B6" w:rsidP="00803E0A">
            <w:r>
              <w:t>4.</w:t>
            </w:r>
          </w:p>
        </w:tc>
        <w:tc>
          <w:tcPr>
            <w:tcW w:w="1539" w:type="pct"/>
          </w:tcPr>
          <w:p w14:paraId="70CA6873" w14:textId="77777777" w:rsidR="00E013B6" w:rsidRPr="00652F05" w:rsidRDefault="00E013B6" w:rsidP="00E013B6">
            <w:r w:rsidRPr="00652F05">
              <w:t>Atbilstības izmaksu monetārs</w:t>
            </w:r>
          </w:p>
          <w:p w14:paraId="2015FF30" w14:textId="77777777" w:rsidR="00E013B6" w:rsidRPr="00652F05" w:rsidRDefault="00E013B6" w:rsidP="00E013B6">
            <w:r w:rsidRPr="00652F05">
              <w:t>novērtējums</w:t>
            </w:r>
          </w:p>
        </w:tc>
        <w:tc>
          <w:tcPr>
            <w:tcW w:w="3212" w:type="pct"/>
          </w:tcPr>
          <w:p w14:paraId="06EB8E36" w14:textId="77777777" w:rsidR="004129FA" w:rsidRPr="00823497" w:rsidRDefault="00823497" w:rsidP="004129FA">
            <w:pPr>
              <w:jc w:val="both"/>
            </w:pPr>
            <w:r>
              <w:t>Atbilstības prasības, kas ietvertas tiesiskajā regulējumā, neietver pilnīgi jaunas prasības vakcinācijas iestādēm, jo arī pašreiz vakcinācijas iestādēm vakcīnas ir jāuzglabā atbilstoši ražotāja noteiktajām prasībām. Tādējādi nerodas atbilstības izmaksas, lai nodrošinātu noteikumu projektā ietverto atbilstības prasību izpildi.</w:t>
            </w:r>
          </w:p>
        </w:tc>
      </w:tr>
      <w:tr w:rsidR="00803E0A" w:rsidRPr="009A75D6" w14:paraId="49D294C7" w14:textId="77777777" w:rsidTr="0023421F">
        <w:trPr>
          <w:trHeight w:val="259"/>
        </w:trPr>
        <w:tc>
          <w:tcPr>
            <w:tcW w:w="249" w:type="pct"/>
            <w:hideMark/>
          </w:tcPr>
          <w:p w14:paraId="50CAC46A" w14:textId="77777777" w:rsidR="00803E0A" w:rsidRPr="009A75D6" w:rsidRDefault="00AC61AA" w:rsidP="00803E0A">
            <w:r>
              <w:t>5</w:t>
            </w:r>
            <w:r w:rsidR="00803E0A" w:rsidRPr="009A75D6">
              <w:t>.</w:t>
            </w:r>
          </w:p>
        </w:tc>
        <w:tc>
          <w:tcPr>
            <w:tcW w:w="1539" w:type="pct"/>
            <w:hideMark/>
          </w:tcPr>
          <w:p w14:paraId="0DDE0435" w14:textId="77777777" w:rsidR="00803E0A" w:rsidRPr="009A75D6" w:rsidRDefault="00803E0A" w:rsidP="00803E0A">
            <w:r w:rsidRPr="009A75D6">
              <w:t>Cita informācija</w:t>
            </w:r>
          </w:p>
        </w:tc>
        <w:tc>
          <w:tcPr>
            <w:tcW w:w="3212" w:type="pct"/>
            <w:hideMark/>
          </w:tcPr>
          <w:p w14:paraId="195415BC" w14:textId="57073B4D" w:rsidR="00803E0A" w:rsidRPr="009A75D6" w:rsidRDefault="00126F81" w:rsidP="007513D1">
            <w:pPr>
              <w:spacing w:before="100" w:beforeAutospacing="1" w:after="100" w:afterAutospacing="1"/>
              <w:jc w:val="both"/>
            </w:pPr>
            <w:r w:rsidRPr="009A75D6">
              <w:t xml:space="preserve">Projekta izpildē iesaistītās institūcijas – </w:t>
            </w:r>
            <w:r w:rsidR="00026D34">
              <w:t>SPKC</w:t>
            </w:r>
            <w:r w:rsidRPr="009A75D6">
              <w:t xml:space="preserve">, </w:t>
            </w:r>
            <w:r w:rsidR="00026D34">
              <w:t>VI</w:t>
            </w:r>
            <w:r w:rsidRPr="009A75D6">
              <w:t xml:space="preserve">, </w:t>
            </w:r>
            <w:r w:rsidR="00026D34" w:rsidRPr="00522230">
              <w:t>NVD</w:t>
            </w:r>
            <w:r w:rsidRPr="009A75D6">
              <w:t xml:space="preserve"> – noteikumu projekta paredzēto pasākumu īstenošanu nodrošinās tām piešķirto valsts budžeta līdzekļu ietvaros.</w:t>
            </w:r>
            <w:r w:rsidR="005A28D4">
              <w:t xml:space="preserve"> </w:t>
            </w:r>
          </w:p>
        </w:tc>
      </w:tr>
    </w:tbl>
    <w:p w14:paraId="2EA27B13" w14:textId="423CF769" w:rsidR="00B3671E" w:rsidRDefault="00B3671E" w:rsidP="00F47742">
      <w:pPr>
        <w:jc w:val="center"/>
        <w:rPr>
          <w:sz w:val="28"/>
          <w:szCs w:val="28"/>
        </w:rPr>
      </w:pPr>
    </w:p>
    <w:tbl>
      <w:tblPr>
        <w:tblStyle w:val="TableGrid"/>
        <w:tblW w:w="9923" w:type="dxa"/>
        <w:tblInd w:w="-572" w:type="dxa"/>
        <w:tblLayout w:type="fixed"/>
        <w:tblLook w:val="04A0" w:firstRow="1" w:lastRow="0" w:firstColumn="1" w:lastColumn="0" w:noHBand="0" w:noVBand="1"/>
      </w:tblPr>
      <w:tblGrid>
        <w:gridCol w:w="1985"/>
        <w:gridCol w:w="1418"/>
        <w:gridCol w:w="992"/>
        <w:gridCol w:w="1559"/>
        <w:gridCol w:w="993"/>
        <w:gridCol w:w="25"/>
        <w:gridCol w:w="966"/>
        <w:gridCol w:w="851"/>
        <w:gridCol w:w="33"/>
        <w:gridCol w:w="1101"/>
      </w:tblGrid>
      <w:tr w:rsidR="002C119B" w:rsidRPr="009A75D6" w14:paraId="3F426B9C" w14:textId="77777777" w:rsidTr="0068597D">
        <w:trPr>
          <w:trHeight w:val="360"/>
        </w:trPr>
        <w:tc>
          <w:tcPr>
            <w:tcW w:w="9923" w:type="dxa"/>
            <w:gridSpan w:val="10"/>
            <w:hideMark/>
          </w:tcPr>
          <w:p w14:paraId="6BA8A157" w14:textId="77777777" w:rsidR="002C119B" w:rsidRPr="009A75D6" w:rsidRDefault="002C119B" w:rsidP="0068597D">
            <w:pPr>
              <w:pStyle w:val="tvhtml"/>
              <w:spacing w:line="293" w:lineRule="atLeast"/>
              <w:jc w:val="center"/>
              <w:rPr>
                <w:b/>
                <w:bCs/>
                <w:lang w:val="lv-LV"/>
              </w:rPr>
            </w:pPr>
            <w:r w:rsidRPr="009A75D6">
              <w:rPr>
                <w:b/>
                <w:bCs/>
                <w:lang w:val="lv-LV"/>
              </w:rPr>
              <w:t>III. Tiesību akta projekta ietekme uz valsts budžetu un pašvaldību budžetiem</w:t>
            </w:r>
          </w:p>
        </w:tc>
      </w:tr>
      <w:tr w:rsidR="002C119B" w:rsidRPr="009A75D6" w14:paraId="4D36037D" w14:textId="77777777" w:rsidTr="0068597D">
        <w:tc>
          <w:tcPr>
            <w:tcW w:w="1985" w:type="dxa"/>
            <w:vMerge w:val="restart"/>
            <w:vAlign w:val="center"/>
            <w:hideMark/>
          </w:tcPr>
          <w:p w14:paraId="722713D0" w14:textId="77777777" w:rsidR="002C119B" w:rsidRPr="009A75D6" w:rsidRDefault="002C119B" w:rsidP="0068597D">
            <w:pPr>
              <w:pStyle w:val="tvhtml"/>
              <w:spacing w:line="293" w:lineRule="atLeast"/>
              <w:jc w:val="center"/>
              <w:rPr>
                <w:b/>
                <w:bCs/>
                <w:lang w:val="lv-LV"/>
              </w:rPr>
            </w:pPr>
            <w:r w:rsidRPr="009A75D6">
              <w:rPr>
                <w:b/>
                <w:bCs/>
                <w:lang w:val="lv-LV"/>
              </w:rPr>
              <w:t>Rādītāji</w:t>
            </w:r>
          </w:p>
        </w:tc>
        <w:tc>
          <w:tcPr>
            <w:tcW w:w="2410" w:type="dxa"/>
            <w:gridSpan w:val="2"/>
            <w:vMerge w:val="restart"/>
            <w:vAlign w:val="center"/>
            <w:hideMark/>
          </w:tcPr>
          <w:p w14:paraId="60301217" w14:textId="77777777" w:rsidR="002C119B" w:rsidRPr="009A75D6" w:rsidRDefault="002C119B" w:rsidP="0068597D">
            <w:pPr>
              <w:pStyle w:val="tvhtml"/>
              <w:spacing w:line="293" w:lineRule="atLeast"/>
              <w:jc w:val="center"/>
              <w:rPr>
                <w:b/>
                <w:bCs/>
                <w:lang w:val="lv-LV"/>
              </w:rPr>
            </w:pPr>
            <w:r w:rsidRPr="009A75D6">
              <w:rPr>
                <w:b/>
                <w:bCs/>
                <w:lang w:val="lv-LV"/>
              </w:rPr>
              <w:t>201</w:t>
            </w:r>
            <w:r>
              <w:rPr>
                <w:b/>
                <w:bCs/>
                <w:lang w:val="lv-LV"/>
              </w:rPr>
              <w:t>8</w:t>
            </w:r>
            <w:r w:rsidRPr="009A75D6">
              <w:rPr>
                <w:b/>
                <w:bCs/>
                <w:lang w:val="lv-LV"/>
              </w:rPr>
              <w:t>.</w:t>
            </w:r>
            <w:r>
              <w:rPr>
                <w:b/>
                <w:bCs/>
                <w:lang w:val="lv-LV"/>
              </w:rPr>
              <w:t> </w:t>
            </w:r>
            <w:r w:rsidRPr="009A75D6">
              <w:rPr>
                <w:b/>
                <w:bCs/>
                <w:lang w:val="lv-LV"/>
              </w:rPr>
              <w:t>gads</w:t>
            </w:r>
          </w:p>
        </w:tc>
        <w:tc>
          <w:tcPr>
            <w:tcW w:w="5528" w:type="dxa"/>
            <w:gridSpan w:val="7"/>
            <w:hideMark/>
          </w:tcPr>
          <w:p w14:paraId="2F32DC31" w14:textId="77777777" w:rsidR="002C119B" w:rsidRPr="009A75D6" w:rsidRDefault="002C119B" w:rsidP="0068597D">
            <w:pPr>
              <w:pStyle w:val="tvhtml"/>
              <w:spacing w:line="293" w:lineRule="atLeast"/>
              <w:jc w:val="center"/>
              <w:rPr>
                <w:lang w:val="lv-LV"/>
              </w:rPr>
            </w:pPr>
            <w:r w:rsidRPr="009A75D6">
              <w:rPr>
                <w:lang w:val="lv-LV"/>
              </w:rPr>
              <w:t>Turpmākie trīs gadi (</w:t>
            </w:r>
            <w:proofErr w:type="spellStart"/>
            <w:r w:rsidRPr="009A75D6">
              <w:rPr>
                <w:i/>
                <w:iCs/>
                <w:lang w:val="lv-LV"/>
              </w:rPr>
              <w:t>euro</w:t>
            </w:r>
            <w:proofErr w:type="spellEnd"/>
            <w:r w:rsidRPr="009A75D6">
              <w:rPr>
                <w:lang w:val="lv-LV"/>
              </w:rPr>
              <w:t>)</w:t>
            </w:r>
          </w:p>
        </w:tc>
      </w:tr>
      <w:tr w:rsidR="002C119B" w:rsidRPr="009A75D6" w14:paraId="791B375A" w14:textId="77777777" w:rsidTr="0068597D">
        <w:tc>
          <w:tcPr>
            <w:tcW w:w="1985" w:type="dxa"/>
            <w:vMerge/>
            <w:hideMark/>
          </w:tcPr>
          <w:p w14:paraId="2C30BB63" w14:textId="77777777" w:rsidR="002C119B" w:rsidRPr="009A75D6" w:rsidRDefault="002C119B" w:rsidP="0068597D">
            <w:pPr>
              <w:rPr>
                <w:b/>
                <w:bCs/>
              </w:rPr>
            </w:pPr>
          </w:p>
        </w:tc>
        <w:tc>
          <w:tcPr>
            <w:tcW w:w="2410" w:type="dxa"/>
            <w:gridSpan w:val="2"/>
            <w:vMerge/>
            <w:hideMark/>
          </w:tcPr>
          <w:p w14:paraId="64918ACC" w14:textId="77777777" w:rsidR="002C119B" w:rsidRPr="009A75D6" w:rsidRDefault="002C119B" w:rsidP="0068597D">
            <w:pPr>
              <w:rPr>
                <w:b/>
                <w:bCs/>
              </w:rPr>
            </w:pPr>
          </w:p>
        </w:tc>
        <w:tc>
          <w:tcPr>
            <w:tcW w:w="2577" w:type="dxa"/>
            <w:gridSpan w:val="3"/>
            <w:hideMark/>
          </w:tcPr>
          <w:p w14:paraId="3E86990A" w14:textId="77777777" w:rsidR="002C119B" w:rsidRPr="009A75D6" w:rsidRDefault="002C119B" w:rsidP="0068597D">
            <w:pPr>
              <w:pStyle w:val="tvhtml"/>
              <w:spacing w:line="293" w:lineRule="atLeast"/>
              <w:jc w:val="center"/>
              <w:rPr>
                <w:b/>
                <w:bCs/>
                <w:lang w:val="lv-LV"/>
              </w:rPr>
            </w:pPr>
            <w:r w:rsidRPr="009A75D6">
              <w:rPr>
                <w:b/>
                <w:bCs/>
                <w:lang w:val="lv-LV"/>
              </w:rPr>
              <w:t>201</w:t>
            </w:r>
            <w:r>
              <w:rPr>
                <w:b/>
                <w:bCs/>
                <w:lang w:val="lv-LV"/>
              </w:rPr>
              <w:t>9</w:t>
            </w:r>
            <w:r w:rsidRPr="009A75D6">
              <w:rPr>
                <w:b/>
                <w:bCs/>
                <w:lang w:val="lv-LV"/>
              </w:rPr>
              <w:t>.gads</w:t>
            </w:r>
          </w:p>
        </w:tc>
        <w:tc>
          <w:tcPr>
            <w:tcW w:w="1850" w:type="dxa"/>
            <w:gridSpan w:val="3"/>
            <w:hideMark/>
          </w:tcPr>
          <w:p w14:paraId="4CA9E1CF" w14:textId="77777777" w:rsidR="002C119B" w:rsidRPr="009A75D6" w:rsidRDefault="002C119B" w:rsidP="0068597D">
            <w:pPr>
              <w:pStyle w:val="tvhtml"/>
              <w:spacing w:line="293" w:lineRule="atLeast"/>
              <w:jc w:val="center"/>
              <w:rPr>
                <w:b/>
                <w:bCs/>
                <w:lang w:val="lv-LV"/>
              </w:rPr>
            </w:pPr>
            <w:r w:rsidRPr="009A75D6">
              <w:rPr>
                <w:b/>
                <w:bCs/>
                <w:lang w:val="lv-LV"/>
              </w:rPr>
              <w:t>20</w:t>
            </w:r>
            <w:r>
              <w:rPr>
                <w:b/>
                <w:bCs/>
                <w:lang w:val="lv-LV"/>
              </w:rPr>
              <w:t>20</w:t>
            </w:r>
            <w:r w:rsidRPr="009A75D6">
              <w:rPr>
                <w:b/>
                <w:bCs/>
                <w:lang w:val="lv-LV"/>
              </w:rPr>
              <w:t>.gads</w:t>
            </w:r>
          </w:p>
        </w:tc>
        <w:tc>
          <w:tcPr>
            <w:tcW w:w="1101" w:type="dxa"/>
            <w:hideMark/>
          </w:tcPr>
          <w:p w14:paraId="2C489F7D" w14:textId="77777777" w:rsidR="002C119B" w:rsidRPr="009A75D6" w:rsidRDefault="002C119B" w:rsidP="0068597D">
            <w:pPr>
              <w:pStyle w:val="tvhtml"/>
              <w:spacing w:line="293" w:lineRule="atLeast"/>
              <w:jc w:val="center"/>
              <w:rPr>
                <w:b/>
                <w:bCs/>
                <w:lang w:val="lv-LV"/>
              </w:rPr>
            </w:pPr>
            <w:r w:rsidRPr="009A75D6">
              <w:rPr>
                <w:b/>
                <w:bCs/>
                <w:lang w:val="lv-LV"/>
              </w:rPr>
              <w:t>20</w:t>
            </w:r>
            <w:r>
              <w:rPr>
                <w:b/>
                <w:bCs/>
                <w:lang w:val="lv-LV"/>
              </w:rPr>
              <w:t>21</w:t>
            </w:r>
            <w:r w:rsidRPr="009A75D6">
              <w:rPr>
                <w:b/>
                <w:bCs/>
                <w:lang w:val="lv-LV"/>
              </w:rPr>
              <w:t>.gads</w:t>
            </w:r>
          </w:p>
        </w:tc>
      </w:tr>
      <w:tr w:rsidR="002C119B" w:rsidRPr="009A75D6" w14:paraId="458DD665" w14:textId="77777777" w:rsidTr="0068597D">
        <w:tc>
          <w:tcPr>
            <w:tcW w:w="1985" w:type="dxa"/>
            <w:vMerge/>
            <w:hideMark/>
          </w:tcPr>
          <w:p w14:paraId="242779B3" w14:textId="77777777" w:rsidR="002C119B" w:rsidRPr="009A75D6" w:rsidRDefault="002C119B" w:rsidP="0068597D">
            <w:pPr>
              <w:rPr>
                <w:b/>
                <w:bCs/>
              </w:rPr>
            </w:pPr>
          </w:p>
        </w:tc>
        <w:tc>
          <w:tcPr>
            <w:tcW w:w="1418" w:type="dxa"/>
            <w:hideMark/>
          </w:tcPr>
          <w:p w14:paraId="19748133" w14:textId="77777777" w:rsidR="002C119B" w:rsidRPr="009A75D6" w:rsidRDefault="002C119B" w:rsidP="0068597D">
            <w:pPr>
              <w:pStyle w:val="tvhtml"/>
              <w:spacing w:line="293" w:lineRule="atLeast"/>
              <w:jc w:val="center"/>
              <w:rPr>
                <w:lang w:val="lv-LV"/>
              </w:rPr>
            </w:pPr>
            <w:r w:rsidRPr="009A75D6">
              <w:rPr>
                <w:lang w:val="lv-LV"/>
              </w:rPr>
              <w:t>saskaņā ar valsts budžetu kārtējam gadam</w:t>
            </w:r>
          </w:p>
        </w:tc>
        <w:tc>
          <w:tcPr>
            <w:tcW w:w="992" w:type="dxa"/>
            <w:hideMark/>
          </w:tcPr>
          <w:p w14:paraId="258D4BB5" w14:textId="77777777" w:rsidR="002C119B" w:rsidRPr="009A75D6" w:rsidRDefault="002C119B" w:rsidP="0068597D">
            <w:pPr>
              <w:pStyle w:val="tvhtml"/>
              <w:spacing w:line="293" w:lineRule="atLeast"/>
              <w:jc w:val="center"/>
              <w:rPr>
                <w:lang w:val="lv-LV"/>
              </w:rPr>
            </w:pPr>
            <w:r w:rsidRPr="009A75D6">
              <w:rPr>
                <w:lang w:val="lv-LV"/>
              </w:rPr>
              <w:t>izmaiņas kārtējā gadā, salīdzinot ar valsts budžetu kārtējam gadam</w:t>
            </w:r>
          </w:p>
        </w:tc>
        <w:tc>
          <w:tcPr>
            <w:tcW w:w="1559" w:type="dxa"/>
            <w:hideMark/>
          </w:tcPr>
          <w:p w14:paraId="389E31DA"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saskaņā ar</w:t>
            </w:r>
          </w:p>
          <w:p w14:paraId="27EB3C88"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vidēja</w:t>
            </w:r>
          </w:p>
          <w:p w14:paraId="067DFA10"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termiņa</w:t>
            </w:r>
          </w:p>
          <w:p w14:paraId="29EEE452"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budžeta</w:t>
            </w:r>
          </w:p>
          <w:p w14:paraId="4CB9F395"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ietvaru</w:t>
            </w:r>
          </w:p>
        </w:tc>
        <w:tc>
          <w:tcPr>
            <w:tcW w:w="993" w:type="dxa"/>
          </w:tcPr>
          <w:p w14:paraId="14C27426"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izmaiņas,</w:t>
            </w:r>
          </w:p>
          <w:p w14:paraId="02EE8131"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salīdzinot ar</w:t>
            </w:r>
          </w:p>
          <w:p w14:paraId="12DEEECC"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vidēja</w:t>
            </w:r>
          </w:p>
          <w:p w14:paraId="0D7BD238"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termiņa</w:t>
            </w:r>
          </w:p>
          <w:p w14:paraId="623C6B1C"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budžeta</w:t>
            </w:r>
          </w:p>
          <w:p w14:paraId="42E5F6ED"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ietvaru 2019.</w:t>
            </w:r>
          </w:p>
          <w:p w14:paraId="0B3EAF34"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gadam</w:t>
            </w:r>
          </w:p>
        </w:tc>
        <w:tc>
          <w:tcPr>
            <w:tcW w:w="991" w:type="dxa"/>
            <w:gridSpan w:val="2"/>
            <w:hideMark/>
          </w:tcPr>
          <w:p w14:paraId="7ED40DD7"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saskaņā ar</w:t>
            </w:r>
          </w:p>
          <w:p w14:paraId="2823FAE6"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vidēja</w:t>
            </w:r>
          </w:p>
          <w:p w14:paraId="075D24E5"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termiņa</w:t>
            </w:r>
          </w:p>
          <w:p w14:paraId="1B5D28C7"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budžeta</w:t>
            </w:r>
          </w:p>
          <w:p w14:paraId="5FF22DFC"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ietvaru</w:t>
            </w:r>
          </w:p>
        </w:tc>
        <w:tc>
          <w:tcPr>
            <w:tcW w:w="851" w:type="dxa"/>
          </w:tcPr>
          <w:p w14:paraId="68DB18A0"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izmaiņas,</w:t>
            </w:r>
          </w:p>
          <w:p w14:paraId="384CAA89"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salīdzinot ar</w:t>
            </w:r>
          </w:p>
          <w:p w14:paraId="70371FA2"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vidēja</w:t>
            </w:r>
          </w:p>
          <w:p w14:paraId="0DC59034"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termiņa</w:t>
            </w:r>
          </w:p>
          <w:p w14:paraId="6F39C23A"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budžeta</w:t>
            </w:r>
          </w:p>
          <w:p w14:paraId="15DD12C6"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ietvaru 2020.</w:t>
            </w:r>
          </w:p>
          <w:p w14:paraId="5D25F864"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gadam</w:t>
            </w:r>
          </w:p>
        </w:tc>
        <w:tc>
          <w:tcPr>
            <w:tcW w:w="1134" w:type="dxa"/>
            <w:gridSpan w:val="2"/>
            <w:hideMark/>
          </w:tcPr>
          <w:p w14:paraId="14B6F297"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izmaiņas,</w:t>
            </w:r>
          </w:p>
          <w:p w14:paraId="498551AA"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salīdzinot ar</w:t>
            </w:r>
          </w:p>
          <w:p w14:paraId="1A9AB330"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vidēja</w:t>
            </w:r>
          </w:p>
          <w:p w14:paraId="3BD8F667"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termiņa</w:t>
            </w:r>
          </w:p>
          <w:p w14:paraId="0D71AF94"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budžeta</w:t>
            </w:r>
          </w:p>
          <w:p w14:paraId="5D69724B" w14:textId="77777777" w:rsidR="002C119B" w:rsidRPr="00353867" w:rsidRDefault="002C119B" w:rsidP="0068597D">
            <w:pPr>
              <w:pStyle w:val="tvhtml"/>
              <w:spacing w:before="0" w:beforeAutospacing="0" w:after="0" w:afterAutospacing="0" w:line="293" w:lineRule="atLeast"/>
              <w:jc w:val="center"/>
              <w:rPr>
                <w:lang w:val="lv-LV"/>
              </w:rPr>
            </w:pPr>
            <w:r>
              <w:rPr>
                <w:lang w:val="lv-LV"/>
              </w:rPr>
              <w:t>ietvaru 2021</w:t>
            </w:r>
            <w:r w:rsidRPr="00353867">
              <w:rPr>
                <w:lang w:val="lv-LV"/>
              </w:rPr>
              <w:t>.</w:t>
            </w:r>
          </w:p>
          <w:p w14:paraId="3152838F"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gadam</w:t>
            </w:r>
          </w:p>
        </w:tc>
      </w:tr>
      <w:tr w:rsidR="002C119B" w:rsidRPr="009A75D6" w14:paraId="4FC55837" w14:textId="77777777" w:rsidTr="0068597D">
        <w:tc>
          <w:tcPr>
            <w:tcW w:w="1985" w:type="dxa"/>
          </w:tcPr>
          <w:p w14:paraId="6D66CB89" w14:textId="77777777" w:rsidR="002C119B" w:rsidRPr="00784065" w:rsidRDefault="002C119B" w:rsidP="0068597D">
            <w:pPr>
              <w:jc w:val="center"/>
              <w:rPr>
                <w:bCs/>
              </w:rPr>
            </w:pPr>
            <w:r w:rsidRPr="00784065">
              <w:rPr>
                <w:bCs/>
              </w:rPr>
              <w:t>1</w:t>
            </w:r>
          </w:p>
        </w:tc>
        <w:tc>
          <w:tcPr>
            <w:tcW w:w="1418" w:type="dxa"/>
          </w:tcPr>
          <w:p w14:paraId="1B9B47B9" w14:textId="77777777" w:rsidR="002C119B" w:rsidRPr="00784065" w:rsidRDefault="002C119B" w:rsidP="0068597D">
            <w:pPr>
              <w:pStyle w:val="tvhtml"/>
              <w:spacing w:line="293" w:lineRule="atLeast"/>
              <w:jc w:val="center"/>
              <w:rPr>
                <w:lang w:val="lv-LV"/>
              </w:rPr>
            </w:pPr>
            <w:r>
              <w:rPr>
                <w:lang w:val="lv-LV"/>
              </w:rPr>
              <w:t>2</w:t>
            </w:r>
          </w:p>
        </w:tc>
        <w:tc>
          <w:tcPr>
            <w:tcW w:w="992" w:type="dxa"/>
          </w:tcPr>
          <w:p w14:paraId="2F1B4EE9" w14:textId="77777777" w:rsidR="002C119B" w:rsidRPr="00784065" w:rsidRDefault="002C119B" w:rsidP="0068597D">
            <w:pPr>
              <w:pStyle w:val="tvhtml"/>
              <w:spacing w:line="293" w:lineRule="atLeast"/>
              <w:jc w:val="center"/>
              <w:rPr>
                <w:lang w:val="lv-LV"/>
              </w:rPr>
            </w:pPr>
            <w:r>
              <w:rPr>
                <w:lang w:val="lv-LV"/>
              </w:rPr>
              <w:t>3</w:t>
            </w:r>
          </w:p>
        </w:tc>
        <w:tc>
          <w:tcPr>
            <w:tcW w:w="1559" w:type="dxa"/>
          </w:tcPr>
          <w:p w14:paraId="45AF1E28"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4</w:t>
            </w:r>
          </w:p>
        </w:tc>
        <w:tc>
          <w:tcPr>
            <w:tcW w:w="993" w:type="dxa"/>
          </w:tcPr>
          <w:p w14:paraId="6A24B261"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5</w:t>
            </w:r>
          </w:p>
        </w:tc>
        <w:tc>
          <w:tcPr>
            <w:tcW w:w="991" w:type="dxa"/>
            <w:gridSpan w:val="2"/>
          </w:tcPr>
          <w:p w14:paraId="1CDC28E1"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6</w:t>
            </w:r>
          </w:p>
        </w:tc>
        <w:tc>
          <w:tcPr>
            <w:tcW w:w="851" w:type="dxa"/>
          </w:tcPr>
          <w:p w14:paraId="4518F9F5"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7</w:t>
            </w:r>
          </w:p>
        </w:tc>
        <w:tc>
          <w:tcPr>
            <w:tcW w:w="1134" w:type="dxa"/>
            <w:gridSpan w:val="2"/>
          </w:tcPr>
          <w:p w14:paraId="6A3A0B03" w14:textId="77777777" w:rsidR="002C119B" w:rsidRPr="00353867" w:rsidRDefault="002C119B" w:rsidP="0068597D">
            <w:pPr>
              <w:pStyle w:val="tvhtml"/>
              <w:spacing w:before="0" w:beforeAutospacing="0" w:after="0" w:afterAutospacing="0" w:line="293" w:lineRule="atLeast"/>
              <w:jc w:val="center"/>
              <w:rPr>
                <w:lang w:val="lv-LV"/>
              </w:rPr>
            </w:pPr>
            <w:r w:rsidRPr="00353867">
              <w:rPr>
                <w:lang w:val="lv-LV"/>
              </w:rPr>
              <w:t>8</w:t>
            </w:r>
          </w:p>
        </w:tc>
      </w:tr>
      <w:tr w:rsidR="002C119B" w:rsidRPr="009A75D6" w14:paraId="7312B5ED" w14:textId="77777777" w:rsidTr="0068597D">
        <w:tc>
          <w:tcPr>
            <w:tcW w:w="1985" w:type="dxa"/>
          </w:tcPr>
          <w:p w14:paraId="60D625EC" w14:textId="77777777" w:rsidR="002C119B" w:rsidRPr="00C169C9" w:rsidRDefault="002C119B" w:rsidP="0068597D">
            <w:pPr>
              <w:rPr>
                <w:b/>
              </w:rPr>
            </w:pPr>
            <w:r w:rsidRPr="00C169C9">
              <w:rPr>
                <w:b/>
              </w:rPr>
              <w:t>1. Budžeta ieņēmumi</w:t>
            </w:r>
          </w:p>
        </w:tc>
        <w:tc>
          <w:tcPr>
            <w:tcW w:w="1418" w:type="dxa"/>
          </w:tcPr>
          <w:p w14:paraId="1279B6D0" w14:textId="77777777" w:rsidR="002C119B" w:rsidRPr="006F006A" w:rsidRDefault="002C119B" w:rsidP="0068597D">
            <w:pPr>
              <w:pStyle w:val="tvhtml"/>
              <w:spacing w:line="293" w:lineRule="atLeast"/>
              <w:jc w:val="center"/>
              <w:rPr>
                <w:b/>
                <w:sz w:val="20"/>
                <w:szCs w:val="20"/>
                <w:lang w:val="lv-LV"/>
              </w:rPr>
            </w:pPr>
            <w:r w:rsidRPr="006F006A">
              <w:rPr>
                <w:b/>
                <w:sz w:val="20"/>
                <w:szCs w:val="20"/>
                <w:lang w:val="lv-LV"/>
              </w:rPr>
              <w:t>12 000 316</w:t>
            </w:r>
          </w:p>
        </w:tc>
        <w:tc>
          <w:tcPr>
            <w:tcW w:w="992" w:type="dxa"/>
          </w:tcPr>
          <w:p w14:paraId="62670880" w14:textId="77777777" w:rsidR="002C119B" w:rsidRPr="006F006A" w:rsidRDefault="002C119B" w:rsidP="0068597D">
            <w:pPr>
              <w:pStyle w:val="tvhtml"/>
              <w:spacing w:line="293" w:lineRule="atLeast"/>
              <w:jc w:val="center"/>
              <w:rPr>
                <w:b/>
                <w:sz w:val="20"/>
                <w:szCs w:val="20"/>
                <w:lang w:val="lv-LV"/>
              </w:rPr>
            </w:pPr>
          </w:p>
        </w:tc>
        <w:tc>
          <w:tcPr>
            <w:tcW w:w="1559" w:type="dxa"/>
          </w:tcPr>
          <w:p w14:paraId="25BE0685" w14:textId="77777777" w:rsidR="002C119B" w:rsidRPr="006F006A" w:rsidRDefault="002C119B" w:rsidP="0068597D">
            <w:pPr>
              <w:pStyle w:val="tvhtml"/>
              <w:spacing w:before="0" w:beforeAutospacing="0" w:after="0" w:afterAutospacing="0" w:line="293" w:lineRule="atLeast"/>
              <w:jc w:val="center"/>
              <w:rPr>
                <w:b/>
                <w:sz w:val="20"/>
                <w:szCs w:val="20"/>
                <w:lang w:val="lv-LV"/>
              </w:rPr>
            </w:pPr>
            <w:r w:rsidRPr="006F006A">
              <w:rPr>
                <w:b/>
                <w:sz w:val="20"/>
                <w:szCs w:val="20"/>
                <w:lang w:val="lv-LV"/>
              </w:rPr>
              <w:t>11 428 873</w:t>
            </w:r>
          </w:p>
        </w:tc>
        <w:tc>
          <w:tcPr>
            <w:tcW w:w="993" w:type="dxa"/>
          </w:tcPr>
          <w:p w14:paraId="060CE500" w14:textId="77777777" w:rsidR="002C119B" w:rsidRPr="006F006A" w:rsidRDefault="002C119B" w:rsidP="0068597D">
            <w:pPr>
              <w:pStyle w:val="tvhtml"/>
              <w:spacing w:before="0" w:beforeAutospacing="0" w:after="0" w:afterAutospacing="0" w:line="293" w:lineRule="atLeast"/>
              <w:jc w:val="center"/>
              <w:rPr>
                <w:b/>
                <w:sz w:val="20"/>
                <w:szCs w:val="20"/>
                <w:lang w:val="lv-LV"/>
              </w:rPr>
            </w:pPr>
          </w:p>
        </w:tc>
        <w:tc>
          <w:tcPr>
            <w:tcW w:w="991" w:type="dxa"/>
            <w:gridSpan w:val="2"/>
          </w:tcPr>
          <w:p w14:paraId="37B9EBD2" w14:textId="77777777" w:rsidR="002C119B" w:rsidRPr="006F006A" w:rsidRDefault="002C119B" w:rsidP="0068597D">
            <w:pPr>
              <w:pStyle w:val="tvhtml"/>
              <w:spacing w:before="0" w:beforeAutospacing="0" w:after="0" w:afterAutospacing="0" w:line="293" w:lineRule="atLeast"/>
              <w:jc w:val="center"/>
              <w:rPr>
                <w:b/>
                <w:sz w:val="20"/>
                <w:szCs w:val="20"/>
                <w:lang w:val="lv-LV"/>
              </w:rPr>
            </w:pPr>
            <w:r w:rsidRPr="006F006A">
              <w:rPr>
                <w:b/>
                <w:sz w:val="20"/>
                <w:szCs w:val="20"/>
                <w:lang w:val="lv-LV"/>
              </w:rPr>
              <w:t>11 428 873</w:t>
            </w:r>
          </w:p>
        </w:tc>
        <w:tc>
          <w:tcPr>
            <w:tcW w:w="851" w:type="dxa"/>
          </w:tcPr>
          <w:p w14:paraId="7298A151" w14:textId="77777777" w:rsidR="002C119B" w:rsidRPr="006F006A" w:rsidRDefault="002C119B" w:rsidP="0068597D">
            <w:pPr>
              <w:pStyle w:val="tvhtml"/>
              <w:spacing w:before="0" w:beforeAutospacing="0" w:after="0" w:afterAutospacing="0" w:line="293" w:lineRule="atLeast"/>
              <w:jc w:val="center"/>
              <w:rPr>
                <w:b/>
                <w:sz w:val="20"/>
                <w:szCs w:val="20"/>
                <w:lang w:val="lv-LV"/>
              </w:rPr>
            </w:pPr>
          </w:p>
        </w:tc>
        <w:tc>
          <w:tcPr>
            <w:tcW w:w="1134" w:type="dxa"/>
            <w:gridSpan w:val="2"/>
          </w:tcPr>
          <w:p w14:paraId="64718BF2" w14:textId="77777777" w:rsidR="002C119B" w:rsidRPr="006F006A" w:rsidRDefault="002C119B" w:rsidP="0068597D">
            <w:pPr>
              <w:pStyle w:val="tvhtml"/>
              <w:spacing w:before="0" w:beforeAutospacing="0" w:after="0" w:afterAutospacing="0" w:line="293" w:lineRule="atLeast"/>
              <w:jc w:val="center"/>
              <w:rPr>
                <w:b/>
                <w:sz w:val="20"/>
                <w:szCs w:val="20"/>
                <w:highlight w:val="yellow"/>
                <w:lang w:val="lv-LV"/>
              </w:rPr>
            </w:pPr>
          </w:p>
        </w:tc>
      </w:tr>
      <w:tr w:rsidR="002C119B" w:rsidRPr="009A75D6" w14:paraId="57EE307F" w14:textId="77777777" w:rsidTr="0068597D">
        <w:tc>
          <w:tcPr>
            <w:tcW w:w="1985" w:type="dxa"/>
          </w:tcPr>
          <w:p w14:paraId="2FDA3E55" w14:textId="77777777" w:rsidR="002C119B" w:rsidRPr="009A75D6" w:rsidRDefault="002C119B" w:rsidP="0068597D">
            <w:r w:rsidRPr="009A75D6">
              <w:t>1.1. valsts pamatbudžets, tai skaitā ieņēmumi no maksas pakalpojumiem un citi pašu ieņēmumi</w:t>
            </w:r>
          </w:p>
        </w:tc>
        <w:tc>
          <w:tcPr>
            <w:tcW w:w="1418" w:type="dxa"/>
          </w:tcPr>
          <w:p w14:paraId="629618D2" w14:textId="77777777" w:rsidR="002C119B" w:rsidRPr="006F006A" w:rsidRDefault="002C119B" w:rsidP="0068597D">
            <w:pPr>
              <w:pStyle w:val="tvhtml"/>
              <w:spacing w:line="293" w:lineRule="atLeast"/>
              <w:jc w:val="center"/>
              <w:rPr>
                <w:sz w:val="20"/>
                <w:szCs w:val="20"/>
                <w:lang w:val="lv-LV"/>
              </w:rPr>
            </w:pPr>
          </w:p>
        </w:tc>
        <w:tc>
          <w:tcPr>
            <w:tcW w:w="992" w:type="dxa"/>
          </w:tcPr>
          <w:p w14:paraId="3343173E" w14:textId="77777777" w:rsidR="002C119B" w:rsidRPr="006F006A" w:rsidRDefault="002C119B" w:rsidP="0068597D">
            <w:pPr>
              <w:pStyle w:val="tvhtml"/>
              <w:spacing w:line="293" w:lineRule="atLeast"/>
              <w:jc w:val="center"/>
              <w:rPr>
                <w:sz w:val="20"/>
                <w:szCs w:val="20"/>
                <w:lang w:val="lv-LV"/>
              </w:rPr>
            </w:pPr>
          </w:p>
        </w:tc>
        <w:tc>
          <w:tcPr>
            <w:tcW w:w="1559" w:type="dxa"/>
          </w:tcPr>
          <w:p w14:paraId="2FDF6F08"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3" w:type="dxa"/>
          </w:tcPr>
          <w:p w14:paraId="29B340A7"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5CC409BA"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67B61436"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4F324E2F"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6CEE530D" w14:textId="77777777" w:rsidTr="0068597D">
        <w:tc>
          <w:tcPr>
            <w:tcW w:w="1985" w:type="dxa"/>
          </w:tcPr>
          <w:p w14:paraId="67C766A7" w14:textId="77777777" w:rsidR="002C119B" w:rsidRPr="009A75D6" w:rsidRDefault="002C119B" w:rsidP="0068597D">
            <w:r>
              <w:lastRenderedPageBreak/>
              <w:t>33.04.00</w:t>
            </w:r>
          </w:p>
        </w:tc>
        <w:tc>
          <w:tcPr>
            <w:tcW w:w="1418" w:type="dxa"/>
          </w:tcPr>
          <w:p w14:paraId="67BA11CC" w14:textId="77777777" w:rsidR="002C119B" w:rsidRPr="006F006A" w:rsidRDefault="002C119B" w:rsidP="0068597D">
            <w:pPr>
              <w:pStyle w:val="tvhtml"/>
              <w:spacing w:line="293" w:lineRule="atLeast"/>
              <w:jc w:val="center"/>
              <w:rPr>
                <w:sz w:val="20"/>
                <w:szCs w:val="20"/>
                <w:lang w:val="lv-LV"/>
              </w:rPr>
            </w:pPr>
            <w:r w:rsidRPr="006F006A">
              <w:rPr>
                <w:sz w:val="20"/>
                <w:szCs w:val="20"/>
                <w:lang w:val="lv-LV"/>
              </w:rPr>
              <w:t>12 000 316</w:t>
            </w:r>
          </w:p>
        </w:tc>
        <w:tc>
          <w:tcPr>
            <w:tcW w:w="992" w:type="dxa"/>
          </w:tcPr>
          <w:p w14:paraId="6849A5FC" w14:textId="77777777" w:rsidR="002C119B" w:rsidRPr="006F006A" w:rsidRDefault="002C119B" w:rsidP="0068597D">
            <w:pPr>
              <w:pStyle w:val="tvhtml"/>
              <w:spacing w:line="293" w:lineRule="atLeast"/>
              <w:jc w:val="center"/>
              <w:rPr>
                <w:sz w:val="20"/>
                <w:szCs w:val="20"/>
                <w:lang w:val="lv-LV"/>
              </w:rPr>
            </w:pPr>
          </w:p>
        </w:tc>
        <w:tc>
          <w:tcPr>
            <w:tcW w:w="1559" w:type="dxa"/>
          </w:tcPr>
          <w:p w14:paraId="6C719D72" w14:textId="77777777" w:rsidR="002C119B" w:rsidRPr="006F006A" w:rsidRDefault="002C119B" w:rsidP="0068597D">
            <w:pPr>
              <w:pStyle w:val="tvhtml"/>
              <w:spacing w:before="0" w:beforeAutospacing="0" w:after="0" w:afterAutospacing="0" w:line="293" w:lineRule="atLeast"/>
              <w:jc w:val="center"/>
              <w:rPr>
                <w:sz w:val="20"/>
                <w:szCs w:val="20"/>
                <w:lang w:val="lv-LV"/>
              </w:rPr>
            </w:pPr>
            <w:r w:rsidRPr="006F006A">
              <w:rPr>
                <w:sz w:val="20"/>
                <w:szCs w:val="20"/>
                <w:lang w:val="lv-LV"/>
              </w:rPr>
              <w:t>11 428 873</w:t>
            </w:r>
          </w:p>
        </w:tc>
        <w:tc>
          <w:tcPr>
            <w:tcW w:w="993" w:type="dxa"/>
          </w:tcPr>
          <w:p w14:paraId="5DB203A4"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114293B5" w14:textId="77777777" w:rsidR="002C119B" w:rsidRPr="006F006A" w:rsidRDefault="002C119B" w:rsidP="0068597D">
            <w:pPr>
              <w:pStyle w:val="tvhtml"/>
              <w:spacing w:before="0" w:beforeAutospacing="0" w:after="0" w:afterAutospacing="0" w:line="293" w:lineRule="atLeast"/>
              <w:jc w:val="center"/>
              <w:rPr>
                <w:sz w:val="20"/>
                <w:szCs w:val="20"/>
                <w:lang w:val="lv-LV"/>
              </w:rPr>
            </w:pPr>
            <w:r w:rsidRPr="006F006A">
              <w:rPr>
                <w:sz w:val="20"/>
                <w:szCs w:val="20"/>
                <w:lang w:val="lv-LV"/>
              </w:rPr>
              <w:t>11 428 873</w:t>
            </w:r>
          </w:p>
        </w:tc>
        <w:tc>
          <w:tcPr>
            <w:tcW w:w="851" w:type="dxa"/>
          </w:tcPr>
          <w:p w14:paraId="42293429"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41C2E595"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7319A119" w14:textId="77777777" w:rsidTr="0068597D">
        <w:tc>
          <w:tcPr>
            <w:tcW w:w="1985" w:type="dxa"/>
          </w:tcPr>
          <w:p w14:paraId="0DF51655" w14:textId="77777777" w:rsidR="002C119B" w:rsidRPr="009A75D6" w:rsidRDefault="002C119B" w:rsidP="0068597D">
            <w:r w:rsidRPr="009A75D6">
              <w:t>1.2. valsts speciālais budžets</w:t>
            </w:r>
          </w:p>
        </w:tc>
        <w:tc>
          <w:tcPr>
            <w:tcW w:w="1418" w:type="dxa"/>
          </w:tcPr>
          <w:p w14:paraId="0E66710E" w14:textId="77777777" w:rsidR="002C119B" w:rsidRPr="006F006A" w:rsidRDefault="002C119B" w:rsidP="0068597D">
            <w:pPr>
              <w:pStyle w:val="tvhtml"/>
              <w:spacing w:line="293" w:lineRule="atLeast"/>
              <w:jc w:val="center"/>
              <w:rPr>
                <w:sz w:val="20"/>
                <w:szCs w:val="20"/>
                <w:lang w:val="lv-LV"/>
              </w:rPr>
            </w:pPr>
          </w:p>
        </w:tc>
        <w:tc>
          <w:tcPr>
            <w:tcW w:w="992" w:type="dxa"/>
          </w:tcPr>
          <w:p w14:paraId="0B0BE614" w14:textId="77777777" w:rsidR="002C119B" w:rsidRPr="006F006A" w:rsidRDefault="002C119B" w:rsidP="0068597D">
            <w:pPr>
              <w:pStyle w:val="tvhtml"/>
              <w:spacing w:line="293" w:lineRule="atLeast"/>
              <w:jc w:val="center"/>
              <w:rPr>
                <w:sz w:val="20"/>
                <w:szCs w:val="20"/>
                <w:lang w:val="lv-LV"/>
              </w:rPr>
            </w:pPr>
          </w:p>
        </w:tc>
        <w:tc>
          <w:tcPr>
            <w:tcW w:w="1559" w:type="dxa"/>
          </w:tcPr>
          <w:p w14:paraId="62864563"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3" w:type="dxa"/>
          </w:tcPr>
          <w:p w14:paraId="5420C2AD"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07D94D47"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36765BE2"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75AFC4B1"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02FC4F51" w14:textId="77777777" w:rsidTr="0068597D">
        <w:tc>
          <w:tcPr>
            <w:tcW w:w="1985" w:type="dxa"/>
          </w:tcPr>
          <w:p w14:paraId="39464461" w14:textId="77777777" w:rsidR="002C119B" w:rsidRPr="009A75D6" w:rsidRDefault="002C119B" w:rsidP="0068597D">
            <w:r w:rsidRPr="009A75D6">
              <w:t>1.3. pašvaldību budžets</w:t>
            </w:r>
          </w:p>
        </w:tc>
        <w:tc>
          <w:tcPr>
            <w:tcW w:w="1418" w:type="dxa"/>
          </w:tcPr>
          <w:p w14:paraId="57BA004C" w14:textId="77777777" w:rsidR="002C119B" w:rsidRPr="006F006A" w:rsidRDefault="002C119B" w:rsidP="0068597D">
            <w:pPr>
              <w:pStyle w:val="tvhtml"/>
              <w:spacing w:line="293" w:lineRule="atLeast"/>
              <w:jc w:val="center"/>
              <w:rPr>
                <w:sz w:val="20"/>
                <w:szCs w:val="20"/>
                <w:lang w:val="lv-LV"/>
              </w:rPr>
            </w:pPr>
          </w:p>
        </w:tc>
        <w:tc>
          <w:tcPr>
            <w:tcW w:w="992" w:type="dxa"/>
          </w:tcPr>
          <w:p w14:paraId="15AA5341" w14:textId="77777777" w:rsidR="002C119B" w:rsidRPr="006F006A" w:rsidRDefault="002C119B" w:rsidP="0068597D">
            <w:pPr>
              <w:pStyle w:val="tvhtml"/>
              <w:spacing w:line="293" w:lineRule="atLeast"/>
              <w:jc w:val="center"/>
              <w:rPr>
                <w:sz w:val="20"/>
                <w:szCs w:val="20"/>
                <w:lang w:val="lv-LV"/>
              </w:rPr>
            </w:pPr>
          </w:p>
        </w:tc>
        <w:tc>
          <w:tcPr>
            <w:tcW w:w="1559" w:type="dxa"/>
          </w:tcPr>
          <w:p w14:paraId="4248B0D1"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3" w:type="dxa"/>
          </w:tcPr>
          <w:p w14:paraId="79B41159"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0C0A71DB"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07BE8F0A"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34823A1E"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1141C462" w14:textId="77777777" w:rsidTr="0068597D">
        <w:tc>
          <w:tcPr>
            <w:tcW w:w="1985" w:type="dxa"/>
          </w:tcPr>
          <w:p w14:paraId="247B95AB" w14:textId="77777777" w:rsidR="002C119B" w:rsidRPr="00C169C9" w:rsidRDefault="002C119B" w:rsidP="0068597D">
            <w:pPr>
              <w:rPr>
                <w:b/>
              </w:rPr>
            </w:pPr>
            <w:r w:rsidRPr="00C169C9">
              <w:rPr>
                <w:b/>
              </w:rPr>
              <w:t>2. Budžeta izdevumi</w:t>
            </w:r>
          </w:p>
        </w:tc>
        <w:tc>
          <w:tcPr>
            <w:tcW w:w="1418" w:type="dxa"/>
          </w:tcPr>
          <w:p w14:paraId="3429804A" w14:textId="77777777" w:rsidR="002C119B" w:rsidRPr="006F006A" w:rsidRDefault="002C119B" w:rsidP="0068597D">
            <w:pPr>
              <w:pStyle w:val="tvhtml"/>
              <w:spacing w:line="293" w:lineRule="atLeast"/>
              <w:jc w:val="center"/>
              <w:rPr>
                <w:b/>
                <w:sz w:val="20"/>
                <w:szCs w:val="20"/>
                <w:lang w:val="lv-LV"/>
              </w:rPr>
            </w:pPr>
            <w:r w:rsidRPr="006F006A">
              <w:rPr>
                <w:b/>
                <w:sz w:val="20"/>
                <w:szCs w:val="20"/>
                <w:lang w:val="lv-LV"/>
              </w:rPr>
              <w:t>12 000 316</w:t>
            </w:r>
          </w:p>
        </w:tc>
        <w:tc>
          <w:tcPr>
            <w:tcW w:w="992" w:type="dxa"/>
          </w:tcPr>
          <w:p w14:paraId="372B6615" w14:textId="77777777" w:rsidR="002C119B" w:rsidRPr="006F006A" w:rsidRDefault="002C119B" w:rsidP="0068597D">
            <w:pPr>
              <w:pStyle w:val="tvhtml"/>
              <w:spacing w:line="293" w:lineRule="atLeast"/>
              <w:jc w:val="center"/>
              <w:rPr>
                <w:b/>
                <w:sz w:val="20"/>
                <w:szCs w:val="20"/>
                <w:lang w:val="lv-LV"/>
              </w:rPr>
            </w:pPr>
          </w:p>
        </w:tc>
        <w:tc>
          <w:tcPr>
            <w:tcW w:w="1559" w:type="dxa"/>
          </w:tcPr>
          <w:p w14:paraId="16F80D3F" w14:textId="77777777" w:rsidR="002C119B" w:rsidRPr="006F006A" w:rsidRDefault="002C119B" w:rsidP="0068597D">
            <w:pPr>
              <w:pStyle w:val="tvhtml"/>
              <w:spacing w:before="0" w:beforeAutospacing="0" w:after="0" w:afterAutospacing="0" w:line="293" w:lineRule="atLeast"/>
              <w:jc w:val="center"/>
              <w:rPr>
                <w:b/>
                <w:sz w:val="20"/>
                <w:szCs w:val="20"/>
                <w:lang w:val="lv-LV"/>
              </w:rPr>
            </w:pPr>
            <w:r w:rsidRPr="006F006A">
              <w:rPr>
                <w:b/>
                <w:sz w:val="20"/>
                <w:szCs w:val="20"/>
                <w:lang w:val="lv-LV"/>
              </w:rPr>
              <w:t>11 428 873</w:t>
            </w:r>
          </w:p>
        </w:tc>
        <w:tc>
          <w:tcPr>
            <w:tcW w:w="993" w:type="dxa"/>
          </w:tcPr>
          <w:p w14:paraId="4520E6A7" w14:textId="3ED2D656" w:rsidR="002C119B" w:rsidRPr="006F006A" w:rsidRDefault="00FF0C23" w:rsidP="0068597D">
            <w:pPr>
              <w:pStyle w:val="tvhtml"/>
              <w:spacing w:before="0" w:beforeAutospacing="0" w:after="0" w:afterAutospacing="0" w:line="293" w:lineRule="atLeast"/>
              <w:jc w:val="center"/>
              <w:rPr>
                <w:b/>
                <w:sz w:val="20"/>
                <w:szCs w:val="20"/>
                <w:lang w:val="lv-LV"/>
              </w:rPr>
            </w:pPr>
            <w:r>
              <w:rPr>
                <w:b/>
                <w:sz w:val="20"/>
                <w:szCs w:val="20"/>
                <w:lang w:val="lv-LV"/>
              </w:rPr>
              <w:t>+195 304</w:t>
            </w:r>
          </w:p>
        </w:tc>
        <w:tc>
          <w:tcPr>
            <w:tcW w:w="991" w:type="dxa"/>
            <w:gridSpan w:val="2"/>
          </w:tcPr>
          <w:p w14:paraId="1A3D7A6C" w14:textId="77777777" w:rsidR="002C119B" w:rsidRPr="006F006A" w:rsidRDefault="002C119B" w:rsidP="0068597D">
            <w:pPr>
              <w:pStyle w:val="tvhtml"/>
              <w:spacing w:before="0" w:beforeAutospacing="0" w:after="0" w:afterAutospacing="0" w:line="293" w:lineRule="atLeast"/>
              <w:jc w:val="center"/>
              <w:rPr>
                <w:b/>
                <w:sz w:val="20"/>
                <w:szCs w:val="20"/>
                <w:lang w:val="lv-LV"/>
              </w:rPr>
            </w:pPr>
            <w:r w:rsidRPr="006F006A">
              <w:rPr>
                <w:b/>
                <w:sz w:val="20"/>
                <w:szCs w:val="20"/>
                <w:lang w:val="lv-LV"/>
              </w:rPr>
              <w:t>11 428 873</w:t>
            </w:r>
          </w:p>
        </w:tc>
        <w:tc>
          <w:tcPr>
            <w:tcW w:w="851" w:type="dxa"/>
          </w:tcPr>
          <w:p w14:paraId="438E4E56" w14:textId="2DFA1795" w:rsidR="002C119B" w:rsidRPr="006F006A" w:rsidRDefault="00453AAB" w:rsidP="0068597D">
            <w:pPr>
              <w:pStyle w:val="tvhtml"/>
              <w:spacing w:before="0" w:beforeAutospacing="0" w:after="0" w:afterAutospacing="0" w:line="293" w:lineRule="atLeast"/>
              <w:jc w:val="center"/>
              <w:rPr>
                <w:b/>
                <w:sz w:val="20"/>
                <w:szCs w:val="20"/>
                <w:lang w:val="lv-LV"/>
              </w:rPr>
            </w:pPr>
            <w:r>
              <w:rPr>
                <w:b/>
                <w:sz w:val="20"/>
                <w:szCs w:val="20"/>
                <w:lang w:val="lv-LV"/>
              </w:rPr>
              <w:t>+365 612</w:t>
            </w:r>
          </w:p>
        </w:tc>
        <w:tc>
          <w:tcPr>
            <w:tcW w:w="1134" w:type="dxa"/>
            <w:gridSpan w:val="2"/>
            <w:shd w:val="clear" w:color="auto" w:fill="auto"/>
          </w:tcPr>
          <w:p w14:paraId="45600F8F" w14:textId="05E31532" w:rsidR="002C119B" w:rsidRPr="006F006A" w:rsidRDefault="00F36FF7" w:rsidP="0068597D">
            <w:pPr>
              <w:pStyle w:val="tvhtml"/>
              <w:spacing w:before="0" w:beforeAutospacing="0" w:after="0" w:afterAutospacing="0" w:line="293" w:lineRule="atLeast"/>
              <w:jc w:val="center"/>
              <w:rPr>
                <w:b/>
                <w:sz w:val="20"/>
                <w:szCs w:val="20"/>
                <w:lang w:val="lv-LV"/>
              </w:rPr>
            </w:pPr>
            <w:r>
              <w:rPr>
                <w:b/>
                <w:sz w:val="20"/>
                <w:szCs w:val="20"/>
                <w:lang w:val="lv-LV"/>
              </w:rPr>
              <w:t>+359 296</w:t>
            </w:r>
          </w:p>
        </w:tc>
      </w:tr>
      <w:tr w:rsidR="002C119B" w:rsidRPr="009A75D6" w14:paraId="2832B62A" w14:textId="77777777" w:rsidTr="0068597D">
        <w:tc>
          <w:tcPr>
            <w:tcW w:w="1985" w:type="dxa"/>
          </w:tcPr>
          <w:p w14:paraId="23179881" w14:textId="77777777" w:rsidR="002C119B" w:rsidRPr="009A75D6" w:rsidRDefault="002C119B" w:rsidP="0068597D">
            <w:r w:rsidRPr="009A75D6">
              <w:t>2.1. valsts pamatbudžets</w:t>
            </w:r>
          </w:p>
        </w:tc>
        <w:tc>
          <w:tcPr>
            <w:tcW w:w="1418" w:type="dxa"/>
          </w:tcPr>
          <w:p w14:paraId="5B42497B" w14:textId="77777777" w:rsidR="002C119B" w:rsidRPr="006F006A" w:rsidRDefault="002C119B" w:rsidP="0068597D">
            <w:pPr>
              <w:pStyle w:val="tvhtml"/>
              <w:spacing w:line="293" w:lineRule="atLeast"/>
              <w:jc w:val="center"/>
              <w:rPr>
                <w:sz w:val="20"/>
                <w:szCs w:val="20"/>
                <w:lang w:val="lv-LV"/>
              </w:rPr>
            </w:pPr>
          </w:p>
        </w:tc>
        <w:tc>
          <w:tcPr>
            <w:tcW w:w="992" w:type="dxa"/>
          </w:tcPr>
          <w:p w14:paraId="1909CB81" w14:textId="77777777" w:rsidR="002C119B" w:rsidRPr="006F006A" w:rsidRDefault="002C119B" w:rsidP="0068597D">
            <w:pPr>
              <w:pStyle w:val="tvhtml"/>
              <w:spacing w:line="293" w:lineRule="atLeast"/>
              <w:jc w:val="center"/>
              <w:rPr>
                <w:sz w:val="20"/>
                <w:szCs w:val="20"/>
                <w:lang w:val="lv-LV"/>
              </w:rPr>
            </w:pPr>
          </w:p>
        </w:tc>
        <w:tc>
          <w:tcPr>
            <w:tcW w:w="1559" w:type="dxa"/>
          </w:tcPr>
          <w:p w14:paraId="27D0C2D8"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0ECFAE0A"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1" w:type="dxa"/>
            <w:gridSpan w:val="2"/>
          </w:tcPr>
          <w:p w14:paraId="505479BE"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851" w:type="dxa"/>
          </w:tcPr>
          <w:p w14:paraId="53CF4C22"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1134" w:type="dxa"/>
            <w:gridSpan w:val="2"/>
            <w:shd w:val="clear" w:color="auto" w:fill="auto"/>
          </w:tcPr>
          <w:p w14:paraId="52A89396"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r>
      <w:tr w:rsidR="002C119B" w:rsidRPr="009A75D6" w14:paraId="3D472860" w14:textId="77777777" w:rsidTr="0068597D">
        <w:tc>
          <w:tcPr>
            <w:tcW w:w="1985" w:type="dxa"/>
          </w:tcPr>
          <w:p w14:paraId="3C83267A" w14:textId="77777777" w:rsidR="002C119B" w:rsidRPr="009A75D6" w:rsidRDefault="002C119B" w:rsidP="0068597D">
            <w:r>
              <w:t>33.04.00</w:t>
            </w:r>
          </w:p>
        </w:tc>
        <w:tc>
          <w:tcPr>
            <w:tcW w:w="1418" w:type="dxa"/>
          </w:tcPr>
          <w:p w14:paraId="0E67D929" w14:textId="77777777" w:rsidR="002C119B" w:rsidRPr="006F006A" w:rsidRDefault="002C119B" w:rsidP="0068597D">
            <w:pPr>
              <w:pStyle w:val="tvhtml"/>
              <w:spacing w:line="293" w:lineRule="atLeast"/>
              <w:jc w:val="center"/>
              <w:rPr>
                <w:sz w:val="20"/>
                <w:szCs w:val="20"/>
                <w:lang w:val="lv-LV"/>
              </w:rPr>
            </w:pPr>
            <w:r w:rsidRPr="006F006A">
              <w:rPr>
                <w:sz w:val="20"/>
                <w:szCs w:val="20"/>
                <w:lang w:val="lv-LV"/>
              </w:rPr>
              <w:t>12 000 316</w:t>
            </w:r>
          </w:p>
        </w:tc>
        <w:tc>
          <w:tcPr>
            <w:tcW w:w="992" w:type="dxa"/>
          </w:tcPr>
          <w:p w14:paraId="4102AE45" w14:textId="77777777" w:rsidR="002C119B" w:rsidRPr="006F006A" w:rsidRDefault="002C119B" w:rsidP="0068597D">
            <w:pPr>
              <w:pStyle w:val="tvhtml"/>
              <w:spacing w:line="293" w:lineRule="atLeast"/>
              <w:jc w:val="center"/>
              <w:rPr>
                <w:sz w:val="20"/>
                <w:szCs w:val="20"/>
                <w:lang w:val="lv-LV"/>
              </w:rPr>
            </w:pPr>
          </w:p>
        </w:tc>
        <w:tc>
          <w:tcPr>
            <w:tcW w:w="1559" w:type="dxa"/>
          </w:tcPr>
          <w:p w14:paraId="1EE465A2"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r w:rsidRPr="006F006A">
              <w:rPr>
                <w:sz w:val="20"/>
                <w:szCs w:val="20"/>
                <w:lang w:val="lv-LV"/>
              </w:rPr>
              <w:t>11 428 873</w:t>
            </w:r>
          </w:p>
        </w:tc>
        <w:tc>
          <w:tcPr>
            <w:tcW w:w="993" w:type="dxa"/>
          </w:tcPr>
          <w:p w14:paraId="3B1BC627" w14:textId="270637E4" w:rsidR="002C119B" w:rsidRPr="006F006A" w:rsidRDefault="00FF0C23" w:rsidP="0068597D">
            <w:pPr>
              <w:pStyle w:val="tvhtml"/>
              <w:spacing w:before="0" w:beforeAutospacing="0" w:after="0" w:afterAutospacing="0" w:line="293" w:lineRule="atLeast"/>
              <w:jc w:val="center"/>
              <w:rPr>
                <w:sz w:val="20"/>
                <w:szCs w:val="20"/>
                <w:lang w:val="lv-LV"/>
              </w:rPr>
            </w:pPr>
            <w:r>
              <w:rPr>
                <w:sz w:val="20"/>
                <w:szCs w:val="20"/>
                <w:lang w:val="lv-LV"/>
              </w:rPr>
              <w:t>+195 304</w:t>
            </w:r>
          </w:p>
        </w:tc>
        <w:tc>
          <w:tcPr>
            <w:tcW w:w="991" w:type="dxa"/>
            <w:gridSpan w:val="2"/>
          </w:tcPr>
          <w:p w14:paraId="338D98E4" w14:textId="77777777" w:rsidR="002C119B" w:rsidRPr="006F006A" w:rsidRDefault="002C119B" w:rsidP="0068597D">
            <w:pPr>
              <w:pStyle w:val="tvhtml"/>
              <w:spacing w:before="0" w:beforeAutospacing="0" w:after="0" w:afterAutospacing="0" w:line="293" w:lineRule="atLeast"/>
              <w:jc w:val="center"/>
              <w:rPr>
                <w:sz w:val="20"/>
                <w:szCs w:val="20"/>
                <w:lang w:val="lv-LV"/>
              </w:rPr>
            </w:pPr>
            <w:r w:rsidRPr="006F006A">
              <w:rPr>
                <w:sz w:val="20"/>
                <w:szCs w:val="20"/>
                <w:lang w:val="lv-LV"/>
              </w:rPr>
              <w:t>11 428 873</w:t>
            </w:r>
          </w:p>
        </w:tc>
        <w:tc>
          <w:tcPr>
            <w:tcW w:w="851" w:type="dxa"/>
          </w:tcPr>
          <w:p w14:paraId="5A2F2AAF" w14:textId="2D8AFA2B"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+365 612</w:t>
            </w:r>
          </w:p>
        </w:tc>
        <w:tc>
          <w:tcPr>
            <w:tcW w:w="1134" w:type="dxa"/>
            <w:gridSpan w:val="2"/>
            <w:shd w:val="clear" w:color="auto" w:fill="auto"/>
          </w:tcPr>
          <w:p w14:paraId="5E855CD4" w14:textId="7B8AEA5D" w:rsidR="002C119B" w:rsidRPr="006F006A" w:rsidRDefault="00F36FF7" w:rsidP="0068597D">
            <w:pPr>
              <w:pStyle w:val="tvhtml"/>
              <w:spacing w:before="0" w:beforeAutospacing="0" w:after="0" w:afterAutospacing="0" w:line="293" w:lineRule="atLeast"/>
              <w:jc w:val="center"/>
              <w:rPr>
                <w:sz w:val="20"/>
                <w:szCs w:val="20"/>
                <w:lang w:val="lv-LV"/>
              </w:rPr>
            </w:pPr>
            <w:r>
              <w:rPr>
                <w:sz w:val="20"/>
                <w:szCs w:val="20"/>
                <w:lang w:val="lv-LV"/>
              </w:rPr>
              <w:t>+359 296</w:t>
            </w:r>
          </w:p>
        </w:tc>
      </w:tr>
      <w:tr w:rsidR="002C119B" w:rsidRPr="009A75D6" w14:paraId="1AAD5FFC" w14:textId="77777777" w:rsidTr="0068597D">
        <w:tc>
          <w:tcPr>
            <w:tcW w:w="1985" w:type="dxa"/>
          </w:tcPr>
          <w:p w14:paraId="6DE4D246" w14:textId="77777777" w:rsidR="002C119B" w:rsidRPr="009A75D6" w:rsidRDefault="002C119B" w:rsidP="0068597D">
            <w:r w:rsidRPr="009A75D6">
              <w:t>2.2. valsts speciālais budžets</w:t>
            </w:r>
          </w:p>
        </w:tc>
        <w:tc>
          <w:tcPr>
            <w:tcW w:w="1418" w:type="dxa"/>
          </w:tcPr>
          <w:p w14:paraId="7E63BABE" w14:textId="77777777" w:rsidR="002C119B" w:rsidRPr="006F006A" w:rsidRDefault="002C119B" w:rsidP="0068597D">
            <w:pPr>
              <w:pStyle w:val="tvhtml"/>
              <w:spacing w:line="293" w:lineRule="atLeast"/>
              <w:jc w:val="center"/>
              <w:rPr>
                <w:sz w:val="20"/>
                <w:szCs w:val="20"/>
                <w:lang w:val="lv-LV"/>
              </w:rPr>
            </w:pPr>
          </w:p>
        </w:tc>
        <w:tc>
          <w:tcPr>
            <w:tcW w:w="992" w:type="dxa"/>
          </w:tcPr>
          <w:p w14:paraId="52FFF9D7" w14:textId="77777777" w:rsidR="002C119B" w:rsidRPr="006F006A" w:rsidRDefault="002C119B" w:rsidP="0068597D">
            <w:pPr>
              <w:pStyle w:val="tvhtml"/>
              <w:spacing w:line="293" w:lineRule="atLeast"/>
              <w:jc w:val="center"/>
              <w:rPr>
                <w:sz w:val="20"/>
                <w:szCs w:val="20"/>
                <w:lang w:val="lv-LV"/>
              </w:rPr>
            </w:pPr>
          </w:p>
        </w:tc>
        <w:tc>
          <w:tcPr>
            <w:tcW w:w="1559" w:type="dxa"/>
          </w:tcPr>
          <w:p w14:paraId="41209FD2"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1BA018A7"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1" w:type="dxa"/>
            <w:gridSpan w:val="2"/>
          </w:tcPr>
          <w:p w14:paraId="67DE7E94"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851" w:type="dxa"/>
          </w:tcPr>
          <w:p w14:paraId="5DAAF1A5"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1134" w:type="dxa"/>
            <w:gridSpan w:val="2"/>
          </w:tcPr>
          <w:p w14:paraId="020526C7"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4179847E" w14:textId="77777777" w:rsidTr="0068597D">
        <w:tc>
          <w:tcPr>
            <w:tcW w:w="1985" w:type="dxa"/>
          </w:tcPr>
          <w:p w14:paraId="0848092A" w14:textId="77777777" w:rsidR="002C119B" w:rsidRPr="009A75D6" w:rsidRDefault="002C119B" w:rsidP="0068597D">
            <w:r w:rsidRPr="009A75D6">
              <w:t>2.3. pašvaldību budžets</w:t>
            </w:r>
          </w:p>
        </w:tc>
        <w:tc>
          <w:tcPr>
            <w:tcW w:w="1418" w:type="dxa"/>
          </w:tcPr>
          <w:p w14:paraId="4E9446BB" w14:textId="77777777" w:rsidR="002C119B" w:rsidRPr="006F006A" w:rsidRDefault="002C119B" w:rsidP="0068597D">
            <w:pPr>
              <w:pStyle w:val="tvhtml"/>
              <w:spacing w:line="293" w:lineRule="atLeast"/>
              <w:jc w:val="center"/>
              <w:rPr>
                <w:sz w:val="20"/>
                <w:szCs w:val="20"/>
                <w:lang w:val="lv-LV"/>
              </w:rPr>
            </w:pPr>
          </w:p>
        </w:tc>
        <w:tc>
          <w:tcPr>
            <w:tcW w:w="992" w:type="dxa"/>
          </w:tcPr>
          <w:p w14:paraId="296A4FCC" w14:textId="77777777" w:rsidR="002C119B" w:rsidRPr="006F006A" w:rsidRDefault="002C119B" w:rsidP="0068597D">
            <w:pPr>
              <w:pStyle w:val="tvhtml"/>
              <w:spacing w:line="293" w:lineRule="atLeast"/>
              <w:jc w:val="center"/>
              <w:rPr>
                <w:sz w:val="20"/>
                <w:szCs w:val="20"/>
                <w:lang w:val="lv-LV"/>
              </w:rPr>
            </w:pPr>
          </w:p>
        </w:tc>
        <w:tc>
          <w:tcPr>
            <w:tcW w:w="1559" w:type="dxa"/>
          </w:tcPr>
          <w:p w14:paraId="6E84131B"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5BDDF662"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1" w:type="dxa"/>
            <w:gridSpan w:val="2"/>
          </w:tcPr>
          <w:p w14:paraId="6D41E5F1"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851" w:type="dxa"/>
          </w:tcPr>
          <w:p w14:paraId="141F2E50"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1134" w:type="dxa"/>
            <w:gridSpan w:val="2"/>
          </w:tcPr>
          <w:p w14:paraId="0B406BF0"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29C35FE2" w14:textId="77777777" w:rsidTr="0068597D">
        <w:tc>
          <w:tcPr>
            <w:tcW w:w="1985" w:type="dxa"/>
          </w:tcPr>
          <w:p w14:paraId="6DDCB95A" w14:textId="77777777" w:rsidR="002C119B" w:rsidRPr="009A75D6" w:rsidRDefault="002C119B" w:rsidP="0068597D">
            <w:r>
              <w:t>3. Finansiālā ietekme</w:t>
            </w:r>
          </w:p>
        </w:tc>
        <w:tc>
          <w:tcPr>
            <w:tcW w:w="1418" w:type="dxa"/>
          </w:tcPr>
          <w:p w14:paraId="47BF9AE5" w14:textId="77777777" w:rsidR="002C119B" w:rsidRPr="006F006A" w:rsidRDefault="002C119B" w:rsidP="0068597D">
            <w:pPr>
              <w:pStyle w:val="tvhtml"/>
              <w:spacing w:line="293" w:lineRule="atLeast"/>
              <w:jc w:val="center"/>
              <w:rPr>
                <w:sz w:val="20"/>
                <w:szCs w:val="20"/>
                <w:lang w:val="lv-LV"/>
              </w:rPr>
            </w:pPr>
          </w:p>
        </w:tc>
        <w:tc>
          <w:tcPr>
            <w:tcW w:w="992" w:type="dxa"/>
          </w:tcPr>
          <w:p w14:paraId="1CA61DEF" w14:textId="77777777" w:rsidR="002C119B" w:rsidRPr="006F006A" w:rsidRDefault="002C119B" w:rsidP="0068597D">
            <w:pPr>
              <w:pStyle w:val="tvhtml"/>
              <w:spacing w:line="293" w:lineRule="atLeast"/>
              <w:jc w:val="center"/>
              <w:rPr>
                <w:sz w:val="20"/>
                <w:szCs w:val="20"/>
                <w:lang w:val="lv-LV"/>
              </w:rPr>
            </w:pPr>
          </w:p>
        </w:tc>
        <w:tc>
          <w:tcPr>
            <w:tcW w:w="1559" w:type="dxa"/>
          </w:tcPr>
          <w:p w14:paraId="2BD70C07"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73F536D7" w14:textId="371BA90E" w:rsidR="002C119B" w:rsidRPr="006F006A" w:rsidRDefault="00FF0C23" w:rsidP="0068597D">
            <w:pPr>
              <w:pStyle w:val="tvhtml"/>
              <w:spacing w:before="0" w:beforeAutospacing="0" w:after="0" w:afterAutospacing="0" w:line="293" w:lineRule="atLeast"/>
              <w:jc w:val="center"/>
              <w:rPr>
                <w:sz w:val="20"/>
                <w:szCs w:val="20"/>
                <w:lang w:val="lv-LV"/>
              </w:rPr>
            </w:pPr>
            <w:r>
              <w:rPr>
                <w:sz w:val="20"/>
                <w:szCs w:val="20"/>
                <w:lang w:val="lv-LV"/>
              </w:rPr>
              <w:t>-195 304</w:t>
            </w:r>
          </w:p>
        </w:tc>
        <w:tc>
          <w:tcPr>
            <w:tcW w:w="991" w:type="dxa"/>
            <w:gridSpan w:val="2"/>
          </w:tcPr>
          <w:p w14:paraId="2145CF31"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0E2A52A9" w14:textId="5F4E09B7"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-365 612</w:t>
            </w:r>
          </w:p>
        </w:tc>
        <w:tc>
          <w:tcPr>
            <w:tcW w:w="1134" w:type="dxa"/>
            <w:gridSpan w:val="2"/>
          </w:tcPr>
          <w:p w14:paraId="08B1D84B" w14:textId="4AEB72D1" w:rsidR="002C119B" w:rsidRPr="006F006A" w:rsidRDefault="00F36FF7" w:rsidP="0068597D">
            <w:pPr>
              <w:pStyle w:val="tvhtml"/>
              <w:spacing w:before="0" w:beforeAutospacing="0" w:after="0" w:afterAutospacing="0" w:line="293" w:lineRule="atLeast"/>
              <w:jc w:val="center"/>
              <w:rPr>
                <w:sz w:val="20"/>
                <w:szCs w:val="20"/>
                <w:lang w:val="lv-LV"/>
              </w:rPr>
            </w:pPr>
            <w:r>
              <w:rPr>
                <w:sz w:val="20"/>
                <w:szCs w:val="20"/>
                <w:lang w:val="lv-LV"/>
              </w:rPr>
              <w:t>-359 296</w:t>
            </w:r>
          </w:p>
        </w:tc>
      </w:tr>
      <w:tr w:rsidR="002C119B" w:rsidRPr="009A75D6" w14:paraId="4D190EFC" w14:textId="77777777" w:rsidTr="0068597D">
        <w:tc>
          <w:tcPr>
            <w:tcW w:w="1985" w:type="dxa"/>
          </w:tcPr>
          <w:p w14:paraId="47422224" w14:textId="77777777" w:rsidR="002C119B" w:rsidRPr="009A75D6" w:rsidRDefault="002C119B" w:rsidP="0068597D">
            <w:r w:rsidRPr="009A75D6">
              <w:t>3.1. valsts pamatbudžets</w:t>
            </w:r>
          </w:p>
        </w:tc>
        <w:tc>
          <w:tcPr>
            <w:tcW w:w="1418" w:type="dxa"/>
          </w:tcPr>
          <w:p w14:paraId="4F248C07" w14:textId="77777777" w:rsidR="002C119B" w:rsidRPr="006F006A" w:rsidRDefault="002C119B" w:rsidP="0068597D">
            <w:pPr>
              <w:pStyle w:val="tvhtml"/>
              <w:spacing w:line="293" w:lineRule="atLeast"/>
              <w:jc w:val="center"/>
              <w:rPr>
                <w:sz w:val="20"/>
                <w:szCs w:val="20"/>
                <w:lang w:val="lv-LV"/>
              </w:rPr>
            </w:pPr>
          </w:p>
        </w:tc>
        <w:tc>
          <w:tcPr>
            <w:tcW w:w="992" w:type="dxa"/>
          </w:tcPr>
          <w:p w14:paraId="481CD749" w14:textId="77777777" w:rsidR="002C119B" w:rsidRPr="006F006A" w:rsidRDefault="002C119B" w:rsidP="0068597D">
            <w:pPr>
              <w:pStyle w:val="tvhtml"/>
              <w:spacing w:line="293" w:lineRule="atLeast"/>
              <w:jc w:val="center"/>
              <w:rPr>
                <w:sz w:val="20"/>
                <w:szCs w:val="20"/>
                <w:lang w:val="lv-LV"/>
              </w:rPr>
            </w:pPr>
          </w:p>
        </w:tc>
        <w:tc>
          <w:tcPr>
            <w:tcW w:w="1559" w:type="dxa"/>
          </w:tcPr>
          <w:p w14:paraId="157BF732"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4FC6ED50" w14:textId="13387AA9"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-195 304</w:t>
            </w:r>
          </w:p>
        </w:tc>
        <w:tc>
          <w:tcPr>
            <w:tcW w:w="991" w:type="dxa"/>
            <w:gridSpan w:val="2"/>
          </w:tcPr>
          <w:p w14:paraId="1D8B0017"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788F26A7" w14:textId="33B6A4DE"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-365 612</w:t>
            </w:r>
          </w:p>
        </w:tc>
        <w:tc>
          <w:tcPr>
            <w:tcW w:w="1134" w:type="dxa"/>
            <w:gridSpan w:val="2"/>
          </w:tcPr>
          <w:p w14:paraId="26CACCA1" w14:textId="6731DA20" w:rsidR="002C119B" w:rsidRPr="006F006A" w:rsidRDefault="00F36FF7" w:rsidP="0068597D">
            <w:pPr>
              <w:pStyle w:val="tvhtml"/>
              <w:spacing w:before="0" w:beforeAutospacing="0" w:after="0" w:afterAutospacing="0" w:line="293" w:lineRule="atLeast"/>
              <w:jc w:val="center"/>
              <w:rPr>
                <w:sz w:val="20"/>
                <w:szCs w:val="20"/>
                <w:lang w:val="lv-LV"/>
              </w:rPr>
            </w:pPr>
            <w:r>
              <w:rPr>
                <w:sz w:val="20"/>
                <w:szCs w:val="20"/>
                <w:lang w:val="lv-LV"/>
              </w:rPr>
              <w:t>-359 296</w:t>
            </w:r>
          </w:p>
        </w:tc>
      </w:tr>
      <w:tr w:rsidR="002C119B" w:rsidRPr="009A75D6" w14:paraId="6CC36535" w14:textId="77777777" w:rsidTr="0068597D">
        <w:tc>
          <w:tcPr>
            <w:tcW w:w="1985" w:type="dxa"/>
          </w:tcPr>
          <w:p w14:paraId="5560B2DC" w14:textId="77777777" w:rsidR="002C119B" w:rsidRPr="009A75D6" w:rsidRDefault="002C119B" w:rsidP="0068597D">
            <w:r w:rsidRPr="009A75D6">
              <w:t>3.2. speciālais budžets</w:t>
            </w:r>
          </w:p>
        </w:tc>
        <w:tc>
          <w:tcPr>
            <w:tcW w:w="1418" w:type="dxa"/>
          </w:tcPr>
          <w:p w14:paraId="79BA8F8A" w14:textId="77777777" w:rsidR="002C119B" w:rsidRPr="006F006A" w:rsidRDefault="002C119B" w:rsidP="0068597D">
            <w:pPr>
              <w:pStyle w:val="tvhtml"/>
              <w:spacing w:line="293" w:lineRule="atLeast"/>
              <w:jc w:val="center"/>
              <w:rPr>
                <w:sz w:val="20"/>
                <w:szCs w:val="20"/>
                <w:lang w:val="lv-LV"/>
              </w:rPr>
            </w:pPr>
          </w:p>
        </w:tc>
        <w:tc>
          <w:tcPr>
            <w:tcW w:w="992" w:type="dxa"/>
          </w:tcPr>
          <w:p w14:paraId="05219760" w14:textId="77777777" w:rsidR="002C119B" w:rsidRPr="006F006A" w:rsidRDefault="002C119B" w:rsidP="0068597D">
            <w:pPr>
              <w:pStyle w:val="tvhtml"/>
              <w:spacing w:line="293" w:lineRule="atLeast"/>
              <w:jc w:val="center"/>
              <w:rPr>
                <w:sz w:val="20"/>
                <w:szCs w:val="20"/>
                <w:lang w:val="lv-LV"/>
              </w:rPr>
            </w:pPr>
          </w:p>
        </w:tc>
        <w:tc>
          <w:tcPr>
            <w:tcW w:w="1559" w:type="dxa"/>
          </w:tcPr>
          <w:p w14:paraId="74B8E343"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73F373AD"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5DA9BB3E"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53811C0E"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1B1E1975"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r>
      <w:tr w:rsidR="002C119B" w:rsidRPr="009A75D6" w14:paraId="2D6C8F99" w14:textId="77777777" w:rsidTr="0068597D">
        <w:tc>
          <w:tcPr>
            <w:tcW w:w="1985" w:type="dxa"/>
          </w:tcPr>
          <w:p w14:paraId="1F0E9BF1" w14:textId="77777777" w:rsidR="002C119B" w:rsidRPr="009A75D6" w:rsidRDefault="002C119B" w:rsidP="0068597D">
            <w:r w:rsidRPr="009A75D6">
              <w:t>3.3. pašvaldību budžets</w:t>
            </w:r>
          </w:p>
        </w:tc>
        <w:tc>
          <w:tcPr>
            <w:tcW w:w="1418" w:type="dxa"/>
          </w:tcPr>
          <w:p w14:paraId="0E811F6E" w14:textId="77777777" w:rsidR="002C119B" w:rsidRPr="006F006A" w:rsidRDefault="002C119B" w:rsidP="0068597D">
            <w:pPr>
              <w:pStyle w:val="tvhtml"/>
              <w:spacing w:line="293" w:lineRule="atLeast"/>
              <w:jc w:val="center"/>
              <w:rPr>
                <w:sz w:val="20"/>
                <w:szCs w:val="20"/>
                <w:lang w:val="lv-LV"/>
              </w:rPr>
            </w:pPr>
          </w:p>
        </w:tc>
        <w:tc>
          <w:tcPr>
            <w:tcW w:w="992" w:type="dxa"/>
          </w:tcPr>
          <w:p w14:paraId="0A9F7F41" w14:textId="77777777" w:rsidR="002C119B" w:rsidRPr="006F006A" w:rsidRDefault="002C119B" w:rsidP="0068597D">
            <w:pPr>
              <w:pStyle w:val="tvhtml"/>
              <w:spacing w:line="293" w:lineRule="atLeast"/>
              <w:jc w:val="center"/>
              <w:rPr>
                <w:sz w:val="20"/>
                <w:szCs w:val="20"/>
                <w:lang w:val="lv-LV"/>
              </w:rPr>
            </w:pPr>
          </w:p>
        </w:tc>
        <w:tc>
          <w:tcPr>
            <w:tcW w:w="1559" w:type="dxa"/>
          </w:tcPr>
          <w:p w14:paraId="23E18E3F"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1F1AD21E"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62FB8A75"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66FBA83B"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5F71D7B1"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r>
      <w:tr w:rsidR="002C119B" w:rsidRPr="009A75D6" w14:paraId="2C24E30B" w14:textId="77777777" w:rsidTr="0068597D">
        <w:tc>
          <w:tcPr>
            <w:tcW w:w="1985" w:type="dxa"/>
          </w:tcPr>
          <w:p w14:paraId="38CDA272" w14:textId="77777777" w:rsidR="002C119B" w:rsidRPr="009A75D6" w:rsidRDefault="002C119B" w:rsidP="0068597D">
            <w:r w:rsidRPr="009A75D6">
              <w:t>4. Finanšu līdzekļi papildu izdevumu finansēšanai (kompensējošu izdevumu samazinājumu norāda ar "+" zīmi)</w:t>
            </w:r>
          </w:p>
        </w:tc>
        <w:tc>
          <w:tcPr>
            <w:tcW w:w="1418" w:type="dxa"/>
          </w:tcPr>
          <w:p w14:paraId="43DDBC4A" w14:textId="77777777" w:rsidR="002C119B" w:rsidRPr="006F006A" w:rsidRDefault="002C119B" w:rsidP="0068597D">
            <w:pPr>
              <w:pStyle w:val="tvhtml"/>
              <w:spacing w:line="293" w:lineRule="atLeast"/>
              <w:jc w:val="center"/>
              <w:rPr>
                <w:sz w:val="20"/>
                <w:szCs w:val="20"/>
                <w:lang w:val="lv-LV"/>
              </w:rPr>
            </w:pPr>
          </w:p>
        </w:tc>
        <w:tc>
          <w:tcPr>
            <w:tcW w:w="992" w:type="dxa"/>
          </w:tcPr>
          <w:p w14:paraId="2C8D4AA9" w14:textId="77777777" w:rsidR="002C119B" w:rsidRPr="006F006A" w:rsidRDefault="002C119B" w:rsidP="0068597D">
            <w:pPr>
              <w:pStyle w:val="tvhtml"/>
              <w:spacing w:line="293" w:lineRule="atLeast"/>
              <w:jc w:val="center"/>
              <w:rPr>
                <w:sz w:val="20"/>
                <w:szCs w:val="20"/>
                <w:lang w:val="lv-LV"/>
              </w:rPr>
            </w:pPr>
          </w:p>
        </w:tc>
        <w:tc>
          <w:tcPr>
            <w:tcW w:w="1559" w:type="dxa"/>
          </w:tcPr>
          <w:p w14:paraId="4375FED3"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20BDBECB"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991" w:type="dxa"/>
            <w:gridSpan w:val="2"/>
          </w:tcPr>
          <w:p w14:paraId="2A4D38EE"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6F8DCB5D"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1134" w:type="dxa"/>
            <w:gridSpan w:val="2"/>
          </w:tcPr>
          <w:p w14:paraId="2DBFA4E0"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r>
      <w:tr w:rsidR="002C119B" w:rsidRPr="009A75D6" w14:paraId="1D5F5213" w14:textId="77777777" w:rsidTr="0068597D">
        <w:tc>
          <w:tcPr>
            <w:tcW w:w="1985" w:type="dxa"/>
          </w:tcPr>
          <w:p w14:paraId="1E26E348" w14:textId="77777777" w:rsidR="002C119B" w:rsidRPr="009A75D6" w:rsidRDefault="002C119B" w:rsidP="0068597D">
            <w:r>
              <w:t>5. Precizēta finansiālā ietekme</w:t>
            </w:r>
          </w:p>
        </w:tc>
        <w:tc>
          <w:tcPr>
            <w:tcW w:w="1418" w:type="dxa"/>
            <w:vMerge w:val="restart"/>
          </w:tcPr>
          <w:p w14:paraId="54EA032B" w14:textId="77777777" w:rsidR="002C119B" w:rsidRPr="006F006A" w:rsidRDefault="002C119B" w:rsidP="0068597D">
            <w:pPr>
              <w:pStyle w:val="tvhtml"/>
              <w:spacing w:line="293" w:lineRule="atLeast"/>
              <w:jc w:val="center"/>
              <w:rPr>
                <w:sz w:val="20"/>
                <w:szCs w:val="20"/>
                <w:lang w:val="lv-LV"/>
              </w:rPr>
            </w:pPr>
          </w:p>
        </w:tc>
        <w:tc>
          <w:tcPr>
            <w:tcW w:w="992" w:type="dxa"/>
          </w:tcPr>
          <w:p w14:paraId="3088636F" w14:textId="77777777" w:rsidR="002C119B" w:rsidRPr="006F006A" w:rsidRDefault="002C119B" w:rsidP="0068597D">
            <w:pPr>
              <w:pStyle w:val="tvhtml"/>
              <w:spacing w:line="293" w:lineRule="atLeast"/>
              <w:jc w:val="center"/>
              <w:rPr>
                <w:sz w:val="20"/>
                <w:szCs w:val="20"/>
                <w:lang w:val="lv-LV"/>
              </w:rPr>
            </w:pPr>
          </w:p>
        </w:tc>
        <w:tc>
          <w:tcPr>
            <w:tcW w:w="1559" w:type="dxa"/>
            <w:vMerge w:val="restart"/>
          </w:tcPr>
          <w:p w14:paraId="7B5B78DB"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7F385A19" w14:textId="38CC448F"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-195 304</w:t>
            </w:r>
          </w:p>
        </w:tc>
        <w:tc>
          <w:tcPr>
            <w:tcW w:w="991" w:type="dxa"/>
            <w:gridSpan w:val="2"/>
            <w:vMerge w:val="restart"/>
          </w:tcPr>
          <w:p w14:paraId="2FE56AB1"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0F3ADAA6" w14:textId="1B6CC7BA"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-365 612</w:t>
            </w:r>
          </w:p>
        </w:tc>
        <w:tc>
          <w:tcPr>
            <w:tcW w:w="1134" w:type="dxa"/>
            <w:gridSpan w:val="2"/>
          </w:tcPr>
          <w:p w14:paraId="5FE2DDAE" w14:textId="66158218" w:rsidR="002C119B" w:rsidRPr="006F006A" w:rsidRDefault="00F36FF7" w:rsidP="0068597D">
            <w:pPr>
              <w:pStyle w:val="tvhtml"/>
              <w:spacing w:before="0" w:beforeAutospacing="0" w:after="0" w:afterAutospacing="0" w:line="293" w:lineRule="atLeast"/>
              <w:jc w:val="center"/>
              <w:rPr>
                <w:sz w:val="20"/>
                <w:szCs w:val="20"/>
                <w:lang w:val="lv-LV"/>
              </w:rPr>
            </w:pPr>
            <w:r>
              <w:rPr>
                <w:sz w:val="20"/>
                <w:szCs w:val="20"/>
                <w:lang w:val="lv-LV"/>
              </w:rPr>
              <w:t>-359 296</w:t>
            </w:r>
          </w:p>
        </w:tc>
      </w:tr>
      <w:tr w:rsidR="002C119B" w:rsidRPr="009A75D6" w14:paraId="2D33EB22" w14:textId="77777777" w:rsidTr="0068597D">
        <w:tc>
          <w:tcPr>
            <w:tcW w:w="1985" w:type="dxa"/>
          </w:tcPr>
          <w:p w14:paraId="6CDC7206" w14:textId="77777777" w:rsidR="002C119B" w:rsidRPr="009A75D6" w:rsidRDefault="002C119B" w:rsidP="0068597D">
            <w:r w:rsidRPr="009A75D6">
              <w:t>5.1. valsts pamatbudžets</w:t>
            </w:r>
          </w:p>
        </w:tc>
        <w:tc>
          <w:tcPr>
            <w:tcW w:w="1418" w:type="dxa"/>
            <w:vMerge/>
          </w:tcPr>
          <w:p w14:paraId="600F4930" w14:textId="77777777" w:rsidR="002C119B" w:rsidRPr="006F006A" w:rsidRDefault="002C119B" w:rsidP="0068597D">
            <w:pPr>
              <w:pStyle w:val="tvhtml"/>
              <w:spacing w:line="293" w:lineRule="atLeast"/>
              <w:jc w:val="center"/>
              <w:rPr>
                <w:sz w:val="20"/>
                <w:szCs w:val="20"/>
                <w:lang w:val="lv-LV"/>
              </w:rPr>
            </w:pPr>
          </w:p>
        </w:tc>
        <w:tc>
          <w:tcPr>
            <w:tcW w:w="992" w:type="dxa"/>
          </w:tcPr>
          <w:p w14:paraId="45779DC3" w14:textId="77777777" w:rsidR="002C119B" w:rsidRPr="006F006A" w:rsidRDefault="002C119B" w:rsidP="0068597D">
            <w:pPr>
              <w:pStyle w:val="tvhtml"/>
              <w:spacing w:line="293" w:lineRule="atLeast"/>
              <w:jc w:val="center"/>
              <w:rPr>
                <w:sz w:val="20"/>
                <w:szCs w:val="20"/>
                <w:lang w:val="lv-LV"/>
              </w:rPr>
            </w:pPr>
          </w:p>
        </w:tc>
        <w:tc>
          <w:tcPr>
            <w:tcW w:w="1559" w:type="dxa"/>
            <w:vMerge/>
          </w:tcPr>
          <w:p w14:paraId="18EC2E30"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37B4B3F1" w14:textId="1D3D0FBD"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-195 304</w:t>
            </w:r>
          </w:p>
        </w:tc>
        <w:tc>
          <w:tcPr>
            <w:tcW w:w="991" w:type="dxa"/>
            <w:gridSpan w:val="2"/>
            <w:vMerge/>
          </w:tcPr>
          <w:p w14:paraId="2A67E97D" w14:textId="77777777" w:rsidR="002C119B" w:rsidRPr="006F006A" w:rsidRDefault="002C119B" w:rsidP="0068597D">
            <w:pPr>
              <w:pStyle w:val="tvhtml"/>
              <w:spacing w:before="0" w:beforeAutospacing="0" w:after="0" w:afterAutospacing="0" w:line="293" w:lineRule="atLeast"/>
              <w:jc w:val="center"/>
              <w:rPr>
                <w:sz w:val="20"/>
                <w:szCs w:val="20"/>
                <w:lang w:val="lv-LV"/>
              </w:rPr>
            </w:pPr>
          </w:p>
        </w:tc>
        <w:tc>
          <w:tcPr>
            <w:tcW w:w="851" w:type="dxa"/>
          </w:tcPr>
          <w:p w14:paraId="6F751814" w14:textId="1FD5D0E8" w:rsidR="002C119B" w:rsidRPr="006F006A" w:rsidRDefault="00453AAB" w:rsidP="0068597D">
            <w:pPr>
              <w:pStyle w:val="tvhtml"/>
              <w:spacing w:before="0" w:beforeAutospacing="0" w:after="0" w:afterAutospacing="0" w:line="293" w:lineRule="atLeast"/>
              <w:jc w:val="center"/>
              <w:rPr>
                <w:sz w:val="20"/>
                <w:szCs w:val="20"/>
                <w:lang w:val="lv-LV"/>
              </w:rPr>
            </w:pPr>
            <w:r>
              <w:rPr>
                <w:sz w:val="20"/>
                <w:szCs w:val="20"/>
                <w:lang w:val="lv-LV"/>
              </w:rPr>
              <w:t>-365 612</w:t>
            </w:r>
          </w:p>
        </w:tc>
        <w:tc>
          <w:tcPr>
            <w:tcW w:w="1134" w:type="dxa"/>
            <w:gridSpan w:val="2"/>
          </w:tcPr>
          <w:p w14:paraId="7A29B5E4" w14:textId="7512E8F2" w:rsidR="002C119B" w:rsidRPr="006F006A" w:rsidRDefault="00F36FF7" w:rsidP="0068597D">
            <w:pPr>
              <w:pStyle w:val="tvhtml"/>
              <w:spacing w:before="0" w:beforeAutospacing="0" w:after="0" w:afterAutospacing="0" w:line="293" w:lineRule="atLeast"/>
              <w:jc w:val="center"/>
              <w:rPr>
                <w:sz w:val="20"/>
                <w:szCs w:val="20"/>
                <w:lang w:val="lv-LV"/>
              </w:rPr>
            </w:pPr>
            <w:r>
              <w:rPr>
                <w:sz w:val="20"/>
                <w:szCs w:val="20"/>
                <w:lang w:val="lv-LV"/>
              </w:rPr>
              <w:t>-359 296</w:t>
            </w:r>
          </w:p>
        </w:tc>
      </w:tr>
      <w:tr w:rsidR="002C119B" w:rsidRPr="009A75D6" w14:paraId="4D917875" w14:textId="77777777" w:rsidTr="0068597D">
        <w:tc>
          <w:tcPr>
            <w:tcW w:w="1985" w:type="dxa"/>
          </w:tcPr>
          <w:p w14:paraId="3BD04235" w14:textId="77777777" w:rsidR="002C119B" w:rsidRPr="009A75D6" w:rsidRDefault="002C119B" w:rsidP="0068597D">
            <w:r w:rsidRPr="009A75D6">
              <w:t>5.2. speciālais budžets</w:t>
            </w:r>
          </w:p>
        </w:tc>
        <w:tc>
          <w:tcPr>
            <w:tcW w:w="1418" w:type="dxa"/>
            <w:vMerge/>
          </w:tcPr>
          <w:p w14:paraId="3F88B057" w14:textId="77777777" w:rsidR="002C119B" w:rsidRPr="006F006A" w:rsidRDefault="002C119B" w:rsidP="0068597D">
            <w:pPr>
              <w:pStyle w:val="tvhtml"/>
              <w:spacing w:line="293" w:lineRule="atLeast"/>
              <w:jc w:val="center"/>
              <w:rPr>
                <w:sz w:val="20"/>
                <w:szCs w:val="20"/>
                <w:lang w:val="lv-LV"/>
              </w:rPr>
            </w:pPr>
          </w:p>
        </w:tc>
        <w:tc>
          <w:tcPr>
            <w:tcW w:w="992" w:type="dxa"/>
          </w:tcPr>
          <w:p w14:paraId="79E1BF36" w14:textId="77777777" w:rsidR="002C119B" w:rsidRPr="006F006A" w:rsidRDefault="002C119B" w:rsidP="0068597D">
            <w:pPr>
              <w:pStyle w:val="tvhtml"/>
              <w:spacing w:line="293" w:lineRule="atLeast"/>
              <w:jc w:val="center"/>
              <w:rPr>
                <w:sz w:val="20"/>
                <w:szCs w:val="20"/>
                <w:lang w:val="lv-LV"/>
              </w:rPr>
            </w:pPr>
          </w:p>
        </w:tc>
        <w:tc>
          <w:tcPr>
            <w:tcW w:w="1559" w:type="dxa"/>
            <w:vMerge/>
          </w:tcPr>
          <w:p w14:paraId="64717101"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6F090CE6"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1" w:type="dxa"/>
            <w:gridSpan w:val="2"/>
            <w:vMerge/>
          </w:tcPr>
          <w:p w14:paraId="4940D614"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851" w:type="dxa"/>
          </w:tcPr>
          <w:p w14:paraId="5761A74A"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1134" w:type="dxa"/>
            <w:gridSpan w:val="2"/>
          </w:tcPr>
          <w:p w14:paraId="585B9C8B"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731397C8" w14:textId="77777777" w:rsidTr="0068597D">
        <w:tc>
          <w:tcPr>
            <w:tcW w:w="1985" w:type="dxa"/>
          </w:tcPr>
          <w:p w14:paraId="60C6F2EC" w14:textId="77777777" w:rsidR="002C119B" w:rsidRPr="009A75D6" w:rsidRDefault="002C119B" w:rsidP="0068597D">
            <w:r w:rsidRPr="009A75D6">
              <w:t>5.3. pašvaldību budžets</w:t>
            </w:r>
          </w:p>
        </w:tc>
        <w:tc>
          <w:tcPr>
            <w:tcW w:w="1418" w:type="dxa"/>
            <w:vMerge/>
          </w:tcPr>
          <w:p w14:paraId="4B624072" w14:textId="77777777" w:rsidR="002C119B" w:rsidRPr="006F006A" w:rsidRDefault="002C119B" w:rsidP="0068597D">
            <w:pPr>
              <w:pStyle w:val="tvhtml"/>
              <w:spacing w:line="293" w:lineRule="atLeast"/>
              <w:jc w:val="center"/>
              <w:rPr>
                <w:sz w:val="20"/>
                <w:szCs w:val="20"/>
                <w:lang w:val="lv-LV"/>
              </w:rPr>
            </w:pPr>
          </w:p>
        </w:tc>
        <w:tc>
          <w:tcPr>
            <w:tcW w:w="992" w:type="dxa"/>
          </w:tcPr>
          <w:p w14:paraId="134F20CC" w14:textId="77777777" w:rsidR="002C119B" w:rsidRPr="006F006A" w:rsidRDefault="002C119B" w:rsidP="0068597D">
            <w:pPr>
              <w:pStyle w:val="tvhtml"/>
              <w:spacing w:line="293" w:lineRule="atLeast"/>
              <w:jc w:val="center"/>
              <w:rPr>
                <w:sz w:val="20"/>
                <w:szCs w:val="20"/>
                <w:lang w:val="lv-LV"/>
              </w:rPr>
            </w:pPr>
          </w:p>
        </w:tc>
        <w:tc>
          <w:tcPr>
            <w:tcW w:w="1559" w:type="dxa"/>
            <w:vMerge/>
          </w:tcPr>
          <w:p w14:paraId="5DA9DB3E"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3" w:type="dxa"/>
          </w:tcPr>
          <w:p w14:paraId="584CCF03"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991" w:type="dxa"/>
            <w:gridSpan w:val="2"/>
            <w:vMerge/>
          </w:tcPr>
          <w:p w14:paraId="15AE78BD"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851" w:type="dxa"/>
          </w:tcPr>
          <w:p w14:paraId="615AAB8C"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c>
          <w:tcPr>
            <w:tcW w:w="1134" w:type="dxa"/>
            <w:gridSpan w:val="2"/>
          </w:tcPr>
          <w:p w14:paraId="6E73FF3C" w14:textId="77777777" w:rsidR="002C119B" w:rsidRPr="006F006A" w:rsidRDefault="002C119B" w:rsidP="0068597D">
            <w:pPr>
              <w:pStyle w:val="tvhtml"/>
              <w:spacing w:before="0" w:beforeAutospacing="0" w:after="0" w:afterAutospacing="0" w:line="293" w:lineRule="atLeast"/>
              <w:jc w:val="center"/>
              <w:rPr>
                <w:sz w:val="20"/>
                <w:szCs w:val="20"/>
                <w:highlight w:val="yellow"/>
                <w:lang w:val="lv-LV"/>
              </w:rPr>
            </w:pPr>
          </w:p>
        </w:tc>
      </w:tr>
      <w:tr w:rsidR="002C119B" w:rsidRPr="009A75D6" w14:paraId="124A8590" w14:textId="77777777" w:rsidTr="0068597D">
        <w:tc>
          <w:tcPr>
            <w:tcW w:w="1985" w:type="dxa"/>
          </w:tcPr>
          <w:p w14:paraId="51B2BE94" w14:textId="77777777" w:rsidR="002C119B" w:rsidRPr="009A75D6" w:rsidRDefault="002C119B" w:rsidP="0068597D">
            <w:r w:rsidRPr="009A75D6">
              <w:t xml:space="preserve">6. Detalizēts ieņēmumu un izdevumu aprēķins (ja nepieciešams, detalizētu ieņēmumu un izdevumu </w:t>
            </w:r>
            <w:r w:rsidRPr="009A75D6">
              <w:lastRenderedPageBreak/>
              <w:t xml:space="preserve">aprēķinu var </w:t>
            </w:r>
            <w:r>
              <w:t>pievienot anotācijas pielikumā)</w:t>
            </w:r>
          </w:p>
        </w:tc>
        <w:tc>
          <w:tcPr>
            <w:tcW w:w="7938" w:type="dxa"/>
            <w:gridSpan w:val="9"/>
            <w:vMerge w:val="restart"/>
          </w:tcPr>
          <w:p w14:paraId="51461565" w14:textId="0F72AA09" w:rsidR="002C119B" w:rsidRPr="00403EAD" w:rsidRDefault="002C119B" w:rsidP="00F90A57">
            <w:pPr>
              <w:widowControl w:val="0"/>
              <w:ind w:firstLine="298"/>
              <w:jc w:val="both"/>
              <w:rPr>
                <w:noProof/>
              </w:rPr>
            </w:pPr>
            <w:r w:rsidRPr="00403EAD">
              <w:rPr>
                <w:noProof/>
              </w:rPr>
              <w:lastRenderedPageBreak/>
              <w:t>2018.</w:t>
            </w:r>
            <w:r w:rsidR="00533E41" w:rsidRPr="00403EAD">
              <w:rPr>
                <w:noProof/>
              </w:rPr>
              <w:t> </w:t>
            </w:r>
            <w:r w:rsidRPr="00403EAD">
              <w:rPr>
                <w:noProof/>
              </w:rPr>
              <w:t xml:space="preserve">gads atbilstoši likumam </w:t>
            </w:r>
            <w:r w:rsidR="00F90A57" w:rsidRPr="00403EAD">
              <w:rPr>
                <w:bCs/>
              </w:rPr>
              <w:t>"</w:t>
            </w:r>
            <w:r w:rsidRPr="00403EAD">
              <w:rPr>
                <w:noProof/>
              </w:rPr>
              <w:t>Par valsts budžetu 2018.</w:t>
            </w:r>
            <w:r w:rsidR="00F90A57" w:rsidRPr="00403EAD">
              <w:rPr>
                <w:noProof/>
              </w:rPr>
              <w:t> </w:t>
            </w:r>
            <w:r w:rsidRPr="00403EAD">
              <w:rPr>
                <w:noProof/>
              </w:rPr>
              <w:t>gadam</w:t>
            </w:r>
            <w:r w:rsidR="00F90A57" w:rsidRPr="00403EAD">
              <w:rPr>
                <w:bCs/>
              </w:rPr>
              <w:t>"</w:t>
            </w:r>
            <w:r w:rsidRPr="00403EAD">
              <w:rPr>
                <w:noProof/>
              </w:rPr>
              <w:t xml:space="preserve"> un ņemot vērā Finanšu ministrijas rīkojumus: </w:t>
            </w:r>
          </w:p>
          <w:p w14:paraId="08AFB789" w14:textId="19043CAA" w:rsidR="002C119B" w:rsidRPr="00403EAD" w:rsidRDefault="002C119B" w:rsidP="00F90A57">
            <w:pPr>
              <w:widowControl w:val="0"/>
              <w:jc w:val="both"/>
              <w:rPr>
                <w:noProof/>
              </w:rPr>
            </w:pPr>
            <w:r w:rsidRPr="00403EAD">
              <w:rPr>
                <w:noProof/>
              </w:rPr>
              <w:t xml:space="preserve"> Veselības ministrijas (NVD) budžeta programmas 33.00.00 </w:t>
            </w:r>
            <w:r w:rsidR="00F90A57" w:rsidRPr="00403EAD">
              <w:rPr>
                <w:bCs/>
              </w:rPr>
              <w:t>"</w:t>
            </w:r>
            <w:r w:rsidRPr="00403EAD">
              <w:rPr>
                <w:noProof/>
              </w:rPr>
              <w:t>Veselības aprūpes nodrošināšana</w:t>
            </w:r>
            <w:r w:rsidR="00F90A57" w:rsidRPr="00403EAD">
              <w:rPr>
                <w:bCs/>
              </w:rPr>
              <w:t>"</w:t>
            </w:r>
            <w:r w:rsidRPr="00403EAD">
              <w:rPr>
                <w:noProof/>
              </w:rPr>
              <w:t>:</w:t>
            </w:r>
          </w:p>
          <w:p w14:paraId="5820AF33" w14:textId="77777777" w:rsidR="002C119B" w:rsidRPr="0024602C" w:rsidRDefault="002C119B" w:rsidP="00F90A57">
            <w:pPr>
              <w:widowControl w:val="0"/>
              <w:jc w:val="both"/>
              <w:rPr>
                <w:noProof/>
                <w:sz w:val="22"/>
                <w:szCs w:val="22"/>
              </w:rPr>
            </w:pPr>
          </w:p>
          <w:p w14:paraId="78EE2CB6" w14:textId="01597D44" w:rsidR="002C119B" w:rsidRPr="00403EAD" w:rsidRDefault="002C119B" w:rsidP="0068597D">
            <w:pPr>
              <w:widowControl w:val="0"/>
              <w:jc w:val="both"/>
              <w:rPr>
                <w:noProof/>
              </w:rPr>
            </w:pPr>
            <w:r w:rsidRPr="0024602C">
              <w:rPr>
                <w:noProof/>
                <w:sz w:val="22"/>
                <w:szCs w:val="22"/>
              </w:rPr>
              <w:t xml:space="preserve">   </w:t>
            </w:r>
            <w:r w:rsidRPr="00403EAD">
              <w:rPr>
                <w:noProof/>
              </w:rPr>
              <w:t xml:space="preserve">apakšprogrammā 33.04.00 </w:t>
            </w:r>
            <w:r w:rsidR="00EE1DD2" w:rsidRPr="00403EAD">
              <w:rPr>
                <w:bCs/>
              </w:rPr>
              <w:t>"</w:t>
            </w:r>
            <w:r w:rsidRPr="00403EAD">
              <w:rPr>
                <w:noProof/>
              </w:rPr>
              <w:t>Centralizēta medikamentu un materiālu iegāde</w:t>
            </w:r>
            <w:r w:rsidR="00EE1DD2" w:rsidRPr="00403EAD">
              <w:rPr>
                <w:bCs/>
              </w:rPr>
              <w:t>"</w:t>
            </w:r>
          </w:p>
          <w:p w14:paraId="6436459D" w14:textId="77777777" w:rsidR="002C119B" w:rsidRPr="00403EAD" w:rsidRDefault="002C119B" w:rsidP="0068597D">
            <w:pPr>
              <w:rPr>
                <w:i/>
                <w:noProof/>
              </w:rPr>
            </w:pPr>
            <w:r w:rsidRPr="00403EAD">
              <w:rPr>
                <w:noProof/>
              </w:rPr>
              <w:t xml:space="preserve">Resursi izdevumu segšanai </w:t>
            </w:r>
            <w:r w:rsidRPr="00403EAD">
              <w:rPr>
                <w:shd w:val="clear" w:color="auto" w:fill="FFFFFF"/>
                <w:lang w:bidi="lv-LV"/>
              </w:rPr>
              <w:t xml:space="preserve">12 000 316 </w:t>
            </w:r>
            <w:r w:rsidRPr="00403EAD">
              <w:rPr>
                <w:i/>
                <w:noProof/>
              </w:rPr>
              <w:t>euro</w:t>
            </w:r>
          </w:p>
          <w:p w14:paraId="11198FD9" w14:textId="77777777" w:rsidR="002C119B" w:rsidRPr="00403EAD" w:rsidRDefault="002C119B" w:rsidP="0068597D">
            <w:pPr>
              <w:ind w:firstLine="259"/>
              <w:rPr>
                <w:noProof/>
              </w:rPr>
            </w:pPr>
            <w:r w:rsidRPr="00403EAD">
              <w:rPr>
                <w:noProof/>
              </w:rPr>
              <w:t xml:space="preserve">Dotācija no vispārējiem ieņēmumiem 12 000 316 </w:t>
            </w:r>
            <w:r w:rsidRPr="00403EAD">
              <w:rPr>
                <w:i/>
                <w:noProof/>
              </w:rPr>
              <w:t>euro</w:t>
            </w:r>
            <w:r w:rsidRPr="00403EAD">
              <w:rPr>
                <w:noProof/>
              </w:rPr>
              <w:t xml:space="preserve"> </w:t>
            </w:r>
          </w:p>
          <w:p w14:paraId="1CB03C52" w14:textId="77777777" w:rsidR="002C119B" w:rsidRPr="009B2C59" w:rsidRDefault="002C119B" w:rsidP="0068597D">
            <w:pPr>
              <w:rPr>
                <w:noProof/>
              </w:rPr>
            </w:pPr>
            <w:r w:rsidRPr="009B2C59">
              <w:rPr>
                <w:noProof/>
              </w:rPr>
              <w:lastRenderedPageBreak/>
              <w:t xml:space="preserve">Izdevumi </w:t>
            </w:r>
            <w:r w:rsidRPr="009B2C59">
              <w:rPr>
                <w:shd w:val="clear" w:color="auto" w:fill="FFFFFF"/>
                <w:lang w:bidi="lv-LV"/>
              </w:rPr>
              <w:t xml:space="preserve">12 000 316  </w:t>
            </w:r>
            <w:r w:rsidRPr="009B2C59">
              <w:rPr>
                <w:i/>
                <w:noProof/>
              </w:rPr>
              <w:t>euro</w:t>
            </w:r>
            <w:r w:rsidRPr="009B2C59">
              <w:rPr>
                <w:noProof/>
              </w:rPr>
              <w:t>, tai skaitā:</w:t>
            </w:r>
          </w:p>
          <w:p w14:paraId="3006CA04" w14:textId="77777777" w:rsidR="002C119B" w:rsidRPr="009B2C59" w:rsidRDefault="002C119B" w:rsidP="0068597D">
            <w:pPr>
              <w:ind w:firstLine="259"/>
              <w:rPr>
                <w:noProof/>
              </w:rPr>
            </w:pPr>
            <w:r w:rsidRPr="009B2C59">
              <w:rPr>
                <w:noProof/>
              </w:rPr>
              <w:t xml:space="preserve">Subsīdijas, dotācijas </w:t>
            </w:r>
            <w:r w:rsidRPr="009B2C59">
              <w:rPr>
                <w:shd w:val="clear" w:color="auto" w:fill="FFFFFF"/>
                <w:lang w:bidi="lv-LV"/>
              </w:rPr>
              <w:t xml:space="preserve">12 000 316 </w:t>
            </w:r>
            <w:r w:rsidRPr="009B2C59">
              <w:rPr>
                <w:i/>
                <w:noProof/>
              </w:rPr>
              <w:t>euro</w:t>
            </w:r>
          </w:p>
          <w:p w14:paraId="0F80C616" w14:textId="77777777" w:rsidR="002C119B" w:rsidRDefault="002C119B" w:rsidP="0068597D">
            <w:pPr>
              <w:pStyle w:val="tvhtml"/>
              <w:spacing w:before="0" w:beforeAutospacing="0" w:after="0" w:afterAutospacing="0" w:line="293" w:lineRule="atLeast"/>
              <w:jc w:val="both"/>
              <w:rPr>
                <w:highlight w:val="yellow"/>
                <w:lang w:val="lv-LV"/>
              </w:rPr>
            </w:pPr>
          </w:p>
          <w:p w14:paraId="5A3BEA2B" w14:textId="7D378A62" w:rsidR="002C119B" w:rsidRPr="009B2C59" w:rsidRDefault="002C119B" w:rsidP="0068597D">
            <w:pPr>
              <w:jc w:val="both"/>
              <w:rPr>
                <w:rFonts w:eastAsia="Calibri"/>
                <w:bCs/>
              </w:rPr>
            </w:pPr>
            <w:r w:rsidRPr="009B2C59">
              <w:rPr>
                <w:rFonts w:eastAsia="Calibri"/>
                <w:bCs/>
              </w:rPr>
              <w:t xml:space="preserve">Atbilstoši </w:t>
            </w:r>
            <w:r w:rsidR="00EE1DD2" w:rsidRPr="009B2C59">
              <w:rPr>
                <w:rFonts w:eastAsia="Calibri"/>
                <w:bCs/>
              </w:rPr>
              <w:t>l</w:t>
            </w:r>
            <w:r w:rsidRPr="009B2C59">
              <w:rPr>
                <w:rFonts w:eastAsia="Calibri"/>
                <w:bCs/>
              </w:rPr>
              <w:t xml:space="preserve">ikumam </w:t>
            </w:r>
            <w:r w:rsidR="00EE1DD2" w:rsidRPr="009B2C59">
              <w:rPr>
                <w:bCs/>
              </w:rPr>
              <w:t>"</w:t>
            </w:r>
            <w:r w:rsidRPr="009B2C59">
              <w:rPr>
                <w:rFonts w:eastAsia="Calibri"/>
                <w:bCs/>
              </w:rPr>
              <w:t>Par vidēja termiņa budžeta ietvaru 2018., 2019. un 2020.</w:t>
            </w:r>
            <w:r w:rsidR="00FA4685" w:rsidRPr="009B2C59">
              <w:rPr>
                <w:rFonts w:eastAsia="Calibri"/>
                <w:bCs/>
              </w:rPr>
              <w:t> </w:t>
            </w:r>
            <w:r w:rsidRPr="009B2C59">
              <w:rPr>
                <w:rFonts w:eastAsia="Calibri"/>
                <w:bCs/>
              </w:rPr>
              <w:t>gadam</w:t>
            </w:r>
            <w:r w:rsidR="00FA4685" w:rsidRPr="009B2C59">
              <w:rPr>
                <w:bCs/>
              </w:rPr>
              <w:t>"</w:t>
            </w:r>
            <w:r w:rsidRPr="009B2C59">
              <w:rPr>
                <w:rFonts w:eastAsia="Calibri"/>
                <w:bCs/>
              </w:rPr>
              <w:t xml:space="preserve">  </w:t>
            </w:r>
          </w:p>
          <w:p w14:paraId="47936BF5" w14:textId="0ACD6952" w:rsidR="002C119B" w:rsidRPr="009B2C59" w:rsidRDefault="002C119B" w:rsidP="0068597D">
            <w:pPr>
              <w:jc w:val="both"/>
              <w:rPr>
                <w:i/>
              </w:rPr>
            </w:pPr>
            <w:r w:rsidRPr="009B2C59">
              <w:rPr>
                <w:rFonts w:eastAsia="Calibri"/>
                <w:bCs/>
              </w:rPr>
              <w:t>2019. un 2020.</w:t>
            </w:r>
            <w:r w:rsidR="00232E6D" w:rsidRPr="009B2C59">
              <w:rPr>
                <w:rFonts w:eastAsia="Calibri"/>
                <w:bCs/>
              </w:rPr>
              <w:t> </w:t>
            </w:r>
            <w:r w:rsidRPr="009B2C59">
              <w:rPr>
                <w:rFonts w:eastAsia="Calibri"/>
                <w:bCs/>
              </w:rPr>
              <w:t>gadam</w:t>
            </w:r>
            <w:r w:rsidRPr="009B2C59">
              <w:rPr>
                <w:noProof/>
              </w:rPr>
              <w:t xml:space="preserve"> Veselības ministrijas (NVD) budžeta programmas 33.00.00 </w:t>
            </w:r>
            <w:r w:rsidR="00232E6D" w:rsidRPr="009B2C59">
              <w:rPr>
                <w:bCs/>
              </w:rPr>
              <w:t>"</w:t>
            </w:r>
            <w:r w:rsidRPr="009B2C59">
              <w:rPr>
                <w:noProof/>
              </w:rPr>
              <w:t>Veselības aprūpes nodrošināšana</w:t>
            </w:r>
            <w:r w:rsidR="00232E6D" w:rsidRPr="009B2C59">
              <w:rPr>
                <w:bCs/>
              </w:rPr>
              <w:t>"</w:t>
            </w:r>
            <w:r w:rsidRPr="009B2C59">
              <w:rPr>
                <w:noProof/>
              </w:rPr>
              <w:t>:</w:t>
            </w:r>
            <w:r w:rsidRPr="009B2C59">
              <w:rPr>
                <w:i/>
              </w:rPr>
              <w:t xml:space="preserve"> </w:t>
            </w:r>
          </w:p>
          <w:p w14:paraId="7DA164E6" w14:textId="7EA6FC0A" w:rsidR="002C119B" w:rsidRPr="009B2C59" w:rsidRDefault="002C119B" w:rsidP="0068597D">
            <w:pPr>
              <w:widowControl w:val="0"/>
              <w:jc w:val="both"/>
              <w:rPr>
                <w:noProof/>
              </w:rPr>
            </w:pPr>
            <w:r w:rsidRPr="009B2C59">
              <w:rPr>
                <w:noProof/>
              </w:rPr>
              <w:t xml:space="preserve">apakšprogrammā 33.04.00 </w:t>
            </w:r>
            <w:r w:rsidR="00BA1D5E" w:rsidRPr="009B2C59">
              <w:rPr>
                <w:bCs/>
              </w:rPr>
              <w:t>"</w:t>
            </w:r>
            <w:r w:rsidRPr="009B2C59">
              <w:rPr>
                <w:noProof/>
              </w:rPr>
              <w:t>Centralizēta medikamentu un materiālu iegāde</w:t>
            </w:r>
            <w:r w:rsidR="00BA1D5E" w:rsidRPr="009B2C59">
              <w:rPr>
                <w:bCs/>
              </w:rPr>
              <w:t>"</w:t>
            </w:r>
            <w:r w:rsidRPr="009B2C59">
              <w:rPr>
                <w:noProof/>
              </w:rPr>
              <w:t>:</w:t>
            </w:r>
          </w:p>
          <w:p w14:paraId="33A8D606" w14:textId="77777777" w:rsidR="002C119B" w:rsidRPr="009B2C59" w:rsidRDefault="002C119B" w:rsidP="0068597D">
            <w:pPr>
              <w:rPr>
                <w:i/>
                <w:noProof/>
              </w:rPr>
            </w:pPr>
            <w:r w:rsidRPr="009B2C59">
              <w:rPr>
                <w:noProof/>
              </w:rPr>
              <w:t xml:space="preserve">Resursi izdevumu segšanai </w:t>
            </w:r>
            <w:r w:rsidRPr="009B2C59">
              <w:rPr>
                <w:shd w:val="clear" w:color="auto" w:fill="FFFFFF"/>
                <w:lang w:bidi="lv-LV"/>
              </w:rPr>
              <w:t xml:space="preserve">11 428 873 </w:t>
            </w:r>
            <w:r w:rsidRPr="009B2C59">
              <w:rPr>
                <w:i/>
                <w:noProof/>
              </w:rPr>
              <w:t>euro</w:t>
            </w:r>
          </w:p>
          <w:p w14:paraId="6F27716E" w14:textId="77777777" w:rsidR="002C119B" w:rsidRPr="009B2C59" w:rsidRDefault="002C119B" w:rsidP="0068597D">
            <w:pPr>
              <w:ind w:firstLine="259"/>
              <w:rPr>
                <w:noProof/>
              </w:rPr>
            </w:pPr>
            <w:r w:rsidRPr="009B2C59">
              <w:rPr>
                <w:noProof/>
              </w:rPr>
              <w:t xml:space="preserve">Dotācija no vispārējiem ieņēmumiem 11 428 873 </w:t>
            </w:r>
            <w:r w:rsidRPr="009B2C59">
              <w:rPr>
                <w:i/>
                <w:noProof/>
              </w:rPr>
              <w:t>euro</w:t>
            </w:r>
            <w:r w:rsidRPr="009B2C59">
              <w:rPr>
                <w:noProof/>
              </w:rPr>
              <w:t xml:space="preserve"> </w:t>
            </w:r>
          </w:p>
          <w:p w14:paraId="57376D37" w14:textId="77777777" w:rsidR="002C119B" w:rsidRPr="009B2C59" w:rsidRDefault="002C119B" w:rsidP="0068597D">
            <w:pPr>
              <w:rPr>
                <w:noProof/>
              </w:rPr>
            </w:pPr>
            <w:r w:rsidRPr="009B2C59">
              <w:rPr>
                <w:noProof/>
              </w:rPr>
              <w:t>Izdevumi</w:t>
            </w:r>
            <w:r w:rsidRPr="009B2C59">
              <w:rPr>
                <w:shd w:val="clear" w:color="auto" w:fill="FFFFFF"/>
                <w:lang w:bidi="lv-LV"/>
              </w:rPr>
              <w:t xml:space="preserve"> 11 428 873  </w:t>
            </w:r>
            <w:r w:rsidRPr="009B2C59">
              <w:rPr>
                <w:i/>
                <w:noProof/>
              </w:rPr>
              <w:t>euro</w:t>
            </w:r>
            <w:r w:rsidRPr="009B2C59">
              <w:rPr>
                <w:noProof/>
              </w:rPr>
              <w:t>, tai skaitā:</w:t>
            </w:r>
          </w:p>
          <w:p w14:paraId="0465B252" w14:textId="77777777" w:rsidR="002C119B" w:rsidRPr="009B2C59" w:rsidRDefault="002C119B" w:rsidP="0068597D">
            <w:pPr>
              <w:ind w:firstLine="259"/>
              <w:rPr>
                <w:noProof/>
              </w:rPr>
            </w:pPr>
            <w:r w:rsidRPr="009B2C59">
              <w:rPr>
                <w:noProof/>
              </w:rPr>
              <w:t xml:space="preserve">Subsīdijas un dotācijas </w:t>
            </w:r>
            <w:r w:rsidRPr="009B2C59">
              <w:rPr>
                <w:shd w:val="clear" w:color="auto" w:fill="FFFFFF"/>
                <w:lang w:bidi="lv-LV"/>
              </w:rPr>
              <w:t xml:space="preserve">11 428 873 </w:t>
            </w:r>
            <w:r w:rsidRPr="009B2C59">
              <w:rPr>
                <w:i/>
                <w:noProof/>
              </w:rPr>
              <w:t>euro</w:t>
            </w:r>
          </w:p>
          <w:p w14:paraId="4C76B760" w14:textId="77777777" w:rsidR="002C119B" w:rsidRDefault="002C119B" w:rsidP="0068597D">
            <w:pPr>
              <w:pStyle w:val="tvhtml"/>
              <w:spacing w:before="0" w:beforeAutospacing="0" w:after="0" w:afterAutospacing="0" w:line="293" w:lineRule="atLeast"/>
              <w:jc w:val="both"/>
              <w:rPr>
                <w:highlight w:val="yellow"/>
                <w:lang w:val="lv-LV"/>
              </w:rPr>
            </w:pPr>
          </w:p>
          <w:p w14:paraId="0165B193" w14:textId="67200457" w:rsidR="002C119B" w:rsidRDefault="002C119B" w:rsidP="0068597D">
            <w:pPr>
              <w:pStyle w:val="tvhtml"/>
              <w:spacing w:before="0" w:beforeAutospacing="0" w:after="0" w:afterAutospacing="0" w:line="293" w:lineRule="atLeast"/>
              <w:jc w:val="both"/>
              <w:rPr>
                <w:b/>
                <w:i/>
                <w:lang w:val="lv-LV"/>
              </w:rPr>
            </w:pPr>
            <w:r w:rsidRPr="003749F1">
              <w:rPr>
                <w:b/>
                <w:i/>
                <w:lang w:val="lv-LV"/>
              </w:rPr>
              <w:t>Ietekme 2019.</w:t>
            </w:r>
            <w:r w:rsidR="00BA1D5E">
              <w:rPr>
                <w:b/>
                <w:i/>
                <w:lang w:val="lv-LV"/>
              </w:rPr>
              <w:t> </w:t>
            </w:r>
            <w:r w:rsidRPr="003749F1">
              <w:rPr>
                <w:b/>
                <w:i/>
                <w:lang w:val="lv-LV"/>
              </w:rPr>
              <w:t>gadam</w:t>
            </w:r>
          </w:p>
          <w:p w14:paraId="355A03C2" w14:textId="77777777" w:rsidR="002C119B" w:rsidRDefault="002C119B" w:rsidP="0068597D">
            <w:pPr>
              <w:pStyle w:val="tvhtml"/>
              <w:spacing w:before="0" w:beforeAutospacing="0" w:after="0" w:afterAutospacing="0" w:line="293" w:lineRule="atLeast"/>
              <w:jc w:val="both"/>
              <w:rPr>
                <w:b/>
                <w:i/>
                <w:lang w:val="lv-LV"/>
              </w:rPr>
            </w:pPr>
          </w:p>
          <w:p w14:paraId="594EFB86" w14:textId="50B2FD4B" w:rsidR="002C119B" w:rsidRPr="00677B08" w:rsidRDefault="002C119B" w:rsidP="0068597D">
            <w:pPr>
              <w:pStyle w:val="tvhtml"/>
              <w:spacing w:before="0" w:beforeAutospacing="0" w:after="0" w:afterAutospacing="0" w:line="293" w:lineRule="atLeast"/>
              <w:jc w:val="both"/>
              <w:rPr>
                <w:u w:val="single"/>
                <w:lang w:val="lv-LV"/>
              </w:rPr>
            </w:pPr>
            <w:r w:rsidRPr="00677B08">
              <w:rPr>
                <w:u w:val="single"/>
                <w:lang w:val="lv-LV"/>
              </w:rPr>
              <w:t>2019.</w:t>
            </w:r>
            <w:r w:rsidR="00BA1D5E">
              <w:rPr>
                <w:u w:val="single"/>
                <w:lang w:val="lv-LV"/>
              </w:rPr>
              <w:t> </w:t>
            </w:r>
            <w:r w:rsidRPr="00677B08">
              <w:rPr>
                <w:u w:val="single"/>
                <w:lang w:val="lv-LV"/>
              </w:rPr>
              <w:t xml:space="preserve">gadā papildus nepieciešamais finansējums </w:t>
            </w:r>
            <w:r w:rsidR="006F5844">
              <w:rPr>
                <w:b/>
                <w:u w:val="single"/>
                <w:lang w:val="lv-LV"/>
              </w:rPr>
              <w:t>195 304</w:t>
            </w:r>
            <w:r w:rsidRPr="00677B08">
              <w:rPr>
                <w:b/>
                <w:u w:val="single"/>
                <w:lang w:val="lv-LV"/>
              </w:rPr>
              <w:t xml:space="preserve"> </w:t>
            </w:r>
            <w:proofErr w:type="spellStart"/>
            <w:r w:rsidRPr="00677B08">
              <w:rPr>
                <w:b/>
                <w:i/>
                <w:u w:val="single"/>
                <w:lang w:val="lv-LV"/>
              </w:rPr>
              <w:t>euro</w:t>
            </w:r>
            <w:proofErr w:type="spellEnd"/>
            <w:r w:rsidRPr="00677B08">
              <w:rPr>
                <w:u w:val="single"/>
                <w:lang w:val="lv-LV"/>
              </w:rPr>
              <w:t>.</w:t>
            </w:r>
          </w:p>
          <w:p w14:paraId="4614250D" w14:textId="77777777" w:rsidR="002C119B" w:rsidRPr="00114D03" w:rsidRDefault="002C119B" w:rsidP="0068597D">
            <w:pPr>
              <w:pStyle w:val="tvhtml"/>
              <w:spacing w:before="0" w:beforeAutospacing="0" w:after="0" w:afterAutospacing="0" w:line="293" w:lineRule="atLeast"/>
              <w:jc w:val="both"/>
              <w:rPr>
                <w:lang w:val="lv-LV"/>
              </w:rPr>
            </w:pPr>
          </w:p>
          <w:p w14:paraId="0DDE2BF5" w14:textId="3B124AA5" w:rsidR="002C119B" w:rsidRDefault="002C119B" w:rsidP="002C119B">
            <w:pPr>
              <w:pStyle w:val="tvhtml"/>
              <w:numPr>
                <w:ilvl w:val="0"/>
                <w:numId w:val="27"/>
              </w:numPr>
              <w:spacing w:before="0" w:beforeAutospacing="0" w:after="0" w:afterAutospacing="0"/>
              <w:ind w:left="318" w:hanging="318"/>
              <w:jc w:val="both"/>
              <w:rPr>
                <w:lang w:val="lv-LV"/>
              </w:rPr>
            </w:pPr>
            <w:r w:rsidRPr="0065350C">
              <w:rPr>
                <w:lang w:val="lv-LV"/>
              </w:rPr>
              <w:t xml:space="preserve">Noteikumu projekts paredz nodrošināt grūtnieču un bērnu līdz 2 gadu vecumam vakcināciju pret gripu, radot ietekmi </w:t>
            </w:r>
            <w:r>
              <w:rPr>
                <w:b/>
                <w:lang w:val="lv-LV"/>
              </w:rPr>
              <w:t>195 304</w:t>
            </w:r>
            <w:r w:rsidRPr="0065350C">
              <w:rPr>
                <w:b/>
                <w:lang w:val="lv-LV"/>
              </w:rPr>
              <w:t xml:space="preserve"> </w:t>
            </w:r>
            <w:proofErr w:type="spellStart"/>
            <w:r w:rsidRPr="0065350C">
              <w:rPr>
                <w:b/>
                <w:i/>
                <w:lang w:val="lv-LV"/>
              </w:rPr>
              <w:t>euro</w:t>
            </w:r>
            <w:proofErr w:type="spellEnd"/>
            <w:r w:rsidRPr="0065350C">
              <w:rPr>
                <w:lang w:val="lv-LV"/>
              </w:rPr>
              <w:t xml:space="preserve"> apmērā</w:t>
            </w:r>
            <w:r>
              <w:rPr>
                <w:lang w:val="lv-LV"/>
              </w:rPr>
              <w:t>, skat., tabulu Nr.</w:t>
            </w:r>
            <w:r w:rsidR="00403EAD">
              <w:rPr>
                <w:lang w:val="lv-LV"/>
              </w:rPr>
              <w:t> </w:t>
            </w:r>
            <w:r>
              <w:rPr>
                <w:lang w:val="lv-LV"/>
              </w:rPr>
              <w:t>1. Iepriekšminēto</w:t>
            </w:r>
            <w:r w:rsidRPr="0065350C">
              <w:rPr>
                <w:lang w:val="lv-LV"/>
              </w:rPr>
              <w:t xml:space="preserve"> pasā</w:t>
            </w:r>
            <w:r>
              <w:rPr>
                <w:lang w:val="lv-LV"/>
              </w:rPr>
              <w:t>kumu plānots īstenot</w:t>
            </w:r>
            <w:r w:rsidRPr="0065350C">
              <w:rPr>
                <w:lang w:val="lv-LV"/>
              </w:rPr>
              <w:t xml:space="preserve"> apakšpro</w:t>
            </w:r>
            <w:r>
              <w:rPr>
                <w:lang w:val="lv-LV"/>
              </w:rPr>
              <w:t xml:space="preserve">grammā 33.04.00 </w:t>
            </w:r>
            <w:r w:rsidR="00403EAD" w:rsidRPr="00627AC9">
              <w:rPr>
                <w:bCs/>
              </w:rPr>
              <w:t>"</w:t>
            </w:r>
            <w:r>
              <w:rPr>
                <w:lang w:val="lv-LV"/>
              </w:rPr>
              <w:t>Centralizēta medikamentu un materiālu iegāde</w:t>
            </w:r>
            <w:r w:rsidR="00403EAD" w:rsidRPr="00627AC9">
              <w:rPr>
                <w:bCs/>
              </w:rPr>
              <w:t>"</w:t>
            </w:r>
            <w:r>
              <w:rPr>
                <w:lang w:val="lv-LV"/>
              </w:rPr>
              <w:t>.</w:t>
            </w:r>
          </w:p>
          <w:p w14:paraId="1F490D61" w14:textId="77777777" w:rsidR="002C119B" w:rsidRPr="00B779D6" w:rsidRDefault="002C119B" w:rsidP="0068597D">
            <w:pPr>
              <w:pStyle w:val="tvhtml"/>
              <w:spacing w:before="0" w:beforeAutospacing="0" w:after="0" w:afterAutospacing="0" w:line="293" w:lineRule="atLeast"/>
              <w:jc w:val="right"/>
              <w:rPr>
                <w:i/>
                <w:lang w:val="lv-LV"/>
              </w:rPr>
            </w:pPr>
            <w:r w:rsidRPr="00B779D6">
              <w:rPr>
                <w:i/>
                <w:lang w:val="lv-LV"/>
              </w:rPr>
              <w:t>Tabula Nr.1</w:t>
            </w:r>
          </w:p>
          <w:tbl>
            <w:tblPr>
              <w:tblW w:w="7825" w:type="dxa"/>
              <w:tblLayout w:type="fixed"/>
              <w:tblLook w:val="04A0" w:firstRow="1" w:lastRow="0" w:firstColumn="1" w:lastColumn="0" w:noHBand="0" w:noVBand="1"/>
            </w:tblPr>
            <w:tblGrid>
              <w:gridCol w:w="596"/>
              <w:gridCol w:w="919"/>
              <w:gridCol w:w="839"/>
              <w:gridCol w:w="651"/>
              <w:gridCol w:w="819"/>
              <w:gridCol w:w="586"/>
              <w:gridCol w:w="1004"/>
              <w:gridCol w:w="697"/>
              <w:gridCol w:w="854"/>
              <w:gridCol w:w="860"/>
            </w:tblGrid>
            <w:tr w:rsidR="002C119B" w14:paraId="02C6ED4B" w14:textId="77777777" w:rsidTr="0068597D">
              <w:trPr>
                <w:trHeight w:val="48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FEA1" w14:textId="77777777" w:rsidR="002C119B" w:rsidRPr="00137D65" w:rsidRDefault="002C119B" w:rsidP="0068597D">
                  <w:pPr>
                    <w:jc w:val="center"/>
                    <w:rPr>
                      <w:bCs/>
                      <w:color w:val="000000"/>
                      <w:sz w:val="14"/>
                      <w:szCs w:val="14"/>
                    </w:rPr>
                  </w:pPr>
                  <w:r w:rsidRPr="00137D65">
                    <w:rPr>
                      <w:bCs/>
                      <w:color w:val="000000"/>
                      <w:sz w:val="14"/>
                      <w:szCs w:val="14"/>
                    </w:rPr>
                    <w:t>Gads</w:t>
                  </w:r>
                </w:p>
              </w:tc>
              <w:tc>
                <w:tcPr>
                  <w:tcW w:w="2409" w:type="dxa"/>
                  <w:gridSpan w:val="3"/>
                  <w:vMerge w:val="restart"/>
                  <w:tcBorders>
                    <w:top w:val="single" w:sz="4" w:space="0" w:color="auto"/>
                    <w:left w:val="single" w:sz="4" w:space="0" w:color="auto"/>
                    <w:bottom w:val="single" w:sz="4" w:space="0" w:color="000000"/>
                    <w:right w:val="single" w:sz="8" w:space="0" w:color="000000"/>
                  </w:tcBorders>
                  <w:shd w:val="clear" w:color="auto" w:fill="FBD4B4" w:themeFill="accent6" w:themeFillTint="66"/>
                  <w:vAlign w:val="center"/>
                  <w:hideMark/>
                </w:tcPr>
                <w:p w14:paraId="309E080E" w14:textId="77777777" w:rsidR="00AA0233" w:rsidRDefault="002C119B" w:rsidP="0068597D">
                  <w:pPr>
                    <w:jc w:val="center"/>
                    <w:rPr>
                      <w:bCs/>
                      <w:sz w:val="14"/>
                      <w:szCs w:val="14"/>
                    </w:rPr>
                  </w:pPr>
                  <w:r w:rsidRPr="00137D65">
                    <w:rPr>
                      <w:bCs/>
                      <w:sz w:val="14"/>
                      <w:szCs w:val="14"/>
                    </w:rPr>
                    <w:t xml:space="preserve">Vakcinācijas izmaksas </w:t>
                  </w:r>
                </w:p>
                <w:p w14:paraId="323F4FC4" w14:textId="0C72F141" w:rsidR="002C119B" w:rsidRPr="00137D65" w:rsidRDefault="00AA0233" w:rsidP="0068597D">
                  <w:pPr>
                    <w:jc w:val="center"/>
                    <w:rPr>
                      <w:bCs/>
                      <w:sz w:val="14"/>
                      <w:szCs w:val="14"/>
                    </w:rPr>
                  </w:pPr>
                  <w:r>
                    <w:rPr>
                      <w:bCs/>
                      <w:i/>
                      <w:iCs/>
                      <w:sz w:val="14"/>
                      <w:szCs w:val="14"/>
                    </w:rPr>
                    <w:t>(4-</w:t>
                  </w:r>
                  <w:r w:rsidR="002C119B" w:rsidRPr="00137D65">
                    <w:rPr>
                      <w:bCs/>
                      <w:i/>
                      <w:iCs/>
                      <w:sz w:val="14"/>
                      <w:szCs w:val="14"/>
                    </w:rPr>
                    <w:t>valentā v</w:t>
                  </w:r>
                  <w:r>
                    <w:rPr>
                      <w:bCs/>
                      <w:i/>
                      <w:iCs/>
                      <w:sz w:val="14"/>
                      <w:szCs w:val="14"/>
                    </w:rPr>
                    <w:t>akcīna *</w:t>
                  </w:r>
                  <w:r w:rsidR="002C119B" w:rsidRPr="00137D65">
                    <w:rPr>
                      <w:bCs/>
                      <w:i/>
                      <w:iCs/>
                      <w:sz w:val="14"/>
                      <w:szCs w:val="14"/>
                    </w:rPr>
                    <w:t>)</w:t>
                  </w:r>
                  <w:r w:rsidR="002C119B" w:rsidRPr="00137D65">
                    <w:rPr>
                      <w:bCs/>
                      <w:sz w:val="14"/>
                      <w:szCs w:val="14"/>
                    </w:rPr>
                    <w:t xml:space="preserve">, </w:t>
                  </w:r>
                  <w:proofErr w:type="spellStart"/>
                  <w:r w:rsidR="002C119B" w:rsidRPr="00137D65">
                    <w:rPr>
                      <w:bCs/>
                      <w:i/>
                      <w:iCs/>
                      <w:sz w:val="14"/>
                      <w:szCs w:val="14"/>
                    </w:rPr>
                    <w:t>euro</w:t>
                  </w:r>
                  <w:proofErr w:type="spellEnd"/>
                </w:p>
              </w:tc>
              <w:tc>
                <w:tcPr>
                  <w:tcW w:w="2409" w:type="dxa"/>
                  <w:gridSpan w:val="3"/>
                  <w:tcBorders>
                    <w:top w:val="single" w:sz="4" w:space="0" w:color="auto"/>
                    <w:left w:val="nil"/>
                    <w:bottom w:val="single" w:sz="4" w:space="0" w:color="auto"/>
                    <w:right w:val="single" w:sz="4" w:space="0" w:color="000000"/>
                  </w:tcBorders>
                  <w:shd w:val="clear" w:color="auto" w:fill="FBD4B4" w:themeFill="accent6" w:themeFillTint="66"/>
                  <w:noWrap/>
                  <w:vAlign w:val="center"/>
                  <w:hideMark/>
                </w:tcPr>
                <w:p w14:paraId="41E3CD8C" w14:textId="77777777" w:rsidR="002C119B" w:rsidRPr="00137D65" w:rsidRDefault="002C119B" w:rsidP="0068597D">
                  <w:pPr>
                    <w:jc w:val="center"/>
                    <w:rPr>
                      <w:bCs/>
                      <w:sz w:val="14"/>
                      <w:szCs w:val="14"/>
                    </w:rPr>
                  </w:pPr>
                  <w:r w:rsidRPr="00137D65">
                    <w:rPr>
                      <w:bCs/>
                      <w:sz w:val="14"/>
                      <w:szCs w:val="14"/>
                    </w:rPr>
                    <w:t>Jaundzimušie</w:t>
                  </w:r>
                </w:p>
              </w:tc>
              <w:tc>
                <w:tcPr>
                  <w:tcW w:w="15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B51484D" w14:textId="77777777" w:rsidR="002C119B" w:rsidRPr="00137D65" w:rsidRDefault="002C119B" w:rsidP="0068597D">
                  <w:pPr>
                    <w:jc w:val="center"/>
                    <w:rPr>
                      <w:bCs/>
                      <w:sz w:val="14"/>
                      <w:szCs w:val="14"/>
                    </w:rPr>
                  </w:pPr>
                  <w:r w:rsidRPr="00137D65">
                    <w:rPr>
                      <w:bCs/>
                      <w:sz w:val="14"/>
                      <w:szCs w:val="14"/>
                    </w:rPr>
                    <w:t>Grūtnieces</w:t>
                  </w:r>
                </w:p>
              </w:tc>
              <w:tc>
                <w:tcPr>
                  <w:tcW w:w="860" w:type="dxa"/>
                  <w:vMerge w:val="restar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14:paraId="584FA702" w14:textId="77777777" w:rsidR="002C119B" w:rsidRPr="00137D65" w:rsidRDefault="002C119B" w:rsidP="0068597D">
                  <w:pPr>
                    <w:jc w:val="center"/>
                    <w:rPr>
                      <w:bCs/>
                      <w:sz w:val="14"/>
                      <w:szCs w:val="14"/>
                    </w:rPr>
                  </w:pPr>
                  <w:r w:rsidRPr="00137D65">
                    <w:rPr>
                      <w:bCs/>
                      <w:sz w:val="14"/>
                      <w:szCs w:val="14"/>
                    </w:rPr>
                    <w:t xml:space="preserve">Kopā nepieciešamais finansējums, </w:t>
                  </w:r>
                  <w:proofErr w:type="spellStart"/>
                  <w:r w:rsidRPr="00137D65">
                    <w:rPr>
                      <w:bCs/>
                      <w:i/>
                      <w:iCs/>
                      <w:sz w:val="14"/>
                      <w:szCs w:val="14"/>
                    </w:rPr>
                    <w:t>euro</w:t>
                  </w:r>
                  <w:proofErr w:type="spellEnd"/>
                </w:p>
              </w:tc>
            </w:tr>
            <w:tr w:rsidR="002C119B" w14:paraId="1FA74287" w14:textId="77777777" w:rsidTr="0068597D">
              <w:trPr>
                <w:trHeight w:val="54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48A0980" w14:textId="77777777" w:rsidR="002C119B" w:rsidRPr="00137D65" w:rsidRDefault="002C119B" w:rsidP="0068597D">
                  <w:pPr>
                    <w:rPr>
                      <w:bCs/>
                      <w:color w:val="000000"/>
                      <w:sz w:val="14"/>
                      <w:szCs w:val="14"/>
                    </w:rPr>
                  </w:pPr>
                </w:p>
              </w:tc>
              <w:tc>
                <w:tcPr>
                  <w:tcW w:w="2409" w:type="dxa"/>
                  <w:gridSpan w:val="3"/>
                  <w:vMerge/>
                  <w:tcBorders>
                    <w:top w:val="single" w:sz="4" w:space="0" w:color="auto"/>
                    <w:left w:val="single" w:sz="4" w:space="0" w:color="auto"/>
                    <w:bottom w:val="single" w:sz="4" w:space="0" w:color="000000"/>
                    <w:right w:val="single" w:sz="8" w:space="0" w:color="000000"/>
                  </w:tcBorders>
                  <w:vAlign w:val="center"/>
                  <w:hideMark/>
                </w:tcPr>
                <w:p w14:paraId="5E9B3045" w14:textId="77777777" w:rsidR="002C119B" w:rsidRPr="00137D65" w:rsidRDefault="002C119B" w:rsidP="0068597D">
                  <w:pPr>
                    <w:rPr>
                      <w:bCs/>
                      <w:sz w:val="14"/>
                      <w:szCs w:val="14"/>
                    </w:rPr>
                  </w:pPr>
                </w:p>
              </w:tc>
              <w:tc>
                <w:tcPr>
                  <w:tcW w:w="1405" w:type="dxa"/>
                  <w:gridSpan w:val="2"/>
                  <w:tcBorders>
                    <w:top w:val="single" w:sz="4" w:space="0" w:color="auto"/>
                    <w:left w:val="nil"/>
                    <w:bottom w:val="single" w:sz="4" w:space="0" w:color="auto"/>
                    <w:right w:val="single" w:sz="4" w:space="0" w:color="000000"/>
                  </w:tcBorders>
                  <w:shd w:val="clear" w:color="auto" w:fill="FBD4B4" w:themeFill="accent6" w:themeFillTint="66"/>
                  <w:noWrap/>
                  <w:vAlign w:val="center"/>
                  <w:hideMark/>
                </w:tcPr>
                <w:p w14:paraId="02979D76" w14:textId="77777777" w:rsidR="002C119B" w:rsidRPr="00137D65" w:rsidRDefault="002C119B" w:rsidP="0068597D">
                  <w:pPr>
                    <w:jc w:val="center"/>
                    <w:rPr>
                      <w:bCs/>
                      <w:sz w:val="14"/>
                      <w:szCs w:val="14"/>
                    </w:rPr>
                  </w:pPr>
                  <w:r w:rsidRPr="00137D65">
                    <w:rPr>
                      <w:bCs/>
                      <w:sz w:val="14"/>
                      <w:szCs w:val="14"/>
                    </w:rPr>
                    <w:t xml:space="preserve">Aptvere </w:t>
                  </w:r>
                </w:p>
              </w:tc>
              <w:tc>
                <w:tcPr>
                  <w:tcW w:w="1004"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0D807BE8" w14:textId="5C115FA4" w:rsidR="002C119B" w:rsidRPr="00137D65" w:rsidRDefault="002C119B" w:rsidP="0068597D">
                  <w:pPr>
                    <w:jc w:val="center"/>
                    <w:rPr>
                      <w:bCs/>
                      <w:sz w:val="14"/>
                      <w:szCs w:val="14"/>
                    </w:rPr>
                  </w:pPr>
                  <w:r w:rsidRPr="00137D65">
                    <w:rPr>
                      <w:bCs/>
                      <w:sz w:val="14"/>
                      <w:szCs w:val="14"/>
                    </w:rPr>
                    <w:t xml:space="preserve">Nepieciešamais finansējums (aprēķins ar 2 </w:t>
                  </w:r>
                  <w:r w:rsidR="00AA0233">
                    <w:rPr>
                      <w:bCs/>
                      <w:sz w:val="14"/>
                      <w:szCs w:val="14"/>
                    </w:rPr>
                    <w:t xml:space="preserve">vakcīnas </w:t>
                  </w:r>
                  <w:r w:rsidRPr="00137D65">
                    <w:rPr>
                      <w:bCs/>
                      <w:sz w:val="14"/>
                      <w:szCs w:val="14"/>
                    </w:rPr>
                    <w:t xml:space="preserve">devām), </w:t>
                  </w:r>
                  <w:proofErr w:type="spellStart"/>
                  <w:r w:rsidRPr="00137D65">
                    <w:rPr>
                      <w:bCs/>
                      <w:i/>
                      <w:iCs/>
                      <w:sz w:val="14"/>
                      <w:szCs w:val="14"/>
                    </w:rPr>
                    <w:t>euro</w:t>
                  </w:r>
                  <w:proofErr w:type="spellEnd"/>
                </w:p>
              </w:tc>
              <w:tc>
                <w:tcPr>
                  <w:tcW w:w="697" w:type="dxa"/>
                  <w:tcBorders>
                    <w:top w:val="nil"/>
                    <w:left w:val="nil"/>
                    <w:bottom w:val="nil"/>
                    <w:right w:val="single" w:sz="4" w:space="0" w:color="auto"/>
                  </w:tcBorders>
                  <w:shd w:val="clear" w:color="auto" w:fill="FBD4B4" w:themeFill="accent6" w:themeFillTint="66"/>
                  <w:noWrap/>
                  <w:vAlign w:val="center"/>
                  <w:hideMark/>
                </w:tcPr>
                <w:p w14:paraId="151E2411" w14:textId="77777777" w:rsidR="002C119B" w:rsidRPr="00137D65" w:rsidRDefault="002C119B" w:rsidP="0068597D">
                  <w:pPr>
                    <w:jc w:val="center"/>
                    <w:rPr>
                      <w:bCs/>
                      <w:sz w:val="14"/>
                      <w:szCs w:val="14"/>
                    </w:rPr>
                  </w:pPr>
                  <w:r w:rsidRPr="00137D65">
                    <w:rPr>
                      <w:bCs/>
                      <w:sz w:val="14"/>
                      <w:szCs w:val="14"/>
                    </w:rPr>
                    <w:t>Aptvere</w:t>
                  </w:r>
                </w:p>
              </w:tc>
              <w:tc>
                <w:tcPr>
                  <w:tcW w:w="854" w:type="dxa"/>
                  <w:vMerge w:val="restart"/>
                  <w:tcBorders>
                    <w:top w:val="nil"/>
                    <w:left w:val="single" w:sz="4" w:space="0" w:color="auto"/>
                    <w:bottom w:val="single" w:sz="4" w:space="0" w:color="000000"/>
                    <w:right w:val="single" w:sz="8" w:space="0" w:color="auto"/>
                  </w:tcBorders>
                  <w:shd w:val="clear" w:color="auto" w:fill="FBD4B4" w:themeFill="accent6" w:themeFillTint="66"/>
                  <w:vAlign w:val="center"/>
                  <w:hideMark/>
                </w:tcPr>
                <w:p w14:paraId="0EB226A3" w14:textId="77777777" w:rsidR="00AA0233" w:rsidRDefault="002C119B" w:rsidP="0068597D">
                  <w:pPr>
                    <w:jc w:val="center"/>
                    <w:rPr>
                      <w:bCs/>
                      <w:sz w:val="14"/>
                      <w:szCs w:val="14"/>
                    </w:rPr>
                  </w:pPr>
                  <w:r w:rsidRPr="00137D65">
                    <w:rPr>
                      <w:bCs/>
                      <w:sz w:val="14"/>
                      <w:szCs w:val="14"/>
                    </w:rPr>
                    <w:t xml:space="preserve">Nepieciešamais finansējums </w:t>
                  </w:r>
                </w:p>
                <w:p w14:paraId="405A4DCF" w14:textId="0DD766EA" w:rsidR="002C119B" w:rsidRPr="00137D65" w:rsidRDefault="002C119B" w:rsidP="0068597D">
                  <w:pPr>
                    <w:jc w:val="center"/>
                    <w:rPr>
                      <w:bCs/>
                      <w:sz w:val="14"/>
                      <w:szCs w:val="14"/>
                    </w:rPr>
                  </w:pPr>
                  <w:r w:rsidRPr="00137D65">
                    <w:rPr>
                      <w:bCs/>
                      <w:sz w:val="14"/>
                      <w:szCs w:val="14"/>
                    </w:rPr>
                    <w:t xml:space="preserve">(aprēķins ar 1 </w:t>
                  </w:r>
                  <w:r w:rsidR="00AA0233">
                    <w:rPr>
                      <w:bCs/>
                      <w:sz w:val="14"/>
                      <w:szCs w:val="14"/>
                    </w:rPr>
                    <w:t xml:space="preserve">vakcīnas </w:t>
                  </w:r>
                  <w:r w:rsidRPr="00137D65">
                    <w:rPr>
                      <w:bCs/>
                      <w:sz w:val="14"/>
                      <w:szCs w:val="14"/>
                    </w:rPr>
                    <w:t xml:space="preserve">devu), </w:t>
                  </w:r>
                  <w:proofErr w:type="spellStart"/>
                  <w:r w:rsidRPr="00137D65">
                    <w:rPr>
                      <w:bCs/>
                      <w:i/>
                      <w:iCs/>
                      <w:sz w:val="14"/>
                      <w:szCs w:val="14"/>
                    </w:rPr>
                    <w:t>euro</w:t>
                  </w:r>
                  <w:proofErr w:type="spellEnd"/>
                </w:p>
              </w:tc>
              <w:tc>
                <w:tcPr>
                  <w:tcW w:w="860" w:type="dxa"/>
                  <w:vMerge/>
                  <w:tcBorders>
                    <w:top w:val="single" w:sz="4" w:space="0" w:color="auto"/>
                    <w:left w:val="single" w:sz="8" w:space="0" w:color="auto"/>
                    <w:bottom w:val="single" w:sz="4" w:space="0" w:color="auto"/>
                    <w:right w:val="single" w:sz="4" w:space="0" w:color="auto"/>
                  </w:tcBorders>
                  <w:vAlign w:val="center"/>
                </w:tcPr>
                <w:p w14:paraId="6367C96D" w14:textId="77777777" w:rsidR="002C119B" w:rsidRPr="00137D65" w:rsidRDefault="002C119B" w:rsidP="0068597D">
                  <w:pPr>
                    <w:rPr>
                      <w:b/>
                      <w:bCs/>
                      <w:sz w:val="14"/>
                      <w:szCs w:val="14"/>
                    </w:rPr>
                  </w:pPr>
                </w:p>
              </w:tc>
            </w:tr>
            <w:tr w:rsidR="002C119B" w14:paraId="32ACD201" w14:textId="77777777" w:rsidTr="0068597D">
              <w:trPr>
                <w:trHeight w:val="66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EAFE60B" w14:textId="77777777" w:rsidR="002C119B" w:rsidRPr="00137D65" w:rsidRDefault="002C119B" w:rsidP="0068597D">
                  <w:pPr>
                    <w:rPr>
                      <w:bCs/>
                      <w:color w:val="000000"/>
                      <w:sz w:val="14"/>
                      <w:szCs w:val="14"/>
                    </w:rPr>
                  </w:pPr>
                </w:p>
              </w:tc>
              <w:tc>
                <w:tcPr>
                  <w:tcW w:w="919" w:type="dxa"/>
                  <w:vMerge w:val="restart"/>
                  <w:tcBorders>
                    <w:top w:val="nil"/>
                    <w:left w:val="single" w:sz="4" w:space="0" w:color="auto"/>
                    <w:bottom w:val="single" w:sz="4" w:space="0" w:color="000000"/>
                    <w:right w:val="nil"/>
                  </w:tcBorders>
                  <w:shd w:val="clear" w:color="auto" w:fill="auto"/>
                  <w:vAlign w:val="center"/>
                  <w:hideMark/>
                </w:tcPr>
                <w:p w14:paraId="7FB7A6CB" w14:textId="77777777" w:rsidR="00AA0233" w:rsidRDefault="00AA0233" w:rsidP="0068597D">
                  <w:pPr>
                    <w:jc w:val="center"/>
                    <w:rPr>
                      <w:sz w:val="14"/>
                      <w:szCs w:val="14"/>
                    </w:rPr>
                  </w:pPr>
                  <w:r>
                    <w:rPr>
                      <w:sz w:val="14"/>
                      <w:szCs w:val="14"/>
                    </w:rPr>
                    <w:t xml:space="preserve">Vakcīnas lieltirgotavas cena </w:t>
                  </w:r>
                </w:p>
                <w:p w14:paraId="6D192C41" w14:textId="0DFEB6CE" w:rsidR="002C119B" w:rsidRPr="00137D65" w:rsidRDefault="002C119B" w:rsidP="0068597D">
                  <w:pPr>
                    <w:jc w:val="center"/>
                    <w:rPr>
                      <w:sz w:val="14"/>
                      <w:szCs w:val="14"/>
                    </w:rPr>
                  </w:pPr>
                  <w:r w:rsidRPr="00137D65">
                    <w:rPr>
                      <w:sz w:val="14"/>
                      <w:szCs w:val="14"/>
                    </w:rPr>
                    <w:t>cena ar 12 % PVN **</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14:paraId="79C3A7FB" w14:textId="77777777" w:rsidR="002C119B" w:rsidRPr="00137D65" w:rsidRDefault="002C119B" w:rsidP="0068597D">
                  <w:pPr>
                    <w:jc w:val="center"/>
                    <w:rPr>
                      <w:sz w:val="14"/>
                      <w:szCs w:val="14"/>
                    </w:rPr>
                  </w:pPr>
                  <w:r w:rsidRPr="00137D65">
                    <w:rPr>
                      <w:sz w:val="14"/>
                      <w:szCs w:val="14"/>
                    </w:rPr>
                    <w:t xml:space="preserve">Piegādātāja uzcenojums (loģistika) 5% </w:t>
                  </w:r>
                </w:p>
              </w:tc>
              <w:tc>
                <w:tcPr>
                  <w:tcW w:w="651" w:type="dxa"/>
                  <w:vMerge w:val="restart"/>
                  <w:tcBorders>
                    <w:top w:val="nil"/>
                    <w:left w:val="nil"/>
                    <w:bottom w:val="single" w:sz="4" w:space="0" w:color="000000"/>
                    <w:right w:val="single" w:sz="8" w:space="0" w:color="auto"/>
                  </w:tcBorders>
                  <w:shd w:val="clear" w:color="auto" w:fill="auto"/>
                  <w:vAlign w:val="center"/>
                  <w:hideMark/>
                </w:tcPr>
                <w:p w14:paraId="62103773" w14:textId="77777777" w:rsidR="002C119B" w:rsidRPr="00137D65" w:rsidRDefault="002C119B" w:rsidP="0068597D">
                  <w:pPr>
                    <w:jc w:val="center"/>
                    <w:rPr>
                      <w:bCs/>
                      <w:sz w:val="14"/>
                      <w:szCs w:val="14"/>
                    </w:rPr>
                  </w:pPr>
                  <w:r w:rsidRPr="00137D65">
                    <w:rPr>
                      <w:bCs/>
                      <w:sz w:val="14"/>
                      <w:szCs w:val="14"/>
                    </w:rPr>
                    <w:t xml:space="preserve">Kopā </w:t>
                  </w:r>
                </w:p>
              </w:tc>
              <w:tc>
                <w:tcPr>
                  <w:tcW w:w="819" w:type="dxa"/>
                  <w:tcBorders>
                    <w:top w:val="nil"/>
                    <w:left w:val="nil"/>
                    <w:bottom w:val="single" w:sz="4" w:space="0" w:color="auto"/>
                    <w:right w:val="single" w:sz="4" w:space="0" w:color="auto"/>
                  </w:tcBorders>
                  <w:shd w:val="clear" w:color="auto" w:fill="FBD4B4" w:themeFill="accent6" w:themeFillTint="66"/>
                  <w:vAlign w:val="center"/>
                  <w:hideMark/>
                </w:tcPr>
                <w:p w14:paraId="232C2CF1" w14:textId="3BF42849" w:rsidR="002C119B" w:rsidRPr="00137D65" w:rsidRDefault="00AA0233" w:rsidP="0068597D">
                  <w:pPr>
                    <w:jc w:val="center"/>
                    <w:rPr>
                      <w:sz w:val="14"/>
                      <w:szCs w:val="14"/>
                    </w:rPr>
                  </w:pPr>
                  <w:r>
                    <w:rPr>
                      <w:sz w:val="14"/>
                      <w:szCs w:val="14"/>
                    </w:rPr>
                    <w:t>Bērni no 0-</w:t>
                  </w:r>
                  <w:r w:rsidR="002C119B" w:rsidRPr="00137D65">
                    <w:rPr>
                      <w:sz w:val="14"/>
                      <w:szCs w:val="14"/>
                    </w:rPr>
                    <w:t xml:space="preserve">1 gadiem </w:t>
                  </w:r>
                </w:p>
              </w:tc>
              <w:tc>
                <w:tcPr>
                  <w:tcW w:w="586" w:type="dxa"/>
                  <w:tcBorders>
                    <w:top w:val="nil"/>
                    <w:left w:val="nil"/>
                    <w:bottom w:val="single" w:sz="4" w:space="0" w:color="auto"/>
                    <w:right w:val="single" w:sz="4" w:space="0" w:color="auto"/>
                  </w:tcBorders>
                  <w:shd w:val="clear" w:color="auto" w:fill="FBD4B4" w:themeFill="accent6" w:themeFillTint="66"/>
                  <w:vAlign w:val="center"/>
                  <w:hideMark/>
                </w:tcPr>
                <w:p w14:paraId="70C4DE2F" w14:textId="5DA927CA" w:rsidR="002C119B" w:rsidRPr="00137D65" w:rsidRDefault="00AA0233" w:rsidP="0068597D">
                  <w:pPr>
                    <w:jc w:val="center"/>
                    <w:rPr>
                      <w:sz w:val="14"/>
                      <w:szCs w:val="14"/>
                    </w:rPr>
                  </w:pPr>
                  <w:r>
                    <w:rPr>
                      <w:sz w:val="14"/>
                      <w:szCs w:val="14"/>
                    </w:rPr>
                    <w:t>Bērni no 1</w:t>
                  </w:r>
                  <w:r w:rsidR="002C119B" w:rsidRPr="00137D65">
                    <w:rPr>
                      <w:sz w:val="14"/>
                      <w:szCs w:val="14"/>
                    </w:rPr>
                    <w:t xml:space="preserve">-2 gadiem </w:t>
                  </w:r>
                </w:p>
              </w:tc>
              <w:tc>
                <w:tcPr>
                  <w:tcW w:w="1004"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4B8C9999" w14:textId="77777777" w:rsidR="002C119B" w:rsidRPr="00137D65" w:rsidRDefault="002C119B" w:rsidP="0068597D">
                  <w:pPr>
                    <w:rPr>
                      <w:b/>
                      <w:bCs/>
                      <w:sz w:val="14"/>
                      <w:szCs w:val="14"/>
                    </w:rPr>
                  </w:pPr>
                </w:p>
              </w:tc>
              <w:tc>
                <w:tcPr>
                  <w:tcW w:w="697" w:type="dxa"/>
                  <w:tcBorders>
                    <w:top w:val="nil"/>
                    <w:left w:val="nil"/>
                    <w:bottom w:val="nil"/>
                    <w:right w:val="nil"/>
                  </w:tcBorders>
                  <w:shd w:val="clear" w:color="auto" w:fill="FBD4B4" w:themeFill="accent6" w:themeFillTint="66"/>
                  <w:noWrap/>
                  <w:vAlign w:val="bottom"/>
                  <w:hideMark/>
                </w:tcPr>
                <w:p w14:paraId="6BED6B68" w14:textId="030BF1A9" w:rsidR="002C119B" w:rsidRPr="00137D65" w:rsidRDefault="002C119B" w:rsidP="0068597D">
                  <w:pPr>
                    <w:rPr>
                      <w:sz w:val="14"/>
                      <w:szCs w:val="14"/>
                    </w:rPr>
                  </w:pPr>
                </w:p>
              </w:tc>
              <w:tc>
                <w:tcPr>
                  <w:tcW w:w="854" w:type="dxa"/>
                  <w:vMerge/>
                  <w:tcBorders>
                    <w:top w:val="nil"/>
                    <w:left w:val="single" w:sz="4" w:space="0" w:color="auto"/>
                    <w:bottom w:val="single" w:sz="4" w:space="0" w:color="000000"/>
                    <w:right w:val="single" w:sz="8" w:space="0" w:color="auto"/>
                  </w:tcBorders>
                  <w:vAlign w:val="center"/>
                  <w:hideMark/>
                </w:tcPr>
                <w:p w14:paraId="0E3E530B" w14:textId="77777777" w:rsidR="002C119B" w:rsidRPr="00137D65" w:rsidRDefault="002C119B" w:rsidP="0068597D">
                  <w:pPr>
                    <w:rPr>
                      <w:b/>
                      <w:bCs/>
                      <w:sz w:val="14"/>
                      <w:szCs w:val="14"/>
                    </w:rPr>
                  </w:pPr>
                </w:p>
              </w:tc>
              <w:tc>
                <w:tcPr>
                  <w:tcW w:w="860" w:type="dxa"/>
                  <w:vMerge/>
                  <w:tcBorders>
                    <w:top w:val="single" w:sz="4" w:space="0" w:color="auto"/>
                    <w:left w:val="single" w:sz="8" w:space="0" w:color="auto"/>
                    <w:bottom w:val="single" w:sz="4" w:space="0" w:color="auto"/>
                    <w:right w:val="single" w:sz="4" w:space="0" w:color="auto"/>
                  </w:tcBorders>
                  <w:vAlign w:val="center"/>
                </w:tcPr>
                <w:p w14:paraId="080493F5" w14:textId="77777777" w:rsidR="002C119B" w:rsidRPr="00137D65" w:rsidRDefault="002C119B" w:rsidP="0068597D">
                  <w:pPr>
                    <w:rPr>
                      <w:b/>
                      <w:bCs/>
                      <w:sz w:val="14"/>
                      <w:szCs w:val="14"/>
                    </w:rPr>
                  </w:pPr>
                </w:p>
              </w:tc>
            </w:tr>
            <w:tr w:rsidR="002C119B" w14:paraId="578E3145" w14:textId="77777777" w:rsidTr="0068597D">
              <w:trPr>
                <w:trHeight w:val="46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2B014C74" w14:textId="77777777" w:rsidR="002C119B" w:rsidRPr="00137D65" w:rsidRDefault="002C119B" w:rsidP="0068597D">
                  <w:pPr>
                    <w:rPr>
                      <w:bCs/>
                      <w:color w:val="000000"/>
                      <w:sz w:val="14"/>
                      <w:szCs w:val="14"/>
                    </w:rPr>
                  </w:pPr>
                </w:p>
              </w:tc>
              <w:tc>
                <w:tcPr>
                  <w:tcW w:w="919" w:type="dxa"/>
                  <w:vMerge/>
                  <w:tcBorders>
                    <w:top w:val="nil"/>
                    <w:left w:val="single" w:sz="4" w:space="0" w:color="auto"/>
                    <w:bottom w:val="single" w:sz="4" w:space="0" w:color="000000"/>
                    <w:right w:val="nil"/>
                  </w:tcBorders>
                  <w:vAlign w:val="center"/>
                  <w:hideMark/>
                </w:tcPr>
                <w:p w14:paraId="6BDEBAAE" w14:textId="77777777" w:rsidR="002C119B" w:rsidRPr="00137D65" w:rsidRDefault="002C119B" w:rsidP="0068597D">
                  <w:pPr>
                    <w:rPr>
                      <w:sz w:val="14"/>
                      <w:szCs w:val="14"/>
                    </w:rPr>
                  </w:pPr>
                </w:p>
              </w:tc>
              <w:tc>
                <w:tcPr>
                  <w:tcW w:w="839" w:type="dxa"/>
                  <w:vMerge/>
                  <w:tcBorders>
                    <w:top w:val="nil"/>
                    <w:left w:val="single" w:sz="4" w:space="0" w:color="auto"/>
                    <w:bottom w:val="single" w:sz="4" w:space="0" w:color="auto"/>
                    <w:right w:val="single" w:sz="4" w:space="0" w:color="auto"/>
                  </w:tcBorders>
                  <w:vAlign w:val="center"/>
                  <w:hideMark/>
                </w:tcPr>
                <w:p w14:paraId="5AAC9C6C" w14:textId="77777777" w:rsidR="002C119B" w:rsidRPr="00137D65" w:rsidRDefault="002C119B" w:rsidP="0068597D">
                  <w:pPr>
                    <w:rPr>
                      <w:sz w:val="14"/>
                      <w:szCs w:val="14"/>
                    </w:rPr>
                  </w:pPr>
                </w:p>
              </w:tc>
              <w:tc>
                <w:tcPr>
                  <w:tcW w:w="651" w:type="dxa"/>
                  <w:vMerge/>
                  <w:tcBorders>
                    <w:top w:val="nil"/>
                    <w:left w:val="nil"/>
                    <w:bottom w:val="single" w:sz="4" w:space="0" w:color="000000"/>
                    <w:right w:val="single" w:sz="8" w:space="0" w:color="auto"/>
                  </w:tcBorders>
                  <w:vAlign w:val="center"/>
                  <w:hideMark/>
                </w:tcPr>
                <w:p w14:paraId="2AF9B4C6" w14:textId="77777777" w:rsidR="002C119B" w:rsidRPr="00137D65" w:rsidRDefault="002C119B" w:rsidP="0068597D">
                  <w:pPr>
                    <w:rPr>
                      <w:b/>
                      <w:bCs/>
                      <w:sz w:val="14"/>
                      <w:szCs w:val="14"/>
                    </w:rPr>
                  </w:pPr>
                </w:p>
              </w:tc>
              <w:tc>
                <w:tcPr>
                  <w:tcW w:w="819" w:type="dxa"/>
                  <w:tcBorders>
                    <w:top w:val="nil"/>
                    <w:left w:val="nil"/>
                    <w:bottom w:val="single" w:sz="4" w:space="0" w:color="auto"/>
                    <w:right w:val="single" w:sz="4" w:space="0" w:color="auto"/>
                  </w:tcBorders>
                  <w:shd w:val="clear" w:color="auto" w:fill="auto"/>
                  <w:noWrap/>
                  <w:vAlign w:val="center"/>
                  <w:hideMark/>
                </w:tcPr>
                <w:p w14:paraId="4898EC17" w14:textId="77777777" w:rsidR="002C119B" w:rsidRPr="00137D65" w:rsidRDefault="002C119B" w:rsidP="0068597D">
                  <w:pPr>
                    <w:jc w:val="center"/>
                    <w:rPr>
                      <w:bCs/>
                      <w:sz w:val="14"/>
                      <w:szCs w:val="14"/>
                    </w:rPr>
                  </w:pPr>
                  <w:r w:rsidRPr="00137D65">
                    <w:rPr>
                      <w:bCs/>
                      <w:sz w:val="14"/>
                      <w:szCs w:val="14"/>
                    </w:rPr>
                    <w:t>10%</w:t>
                  </w:r>
                </w:p>
              </w:tc>
              <w:tc>
                <w:tcPr>
                  <w:tcW w:w="586" w:type="dxa"/>
                  <w:tcBorders>
                    <w:top w:val="nil"/>
                    <w:left w:val="nil"/>
                    <w:bottom w:val="single" w:sz="4" w:space="0" w:color="auto"/>
                    <w:right w:val="single" w:sz="4" w:space="0" w:color="auto"/>
                  </w:tcBorders>
                  <w:shd w:val="clear" w:color="auto" w:fill="auto"/>
                  <w:noWrap/>
                  <w:vAlign w:val="center"/>
                  <w:hideMark/>
                </w:tcPr>
                <w:p w14:paraId="2DA6183B" w14:textId="77777777" w:rsidR="002C119B" w:rsidRPr="00137D65" w:rsidRDefault="002C119B" w:rsidP="0068597D">
                  <w:pPr>
                    <w:jc w:val="center"/>
                    <w:rPr>
                      <w:bCs/>
                      <w:sz w:val="14"/>
                      <w:szCs w:val="14"/>
                    </w:rPr>
                  </w:pPr>
                  <w:r w:rsidRPr="00137D65">
                    <w:rPr>
                      <w:bCs/>
                      <w:sz w:val="14"/>
                      <w:szCs w:val="14"/>
                    </w:rPr>
                    <w:t>20%</w:t>
                  </w:r>
                </w:p>
              </w:tc>
              <w:tc>
                <w:tcPr>
                  <w:tcW w:w="1004" w:type="dxa"/>
                  <w:vMerge/>
                  <w:tcBorders>
                    <w:top w:val="nil"/>
                    <w:left w:val="single" w:sz="4" w:space="0" w:color="auto"/>
                    <w:bottom w:val="single" w:sz="4" w:space="0" w:color="000000"/>
                    <w:right w:val="single" w:sz="4" w:space="0" w:color="auto"/>
                  </w:tcBorders>
                  <w:vAlign w:val="center"/>
                  <w:hideMark/>
                </w:tcPr>
                <w:p w14:paraId="57FC5C29" w14:textId="77777777" w:rsidR="002C119B" w:rsidRPr="00137D65" w:rsidRDefault="002C119B" w:rsidP="0068597D">
                  <w:pPr>
                    <w:rPr>
                      <w:b/>
                      <w:bCs/>
                      <w:sz w:val="14"/>
                      <w:szCs w:val="14"/>
                    </w:rPr>
                  </w:pP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7686ABD" w14:textId="77777777" w:rsidR="002C119B" w:rsidRPr="00137D65" w:rsidRDefault="002C119B" w:rsidP="0068597D">
                  <w:pPr>
                    <w:jc w:val="center"/>
                    <w:rPr>
                      <w:bCs/>
                      <w:sz w:val="14"/>
                      <w:szCs w:val="14"/>
                    </w:rPr>
                  </w:pPr>
                  <w:r w:rsidRPr="00137D65">
                    <w:rPr>
                      <w:bCs/>
                      <w:sz w:val="14"/>
                      <w:szCs w:val="14"/>
                    </w:rPr>
                    <w:t>20%</w:t>
                  </w:r>
                </w:p>
              </w:tc>
              <w:tc>
                <w:tcPr>
                  <w:tcW w:w="854" w:type="dxa"/>
                  <w:vMerge/>
                  <w:tcBorders>
                    <w:top w:val="nil"/>
                    <w:left w:val="single" w:sz="4" w:space="0" w:color="auto"/>
                    <w:bottom w:val="single" w:sz="4" w:space="0" w:color="000000"/>
                    <w:right w:val="single" w:sz="8" w:space="0" w:color="auto"/>
                  </w:tcBorders>
                  <w:vAlign w:val="center"/>
                  <w:hideMark/>
                </w:tcPr>
                <w:p w14:paraId="4BD37FF8" w14:textId="77777777" w:rsidR="002C119B" w:rsidRPr="00137D65" w:rsidRDefault="002C119B" w:rsidP="0068597D">
                  <w:pPr>
                    <w:rPr>
                      <w:b/>
                      <w:bCs/>
                      <w:sz w:val="14"/>
                      <w:szCs w:val="14"/>
                    </w:rPr>
                  </w:pPr>
                </w:p>
              </w:tc>
              <w:tc>
                <w:tcPr>
                  <w:tcW w:w="860" w:type="dxa"/>
                  <w:vMerge/>
                  <w:tcBorders>
                    <w:top w:val="single" w:sz="4" w:space="0" w:color="auto"/>
                    <w:left w:val="single" w:sz="8" w:space="0" w:color="auto"/>
                    <w:bottom w:val="single" w:sz="4" w:space="0" w:color="auto"/>
                    <w:right w:val="single" w:sz="4" w:space="0" w:color="auto"/>
                  </w:tcBorders>
                  <w:vAlign w:val="center"/>
                  <w:hideMark/>
                </w:tcPr>
                <w:p w14:paraId="0BE1267D" w14:textId="77777777" w:rsidR="002C119B" w:rsidRPr="00137D65" w:rsidRDefault="002C119B" w:rsidP="0068597D">
                  <w:pPr>
                    <w:rPr>
                      <w:b/>
                      <w:bCs/>
                      <w:sz w:val="14"/>
                      <w:szCs w:val="14"/>
                    </w:rPr>
                  </w:pPr>
                </w:p>
              </w:tc>
            </w:tr>
            <w:tr w:rsidR="002C119B" w14:paraId="5F6F4D22" w14:textId="77777777" w:rsidTr="0068597D">
              <w:trPr>
                <w:trHeight w:val="30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5051630" w14:textId="77777777" w:rsidR="002C119B" w:rsidRPr="00137D65" w:rsidRDefault="002C119B" w:rsidP="0068597D">
                  <w:pPr>
                    <w:jc w:val="center"/>
                    <w:rPr>
                      <w:bCs/>
                      <w:color w:val="000000"/>
                      <w:sz w:val="14"/>
                      <w:szCs w:val="14"/>
                    </w:rPr>
                  </w:pPr>
                  <w:r w:rsidRPr="00137D65">
                    <w:rPr>
                      <w:bCs/>
                      <w:color w:val="000000"/>
                      <w:sz w:val="14"/>
                      <w:szCs w:val="14"/>
                    </w:rPr>
                    <w:t>2019</w:t>
                  </w:r>
                </w:p>
              </w:tc>
              <w:tc>
                <w:tcPr>
                  <w:tcW w:w="919" w:type="dxa"/>
                  <w:tcBorders>
                    <w:top w:val="nil"/>
                    <w:left w:val="nil"/>
                    <w:bottom w:val="single" w:sz="4" w:space="0" w:color="auto"/>
                    <w:right w:val="single" w:sz="4" w:space="0" w:color="auto"/>
                  </w:tcBorders>
                  <w:shd w:val="clear" w:color="auto" w:fill="auto"/>
                  <w:noWrap/>
                  <w:vAlign w:val="bottom"/>
                  <w:hideMark/>
                </w:tcPr>
                <w:p w14:paraId="2F30D50E" w14:textId="77777777" w:rsidR="002C119B" w:rsidRPr="00137D65" w:rsidRDefault="002C119B" w:rsidP="0068597D">
                  <w:pPr>
                    <w:jc w:val="center"/>
                    <w:rPr>
                      <w:sz w:val="14"/>
                      <w:szCs w:val="14"/>
                    </w:rPr>
                  </w:pPr>
                  <w:r w:rsidRPr="00137D65">
                    <w:rPr>
                      <w:sz w:val="14"/>
                      <w:szCs w:val="14"/>
                    </w:rPr>
                    <w:t>11.06</w:t>
                  </w:r>
                </w:p>
              </w:tc>
              <w:tc>
                <w:tcPr>
                  <w:tcW w:w="839" w:type="dxa"/>
                  <w:tcBorders>
                    <w:top w:val="nil"/>
                    <w:left w:val="nil"/>
                    <w:bottom w:val="single" w:sz="4" w:space="0" w:color="auto"/>
                    <w:right w:val="single" w:sz="4" w:space="0" w:color="auto"/>
                  </w:tcBorders>
                  <w:shd w:val="clear" w:color="auto" w:fill="auto"/>
                  <w:noWrap/>
                  <w:vAlign w:val="bottom"/>
                  <w:hideMark/>
                </w:tcPr>
                <w:p w14:paraId="7F6A349A" w14:textId="77777777" w:rsidR="002C119B" w:rsidRPr="00137D65" w:rsidRDefault="002C119B" w:rsidP="0068597D">
                  <w:pPr>
                    <w:jc w:val="center"/>
                    <w:rPr>
                      <w:sz w:val="14"/>
                      <w:szCs w:val="14"/>
                    </w:rPr>
                  </w:pPr>
                  <w:r w:rsidRPr="00137D65">
                    <w:rPr>
                      <w:sz w:val="14"/>
                      <w:szCs w:val="14"/>
                    </w:rPr>
                    <w:t>0.55</w:t>
                  </w:r>
                </w:p>
              </w:tc>
              <w:tc>
                <w:tcPr>
                  <w:tcW w:w="651" w:type="dxa"/>
                  <w:tcBorders>
                    <w:top w:val="nil"/>
                    <w:left w:val="nil"/>
                    <w:bottom w:val="single" w:sz="4" w:space="0" w:color="auto"/>
                    <w:right w:val="single" w:sz="8" w:space="0" w:color="auto"/>
                  </w:tcBorders>
                  <w:shd w:val="clear" w:color="auto" w:fill="auto"/>
                  <w:noWrap/>
                  <w:vAlign w:val="bottom"/>
                  <w:hideMark/>
                </w:tcPr>
                <w:p w14:paraId="2870F2D4" w14:textId="77777777" w:rsidR="002C119B" w:rsidRPr="00137D65" w:rsidRDefault="002C119B" w:rsidP="0068597D">
                  <w:pPr>
                    <w:jc w:val="center"/>
                    <w:rPr>
                      <w:sz w:val="14"/>
                      <w:szCs w:val="14"/>
                    </w:rPr>
                  </w:pPr>
                  <w:r w:rsidRPr="00137D65">
                    <w:rPr>
                      <w:sz w:val="14"/>
                      <w:szCs w:val="14"/>
                    </w:rPr>
                    <w:t>11.61</w:t>
                  </w:r>
                </w:p>
              </w:tc>
              <w:tc>
                <w:tcPr>
                  <w:tcW w:w="819" w:type="dxa"/>
                  <w:tcBorders>
                    <w:top w:val="nil"/>
                    <w:left w:val="nil"/>
                    <w:bottom w:val="single" w:sz="4" w:space="0" w:color="auto"/>
                    <w:right w:val="single" w:sz="4" w:space="0" w:color="auto"/>
                  </w:tcBorders>
                  <w:shd w:val="clear" w:color="auto" w:fill="auto"/>
                  <w:noWrap/>
                  <w:vAlign w:val="center"/>
                  <w:hideMark/>
                </w:tcPr>
                <w:p w14:paraId="102084A9" w14:textId="77777777" w:rsidR="002C119B" w:rsidRPr="00137D65" w:rsidRDefault="002C119B" w:rsidP="0068597D">
                  <w:pPr>
                    <w:jc w:val="center"/>
                    <w:rPr>
                      <w:color w:val="000000"/>
                      <w:sz w:val="14"/>
                      <w:szCs w:val="14"/>
                    </w:rPr>
                  </w:pPr>
                  <w:r w:rsidRPr="00137D65">
                    <w:rPr>
                      <w:color w:val="000000"/>
                      <w:sz w:val="14"/>
                      <w:szCs w:val="14"/>
                    </w:rPr>
                    <w:t>2 076</w:t>
                  </w:r>
                </w:p>
              </w:tc>
              <w:tc>
                <w:tcPr>
                  <w:tcW w:w="586" w:type="dxa"/>
                  <w:tcBorders>
                    <w:top w:val="nil"/>
                    <w:left w:val="nil"/>
                    <w:bottom w:val="single" w:sz="4" w:space="0" w:color="auto"/>
                    <w:right w:val="single" w:sz="4" w:space="0" w:color="auto"/>
                  </w:tcBorders>
                  <w:shd w:val="clear" w:color="auto" w:fill="auto"/>
                  <w:noWrap/>
                  <w:vAlign w:val="bottom"/>
                  <w:hideMark/>
                </w:tcPr>
                <w:p w14:paraId="4A8E1279" w14:textId="77777777" w:rsidR="002C119B" w:rsidRPr="00137D65" w:rsidRDefault="002C119B" w:rsidP="0068597D">
                  <w:pPr>
                    <w:jc w:val="center"/>
                    <w:rPr>
                      <w:sz w:val="14"/>
                      <w:szCs w:val="14"/>
                    </w:rPr>
                  </w:pPr>
                  <w:r w:rsidRPr="00137D65">
                    <w:rPr>
                      <w:sz w:val="14"/>
                      <w:szCs w:val="14"/>
                    </w:rPr>
                    <w:t>4 259</w:t>
                  </w:r>
                </w:p>
              </w:tc>
              <w:tc>
                <w:tcPr>
                  <w:tcW w:w="1004" w:type="dxa"/>
                  <w:tcBorders>
                    <w:top w:val="nil"/>
                    <w:left w:val="nil"/>
                    <w:bottom w:val="single" w:sz="4" w:space="0" w:color="auto"/>
                    <w:right w:val="single" w:sz="4" w:space="0" w:color="auto"/>
                  </w:tcBorders>
                  <w:shd w:val="clear" w:color="auto" w:fill="auto"/>
                  <w:noWrap/>
                  <w:vAlign w:val="bottom"/>
                  <w:hideMark/>
                </w:tcPr>
                <w:p w14:paraId="476785F2" w14:textId="77777777" w:rsidR="002C119B" w:rsidRPr="00137D65" w:rsidRDefault="002C119B" w:rsidP="0068597D">
                  <w:pPr>
                    <w:jc w:val="center"/>
                    <w:rPr>
                      <w:sz w:val="14"/>
                      <w:szCs w:val="14"/>
                    </w:rPr>
                  </w:pPr>
                  <w:r w:rsidRPr="00137D65">
                    <w:rPr>
                      <w:sz w:val="14"/>
                      <w:szCs w:val="14"/>
                    </w:rPr>
                    <w:t>147 098.70</w:t>
                  </w:r>
                </w:p>
              </w:tc>
              <w:tc>
                <w:tcPr>
                  <w:tcW w:w="697" w:type="dxa"/>
                  <w:tcBorders>
                    <w:top w:val="nil"/>
                    <w:left w:val="nil"/>
                    <w:bottom w:val="single" w:sz="4" w:space="0" w:color="auto"/>
                    <w:right w:val="single" w:sz="4" w:space="0" w:color="auto"/>
                  </w:tcBorders>
                  <w:shd w:val="clear" w:color="auto" w:fill="auto"/>
                  <w:noWrap/>
                  <w:vAlign w:val="center"/>
                  <w:hideMark/>
                </w:tcPr>
                <w:p w14:paraId="698A7485" w14:textId="77777777" w:rsidR="002C119B" w:rsidRPr="00137D65" w:rsidRDefault="002C119B" w:rsidP="0068597D">
                  <w:pPr>
                    <w:jc w:val="center"/>
                    <w:rPr>
                      <w:color w:val="000000"/>
                      <w:sz w:val="14"/>
                      <w:szCs w:val="14"/>
                    </w:rPr>
                  </w:pPr>
                  <w:r w:rsidRPr="00137D65">
                    <w:rPr>
                      <w:color w:val="000000"/>
                      <w:sz w:val="14"/>
                      <w:szCs w:val="14"/>
                    </w:rPr>
                    <w:t>4 152</w:t>
                  </w:r>
                </w:p>
              </w:tc>
              <w:tc>
                <w:tcPr>
                  <w:tcW w:w="854" w:type="dxa"/>
                  <w:tcBorders>
                    <w:top w:val="nil"/>
                    <w:left w:val="nil"/>
                    <w:bottom w:val="single" w:sz="4" w:space="0" w:color="auto"/>
                    <w:right w:val="nil"/>
                  </w:tcBorders>
                  <w:shd w:val="clear" w:color="auto" w:fill="auto"/>
                  <w:noWrap/>
                  <w:vAlign w:val="bottom"/>
                  <w:hideMark/>
                </w:tcPr>
                <w:p w14:paraId="7FA509D3" w14:textId="77777777" w:rsidR="002C119B" w:rsidRPr="00137D65" w:rsidRDefault="002C119B" w:rsidP="0068597D">
                  <w:pPr>
                    <w:jc w:val="center"/>
                    <w:rPr>
                      <w:sz w:val="14"/>
                      <w:szCs w:val="14"/>
                    </w:rPr>
                  </w:pPr>
                  <w:r w:rsidRPr="00137D65">
                    <w:rPr>
                      <w:sz w:val="14"/>
                      <w:szCs w:val="14"/>
                    </w:rPr>
                    <w:t>48 204.72</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7976D8FD" w14:textId="77777777" w:rsidR="002C119B" w:rsidRPr="00137D65" w:rsidRDefault="002C119B" w:rsidP="0068597D">
                  <w:pPr>
                    <w:jc w:val="center"/>
                    <w:rPr>
                      <w:b/>
                      <w:bCs/>
                      <w:sz w:val="14"/>
                      <w:szCs w:val="14"/>
                    </w:rPr>
                  </w:pPr>
                  <w:r w:rsidRPr="00137D65">
                    <w:rPr>
                      <w:b/>
                      <w:bCs/>
                      <w:sz w:val="14"/>
                      <w:szCs w:val="14"/>
                    </w:rPr>
                    <w:t>195 304</w:t>
                  </w:r>
                </w:p>
              </w:tc>
            </w:tr>
            <w:tr w:rsidR="002C119B" w14:paraId="73C0C0B6" w14:textId="77777777" w:rsidTr="0068597D">
              <w:trPr>
                <w:trHeight w:val="27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BEEE87E" w14:textId="77777777" w:rsidR="002C119B" w:rsidRPr="00137D65" w:rsidRDefault="002C119B" w:rsidP="0068597D">
                  <w:pPr>
                    <w:jc w:val="center"/>
                    <w:rPr>
                      <w:bCs/>
                      <w:color w:val="000000"/>
                      <w:sz w:val="14"/>
                      <w:szCs w:val="14"/>
                    </w:rPr>
                  </w:pPr>
                  <w:r w:rsidRPr="00137D65">
                    <w:rPr>
                      <w:bCs/>
                      <w:color w:val="000000"/>
                      <w:sz w:val="14"/>
                      <w:szCs w:val="14"/>
                    </w:rPr>
                    <w:t>2020</w:t>
                  </w:r>
                </w:p>
              </w:tc>
              <w:tc>
                <w:tcPr>
                  <w:tcW w:w="919" w:type="dxa"/>
                  <w:tcBorders>
                    <w:top w:val="nil"/>
                    <w:left w:val="nil"/>
                    <w:bottom w:val="single" w:sz="4" w:space="0" w:color="auto"/>
                    <w:right w:val="single" w:sz="4" w:space="0" w:color="auto"/>
                  </w:tcBorders>
                  <w:shd w:val="clear" w:color="auto" w:fill="auto"/>
                  <w:noWrap/>
                  <w:vAlign w:val="bottom"/>
                  <w:hideMark/>
                </w:tcPr>
                <w:p w14:paraId="275A0D21" w14:textId="77777777" w:rsidR="002C119B" w:rsidRPr="00137D65" w:rsidRDefault="002C119B" w:rsidP="0068597D">
                  <w:pPr>
                    <w:jc w:val="center"/>
                    <w:rPr>
                      <w:sz w:val="14"/>
                      <w:szCs w:val="14"/>
                    </w:rPr>
                  </w:pPr>
                  <w:r w:rsidRPr="00137D65">
                    <w:rPr>
                      <w:sz w:val="14"/>
                      <w:szCs w:val="14"/>
                    </w:rPr>
                    <w:t>11.06</w:t>
                  </w:r>
                </w:p>
              </w:tc>
              <w:tc>
                <w:tcPr>
                  <w:tcW w:w="839" w:type="dxa"/>
                  <w:tcBorders>
                    <w:top w:val="nil"/>
                    <w:left w:val="nil"/>
                    <w:bottom w:val="single" w:sz="4" w:space="0" w:color="auto"/>
                    <w:right w:val="single" w:sz="4" w:space="0" w:color="auto"/>
                  </w:tcBorders>
                  <w:shd w:val="clear" w:color="auto" w:fill="auto"/>
                  <w:noWrap/>
                  <w:vAlign w:val="bottom"/>
                  <w:hideMark/>
                </w:tcPr>
                <w:p w14:paraId="44B67F48" w14:textId="77777777" w:rsidR="002C119B" w:rsidRPr="00137D65" w:rsidRDefault="002C119B" w:rsidP="0068597D">
                  <w:pPr>
                    <w:jc w:val="center"/>
                    <w:rPr>
                      <w:sz w:val="14"/>
                      <w:szCs w:val="14"/>
                    </w:rPr>
                  </w:pPr>
                  <w:r w:rsidRPr="00137D65">
                    <w:rPr>
                      <w:sz w:val="14"/>
                      <w:szCs w:val="14"/>
                    </w:rPr>
                    <w:t>0.55</w:t>
                  </w:r>
                </w:p>
              </w:tc>
              <w:tc>
                <w:tcPr>
                  <w:tcW w:w="651" w:type="dxa"/>
                  <w:tcBorders>
                    <w:top w:val="nil"/>
                    <w:left w:val="nil"/>
                    <w:bottom w:val="single" w:sz="4" w:space="0" w:color="auto"/>
                    <w:right w:val="single" w:sz="8" w:space="0" w:color="auto"/>
                  </w:tcBorders>
                  <w:shd w:val="clear" w:color="auto" w:fill="auto"/>
                  <w:noWrap/>
                  <w:vAlign w:val="bottom"/>
                  <w:hideMark/>
                </w:tcPr>
                <w:p w14:paraId="283DD442" w14:textId="77777777" w:rsidR="002C119B" w:rsidRPr="00137D65" w:rsidRDefault="002C119B" w:rsidP="0068597D">
                  <w:pPr>
                    <w:jc w:val="center"/>
                    <w:rPr>
                      <w:sz w:val="14"/>
                      <w:szCs w:val="14"/>
                    </w:rPr>
                  </w:pPr>
                  <w:r w:rsidRPr="00137D65">
                    <w:rPr>
                      <w:sz w:val="14"/>
                      <w:szCs w:val="14"/>
                    </w:rPr>
                    <w:t>11.61</w:t>
                  </w:r>
                </w:p>
              </w:tc>
              <w:tc>
                <w:tcPr>
                  <w:tcW w:w="819" w:type="dxa"/>
                  <w:tcBorders>
                    <w:top w:val="nil"/>
                    <w:left w:val="nil"/>
                    <w:bottom w:val="single" w:sz="4" w:space="0" w:color="auto"/>
                    <w:right w:val="single" w:sz="4" w:space="0" w:color="auto"/>
                  </w:tcBorders>
                  <w:shd w:val="clear" w:color="auto" w:fill="auto"/>
                  <w:noWrap/>
                  <w:vAlign w:val="center"/>
                  <w:hideMark/>
                </w:tcPr>
                <w:p w14:paraId="6704BF6A" w14:textId="77777777" w:rsidR="002C119B" w:rsidRPr="00137D65" w:rsidRDefault="002C119B" w:rsidP="0068597D">
                  <w:pPr>
                    <w:jc w:val="center"/>
                    <w:rPr>
                      <w:color w:val="000000"/>
                      <w:sz w:val="14"/>
                      <w:szCs w:val="14"/>
                    </w:rPr>
                  </w:pPr>
                  <w:r w:rsidRPr="00137D65">
                    <w:rPr>
                      <w:color w:val="000000"/>
                      <w:sz w:val="14"/>
                      <w:szCs w:val="14"/>
                    </w:rPr>
                    <w:t>2 012</w:t>
                  </w:r>
                </w:p>
              </w:tc>
              <w:tc>
                <w:tcPr>
                  <w:tcW w:w="586" w:type="dxa"/>
                  <w:tcBorders>
                    <w:top w:val="nil"/>
                    <w:left w:val="nil"/>
                    <w:bottom w:val="single" w:sz="4" w:space="0" w:color="auto"/>
                    <w:right w:val="single" w:sz="4" w:space="0" w:color="auto"/>
                  </w:tcBorders>
                  <w:shd w:val="clear" w:color="auto" w:fill="auto"/>
                  <w:noWrap/>
                  <w:vAlign w:val="bottom"/>
                  <w:hideMark/>
                </w:tcPr>
                <w:p w14:paraId="3C3044BD" w14:textId="77777777" w:rsidR="002C119B" w:rsidRPr="00137D65" w:rsidRDefault="002C119B" w:rsidP="0068597D">
                  <w:pPr>
                    <w:jc w:val="center"/>
                    <w:rPr>
                      <w:sz w:val="14"/>
                      <w:szCs w:val="14"/>
                    </w:rPr>
                  </w:pPr>
                  <w:r w:rsidRPr="00137D65">
                    <w:rPr>
                      <w:sz w:val="14"/>
                      <w:szCs w:val="14"/>
                    </w:rPr>
                    <w:t>4 152</w:t>
                  </w:r>
                </w:p>
              </w:tc>
              <w:tc>
                <w:tcPr>
                  <w:tcW w:w="1004" w:type="dxa"/>
                  <w:tcBorders>
                    <w:top w:val="nil"/>
                    <w:left w:val="nil"/>
                    <w:bottom w:val="single" w:sz="4" w:space="0" w:color="auto"/>
                    <w:right w:val="single" w:sz="4" w:space="0" w:color="auto"/>
                  </w:tcBorders>
                  <w:shd w:val="clear" w:color="auto" w:fill="auto"/>
                  <w:noWrap/>
                  <w:vAlign w:val="bottom"/>
                  <w:hideMark/>
                </w:tcPr>
                <w:p w14:paraId="22C9CA79" w14:textId="77777777" w:rsidR="002C119B" w:rsidRPr="00137D65" w:rsidRDefault="002C119B" w:rsidP="0068597D">
                  <w:pPr>
                    <w:jc w:val="center"/>
                    <w:rPr>
                      <w:sz w:val="14"/>
                      <w:szCs w:val="14"/>
                    </w:rPr>
                  </w:pPr>
                  <w:r w:rsidRPr="00137D65">
                    <w:rPr>
                      <w:sz w:val="14"/>
                      <w:szCs w:val="14"/>
                    </w:rPr>
                    <w:t>143 128.08</w:t>
                  </w:r>
                </w:p>
              </w:tc>
              <w:tc>
                <w:tcPr>
                  <w:tcW w:w="697" w:type="dxa"/>
                  <w:tcBorders>
                    <w:top w:val="nil"/>
                    <w:left w:val="nil"/>
                    <w:bottom w:val="single" w:sz="4" w:space="0" w:color="auto"/>
                    <w:right w:val="single" w:sz="4" w:space="0" w:color="auto"/>
                  </w:tcBorders>
                  <w:shd w:val="clear" w:color="auto" w:fill="auto"/>
                  <w:noWrap/>
                  <w:vAlign w:val="center"/>
                  <w:hideMark/>
                </w:tcPr>
                <w:p w14:paraId="32694632" w14:textId="77777777" w:rsidR="002C119B" w:rsidRPr="00137D65" w:rsidRDefault="002C119B" w:rsidP="0068597D">
                  <w:pPr>
                    <w:jc w:val="center"/>
                    <w:rPr>
                      <w:color w:val="000000"/>
                      <w:sz w:val="14"/>
                      <w:szCs w:val="14"/>
                    </w:rPr>
                  </w:pPr>
                  <w:r w:rsidRPr="00137D65">
                    <w:rPr>
                      <w:color w:val="000000"/>
                      <w:sz w:val="14"/>
                      <w:szCs w:val="14"/>
                    </w:rPr>
                    <w:t>4 024</w:t>
                  </w:r>
                </w:p>
              </w:tc>
              <w:tc>
                <w:tcPr>
                  <w:tcW w:w="854" w:type="dxa"/>
                  <w:tcBorders>
                    <w:top w:val="nil"/>
                    <w:left w:val="nil"/>
                    <w:bottom w:val="single" w:sz="4" w:space="0" w:color="auto"/>
                    <w:right w:val="nil"/>
                  </w:tcBorders>
                  <w:shd w:val="clear" w:color="auto" w:fill="auto"/>
                  <w:noWrap/>
                  <w:vAlign w:val="bottom"/>
                  <w:hideMark/>
                </w:tcPr>
                <w:p w14:paraId="0BB6B586" w14:textId="77777777" w:rsidR="002C119B" w:rsidRPr="00137D65" w:rsidRDefault="002C119B" w:rsidP="0068597D">
                  <w:pPr>
                    <w:jc w:val="center"/>
                    <w:rPr>
                      <w:sz w:val="14"/>
                      <w:szCs w:val="14"/>
                    </w:rPr>
                  </w:pPr>
                  <w:r w:rsidRPr="00137D65">
                    <w:rPr>
                      <w:sz w:val="14"/>
                      <w:szCs w:val="14"/>
                    </w:rPr>
                    <w:t>46 718.64</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7B5E827C" w14:textId="77777777" w:rsidR="002C119B" w:rsidRPr="00137D65" w:rsidRDefault="002C119B" w:rsidP="0068597D">
                  <w:pPr>
                    <w:jc w:val="center"/>
                    <w:rPr>
                      <w:b/>
                      <w:bCs/>
                      <w:sz w:val="14"/>
                      <w:szCs w:val="14"/>
                    </w:rPr>
                  </w:pPr>
                  <w:r w:rsidRPr="00137D65">
                    <w:rPr>
                      <w:b/>
                      <w:bCs/>
                      <w:sz w:val="14"/>
                      <w:szCs w:val="14"/>
                    </w:rPr>
                    <w:t>189 847</w:t>
                  </w:r>
                </w:p>
              </w:tc>
            </w:tr>
            <w:tr w:rsidR="002C119B" w14:paraId="7D824DAF" w14:textId="77777777" w:rsidTr="0068597D">
              <w:trPr>
                <w:trHeight w:val="275"/>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ADF516" w14:textId="77777777" w:rsidR="002C119B" w:rsidRPr="00137D65" w:rsidRDefault="002C119B" w:rsidP="0068597D">
                  <w:pPr>
                    <w:jc w:val="center"/>
                    <w:rPr>
                      <w:bCs/>
                      <w:color w:val="000000"/>
                      <w:sz w:val="14"/>
                      <w:szCs w:val="14"/>
                    </w:rPr>
                  </w:pPr>
                  <w:r w:rsidRPr="00137D65">
                    <w:rPr>
                      <w:bCs/>
                      <w:color w:val="000000"/>
                      <w:sz w:val="14"/>
                      <w:szCs w:val="14"/>
                    </w:rPr>
                    <w:t>2021</w:t>
                  </w:r>
                </w:p>
              </w:tc>
              <w:tc>
                <w:tcPr>
                  <w:tcW w:w="919" w:type="dxa"/>
                  <w:tcBorders>
                    <w:top w:val="nil"/>
                    <w:left w:val="nil"/>
                    <w:bottom w:val="single" w:sz="4" w:space="0" w:color="auto"/>
                    <w:right w:val="single" w:sz="4" w:space="0" w:color="auto"/>
                  </w:tcBorders>
                  <w:shd w:val="clear" w:color="auto" w:fill="auto"/>
                  <w:noWrap/>
                  <w:vAlign w:val="bottom"/>
                  <w:hideMark/>
                </w:tcPr>
                <w:p w14:paraId="60A02747" w14:textId="77777777" w:rsidR="002C119B" w:rsidRPr="00137D65" w:rsidRDefault="002C119B" w:rsidP="0068597D">
                  <w:pPr>
                    <w:jc w:val="center"/>
                    <w:rPr>
                      <w:sz w:val="14"/>
                      <w:szCs w:val="14"/>
                    </w:rPr>
                  </w:pPr>
                  <w:r w:rsidRPr="00137D65">
                    <w:rPr>
                      <w:sz w:val="14"/>
                      <w:szCs w:val="14"/>
                    </w:rPr>
                    <w:t>11.06</w:t>
                  </w:r>
                </w:p>
              </w:tc>
              <w:tc>
                <w:tcPr>
                  <w:tcW w:w="839" w:type="dxa"/>
                  <w:tcBorders>
                    <w:top w:val="nil"/>
                    <w:left w:val="nil"/>
                    <w:bottom w:val="single" w:sz="4" w:space="0" w:color="auto"/>
                    <w:right w:val="single" w:sz="4" w:space="0" w:color="auto"/>
                  </w:tcBorders>
                  <w:shd w:val="clear" w:color="auto" w:fill="auto"/>
                  <w:noWrap/>
                  <w:vAlign w:val="bottom"/>
                  <w:hideMark/>
                </w:tcPr>
                <w:p w14:paraId="7B0FCA46" w14:textId="77777777" w:rsidR="002C119B" w:rsidRPr="00137D65" w:rsidRDefault="002C119B" w:rsidP="0068597D">
                  <w:pPr>
                    <w:jc w:val="center"/>
                    <w:rPr>
                      <w:sz w:val="14"/>
                      <w:szCs w:val="14"/>
                    </w:rPr>
                  </w:pPr>
                  <w:r w:rsidRPr="00137D65">
                    <w:rPr>
                      <w:sz w:val="14"/>
                      <w:szCs w:val="14"/>
                    </w:rPr>
                    <w:t>0.55</w:t>
                  </w:r>
                </w:p>
              </w:tc>
              <w:tc>
                <w:tcPr>
                  <w:tcW w:w="651" w:type="dxa"/>
                  <w:tcBorders>
                    <w:top w:val="nil"/>
                    <w:left w:val="nil"/>
                    <w:bottom w:val="single" w:sz="4" w:space="0" w:color="auto"/>
                    <w:right w:val="single" w:sz="8" w:space="0" w:color="auto"/>
                  </w:tcBorders>
                  <w:shd w:val="clear" w:color="auto" w:fill="auto"/>
                  <w:noWrap/>
                  <w:vAlign w:val="bottom"/>
                  <w:hideMark/>
                </w:tcPr>
                <w:p w14:paraId="27CFC675" w14:textId="77777777" w:rsidR="002C119B" w:rsidRPr="00137D65" w:rsidRDefault="002C119B" w:rsidP="0068597D">
                  <w:pPr>
                    <w:jc w:val="center"/>
                    <w:rPr>
                      <w:sz w:val="14"/>
                      <w:szCs w:val="14"/>
                    </w:rPr>
                  </w:pPr>
                  <w:r w:rsidRPr="00137D65">
                    <w:rPr>
                      <w:sz w:val="14"/>
                      <w:szCs w:val="14"/>
                    </w:rPr>
                    <w:t>11.61</w:t>
                  </w:r>
                </w:p>
              </w:tc>
              <w:tc>
                <w:tcPr>
                  <w:tcW w:w="819" w:type="dxa"/>
                  <w:tcBorders>
                    <w:top w:val="nil"/>
                    <w:left w:val="nil"/>
                    <w:bottom w:val="single" w:sz="4" w:space="0" w:color="auto"/>
                    <w:right w:val="single" w:sz="4" w:space="0" w:color="auto"/>
                  </w:tcBorders>
                  <w:shd w:val="clear" w:color="auto" w:fill="auto"/>
                  <w:noWrap/>
                  <w:vAlign w:val="center"/>
                  <w:hideMark/>
                </w:tcPr>
                <w:p w14:paraId="68FD470D" w14:textId="77777777" w:rsidR="002C119B" w:rsidRPr="00137D65" w:rsidRDefault="002C119B" w:rsidP="0068597D">
                  <w:pPr>
                    <w:jc w:val="center"/>
                    <w:rPr>
                      <w:color w:val="000000"/>
                      <w:sz w:val="14"/>
                      <w:szCs w:val="14"/>
                    </w:rPr>
                  </w:pPr>
                  <w:r w:rsidRPr="00137D65">
                    <w:rPr>
                      <w:color w:val="000000"/>
                      <w:sz w:val="14"/>
                      <w:szCs w:val="14"/>
                    </w:rPr>
                    <w:t>1 940</w:t>
                  </w:r>
                </w:p>
              </w:tc>
              <w:tc>
                <w:tcPr>
                  <w:tcW w:w="586" w:type="dxa"/>
                  <w:tcBorders>
                    <w:top w:val="nil"/>
                    <w:left w:val="nil"/>
                    <w:bottom w:val="single" w:sz="4" w:space="0" w:color="auto"/>
                    <w:right w:val="single" w:sz="4" w:space="0" w:color="auto"/>
                  </w:tcBorders>
                  <w:shd w:val="clear" w:color="auto" w:fill="auto"/>
                  <w:noWrap/>
                  <w:vAlign w:val="bottom"/>
                  <w:hideMark/>
                </w:tcPr>
                <w:p w14:paraId="579BA1AD" w14:textId="77777777" w:rsidR="002C119B" w:rsidRPr="00137D65" w:rsidRDefault="002C119B" w:rsidP="0068597D">
                  <w:pPr>
                    <w:jc w:val="center"/>
                    <w:rPr>
                      <w:sz w:val="14"/>
                      <w:szCs w:val="14"/>
                    </w:rPr>
                  </w:pPr>
                  <w:r w:rsidRPr="00137D65">
                    <w:rPr>
                      <w:sz w:val="14"/>
                      <w:szCs w:val="14"/>
                    </w:rPr>
                    <w:t>4 024</w:t>
                  </w:r>
                </w:p>
              </w:tc>
              <w:tc>
                <w:tcPr>
                  <w:tcW w:w="1004" w:type="dxa"/>
                  <w:tcBorders>
                    <w:top w:val="nil"/>
                    <w:left w:val="nil"/>
                    <w:bottom w:val="single" w:sz="4" w:space="0" w:color="auto"/>
                    <w:right w:val="single" w:sz="4" w:space="0" w:color="auto"/>
                  </w:tcBorders>
                  <w:shd w:val="clear" w:color="auto" w:fill="auto"/>
                  <w:noWrap/>
                  <w:vAlign w:val="bottom"/>
                  <w:hideMark/>
                </w:tcPr>
                <w:p w14:paraId="08964F87" w14:textId="77777777" w:rsidR="002C119B" w:rsidRPr="00137D65" w:rsidRDefault="002C119B" w:rsidP="0068597D">
                  <w:pPr>
                    <w:jc w:val="center"/>
                    <w:rPr>
                      <w:sz w:val="14"/>
                      <w:szCs w:val="14"/>
                    </w:rPr>
                  </w:pPr>
                  <w:r w:rsidRPr="00137D65">
                    <w:rPr>
                      <w:sz w:val="14"/>
                      <w:szCs w:val="14"/>
                    </w:rPr>
                    <w:t>138 484.08</w:t>
                  </w:r>
                </w:p>
              </w:tc>
              <w:tc>
                <w:tcPr>
                  <w:tcW w:w="697" w:type="dxa"/>
                  <w:tcBorders>
                    <w:top w:val="nil"/>
                    <w:left w:val="nil"/>
                    <w:bottom w:val="single" w:sz="4" w:space="0" w:color="auto"/>
                    <w:right w:val="single" w:sz="4" w:space="0" w:color="auto"/>
                  </w:tcBorders>
                  <w:shd w:val="clear" w:color="auto" w:fill="auto"/>
                  <w:noWrap/>
                  <w:vAlign w:val="center"/>
                  <w:hideMark/>
                </w:tcPr>
                <w:p w14:paraId="0975B42E" w14:textId="77777777" w:rsidR="002C119B" w:rsidRPr="00137D65" w:rsidRDefault="002C119B" w:rsidP="0068597D">
                  <w:pPr>
                    <w:jc w:val="center"/>
                    <w:rPr>
                      <w:color w:val="000000"/>
                      <w:sz w:val="14"/>
                      <w:szCs w:val="14"/>
                    </w:rPr>
                  </w:pPr>
                  <w:r w:rsidRPr="00137D65">
                    <w:rPr>
                      <w:color w:val="000000"/>
                      <w:sz w:val="14"/>
                      <w:szCs w:val="14"/>
                    </w:rPr>
                    <w:t>3 880</w:t>
                  </w:r>
                </w:p>
              </w:tc>
              <w:tc>
                <w:tcPr>
                  <w:tcW w:w="854" w:type="dxa"/>
                  <w:tcBorders>
                    <w:top w:val="nil"/>
                    <w:left w:val="nil"/>
                    <w:bottom w:val="single" w:sz="4" w:space="0" w:color="auto"/>
                    <w:right w:val="nil"/>
                  </w:tcBorders>
                  <w:shd w:val="clear" w:color="auto" w:fill="auto"/>
                  <w:noWrap/>
                  <w:vAlign w:val="bottom"/>
                  <w:hideMark/>
                </w:tcPr>
                <w:p w14:paraId="038DFCCA" w14:textId="77777777" w:rsidR="002C119B" w:rsidRPr="00137D65" w:rsidRDefault="002C119B" w:rsidP="0068597D">
                  <w:pPr>
                    <w:jc w:val="center"/>
                    <w:rPr>
                      <w:sz w:val="14"/>
                      <w:szCs w:val="14"/>
                    </w:rPr>
                  </w:pPr>
                  <w:r w:rsidRPr="00137D65">
                    <w:rPr>
                      <w:sz w:val="14"/>
                      <w:szCs w:val="14"/>
                    </w:rPr>
                    <w:t>45 046.80</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79278E12" w14:textId="77777777" w:rsidR="002C119B" w:rsidRPr="00137D65" w:rsidRDefault="002C119B" w:rsidP="0068597D">
                  <w:pPr>
                    <w:jc w:val="center"/>
                    <w:rPr>
                      <w:b/>
                      <w:bCs/>
                      <w:sz w:val="14"/>
                      <w:szCs w:val="14"/>
                    </w:rPr>
                  </w:pPr>
                  <w:r w:rsidRPr="00137D65">
                    <w:rPr>
                      <w:b/>
                      <w:bCs/>
                      <w:sz w:val="14"/>
                      <w:szCs w:val="14"/>
                    </w:rPr>
                    <w:t>183 531</w:t>
                  </w:r>
                </w:p>
              </w:tc>
            </w:tr>
          </w:tbl>
          <w:p w14:paraId="0AEB2A3D" w14:textId="4BA7FAD9" w:rsidR="002C119B" w:rsidRPr="00117610" w:rsidRDefault="00793BE5" w:rsidP="00793BE5">
            <w:pPr>
              <w:pStyle w:val="tvhtml"/>
              <w:spacing w:before="0" w:beforeAutospacing="0" w:after="0" w:afterAutospacing="0"/>
              <w:jc w:val="both"/>
              <w:rPr>
                <w:i/>
                <w:lang w:val="lv-LV"/>
              </w:rPr>
            </w:pPr>
            <w:r w:rsidRPr="00117610">
              <w:rPr>
                <w:i/>
                <w:lang w:val="lv-LV"/>
              </w:rPr>
              <w:t xml:space="preserve">* </w:t>
            </w:r>
            <w:r w:rsidR="002C119B" w:rsidRPr="00117610">
              <w:rPr>
                <w:i/>
                <w:lang w:val="lv-LV"/>
              </w:rPr>
              <w:t>4-valentā gripas vakcīna (</w:t>
            </w:r>
            <w:proofErr w:type="spellStart"/>
            <w:r w:rsidR="002C119B" w:rsidRPr="00117610">
              <w:rPr>
                <w:i/>
                <w:lang w:val="lv-LV"/>
              </w:rPr>
              <w:t>Vaxigrip</w:t>
            </w:r>
            <w:proofErr w:type="spellEnd"/>
            <w:r w:rsidR="002C119B" w:rsidRPr="00117610">
              <w:rPr>
                <w:i/>
                <w:lang w:val="lv-LV"/>
              </w:rPr>
              <w:t xml:space="preserve"> </w:t>
            </w:r>
            <w:proofErr w:type="spellStart"/>
            <w:r w:rsidR="002C119B" w:rsidRPr="00117610">
              <w:rPr>
                <w:i/>
                <w:lang w:val="lv-LV"/>
              </w:rPr>
              <w:t>Tetra</w:t>
            </w:r>
            <w:proofErr w:type="spellEnd"/>
            <w:r w:rsidR="002C119B" w:rsidRPr="00117610">
              <w:rPr>
                <w:i/>
                <w:lang w:val="lv-LV"/>
              </w:rPr>
              <w:t>) saskaņā ar lietošanas instrukciju paredzēta no 6 mēn</w:t>
            </w:r>
            <w:r w:rsidRPr="00117610">
              <w:rPr>
                <w:i/>
                <w:lang w:val="lv-LV"/>
              </w:rPr>
              <w:t>ešu vecuma; bērniem no 6 mēn.-</w:t>
            </w:r>
            <w:r w:rsidR="002C119B" w:rsidRPr="00117610">
              <w:rPr>
                <w:i/>
                <w:lang w:val="lv-LV"/>
              </w:rPr>
              <w:t xml:space="preserve">24 </w:t>
            </w:r>
            <w:proofErr w:type="spellStart"/>
            <w:r w:rsidR="002C119B" w:rsidRPr="00117610">
              <w:rPr>
                <w:i/>
                <w:lang w:val="lv-LV"/>
              </w:rPr>
              <w:t>mēn</w:t>
            </w:r>
            <w:proofErr w:type="spellEnd"/>
            <w:r w:rsidR="002C119B" w:rsidRPr="00117610">
              <w:rPr>
                <w:i/>
                <w:lang w:val="lv-LV"/>
              </w:rPr>
              <w:t>. nepieciešamas 2 devas, pieaugušajiem – 1 deva.</w:t>
            </w:r>
          </w:p>
          <w:p w14:paraId="7AC01CC8" w14:textId="17DFFF74" w:rsidR="002C119B" w:rsidRPr="00117610" w:rsidRDefault="00793BE5" w:rsidP="00793BE5">
            <w:pPr>
              <w:pStyle w:val="tvhtml"/>
              <w:spacing w:before="0" w:beforeAutospacing="0" w:after="0" w:afterAutospacing="0"/>
              <w:jc w:val="both"/>
              <w:rPr>
                <w:i/>
                <w:lang w:val="lv-LV"/>
              </w:rPr>
            </w:pPr>
            <w:r w:rsidRPr="00117610">
              <w:rPr>
                <w:i/>
                <w:lang w:val="lv-LV"/>
              </w:rPr>
              <w:t>** 4-</w:t>
            </w:r>
            <w:r w:rsidR="002C119B" w:rsidRPr="00117610">
              <w:rPr>
                <w:i/>
                <w:lang w:val="lv-LV"/>
              </w:rPr>
              <w:t>valentā</w:t>
            </w:r>
            <w:r w:rsidRPr="00117610">
              <w:rPr>
                <w:i/>
                <w:lang w:val="lv-LV"/>
              </w:rPr>
              <w:t xml:space="preserve">s gripas vakcīnas </w:t>
            </w:r>
            <w:r w:rsidR="002C119B" w:rsidRPr="00117610">
              <w:rPr>
                <w:i/>
                <w:lang w:val="lv-LV"/>
              </w:rPr>
              <w:t>(</w:t>
            </w:r>
            <w:proofErr w:type="spellStart"/>
            <w:r w:rsidR="002C119B" w:rsidRPr="00117610">
              <w:rPr>
                <w:i/>
                <w:lang w:val="lv-LV"/>
              </w:rPr>
              <w:t>Vaxigrip</w:t>
            </w:r>
            <w:proofErr w:type="spellEnd"/>
            <w:r w:rsidR="002C119B" w:rsidRPr="00117610">
              <w:rPr>
                <w:i/>
                <w:lang w:val="lv-LV"/>
              </w:rPr>
              <w:t xml:space="preserve"> </w:t>
            </w:r>
            <w:proofErr w:type="spellStart"/>
            <w:r w:rsidR="002C119B" w:rsidRPr="00117610">
              <w:rPr>
                <w:i/>
                <w:lang w:val="lv-LV"/>
              </w:rPr>
              <w:t>Tetra</w:t>
            </w:r>
            <w:proofErr w:type="spellEnd"/>
            <w:r w:rsidR="002C119B" w:rsidRPr="00117610">
              <w:rPr>
                <w:i/>
                <w:lang w:val="lv-LV"/>
              </w:rPr>
              <w:t>) cena aprēķināta atbilstoši 2005.</w:t>
            </w:r>
            <w:r w:rsidR="008D038A" w:rsidRPr="00117610">
              <w:rPr>
                <w:i/>
                <w:lang w:val="lv-LV"/>
              </w:rPr>
              <w:t> </w:t>
            </w:r>
            <w:r w:rsidR="002C119B" w:rsidRPr="00117610">
              <w:rPr>
                <w:i/>
                <w:lang w:val="lv-LV"/>
              </w:rPr>
              <w:t>gada 25.</w:t>
            </w:r>
            <w:r w:rsidR="008D038A" w:rsidRPr="00117610">
              <w:rPr>
                <w:i/>
                <w:lang w:val="lv-LV"/>
              </w:rPr>
              <w:t xml:space="preserve"> oktobra </w:t>
            </w:r>
            <w:r w:rsidR="002C119B" w:rsidRPr="00117610">
              <w:rPr>
                <w:i/>
                <w:lang w:val="lv-LV"/>
              </w:rPr>
              <w:t>Ministru kabineta noteikumiem Nr.803</w:t>
            </w:r>
            <w:r w:rsidR="008D038A" w:rsidRPr="00117610">
              <w:rPr>
                <w:i/>
                <w:lang w:val="lv-LV"/>
              </w:rPr>
              <w:t xml:space="preserve"> "Noteikumi par zāļu cenu veidošanas principiem".</w:t>
            </w:r>
          </w:p>
          <w:p w14:paraId="0757B71F" w14:textId="77777777" w:rsidR="00117610" w:rsidRPr="005B7272" w:rsidRDefault="00117610" w:rsidP="00793BE5">
            <w:pPr>
              <w:pStyle w:val="tvhtml"/>
              <w:spacing w:before="0" w:beforeAutospacing="0" w:after="0" w:afterAutospacing="0"/>
              <w:jc w:val="both"/>
              <w:rPr>
                <w:i/>
                <w:sz w:val="16"/>
                <w:szCs w:val="16"/>
                <w:lang w:val="lv-LV"/>
              </w:rPr>
            </w:pPr>
          </w:p>
          <w:tbl>
            <w:tblPr>
              <w:tblW w:w="3143" w:type="dxa"/>
              <w:tblLayout w:type="fixed"/>
              <w:tblLook w:val="04A0" w:firstRow="1" w:lastRow="0" w:firstColumn="1" w:lastColumn="0" w:noHBand="0" w:noVBand="1"/>
            </w:tblPr>
            <w:tblGrid>
              <w:gridCol w:w="699"/>
              <w:gridCol w:w="919"/>
              <w:gridCol w:w="839"/>
              <w:gridCol w:w="686"/>
            </w:tblGrid>
            <w:tr w:rsidR="008D038A" w14:paraId="3F40BEA9" w14:textId="77777777" w:rsidTr="008D038A">
              <w:trPr>
                <w:trHeight w:val="235"/>
              </w:trPr>
              <w:tc>
                <w:tcPr>
                  <w:tcW w:w="69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1D0E75" w14:textId="77777777" w:rsidR="008D038A" w:rsidRPr="000C1BAC" w:rsidRDefault="008D038A" w:rsidP="0068597D">
                  <w:pPr>
                    <w:jc w:val="center"/>
                    <w:rPr>
                      <w:bCs/>
                      <w:color w:val="000000"/>
                      <w:sz w:val="14"/>
                      <w:szCs w:val="14"/>
                    </w:rPr>
                  </w:pPr>
                  <w:r w:rsidRPr="000C1BAC">
                    <w:rPr>
                      <w:bCs/>
                      <w:color w:val="000000"/>
                      <w:sz w:val="14"/>
                      <w:szCs w:val="14"/>
                    </w:rPr>
                    <w:t>Gads</w:t>
                  </w:r>
                </w:p>
              </w:tc>
              <w:tc>
                <w:tcPr>
                  <w:tcW w:w="2444" w:type="dxa"/>
                  <w:gridSpan w:val="3"/>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70C06442" w14:textId="77777777" w:rsidR="008D038A" w:rsidRPr="000C1BAC" w:rsidRDefault="008D038A" w:rsidP="0068597D">
                  <w:pPr>
                    <w:jc w:val="center"/>
                    <w:rPr>
                      <w:bCs/>
                      <w:sz w:val="14"/>
                      <w:szCs w:val="14"/>
                    </w:rPr>
                  </w:pPr>
                  <w:r w:rsidRPr="000C1BAC">
                    <w:rPr>
                      <w:bCs/>
                      <w:sz w:val="14"/>
                      <w:szCs w:val="14"/>
                    </w:rPr>
                    <w:t>Grūtnieču un jaundzimušo skaits *</w:t>
                  </w:r>
                </w:p>
              </w:tc>
            </w:tr>
            <w:tr w:rsidR="008D038A" w14:paraId="3C00F709" w14:textId="77777777" w:rsidTr="008D038A">
              <w:trPr>
                <w:trHeight w:val="362"/>
              </w:trPr>
              <w:tc>
                <w:tcPr>
                  <w:tcW w:w="699" w:type="dxa"/>
                  <w:vMerge/>
                  <w:tcBorders>
                    <w:top w:val="single" w:sz="4" w:space="0" w:color="auto"/>
                    <w:left w:val="single" w:sz="4" w:space="0" w:color="auto"/>
                    <w:bottom w:val="single" w:sz="4" w:space="0" w:color="auto"/>
                    <w:right w:val="single" w:sz="4" w:space="0" w:color="000000"/>
                  </w:tcBorders>
                  <w:vAlign w:val="center"/>
                  <w:hideMark/>
                </w:tcPr>
                <w:p w14:paraId="31DF2E37" w14:textId="77777777" w:rsidR="008D038A" w:rsidRPr="000C1BAC" w:rsidRDefault="008D038A" w:rsidP="0068597D">
                  <w:pPr>
                    <w:rPr>
                      <w:bCs/>
                      <w:color w:val="000000"/>
                      <w:sz w:val="14"/>
                      <w:szCs w:val="14"/>
                    </w:rPr>
                  </w:pPr>
                </w:p>
              </w:tc>
              <w:tc>
                <w:tcPr>
                  <w:tcW w:w="919" w:type="dxa"/>
                  <w:tcBorders>
                    <w:top w:val="nil"/>
                    <w:left w:val="nil"/>
                    <w:bottom w:val="single" w:sz="4" w:space="0" w:color="auto"/>
                    <w:right w:val="single" w:sz="4" w:space="0" w:color="auto"/>
                  </w:tcBorders>
                  <w:shd w:val="clear" w:color="auto" w:fill="auto"/>
                  <w:vAlign w:val="center"/>
                  <w:hideMark/>
                </w:tcPr>
                <w:p w14:paraId="59FCBF22" w14:textId="77777777" w:rsidR="008D038A" w:rsidRPr="00340DA7" w:rsidRDefault="008D038A" w:rsidP="0068597D">
                  <w:pPr>
                    <w:jc w:val="center"/>
                    <w:rPr>
                      <w:sz w:val="14"/>
                      <w:szCs w:val="14"/>
                    </w:rPr>
                  </w:pPr>
                  <w:r w:rsidRPr="00340DA7">
                    <w:rPr>
                      <w:sz w:val="14"/>
                      <w:szCs w:val="14"/>
                    </w:rPr>
                    <w:t>Grūtnieces</w:t>
                  </w:r>
                </w:p>
              </w:tc>
              <w:tc>
                <w:tcPr>
                  <w:tcW w:w="839" w:type="dxa"/>
                  <w:tcBorders>
                    <w:top w:val="nil"/>
                    <w:left w:val="nil"/>
                    <w:bottom w:val="single" w:sz="4" w:space="0" w:color="auto"/>
                    <w:right w:val="single" w:sz="4" w:space="0" w:color="auto"/>
                  </w:tcBorders>
                  <w:shd w:val="clear" w:color="auto" w:fill="auto"/>
                  <w:vAlign w:val="center"/>
                  <w:hideMark/>
                </w:tcPr>
                <w:p w14:paraId="503D5C4F" w14:textId="77777777" w:rsidR="008D038A" w:rsidRPr="00340DA7" w:rsidRDefault="008D038A" w:rsidP="0068597D">
                  <w:pPr>
                    <w:jc w:val="center"/>
                    <w:rPr>
                      <w:sz w:val="14"/>
                      <w:szCs w:val="14"/>
                    </w:rPr>
                  </w:pPr>
                  <w:r w:rsidRPr="00340DA7">
                    <w:rPr>
                      <w:sz w:val="14"/>
                      <w:szCs w:val="14"/>
                    </w:rPr>
                    <w:t xml:space="preserve">Bērni 0 - 1 gadiem </w:t>
                  </w:r>
                </w:p>
              </w:tc>
              <w:tc>
                <w:tcPr>
                  <w:tcW w:w="686" w:type="dxa"/>
                  <w:tcBorders>
                    <w:top w:val="nil"/>
                    <w:left w:val="nil"/>
                    <w:bottom w:val="single" w:sz="4" w:space="0" w:color="auto"/>
                    <w:right w:val="single" w:sz="4" w:space="0" w:color="auto"/>
                  </w:tcBorders>
                  <w:shd w:val="clear" w:color="auto" w:fill="auto"/>
                  <w:vAlign w:val="center"/>
                  <w:hideMark/>
                </w:tcPr>
                <w:p w14:paraId="5D0B1E2F" w14:textId="77777777" w:rsidR="008D038A" w:rsidRPr="00340DA7" w:rsidRDefault="008D038A" w:rsidP="0068597D">
                  <w:pPr>
                    <w:jc w:val="center"/>
                    <w:rPr>
                      <w:sz w:val="14"/>
                      <w:szCs w:val="14"/>
                    </w:rPr>
                  </w:pPr>
                  <w:r w:rsidRPr="00340DA7">
                    <w:rPr>
                      <w:sz w:val="14"/>
                      <w:szCs w:val="14"/>
                    </w:rPr>
                    <w:t xml:space="preserve">Bērni 1 -2 gadiem </w:t>
                  </w:r>
                </w:p>
              </w:tc>
            </w:tr>
            <w:tr w:rsidR="008D038A" w14:paraId="3B46C5FF" w14:textId="77777777" w:rsidTr="008D038A">
              <w:trPr>
                <w:trHeight w:val="34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C11E6C5" w14:textId="77777777" w:rsidR="008D038A" w:rsidRPr="000C1BAC" w:rsidRDefault="008D038A" w:rsidP="0068597D">
                  <w:pPr>
                    <w:jc w:val="center"/>
                    <w:rPr>
                      <w:bCs/>
                      <w:color w:val="000000"/>
                      <w:sz w:val="14"/>
                      <w:szCs w:val="14"/>
                    </w:rPr>
                  </w:pPr>
                  <w:r w:rsidRPr="000C1BAC">
                    <w:rPr>
                      <w:bCs/>
                      <w:color w:val="000000"/>
                      <w:sz w:val="14"/>
                      <w:szCs w:val="14"/>
                    </w:rPr>
                    <w:t>2019</w:t>
                  </w:r>
                </w:p>
              </w:tc>
              <w:tc>
                <w:tcPr>
                  <w:tcW w:w="919" w:type="dxa"/>
                  <w:tcBorders>
                    <w:top w:val="nil"/>
                    <w:left w:val="nil"/>
                    <w:bottom w:val="single" w:sz="4" w:space="0" w:color="auto"/>
                    <w:right w:val="single" w:sz="4" w:space="0" w:color="auto"/>
                  </w:tcBorders>
                  <w:shd w:val="clear" w:color="auto" w:fill="auto"/>
                  <w:noWrap/>
                  <w:vAlign w:val="center"/>
                  <w:hideMark/>
                </w:tcPr>
                <w:p w14:paraId="25CEC685" w14:textId="77777777" w:rsidR="008D038A" w:rsidRPr="00340DA7" w:rsidRDefault="008D038A" w:rsidP="0068597D">
                  <w:pPr>
                    <w:jc w:val="center"/>
                    <w:rPr>
                      <w:color w:val="000000"/>
                      <w:sz w:val="14"/>
                      <w:szCs w:val="14"/>
                    </w:rPr>
                  </w:pPr>
                  <w:r w:rsidRPr="00340DA7">
                    <w:rPr>
                      <w:color w:val="000000"/>
                      <w:sz w:val="14"/>
                      <w:szCs w:val="14"/>
                    </w:rPr>
                    <w:t>20 760</w:t>
                  </w:r>
                </w:p>
              </w:tc>
              <w:tc>
                <w:tcPr>
                  <w:tcW w:w="839" w:type="dxa"/>
                  <w:tcBorders>
                    <w:top w:val="nil"/>
                    <w:left w:val="nil"/>
                    <w:bottom w:val="single" w:sz="4" w:space="0" w:color="auto"/>
                    <w:right w:val="single" w:sz="4" w:space="0" w:color="auto"/>
                  </w:tcBorders>
                  <w:shd w:val="clear" w:color="auto" w:fill="auto"/>
                  <w:noWrap/>
                  <w:vAlign w:val="center"/>
                  <w:hideMark/>
                </w:tcPr>
                <w:p w14:paraId="08A2A394" w14:textId="77777777" w:rsidR="008D038A" w:rsidRPr="00340DA7" w:rsidRDefault="008D038A" w:rsidP="0068597D">
                  <w:pPr>
                    <w:jc w:val="center"/>
                    <w:rPr>
                      <w:color w:val="000000"/>
                      <w:sz w:val="14"/>
                      <w:szCs w:val="14"/>
                    </w:rPr>
                  </w:pPr>
                  <w:r w:rsidRPr="00340DA7">
                    <w:rPr>
                      <w:color w:val="000000"/>
                      <w:sz w:val="14"/>
                      <w:szCs w:val="14"/>
                    </w:rPr>
                    <w:t>20 760</w:t>
                  </w:r>
                </w:p>
              </w:tc>
              <w:tc>
                <w:tcPr>
                  <w:tcW w:w="686" w:type="dxa"/>
                  <w:tcBorders>
                    <w:top w:val="nil"/>
                    <w:left w:val="nil"/>
                    <w:bottom w:val="single" w:sz="4" w:space="0" w:color="auto"/>
                    <w:right w:val="single" w:sz="4" w:space="0" w:color="auto"/>
                  </w:tcBorders>
                  <w:shd w:val="clear" w:color="auto" w:fill="auto"/>
                  <w:noWrap/>
                  <w:vAlign w:val="center"/>
                  <w:hideMark/>
                </w:tcPr>
                <w:p w14:paraId="626A0E46" w14:textId="77777777" w:rsidR="008D038A" w:rsidRPr="00340DA7" w:rsidRDefault="008D038A" w:rsidP="0068597D">
                  <w:pPr>
                    <w:jc w:val="center"/>
                    <w:rPr>
                      <w:sz w:val="14"/>
                      <w:szCs w:val="14"/>
                    </w:rPr>
                  </w:pPr>
                  <w:r w:rsidRPr="00340DA7">
                    <w:rPr>
                      <w:sz w:val="14"/>
                      <w:szCs w:val="14"/>
                    </w:rPr>
                    <w:t>21 294</w:t>
                  </w:r>
                </w:p>
              </w:tc>
            </w:tr>
            <w:tr w:rsidR="008D038A" w14:paraId="69A4D661" w14:textId="77777777" w:rsidTr="008D038A">
              <w:trPr>
                <w:trHeight w:val="2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526A79F" w14:textId="77777777" w:rsidR="008D038A" w:rsidRPr="000C1BAC" w:rsidRDefault="008D038A" w:rsidP="0068597D">
                  <w:pPr>
                    <w:jc w:val="center"/>
                    <w:rPr>
                      <w:bCs/>
                      <w:color w:val="000000"/>
                      <w:sz w:val="14"/>
                      <w:szCs w:val="14"/>
                    </w:rPr>
                  </w:pPr>
                  <w:r w:rsidRPr="000C1BAC">
                    <w:rPr>
                      <w:bCs/>
                      <w:color w:val="000000"/>
                      <w:sz w:val="14"/>
                      <w:szCs w:val="14"/>
                    </w:rPr>
                    <w:t>2020</w:t>
                  </w:r>
                </w:p>
              </w:tc>
              <w:tc>
                <w:tcPr>
                  <w:tcW w:w="919" w:type="dxa"/>
                  <w:tcBorders>
                    <w:top w:val="nil"/>
                    <w:left w:val="nil"/>
                    <w:bottom w:val="single" w:sz="4" w:space="0" w:color="auto"/>
                    <w:right w:val="single" w:sz="4" w:space="0" w:color="auto"/>
                  </w:tcBorders>
                  <w:shd w:val="clear" w:color="auto" w:fill="auto"/>
                  <w:noWrap/>
                  <w:vAlign w:val="center"/>
                  <w:hideMark/>
                </w:tcPr>
                <w:p w14:paraId="56F94C63" w14:textId="77777777" w:rsidR="008D038A" w:rsidRPr="00340DA7" w:rsidRDefault="008D038A" w:rsidP="0068597D">
                  <w:pPr>
                    <w:jc w:val="center"/>
                    <w:rPr>
                      <w:color w:val="000000"/>
                      <w:sz w:val="14"/>
                      <w:szCs w:val="14"/>
                    </w:rPr>
                  </w:pPr>
                  <w:r w:rsidRPr="00340DA7">
                    <w:rPr>
                      <w:color w:val="000000"/>
                      <w:sz w:val="14"/>
                      <w:szCs w:val="14"/>
                    </w:rPr>
                    <w:t>20 118</w:t>
                  </w:r>
                </w:p>
              </w:tc>
              <w:tc>
                <w:tcPr>
                  <w:tcW w:w="839" w:type="dxa"/>
                  <w:tcBorders>
                    <w:top w:val="nil"/>
                    <w:left w:val="nil"/>
                    <w:bottom w:val="single" w:sz="4" w:space="0" w:color="auto"/>
                    <w:right w:val="single" w:sz="4" w:space="0" w:color="auto"/>
                  </w:tcBorders>
                  <w:shd w:val="clear" w:color="auto" w:fill="auto"/>
                  <w:noWrap/>
                  <w:vAlign w:val="center"/>
                  <w:hideMark/>
                </w:tcPr>
                <w:p w14:paraId="34F452B3" w14:textId="77777777" w:rsidR="008D038A" w:rsidRPr="00340DA7" w:rsidRDefault="008D038A" w:rsidP="0068597D">
                  <w:pPr>
                    <w:jc w:val="center"/>
                    <w:rPr>
                      <w:color w:val="000000"/>
                      <w:sz w:val="14"/>
                      <w:szCs w:val="14"/>
                    </w:rPr>
                  </w:pPr>
                  <w:r w:rsidRPr="00340DA7">
                    <w:rPr>
                      <w:color w:val="000000"/>
                      <w:sz w:val="14"/>
                      <w:szCs w:val="14"/>
                    </w:rPr>
                    <w:t>20 118</w:t>
                  </w:r>
                </w:p>
              </w:tc>
              <w:tc>
                <w:tcPr>
                  <w:tcW w:w="686" w:type="dxa"/>
                  <w:tcBorders>
                    <w:top w:val="nil"/>
                    <w:left w:val="nil"/>
                    <w:bottom w:val="single" w:sz="4" w:space="0" w:color="auto"/>
                    <w:right w:val="single" w:sz="4" w:space="0" w:color="auto"/>
                  </w:tcBorders>
                  <w:shd w:val="clear" w:color="auto" w:fill="auto"/>
                  <w:noWrap/>
                  <w:vAlign w:val="center"/>
                  <w:hideMark/>
                </w:tcPr>
                <w:p w14:paraId="1C15639D" w14:textId="77777777" w:rsidR="008D038A" w:rsidRPr="00340DA7" w:rsidRDefault="008D038A" w:rsidP="0068597D">
                  <w:pPr>
                    <w:jc w:val="center"/>
                    <w:rPr>
                      <w:sz w:val="14"/>
                      <w:szCs w:val="14"/>
                    </w:rPr>
                  </w:pPr>
                  <w:r w:rsidRPr="00340DA7">
                    <w:rPr>
                      <w:sz w:val="14"/>
                      <w:szCs w:val="14"/>
                    </w:rPr>
                    <w:t>20 760</w:t>
                  </w:r>
                </w:p>
              </w:tc>
            </w:tr>
            <w:tr w:rsidR="008D038A" w14:paraId="2E4C8EC6" w14:textId="77777777" w:rsidTr="008D038A">
              <w:trPr>
                <w:trHeight w:val="14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3C12412" w14:textId="77777777" w:rsidR="008D038A" w:rsidRPr="000C1BAC" w:rsidRDefault="008D038A" w:rsidP="0068597D">
                  <w:pPr>
                    <w:jc w:val="center"/>
                    <w:rPr>
                      <w:bCs/>
                      <w:color w:val="000000"/>
                      <w:sz w:val="14"/>
                      <w:szCs w:val="14"/>
                    </w:rPr>
                  </w:pPr>
                  <w:r w:rsidRPr="000C1BAC">
                    <w:rPr>
                      <w:bCs/>
                      <w:color w:val="000000"/>
                      <w:sz w:val="14"/>
                      <w:szCs w:val="14"/>
                    </w:rPr>
                    <w:t>2021</w:t>
                  </w:r>
                </w:p>
              </w:tc>
              <w:tc>
                <w:tcPr>
                  <w:tcW w:w="919" w:type="dxa"/>
                  <w:tcBorders>
                    <w:top w:val="nil"/>
                    <w:left w:val="nil"/>
                    <w:bottom w:val="single" w:sz="4" w:space="0" w:color="auto"/>
                    <w:right w:val="single" w:sz="4" w:space="0" w:color="auto"/>
                  </w:tcBorders>
                  <w:shd w:val="clear" w:color="auto" w:fill="auto"/>
                  <w:noWrap/>
                  <w:vAlign w:val="center"/>
                  <w:hideMark/>
                </w:tcPr>
                <w:p w14:paraId="5391C8C3" w14:textId="77777777" w:rsidR="008D038A" w:rsidRPr="00340DA7" w:rsidRDefault="008D038A" w:rsidP="0068597D">
                  <w:pPr>
                    <w:jc w:val="center"/>
                    <w:rPr>
                      <w:color w:val="000000"/>
                      <w:sz w:val="14"/>
                      <w:szCs w:val="14"/>
                    </w:rPr>
                  </w:pPr>
                  <w:r w:rsidRPr="00340DA7">
                    <w:rPr>
                      <w:color w:val="000000"/>
                      <w:sz w:val="14"/>
                      <w:szCs w:val="14"/>
                    </w:rPr>
                    <w:t>19 400</w:t>
                  </w:r>
                </w:p>
              </w:tc>
              <w:tc>
                <w:tcPr>
                  <w:tcW w:w="839" w:type="dxa"/>
                  <w:tcBorders>
                    <w:top w:val="nil"/>
                    <w:left w:val="nil"/>
                    <w:bottom w:val="single" w:sz="4" w:space="0" w:color="auto"/>
                    <w:right w:val="single" w:sz="4" w:space="0" w:color="auto"/>
                  </w:tcBorders>
                  <w:shd w:val="clear" w:color="auto" w:fill="auto"/>
                  <w:noWrap/>
                  <w:vAlign w:val="center"/>
                  <w:hideMark/>
                </w:tcPr>
                <w:p w14:paraId="1ACFD55B" w14:textId="77777777" w:rsidR="008D038A" w:rsidRPr="00340DA7" w:rsidRDefault="008D038A" w:rsidP="0068597D">
                  <w:pPr>
                    <w:jc w:val="center"/>
                    <w:rPr>
                      <w:color w:val="000000"/>
                      <w:sz w:val="14"/>
                      <w:szCs w:val="14"/>
                    </w:rPr>
                  </w:pPr>
                  <w:r w:rsidRPr="00340DA7">
                    <w:rPr>
                      <w:color w:val="000000"/>
                      <w:sz w:val="14"/>
                      <w:szCs w:val="14"/>
                    </w:rPr>
                    <w:t>19 400</w:t>
                  </w:r>
                </w:p>
              </w:tc>
              <w:tc>
                <w:tcPr>
                  <w:tcW w:w="686" w:type="dxa"/>
                  <w:tcBorders>
                    <w:top w:val="nil"/>
                    <w:left w:val="nil"/>
                    <w:bottom w:val="single" w:sz="4" w:space="0" w:color="auto"/>
                    <w:right w:val="single" w:sz="4" w:space="0" w:color="auto"/>
                  </w:tcBorders>
                  <w:shd w:val="clear" w:color="auto" w:fill="auto"/>
                  <w:noWrap/>
                  <w:vAlign w:val="center"/>
                  <w:hideMark/>
                </w:tcPr>
                <w:p w14:paraId="3238C8D8" w14:textId="77777777" w:rsidR="008D038A" w:rsidRPr="00340DA7" w:rsidRDefault="008D038A" w:rsidP="0068597D">
                  <w:pPr>
                    <w:jc w:val="center"/>
                    <w:rPr>
                      <w:sz w:val="14"/>
                      <w:szCs w:val="14"/>
                    </w:rPr>
                  </w:pPr>
                  <w:r w:rsidRPr="00340DA7">
                    <w:rPr>
                      <w:sz w:val="14"/>
                      <w:szCs w:val="14"/>
                    </w:rPr>
                    <w:t>20</w:t>
                  </w:r>
                  <w:r>
                    <w:rPr>
                      <w:sz w:val="14"/>
                      <w:szCs w:val="14"/>
                    </w:rPr>
                    <w:t> </w:t>
                  </w:r>
                  <w:r w:rsidRPr="00340DA7">
                    <w:rPr>
                      <w:sz w:val="14"/>
                      <w:szCs w:val="14"/>
                    </w:rPr>
                    <w:t>118</w:t>
                  </w:r>
                </w:p>
              </w:tc>
            </w:tr>
          </w:tbl>
          <w:p w14:paraId="11CC20AE" w14:textId="296C99DE" w:rsidR="002C119B" w:rsidRDefault="008D038A" w:rsidP="0068597D">
            <w:pPr>
              <w:pStyle w:val="tvhtml"/>
              <w:spacing w:before="0" w:beforeAutospacing="0" w:after="0" w:afterAutospacing="0"/>
              <w:jc w:val="both"/>
              <w:rPr>
                <w:i/>
                <w:iCs/>
                <w:lang w:val="lv-LV"/>
              </w:rPr>
            </w:pPr>
            <w:r w:rsidRPr="00117610">
              <w:rPr>
                <w:i/>
                <w:iCs/>
                <w:lang w:val="lv-LV"/>
              </w:rPr>
              <w:t>*2019.-2021. gada aprēķiniem tiek izmantots SPKC prognozētais dzemdību skaits norādītajā gadā.</w:t>
            </w:r>
          </w:p>
          <w:p w14:paraId="4657A819" w14:textId="61B6CD59" w:rsidR="00934CA0" w:rsidRDefault="00934CA0" w:rsidP="0068597D">
            <w:pPr>
              <w:pStyle w:val="tvhtml"/>
              <w:spacing w:before="0" w:beforeAutospacing="0" w:after="0" w:afterAutospacing="0"/>
              <w:jc w:val="both"/>
              <w:rPr>
                <w:i/>
                <w:iCs/>
                <w:lang w:val="lv-LV"/>
              </w:rPr>
            </w:pPr>
          </w:p>
          <w:p w14:paraId="3CF0ACC5" w14:textId="77777777" w:rsidR="00934CA0" w:rsidRPr="00934CA0" w:rsidRDefault="00934CA0" w:rsidP="0068597D">
            <w:pPr>
              <w:pStyle w:val="tvhtml"/>
              <w:spacing w:before="0" w:beforeAutospacing="0" w:after="0" w:afterAutospacing="0"/>
              <w:jc w:val="both"/>
              <w:rPr>
                <w:iCs/>
                <w:lang w:val="lv-LV"/>
              </w:rPr>
            </w:pPr>
          </w:p>
          <w:p w14:paraId="31A7E3A4" w14:textId="46A8FC95" w:rsidR="00934CA0" w:rsidRPr="00117610" w:rsidRDefault="00934CA0" w:rsidP="0068597D">
            <w:pPr>
              <w:pStyle w:val="tvhtml"/>
              <w:spacing w:before="0" w:beforeAutospacing="0" w:after="0" w:afterAutospacing="0"/>
              <w:jc w:val="both"/>
              <w:rPr>
                <w:lang w:val="lv-LV"/>
              </w:rPr>
            </w:pPr>
            <w:r>
              <w:rPr>
                <w:b/>
                <w:i/>
                <w:lang w:val="lv-LV"/>
              </w:rPr>
              <w:lastRenderedPageBreak/>
              <w:t>Ietekme 2020</w:t>
            </w:r>
            <w:r w:rsidRPr="003749F1">
              <w:rPr>
                <w:b/>
                <w:i/>
                <w:lang w:val="lv-LV"/>
              </w:rPr>
              <w:t>.</w:t>
            </w:r>
            <w:r w:rsidR="003773E4">
              <w:rPr>
                <w:b/>
                <w:i/>
                <w:lang w:val="lv-LV"/>
              </w:rPr>
              <w:t> </w:t>
            </w:r>
            <w:r w:rsidRPr="003749F1">
              <w:rPr>
                <w:b/>
                <w:i/>
                <w:lang w:val="lv-LV"/>
              </w:rPr>
              <w:t>gadam</w:t>
            </w:r>
          </w:p>
          <w:p w14:paraId="77FC338B" w14:textId="5BEEB6AB" w:rsidR="002C119B" w:rsidRPr="00677B08" w:rsidRDefault="002C119B" w:rsidP="0068597D">
            <w:pPr>
              <w:pStyle w:val="tvhtml"/>
              <w:spacing w:before="0" w:beforeAutospacing="0" w:after="0" w:afterAutospacing="0" w:line="293" w:lineRule="atLeast"/>
              <w:jc w:val="both"/>
              <w:rPr>
                <w:u w:val="single"/>
                <w:lang w:val="lv-LV"/>
              </w:rPr>
            </w:pPr>
            <w:r w:rsidRPr="00677B08">
              <w:rPr>
                <w:u w:val="single"/>
                <w:lang w:val="lv-LV"/>
              </w:rPr>
              <w:t>2020.</w:t>
            </w:r>
            <w:r w:rsidR="003773E4">
              <w:rPr>
                <w:u w:val="single"/>
                <w:lang w:val="lv-LV"/>
              </w:rPr>
              <w:t> </w:t>
            </w:r>
            <w:r w:rsidRPr="00677B08">
              <w:rPr>
                <w:u w:val="single"/>
                <w:lang w:val="lv-LV"/>
              </w:rPr>
              <w:t xml:space="preserve">gadā papildus nepieciešamais finansējums </w:t>
            </w:r>
            <w:r w:rsidR="006F5844">
              <w:rPr>
                <w:b/>
                <w:u w:val="single"/>
                <w:lang w:val="lv-LV"/>
              </w:rPr>
              <w:t>365 612</w:t>
            </w:r>
            <w:r w:rsidRPr="00677B08">
              <w:rPr>
                <w:b/>
                <w:u w:val="single"/>
                <w:lang w:val="lv-LV"/>
              </w:rPr>
              <w:t xml:space="preserve"> </w:t>
            </w:r>
            <w:proofErr w:type="spellStart"/>
            <w:r w:rsidRPr="00677B08">
              <w:rPr>
                <w:b/>
                <w:i/>
                <w:u w:val="single"/>
                <w:lang w:val="lv-LV"/>
              </w:rPr>
              <w:t>euro</w:t>
            </w:r>
            <w:proofErr w:type="spellEnd"/>
            <w:r w:rsidRPr="00677B08">
              <w:rPr>
                <w:u w:val="single"/>
                <w:lang w:val="lv-LV"/>
              </w:rPr>
              <w:t>.</w:t>
            </w:r>
          </w:p>
          <w:p w14:paraId="215266A4" w14:textId="77777777" w:rsidR="002C119B" w:rsidRDefault="002C119B" w:rsidP="0068597D">
            <w:pPr>
              <w:pStyle w:val="tvhtml"/>
              <w:spacing w:before="0" w:beforeAutospacing="0" w:after="0" w:afterAutospacing="0" w:line="293" w:lineRule="atLeast"/>
              <w:jc w:val="both"/>
              <w:rPr>
                <w:lang w:val="lv-LV"/>
              </w:rPr>
            </w:pPr>
          </w:p>
          <w:p w14:paraId="713860E4" w14:textId="496FEFF0" w:rsidR="002C119B" w:rsidRDefault="002C119B" w:rsidP="0068597D">
            <w:pPr>
              <w:pStyle w:val="tvhtml"/>
              <w:spacing w:before="0" w:beforeAutospacing="0" w:after="0" w:afterAutospacing="0"/>
              <w:jc w:val="both"/>
              <w:rPr>
                <w:lang w:val="lv-LV"/>
              </w:rPr>
            </w:pPr>
            <w:r>
              <w:rPr>
                <w:lang w:val="lv-LV"/>
              </w:rPr>
              <w:t>Izmaiņas salīdzinājumā ar ietekmi 2019.</w:t>
            </w:r>
            <w:r w:rsidR="007867F5">
              <w:rPr>
                <w:lang w:val="lv-LV"/>
              </w:rPr>
              <w:t> </w:t>
            </w:r>
            <w:r>
              <w:rPr>
                <w:lang w:val="lv-LV"/>
              </w:rPr>
              <w:t xml:space="preserve">gadam ir pie pasākuma </w:t>
            </w:r>
            <w:r w:rsidR="007867F5">
              <w:rPr>
                <w:lang w:val="lv-LV"/>
              </w:rPr>
              <w:t>–</w:t>
            </w:r>
            <w:r>
              <w:rPr>
                <w:lang w:val="lv-LV"/>
              </w:rPr>
              <w:t xml:space="preserve"> </w:t>
            </w:r>
            <w:r w:rsidRPr="0065350C">
              <w:rPr>
                <w:lang w:val="lv-LV"/>
              </w:rPr>
              <w:t>nodrošināt grūtnieču un bērnu līdz 2 gadu vecumam vakcināciju pret gripu, radot</w:t>
            </w:r>
            <w:r>
              <w:rPr>
                <w:lang w:val="lv-LV"/>
              </w:rPr>
              <w:t xml:space="preserve"> ietekmi </w:t>
            </w:r>
            <w:r w:rsidRPr="00F07A3E">
              <w:rPr>
                <w:b/>
                <w:lang w:val="lv-LV"/>
              </w:rPr>
              <w:t xml:space="preserve">189 847 </w:t>
            </w:r>
            <w:proofErr w:type="spellStart"/>
            <w:r w:rsidRPr="00F07A3E">
              <w:rPr>
                <w:b/>
                <w:i/>
                <w:lang w:val="lv-LV"/>
              </w:rPr>
              <w:t>euro</w:t>
            </w:r>
            <w:proofErr w:type="spellEnd"/>
            <w:r>
              <w:rPr>
                <w:lang w:val="lv-LV"/>
              </w:rPr>
              <w:t xml:space="preserve"> apmērā, skat., tabulu Nr.</w:t>
            </w:r>
            <w:r w:rsidR="002C3893">
              <w:rPr>
                <w:lang w:val="lv-LV"/>
              </w:rPr>
              <w:t> </w:t>
            </w:r>
            <w:r>
              <w:rPr>
                <w:lang w:val="lv-LV"/>
              </w:rPr>
              <w:t xml:space="preserve">1. </w:t>
            </w:r>
            <w:r w:rsidRPr="00F07A3E">
              <w:rPr>
                <w:lang w:val="lv-LV"/>
              </w:rPr>
              <w:t xml:space="preserve">Iepriekšminēto pasākumu plānots īstenot apakšprogrammā 33.04.00 </w:t>
            </w:r>
            <w:r w:rsidR="002C3893" w:rsidRPr="009B2C59">
              <w:rPr>
                <w:bCs/>
              </w:rPr>
              <w:t>"</w:t>
            </w:r>
            <w:r w:rsidRPr="00F07A3E">
              <w:rPr>
                <w:lang w:val="lv-LV"/>
              </w:rPr>
              <w:t>Centralizēta medikamentu un materiālu iegāde</w:t>
            </w:r>
            <w:r w:rsidR="002C3893" w:rsidRPr="009B2C59">
              <w:rPr>
                <w:bCs/>
              </w:rPr>
              <w:t>"</w:t>
            </w:r>
            <w:r w:rsidRPr="00F07A3E">
              <w:rPr>
                <w:lang w:val="lv-LV"/>
              </w:rPr>
              <w:t>.</w:t>
            </w:r>
          </w:p>
          <w:p w14:paraId="1AE9F754" w14:textId="57425C6E" w:rsidR="002C119B" w:rsidRDefault="002C119B" w:rsidP="0068597D">
            <w:pPr>
              <w:pStyle w:val="tvhtml"/>
              <w:spacing w:before="0" w:beforeAutospacing="0" w:after="0" w:afterAutospacing="0"/>
              <w:jc w:val="both"/>
              <w:rPr>
                <w:lang w:val="lv-LV"/>
              </w:rPr>
            </w:pPr>
          </w:p>
          <w:p w14:paraId="1CC20598" w14:textId="68A6F899" w:rsidR="002C119B" w:rsidRDefault="002C119B" w:rsidP="0068597D">
            <w:pPr>
              <w:pStyle w:val="tvhtml"/>
              <w:spacing w:before="0" w:beforeAutospacing="0" w:after="0" w:afterAutospacing="0"/>
              <w:jc w:val="both"/>
              <w:rPr>
                <w:lang w:val="lv-LV"/>
              </w:rPr>
            </w:pPr>
            <w:r>
              <w:rPr>
                <w:lang w:val="lv-LV"/>
              </w:rPr>
              <w:t xml:space="preserve">Noteikumu projekts </w:t>
            </w:r>
            <w:r w:rsidRPr="00F07A3E">
              <w:rPr>
                <w:lang w:val="lv-LV"/>
              </w:rPr>
              <w:t xml:space="preserve">paredz </w:t>
            </w:r>
            <w:r w:rsidR="00256BA5">
              <w:rPr>
                <w:lang w:val="lv-LV"/>
              </w:rPr>
              <w:t xml:space="preserve">arī </w:t>
            </w:r>
            <w:r w:rsidRPr="00F07A3E">
              <w:rPr>
                <w:lang w:val="lv-LV"/>
              </w:rPr>
              <w:t xml:space="preserve">uzsākt vakcināciju pret garo klepu 14 gadus veciem bērniem, radot ietekmi </w:t>
            </w:r>
            <w:r w:rsidRPr="00F07A3E">
              <w:rPr>
                <w:b/>
                <w:lang w:val="lv-LV"/>
              </w:rPr>
              <w:t xml:space="preserve">175 765 </w:t>
            </w:r>
            <w:proofErr w:type="spellStart"/>
            <w:r w:rsidRPr="00F07A3E">
              <w:rPr>
                <w:b/>
                <w:i/>
                <w:lang w:val="lv-LV"/>
              </w:rPr>
              <w:t>euro</w:t>
            </w:r>
            <w:proofErr w:type="spellEnd"/>
            <w:r w:rsidRPr="00F07A3E">
              <w:rPr>
                <w:lang w:val="lv-LV"/>
              </w:rPr>
              <w:t xml:space="preserve"> apmērā, skat.</w:t>
            </w:r>
            <w:r>
              <w:rPr>
                <w:lang w:val="lv-LV"/>
              </w:rPr>
              <w:t>,</w:t>
            </w:r>
            <w:r w:rsidRPr="00F07A3E">
              <w:rPr>
                <w:lang w:val="lv-LV"/>
              </w:rPr>
              <w:t xml:space="preserve"> tabulu Nr.</w:t>
            </w:r>
            <w:r w:rsidR="00FE3347">
              <w:rPr>
                <w:lang w:val="lv-LV"/>
              </w:rPr>
              <w:t> </w:t>
            </w:r>
            <w:r w:rsidRPr="00F07A3E">
              <w:rPr>
                <w:lang w:val="lv-LV"/>
              </w:rPr>
              <w:t>3.</w:t>
            </w:r>
            <w:r w:rsidRPr="00A16737">
              <w:rPr>
                <w:rStyle w:val="Emphasis"/>
                <w:i w:val="0"/>
                <w:iCs w:val="0"/>
                <w:lang w:val="lv-LV"/>
              </w:rPr>
              <w:t xml:space="preserve"> Atbilstoši Imunizācijas valsts padomes 2017. gada 17. maijā pieņemtajam lēmumam paredzēts atteikties no sestās poliomielīta vakcīnas devas, aizstājot to ar sesto garā klepus vakcīnas devu.</w:t>
            </w:r>
            <w:r>
              <w:rPr>
                <w:lang w:val="lv-LV"/>
              </w:rPr>
              <w:t xml:space="preserve"> </w:t>
            </w:r>
            <w:r w:rsidRPr="00F07A3E">
              <w:rPr>
                <w:lang w:val="lv-LV"/>
              </w:rPr>
              <w:t xml:space="preserve">Iepriekšminēto pasākumu plānots īstenot apakšprogrammā 33.04.00 </w:t>
            </w:r>
            <w:r w:rsidR="00FE3347" w:rsidRPr="009B2C59">
              <w:rPr>
                <w:bCs/>
              </w:rPr>
              <w:t>"</w:t>
            </w:r>
            <w:r w:rsidRPr="00F07A3E">
              <w:rPr>
                <w:lang w:val="lv-LV"/>
              </w:rPr>
              <w:t>Centralizēta medikamentu un materiālu iegāde</w:t>
            </w:r>
            <w:r w:rsidR="00FE3347" w:rsidRPr="009B2C59">
              <w:rPr>
                <w:bCs/>
              </w:rPr>
              <w:t>"</w:t>
            </w:r>
            <w:r w:rsidRPr="00F07A3E">
              <w:rPr>
                <w:lang w:val="lv-LV"/>
              </w:rPr>
              <w:t>.</w:t>
            </w:r>
          </w:p>
          <w:p w14:paraId="5A5D54E9" w14:textId="689C046F" w:rsidR="002C119B" w:rsidRPr="000B0A65" w:rsidRDefault="002C119B" w:rsidP="0068597D">
            <w:pPr>
              <w:pStyle w:val="tvhtml"/>
              <w:spacing w:before="0" w:beforeAutospacing="0" w:after="0" w:afterAutospacing="0" w:line="293" w:lineRule="atLeast"/>
              <w:jc w:val="right"/>
              <w:rPr>
                <w:i/>
                <w:lang w:val="lv-LV"/>
              </w:rPr>
            </w:pPr>
            <w:r w:rsidRPr="000B0A65">
              <w:rPr>
                <w:i/>
                <w:lang w:val="lv-LV"/>
              </w:rPr>
              <w:t>Tabula Nr.</w:t>
            </w:r>
            <w:r w:rsidR="00FE3347">
              <w:rPr>
                <w:i/>
                <w:lang w:val="lv-LV"/>
              </w:rPr>
              <w:t> </w:t>
            </w:r>
            <w:r w:rsidRPr="000B0A65">
              <w:rPr>
                <w:i/>
                <w:lang w:val="lv-LV"/>
              </w:rPr>
              <w:t>3</w:t>
            </w:r>
          </w:p>
          <w:tbl>
            <w:tblPr>
              <w:tblW w:w="7821" w:type="dxa"/>
              <w:tblLayout w:type="fixed"/>
              <w:tblLook w:val="04A0" w:firstRow="1" w:lastRow="0" w:firstColumn="1" w:lastColumn="0" w:noHBand="0" w:noVBand="1"/>
            </w:tblPr>
            <w:tblGrid>
              <w:gridCol w:w="605"/>
              <w:gridCol w:w="1121"/>
              <w:gridCol w:w="1275"/>
              <w:gridCol w:w="6"/>
              <w:gridCol w:w="1965"/>
              <w:gridCol w:w="6"/>
              <w:gridCol w:w="986"/>
              <w:gridCol w:w="6"/>
              <w:gridCol w:w="986"/>
              <w:gridCol w:w="6"/>
              <w:gridCol w:w="859"/>
            </w:tblGrid>
            <w:tr w:rsidR="002C119B" w:rsidRPr="00250502" w14:paraId="0122D058" w14:textId="77777777" w:rsidTr="0068597D">
              <w:trPr>
                <w:trHeight w:val="739"/>
              </w:trPr>
              <w:tc>
                <w:tcPr>
                  <w:tcW w:w="6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8F4D6E" w14:textId="77777777" w:rsidR="002C119B" w:rsidRPr="00A16737" w:rsidRDefault="002C119B" w:rsidP="0068597D">
                  <w:pPr>
                    <w:ind w:left="-211" w:firstLine="141"/>
                    <w:jc w:val="center"/>
                    <w:rPr>
                      <w:bCs/>
                      <w:sz w:val="16"/>
                      <w:szCs w:val="16"/>
                    </w:rPr>
                  </w:pPr>
                  <w:r w:rsidRPr="00A16737">
                    <w:rPr>
                      <w:bCs/>
                      <w:sz w:val="16"/>
                      <w:szCs w:val="16"/>
                    </w:rPr>
                    <w:t>Gads</w:t>
                  </w:r>
                </w:p>
              </w:tc>
              <w:tc>
                <w:tcPr>
                  <w:tcW w:w="112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199A4630" w14:textId="77777777" w:rsidR="002C119B" w:rsidRPr="00A16737" w:rsidRDefault="002C119B" w:rsidP="0068597D">
                  <w:pPr>
                    <w:jc w:val="center"/>
                    <w:rPr>
                      <w:bCs/>
                      <w:sz w:val="16"/>
                      <w:szCs w:val="16"/>
                    </w:rPr>
                  </w:pPr>
                  <w:r w:rsidRPr="00A16737">
                    <w:rPr>
                      <w:bCs/>
                      <w:sz w:val="16"/>
                      <w:szCs w:val="16"/>
                    </w:rPr>
                    <w:t>Vakcīna</w:t>
                  </w:r>
                </w:p>
              </w:tc>
              <w:tc>
                <w:tcPr>
                  <w:tcW w:w="12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4E834F04" w14:textId="77777777" w:rsidR="002C119B" w:rsidRPr="00A16737" w:rsidRDefault="002C119B" w:rsidP="0068597D">
                  <w:pPr>
                    <w:jc w:val="center"/>
                    <w:rPr>
                      <w:bCs/>
                      <w:sz w:val="16"/>
                      <w:szCs w:val="16"/>
                    </w:rPr>
                  </w:pPr>
                  <w:r w:rsidRPr="00A16737">
                    <w:rPr>
                      <w:bCs/>
                      <w:sz w:val="16"/>
                      <w:szCs w:val="16"/>
                    </w:rPr>
                    <w:t>Nosaukums</w:t>
                  </w:r>
                </w:p>
              </w:tc>
              <w:tc>
                <w:tcPr>
                  <w:tcW w:w="1971"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1E7B3368" w14:textId="77777777" w:rsidR="002C119B" w:rsidRPr="00A16737" w:rsidRDefault="002C119B" w:rsidP="0068597D">
                  <w:pPr>
                    <w:jc w:val="center"/>
                    <w:rPr>
                      <w:bCs/>
                      <w:sz w:val="16"/>
                      <w:szCs w:val="16"/>
                    </w:rPr>
                  </w:pPr>
                  <w:r w:rsidRPr="00A16737">
                    <w:rPr>
                      <w:bCs/>
                      <w:sz w:val="16"/>
                      <w:szCs w:val="16"/>
                    </w:rPr>
                    <w:t>Piezīmes</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76FE648" w14:textId="77777777" w:rsidR="002C119B" w:rsidRPr="00A16737" w:rsidRDefault="002C119B" w:rsidP="0068597D">
                  <w:pPr>
                    <w:jc w:val="center"/>
                    <w:rPr>
                      <w:bCs/>
                      <w:sz w:val="16"/>
                      <w:szCs w:val="16"/>
                    </w:rPr>
                  </w:pPr>
                  <w:r w:rsidRPr="00A16737">
                    <w:rPr>
                      <w:bCs/>
                      <w:sz w:val="16"/>
                      <w:szCs w:val="16"/>
                    </w:rPr>
                    <w:t xml:space="preserve">Cena ar 12 % PVN, </w:t>
                  </w:r>
                  <w:proofErr w:type="spellStart"/>
                  <w:r w:rsidRPr="00A16737">
                    <w:rPr>
                      <w:bCs/>
                      <w:i/>
                      <w:sz w:val="16"/>
                      <w:szCs w:val="16"/>
                    </w:rPr>
                    <w:t>euro</w:t>
                  </w:r>
                  <w:proofErr w:type="spellEnd"/>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AE25FA1" w14:textId="77777777" w:rsidR="002C119B" w:rsidRPr="00A16737" w:rsidRDefault="002C119B" w:rsidP="0068597D">
                  <w:pPr>
                    <w:jc w:val="center"/>
                    <w:rPr>
                      <w:bCs/>
                      <w:sz w:val="16"/>
                      <w:szCs w:val="16"/>
                    </w:rPr>
                  </w:pPr>
                  <w:r w:rsidRPr="00A16737">
                    <w:rPr>
                      <w:bCs/>
                      <w:sz w:val="16"/>
                      <w:szCs w:val="16"/>
                    </w:rPr>
                    <w:t>Vakcināciju</w:t>
                  </w:r>
                </w:p>
                <w:p w14:paraId="797B668C" w14:textId="77777777" w:rsidR="002C119B" w:rsidRPr="00A16737" w:rsidRDefault="002C119B" w:rsidP="0068597D">
                  <w:pPr>
                    <w:jc w:val="center"/>
                    <w:rPr>
                      <w:bCs/>
                      <w:sz w:val="16"/>
                      <w:szCs w:val="16"/>
                    </w:rPr>
                  </w:pPr>
                  <w:r w:rsidRPr="00A16737">
                    <w:rPr>
                      <w:bCs/>
                      <w:sz w:val="16"/>
                      <w:szCs w:val="16"/>
                    </w:rPr>
                    <w:t>skaits</w:t>
                  </w:r>
                </w:p>
              </w:tc>
              <w:tc>
                <w:tcPr>
                  <w:tcW w:w="865"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E19F882" w14:textId="77777777" w:rsidR="002C119B" w:rsidRPr="00A16737" w:rsidRDefault="002C119B" w:rsidP="0068597D">
                  <w:pPr>
                    <w:jc w:val="center"/>
                    <w:rPr>
                      <w:bCs/>
                      <w:sz w:val="16"/>
                      <w:szCs w:val="16"/>
                    </w:rPr>
                  </w:pPr>
                  <w:r w:rsidRPr="00A16737">
                    <w:rPr>
                      <w:bCs/>
                      <w:sz w:val="16"/>
                      <w:szCs w:val="16"/>
                    </w:rPr>
                    <w:t>Kopā,</w:t>
                  </w:r>
                </w:p>
                <w:p w14:paraId="155F3938" w14:textId="77777777" w:rsidR="002C119B" w:rsidRPr="00A16737" w:rsidRDefault="002C119B" w:rsidP="0068597D">
                  <w:pPr>
                    <w:jc w:val="center"/>
                    <w:rPr>
                      <w:bCs/>
                      <w:i/>
                      <w:sz w:val="16"/>
                      <w:szCs w:val="16"/>
                    </w:rPr>
                  </w:pPr>
                  <w:proofErr w:type="spellStart"/>
                  <w:r w:rsidRPr="00A16737">
                    <w:rPr>
                      <w:bCs/>
                      <w:i/>
                      <w:sz w:val="16"/>
                      <w:szCs w:val="16"/>
                    </w:rPr>
                    <w:t>euro</w:t>
                  </w:r>
                  <w:proofErr w:type="spellEnd"/>
                </w:p>
              </w:tc>
            </w:tr>
            <w:tr w:rsidR="002C119B" w:rsidRPr="00950738" w14:paraId="22099EAF" w14:textId="77777777" w:rsidTr="0068597D">
              <w:trPr>
                <w:trHeight w:val="57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F9F7FE2" w14:textId="77777777" w:rsidR="002C119B" w:rsidRPr="00950738" w:rsidRDefault="002C119B" w:rsidP="0068597D">
                  <w:pPr>
                    <w:jc w:val="center"/>
                    <w:rPr>
                      <w:sz w:val="16"/>
                      <w:szCs w:val="16"/>
                    </w:rPr>
                  </w:pPr>
                  <w:r w:rsidRPr="00950738">
                    <w:rPr>
                      <w:sz w:val="16"/>
                      <w:szCs w:val="16"/>
                    </w:rPr>
                    <w:t>2020</w:t>
                  </w:r>
                </w:p>
              </w:tc>
              <w:tc>
                <w:tcPr>
                  <w:tcW w:w="1121" w:type="dxa"/>
                  <w:tcBorders>
                    <w:top w:val="nil"/>
                    <w:left w:val="nil"/>
                    <w:bottom w:val="single" w:sz="4" w:space="0" w:color="auto"/>
                    <w:right w:val="single" w:sz="4" w:space="0" w:color="auto"/>
                  </w:tcBorders>
                  <w:shd w:val="clear" w:color="auto" w:fill="auto"/>
                  <w:vAlign w:val="center"/>
                  <w:hideMark/>
                </w:tcPr>
                <w:p w14:paraId="14F9D89F" w14:textId="77777777" w:rsidR="002C119B" w:rsidRPr="00950738" w:rsidRDefault="002C119B" w:rsidP="0068597D">
                  <w:pPr>
                    <w:jc w:val="center"/>
                    <w:rPr>
                      <w:sz w:val="16"/>
                      <w:szCs w:val="16"/>
                    </w:rPr>
                  </w:pPr>
                  <w:r w:rsidRPr="00950738">
                    <w:rPr>
                      <w:sz w:val="16"/>
                      <w:szCs w:val="16"/>
                    </w:rPr>
                    <w:t xml:space="preserve">Difterija, stingumkrampji, </w:t>
                  </w:r>
                  <w:r w:rsidRPr="00950738">
                    <w:rPr>
                      <w:b/>
                      <w:sz w:val="16"/>
                      <w:szCs w:val="16"/>
                    </w:rPr>
                    <w:t xml:space="preserve">garais klepus </w:t>
                  </w:r>
                  <w:r w:rsidRPr="00950738">
                    <w:rPr>
                      <w:sz w:val="16"/>
                      <w:szCs w:val="16"/>
                    </w:rPr>
                    <w:t>(</w:t>
                  </w:r>
                  <w:proofErr w:type="spellStart"/>
                  <w:r w:rsidRPr="00950738">
                    <w:rPr>
                      <w:sz w:val="16"/>
                      <w:szCs w:val="16"/>
                    </w:rPr>
                    <w:t>Tdap</w:t>
                  </w:r>
                  <w:proofErr w:type="spellEnd"/>
                  <w:r w:rsidRPr="00950738">
                    <w:rPr>
                      <w:sz w:val="16"/>
                      <w:szCs w:val="16"/>
                    </w:rPr>
                    <w:t>)</w:t>
                  </w:r>
                </w:p>
              </w:tc>
              <w:tc>
                <w:tcPr>
                  <w:tcW w:w="1275" w:type="dxa"/>
                  <w:tcBorders>
                    <w:top w:val="nil"/>
                    <w:left w:val="nil"/>
                    <w:bottom w:val="single" w:sz="4" w:space="0" w:color="auto"/>
                    <w:right w:val="single" w:sz="4" w:space="0" w:color="auto"/>
                  </w:tcBorders>
                  <w:shd w:val="clear" w:color="auto" w:fill="auto"/>
                  <w:noWrap/>
                  <w:vAlign w:val="center"/>
                  <w:hideMark/>
                </w:tcPr>
                <w:p w14:paraId="4FF810BC" w14:textId="77777777" w:rsidR="002C119B" w:rsidRPr="00950738" w:rsidRDefault="002C119B" w:rsidP="0068597D">
                  <w:pPr>
                    <w:jc w:val="center"/>
                    <w:rPr>
                      <w:i/>
                      <w:iCs/>
                      <w:sz w:val="16"/>
                      <w:szCs w:val="16"/>
                    </w:rPr>
                  </w:pPr>
                  <w:r w:rsidRPr="00950738">
                    <w:rPr>
                      <w:i/>
                      <w:iCs/>
                      <w:sz w:val="16"/>
                      <w:szCs w:val="16"/>
                    </w:rPr>
                    <w:t>ADACEL</w:t>
                  </w:r>
                </w:p>
              </w:tc>
              <w:tc>
                <w:tcPr>
                  <w:tcW w:w="1971" w:type="dxa"/>
                  <w:gridSpan w:val="2"/>
                  <w:tcBorders>
                    <w:top w:val="nil"/>
                    <w:left w:val="nil"/>
                    <w:bottom w:val="single" w:sz="4" w:space="0" w:color="auto"/>
                    <w:right w:val="single" w:sz="4" w:space="0" w:color="auto"/>
                  </w:tcBorders>
                  <w:shd w:val="clear" w:color="auto" w:fill="auto"/>
                  <w:vAlign w:val="center"/>
                  <w:hideMark/>
                </w:tcPr>
                <w:p w14:paraId="7AA6CAA2" w14:textId="77777777" w:rsidR="002C119B" w:rsidRPr="00950738" w:rsidRDefault="002C119B" w:rsidP="0068597D">
                  <w:pPr>
                    <w:jc w:val="center"/>
                    <w:rPr>
                      <w:sz w:val="16"/>
                      <w:szCs w:val="16"/>
                    </w:rPr>
                  </w:pPr>
                  <w:r w:rsidRPr="00950738">
                    <w:rPr>
                      <w:sz w:val="16"/>
                      <w:szCs w:val="16"/>
                    </w:rPr>
                    <w:t>Aprēķina cena *; SPKC prognozētais vakcināciju skaits 2020.gadam</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BB89233" w14:textId="77777777" w:rsidR="002C119B" w:rsidRPr="00950738" w:rsidRDefault="002C119B" w:rsidP="0068597D">
                  <w:pPr>
                    <w:jc w:val="center"/>
                    <w:rPr>
                      <w:sz w:val="16"/>
                      <w:szCs w:val="16"/>
                    </w:rPr>
                  </w:pPr>
                  <w:r w:rsidRPr="00950738">
                    <w:rPr>
                      <w:sz w:val="16"/>
                      <w:szCs w:val="16"/>
                    </w:rPr>
                    <w:t>22.84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CD975B" w14:textId="6A42B74D" w:rsidR="002C119B" w:rsidRPr="00950738" w:rsidRDefault="002C119B" w:rsidP="0068597D">
                  <w:pPr>
                    <w:jc w:val="center"/>
                    <w:rPr>
                      <w:sz w:val="16"/>
                      <w:szCs w:val="16"/>
                    </w:rPr>
                  </w:pPr>
                  <w:r w:rsidRPr="00950738">
                    <w:rPr>
                      <w:sz w:val="16"/>
                      <w:szCs w:val="16"/>
                    </w:rPr>
                    <w:t>18</w:t>
                  </w:r>
                  <w:r w:rsidR="00F71345">
                    <w:rPr>
                      <w:sz w:val="16"/>
                      <w:szCs w:val="16"/>
                    </w:rPr>
                    <w:t> </w:t>
                  </w:r>
                  <w:r w:rsidRPr="00950738">
                    <w:rPr>
                      <w:sz w:val="16"/>
                      <w:szCs w:val="16"/>
                    </w:rPr>
                    <w:t>551</w:t>
                  </w:r>
                </w:p>
              </w:tc>
              <w:tc>
                <w:tcPr>
                  <w:tcW w:w="865" w:type="dxa"/>
                  <w:gridSpan w:val="2"/>
                  <w:tcBorders>
                    <w:top w:val="nil"/>
                    <w:left w:val="nil"/>
                    <w:bottom w:val="single" w:sz="4" w:space="0" w:color="auto"/>
                    <w:right w:val="single" w:sz="4" w:space="0" w:color="auto"/>
                  </w:tcBorders>
                  <w:shd w:val="clear" w:color="auto" w:fill="auto"/>
                  <w:noWrap/>
                  <w:vAlign w:val="center"/>
                  <w:hideMark/>
                </w:tcPr>
                <w:p w14:paraId="44343608" w14:textId="77777777" w:rsidR="002C119B" w:rsidRPr="00950738" w:rsidRDefault="002C119B" w:rsidP="0068597D">
                  <w:pPr>
                    <w:jc w:val="center"/>
                    <w:rPr>
                      <w:b/>
                      <w:bCs/>
                      <w:sz w:val="16"/>
                      <w:szCs w:val="16"/>
                    </w:rPr>
                  </w:pPr>
                  <w:r w:rsidRPr="00950738">
                    <w:rPr>
                      <w:b/>
                      <w:bCs/>
                      <w:sz w:val="16"/>
                      <w:szCs w:val="16"/>
                    </w:rPr>
                    <w:t>423 705</w:t>
                  </w:r>
                </w:p>
              </w:tc>
            </w:tr>
            <w:tr w:rsidR="002C119B" w:rsidRPr="00950738" w14:paraId="2FCE8056" w14:textId="77777777" w:rsidTr="0068597D">
              <w:trPr>
                <w:trHeight w:val="61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61967E1" w14:textId="77777777" w:rsidR="002C119B" w:rsidRPr="00950738" w:rsidRDefault="002C119B" w:rsidP="0068597D">
                  <w:pPr>
                    <w:jc w:val="center"/>
                    <w:rPr>
                      <w:sz w:val="16"/>
                      <w:szCs w:val="16"/>
                    </w:rPr>
                  </w:pPr>
                  <w:r w:rsidRPr="00950738">
                    <w:rPr>
                      <w:sz w:val="16"/>
                      <w:szCs w:val="16"/>
                    </w:rPr>
                    <w:t>2017</w:t>
                  </w:r>
                </w:p>
              </w:tc>
              <w:tc>
                <w:tcPr>
                  <w:tcW w:w="1121" w:type="dxa"/>
                  <w:tcBorders>
                    <w:top w:val="nil"/>
                    <w:left w:val="nil"/>
                    <w:bottom w:val="single" w:sz="4" w:space="0" w:color="auto"/>
                    <w:right w:val="single" w:sz="4" w:space="0" w:color="auto"/>
                  </w:tcBorders>
                  <w:shd w:val="clear" w:color="auto" w:fill="auto"/>
                  <w:vAlign w:val="center"/>
                  <w:hideMark/>
                </w:tcPr>
                <w:p w14:paraId="77B30770" w14:textId="77777777" w:rsidR="002C119B" w:rsidRPr="00950738" w:rsidRDefault="002C119B" w:rsidP="0068597D">
                  <w:pPr>
                    <w:jc w:val="center"/>
                    <w:rPr>
                      <w:sz w:val="16"/>
                      <w:szCs w:val="16"/>
                    </w:rPr>
                  </w:pPr>
                  <w:r w:rsidRPr="00950738">
                    <w:rPr>
                      <w:sz w:val="16"/>
                      <w:szCs w:val="16"/>
                    </w:rPr>
                    <w:t xml:space="preserve">Difterija, stingumkrampji, </w:t>
                  </w:r>
                  <w:r w:rsidRPr="00950738">
                    <w:rPr>
                      <w:b/>
                      <w:sz w:val="16"/>
                      <w:szCs w:val="16"/>
                    </w:rPr>
                    <w:t>poliomielīts</w:t>
                  </w:r>
                  <w:r w:rsidRPr="00950738">
                    <w:rPr>
                      <w:sz w:val="16"/>
                      <w:szCs w:val="16"/>
                    </w:rPr>
                    <w:t xml:space="preserve"> (</w:t>
                  </w:r>
                  <w:proofErr w:type="spellStart"/>
                  <w:r w:rsidRPr="00950738">
                    <w:rPr>
                      <w:sz w:val="16"/>
                      <w:szCs w:val="16"/>
                    </w:rPr>
                    <w:t>Td</w:t>
                  </w:r>
                  <w:proofErr w:type="spellEnd"/>
                  <w:r w:rsidRPr="00950738">
                    <w:rPr>
                      <w:sz w:val="16"/>
                      <w:szCs w:val="16"/>
                    </w:rPr>
                    <w:t>-IPV)</w:t>
                  </w:r>
                </w:p>
              </w:tc>
              <w:tc>
                <w:tcPr>
                  <w:tcW w:w="1275" w:type="dxa"/>
                  <w:tcBorders>
                    <w:top w:val="nil"/>
                    <w:left w:val="nil"/>
                    <w:bottom w:val="single" w:sz="4" w:space="0" w:color="auto"/>
                    <w:right w:val="single" w:sz="4" w:space="0" w:color="auto"/>
                  </w:tcBorders>
                  <w:shd w:val="clear" w:color="auto" w:fill="auto"/>
                  <w:noWrap/>
                  <w:vAlign w:val="center"/>
                  <w:hideMark/>
                </w:tcPr>
                <w:p w14:paraId="2A3158B0" w14:textId="77777777" w:rsidR="002C119B" w:rsidRPr="00950738" w:rsidRDefault="002C119B" w:rsidP="0068597D">
                  <w:pPr>
                    <w:jc w:val="center"/>
                    <w:rPr>
                      <w:i/>
                      <w:iCs/>
                      <w:sz w:val="16"/>
                      <w:szCs w:val="16"/>
                    </w:rPr>
                  </w:pPr>
                  <w:proofErr w:type="spellStart"/>
                  <w:r w:rsidRPr="00950738">
                    <w:rPr>
                      <w:i/>
                      <w:iCs/>
                      <w:sz w:val="16"/>
                      <w:szCs w:val="16"/>
                    </w:rPr>
                    <w:t>Dultavax</w:t>
                  </w:r>
                  <w:proofErr w:type="spellEnd"/>
                </w:p>
              </w:tc>
              <w:tc>
                <w:tcPr>
                  <w:tcW w:w="1971" w:type="dxa"/>
                  <w:gridSpan w:val="2"/>
                  <w:tcBorders>
                    <w:top w:val="nil"/>
                    <w:left w:val="nil"/>
                    <w:bottom w:val="single" w:sz="4" w:space="0" w:color="auto"/>
                    <w:right w:val="single" w:sz="4" w:space="0" w:color="auto"/>
                  </w:tcBorders>
                  <w:shd w:val="clear" w:color="auto" w:fill="auto"/>
                  <w:vAlign w:val="center"/>
                  <w:hideMark/>
                </w:tcPr>
                <w:p w14:paraId="42241B4C" w14:textId="51920850" w:rsidR="002C119B" w:rsidRPr="00950738" w:rsidRDefault="002C119B" w:rsidP="0068597D">
                  <w:pPr>
                    <w:jc w:val="center"/>
                    <w:rPr>
                      <w:sz w:val="16"/>
                      <w:szCs w:val="16"/>
                    </w:rPr>
                  </w:pPr>
                  <w:r w:rsidRPr="00950738">
                    <w:rPr>
                      <w:sz w:val="16"/>
                      <w:szCs w:val="16"/>
                    </w:rPr>
                    <w:t>2016 /2017</w:t>
                  </w:r>
                  <w:r w:rsidR="00F71345">
                    <w:rPr>
                      <w:sz w:val="16"/>
                      <w:szCs w:val="16"/>
                    </w:rPr>
                    <w:t>. </w:t>
                  </w:r>
                  <w:r w:rsidRPr="00950738">
                    <w:rPr>
                      <w:sz w:val="16"/>
                      <w:szCs w:val="16"/>
                    </w:rPr>
                    <w:t>gada iepirkuma cena; plānotais vakcināciju skaits vid.</w:t>
                  </w:r>
                  <w:r w:rsidR="00320F59">
                    <w:rPr>
                      <w:sz w:val="16"/>
                      <w:szCs w:val="16"/>
                    </w:rPr>
                    <w:t> </w:t>
                  </w:r>
                  <w:r w:rsidRPr="00950738">
                    <w:rPr>
                      <w:sz w:val="16"/>
                      <w:szCs w:val="16"/>
                    </w:rPr>
                    <w:t>gadā</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E3817C2" w14:textId="77777777" w:rsidR="002C119B" w:rsidRPr="00950738" w:rsidRDefault="002C119B" w:rsidP="0068597D">
                  <w:pPr>
                    <w:jc w:val="center"/>
                    <w:rPr>
                      <w:sz w:val="16"/>
                      <w:szCs w:val="16"/>
                    </w:rPr>
                  </w:pPr>
                  <w:r w:rsidRPr="00950738">
                    <w:rPr>
                      <w:sz w:val="16"/>
                      <w:szCs w:val="16"/>
                    </w:rPr>
                    <w:t>15.34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8F475EC" w14:textId="4830C25F" w:rsidR="002C119B" w:rsidRPr="00950738" w:rsidRDefault="002C119B" w:rsidP="0068597D">
                  <w:pPr>
                    <w:jc w:val="center"/>
                    <w:rPr>
                      <w:sz w:val="16"/>
                      <w:szCs w:val="16"/>
                    </w:rPr>
                  </w:pPr>
                  <w:r w:rsidRPr="00950738">
                    <w:rPr>
                      <w:sz w:val="16"/>
                      <w:szCs w:val="16"/>
                    </w:rPr>
                    <w:t>16</w:t>
                  </w:r>
                  <w:r w:rsidR="003D7EE1">
                    <w:rPr>
                      <w:sz w:val="16"/>
                      <w:szCs w:val="16"/>
                    </w:rPr>
                    <w:t> </w:t>
                  </w:r>
                  <w:r w:rsidRPr="00950738">
                    <w:rPr>
                      <w:sz w:val="16"/>
                      <w:szCs w:val="16"/>
                    </w:rPr>
                    <w:t>163</w:t>
                  </w:r>
                </w:p>
              </w:tc>
              <w:tc>
                <w:tcPr>
                  <w:tcW w:w="865" w:type="dxa"/>
                  <w:gridSpan w:val="2"/>
                  <w:tcBorders>
                    <w:top w:val="nil"/>
                    <w:left w:val="nil"/>
                    <w:bottom w:val="single" w:sz="4" w:space="0" w:color="auto"/>
                    <w:right w:val="single" w:sz="4" w:space="0" w:color="auto"/>
                  </w:tcBorders>
                  <w:shd w:val="clear" w:color="auto" w:fill="auto"/>
                  <w:noWrap/>
                  <w:vAlign w:val="center"/>
                  <w:hideMark/>
                </w:tcPr>
                <w:p w14:paraId="655CAFBB" w14:textId="77777777" w:rsidR="002C119B" w:rsidRPr="00950738" w:rsidRDefault="002C119B" w:rsidP="0068597D">
                  <w:pPr>
                    <w:jc w:val="center"/>
                    <w:rPr>
                      <w:b/>
                      <w:bCs/>
                      <w:sz w:val="16"/>
                      <w:szCs w:val="16"/>
                    </w:rPr>
                  </w:pPr>
                  <w:r w:rsidRPr="00950738">
                    <w:rPr>
                      <w:b/>
                      <w:bCs/>
                      <w:sz w:val="16"/>
                      <w:szCs w:val="16"/>
                    </w:rPr>
                    <w:t>-247 940</w:t>
                  </w:r>
                </w:p>
              </w:tc>
            </w:tr>
            <w:tr w:rsidR="002C119B" w:rsidRPr="00950738" w14:paraId="02C6F98B" w14:textId="77777777" w:rsidTr="0068597D">
              <w:trPr>
                <w:trHeight w:val="390"/>
              </w:trPr>
              <w:tc>
                <w:tcPr>
                  <w:tcW w:w="3007" w:type="dxa"/>
                  <w:gridSpan w:val="4"/>
                  <w:tcBorders>
                    <w:top w:val="single" w:sz="4" w:space="0" w:color="auto"/>
                    <w:left w:val="single" w:sz="4" w:space="0" w:color="auto"/>
                    <w:bottom w:val="single" w:sz="4" w:space="0" w:color="auto"/>
                    <w:right w:val="nil"/>
                  </w:tcBorders>
                  <w:shd w:val="clear" w:color="auto" w:fill="auto"/>
                  <w:noWrap/>
                  <w:hideMark/>
                </w:tcPr>
                <w:p w14:paraId="201E3032" w14:textId="48682F1D" w:rsidR="002C119B" w:rsidRPr="00A16737" w:rsidRDefault="002C119B" w:rsidP="0068597D">
                  <w:pPr>
                    <w:rPr>
                      <w:bCs/>
                      <w:iCs/>
                      <w:sz w:val="16"/>
                      <w:szCs w:val="16"/>
                    </w:rPr>
                  </w:pPr>
                  <w:r w:rsidRPr="00A16737">
                    <w:rPr>
                      <w:bCs/>
                      <w:iCs/>
                      <w:sz w:val="16"/>
                      <w:szCs w:val="16"/>
                    </w:rPr>
                    <w:t>Papildus nepieciešamie līdzekļi 2020.</w:t>
                  </w:r>
                  <w:r w:rsidR="00CF74A2">
                    <w:rPr>
                      <w:bCs/>
                      <w:iCs/>
                      <w:sz w:val="16"/>
                      <w:szCs w:val="16"/>
                    </w:rPr>
                    <w:t> </w:t>
                  </w:r>
                  <w:r w:rsidRPr="00A16737">
                    <w:rPr>
                      <w:bCs/>
                      <w:iCs/>
                      <w:sz w:val="16"/>
                      <w:szCs w:val="16"/>
                    </w:rPr>
                    <w:t xml:space="preserve">gadā, </w:t>
                  </w:r>
                  <w:proofErr w:type="spellStart"/>
                  <w:r w:rsidRPr="00A16737">
                    <w:rPr>
                      <w:bCs/>
                      <w:i/>
                      <w:iCs/>
                      <w:sz w:val="16"/>
                      <w:szCs w:val="16"/>
                    </w:rPr>
                    <w:t>euro</w:t>
                  </w:r>
                  <w:proofErr w:type="spellEnd"/>
                  <w:r w:rsidRPr="00A16737">
                    <w:rPr>
                      <w:bCs/>
                      <w:i/>
                      <w:iCs/>
                      <w:sz w:val="16"/>
                      <w:szCs w:val="16"/>
                    </w:rPr>
                    <w:t xml:space="preserve"> </w:t>
                  </w:r>
                </w:p>
              </w:tc>
              <w:tc>
                <w:tcPr>
                  <w:tcW w:w="1971" w:type="dxa"/>
                  <w:gridSpan w:val="2"/>
                  <w:tcBorders>
                    <w:top w:val="nil"/>
                    <w:left w:val="nil"/>
                    <w:bottom w:val="single" w:sz="4" w:space="0" w:color="auto"/>
                    <w:right w:val="nil"/>
                  </w:tcBorders>
                  <w:shd w:val="clear" w:color="auto" w:fill="auto"/>
                  <w:noWrap/>
                  <w:hideMark/>
                </w:tcPr>
                <w:p w14:paraId="412BB68C" w14:textId="77777777" w:rsidR="002C119B" w:rsidRPr="00950738" w:rsidRDefault="002C119B" w:rsidP="0068597D">
                  <w:pPr>
                    <w:rPr>
                      <w:b/>
                      <w:bCs/>
                      <w:iCs/>
                      <w:sz w:val="16"/>
                      <w:szCs w:val="16"/>
                    </w:rPr>
                  </w:pPr>
                  <w:r w:rsidRPr="00950738">
                    <w:rPr>
                      <w:b/>
                      <w:bCs/>
                      <w:iCs/>
                      <w:sz w:val="16"/>
                      <w:szCs w:val="16"/>
                    </w:rPr>
                    <w:t> </w:t>
                  </w:r>
                </w:p>
              </w:tc>
              <w:tc>
                <w:tcPr>
                  <w:tcW w:w="992" w:type="dxa"/>
                  <w:gridSpan w:val="2"/>
                  <w:tcBorders>
                    <w:top w:val="nil"/>
                    <w:left w:val="nil"/>
                    <w:bottom w:val="single" w:sz="4" w:space="0" w:color="auto"/>
                    <w:right w:val="nil"/>
                  </w:tcBorders>
                  <w:shd w:val="clear" w:color="auto" w:fill="auto"/>
                  <w:noWrap/>
                  <w:hideMark/>
                </w:tcPr>
                <w:p w14:paraId="4506DE2B" w14:textId="77777777" w:rsidR="002C119B" w:rsidRPr="00950738" w:rsidRDefault="002C119B" w:rsidP="0068597D">
                  <w:pPr>
                    <w:rPr>
                      <w:b/>
                      <w:bCs/>
                      <w:iCs/>
                      <w:sz w:val="16"/>
                      <w:szCs w:val="16"/>
                    </w:rPr>
                  </w:pPr>
                  <w:r w:rsidRPr="00950738">
                    <w:rPr>
                      <w:b/>
                      <w:bCs/>
                      <w:i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14:paraId="3385F223" w14:textId="77777777" w:rsidR="002C119B" w:rsidRPr="00950738" w:rsidRDefault="002C119B" w:rsidP="0068597D">
                  <w:pPr>
                    <w:rPr>
                      <w:b/>
                      <w:bCs/>
                      <w:iCs/>
                      <w:sz w:val="16"/>
                      <w:szCs w:val="16"/>
                    </w:rPr>
                  </w:pPr>
                  <w:r w:rsidRPr="00950738">
                    <w:rPr>
                      <w:b/>
                      <w:bCs/>
                      <w:iCs/>
                      <w:sz w:val="16"/>
                      <w:szCs w:val="16"/>
                    </w:rPr>
                    <w:t> </w:t>
                  </w:r>
                </w:p>
              </w:tc>
              <w:tc>
                <w:tcPr>
                  <w:tcW w:w="859" w:type="dxa"/>
                  <w:tcBorders>
                    <w:top w:val="nil"/>
                    <w:left w:val="nil"/>
                    <w:bottom w:val="single" w:sz="4" w:space="0" w:color="auto"/>
                    <w:right w:val="single" w:sz="4" w:space="0" w:color="auto"/>
                  </w:tcBorders>
                  <w:shd w:val="clear" w:color="auto" w:fill="auto"/>
                  <w:noWrap/>
                  <w:hideMark/>
                </w:tcPr>
                <w:p w14:paraId="34A6EC60" w14:textId="10FAE2D7" w:rsidR="002C119B" w:rsidRPr="00950738" w:rsidRDefault="002C119B" w:rsidP="0068597D">
                  <w:pPr>
                    <w:rPr>
                      <w:b/>
                      <w:bCs/>
                      <w:iCs/>
                      <w:sz w:val="16"/>
                      <w:szCs w:val="16"/>
                    </w:rPr>
                  </w:pPr>
                  <w:r w:rsidRPr="00950738">
                    <w:rPr>
                      <w:b/>
                      <w:bCs/>
                      <w:iCs/>
                      <w:sz w:val="16"/>
                      <w:szCs w:val="16"/>
                    </w:rPr>
                    <w:t>175 765</w:t>
                  </w:r>
                </w:p>
              </w:tc>
            </w:tr>
          </w:tbl>
          <w:p w14:paraId="265FF4BB" w14:textId="77777777" w:rsidR="002C119B" w:rsidRDefault="002C119B" w:rsidP="0068597D">
            <w:pPr>
              <w:pStyle w:val="tvhtml"/>
              <w:spacing w:before="0" w:beforeAutospacing="0" w:after="0" w:afterAutospacing="0" w:line="293" w:lineRule="atLeast"/>
              <w:jc w:val="both"/>
              <w:rPr>
                <w:lang w:val="lv-LV"/>
              </w:rPr>
            </w:pPr>
          </w:p>
          <w:p w14:paraId="4A3C7C5B" w14:textId="5FE459C1" w:rsidR="002C119B" w:rsidRPr="003749F1" w:rsidRDefault="002C119B" w:rsidP="0068597D">
            <w:pPr>
              <w:pStyle w:val="tvhtml"/>
              <w:spacing w:before="0" w:beforeAutospacing="0" w:after="0" w:afterAutospacing="0" w:line="293" w:lineRule="atLeast"/>
              <w:jc w:val="both"/>
              <w:rPr>
                <w:b/>
                <w:i/>
                <w:lang w:val="lv-LV"/>
              </w:rPr>
            </w:pPr>
            <w:r>
              <w:rPr>
                <w:b/>
                <w:i/>
                <w:lang w:val="lv-LV"/>
              </w:rPr>
              <w:t>Ietekme 2021</w:t>
            </w:r>
            <w:r w:rsidRPr="003749F1">
              <w:rPr>
                <w:b/>
                <w:i/>
                <w:lang w:val="lv-LV"/>
              </w:rPr>
              <w:t>.</w:t>
            </w:r>
            <w:r w:rsidR="00CF74A2">
              <w:rPr>
                <w:b/>
                <w:i/>
                <w:lang w:val="lv-LV"/>
              </w:rPr>
              <w:t> </w:t>
            </w:r>
            <w:r w:rsidRPr="003749F1">
              <w:rPr>
                <w:b/>
                <w:i/>
                <w:lang w:val="lv-LV"/>
              </w:rPr>
              <w:t>gadam</w:t>
            </w:r>
          </w:p>
          <w:p w14:paraId="0D7B9869" w14:textId="77777777" w:rsidR="002C119B" w:rsidRDefault="002C119B" w:rsidP="0068597D">
            <w:pPr>
              <w:pStyle w:val="tvhtml"/>
              <w:spacing w:before="0" w:beforeAutospacing="0" w:after="0" w:afterAutospacing="0" w:line="293" w:lineRule="atLeast"/>
              <w:jc w:val="both"/>
              <w:rPr>
                <w:lang w:val="lv-LV"/>
              </w:rPr>
            </w:pPr>
          </w:p>
          <w:p w14:paraId="5992B674" w14:textId="022D01F5" w:rsidR="002C119B" w:rsidRPr="00677B08" w:rsidRDefault="002C119B" w:rsidP="0068597D">
            <w:pPr>
              <w:pStyle w:val="tvhtml"/>
              <w:spacing w:before="0" w:beforeAutospacing="0" w:after="0" w:afterAutospacing="0" w:line="293" w:lineRule="atLeast"/>
              <w:jc w:val="both"/>
              <w:rPr>
                <w:u w:val="single"/>
                <w:lang w:val="lv-LV"/>
              </w:rPr>
            </w:pPr>
            <w:r>
              <w:rPr>
                <w:u w:val="single"/>
                <w:lang w:val="lv-LV"/>
              </w:rPr>
              <w:t>2021</w:t>
            </w:r>
            <w:r w:rsidRPr="00677B08">
              <w:rPr>
                <w:u w:val="single"/>
                <w:lang w:val="lv-LV"/>
              </w:rPr>
              <w:t>.</w:t>
            </w:r>
            <w:r w:rsidR="004515EE">
              <w:rPr>
                <w:u w:val="single"/>
                <w:lang w:val="lv-LV"/>
              </w:rPr>
              <w:t> </w:t>
            </w:r>
            <w:r w:rsidRPr="00677B08">
              <w:rPr>
                <w:u w:val="single"/>
                <w:lang w:val="lv-LV"/>
              </w:rPr>
              <w:t xml:space="preserve">gadā papildus nepieciešamais finansējums </w:t>
            </w:r>
            <w:r w:rsidR="00FF0C23">
              <w:rPr>
                <w:b/>
                <w:u w:val="single"/>
                <w:lang w:val="lv-LV"/>
              </w:rPr>
              <w:t>359 296</w:t>
            </w:r>
            <w:r w:rsidRPr="00677B08">
              <w:rPr>
                <w:b/>
                <w:u w:val="single"/>
                <w:lang w:val="lv-LV"/>
              </w:rPr>
              <w:t xml:space="preserve"> </w:t>
            </w:r>
            <w:proofErr w:type="spellStart"/>
            <w:r w:rsidRPr="00677B08">
              <w:rPr>
                <w:b/>
                <w:i/>
                <w:u w:val="single"/>
                <w:lang w:val="lv-LV"/>
              </w:rPr>
              <w:t>euro</w:t>
            </w:r>
            <w:proofErr w:type="spellEnd"/>
            <w:r w:rsidRPr="00677B08">
              <w:rPr>
                <w:u w:val="single"/>
                <w:lang w:val="lv-LV"/>
              </w:rPr>
              <w:t>.</w:t>
            </w:r>
          </w:p>
          <w:p w14:paraId="6C6E76D3" w14:textId="77777777" w:rsidR="002C119B" w:rsidRDefault="002C119B" w:rsidP="0068597D">
            <w:pPr>
              <w:pStyle w:val="tvhtml"/>
              <w:spacing w:before="0" w:beforeAutospacing="0" w:after="0" w:afterAutospacing="0" w:line="293" w:lineRule="atLeast"/>
              <w:jc w:val="both"/>
              <w:rPr>
                <w:lang w:val="lv-LV"/>
              </w:rPr>
            </w:pPr>
          </w:p>
          <w:p w14:paraId="64D17210" w14:textId="49B64852" w:rsidR="002C119B" w:rsidRDefault="002C119B" w:rsidP="0068597D">
            <w:pPr>
              <w:pStyle w:val="tvhtml"/>
              <w:spacing w:before="0" w:beforeAutospacing="0" w:after="0" w:afterAutospacing="0"/>
              <w:jc w:val="both"/>
              <w:rPr>
                <w:lang w:val="lv-LV"/>
              </w:rPr>
            </w:pPr>
            <w:r>
              <w:rPr>
                <w:lang w:val="lv-LV"/>
              </w:rPr>
              <w:t>Izmaiņas salīdzinājumā ar ietekmi 2019. un 2020.</w:t>
            </w:r>
            <w:r w:rsidR="00E96571">
              <w:rPr>
                <w:lang w:val="lv-LV"/>
              </w:rPr>
              <w:t> </w:t>
            </w:r>
            <w:r>
              <w:rPr>
                <w:lang w:val="lv-LV"/>
              </w:rPr>
              <w:t xml:space="preserve">gadam ir pie pasākuma </w:t>
            </w:r>
            <w:r w:rsidR="00E96571">
              <w:rPr>
                <w:lang w:val="lv-LV"/>
              </w:rPr>
              <w:t>–</w:t>
            </w:r>
            <w:r>
              <w:rPr>
                <w:lang w:val="lv-LV"/>
              </w:rPr>
              <w:t xml:space="preserve"> </w:t>
            </w:r>
            <w:r w:rsidRPr="0065350C">
              <w:rPr>
                <w:lang w:val="lv-LV"/>
              </w:rPr>
              <w:t>nodrošināt grūtnieču un bērnu līdz 2 gadu vecumam vakcināciju pret gripu, radot</w:t>
            </w:r>
            <w:r>
              <w:rPr>
                <w:lang w:val="lv-LV"/>
              </w:rPr>
              <w:t xml:space="preserve"> ietekmi </w:t>
            </w:r>
            <w:r>
              <w:rPr>
                <w:b/>
                <w:lang w:val="lv-LV"/>
              </w:rPr>
              <w:t>183 531</w:t>
            </w:r>
            <w:r w:rsidRPr="00F07A3E">
              <w:rPr>
                <w:b/>
                <w:lang w:val="lv-LV"/>
              </w:rPr>
              <w:t xml:space="preserve"> </w:t>
            </w:r>
            <w:proofErr w:type="spellStart"/>
            <w:r w:rsidRPr="00F07A3E">
              <w:rPr>
                <w:b/>
                <w:i/>
                <w:lang w:val="lv-LV"/>
              </w:rPr>
              <w:t>euro</w:t>
            </w:r>
            <w:proofErr w:type="spellEnd"/>
            <w:r>
              <w:rPr>
                <w:lang w:val="lv-LV"/>
              </w:rPr>
              <w:t xml:space="preserve"> apmērā, skat., tabulu Nr.</w:t>
            </w:r>
            <w:r w:rsidR="005E7868">
              <w:rPr>
                <w:lang w:val="lv-LV"/>
              </w:rPr>
              <w:t> </w:t>
            </w:r>
            <w:r>
              <w:rPr>
                <w:lang w:val="lv-LV"/>
              </w:rPr>
              <w:t xml:space="preserve">1. </w:t>
            </w:r>
            <w:r w:rsidRPr="00F07A3E">
              <w:rPr>
                <w:lang w:val="lv-LV"/>
              </w:rPr>
              <w:t xml:space="preserve">Iepriekšminēto pasākumu plānots īstenot apakšprogrammā 33.04.00 </w:t>
            </w:r>
            <w:r w:rsidR="005E7868" w:rsidRPr="009B2C59">
              <w:rPr>
                <w:bCs/>
              </w:rPr>
              <w:t>"</w:t>
            </w:r>
            <w:r w:rsidRPr="00F07A3E">
              <w:rPr>
                <w:lang w:val="lv-LV"/>
              </w:rPr>
              <w:t>Centralizēta medikamentu un materiālu iegāde</w:t>
            </w:r>
            <w:r w:rsidR="005E7868" w:rsidRPr="009B2C59">
              <w:rPr>
                <w:bCs/>
              </w:rPr>
              <w:t>"</w:t>
            </w:r>
            <w:r w:rsidRPr="00F07A3E">
              <w:rPr>
                <w:lang w:val="lv-LV"/>
              </w:rPr>
              <w:t>.</w:t>
            </w:r>
          </w:p>
          <w:p w14:paraId="5211C1ED" w14:textId="77777777" w:rsidR="002C119B" w:rsidRDefault="002C119B" w:rsidP="0068597D">
            <w:pPr>
              <w:pStyle w:val="tvhtml"/>
              <w:spacing w:before="0" w:beforeAutospacing="0" w:after="0" w:afterAutospacing="0"/>
              <w:jc w:val="both"/>
              <w:rPr>
                <w:highlight w:val="yellow"/>
                <w:lang w:val="lv-LV"/>
              </w:rPr>
            </w:pPr>
          </w:p>
          <w:p w14:paraId="37AA1092" w14:textId="2C183BDB" w:rsidR="002C119B" w:rsidRPr="00784065" w:rsidRDefault="002C119B" w:rsidP="00BA1BC3">
            <w:pPr>
              <w:pStyle w:val="tvhtml"/>
              <w:spacing w:before="0" w:beforeAutospacing="0" w:after="0" w:afterAutospacing="0"/>
              <w:jc w:val="both"/>
              <w:rPr>
                <w:highlight w:val="yellow"/>
                <w:lang w:val="lv-LV"/>
              </w:rPr>
            </w:pPr>
            <w:r w:rsidRPr="006C38DA">
              <w:rPr>
                <w:lang w:val="lv-LV" w:bidi="lo-LA"/>
              </w:rPr>
              <w:t xml:space="preserve">Jautājumu par papildu valsts budžeta līdzekļu piešķiršanu </w:t>
            </w:r>
            <w:r w:rsidR="00BA1BC3">
              <w:rPr>
                <w:lang w:val="lv-LV" w:bidi="lo-LA"/>
              </w:rPr>
              <w:t>VM</w:t>
            </w:r>
            <w:r w:rsidRPr="006C38DA">
              <w:rPr>
                <w:lang w:val="lv-LV" w:bidi="lo-LA"/>
              </w:rPr>
              <w:t xml:space="preserve"> noteikumu projektā </w:t>
            </w:r>
            <w:r>
              <w:rPr>
                <w:lang w:val="lv-LV" w:bidi="lo-LA"/>
              </w:rPr>
              <w:t xml:space="preserve">iepriekš minētajiem pasākumiem </w:t>
            </w:r>
            <w:r w:rsidR="00D43A96">
              <w:rPr>
                <w:lang w:val="lv-LV" w:bidi="lo-LA"/>
              </w:rPr>
              <w:t>2019.-</w:t>
            </w:r>
            <w:r w:rsidRPr="006C38DA">
              <w:rPr>
                <w:lang w:val="lv-LV" w:bidi="lo-LA"/>
              </w:rPr>
              <w:t>2021.</w:t>
            </w:r>
            <w:r w:rsidR="00C53DC6">
              <w:rPr>
                <w:lang w:val="lv-LV" w:bidi="lo-LA"/>
              </w:rPr>
              <w:t> </w:t>
            </w:r>
            <w:r w:rsidRPr="006C38DA">
              <w:rPr>
                <w:lang w:val="lv-LV" w:bidi="lo-LA"/>
              </w:rPr>
              <w:t>gadam</w:t>
            </w:r>
            <w:r w:rsidRPr="006C38DA">
              <w:rPr>
                <w:noProof/>
                <w:lang w:val="lv-LV"/>
              </w:rPr>
              <w:t xml:space="preserve"> </w:t>
            </w:r>
            <w:r w:rsidRPr="006C38DA">
              <w:rPr>
                <w:lang w:val="lv-LV" w:bidi="lo-LA"/>
              </w:rPr>
              <w:t xml:space="preserve">izskatīt Ministru kabinetā kopā ar visu ministriju un centrālo valsts iestāžu iesniegtajiem papildu finansējuma pieprasījumiem likumprojekta </w:t>
            </w:r>
            <w:r w:rsidR="00C53DC6" w:rsidRPr="00C53DC6">
              <w:rPr>
                <w:bCs/>
                <w:lang w:val="lv-LV"/>
              </w:rPr>
              <w:t>"</w:t>
            </w:r>
            <w:r w:rsidRPr="006C38DA">
              <w:rPr>
                <w:lang w:val="lv-LV" w:bidi="lo-LA"/>
              </w:rPr>
              <w:t>Par vidējā termiņa budžeta ietvaru 2019., 2020. un 2021.</w:t>
            </w:r>
            <w:r w:rsidR="00C53DC6">
              <w:rPr>
                <w:lang w:val="lv-LV" w:bidi="lo-LA"/>
              </w:rPr>
              <w:t> </w:t>
            </w:r>
            <w:r w:rsidRPr="006C38DA">
              <w:rPr>
                <w:lang w:val="lv-LV" w:bidi="lo-LA"/>
              </w:rPr>
              <w:t>gadam</w:t>
            </w:r>
            <w:r w:rsidR="00C53DC6" w:rsidRPr="00C53DC6">
              <w:rPr>
                <w:bCs/>
                <w:lang w:val="lv-LV"/>
              </w:rPr>
              <w:t>"</w:t>
            </w:r>
            <w:r w:rsidRPr="006C38DA">
              <w:rPr>
                <w:lang w:val="lv-LV" w:bidi="lo-LA"/>
              </w:rPr>
              <w:t xml:space="preserve"> un likumprojekta </w:t>
            </w:r>
            <w:r w:rsidR="00C53DC6" w:rsidRPr="00C53DC6">
              <w:rPr>
                <w:bCs/>
                <w:lang w:val="lv-LV"/>
              </w:rPr>
              <w:t>"</w:t>
            </w:r>
            <w:r w:rsidRPr="006C38DA">
              <w:rPr>
                <w:lang w:val="lv-LV" w:bidi="lo-LA"/>
              </w:rPr>
              <w:t>Par valsts budžetu 2019.gadam</w:t>
            </w:r>
            <w:r w:rsidR="00C53DC6" w:rsidRPr="00C53DC6">
              <w:rPr>
                <w:bCs/>
                <w:lang w:val="lv-LV"/>
              </w:rPr>
              <w:t>"</w:t>
            </w:r>
            <w:r w:rsidRPr="006C38DA">
              <w:rPr>
                <w:lang w:val="lv-LV" w:bidi="lo-LA"/>
              </w:rPr>
              <w:t xml:space="preserve"> sagatavošanas un izskatīšanas procesā.</w:t>
            </w:r>
          </w:p>
        </w:tc>
      </w:tr>
      <w:tr w:rsidR="002C119B" w:rsidRPr="009A75D6" w14:paraId="076A7B9A" w14:textId="77777777" w:rsidTr="0068597D">
        <w:tc>
          <w:tcPr>
            <w:tcW w:w="1985" w:type="dxa"/>
          </w:tcPr>
          <w:p w14:paraId="4FF29497" w14:textId="77777777" w:rsidR="002C119B" w:rsidRPr="009A75D6" w:rsidRDefault="002C119B" w:rsidP="0068597D">
            <w:r w:rsidRPr="009A75D6">
              <w:lastRenderedPageBreak/>
              <w:t>6.1. detalizēts ieņēmumu aprēķins</w:t>
            </w:r>
          </w:p>
        </w:tc>
        <w:tc>
          <w:tcPr>
            <w:tcW w:w="7938" w:type="dxa"/>
            <w:gridSpan w:val="9"/>
            <w:vMerge/>
          </w:tcPr>
          <w:p w14:paraId="283B564C" w14:textId="77777777" w:rsidR="002C119B" w:rsidRPr="00784065" w:rsidRDefault="002C119B" w:rsidP="0068597D">
            <w:pPr>
              <w:pStyle w:val="tvhtml"/>
              <w:spacing w:before="0" w:beforeAutospacing="0" w:after="0" w:afterAutospacing="0" w:line="293" w:lineRule="atLeast"/>
              <w:jc w:val="center"/>
              <w:rPr>
                <w:highlight w:val="yellow"/>
                <w:lang w:val="lv-LV"/>
              </w:rPr>
            </w:pPr>
          </w:p>
        </w:tc>
      </w:tr>
      <w:tr w:rsidR="002C119B" w:rsidRPr="009A75D6" w14:paraId="56151D40" w14:textId="77777777" w:rsidTr="0068597D">
        <w:tc>
          <w:tcPr>
            <w:tcW w:w="1985" w:type="dxa"/>
          </w:tcPr>
          <w:p w14:paraId="1B147C31" w14:textId="77777777" w:rsidR="002C119B" w:rsidRPr="009A75D6" w:rsidRDefault="002C119B" w:rsidP="0068597D">
            <w:r w:rsidRPr="009A75D6">
              <w:t>6.2. detalizēts izdevumu aprēķins</w:t>
            </w:r>
          </w:p>
        </w:tc>
        <w:tc>
          <w:tcPr>
            <w:tcW w:w="7938" w:type="dxa"/>
            <w:gridSpan w:val="9"/>
            <w:vMerge/>
          </w:tcPr>
          <w:p w14:paraId="7BED34F2" w14:textId="77777777" w:rsidR="002C119B" w:rsidRPr="00784065" w:rsidRDefault="002C119B" w:rsidP="0068597D">
            <w:pPr>
              <w:pStyle w:val="tvhtml"/>
              <w:spacing w:before="0" w:beforeAutospacing="0" w:after="0" w:afterAutospacing="0" w:line="293" w:lineRule="atLeast"/>
              <w:jc w:val="center"/>
              <w:rPr>
                <w:highlight w:val="yellow"/>
                <w:lang w:val="lv-LV"/>
              </w:rPr>
            </w:pPr>
          </w:p>
        </w:tc>
      </w:tr>
      <w:tr w:rsidR="002C119B" w:rsidRPr="009A75D6" w14:paraId="12FCDC19" w14:textId="77777777" w:rsidTr="0068597D">
        <w:tc>
          <w:tcPr>
            <w:tcW w:w="1985" w:type="dxa"/>
          </w:tcPr>
          <w:p w14:paraId="03100B7A" w14:textId="77777777" w:rsidR="002C119B" w:rsidRPr="00DA3082" w:rsidRDefault="002C119B" w:rsidP="0068597D">
            <w:r w:rsidRPr="00DA3082">
              <w:t>7. Amata vietu skaita</w:t>
            </w:r>
          </w:p>
          <w:p w14:paraId="1994F807" w14:textId="77777777" w:rsidR="002C119B" w:rsidRPr="00DA3082" w:rsidRDefault="002C119B" w:rsidP="0068597D">
            <w:r w:rsidRPr="00DA3082">
              <w:t>izmaiņas</w:t>
            </w:r>
          </w:p>
        </w:tc>
        <w:tc>
          <w:tcPr>
            <w:tcW w:w="7938" w:type="dxa"/>
            <w:gridSpan w:val="9"/>
          </w:tcPr>
          <w:p w14:paraId="02FBDA93" w14:textId="77777777" w:rsidR="002C119B" w:rsidRPr="00DA3082" w:rsidRDefault="002C119B" w:rsidP="0068597D">
            <w:pPr>
              <w:pStyle w:val="tvhtml"/>
              <w:spacing w:before="0" w:beforeAutospacing="0" w:after="0" w:afterAutospacing="0" w:line="293" w:lineRule="atLeast"/>
              <w:jc w:val="both"/>
              <w:rPr>
                <w:lang w:val="lv-LV"/>
              </w:rPr>
            </w:pPr>
            <w:r>
              <w:rPr>
                <w:lang w:val="lv-LV"/>
              </w:rPr>
              <w:t>Nav</w:t>
            </w:r>
          </w:p>
        </w:tc>
      </w:tr>
      <w:tr w:rsidR="002C119B" w:rsidRPr="009A75D6" w14:paraId="384CEEDF" w14:textId="77777777" w:rsidTr="0068597D">
        <w:trPr>
          <w:trHeight w:val="555"/>
        </w:trPr>
        <w:tc>
          <w:tcPr>
            <w:tcW w:w="1985" w:type="dxa"/>
            <w:hideMark/>
          </w:tcPr>
          <w:p w14:paraId="09946263" w14:textId="77777777" w:rsidR="002C119B" w:rsidRPr="009A75D6" w:rsidRDefault="002C119B" w:rsidP="0068597D">
            <w:r>
              <w:t>8</w:t>
            </w:r>
            <w:r w:rsidRPr="009A75D6">
              <w:t>. Cita informācija</w:t>
            </w:r>
          </w:p>
        </w:tc>
        <w:tc>
          <w:tcPr>
            <w:tcW w:w="7938" w:type="dxa"/>
            <w:gridSpan w:val="9"/>
            <w:hideMark/>
          </w:tcPr>
          <w:p w14:paraId="1C8F1608" w14:textId="77777777" w:rsidR="002C119B" w:rsidRPr="009A75D6" w:rsidRDefault="002C119B" w:rsidP="0068597D">
            <w:pPr>
              <w:spacing w:before="40" w:after="40"/>
              <w:ind w:right="135"/>
              <w:jc w:val="both"/>
            </w:pPr>
            <w:r>
              <w:t>Nav</w:t>
            </w:r>
          </w:p>
        </w:tc>
      </w:tr>
    </w:tbl>
    <w:p w14:paraId="37EC5AE0" w14:textId="01671427" w:rsidR="002C119B" w:rsidRDefault="002C119B" w:rsidP="002C119B">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1197B" w:rsidRPr="00C1197B" w14:paraId="1F0E8524" w14:textId="77777777" w:rsidTr="00C1197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02E58" w14:textId="77777777" w:rsidR="00C1197B" w:rsidRPr="00C1197B" w:rsidRDefault="00C1197B">
            <w:pPr>
              <w:pStyle w:val="tvhtml"/>
              <w:spacing w:line="293" w:lineRule="atLeast"/>
              <w:jc w:val="center"/>
              <w:rPr>
                <w:b/>
                <w:bCs/>
                <w:lang w:val="lv-LV"/>
              </w:rPr>
            </w:pPr>
            <w:r w:rsidRPr="00C1197B">
              <w:rPr>
                <w:b/>
                <w:bCs/>
                <w:lang w:val="lv-LV"/>
              </w:rPr>
              <w:lastRenderedPageBreak/>
              <w:t>IV.</w:t>
            </w:r>
            <w:r>
              <w:rPr>
                <w:b/>
                <w:bCs/>
                <w:lang w:val="lv-LV"/>
              </w:rPr>
              <w:t> </w:t>
            </w:r>
            <w:r w:rsidRPr="00C1197B">
              <w:rPr>
                <w:b/>
                <w:bCs/>
                <w:lang w:val="lv-LV"/>
              </w:rPr>
              <w:t>Tiesību akta projekta ietekme uz spēkā esošo tiesību normu sistēmu</w:t>
            </w:r>
          </w:p>
        </w:tc>
      </w:tr>
      <w:tr w:rsidR="00C1197B" w:rsidRPr="00C1197B" w14:paraId="22C7E0DB" w14:textId="77777777" w:rsidTr="00C1197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167F23" w14:textId="77777777" w:rsidR="00C1197B" w:rsidRPr="00C1197B" w:rsidRDefault="00C1197B">
            <w:pPr>
              <w:pStyle w:val="tvhtml"/>
              <w:spacing w:line="293" w:lineRule="atLeast"/>
              <w:jc w:val="center"/>
            </w:pPr>
            <w:r w:rsidRPr="00C1197B">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182765" w14:textId="77777777" w:rsidR="00C1197B" w:rsidRPr="00C1197B" w:rsidRDefault="00C1197B">
            <w:r w:rsidRPr="00C1197B">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EAC4B0C" w14:textId="77777777" w:rsidR="00C1197B" w:rsidRPr="00C1197B" w:rsidRDefault="00636598" w:rsidP="00636598">
            <w:pPr>
              <w:jc w:val="both"/>
            </w:pPr>
            <w:r>
              <w:t xml:space="preserve">Iekļaujot grūtnieču un mazo bērnu vakcināciju pret gripu vakcinācijas kalendārā, ir </w:t>
            </w:r>
            <w:r w:rsidRPr="00636598">
              <w:t>jāizdara grozījumi</w:t>
            </w:r>
            <w:r>
              <w:t xml:space="preserve"> </w:t>
            </w:r>
            <w:r w:rsidR="000D4FAD">
              <w:t xml:space="preserve">2006. gada 31. oktobra Ministru kabineta noteikumos Nr. 899 </w:t>
            </w:r>
            <w:r w:rsidR="000D4FAD" w:rsidRPr="007D28C5">
              <w:rPr>
                <w:color w:val="000000"/>
              </w:rPr>
              <w:t>"</w:t>
            </w:r>
            <w:r w:rsidR="000D4FAD">
              <w:t>Ambulatorajai ārstēšanai paredzēto zāļu un medicīnisko ierīču iegādes izdevumu kompensācijas kārtība</w:t>
            </w:r>
            <w:r w:rsidR="000D4FAD" w:rsidRPr="007D28C5">
              <w:rPr>
                <w:color w:val="000000"/>
              </w:rPr>
              <w:t>"</w:t>
            </w:r>
            <w:r w:rsidR="000D4FAD">
              <w:rPr>
                <w:color w:val="000000"/>
              </w:rPr>
              <w:t xml:space="preserve">, svītrojot no tiem </w:t>
            </w:r>
            <w:r w:rsidR="000D4FAD" w:rsidRPr="000D4FAD">
              <w:t>zāļu iegādes izdevum</w:t>
            </w:r>
            <w:r w:rsidR="000D4FAD">
              <w:t>u</w:t>
            </w:r>
            <w:r w:rsidR="000D4FAD" w:rsidRPr="000D4FAD">
              <w:t xml:space="preserve"> kompens</w:t>
            </w:r>
            <w:r w:rsidR="000D4FAD">
              <w:t>āciju n</w:t>
            </w:r>
            <w:r w:rsidR="000D4FAD" w:rsidRPr="000D4FAD">
              <w:t>epieciešamīb</w:t>
            </w:r>
            <w:r w:rsidR="000D4FAD">
              <w:t>ai</w:t>
            </w:r>
            <w:r w:rsidR="000D4FAD" w:rsidRPr="000D4FAD">
              <w:t xml:space="preserve"> imunizēt pret gripu</w:t>
            </w:r>
            <w:r w:rsidR="000D4FAD">
              <w:t xml:space="preserve"> </w:t>
            </w:r>
            <w:r w:rsidR="000D4FAD" w:rsidRPr="000D4FAD">
              <w:t>grūtniec</w:t>
            </w:r>
            <w:r w:rsidR="000D4FAD">
              <w:t xml:space="preserve">es un </w:t>
            </w:r>
            <w:r w:rsidR="000D4FAD" w:rsidRPr="000D4FAD">
              <w:t>bērn</w:t>
            </w:r>
            <w:r w:rsidR="000D4FAD">
              <w:t>us</w:t>
            </w:r>
            <w:r w:rsidR="000D4FAD" w:rsidRPr="000D4FAD">
              <w:t xml:space="preserve"> vecumā no 6 līdz 24 mēnešiem</w:t>
            </w:r>
            <w:r w:rsidR="000D4FAD">
              <w:t>.</w:t>
            </w:r>
          </w:p>
        </w:tc>
      </w:tr>
      <w:tr w:rsidR="00C1197B" w:rsidRPr="00C1197B" w14:paraId="7A2D26EE" w14:textId="77777777" w:rsidTr="00C1197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909EEB3" w14:textId="77777777" w:rsidR="00C1197B" w:rsidRPr="00C1197B" w:rsidRDefault="00C1197B">
            <w:pPr>
              <w:pStyle w:val="tvhtml"/>
              <w:spacing w:line="293" w:lineRule="atLeast"/>
              <w:jc w:val="center"/>
            </w:pPr>
            <w:r w:rsidRPr="00C1197B">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D172B42" w14:textId="77777777" w:rsidR="00C1197B" w:rsidRPr="00C1197B" w:rsidRDefault="00C1197B">
            <w:r w:rsidRPr="00C1197B">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CE361D6" w14:textId="5B06E047" w:rsidR="00C1197B" w:rsidRPr="00C1197B" w:rsidRDefault="00BA1BC3">
            <w:r>
              <w:t>VM</w:t>
            </w:r>
          </w:p>
        </w:tc>
      </w:tr>
      <w:tr w:rsidR="00C1197B" w:rsidRPr="00C1197B" w14:paraId="4DD3E139" w14:textId="77777777" w:rsidTr="00C1197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3B70A6" w14:textId="77777777" w:rsidR="00C1197B" w:rsidRPr="00C1197B" w:rsidRDefault="00C1197B">
            <w:pPr>
              <w:pStyle w:val="tvhtml"/>
              <w:spacing w:line="293" w:lineRule="atLeast"/>
              <w:jc w:val="center"/>
            </w:pPr>
            <w:r w:rsidRPr="00C1197B">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05D5144" w14:textId="77777777" w:rsidR="00C1197B" w:rsidRPr="00C1197B" w:rsidRDefault="00C1197B">
            <w:r w:rsidRPr="00C1197B">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7038A0D" w14:textId="77777777" w:rsidR="00C1197B" w:rsidRPr="00C1197B" w:rsidRDefault="00C1197B">
            <w:r w:rsidRPr="00C1197B">
              <w:t>Nav</w:t>
            </w:r>
          </w:p>
        </w:tc>
      </w:tr>
    </w:tbl>
    <w:p w14:paraId="54743301" w14:textId="77777777" w:rsidR="00C1197B" w:rsidRDefault="00C1197B" w:rsidP="0005551D">
      <w:pPr>
        <w:jc w:val="both"/>
        <w:rPr>
          <w:sz w:val="28"/>
          <w:szCs w:val="28"/>
        </w:rPr>
      </w:pPr>
    </w:p>
    <w:tbl>
      <w:tblPr>
        <w:tblStyle w:val="TableGrid"/>
        <w:tblW w:w="0" w:type="auto"/>
        <w:tblLook w:val="04A0" w:firstRow="1" w:lastRow="0" w:firstColumn="1" w:lastColumn="0" w:noHBand="0" w:noVBand="1"/>
      </w:tblPr>
      <w:tblGrid>
        <w:gridCol w:w="9061"/>
      </w:tblGrid>
      <w:tr w:rsidR="004C7F67" w:rsidRPr="000201B5" w14:paraId="0351A053" w14:textId="77777777" w:rsidTr="004C7F67">
        <w:tc>
          <w:tcPr>
            <w:tcW w:w="9287" w:type="dxa"/>
          </w:tcPr>
          <w:p w14:paraId="08D58B67" w14:textId="77777777" w:rsidR="004C7F67" w:rsidRPr="000201B5" w:rsidRDefault="00E544F9" w:rsidP="00557DC6">
            <w:pPr>
              <w:jc w:val="center"/>
              <w:rPr>
                <w:b/>
              </w:rPr>
            </w:pPr>
            <w:r w:rsidRPr="000201B5">
              <w:rPr>
                <w:b/>
              </w:rPr>
              <w:t>V. Tiesību akta projekta atbilstība Latvijas Republikas starptautiskajām saistībām</w:t>
            </w:r>
          </w:p>
        </w:tc>
      </w:tr>
      <w:tr w:rsidR="00557DC6" w:rsidRPr="000201B5" w14:paraId="6C870AF8" w14:textId="77777777" w:rsidTr="004C7F67">
        <w:tc>
          <w:tcPr>
            <w:tcW w:w="9287" w:type="dxa"/>
          </w:tcPr>
          <w:p w14:paraId="6D804294" w14:textId="77777777" w:rsidR="00557DC6" w:rsidRPr="000201B5" w:rsidRDefault="00557DC6" w:rsidP="002F1739">
            <w:pPr>
              <w:jc w:val="center"/>
            </w:pPr>
            <w:r w:rsidRPr="000201B5">
              <w:t>Projekts šo jomu neskar.</w:t>
            </w:r>
          </w:p>
        </w:tc>
      </w:tr>
    </w:tbl>
    <w:p w14:paraId="13BCCFE5" w14:textId="77777777" w:rsidR="00224822" w:rsidRDefault="00224822" w:rsidP="000201B5">
      <w:pPr>
        <w:rPr>
          <w:sz w:val="28"/>
          <w:szCs w:val="28"/>
        </w:rPr>
      </w:pPr>
    </w:p>
    <w:tbl>
      <w:tblPr>
        <w:tblStyle w:val="TableGrid"/>
        <w:tblW w:w="5000" w:type="pct"/>
        <w:tblLook w:val="04A0" w:firstRow="1" w:lastRow="0" w:firstColumn="1" w:lastColumn="0" w:noHBand="0" w:noVBand="1"/>
      </w:tblPr>
      <w:tblGrid>
        <w:gridCol w:w="453"/>
        <w:gridCol w:w="2718"/>
        <w:gridCol w:w="725"/>
        <w:gridCol w:w="5165"/>
      </w:tblGrid>
      <w:tr w:rsidR="006414CC" w:rsidRPr="009A75D6" w14:paraId="4DCFCB2B" w14:textId="77777777" w:rsidTr="00C8222D">
        <w:trPr>
          <w:trHeight w:val="246"/>
        </w:trPr>
        <w:tc>
          <w:tcPr>
            <w:tcW w:w="0" w:type="auto"/>
            <w:gridSpan w:val="4"/>
            <w:hideMark/>
          </w:tcPr>
          <w:p w14:paraId="4D804B26" w14:textId="77777777" w:rsidR="006414CC" w:rsidRPr="009A75D6" w:rsidRDefault="006414CC" w:rsidP="006414CC">
            <w:pPr>
              <w:pStyle w:val="tvhtml"/>
              <w:spacing w:line="293" w:lineRule="atLeast"/>
              <w:jc w:val="center"/>
              <w:rPr>
                <w:b/>
                <w:bCs/>
                <w:lang w:val="lv-LV"/>
              </w:rPr>
            </w:pPr>
            <w:r w:rsidRPr="009A75D6">
              <w:rPr>
                <w:b/>
                <w:bCs/>
                <w:lang w:val="lv-LV"/>
              </w:rPr>
              <w:t>VI. Sabiedrības līdzdalība un komunikācijas aktivitātes</w:t>
            </w:r>
          </w:p>
        </w:tc>
      </w:tr>
      <w:tr w:rsidR="006414CC" w:rsidRPr="009A75D6" w14:paraId="0F0705FE" w14:textId="77777777" w:rsidTr="006414CC">
        <w:trPr>
          <w:trHeight w:val="540"/>
        </w:trPr>
        <w:tc>
          <w:tcPr>
            <w:tcW w:w="250" w:type="pct"/>
            <w:hideMark/>
          </w:tcPr>
          <w:p w14:paraId="37B20CB5" w14:textId="77777777" w:rsidR="006414CC" w:rsidRPr="009A75D6" w:rsidRDefault="006414CC" w:rsidP="006414CC">
            <w:r w:rsidRPr="009A75D6">
              <w:t>1.</w:t>
            </w:r>
          </w:p>
        </w:tc>
        <w:tc>
          <w:tcPr>
            <w:tcW w:w="1500" w:type="pct"/>
            <w:hideMark/>
          </w:tcPr>
          <w:p w14:paraId="449E5EA9" w14:textId="77777777" w:rsidR="006414CC" w:rsidRPr="009A75D6" w:rsidRDefault="006414CC" w:rsidP="006414CC">
            <w:r w:rsidRPr="009A75D6">
              <w:t>Plānotās sabiedrības līdzdalības un komunikācijas aktivitātes saistībā ar projektu</w:t>
            </w:r>
          </w:p>
        </w:tc>
        <w:tc>
          <w:tcPr>
            <w:tcW w:w="3250" w:type="pct"/>
            <w:gridSpan w:val="2"/>
            <w:hideMark/>
          </w:tcPr>
          <w:p w14:paraId="0AA24A3F" w14:textId="68E54C80" w:rsidR="00207E8B" w:rsidRPr="0027377F" w:rsidRDefault="00C16BC9" w:rsidP="00747391">
            <w:pPr>
              <w:jc w:val="both"/>
            </w:pPr>
            <w:r w:rsidRPr="0027377F">
              <w:t xml:space="preserve">Informācija par </w:t>
            </w:r>
            <w:r w:rsidR="00D242F6">
              <w:t>sabiedrisko apspriedi</w:t>
            </w:r>
            <w:r w:rsidRPr="0027377F">
              <w:t xml:space="preserve"> </w:t>
            </w:r>
            <w:r w:rsidR="002E5969">
              <w:t>2018. gada 5. oktobrī tika ievietota</w:t>
            </w:r>
            <w:r w:rsidR="007229DB">
              <w:t xml:space="preserve"> VM </w:t>
            </w:r>
            <w:r w:rsidR="00F23C31" w:rsidRPr="00F23C31">
              <w:t xml:space="preserve">tīmekļa vietnē </w:t>
            </w:r>
            <w:hyperlink r:id="rId8" w:history="1">
              <w:r w:rsidR="002E5969" w:rsidRPr="001A2285">
                <w:rPr>
                  <w:rStyle w:val="Hyperlink"/>
                </w:rPr>
                <w:t>www.vm.gov.lv</w:t>
              </w:r>
            </w:hyperlink>
            <w:r w:rsidR="002E5969">
              <w:t xml:space="preserve">, kā arī par to papildus tika </w:t>
            </w:r>
            <w:r w:rsidR="002E5969" w:rsidRPr="002E5969">
              <w:t>informētas šādas organizācijas:</w:t>
            </w:r>
            <w:r w:rsidR="00DE560D">
              <w:t xml:space="preserve"> </w:t>
            </w:r>
            <w:r w:rsidR="00F93C15">
              <w:t>SPKC, VI, ZVA,</w:t>
            </w:r>
            <w:r w:rsidR="00DE560D">
              <w:t xml:space="preserve"> </w:t>
            </w:r>
            <w:r w:rsidR="00F93C15">
              <w:t xml:space="preserve">NVD, </w:t>
            </w:r>
            <w:r w:rsidR="00DE560D">
              <w:t>Rīgas Austrumu klīniskā u</w:t>
            </w:r>
            <w:r w:rsidR="00F93C15">
              <w:t xml:space="preserve">niversitātes slimnīca, </w:t>
            </w:r>
            <w:r w:rsidR="00DE560D">
              <w:t>Bērnu klīniskā univ</w:t>
            </w:r>
            <w:r w:rsidR="00F93C15">
              <w:t xml:space="preserve">ersitātes slimnīca, </w:t>
            </w:r>
            <w:r w:rsidR="00DE560D">
              <w:t>Paula Stradiņa klīniskā u</w:t>
            </w:r>
            <w:r w:rsidR="00F93C15">
              <w:t xml:space="preserve">niversitātes slimnīca, </w:t>
            </w:r>
            <w:r w:rsidR="00DE560D">
              <w:t>Latvijas Ģimenes ārstu asociācija</w:t>
            </w:r>
            <w:r w:rsidR="00F93C15">
              <w:t xml:space="preserve">, </w:t>
            </w:r>
            <w:r w:rsidR="00DE560D">
              <w:t>Latvijas Lauku ģimenes ārstu asociācija</w:t>
            </w:r>
            <w:r w:rsidR="00F93C15">
              <w:t xml:space="preserve">, </w:t>
            </w:r>
            <w:r w:rsidR="00DE560D">
              <w:t>Latvijas Ārstu biedrība</w:t>
            </w:r>
            <w:r w:rsidR="00F93C15">
              <w:t xml:space="preserve">, </w:t>
            </w:r>
            <w:r w:rsidR="00DE560D">
              <w:t>Rīgas Stradiņa universi</w:t>
            </w:r>
            <w:r w:rsidR="00F93C15">
              <w:t xml:space="preserve">tāte, Rīgas Dzemdību nams, </w:t>
            </w:r>
            <w:r w:rsidR="00DE560D">
              <w:t>Māmiņu klubs</w:t>
            </w:r>
            <w:r w:rsidR="00F93C15">
              <w:t>.</w:t>
            </w:r>
          </w:p>
        </w:tc>
      </w:tr>
      <w:tr w:rsidR="001F342B" w:rsidRPr="009A75D6" w14:paraId="499BB6C7" w14:textId="77777777" w:rsidTr="006414CC">
        <w:trPr>
          <w:trHeight w:val="330"/>
        </w:trPr>
        <w:tc>
          <w:tcPr>
            <w:tcW w:w="250" w:type="pct"/>
            <w:hideMark/>
          </w:tcPr>
          <w:p w14:paraId="1B7D901B" w14:textId="77777777" w:rsidR="001F342B" w:rsidRPr="009A75D6" w:rsidRDefault="001F342B" w:rsidP="006414CC">
            <w:r w:rsidRPr="009A75D6">
              <w:t>2.</w:t>
            </w:r>
          </w:p>
        </w:tc>
        <w:tc>
          <w:tcPr>
            <w:tcW w:w="1500" w:type="pct"/>
            <w:hideMark/>
          </w:tcPr>
          <w:p w14:paraId="3B0E2371" w14:textId="77777777" w:rsidR="001F342B" w:rsidRPr="009A75D6" w:rsidRDefault="001F342B" w:rsidP="006414CC">
            <w:r w:rsidRPr="009A75D6">
              <w:t>Sabiedrības līdzdalība projekta izstrādē</w:t>
            </w:r>
          </w:p>
        </w:tc>
        <w:tc>
          <w:tcPr>
            <w:tcW w:w="3250" w:type="pct"/>
            <w:gridSpan w:val="2"/>
            <w:hideMark/>
          </w:tcPr>
          <w:p w14:paraId="5054F906" w14:textId="77777777" w:rsidR="001F342B" w:rsidRDefault="004B0BC3" w:rsidP="0088687A">
            <w:pPr>
              <w:pStyle w:val="naiskr"/>
              <w:spacing w:before="20" w:after="20"/>
              <w:jc w:val="both"/>
            </w:pPr>
            <w:r>
              <w:t>Uz</w:t>
            </w:r>
            <w:r w:rsidRPr="004B0BC3">
              <w:t xml:space="preserve"> 2018.</w:t>
            </w:r>
            <w:r>
              <w:t> </w:t>
            </w:r>
            <w:r w:rsidRPr="004B0BC3">
              <w:t xml:space="preserve">gada </w:t>
            </w:r>
            <w:r>
              <w:t>5</w:t>
            </w:r>
            <w:r w:rsidRPr="004B0BC3">
              <w:t>.</w:t>
            </w:r>
            <w:r>
              <w:t> oktobrī</w:t>
            </w:r>
            <w:r w:rsidRPr="004B0BC3">
              <w:t xml:space="preserve"> VM organizēt</w:t>
            </w:r>
            <w:r>
              <w:t>o</w:t>
            </w:r>
            <w:r w:rsidRPr="004B0BC3">
              <w:t xml:space="preserve"> </w:t>
            </w:r>
            <w:r>
              <w:t>sabiedrisko apspriedi organizāciju pārstāvji neieradās.</w:t>
            </w:r>
          </w:p>
          <w:p w14:paraId="3C620CB9" w14:textId="1D820DF8" w:rsidR="004B0BC3" w:rsidRDefault="004B0BC3" w:rsidP="0088687A">
            <w:pPr>
              <w:pStyle w:val="naiskr"/>
              <w:spacing w:before="20" w:after="20"/>
              <w:jc w:val="both"/>
            </w:pPr>
            <w:r>
              <w:t xml:space="preserve">Latvijas Ārstu biedrība elektroniski pauda gatavību </w:t>
            </w:r>
            <w:r w:rsidR="0034256F">
              <w:t>informēt</w:t>
            </w:r>
            <w:r>
              <w:t xml:space="preserve"> </w:t>
            </w:r>
            <w:r w:rsidR="0034256F">
              <w:t xml:space="preserve">ārstus par </w:t>
            </w:r>
            <w:r>
              <w:t>plānot</w:t>
            </w:r>
            <w:r w:rsidR="0034256F">
              <w:t>ajām izmaiņām</w:t>
            </w:r>
            <w:r>
              <w:t xml:space="preserve"> vakcinācijas kalendārā.</w:t>
            </w:r>
          </w:p>
          <w:p w14:paraId="28727268" w14:textId="350183FE" w:rsidR="004B0BC3" w:rsidRPr="009A75D6" w:rsidRDefault="00D907A3" w:rsidP="0088687A">
            <w:pPr>
              <w:pStyle w:val="naiskr"/>
              <w:spacing w:before="20" w:after="20"/>
              <w:jc w:val="both"/>
            </w:pPr>
            <w:r>
              <w:t xml:space="preserve">Latvijas Lauku ģimenes ārstu asociācija uz sabiedrisko apspriedi </w:t>
            </w:r>
            <w:r w:rsidR="00707801">
              <w:t xml:space="preserve">2018. gada 15. oktobrī </w:t>
            </w:r>
            <w:r>
              <w:t>iesūtīja priekšlikumu anotācijas papildināšanai.</w:t>
            </w:r>
          </w:p>
        </w:tc>
      </w:tr>
      <w:tr w:rsidR="006414CC" w:rsidRPr="009A75D6" w14:paraId="4E58BFEC" w14:textId="77777777" w:rsidTr="006414CC">
        <w:trPr>
          <w:trHeight w:val="465"/>
        </w:trPr>
        <w:tc>
          <w:tcPr>
            <w:tcW w:w="250" w:type="pct"/>
            <w:hideMark/>
          </w:tcPr>
          <w:p w14:paraId="75BFD691" w14:textId="77777777" w:rsidR="006414CC" w:rsidRPr="009A75D6" w:rsidRDefault="006414CC" w:rsidP="006414CC">
            <w:r w:rsidRPr="009A75D6">
              <w:t>3.</w:t>
            </w:r>
          </w:p>
        </w:tc>
        <w:tc>
          <w:tcPr>
            <w:tcW w:w="1500" w:type="pct"/>
            <w:hideMark/>
          </w:tcPr>
          <w:p w14:paraId="5B97768E" w14:textId="77777777" w:rsidR="006414CC" w:rsidRPr="009A75D6" w:rsidRDefault="006414CC" w:rsidP="006414CC">
            <w:r w:rsidRPr="009A75D6">
              <w:t>Sabiedrības līdzdalības rezultāti</w:t>
            </w:r>
          </w:p>
        </w:tc>
        <w:tc>
          <w:tcPr>
            <w:tcW w:w="3250" w:type="pct"/>
            <w:gridSpan w:val="2"/>
            <w:hideMark/>
          </w:tcPr>
          <w:p w14:paraId="5CAC056B" w14:textId="1035A623" w:rsidR="001D4677" w:rsidRPr="009A75D6" w:rsidRDefault="00D907A3" w:rsidP="006C5036">
            <w:pPr>
              <w:pStyle w:val="naiskr"/>
              <w:spacing w:before="20" w:after="20"/>
              <w:jc w:val="both"/>
            </w:pPr>
            <w:r>
              <w:t>Latvijas Lauku ģimenes ārstu asociācijas priekšlikums anotācijas precizēšanai tika ņemts vērā.</w:t>
            </w:r>
          </w:p>
        </w:tc>
      </w:tr>
      <w:tr w:rsidR="00CF4CFB" w:rsidRPr="009A75D6" w14:paraId="6136616E" w14:textId="77777777" w:rsidTr="000170AE">
        <w:trPr>
          <w:trHeight w:val="465"/>
        </w:trPr>
        <w:tc>
          <w:tcPr>
            <w:tcW w:w="250" w:type="pct"/>
            <w:hideMark/>
          </w:tcPr>
          <w:p w14:paraId="3DC7A9B6" w14:textId="77777777" w:rsidR="00CF4CFB" w:rsidRPr="009A75D6" w:rsidRDefault="00CF4CFB" w:rsidP="00CF4CFB">
            <w:r w:rsidRPr="009A75D6">
              <w:t>4.</w:t>
            </w:r>
          </w:p>
        </w:tc>
        <w:tc>
          <w:tcPr>
            <w:tcW w:w="1500" w:type="pct"/>
            <w:hideMark/>
          </w:tcPr>
          <w:p w14:paraId="2FC670F4" w14:textId="77777777" w:rsidR="00CF4CFB" w:rsidRPr="009A75D6" w:rsidRDefault="00CF4CFB" w:rsidP="00CF4CFB">
            <w:r w:rsidRPr="009A75D6">
              <w:t>Cita informācija</w:t>
            </w:r>
          </w:p>
        </w:tc>
        <w:tc>
          <w:tcPr>
            <w:tcW w:w="3250" w:type="pct"/>
            <w:gridSpan w:val="2"/>
          </w:tcPr>
          <w:p w14:paraId="6AE7FF34" w14:textId="77777777" w:rsidR="00CF4CFB" w:rsidRPr="009A75D6" w:rsidRDefault="00CF4CFB" w:rsidP="00CF4CFB">
            <w:pPr>
              <w:pStyle w:val="tvhtml"/>
              <w:spacing w:before="0" w:beforeAutospacing="0" w:after="0" w:afterAutospacing="0"/>
              <w:rPr>
                <w:lang w:val="lv-LV"/>
              </w:rPr>
            </w:pPr>
            <w:r w:rsidRPr="009A75D6">
              <w:rPr>
                <w:lang w:val="lv-LV"/>
              </w:rPr>
              <w:t>Nav</w:t>
            </w:r>
          </w:p>
        </w:tc>
      </w:tr>
      <w:tr w:rsidR="00C6758B" w:rsidRPr="009A75D6" w14:paraId="4F3403BB" w14:textId="77777777" w:rsidTr="00610063">
        <w:trPr>
          <w:trHeight w:val="375"/>
        </w:trPr>
        <w:tc>
          <w:tcPr>
            <w:tcW w:w="0" w:type="auto"/>
            <w:gridSpan w:val="4"/>
            <w:hideMark/>
          </w:tcPr>
          <w:p w14:paraId="284A8DF0" w14:textId="77777777" w:rsidR="00C6758B" w:rsidRPr="009A75D6" w:rsidRDefault="00C6758B">
            <w:pPr>
              <w:pStyle w:val="tvhtml"/>
              <w:spacing w:line="293" w:lineRule="atLeast"/>
              <w:jc w:val="center"/>
              <w:rPr>
                <w:b/>
                <w:bCs/>
                <w:lang w:val="lv-LV"/>
              </w:rPr>
            </w:pPr>
            <w:r w:rsidRPr="009A75D6">
              <w:rPr>
                <w:b/>
                <w:bCs/>
                <w:lang w:val="lv-LV"/>
              </w:rPr>
              <w:t>VII. Tiesību akta projekta izpildes nodrošināšana un tās ietekme uz institūcijām</w:t>
            </w:r>
          </w:p>
        </w:tc>
      </w:tr>
      <w:tr w:rsidR="00C6758B" w:rsidRPr="009A75D6" w14:paraId="3E1A6D58" w14:textId="77777777" w:rsidTr="00610063">
        <w:trPr>
          <w:trHeight w:val="420"/>
        </w:trPr>
        <w:tc>
          <w:tcPr>
            <w:tcW w:w="250" w:type="pct"/>
            <w:hideMark/>
          </w:tcPr>
          <w:p w14:paraId="19800B15" w14:textId="77777777" w:rsidR="00C6758B" w:rsidRPr="009A75D6" w:rsidRDefault="00C6758B">
            <w:r w:rsidRPr="009A75D6">
              <w:t>1.</w:t>
            </w:r>
          </w:p>
        </w:tc>
        <w:tc>
          <w:tcPr>
            <w:tcW w:w="1900" w:type="pct"/>
            <w:gridSpan w:val="2"/>
            <w:hideMark/>
          </w:tcPr>
          <w:p w14:paraId="6035D88D" w14:textId="77777777" w:rsidR="00C6758B" w:rsidRPr="009A75D6" w:rsidRDefault="00C6758B">
            <w:r w:rsidRPr="009A75D6">
              <w:t>Projekta izpildē iesaistītās institūcijas</w:t>
            </w:r>
          </w:p>
        </w:tc>
        <w:tc>
          <w:tcPr>
            <w:tcW w:w="2850" w:type="pct"/>
            <w:hideMark/>
          </w:tcPr>
          <w:p w14:paraId="7972A46A" w14:textId="58724148" w:rsidR="00A77E6F" w:rsidRPr="00EE1195" w:rsidRDefault="00397CDD" w:rsidP="00642932">
            <w:pPr>
              <w:jc w:val="both"/>
            </w:pPr>
            <w:r>
              <w:t>SPKC</w:t>
            </w:r>
            <w:r w:rsidR="001A3E13" w:rsidRPr="009A75D6">
              <w:t xml:space="preserve">, </w:t>
            </w:r>
            <w:r>
              <w:t>VI</w:t>
            </w:r>
            <w:r w:rsidR="001A3E13" w:rsidRPr="009A75D6">
              <w:t>,</w:t>
            </w:r>
            <w:r w:rsidR="005F6A47" w:rsidRPr="009A75D6">
              <w:t xml:space="preserve"> </w:t>
            </w:r>
            <w:r>
              <w:t>NVD</w:t>
            </w:r>
            <w:r w:rsidR="005F6A47" w:rsidRPr="009A75D6">
              <w:t>.</w:t>
            </w:r>
          </w:p>
        </w:tc>
      </w:tr>
      <w:tr w:rsidR="00B07564" w:rsidRPr="009A75D6" w14:paraId="641086EE" w14:textId="77777777" w:rsidTr="00610063">
        <w:trPr>
          <w:trHeight w:val="450"/>
        </w:trPr>
        <w:tc>
          <w:tcPr>
            <w:tcW w:w="250" w:type="pct"/>
            <w:hideMark/>
          </w:tcPr>
          <w:p w14:paraId="16E1A61C" w14:textId="77777777" w:rsidR="00B07564" w:rsidRPr="009A75D6" w:rsidRDefault="00B07564">
            <w:r w:rsidRPr="009A75D6">
              <w:t>2.</w:t>
            </w:r>
          </w:p>
        </w:tc>
        <w:tc>
          <w:tcPr>
            <w:tcW w:w="1900" w:type="pct"/>
            <w:gridSpan w:val="2"/>
            <w:hideMark/>
          </w:tcPr>
          <w:p w14:paraId="69AE2B2E" w14:textId="77777777" w:rsidR="00B07564" w:rsidRPr="009A75D6" w:rsidRDefault="00B07564" w:rsidP="00F47742">
            <w:r w:rsidRPr="009A75D6">
              <w:t>Projekta izpildes ietekme uz pārvaldes funkcijām un institucionālo struktūru.</w:t>
            </w:r>
          </w:p>
          <w:p w14:paraId="59BB6797" w14:textId="77777777" w:rsidR="00B07564" w:rsidRPr="009A75D6" w:rsidRDefault="00B07564" w:rsidP="00F47742">
            <w:pPr>
              <w:pStyle w:val="tvhtml"/>
              <w:spacing w:before="0" w:beforeAutospacing="0" w:after="0" w:afterAutospacing="0"/>
              <w:rPr>
                <w:lang w:val="lv-LV"/>
              </w:rPr>
            </w:pPr>
            <w:r w:rsidRPr="009A75D6">
              <w:rPr>
                <w:lang w:val="lv-LV"/>
              </w:rPr>
              <w:t>Jaunu institūciju izveide, esošu institūciju likvidācija vai reorganizācija, to ietekme uz institūcijas cilvēkresursiem</w:t>
            </w:r>
          </w:p>
        </w:tc>
        <w:tc>
          <w:tcPr>
            <w:tcW w:w="2850" w:type="pct"/>
            <w:hideMark/>
          </w:tcPr>
          <w:p w14:paraId="0581EA92" w14:textId="77777777" w:rsidR="00B07564" w:rsidRPr="009A75D6" w:rsidRDefault="00B07564" w:rsidP="00F65F2C">
            <w:pPr>
              <w:jc w:val="both"/>
            </w:pPr>
            <w:r w:rsidRPr="009A75D6">
              <w:t>Saistībā ar noteikumu projekta izpildi nav nepieciešams veidot jaunas institūcijas, likvidēt vai reorganizēt esošās.</w:t>
            </w:r>
          </w:p>
        </w:tc>
      </w:tr>
      <w:tr w:rsidR="00C6758B" w:rsidRPr="009A75D6" w14:paraId="0E3F4FB7" w14:textId="77777777" w:rsidTr="00610063">
        <w:trPr>
          <w:trHeight w:val="390"/>
        </w:trPr>
        <w:tc>
          <w:tcPr>
            <w:tcW w:w="250" w:type="pct"/>
            <w:hideMark/>
          </w:tcPr>
          <w:p w14:paraId="69153286" w14:textId="77777777" w:rsidR="00C6758B" w:rsidRPr="009A75D6" w:rsidRDefault="00C6758B" w:rsidP="00F47742">
            <w:r w:rsidRPr="009A75D6">
              <w:lastRenderedPageBreak/>
              <w:t>3.</w:t>
            </w:r>
          </w:p>
        </w:tc>
        <w:tc>
          <w:tcPr>
            <w:tcW w:w="1900" w:type="pct"/>
            <w:gridSpan w:val="2"/>
            <w:hideMark/>
          </w:tcPr>
          <w:p w14:paraId="6D402541" w14:textId="77777777" w:rsidR="00C6758B" w:rsidRPr="009A75D6" w:rsidRDefault="00C6758B" w:rsidP="00F47742">
            <w:r w:rsidRPr="009A75D6">
              <w:t>Cita informācija</w:t>
            </w:r>
          </w:p>
        </w:tc>
        <w:tc>
          <w:tcPr>
            <w:tcW w:w="2850" w:type="pct"/>
            <w:hideMark/>
          </w:tcPr>
          <w:p w14:paraId="50E22201" w14:textId="77777777" w:rsidR="00C6758B" w:rsidRPr="009A75D6" w:rsidRDefault="008F588F" w:rsidP="00F47742">
            <w:pPr>
              <w:pStyle w:val="tvhtml"/>
              <w:spacing w:before="0" w:beforeAutospacing="0" w:after="0" w:afterAutospacing="0"/>
              <w:rPr>
                <w:lang w:val="lv-LV"/>
              </w:rPr>
            </w:pPr>
            <w:r w:rsidRPr="009A75D6">
              <w:rPr>
                <w:lang w:val="lv-LV"/>
              </w:rPr>
              <w:t>Nav</w:t>
            </w:r>
          </w:p>
        </w:tc>
      </w:tr>
    </w:tbl>
    <w:p w14:paraId="2DE1E0AB" w14:textId="77777777" w:rsidR="00103BAD" w:rsidRPr="007848A3" w:rsidRDefault="00103BAD" w:rsidP="00A57857">
      <w:pPr>
        <w:jc w:val="both"/>
        <w:rPr>
          <w:b/>
          <w:sz w:val="48"/>
          <w:szCs w:val="48"/>
        </w:rPr>
      </w:pPr>
    </w:p>
    <w:p w14:paraId="4D74DB02" w14:textId="77777777" w:rsidR="00AE2D74" w:rsidRPr="00FF03A1" w:rsidRDefault="00AE2D74" w:rsidP="00AE2D74">
      <w:pPr>
        <w:rPr>
          <w:sz w:val="28"/>
          <w:szCs w:val="28"/>
        </w:rPr>
      </w:pPr>
      <w:r w:rsidRPr="00FF03A1">
        <w:rPr>
          <w:sz w:val="28"/>
          <w:szCs w:val="28"/>
        </w:rPr>
        <w:t>Veselības ministr</w:t>
      </w:r>
      <w:r w:rsidR="008B5DC8">
        <w:rPr>
          <w:sz w:val="28"/>
          <w:szCs w:val="28"/>
        </w:rPr>
        <w:t>e</w:t>
      </w:r>
      <w:r w:rsidR="009137AC">
        <w:rPr>
          <w:sz w:val="28"/>
          <w:szCs w:val="28"/>
        </w:rPr>
        <w:t xml:space="preserve"> </w:t>
      </w:r>
      <w:r w:rsidR="009137AC">
        <w:rPr>
          <w:sz w:val="28"/>
          <w:szCs w:val="28"/>
        </w:rPr>
        <w:tab/>
      </w:r>
      <w:r w:rsidR="009137AC">
        <w:rPr>
          <w:sz w:val="28"/>
          <w:szCs w:val="28"/>
        </w:rPr>
        <w:tab/>
      </w:r>
      <w:r w:rsidR="009137AC">
        <w:rPr>
          <w:sz w:val="28"/>
          <w:szCs w:val="28"/>
        </w:rPr>
        <w:tab/>
      </w:r>
      <w:r w:rsidR="009137AC">
        <w:rPr>
          <w:sz w:val="28"/>
          <w:szCs w:val="28"/>
        </w:rPr>
        <w:tab/>
      </w:r>
      <w:r w:rsidR="009137AC">
        <w:rPr>
          <w:sz w:val="28"/>
          <w:szCs w:val="28"/>
        </w:rPr>
        <w:tab/>
      </w:r>
      <w:r w:rsidR="009137AC">
        <w:rPr>
          <w:sz w:val="28"/>
          <w:szCs w:val="28"/>
        </w:rPr>
        <w:tab/>
      </w:r>
      <w:r w:rsidR="009137AC">
        <w:rPr>
          <w:sz w:val="28"/>
          <w:szCs w:val="28"/>
        </w:rPr>
        <w:tab/>
      </w:r>
      <w:r w:rsidR="009137AC">
        <w:rPr>
          <w:sz w:val="28"/>
          <w:szCs w:val="28"/>
        </w:rPr>
        <w:tab/>
        <w:t xml:space="preserve"> </w:t>
      </w:r>
      <w:r w:rsidR="007E361D">
        <w:rPr>
          <w:sz w:val="28"/>
          <w:szCs w:val="28"/>
        </w:rPr>
        <w:t xml:space="preserve">      Anda Čakša</w:t>
      </w:r>
    </w:p>
    <w:p w14:paraId="5E6A7084" w14:textId="77777777" w:rsidR="00203699" w:rsidRPr="00203699" w:rsidRDefault="00203699" w:rsidP="00203699">
      <w:pPr>
        <w:jc w:val="both"/>
        <w:rPr>
          <w:sz w:val="48"/>
          <w:szCs w:val="48"/>
        </w:rPr>
      </w:pPr>
    </w:p>
    <w:p w14:paraId="7369E1AC" w14:textId="3AD8494E" w:rsidR="00203699" w:rsidRPr="00E471F2" w:rsidRDefault="00203699" w:rsidP="00203699">
      <w:pPr>
        <w:jc w:val="both"/>
        <w:rPr>
          <w:sz w:val="28"/>
          <w:szCs w:val="28"/>
        </w:rPr>
      </w:pPr>
      <w:r w:rsidRPr="00E471F2">
        <w:rPr>
          <w:sz w:val="28"/>
          <w:szCs w:val="28"/>
        </w:rPr>
        <w:t xml:space="preserve">Iesniedzējs: Veselības ministre                   </w:t>
      </w:r>
      <w:r>
        <w:rPr>
          <w:sz w:val="28"/>
          <w:szCs w:val="28"/>
        </w:rPr>
        <w:t xml:space="preserve">    </w:t>
      </w:r>
      <w:r>
        <w:rPr>
          <w:sz w:val="28"/>
          <w:szCs w:val="28"/>
        </w:rPr>
        <w:tab/>
      </w:r>
      <w:r>
        <w:rPr>
          <w:sz w:val="28"/>
          <w:szCs w:val="28"/>
        </w:rPr>
        <w:tab/>
        <w:t xml:space="preserve">                 </w:t>
      </w:r>
      <w:r w:rsidRPr="00E471F2">
        <w:rPr>
          <w:sz w:val="28"/>
          <w:szCs w:val="28"/>
        </w:rPr>
        <w:t>Anda Čakša</w:t>
      </w:r>
    </w:p>
    <w:p w14:paraId="1702C23B" w14:textId="77777777" w:rsidR="00457611" w:rsidRPr="00A7131B" w:rsidRDefault="00457611" w:rsidP="00457611">
      <w:pPr>
        <w:rPr>
          <w:sz w:val="48"/>
          <w:szCs w:val="48"/>
        </w:rPr>
      </w:pPr>
    </w:p>
    <w:p w14:paraId="5FE2177D" w14:textId="7D1B7FCB" w:rsidR="00457611" w:rsidRDefault="00457611" w:rsidP="00457611">
      <w:pPr>
        <w:rPr>
          <w:sz w:val="28"/>
          <w:szCs w:val="28"/>
        </w:rPr>
      </w:pPr>
      <w:r w:rsidRPr="0008107F">
        <w:rPr>
          <w:sz w:val="28"/>
          <w:szCs w:val="28"/>
        </w:rPr>
        <w:t>Vīza: Valsts sekretār</w:t>
      </w:r>
      <w:r w:rsidR="00765547">
        <w:rPr>
          <w:sz w:val="28"/>
          <w:szCs w:val="28"/>
        </w:rPr>
        <w:t>a p. i.</w:t>
      </w:r>
      <w:r w:rsidR="00765547">
        <w:rPr>
          <w:sz w:val="28"/>
          <w:szCs w:val="28"/>
        </w:rPr>
        <w:tab/>
      </w:r>
      <w:r w:rsidR="00765547">
        <w:rPr>
          <w:sz w:val="28"/>
          <w:szCs w:val="28"/>
        </w:rPr>
        <w:tab/>
      </w:r>
      <w:r w:rsidR="00765547">
        <w:rPr>
          <w:sz w:val="28"/>
          <w:szCs w:val="28"/>
        </w:rPr>
        <w:tab/>
      </w:r>
      <w:r w:rsidR="00765547">
        <w:rPr>
          <w:sz w:val="28"/>
          <w:szCs w:val="28"/>
        </w:rPr>
        <w:tab/>
        <w:t xml:space="preserve">  </w:t>
      </w:r>
      <w:bookmarkStart w:id="5" w:name="_GoBack"/>
      <w:bookmarkEnd w:id="5"/>
      <w:r w:rsidR="00765547">
        <w:rPr>
          <w:rFonts w:eastAsia="Calibri"/>
          <w:sz w:val="28"/>
          <w:szCs w:val="28"/>
        </w:rPr>
        <w:t>Daina Mūrmane-Umbraško</w:t>
      </w:r>
    </w:p>
    <w:p w14:paraId="7FAC103D" w14:textId="77777777" w:rsidR="00457611" w:rsidRPr="00EE1195" w:rsidRDefault="00457611" w:rsidP="00457611">
      <w:pPr>
        <w:rPr>
          <w:sz w:val="48"/>
          <w:szCs w:val="48"/>
        </w:rPr>
      </w:pPr>
    </w:p>
    <w:p w14:paraId="06F801B4" w14:textId="77777777" w:rsidR="00397D48" w:rsidRPr="00017DE6" w:rsidRDefault="00397D48" w:rsidP="00397D48">
      <w:pPr>
        <w:jc w:val="both"/>
        <w:rPr>
          <w:sz w:val="20"/>
          <w:szCs w:val="20"/>
        </w:rPr>
      </w:pPr>
      <w:r w:rsidRPr="00017DE6">
        <w:rPr>
          <w:sz w:val="20"/>
          <w:szCs w:val="20"/>
        </w:rPr>
        <w:t>Liepiņa</w:t>
      </w:r>
      <w:r w:rsidR="003A5681" w:rsidRPr="00017DE6">
        <w:rPr>
          <w:sz w:val="20"/>
          <w:szCs w:val="20"/>
        </w:rPr>
        <w:t xml:space="preserve"> </w:t>
      </w:r>
      <w:r w:rsidRPr="00017DE6">
        <w:rPr>
          <w:sz w:val="20"/>
          <w:szCs w:val="20"/>
        </w:rPr>
        <w:t>67876080</w:t>
      </w:r>
    </w:p>
    <w:p w14:paraId="73660E82" w14:textId="77777777" w:rsidR="00397D48" w:rsidRPr="003A5681" w:rsidRDefault="00397D48" w:rsidP="00760AD6">
      <w:r w:rsidRPr="00017DE6">
        <w:rPr>
          <w:sz w:val="20"/>
          <w:szCs w:val="20"/>
        </w:rPr>
        <w:t>Inga.Liepina@vm.gov.lv</w:t>
      </w:r>
    </w:p>
    <w:sectPr w:rsidR="00397D48" w:rsidRPr="003A5681" w:rsidSect="007848A3">
      <w:headerReference w:type="even" r:id="rId9"/>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67D9" w14:textId="77777777" w:rsidR="009768E5" w:rsidRDefault="009768E5">
      <w:r>
        <w:separator/>
      </w:r>
    </w:p>
  </w:endnote>
  <w:endnote w:type="continuationSeparator" w:id="0">
    <w:p w14:paraId="1926D939" w14:textId="77777777" w:rsidR="009768E5" w:rsidRDefault="0097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EA96" w14:textId="1B8A2079" w:rsidR="004B0BC3" w:rsidRPr="000A0B6C" w:rsidRDefault="004B0BC3" w:rsidP="000A0B6C">
    <w:pPr>
      <w:pStyle w:val="Footer"/>
    </w:pPr>
    <w:r w:rsidRPr="007848A3">
      <w:t>VManot_</w:t>
    </w:r>
    <w:r w:rsidR="00765547">
      <w:t>30</w:t>
    </w:r>
    <w:r>
      <w:t>1018_vakcin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42C8" w14:textId="393C0EA1" w:rsidR="004B0BC3" w:rsidRPr="007848A3" w:rsidRDefault="004B0BC3" w:rsidP="003F3CED">
    <w:pPr>
      <w:jc w:val="both"/>
      <w:rPr>
        <w:b/>
        <w:bCs/>
      </w:rPr>
    </w:pPr>
    <w:r w:rsidRPr="007848A3">
      <w:t>VManot_</w:t>
    </w:r>
    <w:r w:rsidR="00765547">
      <w:t>30</w:t>
    </w:r>
    <w:r>
      <w:t>1018_vakcin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B043" w14:textId="77777777" w:rsidR="009768E5" w:rsidRDefault="009768E5">
      <w:r>
        <w:separator/>
      </w:r>
    </w:p>
  </w:footnote>
  <w:footnote w:type="continuationSeparator" w:id="0">
    <w:p w14:paraId="245AC90F" w14:textId="77777777" w:rsidR="009768E5" w:rsidRDefault="009768E5">
      <w:r>
        <w:continuationSeparator/>
      </w:r>
    </w:p>
  </w:footnote>
  <w:footnote w:id="1">
    <w:p w14:paraId="0F67B948" w14:textId="77777777" w:rsidR="004B0BC3" w:rsidRDefault="004B0BC3">
      <w:pPr>
        <w:pStyle w:val="FootnoteText"/>
      </w:pPr>
      <w:r>
        <w:rPr>
          <w:rStyle w:val="FootnoteReference"/>
        </w:rPr>
        <w:footnoteRef/>
      </w:r>
      <w:r>
        <w:t xml:space="preserve"> </w:t>
      </w:r>
      <w:r w:rsidRPr="00D40FB5">
        <w:rPr>
          <w:lang w:val="en-GB"/>
        </w:rPr>
        <w:t>Report on the High-level hearing on the implementation of the Council Recommendation on seasonal influenza vaccination; Luxembourg, 30 April 2015</w:t>
      </w:r>
      <w:r w:rsidRPr="00D40FB5">
        <w:t>; https://ec.europa.eu/health/sites/health/files/preparedness_response/docs/ev_20150429_co21_en.pdf</w:t>
      </w:r>
    </w:p>
  </w:footnote>
  <w:footnote w:id="2">
    <w:p w14:paraId="15263F93" w14:textId="77777777" w:rsidR="004B0BC3" w:rsidRPr="00D44E5E" w:rsidRDefault="004B0BC3" w:rsidP="0020022D">
      <w:pPr>
        <w:pStyle w:val="FootnoteText"/>
        <w:jc w:val="both"/>
        <w:rPr>
          <w:lang w:val="en-GB"/>
        </w:rPr>
      </w:pPr>
      <w:r>
        <w:rPr>
          <w:rStyle w:val="FootnoteReference"/>
        </w:rPr>
        <w:footnoteRef/>
      </w:r>
      <w:r>
        <w:t xml:space="preserve"> </w:t>
      </w:r>
      <w:r w:rsidRPr="00D44E5E">
        <w:rPr>
          <w:lang w:val="en-GB"/>
        </w:rPr>
        <w:t>How to calculate vaccine volumes and cold chain capacity requirements. Geneva: World Health</w:t>
      </w:r>
      <w:r>
        <w:rPr>
          <w:lang w:val="en-GB"/>
        </w:rPr>
        <w:t xml:space="preserve"> Organization; </w:t>
      </w:r>
      <w:r w:rsidRPr="00D44E5E">
        <w:rPr>
          <w:lang w:val="en-GB"/>
        </w:rPr>
        <w:t>2017</w:t>
      </w:r>
    </w:p>
  </w:footnote>
  <w:footnote w:id="3">
    <w:p w14:paraId="5E6863F5" w14:textId="3701CF45" w:rsidR="004B0BC3" w:rsidRDefault="004B0BC3">
      <w:pPr>
        <w:pStyle w:val="FootnoteText"/>
      </w:pPr>
      <w:r>
        <w:rPr>
          <w:rStyle w:val="FootnoteReference"/>
        </w:rPr>
        <w:footnoteRef/>
      </w:r>
      <w:r>
        <w:t xml:space="preserve"> </w:t>
      </w:r>
      <w:r w:rsidRPr="001E798A">
        <w:rPr>
          <w:lang w:val="en-GB"/>
        </w:rPr>
        <w:t>The vaccine cold chain</w:t>
      </w:r>
      <w:r w:rsidRPr="001E798A">
        <w:t xml:space="preserve"> (http://www.who.int/immunization/documents/IIP2015_Module2.pdf</w:t>
      </w:r>
      <w:r>
        <w:t>)</w:t>
      </w:r>
    </w:p>
  </w:footnote>
  <w:footnote w:id="4">
    <w:p w14:paraId="308753A2" w14:textId="77777777" w:rsidR="004B0BC3" w:rsidRDefault="004B0BC3">
      <w:pPr>
        <w:pStyle w:val="FootnoteText"/>
      </w:pPr>
      <w:r>
        <w:rPr>
          <w:rStyle w:val="FootnoteReference"/>
        </w:rPr>
        <w:footnoteRef/>
      </w:r>
      <w:r>
        <w:t xml:space="preserve"> </w:t>
      </w:r>
      <w:r w:rsidRPr="00323AB0">
        <w:t>(2014/C 438/04)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12E8" w14:textId="77777777" w:rsidR="004B0BC3" w:rsidRDefault="004B0BC3"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225BA" w14:textId="77777777" w:rsidR="004B0BC3" w:rsidRDefault="004B0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B3B6" w14:textId="77777777" w:rsidR="004B0BC3" w:rsidRDefault="004B0BC3"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0</w:t>
    </w:r>
    <w:r>
      <w:rPr>
        <w:rStyle w:val="PageNumber"/>
      </w:rPr>
      <w:fldChar w:fldCharType="end"/>
    </w:r>
  </w:p>
  <w:p w14:paraId="405335CB" w14:textId="77777777" w:rsidR="004B0BC3" w:rsidRDefault="004B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24B3684"/>
    <w:multiLevelType w:val="hybridMultilevel"/>
    <w:tmpl w:val="3A38D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4A3146"/>
    <w:multiLevelType w:val="hybridMultilevel"/>
    <w:tmpl w:val="B35A0E84"/>
    <w:lvl w:ilvl="0" w:tplc="04260001">
      <w:start w:val="1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E57356"/>
    <w:multiLevelType w:val="hybridMultilevel"/>
    <w:tmpl w:val="C24C5F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FB7E03"/>
    <w:multiLevelType w:val="hybridMultilevel"/>
    <w:tmpl w:val="BE96F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8"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02275F"/>
    <w:multiLevelType w:val="hybridMultilevel"/>
    <w:tmpl w:val="2B387D16"/>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1" w15:restartNumberingAfterBreak="0">
    <w:nsid w:val="573A2609"/>
    <w:multiLevelType w:val="hybridMultilevel"/>
    <w:tmpl w:val="C24C5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396B81"/>
    <w:multiLevelType w:val="hybridMultilevel"/>
    <w:tmpl w:val="3D6CD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E3373D8"/>
    <w:multiLevelType w:val="hybridMultilevel"/>
    <w:tmpl w:val="FACADDFC"/>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6" w15:restartNumberingAfterBreak="0">
    <w:nsid w:val="75661E78"/>
    <w:multiLevelType w:val="hybridMultilevel"/>
    <w:tmpl w:val="1A1CEE2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2"/>
  </w:num>
  <w:num w:numId="3">
    <w:abstractNumId w:val="13"/>
  </w:num>
  <w:num w:numId="4">
    <w:abstractNumId w:val="18"/>
  </w:num>
  <w:num w:numId="5">
    <w:abstractNumId w:val="15"/>
  </w:num>
  <w:num w:numId="6">
    <w:abstractNumId w:val="3"/>
  </w:num>
  <w:num w:numId="7">
    <w:abstractNumId w:val="0"/>
  </w:num>
  <w:num w:numId="8">
    <w:abstractNumId w:val="11"/>
  </w:num>
  <w:num w:numId="9">
    <w:abstractNumId w:val="19"/>
  </w:num>
  <w:num w:numId="10">
    <w:abstractNumId w:val="17"/>
  </w:num>
  <w:num w:numId="11">
    <w:abstractNumId w:val="23"/>
  </w:num>
  <w:num w:numId="12">
    <w:abstractNumId w:val="12"/>
  </w:num>
  <w:num w:numId="13">
    <w:abstractNumId w:val="16"/>
  </w:num>
  <w:num w:numId="14">
    <w:abstractNumId w:val="10"/>
  </w:num>
  <w:num w:numId="15">
    <w:abstractNumId w:val="5"/>
  </w:num>
  <w:num w:numId="16">
    <w:abstractNumId w:val="4"/>
  </w:num>
  <w:num w:numId="17">
    <w:abstractNumId w:val="14"/>
  </w:num>
  <w:num w:numId="18">
    <w:abstractNumId w:val="24"/>
  </w:num>
  <w:num w:numId="19">
    <w:abstractNumId w:val="22"/>
  </w:num>
  <w:num w:numId="20">
    <w:abstractNumId w:val="26"/>
  </w:num>
  <w:num w:numId="21">
    <w:abstractNumId w:val="7"/>
  </w:num>
  <w:num w:numId="22">
    <w:abstractNumId w:val="1"/>
  </w:num>
  <w:num w:numId="23">
    <w:abstractNumId w:val="21"/>
  </w:num>
  <w:num w:numId="24">
    <w:abstractNumId w:val="25"/>
  </w:num>
  <w:num w:numId="25">
    <w:abstractNumId w:val="20"/>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7F"/>
    <w:rsid w:val="00000B90"/>
    <w:rsid w:val="0000165F"/>
    <w:rsid w:val="000036DE"/>
    <w:rsid w:val="000054A6"/>
    <w:rsid w:val="00005FA5"/>
    <w:rsid w:val="000064E6"/>
    <w:rsid w:val="000077EC"/>
    <w:rsid w:val="0000798E"/>
    <w:rsid w:val="00010AA2"/>
    <w:rsid w:val="00012E7E"/>
    <w:rsid w:val="00013BC0"/>
    <w:rsid w:val="00014327"/>
    <w:rsid w:val="000146AE"/>
    <w:rsid w:val="00014F00"/>
    <w:rsid w:val="0001503F"/>
    <w:rsid w:val="00015225"/>
    <w:rsid w:val="000157C0"/>
    <w:rsid w:val="00015E9A"/>
    <w:rsid w:val="000161A2"/>
    <w:rsid w:val="000170AE"/>
    <w:rsid w:val="00017128"/>
    <w:rsid w:val="000172AF"/>
    <w:rsid w:val="00017779"/>
    <w:rsid w:val="00017959"/>
    <w:rsid w:val="00017DE6"/>
    <w:rsid w:val="000201B5"/>
    <w:rsid w:val="00020AD7"/>
    <w:rsid w:val="00020B2B"/>
    <w:rsid w:val="00020BFE"/>
    <w:rsid w:val="00021155"/>
    <w:rsid w:val="00021498"/>
    <w:rsid w:val="00021983"/>
    <w:rsid w:val="00022B5C"/>
    <w:rsid w:val="00023057"/>
    <w:rsid w:val="00023494"/>
    <w:rsid w:val="00023882"/>
    <w:rsid w:val="000245E5"/>
    <w:rsid w:val="0002488F"/>
    <w:rsid w:val="00025276"/>
    <w:rsid w:val="000254FA"/>
    <w:rsid w:val="000257F5"/>
    <w:rsid w:val="0002692D"/>
    <w:rsid w:val="00026D34"/>
    <w:rsid w:val="00026EED"/>
    <w:rsid w:val="00027420"/>
    <w:rsid w:val="00027BFC"/>
    <w:rsid w:val="00030077"/>
    <w:rsid w:val="000305DD"/>
    <w:rsid w:val="00030726"/>
    <w:rsid w:val="000309A5"/>
    <w:rsid w:val="00030ABB"/>
    <w:rsid w:val="0003100C"/>
    <w:rsid w:val="00031C78"/>
    <w:rsid w:val="00033B1A"/>
    <w:rsid w:val="00034357"/>
    <w:rsid w:val="0003601F"/>
    <w:rsid w:val="000364E3"/>
    <w:rsid w:val="00036B5F"/>
    <w:rsid w:val="00037BA3"/>
    <w:rsid w:val="00040228"/>
    <w:rsid w:val="00040CE9"/>
    <w:rsid w:val="000413BB"/>
    <w:rsid w:val="00041597"/>
    <w:rsid w:val="00041927"/>
    <w:rsid w:val="000421DD"/>
    <w:rsid w:val="00042A82"/>
    <w:rsid w:val="00042B6F"/>
    <w:rsid w:val="00042F1E"/>
    <w:rsid w:val="00043575"/>
    <w:rsid w:val="00043E3D"/>
    <w:rsid w:val="00043E73"/>
    <w:rsid w:val="0004422D"/>
    <w:rsid w:val="0004447C"/>
    <w:rsid w:val="00044887"/>
    <w:rsid w:val="00045080"/>
    <w:rsid w:val="000454A3"/>
    <w:rsid w:val="0004569F"/>
    <w:rsid w:val="000465BB"/>
    <w:rsid w:val="00046A57"/>
    <w:rsid w:val="00047099"/>
    <w:rsid w:val="000471FC"/>
    <w:rsid w:val="0004727E"/>
    <w:rsid w:val="00047A0F"/>
    <w:rsid w:val="00047A79"/>
    <w:rsid w:val="00047DFA"/>
    <w:rsid w:val="00050637"/>
    <w:rsid w:val="00050E69"/>
    <w:rsid w:val="00050EE1"/>
    <w:rsid w:val="00051921"/>
    <w:rsid w:val="00051941"/>
    <w:rsid w:val="00051C03"/>
    <w:rsid w:val="00051DFA"/>
    <w:rsid w:val="0005277C"/>
    <w:rsid w:val="00052FDA"/>
    <w:rsid w:val="00053028"/>
    <w:rsid w:val="000533D8"/>
    <w:rsid w:val="000536DA"/>
    <w:rsid w:val="0005376A"/>
    <w:rsid w:val="000545A5"/>
    <w:rsid w:val="00054FE6"/>
    <w:rsid w:val="000553D3"/>
    <w:rsid w:val="0005551D"/>
    <w:rsid w:val="000561E6"/>
    <w:rsid w:val="00056DA0"/>
    <w:rsid w:val="00056FBF"/>
    <w:rsid w:val="00057810"/>
    <w:rsid w:val="00057941"/>
    <w:rsid w:val="000579D6"/>
    <w:rsid w:val="00057BA5"/>
    <w:rsid w:val="0006191D"/>
    <w:rsid w:val="00061A27"/>
    <w:rsid w:val="000622A7"/>
    <w:rsid w:val="0006262A"/>
    <w:rsid w:val="00062790"/>
    <w:rsid w:val="00062A71"/>
    <w:rsid w:val="00063711"/>
    <w:rsid w:val="00063813"/>
    <w:rsid w:val="00064A4D"/>
    <w:rsid w:val="00064ADC"/>
    <w:rsid w:val="000655FC"/>
    <w:rsid w:val="000661C2"/>
    <w:rsid w:val="000664CD"/>
    <w:rsid w:val="00066540"/>
    <w:rsid w:val="000669D1"/>
    <w:rsid w:val="00066F08"/>
    <w:rsid w:val="00067F4B"/>
    <w:rsid w:val="00070006"/>
    <w:rsid w:val="00070D28"/>
    <w:rsid w:val="000712CF"/>
    <w:rsid w:val="00071B23"/>
    <w:rsid w:val="00071E53"/>
    <w:rsid w:val="000720EE"/>
    <w:rsid w:val="000721D2"/>
    <w:rsid w:val="00072E71"/>
    <w:rsid w:val="00073583"/>
    <w:rsid w:val="00073EC1"/>
    <w:rsid w:val="00074CEC"/>
    <w:rsid w:val="00074DD2"/>
    <w:rsid w:val="00074FF7"/>
    <w:rsid w:val="00075460"/>
    <w:rsid w:val="00075D0A"/>
    <w:rsid w:val="00076197"/>
    <w:rsid w:val="0007701E"/>
    <w:rsid w:val="000772A4"/>
    <w:rsid w:val="0007782F"/>
    <w:rsid w:val="00077B4F"/>
    <w:rsid w:val="00080AD4"/>
    <w:rsid w:val="00080B7C"/>
    <w:rsid w:val="00080E6A"/>
    <w:rsid w:val="00082143"/>
    <w:rsid w:val="00083270"/>
    <w:rsid w:val="00084183"/>
    <w:rsid w:val="00084964"/>
    <w:rsid w:val="00084D87"/>
    <w:rsid w:val="00084FA0"/>
    <w:rsid w:val="00085EF8"/>
    <w:rsid w:val="000866C7"/>
    <w:rsid w:val="00086817"/>
    <w:rsid w:val="00087590"/>
    <w:rsid w:val="0009188F"/>
    <w:rsid w:val="000931A6"/>
    <w:rsid w:val="0009359B"/>
    <w:rsid w:val="0009377B"/>
    <w:rsid w:val="000939C3"/>
    <w:rsid w:val="00093DD1"/>
    <w:rsid w:val="000949EE"/>
    <w:rsid w:val="00094C35"/>
    <w:rsid w:val="00095181"/>
    <w:rsid w:val="00095884"/>
    <w:rsid w:val="00096122"/>
    <w:rsid w:val="000961D6"/>
    <w:rsid w:val="000964E2"/>
    <w:rsid w:val="00096719"/>
    <w:rsid w:val="00097DDA"/>
    <w:rsid w:val="00097EC2"/>
    <w:rsid w:val="000A0639"/>
    <w:rsid w:val="000A0B6C"/>
    <w:rsid w:val="000A2896"/>
    <w:rsid w:val="000A3489"/>
    <w:rsid w:val="000A397C"/>
    <w:rsid w:val="000A47D9"/>
    <w:rsid w:val="000A5439"/>
    <w:rsid w:val="000A55D6"/>
    <w:rsid w:val="000A5DE6"/>
    <w:rsid w:val="000A6BBC"/>
    <w:rsid w:val="000A74F0"/>
    <w:rsid w:val="000A79B4"/>
    <w:rsid w:val="000B16F4"/>
    <w:rsid w:val="000B2079"/>
    <w:rsid w:val="000B251A"/>
    <w:rsid w:val="000B2702"/>
    <w:rsid w:val="000B2728"/>
    <w:rsid w:val="000B276A"/>
    <w:rsid w:val="000B282B"/>
    <w:rsid w:val="000B3BAB"/>
    <w:rsid w:val="000B406A"/>
    <w:rsid w:val="000B4158"/>
    <w:rsid w:val="000B4362"/>
    <w:rsid w:val="000B448C"/>
    <w:rsid w:val="000B44D8"/>
    <w:rsid w:val="000B4933"/>
    <w:rsid w:val="000B4B0B"/>
    <w:rsid w:val="000B4CB6"/>
    <w:rsid w:val="000B5524"/>
    <w:rsid w:val="000B5C01"/>
    <w:rsid w:val="000B5E3F"/>
    <w:rsid w:val="000B6076"/>
    <w:rsid w:val="000B6729"/>
    <w:rsid w:val="000B6B05"/>
    <w:rsid w:val="000B7202"/>
    <w:rsid w:val="000B7CAF"/>
    <w:rsid w:val="000C053E"/>
    <w:rsid w:val="000C11B5"/>
    <w:rsid w:val="000C1749"/>
    <w:rsid w:val="000C1905"/>
    <w:rsid w:val="000C1A10"/>
    <w:rsid w:val="000C1E13"/>
    <w:rsid w:val="000C22B5"/>
    <w:rsid w:val="000C240E"/>
    <w:rsid w:val="000C2FA0"/>
    <w:rsid w:val="000C310F"/>
    <w:rsid w:val="000C322D"/>
    <w:rsid w:val="000C3832"/>
    <w:rsid w:val="000C3895"/>
    <w:rsid w:val="000C3AB7"/>
    <w:rsid w:val="000C401D"/>
    <w:rsid w:val="000C451A"/>
    <w:rsid w:val="000C48CE"/>
    <w:rsid w:val="000C4DC5"/>
    <w:rsid w:val="000C4DF2"/>
    <w:rsid w:val="000C585E"/>
    <w:rsid w:val="000C5CA7"/>
    <w:rsid w:val="000C673A"/>
    <w:rsid w:val="000C68EE"/>
    <w:rsid w:val="000C75C7"/>
    <w:rsid w:val="000C786C"/>
    <w:rsid w:val="000D0E61"/>
    <w:rsid w:val="000D1533"/>
    <w:rsid w:val="000D1F6B"/>
    <w:rsid w:val="000D20C3"/>
    <w:rsid w:val="000D21CF"/>
    <w:rsid w:val="000D236A"/>
    <w:rsid w:val="000D3469"/>
    <w:rsid w:val="000D3C27"/>
    <w:rsid w:val="000D453D"/>
    <w:rsid w:val="000D4A6C"/>
    <w:rsid w:val="000D4FAD"/>
    <w:rsid w:val="000D5214"/>
    <w:rsid w:val="000D571E"/>
    <w:rsid w:val="000D5A8D"/>
    <w:rsid w:val="000D6D54"/>
    <w:rsid w:val="000D7B0B"/>
    <w:rsid w:val="000E1211"/>
    <w:rsid w:val="000E14C9"/>
    <w:rsid w:val="000E1B51"/>
    <w:rsid w:val="000E1D84"/>
    <w:rsid w:val="000E205B"/>
    <w:rsid w:val="000E2594"/>
    <w:rsid w:val="000E2B82"/>
    <w:rsid w:val="000E3040"/>
    <w:rsid w:val="000E3509"/>
    <w:rsid w:val="000E35C5"/>
    <w:rsid w:val="000E4031"/>
    <w:rsid w:val="000E496B"/>
    <w:rsid w:val="000E51F3"/>
    <w:rsid w:val="000E54C9"/>
    <w:rsid w:val="000E56FB"/>
    <w:rsid w:val="000E5726"/>
    <w:rsid w:val="000E5786"/>
    <w:rsid w:val="000E5BD1"/>
    <w:rsid w:val="000E5F02"/>
    <w:rsid w:val="000E5F1B"/>
    <w:rsid w:val="000E7208"/>
    <w:rsid w:val="000E791A"/>
    <w:rsid w:val="000E7BA2"/>
    <w:rsid w:val="000E7C9C"/>
    <w:rsid w:val="000E7EAC"/>
    <w:rsid w:val="000F10E4"/>
    <w:rsid w:val="000F1A3A"/>
    <w:rsid w:val="000F1C29"/>
    <w:rsid w:val="000F36B7"/>
    <w:rsid w:val="000F45F1"/>
    <w:rsid w:val="000F485F"/>
    <w:rsid w:val="000F4B70"/>
    <w:rsid w:val="000F5A27"/>
    <w:rsid w:val="000F5B5C"/>
    <w:rsid w:val="000F7CE7"/>
    <w:rsid w:val="001001A5"/>
    <w:rsid w:val="00100CF6"/>
    <w:rsid w:val="0010175D"/>
    <w:rsid w:val="00101A0B"/>
    <w:rsid w:val="00101C11"/>
    <w:rsid w:val="00102C46"/>
    <w:rsid w:val="00102F69"/>
    <w:rsid w:val="001037F2"/>
    <w:rsid w:val="00103BAD"/>
    <w:rsid w:val="00104F8D"/>
    <w:rsid w:val="00105D2A"/>
    <w:rsid w:val="00105E7A"/>
    <w:rsid w:val="001060E8"/>
    <w:rsid w:val="0010612C"/>
    <w:rsid w:val="001061D7"/>
    <w:rsid w:val="00106466"/>
    <w:rsid w:val="00106DCF"/>
    <w:rsid w:val="00110B1F"/>
    <w:rsid w:val="00111051"/>
    <w:rsid w:val="00111A8A"/>
    <w:rsid w:val="00111C1F"/>
    <w:rsid w:val="001125FF"/>
    <w:rsid w:val="00112974"/>
    <w:rsid w:val="00112E83"/>
    <w:rsid w:val="00113901"/>
    <w:rsid w:val="00113AD1"/>
    <w:rsid w:val="00113D68"/>
    <w:rsid w:val="001143DC"/>
    <w:rsid w:val="00114799"/>
    <w:rsid w:val="001155C8"/>
    <w:rsid w:val="00117610"/>
    <w:rsid w:val="00117784"/>
    <w:rsid w:val="001206A3"/>
    <w:rsid w:val="00120C2C"/>
    <w:rsid w:val="00120CC9"/>
    <w:rsid w:val="00121E60"/>
    <w:rsid w:val="00121ECB"/>
    <w:rsid w:val="00122984"/>
    <w:rsid w:val="00122A9A"/>
    <w:rsid w:val="001233FB"/>
    <w:rsid w:val="00124123"/>
    <w:rsid w:val="001241B5"/>
    <w:rsid w:val="00124397"/>
    <w:rsid w:val="00124AC1"/>
    <w:rsid w:val="00124C1B"/>
    <w:rsid w:val="00125729"/>
    <w:rsid w:val="00125AC0"/>
    <w:rsid w:val="00125F12"/>
    <w:rsid w:val="00126523"/>
    <w:rsid w:val="001265EB"/>
    <w:rsid w:val="00126F81"/>
    <w:rsid w:val="00127428"/>
    <w:rsid w:val="0012760C"/>
    <w:rsid w:val="00127E24"/>
    <w:rsid w:val="00127E28"/>
    <w:rsid w:val="00127FE7"/>
    <w:rsid w:val="0013040A"/>
    <w:rsid w:val="00130647"/>
    <w:rsid w:val="001311F7"/>
    <w:rsid w:val="00131262"/>
    <w:rsid w:val="001312BA"/>
    <w:rsid w:val="001317E1"/>
    <w:rsid w:val="001318E7"/>
    <w:rsid w:val="00131FE6"/>
    <w:rsid w:val="00132202"/>
    <w:rsid w:val="001335AB"/>
    <w:rsid w:val="001339A2"/>
    <w:rsid w:val="0013435A"/>
    <w:rsid w:val="00134A9E"/>
    <w:rsid w:val="00134FFA"/>
    <w:rsid w:val="0013554A"/>
    <w:rsid w:val="001355A2"/>
    <w:rsid w:val="001355E0"/>
    <w:rsid w:val="00135BFC"/>
    <w:rsid w:val="00135C7D"/>
    <w:rsid w:val="00136D08"/>
    <w:rsid w:val="00136F9C"/>
    <w:rsid w:val="001372C9"/>
    <w:rsid w:val="0013734C"/>
    <w:rsid w:val="00137778"/>
    <w:rsid w:val="001403CC"/>
    <w:rsid w:val="00140B90"/>
    <w:rsid w:val="0014147F"/>
    <w:rsid w:val="00141753"/>
    <w:rsid w:val="00141A2A"/>
    <w:rsid w:val="00141ACB"/>
    <w:rsid w:val="00141AD1"/>
    <w:rsid w:val="001425CA"/>
    <w:rsid w:val="00142699"/>
    <w:rsid w:val="00142A20"/>
    <w:rsid w:val="00143CFC"/>
    <w:rsid w:val="0014456A"/>
    <w:rsid w:val="00144B1E"/>
    <w:rsid w:val="001452EE"/>
    <w:rsid w:val="00145973"/>
    <w:rsid w:val="00146F97"/>
    <w:rsid w:val="00146FFC"/>
    <w:rsid w:val="001504A3"/>
    <w:rsid w:val="00150B5C"/>
    <w:rsid w:val="001534B5"/>
    <w:rsid w:val="00153797"/>
    <w:rsid w:val="00153932"/>
    <w:rsid w:val="00153B21"/>
    <w:rsid w:val="001545FA"/>
    <w:rsid w:val="00155734"/>
    <w:rsid w:val="0015777E"/>
    <w:rsid w:val="00157B07"/>
    <w:rsid w:val="00157C10"/>
    <w:rsid w:val="001605F2"/>
    <w:rsid w:val="00160811"/>
    <w:rsid w:val="0016196C"/>
    <w:rsid w:val="0016278C"/>
    <w:rsid w:val="00162E38"/>
    <w:rsid w:val="00163018"/>
    <w:rsid w:val="001640EA"/>
    <w:rsid w:val="001656C8"/>
    <w:rsid w:val="001672CB"/>
    <w:rsid w:val="00167ABD"/>
    <w:rsid w:val="00170295"/>
    <w:rsid w:val="0017162A"/>
    <w:rsid w:val="0017231E"/>
    <w:rsid w:val="0017258E"/>
    <w:rsid w:val="0017468D"/>
    <w:rsid w:val="00176241"/>
    <w:rsid w:val="00177324"/>
    <w:rsid w:val="001777AF"/>
    <w:rsid w:val="001778C2"/>
    <w:rsid w:val="00177DB9"/>
    <w:rsid w:val="001802CB"/>
    <w:rsid w:val="001802EA"/>
    <w:rsid w:val="00180364"/>
    <w:rsid w:val="00182307"/>
    <w:rsid w:val="0018236B"/>
    <w:rsid w:val="00186B66"/>
    <w:rsid w:val="00186BCC"/>
    <w:rsid w:val="00186EAF"/>
    <w:rsid w:val="00187895"/>
    <w:rsid w:val="001878FB"/>
    <w:rsid w:val="00190FCE"/>
    <w:rsid w:val="001912FA"/>
    <w:rsid w:val="001913DD"/>
    <w:rsid w:val="001919EB"/>
    <w:rsid w:val="0019206B"/>
    <w:rsid w:val="0019399A"/>
    <w:rsid w:val="00193E23"/>
    <w:rsid w:val="00194515"/>
    <w:rsid w:val="00194D38"/>
    <w:rsid w:val="001959DD"/>
    <w:rsid w:val="00195BED"/>
    <w:rsid w:val="00196CC4"/>
    <w:rsid w:val="001975CE"/>
    <w:rsid w:val="001A0FC2"/>
    <w:rsid w:val="001A118D"/>
    <w:rsid w:val="001A1BCD"/>
    <w:rsid w:val="001A1DB8"/>
    <w:rsid w:val="001A2E0F"/>
    <w:rsid w:val="001A314B"/>
    <w:rsid w:val="001A3170"/>
    <w:rsid w:val="001A3E13"/>
    <w:rsid w:val="001A4597"/>
    <w:rsid w:val="001A46E3"/>
    <w:rsid w:val="001A53F5"/>
    <w:rsid w:val="001A54C4"/>
    <w:rsid w:val="001A5AC3"/>
    <w:rsid w:val="001A5BC9"/>
    <w:rsid w:val="001A64F7"/>
    <w:rsid w:val="001A6536"/>
    <w:rsid w:val="001A659F"/>
    <w:rsid w:val="001A69CE"/>
    <w:rsid w:val="001A6A40"/>
    <w:rsid w:val="001A6BF1"/>
    <w:rsid w:val="001A6E00"/>
    <w:rsid w:val="001A6F11"/>
    <w:rsid w:val="001A7B6C"/>
    <w:rsid w:val="001A7BE0"/>
    <w:rsid w:val="001B0025"/>
    <w:rsid w:val="001B111C"/>
    <w:rsid w:val="001B1575"/>
    <w:rsid w:val="001B1822"/>
    <w:rsid w:val="001B257F"/>
    <w:rsid w:val="001B2688"/>
    <w:rsid w:val="001B2BDB"/>
    <w:rsid w:val="001B3A2C"/>
    <w:rsid w:val="001B4F98"/>
    <w:rsid w:val="001B549F"/>
    <w:rsid w:val="001B57DE"/>
    <w:rsid w:val="001B5DBE"/>
    <w:rsid w:val="001B668C"/>
    <w:rsid w:val="001B6941"/>
    <w:rsid w:val="001B69C0"/>
    <w:rsid w:val="001B6F09"/>
    <w:rsid w:val="001B77B3"/>
    <w:rsid w:val="001B7B2F"/>
    <w:rsid w:val="001C0280"/>
    <w:rsid w:val="001C054F"/>
    <w:rsid w:val="001C0D51"/>
    <w:rsid w:val="001C0F67"/>
    <w:rsid w:val="001C160F"/>
    <w:rsid w:val="001C1715"/>
    <w:rsid w:val="001C1873"/>
    <w:rsid w:val="001C1EB9"/>
    <w:rsid w:val="001C2279"/>
    <w:rsid w:val="001C2534"/>
    <w:rsid w:val="001C3708"/>
    <w:rsid w:val="001C3F2B"/>
    <w:rsid w:val="001C446E"/>
    <w:rsid w:val="001C4C82"/>
    <w:rsid w:val="001C577B"/>
    <w:rsid w:val="001C5846"/>
    <w:rsid w:val="001C5BBD"/>
    <w:rsid w:val="001C6742"/>
    <w:rsid w:val="001C6EDF"/>
    <w:rsid w:val="001C78F7"/>
    <w:rsid w:val="001C7E19"/>
    <w:rsid w:val="001D02F7"/>
    <w:rsid w:val="001D0852"/>
    <w:rsid w:val="001D0ADC"/>
    <w:rsid w:val="001D1482"/>
    <w:rsid w:val="001D1889"/>
    <w:rsid w:val="001D2170"/>
    <w:rsid w:val="001D31C9"/>
    <w:rsid w:val="001D33DA"/>
    <w:rsid w:val="001D3970"/>
    <w:rsid w:val="001D3AB6"/>
    <w:rsid w:val="001D4366"/>
    <w:rsid w:val="001D4677"/>
    <w:rsid w:val="001D479B"/>
    <w:rsid w:val="001D55A4"/>
    <w:rsid w:val="001D5C40"/>
    <w:rsid w:val="001D6077"/>
    <w:rsid w:val="001D6569"/>
    <w:rsid w:val="001D772D"/>
    <w:rsid w:val="001D7E6F"/>
    <w:rsid w:val="001E05EC"/>
    <w:rsid w:val="001E085B"/>
    <w:rsid w:val="001E0B0D"/>
    <w:rsid w:val="001E0CE6"/>
    <w:rsid w:val="001E1743"/>
    <w:rsid w:val="001E1C6F"/>
    <w:rsid w:val="001E1EBB"/>
    <w:rsid w:val="001E1ECE"/>
    <w:rsid w:val="001E2CEF"/>
    <w:rsid w:val="001E3299"/>
    <w:rsid w:val="001E342F"/>
    <w:rsid w:val="001E345B"/>
    <w:rsid w:val="001E3CFA"/>
    <w:rsid w:val="001E4D58"/>
    <w:rsid w:val="001E4E6A"/>
    <w:rsid w:val="001E54AF"/>
    <w:rsid w:val="001E5A0C"/>
    <w:rsid w:val="001E6403"/>
    <w:rsid w:val="001E647D"/>
    <w:rsid w:val="001E6571"/>
    <w:rsid w:val="001E670D"/>
    <w:rsid w:val="001E6972"/>
    <w:rsid w:val="001E69A6"/>
    <w:rsid w:val="001E6CD9"/>
    <w:rsid w:val="001E6FD7"/>
    <w:rsid w:val="001E798A"/>
    <w:rsid w:val="001E7CB5"/>
    <w:rsid w:val="001F01A4"/>
    <w:rsid w:val="001F06D3"/>
    <w:rsid w:val="001F0760"/>
    <w:rsid w:val="001F1B4A"/>
    <w:rsid w:val="001F1CB8"/>
    <w:rsid w:val="001F20A5"/>
    <w:rsid w:val="001F2B65"/>
    <w:rsid w:val="001F2E1A"/>
    <w:rsid w:val="001F342B"/>
    <w:rsid w:val="001F390E"/>
    <w:rsid w:val="001F4C1C"/>
    <w:rsid w:val="001F5C54"/>
    <w:rsid w:val="001F61B2"/>
    <w:rsid w:val="001F70DC"/>
    <w:rsid w:val="001F774C"/>
    <w:rsid w:val="001F7C2B"/>
    <w:rsid w:val="001F7C5D"/>
    <w:rsid w:val="001F7CC9"/>
    <w:rsid w:val="0020022D"/>
    <w:rsid w:val="002013E2"/>
    <w:rsid w:val="00201594"/>
    <w:rsid w:val="002015C6"/>
    <w:rsid w:val="00201766"/>
    <w:rsid w:val="00201B81"/>
    <w:rsid w:val="00203699"/>
    <w:rsid w:val="00203DC0"/>
    <w:rsid w:val="00203F65"/>
    <w:rsid w:val="00204294"/>
    <w:rsid w:val="002042AE"/>
    <w:rsid w:val="0020471E"/>
    <w:rsid w:val="0020523F"/>
    <w:rsid w:val="002054D0"/>
    <w:rsid w:val="00205CE1"/>
    <w:rsid w:val="00205F02"/>
    <w:rsid w:val="00206B32"/>
    <w:rsid w:val="00206B42"/>
    <w:rsid w:val="00206C07"/>
    <w:rsid w:val="00207015"/>
    <w:rsid w:val="00207E8B"/>
    <w:rsid w:val="00207FE0"/>
    <w:rsid w:val="00210233"/>
    <w:rsid w:val="0021047A"/>
    <w:rsid w:val="002111BB"/>
    <w:rsid w:val="00213C5C"/>
    <w:rsid w:val="002140C2"/>
    <w:rsid w:val="00214242"/>
    <w:rsid w:val="00214A1B"/>
    <w:rsid w:val="00214F08"/>
    <w:rsid w:val="002156D5"/>
    <w:rsid w:val="00216126"/>
    <w:rsid w:val="00216277"/>
    <w:rsid w:val="00216C86"/>
    <w:rsid w:val="00216D68"/>
    <w:rsid w:val="00217A0E"/>
    <w:rsid w:val="00217D65"/>
    <w:rsid w:val="00220216"/>
    <w:rsid w:val="00220312"/>
    <w:rsid w:val="00220763"/>
    <w:rsid w:val="00221AD5"/>
    <w:rsid w:val="00221EB4"/>
    <w:rsid w:val="00222486"/>
    <w:rsid w:val="0022252A"/>
    <w:rsid w:val="00222AA5"/>
    <w:rsid w:val="00222AF6"/>
    <w:rsid w:val="00222B2D"/>
    <w:rsid w:val="00222E3D"/>
    <w:rsid w:val="002232F9"/>
    <w:rsid w:val="002238FA"/>
    <w:rsid w:val="0022418A"/>
    <w:rsid w:val="00224479"/>
    <w:rsid w:val="002244C5"/>
    <w:rsid w:val="00224822"/>
    <w:rsid w:val="002249B1"/>
    <w:rsid w:val="00225478"/>
    <w:rsid w:val="0022561C"/>
    <w:rsid w:val="002269E4"/>
    <w:rsid w:val="00230385"/>
    <w:rsid w:val="00230E36"/>
    <w:rsid w:val="00232053"/>
    <w:rsid w:val="0023224D"/>
    <w:rsid w:val="0023250C"/>
    <w:rsid w:val="002325B8"/>
    <w:rsid w:val="00232771"/>
    <w:rsid w:val="00232ACE"/>
    <w:rsid w:val="00232E6D"/>
    <w:rsid w:val="00233690"/>
    <w:rsid w:val="002339F4"/>
    <w:rsid w:val="0023421F"/>
    <w:rsid w:val="00234377"/>
    <w:rsid w:val="0023444C"/>
    <w:rsid w:val="00234808"/>
    <w:rsid w:val="00234889"/>
    <w:rsid w:val="00234ECB"/>
    <w:rsid w:val="00234F9F"/>
    <w:rsid w:val="002351F1"/>
    <w:rsid w:val="002354A7"/>
    <w:rsid w:val="002355C7"/>
    <w:rsid w:val="002359EE"/>
    <w:rsid w:val="00235A37"/>
    <w:rsid w:val="00236BC3"/>
    <w:rsid w:val="00237274"/>
    <w:rsid w:val="00237A3D"/>
    <w:rsid w:val="002406D4"/>
    <w:rsid w:val="00240F58"/>
    <w:rsid w:val="0024158F"/>
    <w:rsid w:val="00243711"/>
    <w:rsid w:val="00243CED"/>
    <w:rsid w:val="00244990"/>
    <w:rsid w:val="00244D9D"/>
    <w:rsid w:val="00244E11"/>
    <w:rsid w:val="00245445"/>
    <w:rsid w:val="0024584D"/>
    <w:rsid w:val="00246456"/>
    <w:rsid w:val="00246973"/>
    <w:rsid w:val="00246B23"/>
    <w:rsid w:val="00247A65"/>
    <w:rsid w:val="0025012E"/>
    <w:rsid w:val="00250DEB"/>
    <w:rsid w:val="002513E8"/>
    <w:rsid w:val="00253991"/>
    <w:rsid w:val="00253C2D"/>
    <w:rsid w:val="00253F50"/>
    <w:rsid w:val="00254CCE"/>
    <w:rsid w:val="00256517"/>
    <w:rsid w:val="00256BA5"/>
    <w:rsid w:val="00256DA7"/>
    <w:rsid w:val="00257262"/>
    <w:rsid w:val="002572DF"/>
    <w:rsid w:val="00257A4C"/>
    <w:rsid w:val="00257E3C"/>
    <w:rsid w:val="002603B2"/>
    <w:rsid w:val="002603B6"/>
    <w:rsid w:val="00260856"/>
    <w:rsid w:val="00260D84"/>
    <w:rsid w:val="0026126C"/>
    <w:rsid w:val="00261486"/>
    <w:rsid w:val="002614C1"/>
    <w:rsid w:val="00262925"/>
    <w:rsid w:val="00263413"/>
    <w:rsid w:val="0026378A"/>
    <w:rsid w:val="00264D1B"/>
    <w:rsid w:val="00264E35"/>
    <w:rsid w:val="00264E82"/>
    <w:rsid w:val="00265208"/>
    <w:rsid w:val="00265D76"/>
    <w:rsid w:val="002660C2"/>
    <w:rsid w:val="002662A3"/>
    <w:rsid w:val="0026698B"/>
    <w:rsid w:val="00267BB8"/>
    <w:rsid w:val="00267D74"/>
    <w:rsid w:val="0027082B"/>
    <w:rsid w:val="00271053"/>
    <w:rsid w:val="00271125"/>
    <w:rsid w:val="0027377F"/>
    <w:rsid w:val="0027427F"/>
    <w:rsid w:val="00275B79"/>
    <w:rsid w:val="002762DC"/>
    <w:rsid w:val="00276F79"/>
    <w:rsid w:val="00277277"/>
    <w:rsid w:val="00280A8C"/>
    <w:rsid w:val="002811F1"/>
    <w:rsid w:val="002818A0"/>
    <w:rsid w:val="00281DD5"/>
    <w:rsid w:val="002825B0"/>
    <w:rsid w:val="00282F8E"/>
    <w:rsid w:val="00283C78"/>
    <w:rsid w:val="0028487C"/>
    <w:rsid w:val="002849C7"/>
    <w:rsid w:val="00284E72"/>
    <w:rsid w:val="00284F6C"/>
    <w:rsid w:val="0028539B"/>
    <w:rsid w:val="00286025"/>
    <w:rsid w:val="00286739"/>
    <w:rsid w:val="00286A08"/>
    <w:rsid w:val="00287770"/>
    <w:rsid w:val="0029032C"/>
    <w:rsid w:val="002909DF"/>
    <w:rsid w:val="002916BA"/>
    <w:rsid w:val="0029306D"/>
    <w:rsid w:val="002937A5"/>
    <w:rsid w:val="002942E5"/>
    <w:rsid w:val="00294A5A"/>
    <w:rsid w:val="00295862"/>
    <w:rsid w:val="00295E54"/>
    <w:rsid w:val="00296152"/>
    <w:rsid w:val="002966CA"/>
    <w:rsid w:val="00297C79"/>
    <w:rsid w:val="00297C82"/>
    <w:rsid w:val="002A100E"/>
    <w:rsid w:val="002A131E"/>
    <w:rsid w:val="002A2819"/>
    <w:rsid w:val="002A3B92"/>
    <w:rsid w:val="002A511F"/>
    <w:rsid w:val="002A5501"/>
    <w:rsid w:val="002A5A9B"/>
    <w:rsid w:val="002A66CE"/>
    <w:rsid w:val="002A6A25"/>
    <w:rsid w:val="002A6AEC"/>
    <w:rsid w:val="002A6C2F"/>
    <w:rsid w:val="002A70BF"/>
    <w:rsid w:val="002A7B24"/>
    <w:rsid w:val="002B0261"/>
    <w:rsid w:val="002B0DA8"/>
    <w:rsid w:val="002B15ED"/>
    <w:rsid w:val="002B17CD"/>
    <w:rsid w:val="002B22F4"/>
    <w:rsid w:val="002B2B8F"/>
    <w:rsid w:val="002B2E36"/>
    <w:rsid w:val="002B2F57"/>
    <w:rsid w:val="002B31C8"/>
    <w:rsid w:val="002B3CB2"/>
    <w:rsid w:val="002B3DC1"/>
    <w:rsid w:val="002B532D"/>
    <w:rsid w:val="002B54AA"/>
    <w:rsid w:val="002B5C68"/>
    <w:rsid w:val="002B5FF6"/>
    <w:rsid w:val="002B6215"/>
    <w:rsid w:val="002B6364"/>
    <w:rsid w:val="002B6827"/>
    <w:rsid w:val="002B69A0"/>
    <w:rsid w:val="002B69CA"/>
    <w:rsid w:val="002B7818"/>
    <w:rsid w:val="002C0145"/>
    <w:rsid w:val="002C072B"/>
    <w:rsid w:val="002C07F9"/>
    <w:rsid w:val="002C0C3C"/>
    <w:rsid w:val="002C119B"/>
    <w:rsid w:val="002C13AA"/>
    <w:rsid w:val="002C1B0E"/>
    <w:rsid w:val="002C2166"/>
    <w:rsid w:val="002C2EF2"/>
    <w:rsid w:val="002C3419"/>
    <w:rsid w:val="002C3830"/>
    <w:rsid w:val="002C3893"/>
    <w:rsid w:val="002C3FD1"/>
    <w:rsid w:val="002C49E4"/>
    <w:rsid w:val="002C5BAE"/>
    <w:rsid w:val="002C61D0"/>
    <w:rsid w:val="002C62A2"/>
    <w:rsid w:val="002C632F"/>
    <w:rsid w:val="002C7BBA"/>
    <w:rsid w:val="002D0145"/>
    <w:rsid w:val="002D0337"/>
    <w:rsid w:val="002D0B3E"/>
    <w:rsid w:val="002D0F6C"/>
    <w:rsid w:val="002D20D0"/>
    <w:rsid w:val="002D329D"/>
    <w:rsid w:val="002D3526"/>
    <w:rsid w:val="002D4444"/>
    <w:rsid w:val="002D4D6E"/>
    <w:rsid w:val="002D58B4"/>
    <w:rsid w:val="002D6390"/>
    <w:rsid w:val="002D744F"/>
    <w:rsid w:val="002D7BA5"/>
    <w:rsid w:val="002E003D"/>
    <w:rsid w:val="002E0042"/>
    <w:rsid w:val="002E0790"/>
    <w:rsid w:val="002E0803"/>
    <w:rsid w:val="002E17E8"/>
    <w:rsid w:val="002E21CB"/>
    <w:rsid w:val="002E2AB6"/>
    <w:rsid w:val="002E2C09"/>
    <w:rsid w:val="002E2C2A"/>
    <w:rsid w:val="002E37A9"/>
    <w:rsid w:val="002E4525"/>
    <w:rsid w:val="002E4750"/>
    <w:rsid w:val="002E489D"/>
    <w:rsid w:val="002E49A5"/>
    <w:rsid w:val="002E4D3B"/>
    <w:rsid w:val="002E5969"/>
    <w:rsid w:val="002E61B5"/>
    <w:rsid w:val="002E6295"/>
    <w:rsid w:val="002E6499"/>
    <w:rsid w:val="002E7240"/>
    <w:rsid w:val="002E7C5A"/>
    <w:rsid w:val="002F0785"/>
    <w:rsid w:val="002F13CB"/>
    <w:rsid w:val="002F1739"/>
    <w:rsid w:val="002F1ACE"/>
    <w:rsid w:val="002F226C"/>
    <w:rsid w:val="002F2401"/>
    <w:rsid w:val="002F27DA"/>
    <w:rsid w:val="002F30DA"/>
    <w:rsid w:val="002F3564"/>
    <w:rsid w:val="002F44DA"/>
    <w:rsid w:val="002F4695"/>
    <w:rsid w:val="002F4B46"/>
    <w:rsid w:val="002F5BD2"/>
    <w:rsid w:val="002F5C69"/>
    <w:rsid w:val="002F6944"/>
    <w:rsid w:val="002F73A2"/>
    <w:rsid w:val="00300E65"/>
    <w:rsid w:val="00301158"/>
    <w:rsid w:val="00301312"/>
    <w:rsid w:val="00301750"/>
    <w:rsid w:val="0030185E"/>
    <w:rsid w:val="00301ED1"/>
    <w:rsid w:val="00301EF2"/>
    <w:rsid w:val="003020E6"/>
    <w:rsid w:val="00302539"/>
    <w:rsid w:val="003026A9"/>
    <w:rsid w:val="00303657"/>
    <w:rsid w:val="003042BF"/>
    <w:rsid w:val="00304583"/>
    <w:rsid w:val="00304AFF"/>
    <w:rsid w:val="00304D1A"/>
    <w:rsid w:val="00304FBB"/>
    <w:rsid w:val="0030577D"/>
    <w:rsid w:val="00305BFF"/>
    <w:rsid w:val="0030695B"/>
    <w:rsid w:val="00306F67"/>
    <w:rsid w:val="0030744D"/>
    <w:rsid w:val="0030749C"/>
    <w:rsid w:val="003102D0"/>
    <w:rsid w:val="003108EA"/>
    <w:rsid w:val="003112C8"/>
    <w:rsid w:val="003118DD"/>
    <w:rsid w:val="00311E47"/>
    <w:rsid w:val="003124B6"/>
    <w:rsid w:val="00312912"/>
    <w:rsid w:val="00312C94"/>
    <w:rsid w:val="00312E73"/>
    <w:rsid w:val="0031327C"/>
    <w:rsid w:val="00313AC2"/>
    <w:rsid w:val="00313F75"/>
    <w:rsid w:val="00314112"/>
    <w:rsid w:val="003149B2"/>
    <w:rsid w:val="0031535C"/>
    <w:rsid w:val="003154A5"/>
    <w:rsid w:val="00315FD8"/>
    <w:rsid w:val="003162F3"/>
    <w:rsid w:val="00316591"/>
    <w:rsid w:val="00316763"/>
    <w:rsid w:val="00316860"/>
    <w:rsid w:val="003172B7"/>
    <w:rsid w:val="0031756F"/>
    <w:rsid w:val="00317EC3"/>
    <w:rsid w:val="00320F59"/>
    <w:rsid w:val="0032125A"/>
    <w:rsid w:val="003217F6"/>
    <w:rsid w:val="00322048"/>
    <w:rsid w:val="00322521"/>
    <w:rsid w:val="00322C77"/>
    <w:rsid w:val="00323AB0"/>
    <w:rsid w:val="00324029"/>
    <w:rsid w:val="0032406D"/>
    <w:rsid w:val="003246A0"/>
    <w:rsid w:val="00325D5E"/>
    <w:rsid w:val="00327026"/>
    <w:rsid w:val="003308B2"/>
    <w:rsid w:val="00330EC1"/>
    <w:rsid w:val="00331B42"/>
    <w:rsid w:val="00331BC6"/>
    <w:rsid w:val="00331C64"/>
    <w:rsid w:val="0033295B"/>
    <w:rsid w:val="00332E39"/>
    <w:rsid w:val="0033304E"/>
    <w:rsid w:val="00333506"/>
    <w:rsid w:val="00333E6D"/>
    <w:rsid w:val="00334CD6"/>
    <w:rsid w:val="0033538C"/>
    <w:rsid w:val="00335C7D"/>
    <w:rsid w:val="00335EF9"/>
    <w:rsid w:val="0033638B"/>
    <w:rsid w:val="0033676D"/>
    <w:rsid w:val="00336A55"/>
    <w:rsid w:val="003379A9"/>
    <w:rsid w:val="00340A7A"/>
    <w:rsid w:val="00341025"/>
    <w:rsid w:val="003419FA"/>
    <w:rsid w:val="00341AEC"/>
    <w:rsid w:val="003424D4"/>
    <w:rsid w:val="0034256F"/>
    <w:rsid w:val="00342BBE"/>
    <w:rsid w:val="003434F7"/>
    <w:rsid w:val="00343667"/>
    <w:rsid w:val="0034392B"/>
    <w:rsid w:val="003445A1"/>
    <w:rsid w:val="00345704"/>
    <w:rsid w:val="00345FBB"/>
    <w:rsid w:val="003464AE"/>
    <w:rsid w:val="00346BD4"/>
    <w:rsid w:val="00346DCA"/>
    <w:rsid w:val="00347011"/>
    <w:rsid w:val="00347B5B"/>
    <w:rsid w:val="0035077B"/>
    <w:rsid w:val="00350B4F"/>
    <w:rsid w:val="00350F10"/>
    <w:rsid w:val="003511C8"/>
    <w:rsid w:val="00352065"/>
    <w:rsid w:val="00352564"/>
    <w:rsid w:val="003527BE"/>
    <w:rsid w:val="00352A0A"/>
    <w:rsid w:val="0035361A"/>
    <w:rsid w:val="003536EA"/>
    <w:rsid w:val="00353867"/>
    <w:rsid w:val="00353D5B"/>
    <w:rsid w:val="003542ED"/>
    <w:rsid w:val="00354541"/>
    <w:rsid w:val="0035522E"/>
    <w:rsid w:val="003555CB"/>
    <w:rsid w:val="00355679"/>
    <w:rsid w:val="00355B61"/>
    <w:rsid w:val="0035700A"/>
    <w:rsid w:val="003573A8"/>
    <w:rsid w:val="00357434"/>
    <w:rsid w:val="00360E43"/>
    <w:rsid w:val="003624AB"/>
    <w:rsid w:val="003635B9"/>
    <w:rsid w:val="0036366F"/>
    <w:rsid w:val="0036388D"/>
    <w:rsid w:val="0036478C"/>
    <w:rsid w:val="00364D99"/>
    <w:rsid w:val="003652A2"/>
    <w:rsid w:val="00365E80"/>
    <w:rsid w:val="00366473"/>
    <w:rsid w:val="00366F3F"/>
    <w:rsid w:val="0036747A"/>
    <w:rsid w:val="00367640"/>
    <w:rsid w:val="00370446"/>
    <w:rsid w:val="00370CC8"/>
    <w:rsid w:val="00371273"/>
    <w:rsid w:val="00372130"/>
    <w:rsid w:val="003726C0"/>
    <w:rsid w:val="003727CB"/>
    <w:rsid w:val="003729DA"/>
    <w:rsid w:val="00372E3B"/>
    <w:rsid w:val="00372FA0"/>
    <w:rsid w:val="003737C3"/>
    <w:rsid w:val="00373AD6"/>
    <w:rsid w:val="00373C02"/>
    <w:rsid w:val="00374200"/>
    <w:rsid w:val="00374C11"/>
    <w:rsid w:val="00374EF3"/>
    <w:rsid w:val="003750DD"/>
    <w:rsid w:val="003757F7"/>
    <w:rsid w:val="00375A41"/>
    <w:rsid w:val="00376EC2"/>
    <w:rsid w:val="003773E4"/>
    <w:rsid w:val="00377500"/>
    <w:rsid w:val="0037792B"/>
    <w:rsid w:val="00380199"/>
    <w:rsid w:val="003801E2"/>
    <w:rsid w:val="00380FBF"/>
    <w:rsid w:val="0038105F"/>
    <w:rsid w:val="003812D2"/>
    <w:rsid w:val="003822A3"/>
    <w:rsid w:val="0038289E"/>
    <w:rsid w:val="00382B6D"/>
    <w:rsid w:val="00383E74"/>
    <w:rsid w:val="00384AA5"/>
    <w:rsid w:val="00384C72"/>
    <w:rsid w:val="00385335"/>
    <w:rsid w:val="00385455"/>
    <w:rsid w:val="003854FC"/>
    <w:rsid w:val="00385BCC"/>
    <w:rsid w:val="00385FA7"/>
    <w:rsid w:val="003861EF"/>
    <w:rsid w:val="0038657F"/>
    <w:rsid w:val="0038683C"/>
    <w:rsid w:val="003868CE"/>
    <w:rsid w:val="00386BBB"/>
    <w:rsid w:val="00387836"/>
    <w:rsid w:val="00390963"/>
    <w:rsid w:val="003912FA"/>
    <w:rsid w:val="00391364"/>
    <w:rsid w:val="00391453"/>
    <w:rsid w:val="00391703"/>
    <w:rsid w:val="00391914"/>
    <w:rsid w:val="0039227B"/>
    <w:rsid w:val="0039237B"/>
    <w:rsid w:val="00392DB8"/>
    <w:rsid w:val="00392FDB"/>
    <w:rsid w:val="00393571"/>
    <w:rsid w:val="00394289"/>
    <w:rsid w:val="003942BD"/>
    <w:rsid w:val="00394CE3"/>
    <w:rsid w:val="00395E55"/>
    <w:rsid w:val="00396742"/>
    <w:rsid w:val="00396EAA"/>
    <w:rsid w:val="00396F7D"/>
    <w:rsid w:val="00397CDD"/>
    <w:rsid w:val="00397D48"/>
    <w:rsid w:val="003A2E66"/>
    <w:rsid w:val="003A305C"/>
    <w:rsid w:val="003A33C4"/>
    <w:rsid w:val="003A4A7F"/>
    <w:rsid w:val="003A4E85"/>
    <w:rsid w:val="003A5681"/>
    <w:rsid w:val="003A5D6B"/>
    <w:rsid w:val="003A61D8"/>
    <w:rsid w:val="003A65FC"/>
    <w:rsid w:val="003A6CDA"/>
    <w:rsid w:val="003A6F90"/>
    <w:rsid w:val="003A7C4C"/>
    <w:rsid w:val="003A7C90"/>
    <w:rsid w:val="003B0CEA"/>
    <w:rsid w:val="003B0CFA"/>
    <w:rsid w:val="003B0F0C"/>
    <w:rsid w:val="003B288E"/>
    <w:rsid w:val="003B31F3"/>
    <w:rsid w:val="003B3C30"/>
    <w:rsid w:val="003B43FB"/>
    <w:rsid w:val="003B50C9"/>
    <w:rsid w:val="003B6292"/>
    <w:rsid w:val="003B6569"/>
    <w:rsid w:val="003B72CA"/>
    <w:rsid w:val="003B7687"/>
    <w:rsid w:val="003B796C"/>
    <w:rsid w:val="003C1162"/>
    <w:rsid w:val="003C172A"/>
    <w:rsid w:val="003C1AE2"/>
    <w:rsid w:val="003C1D6A"/>
    <w:rsid w:val="003C1D8F"/>
    <w:rsid w:val="003C28D3"/>
    <w:rsid w:val="003C2FE0"/>
    <w:rsid w:val="003C31B3"/>
    <w:rsid w:val="003C37B8"/>
    <w:rsid w:val="003C3C2F"/>
    <w:rsid w:val="003C3CD7"/>
    <w:rsid w:val="003C3CDF"/>
    <w:rsid w:val="003C4025"/>
    <w:rsid w:val="003C4D84"/>
    <w:rsid w:val="003C5B94"/>
    <w:rsid w:val="003C67B5"/>
    <w:rsid w:val="003C7321"/>
    <w:rsid w:val="003C776A"/>
    <w:rsid w:val="003C7CE8"/>
    <w:rsid w:val="003D0444"/>
    <w:rsid w:val="003D05A9"/>
    <w:rsid w:val="003D0E11"/>
    <w:rsid w:val="003D154B"/>
    <w:rsid w:val="003D25B5"/>
    <w:rsid w:val="003D3F00"/>
    <w:rsid w:val="003D5DBA"/>
    <w:rsid w:val="003D6228"/>
    <w:rsid w:val="003D68A4"/>
    <w:rsid w:val="003D6A2E"/>
    <w:rsid w:val="003D6C71"/>
    <w:rsid w:val="003D7128"/>
    <w:rsid w:val="003D766A"/>
    <w:rsid w:val="003D7B30"/>
    <w:rsid w:val="003D7EE1"/>
    <w:rsid w:val="003E182E"/>
    <w:rsid w:val="003E1BD4"/>
    <w:rsid w:val="003E2C11"/>
    <w:rsid w:val="003E2E1F"/>
    <w:rsid w:val="003E2FD6"/>
    <w:rsid w:val="003E308F"/>
    <w:rsid w:val="003E3951"/>
    <w:rsid w:val="003E3C55"/>
    <w:rsid w:val="003E3CB8"/>
    <w:rsid w:val="003E4EE8"/>
    <w:rsid w:val="003E5139"/>
    <w:rsid w:val="003E5537"/>
    <w:rsid w:val="003E681E"/>
    <w:rsid w:val="003E72E9"/>
    <w:rsid w:val="003F0B95"/>
    <w:rsid w:val="003F1392"/>
    <w:rsid w:val="003F1726"/>
    <w:rsid w:val="003F1C64"/>
    <w:rsid w:val="003F24EB"/>
    <w:rsid w:val="003F2AD9"/>
    <w:rsid w:val="003F3420"/>
    <w:rsid w:val="003F3CED"/>
    <w:rsid w:val="003F4AC1"/>
    <w:rsid w:val="003F6E94"/>
    <w:rsid w:val="003F72FD"/>
    <w:rsid w:val="00400D7D"/>
    <w:rsid w:val="00400FF8"/>
    <w:rsid w:val="00401708"/>
    <w:rsid w:val="00402052"/>
    <w:rsid w:val="004026ED"/>
    <w:rsid w:val="00402BDC"/>
    <w:rsid w:val="004030F4"/>
    <w:rsid w:val="00403B36"/>
    <w:rsid w:val="00403EAD"/>
    <w:rsid w:val="004044DD"/>
    <w:rsid w:val="0040476F"/>
    <w:rsid w:val="00404D63"/>
    <w:rsid w:val="00404E67"/>
    <w:rsid w:val="0040504E"/>
    <w:rsid w:val="0040623C"/>
    <w:rsid w:val="00406321"/>
    <w:rsid w:val="0040752F"/>
    <w:rsid w:val="004100DD"/>
    <w:rsid w:val="00410B73"/>
    <w:rsid w:val="00410F62"/>
    <w:rsid w:val="00411041"/>
    <w:rsid w:val="00411252"/>
    <w:rsid w:val="00411FCE"/>
    <w:rsid w:val="004124FD"/>
    <w:rsid w:val="004129FA"/>
    <w:rsid w:val="00413289"/>
    <w:rsid w:val="004136ED"/>
    <w:rsid w:val="00413708"/>
    <w:rsid w:val="00413A14"/>
    <w:rsid w:val="00413A82"/>
    <w:rsid w:val="00414024"/>
    <w:rsid w:val="004141EC"/>
    <w:rsid w:val="00414ACD"/>
    <w:rsid w:val="00414DD8"/>
    <w:rsid w:val="00415343"/>
    <w:rsid w:val="00415F05"/>
    <w:rsid w:val="004167C8"/>
    <w:rsid w:val="00417457"/>
    <w:rsid w:val="00420B68"/>
    <w:rsid w:val="00420CA1"/>
    <w:rsid w:val="00420F5E"/>
    <w:rsid w:val="004213D2"/>
    <w:rsid w:val="00422085"/>
    <w:rsid w:val="004225E2"/>
    <w:rsid w:val="004236B9"/>
    <w:rsid w:val="00423EB0"/>
    <w:rsid w:val="0042410B"/>
    <w:rsid w:val="004258AE"/>
    <w:rsid w:val="00426D22"/>
    <w:rsid w:val="0042715D"/>
    <w:rsid w:val="00427178"/>
    <w:rsid w:val="00427326"/>
    <w:rsid w:val="00430514"/>
    <w:rsid w:val="00430B10"/>
    <w:rsid w:val="00431001"/>
    <w:rsid w:val="00431003"/>
    <w:rsid w:val="00431188"/>
    <w:rsid w:val="0043161F"/>
    <w:rsid w:val="00432533"/>
    <w:rsid w:val="004332DF"/>
    <w:rsid w:val="0043346E"/>
    <w:rsid w:val="0043384F"/>
    <w:rsid w:val="00433A22"/>
    <w:rsid w:val="00433DE1"/>
    <w:rsid w:val="00434F2A"/>
    <w:rsid w:val="00435382"/>
    <w:rsid w:val="00435F86"/>
    <w:rsid w:val="004369F2"/>
    <w:rsid w:val="004377D1"/>
    <w:rsid w:val="00437FF5"/>
    <w:rsid w:val="00441061"/>
    <w:rsid w:val="00441A79"/>
    <w:rsid w:val="00441E40"/>
    <w:rsid w:val="00442222"/>
    <w:rsid w:val="0044254C"/>
    <w:rsid w:val="00442653"/>
    <w:rsid w:val="004432B3"/>
    <w:rsid w:val="004452D1"/>
    <w:rsid w:val="00445868"/>
    <w:rsid w:val="00446366"/>
    <w:rsid w:val="004469EF"/>
    <w:rsid w:val="00446B79"/>
    <w:rsid w:val="004471F5"/>
    <w:rsid w:val="0044724F"/>
    <w:rsid w:val="004479DE"/>
    <w:rsid w:val="00447D64"/>
    <w:rsid w:val="00450615"/>
    <w:rsid w:val="004515EE"/>
    <w:rsid w:val="004516A0"/>
    <w:rsid w:val="00451C95"/>
    <w:rsid w:val="00451D50"/>
    <w:rsid w:val="004522ED"/>
    <w:rsid w:val="0045254B"/>
    <w:rsid w:val="00453870"/>
    <w:rsid w:val="00453AAB"/>
    <w:rsid w:val="00455102"/>
    <w:rsid w:val="004552F8"/>
    <w:rsid w:val="00455379"/>
    <w:rsid w:val="00455730"/>
    <w:rsid w:val="00456C27"/>
    <w:rsid w:val="00457611"/>
    <w:rsid w:val="0045764B"/>
    <w:rsid w:val="00457934"/>
    <w:rsid w:val="00457C95"/>
    <w:rsid w:val="004601AA"/>
    <w:rsid w:val="00460451"/>
    <w:rsid w:val="00461107"/>
    <w:rsid w:val="0046173F"/>
    <w:rsid w:val="00461C13"/>
    <w:rsid w:val="00462286"/>
    <w:rsid w:val="00462E14"/>
    <w:rsid w:val="004631C9"/>
    <w:rsid w:val="00463657"/>
    <w:rsid w:val="0046649F"/>
    <w:rsid w:val="0046682F"/>
    <w:rsid w:val="00466914"/>
    <w:rsid w:val="00466975"/>
    <w:rsid w:val="004670AE"/>
    <w:rsid w:val="00467DF5"/>
    <w:rsid w:val="004701E3"/>
    <w:rsid w:val="00470590"/>
    <w:rsid w:val="00470C61"/>
    <w:rsid w:val="0047171E"/>
    <w:rsid w:val="00471823"/>
    <w:rsid w:val="00471C6C"/>
    <w:rsid w:val="00471DF7"/>
    <w:rsid w:val="004726BE"/>
    <w:rsid w:val="00472915"/>
    <w:rsid w:val="004729D2"/>
    <w:rsid w:val="004731C6"/>
    <w:rsid w:val="00473B51"/>
    <w:rsid w:val="00475542"/>
    <w:rsid w:val="0047580E"/>
    <w:rsid w:val="00475B11"/>
    <w:rsid w:val="00475D59"/>
    <w:rsid w:val="0047616B"/>
    <w:rsid w:val="0047666E"/>
    <w:rsid w:val="00477121"/>
    <w:rsid w:val="004777A2"/>
    <w:rsid w:val="00477FB8"/>
    <w:rsid w:val="00477FDE"/>
    <w:rsid w:val="00480790"/>
    <w:rsid w:val="004809F5"/>
    <w:rsid w:val="0048118C"/>
    <w:rsid w:val="004812A6"/>
    <w:rsid w:val="00481B82"/>
    <w:rsid w:val="0048392C"/>
    <w:rsid w:val="00483A04"/>
    <w:rsid w:val="00483E05"/>
    <w:rsid w:val="004845A7"/>
    <w:rsid w:val="004847E4"/>
    <w:rsid w:val="00484A83"/>
    <w:rsid w:val="00484EE9"/>
    <w:rsid w:val="0048584F"/>
    <w:rsid w:val="00485AF3"/>
    <w:rsid w:val="00485EBB"/>
    <w:rsid w:val="00486861"/>
    <w:rsid w:val="00487DAE"/>
    <w:rsid w:val="004915A8"/>
    <w:rsid w:val="00491C2E"/>
    <w:rsid w:val="00491F4C"/>
    <w:rsid w:val="0049210B"/>
    <w:rsid w:val="004922F0"/>
    <w:rsid w:val="00492350"/>
    <w:rsid w:val="0049243D"/>
    <w:rsid w:val="00492C5A"/>
    <w:rsid w:val="004931B5"/>
    <w:rsid w:val="00493553"/>
    <w:rsid w:val="0049443A"/>
    <w:rsid w:val="00494459"/>
    <w:rsid w:val="00494733"/>
    <w:rsid w:val="00494CA0"/>
    <w:rsid w:val="00494DAA"/>
    <w:rsid w:val="00494DE6"/>
    <w:rsid w:val="00494F06"/>
    <w:rsid w:val="00495998"/>
    <w:rsid w:val="004977CE"/>
    <w:rsid w:val="004A058F"/>
    <w:rsid w:val="004A09E5"/>
    <w:rsid w:val="004A0E85"/>
    <w:rsid w:val="004A1975"/>
    <w:rsid w:val="004A1AF9"/>
    <w:rsid w:val="004A1FFE"/>
    <w:rsid w:val="004A43AD"/>
    <w:rsid w:val="004A48EE"/>
    <w:rsid w:val="004A49A7"/>
    <w:rsid w:val="004A50B9"/>
    <w:rsid w:val="004A5A00"/>
    <w:rsid w:val="004A5C09"/>
    <w:rsid w:val="004A5E43"/>
    <w:rsid w:val="004A7FA1"/>
    <w:rsid w:val="004B0BC3"/>
    <w:rsid w:val="004B1A73"/>
    <w:rsid w:val="004B2737"/>
    <w:rsid w:val="004B2BA7"/>
    <w:rsid w:val="004B2F54"/>
    <w:rsid w:val="004B3C5C"/>
    <w:rsid w:val="004B3F72"/>
    <w:rsid w:val="004B47AD"/>
    <w:rsid w:val="004B4C2D"/>
    <w:rsid w:val="004B577F"/>
    <w:rsid w:val="004B57E3"/>
    <w:rsid w:val="004B67AB"/>
    <w:rsid w:val="004B6B56"/>
    <w:rsid w:val="004B7540"/>
    <w:rsid w:val="004C0DEC"/>
    <w:rsid w:val="004C1707"/>
    <w:rsid w:val="004C1A08"/>
    <w:rsid w:val="004C2145"/>
    <w:rsid w:val="004C2944"/>
    <w:rsid w:val="004C3085"/>
    <w:rsid w:val="004C315F"/>
    <w:rsid w:val="004C356F"/>
    <w:rsid w:val="004C40CE"/>
    <w:rsid w:val="004C44AE"/>
    <w:rsid w:val="004C489A"/>
    <w:rsid w:val="004C4BFD"/>
    <w:rsid w:val="004C5182"/>
    <w:rsid w:val="004C51A8"/>
    <w:rsid w:val="004C56E8"/>
    <w:rsid w:val="004C5781"/>
    <w:rsid w:val="004C57D8"/>
    <w:rsid w:val="004C5A6C"/>
    <w:rsid w:val="004C5DF2"/>
    <w:rsid w:val="004C64F6"/>
    <w:rsid w:val="004C68C8"/>
    <w:rsid w:val="004C6971"/>
    <w:rsid w:val="004C7DF9"/>
    <w:rsid w:val="004C7F67"/>
    <w:rsid w:val="004D07B3"/>
    <w:rsid w:val="004D0AC0"/>
    <w:rsid w:val="004D1721"/>
    <w:rsid w:val="004D1AFC"/>
    <w:rsid w:val="004D1BBE"/>
    <w:rsid w:val="004D1F9A"/>
    <w:rsid w:val="004D20C9"/>
    <w:rsid w:val="004D30E6"/>
    <w:rsid w:val="004D322A"/>
    <w:rsid w:val="004D48AC"/>
    <w:rsid w:val="004D4D2D"/>
    <w:rsid w:val="004D5BCA"/>
    <w:rsid w:val="004D60F9"/>
    <w:rsid w:val="004D6233"/>
    <w:rsid w:val="004D6839"/>
    <w:rsid w:val="004D694B"/>
    <w:rsid w:val="004D6B3A"/>
    <w:rsid w:val="004D79C3"/>
    <w:rsid w:val="004E0646"/>
    <w:rsid w:val="004E1A52"/>
    <w:rsid w:val="004E1C60"/>
    <w:rsid w:val="004E220B"/>
    <w:rsid w:val="004E235D"/>
    <w:rsid w:val="004E2FB4"/>
    <w:rsid w:val="004E300C"/>
    <w:rsid w:val="004E78E5"/>
    <w:rsid w:val="004F2658"/>
    <w:rsid w:val="004F399C"/>
    <w:rsid w:val="004F7393"/>
    <w:rsid w:val="004F7C96"/>
    <w:rsid w:val="004F7F05"/>
    <w:rsid w:val="00500D7E"/>
    <w:rsid w:val="00501093"/>
    <w:rsid w:val="0050113E"/>
    <w:rsid w:val="0050175B"/>
    <w:rsid w:val="0050234C"/>
    <w:rsid w:val="005026F4"/>
    <w:rsid w:val="00503436"/>
    <w:rsid w:val="00503499"/>
    <w:rsid w:val="00503736"/>
    <w:rsid w:val="00503BB5"/>
    <w:rsid w:val="00504F0F"/>
    <w:rsid w:val="0050536A"/>
    <w:rsid w:val="00506CDC"/>
    <w:rsid w:val="00507D69"/>
    <w:rsid w:val="00507E37"/>
    <w:rsid w:val="005104FA"/>
    <w:rsid w:val="00510A20"/>
    <w:rsid w:val="00510E9B"/>
    <w:rsid w:val="005115C2"/>
    <w:rsid w:val="005118B1"/>
    <w:rsid w:val="005120CF"/>
    <w:rsid w:val="005124EE"/>
    <w:rsid w:val="00512A1F"/>
    <w:rsid w:val="0051392A"/>
    <w:rsid w:val="0051443D"/>
    <w:rsid w:val="005147C5"/>
    <w:rsid w:val="0051480F"/>
    <w:rsid w:val="00514D17"/>
    <w:rsid w:val="00515383"/>
    <w:rsid w:val="005153D0"/>
    <w:rsid w:val="00515A37"/>
    <w:rsid w:val="00515C83"/>
    <w:rsid w:val="00515F19"/>
    <w:rsid w:val="00516272"/>
    <w:rsid w:val="0051627A"/>
    <w:rsid w:val="005167E2"/>
    <w:rsid w:val="005175E8"/>
    <w:rsid w:val="0051772A"/>
    <w:rsid w:val="00517BE0"/>
    <w:rsid w:val="00517CEE"/>
    <w:rsid w:val="00520217"/>
    <w:rsid w:val="005209EB"/>
    <w:rsid w:val="00521239"/>
    <w:rsid w:val="00521423"/>
    <w:rsid w:val="00522184"/>
    <w:rsid w:val="00522230"/>
    <w:rsid w:val="005226A3"/>
    <w:rsid w:val="00522806"/>
    <w:rsid w:val="00523026"/>
    <w:rsid w:val="00523577"/>
    <w:rsid w:val="005242A0"/>
    <w:rsid w:val="00524C53"/>
    <w:rsid w:val="00525077"/>
    <w:rsid w:val="00525452"/>
    <w:rsid w:val="00525802"/>
    <w:rsid w:val="00525A34"/>
    <w:rsid w:val="005267C8"/>
    <w:rsid w:val="0052728F"/>
    <w:rsid w:val="00531E64"/>
    <w:rsid w:val="00531F4C"/>
    <w:rsid w:val="00532626"/>
    <w:rsid w:val="00532E2C"/>
    <w:rsid w:val="0053370A"/>
    <w:rsid w:val="00533E41"/>
    <w:rsid w:val="00533F13"/>
    <w:rsid w:val="00534115"/>
    <w:rsid w:val="005346EE"/>
    <w:rsid w:val="00534CF1"/>
    <w:rsid w:val="00535478"/>
    <w:rsid w:val="00535849"/>
    <w:rsid w:val="0053655A"/>
    <w:rsid w:val="00537333"/>
    <w:rsid w:val="0053752D"/>
    <w:rsid w:val="00537A87"/>
    <w:rsid w:val="00537E88"/>
    <w:rsid w:val="00540229"/>
    <w:rsid w:val="00540A89"/>
    <w:rsid w:val="00541EAB"/>
    <w:rsid w:val="0054287B"/>
    <w:rsid w:val="0054305E"/>
    <w:rsid w:val="0054329E"/>
    <w:rsid w:val="00543481"/>
    <w:rsid w:val="00543664"/>
    <w:rsid w:val="00543B44"/>
    <w:rsid w:val="005444D6"/>
    <w:rsid w:val="005455D8"/>
    <w:rsid w:val="005463BC"/>
    <w:rsid w:val="00546610"/>
    <w:rsid w:val="00550099"/>
    <w:rsid w:val="00550CEB"/>
    <w:rsid w:val="0055132B"/>
    <w:rsid w:val="005513A1"/>
    <w:rsid w:val="005513FC"/>
    <w:rsid w:val="0055201F"/>
    <w:rsid w:val="005520EB"/>
    <w:rsid w:val="0055215F"/>
    <w:rsid w:val="0055221A"/>
    <w:rsid w:val="005525E0"/>
    <w:rsid w:val="00553031"/>
    <w:rsid w:val="005535F6"/>
    <w:rsid w:val="00553A19"/>
    <w:rsid w:val="00554B4B"/>
    <w:rsid w:val="005556A6"/>
    <w:rsid w:val="00555A8E"/>
    <w:rsid w:val="00555F04"/>
    <w:rsid w:val="00557DC6"/>
    <w:rsid w:val="005601F0"/>
    <w:rsid w:val="0056024A"/>
    <w:rsid w:val="00560551"/>
    <w:rsid w:val="0056080D"/>
    <w:rsid w:val="00560B27"/>
    <w:rsid w:val="005621E4"/>
    <w:rsid w:val="00562215"/>
    <w:rsid w:val="0056287E"/>
    <w:rsid w:val="00563059"/>
    <w:rsid w:val="00563574"/>
    <w:rsid w:val="00563A0F"/>
    <w:rsid w:val="00563B1F"/>
    <w:rsid w:val="00563F77"/>
    <w:rsid w:val="0056451A"/>
    <w:rsid w:val="005650A0"/>
    <w:rsid w:val="00565344"/>
    <w:rsid w:val="005667A4"/>
    <w:rsid w:val="00566E74"/>
    <w:rsid w:val="005671A2"/>
    <w:rsid w:val="00567236"/>
    <w:rsid w:val="005674B2"/>
    <w:rsid w:val="00570223"/>
    <w:rsid w:val="005704A7"/>
    <w:rsid w:val="00570BE3"/>
    <w:rsid w:val="00570C72"/>
    <w:rsid w:val="0057119D"/>
    <w:rsid w:val="00571589"/>
    <w:rsid w:val="0057302D"/>
    <w:rsid w:val="005736BC"/>
    <w:rsid w:val="00573A16"/>
    <w:rsid w:val="00573E9F"/>
    <w:rsid w:val="00573F0A"/>
    <w:rsid w:val="005756EF"/>
    <w:rsid w:val="00575957"/>
    <w:rsid w:val="00575B7F"/>
    <w:rsid w:val="00576D28"/>
    <w:rsid w:val="0057760F"/>
    <w:rsid w:val="005777D4"/>
    <w:rsid w:val="00577EA6"/>
    <w:rsid w:val="00577EFB"/>
    <w:rsid w:val="00580ACF"/>
    <w:rsid w:val="00580D05"/>
    <w:rsid w:val="00582489"/>
    <w:rsid w:val="005824AA"/>
    <w:rsid w:val="00583237"/>
    <w:rsid w:val="00583E52"/>
    <w:rsid w:val="00585401"/>
    <w:rsid w:val="005854DD"/>
    <w:rsid w:val="005858D2"/>
    <w:rsid w:val="005865F1"/>
    <w:rsid w:val="00587ABF"/>
    <w:rsid w:val="00590CAF"/>
    <w:rsid w:val="00591615"/>
    <w:rsid w:val="005917BB"/>
    <w:rsid w:val="005921B0"/>
    <w:rsid w:val="00592438"/>
    <w:rsid w:val="00592960"/>
    <w:rsid w:val="00592972"/>
    <w:rsid w:val="00592A7F"/>
    <w:rsid w:val="00592C99"/>
    <w:rsid w:val="0059329D"/>
    <w:rsid w:val="0059369A"/>
    <w:rsid w:val="005937B8"/>
    <w:rsid w:val="0059389A"/>
    <w:rsid w:val="005938BE"/>
    <w:rsid w:val="00593B81"/>
    <w:rsid w:val="005948E5"/>
    <w:rsid w:val="00594AD4"/>
    <w:rsid w:val="00594F4F"/>
    <w:rsid w:val="00595071"/>
    <w:rsid w:val="005957F5"/>
    <w:rsid w:val="00595B20"/>
    <w:rsid w:val="005966E2"/>
    <w:rsid w:val="0059678B"/>
    <w:rsid w:val="00596B98"/>
    <w:rsid w:val="0059704F"/>
    <w:rsid w:val="005971FD"/>
    <w:rsid w:val="005A0428"/>
    <w:rsid w:val="005A08DE"/>
    <w:rsid w:val="005A15F4"/>
    <w:rsid w:val="005A18D5"/>
    <w:rsid w:val="005A1ADD"/>
    <w:rsid w:val="005A1FB1"/>
    <w:rsid w:val="005A1FB9"/>
    <w:rsid w:val="005A201A"/>
    <w:rsid w:val="005A201F"/>
    <w:rsid w:val="005A28D4"/>
    <w:rsid w:val="005A3A44"/>
    <w:rsid w:val="005A3DD1"/>
    <w:rsid w:val="005A3F18"/>
    <w:rsid w:val="005A43D0"/>
    <w:rsid w:val="005A443A"/>
    <w:rsid w:val="005A4677"/>
    <w:rsid w:val="005A4A52"/>
    <w:rsid w:val="005A4AF6"/>
    <w:rsid w:val="005A4DAB"/>
    <w:rsid w:val="005A513C"/>
    <w:rsid w:val="005A53E8"/>
    <w:rsid w:val="005A5C3E"/>
    <w:rsid w:val="005A6842"/>
    <w:rsid w:val="005A686A"/>
    <w:rsid w:val="005A6B99"/>
    <w:rsid w:val="005A6D30"/>
    <w:rsid w:val="005A719A"/>
    <w:rsid w:val="005A7542"/>
    <w:rsid w:val="005B0080"/>
    <w:rsid w:val="005B064B"/>
    <w:rsid w:val="005B08E3"/>
    <w:rsid w:val="005B1C36"/>
    <w:rsid w:val="005B1FFB"/>
    <w:rsid w:val="005B27F7"/>
    <w:rsid w:val="005B2E9F"/>
    <w:rsid w:val="005B3AE8"/>
    <w:rsid w:val="005B441D"/>
    <w:rsid w:val="005B47D6"/>
    <w:rsid w:val="005B53B6"/>
    <w:rsid w:val="005B61D7"/>
    <w:rsid w:val="005C031D"/>
    <w:rsid w:val="005C0344"/>
    <w:rsid w:val="005C05C9"/>
    <w:rsid w:val="005C0DE1"/>
    <w:rsid w:val="005C1036"/>
    <w:rsid w:val="005C15DA"/>
    <w:rsid w:val="005C1A03"/>
    <w:rsid w:val="005C1B09"/>
    <w:rsid w:val="005C2CBD"/>
    <w:rsid w:val="005C3AFC"/>
    <w:rsid w:val="005C3CFA"/>
    <w:rsid w:val="005C43D2"/>
    <w:rsid w:val="005C4CD4"/>
    <w:rsid w:val="005C5288"/>
    <w:rsid w:val="005C542F"/>
    <w:rsid w:val="005C6C23"/>
    <w:rsid w:val="005C6D6F"/>
    <w:rsid w:val="005C75D7"/>
    <w:rsid w:val="005C796C"/>
    <w:rsid w:val="005C7C61"/>
    <w:rsid w:val="005D09A1"/>
    <w:rsid w:val="005D09D4"/>
    <w:rsid w:val="005D0B89"/>
    <w:rsid w:val="005D1063"/>
    <w:rsid w:val="005D1E69"/>
    <w:rsid w:val="005D207C"/>
    <w:rsid w:val="005D2516"/>
    <w:rsid w:val="005D25C0"/>
    <w:rsid w:val="005D306E"/>
    <w:rsid w:val="005D35D5"/>
    <w:rsid w:val="005D480C"/>
    <w:rsid w:val="005D4B4E"/>
    <w:rsid w:val="005D536C"/>
    <w:rsid w:val="005D5EFF"/>
    <w:rsid w:val="005D64CB"/>
    <w:rsid w:val="005D6938"/>
    <w:rsid w:val="005D6BA6"/>
    <w:rsid w:val="005D6D53"/>
    <w:rsid w:val="005D7882"/>
    <w:rsid w:val="005E1D1F"/>
    <w:rsid w:val="005E25A1"/>
    <w:rsid w:val="005E2A6A"/>
    <w:rsid w:val="005E2B9D"/>
    <w:rsid w:val="005E2BB8"/>
    <w:rsid w:val="005E3588"/>
    <w:rsid w:val="005E3BCF"/>
    <w:rsid w:val="005E3D6A"/>
    <w:rsid w:val="005E3F2D"/>
    <w:rsid w:val="005E3FF7"/>
    <w:rsid w:val="005E476A"/>
    <w:rsid w:val="005E4B5C"/>
    <w:rsid w:val="005E4E54"/>
    <w:rsid w:val="005E5066"/>
    <w:rsid w:val="005E5236"/>
    <w:rsid w:val="005E553F"/>
    <w:rsid w:val="005E5FE6"/>
    <w:rsid w:val="005E6ED2"/>
    <w:rsid w:val="005E72BB"/>
    <w:rsid w:val="005E74A2"/>
    <w:rsid w:val="005E7868"/>
    <w:rsid w:val="005E7D0C"/>
    <w:rsid w:val="005E7E72"/>
    <w:rsid w:val="005F02CD"/>
    <w:rsid w:val="005F2478"/>
    <w:rsid w:val="005F254D"/>
    <w:rsid w:val="005F31A9"/>
    <w:rsid w:val="005F31D9"/>
    <w:rsid w:val="005F3C92"/>
    <w:rsid w:val="005F3C97"/>
    <w:rsid w:val="005F428A"/>
    <w:rsid w:val="005F4CE5"/>
    <w:rsid w:val="005F6165"/>
    <w:rsid w:val="005F665E"/>
    <w:rsid w:val="005F6813"/>
    <w:rsid w:val="005F686E"/>
    <w:rsid w:val="005F6A47"/>
    <w:rsid w:val="005F6D99"/>
    <w:rsid w:val="005F7ED6"/>
    <w:rsid w:val="006004B7"/>
    <w:rsid w:val="006008C6"/>
    <w:rsid w:val="006018F3"/>
    <w:rsid w:val="00601B38"/>
    <w:rsid w:val="00602BD2"/>
    <w:rsid w:val="00603944"/>
    <w:rsid w:val="0060552E"/>
    <w:rsid w:val="0060554D"/>
    <w:rsid w:val="00605C92"/>
    <w:rsid w:val="006062CE"/>
    <w:rsid w:val="0060650F"/>
    <w:rsid w:val="00606E4A"/>
    <w:rsid w:val="00607314"/>
    <w:rsid w:val="00607FE3"/>
    <w:rsid w:val="00610019"/>
    <w:rsid w:val="00610063"/>
    <w:rsid w:val="0061019C"/>
    <w:rsid w:val="006103E2"/>
    <w:rsid w:val="00611047"/>
    <w:rsid w:val="00612217"/>
    <w:rsid w:val="00613EF0"/>
    <w:rsid w:val="00614CF1"/>
    <w:rsid w:val="00615817"/>
    <w:rsid w:val="00616E35"/>
    <w:rsid w:val="00617EF6"/>
    <w:rsid w:val="006201FC"/>
    <w:rsid w:val="00620EFB"/>
    <w:rsid w:val="0062109C"/>
    <w:rsid w:val="00621176"/>
    <w:rsid w:val="006213EF"/>
    <w:rsid w:val="006214CF"/>
    <w:rsid w:val="00621A2C"/>
    <w:rsid w:val="00621FEF"/>
    <w:rsid w:val="0062222E"/>
    <w:rsid w:val="006234B1"/>
    <w:rsid w:val="0062351F"/>
    <w:rsid w:val="006240C7"/>
    <w:rsid w:val="00624DC7"/>
    <w:rsid w:val="00625102"/>
    <w:rsid w:val="00625B09"/>
    <w:rsid w:val="00625F59"/>
    <w:rsid w:val="00626130"/>
    <w:rsid w:val="0062628A"/>
    <w:rsid w:val="0062643C"/>
    <w:rsid w:val="00626A68"/>
    <w:rsid w:val="00627135"/>
    <w:rsid w:val="006278EC"/>
    <w:rsid w:val="00627AC9"/>
    <w:rsid w:val="00627AE8"/>
    <w:rsid w:val="00630490"/>
    <w:rsid w:val="006308E0"/>
    <w:rsid w:val="00630F07"/>
    <w:rsid w:val="00630F09"/>
    <w:rsid w:val="00632B55"/>
    <w:rsid w:val="00632FD2"/>
    <w:rsid w:val="00633773"/>
    <w:rsid w:val="00633B7F"/>
    <w:rsid w:val="00634EA9"/>
    <w:rsid w:val="00636598"/>
    <w:rsid w:val="00636D0F"/>
    <w:rsid w:val="006372A3"/>
    <w:rsid w:val="0063760B"/>
    <w:rsid w:val="00637C97"/>
    <w:rsid w:val="0064020D"/>
    <w:rsid w:val="00640702"/>
    <w:rsid w:val="00640B82"/>
    <w:rsid w:val="0064115C"/>
    <w:rsid w:val="006414CC"/>
    <w:rsid w:val="006422D3"/>
    <w:rsid w:val="00642932"/>
    <w:rsid w:val="0064347E"/>
    <w:rsid w:val="00643B96"/>
    <w:rsid w:val="0064415D"/>
    <w:rsid w:val="00644843"/>
    <w:rsid w:val="0064571F"/>
    <w:rsid w:val="0064584F"/>
    <w:rsid w:val="00646315"/>
    <w:rsid w:val="006465FF"/>
    <w:rsid w:val="00646F99"/>
    <w:rsid w:val="00647988"/>
    <w:rsid w:val="00650018"/>
    <w:rsid w:val="00650230"/>
    <w:rsid w:val="00650250"/>
    <w:rsid w:val="0065041B"/>
    <w:rsid w:val="00651F2C"/>
    <w:rsid w:val="0065282C"/>
    <w:rsid w:val="00652F05"/>
    <w:rsid w:val="00653264"/>
    <w:rsid w:val="006532C0"/>
    <w:rsid w:val="006536CF"/>
    <w:rsid w:val="00654980"/>
    <w:rsid w:val="00654D8D"/>
    <w:rsid w:val="00655351"/>
    <w:rsid w:val="006554D0"/>
    <w:rsid w:val="00655B00"/>
    <w:rsid w:val="00655DA1"/>
    <w:rsid w:val="006560A2"/>
    <w:rsid w:val="00656190"/>
    <w:rsid w:val="0065651D"/>
    <w:rsid w:val="006569B0"/>
    <w:rsid w:val="00656C3A"/>
    <w:rsid w:val="00656F70"/>
    <w:rsid w:val="00656FA4"/>
    <w:rsid w:val="00657062"/>
    <w:rsid w:val="006570A9"/>
    <w:rsid w:val="006578DA"/>
    <w:rsid w:val="00660928"/>
    <w:rsid w:val="00660F88"/>
    <w:rsid w:val="00661F13"/>
    <w:rsid w:val="00661FF0"/>
    <w:rsid w:val="006622AF"/>
    <w:rsid w:val="00663C63"/>
    <w:rsid w:val="0066403E"/>
    <w:rsid w:val="00664203"/>
    <w:rsid w:val="0066497E"/>
    <w:rsid w:val="00664F6E"/>
    <w:rsid w:val="00665156"/>
    <w:rsid w:val="00665612"/>
    <w:rsid w:val="006656A6"/>
    <w:rsid w:val="00665D12"/>
    <w:rsid w:val="00665D59"/>
    <w:rsid w:val="00665EAB"/>
    <w:rsid w:val="00665EED"/>
    <w:rsid w:val="00666050"/>
    <w:rsid w:val="0066612C"/>
    <w:rsid w:val="006662FF"/>
    <w:rsid w:val="00666D41"/>
    <w:rsid w:val="00666E47"/>
    <w:rsid w:val="006671BD"/>
    <w:rsid w:val="006673CB"/>
    <w:rsid w:val="00667758"/>
    <w:rsid w:val="00667D81"/>
    <w:rsid w:val="00667ED2"/>
    <w:rsid w:val="00667FF0"/>
    <w:rsid w:val="0067019E"/>
    <w:rsid w:val="006708DB"/>
    <w:rsid w:val="00672E84"/>
    <w:rsid w:val="00672FDB"/>
    <w:rsid w:val="00673AC6"/>
    <w:rsid w:val="00673E7A"/>
    <w:rsid w:val="006741C1"/>
    <w:rsid w:val="0067484B"/>
    <w:rsid w:val="00674D22"/>
    <w:rsid w:val="00675528"/>
    <w:rsid w:val="00675B66"/>
    <w:rsid w:val="0067644C"/>
    <w:rsid w:val="00676908"/>
    <w:rsid w:val="006769DD"/>
    <w:rsid w:val="00680AF6"/>
    <w:rsid w:val="00680CCF"/>
    <w:rsid w:val="00682053"/>
    <w:rsid w:val="0068236E"/>
    <w:rsid w:val="0068323F"/>
    <w:rsid w:val="006833DE"/>
    <w:rsid w:val="00683D97"/>
    <w:rsid w:val="006844FE"/>
    <w:rsid w:val="00684527"/>
    <w:rsid w:val="00684657"/>
    <w:rsid w:val="0068499B"/>
    <w:rsid w:val="00684F67"/>
    <w:rsid w:val="006856B5"/>
    <w:rsid w:val="0068597D"/>
    <w:rsid w:val="006859E2"/>
    <w:rsid w:val="006862F0"/>
    <w:rsid w:val="006869E7"/>
    <w:rsid w:val="00686BAC"/>
    <w:rsid w:val="00687442"/>
    <w:rsid w:val="00690739"/>
    <w:rsid w:val="0069098A"/>
    <w:rsid w:val="00690B25"/>
    <w:rsid w:val="00690C69"/>
    <w:rsid w:val="006911D3"/>
    <w:rsid w:val="00691556"/>
    <w:rsid w:val="0069157C"/>
    <w:rsid w:val="006915CA"/>
    <w:rsid w:val="0069262B"/>
    <w:rsid w:val="0069416D"/>
    <w:rsid w:val="006942BC"/>
    <w:rsid w:val="00694B0F"/>
    <w:rsid w:val="00694C2D"/>
    <w:rsid w:val="0069511C"/>
    <w:rsid w:val="00695956"/>
    <w:rsid w:val="00695E36"/>
    <w:rsid w:val="00696101"/>
    <w:rsid w:val="00696877"/>
    <w:rsid w:val="006978DF"/>
    <w:rsid w:val="00697904"/>
    <w:rsid w:val="006A0226"/>
    <w:rsid w:val="006A0990"/>
    <w:rsid w:val="006A0C44"/>
    <w:rsid w:val="006A0CA2"/>
    <w:rsid w:val="006A1746"/>
    <w:rsid w:val="006A1D93"/>
    <w:rsid w:val="006A1FF0"/>
    <w:rsid w:val="006A2892"/>
    <w:rsid w:val="006A2B6F"/>
    <w:rsid w:val="006A2F09"/>
    <w:rsid w:val="006A30E4"/>
    <w:rsid w:val="006A328B"/>
    <w:rsid w:val="006A36A0"/>
    <w:rsid w:val="006A480E"/>
    <w:rsid w:val="006A4CA3"/>
    <w:rsid w:val="006A59C7"/>
    <w:rsid w:val="006A5C70"/>
    <w:rsid w:val="006A5FEB"/>
    <w:rsid w:val="006A6161"/>
    <w:rsid w:val="006A64D9"/>
    <w:rsid w:val="006A7084"/>
    <w:rsid w:val="006A7259"/>
    <w:rsid w:val="006A7FE6"/>
    <w:rsid w:val="006B0539"/>
    <w:rsid w:val="006B1760"/>
    <w:rsid w:val="006B1765"/>
    <w:rsid w:val="006B17B3"/>
    <w:rsid w:val="006B1942"/>
    <w:rsid w:val="006B243C"/>
    <w:rsid w:val="006B2754"/>
    <w:rsid w:val="006B2E9B"/>
    <w:rsid w:val="006B3BCC"/>
    <w:rsid w:val="006B4AEE"/>
    <w:rsid w:val="006B4D6C"/>
    <w:rsid w:val="006B4DEE"/>
    <w:rsid w:val="006B5892"/>
    <w:rsid w:val="006B5BC8"/>
    <w:rsid w:val="006B5C21"/>
    <w:rsid w:val="006B66AE"/>
    <w:rsid w:val="006B73A8"/>
    <w:rsid w:val="006B7477"/>
    <w:rsid w:val="006B7F06"/>
    <w:rsid w:val="006C02D3"/>
    <w:rsid w:val="006C0917"/>
    <w:rsid w:val="006C0CF8"/>
    <w:rsid w:val="006C126E"/>
    <w:rsid w:val="006C170C"/>
    <w:rsid w:val="006C1724"/>
    <w:rsid w:val="006C2210"/>
    <w:rsid w:val="006C25A0"/>
    <w:rsid w:val="006C3892"/>
    <w:rsid w:val="006C3EC9"/>
    <w:rsid w:val="006C4191"/>
    <w:rsid w:val="006C4E9E"/>
    <w:rsid w:val="006C5036"/>
    <w:rsid w:val="006C50C8"/>
    <w:rsid w:val="006C5464"/>
    <w:rsid w:val="006C5895"/>
    <w:rsid w:val="006C58A7"/>
    <w:rsid w:val="006C5F7B"/>
    <w:rsid w:val="006C62E8"/>
    <w:rsid w:val="006C6B08"/>
    <w:rsid w:val="006C6BD9"/>
    <w:rsid w:val="006C7057"/>
    <w:rsid w:val="006C75CB"/>
    <w:rsid w:val="006C778E"/>
    <w:rsid w:val="006C793F"/>
    <w:rsid w:val="006D0450"/>
    <w:rsid w:val="006D0519"/>
    <w:rsid w:val="006D07FA"/>
    <w:rsid w:val="006D1429"/>
    <w:rsid w:val="006D1B6E"/>
    <w:rsid w:val="006D20E1"/>
    <w:rsid w:val="006D21E3"/>
    <w:rsid w:val="006D24B0"/>
    <w:rsid w:val="006D3909"/>
    <w:rsid w:val="006D3E99"/>
    <w:rsid w:val="006D40E3"/>
    <w:rsid w:val="006D4DBA"/>
    <w:rsid w:val="006D579F"/>
    <w:rsid w:val="006D66DF"/>
    <w:rsid w:val="006D676C"/>
    <w:rsid w:val="006D7202"/>
    <w:rsid w:val="006D74DC"/>
    <w:rsid w:val="006D7526"/>
    <w:rsid w:val="006E02A3"/>
    <w:rsid w:val="006E0308"/>
    <w:rsid w:val="006E0D93"/>
    <w:rsid w:val="006E192C"/>
    <w:rsid w:val="006E2D03"/>
    <w:rsid w:val="006E2EA4"/>
    <w:rsid w:val="006E41B0"/>
    <w:rsid w:val="006E43C5"/>
    <w:rsid w:val="006E4CD6"/>
    <w:rsid w:val="006E575A"/>
    <w:rsid w:val="006E5A4E"/>
    <w:rsid w:val="006E6510"/>
    <w:rsid w:val="006E669B"/>
    <w:rsid w:val="006E7047"/>
    <w:rsid w:val="006F009F"/>
    <w:rsid w:val="006F0750"/>
    <w:rsid w:val="006F09B1"/>
    <w:rsid w:val="006F0F98"/>
    <w:rsid w:val="006F13BE"/>
    <w:rsid w:val="006F1DE0"/>
    <w:rsid w:val="006F240A"/>
    <w:rsid w:val="006F27F2"/>
    <w:rsid w:val="006F28DA"/>
    <w:rsid w:val="006F2969"/>
    <w:rsid w:val="006F2FF2"/>
    <w:rsid w:val="006F316E"/>
    <w:rsid w:val="006F3AD4"/>
    <w:rsid w:val="006F3B61"/>
    <w:rsid w:val="006F404B"/>
    <w:rsid w:val="006F445B"/>
    <w:rsid w:val="006F568A"/>
    <w:rsid w:val="006F5844"/>
    <w:rsid w:val="006F5AEA"/>
    <w:rsid w:val="006F5C7F"/>
    <w:rsid w:val="006F6717"/>
    <w:rsid w:val="006F6B57"/>
    <w:rsid w:val="006F71CB"/>
    <w:rsid w:val="00700511"/>
    <w:rsid w:val="00700BEE"/>
    <w:rsid w:val="00700D18"/>
    <w:rsid w:val="00700FA9"/>
    <w:rsid w:val="00701948"/>
    <w:rsid w:val="00701E3E"/>
    <w:rsid w:val="0070244A"/>
    <w:rsid w:val="0070260F"/>
    <w:rsid w:val="00702BB3"/>
    <w:rsid w:val="00702FA7"/>
    <w:rsid w:val="00704098"/>
    <w:rsid w:val="007042B7"/>
    <w:rsid w:val="00704853"/>
    <w:rsid w:val="00704E00"/>
    <w:rsid w:val="007050D7"/>
    <w:rsid w:val="00706369"/>
    <w:rsid w:val="0070641C"/>
    <w:rsid w:val="00707801"/>
    <w:rsid w:val="00710282"/>
    <w:rsid w:val="00710CCE"/>
    <w:rsid w:val="00711672"/>
    <w:rsid w:val="007116DD"/>
    <w:rsid w:val="00712225"/>
    <w:rsid w:val="00712E6B"/>
    <w:rsid w:val="007131AA"/>
    <w:rsid w:val="00713B81"/>
    <w:rsid w:val="00713C69"/>
    <w:rsid w:val="00713CA0"/>
    <w:rsid w:val="007147EB"/>
    <w:rsid w:val="007153E5"/>
    <w:rsid w:val="00715AFF"/>
    <w:rsid w:val="00716442"/>
    <w:rsid w:val="0071691A"/>
    <w:rsid w:val="00716D8E"/>
    <w:rsid w:val="007170E8"/>
    <w:rsid w:val="00717C81"/>
    <w:rsid w:val="00720071"/>
    <w:rsid w:val="007216C3"/>
    <w:rsid w:val="00721E21"/>
    <w:rsid w:val="00722021"/>
    <w:rsid w:val="007229DB"/>
    <w:rsid w:val="0072336F"/>
    <w:rsid w:val="00723959"/>
    <w:rsid w:val="007241EC"/>
    <w:rsid w:val="00724E2B"/>
    <w:rsid w:val="00725992"/>
    <w:rsid w:val="00725F26"/>
    <w:rsid w:val="00730736"/>
    <w:rsid w:val="00730B84"/>
    <w:rsid w:val="00730CEB"/>
    <w:rsid w:val="00731036"/>
    <w:rsid w:val="00731B8F"/>
    <w:rsid w:val="00732478"/>
    <w:rsid w:val="007325C5"/>
    <w:rsid w:val="00732853"/>
    <w:rsid w:val="00732AF4"/>
    <w:rsid w:val="00732BA1"/>
    <w:rsid w:val="007336A6"/>
    <w:rsid w:val="007342C0"/>
    <w:rsid w:val="0073447B"/>
    <w:rsid w:val="0073539C"/>
    <w:rsid w:val="0073568E"/>
    <w:rsid w:val="00735F6B"/>
    <w:rsid w:val="00735FDE"/>
    <w:rsid w:val="007365C1"/>
    <w:rsid w:val="0073675E"/>
    <w:rsid w:val="0073698F"/>
    <w:rsid w:val="00736A14"/>
    <w:rsid w:val="00737B54"/>
    <w:rsid w:val="00737D0F"/>
    <w:rsid w:val="00740283"/>
    <w:rsid w:val="007405DC"/>
    <w:rsid w:val="007409B3"/>
    <w:rsid w:val="0074117B"/>
    <w:rsid w:val="00741D06"/>
    <w:rsid w:val="007421E6"/>
    <w:rsid w:val="007428DF"/>
    <w:rsid w:val="007432D5"/>
    <w:rsid w:val="0074337E"/>
    <w:rsid w:val="0074394F"/>
    <w:rsid w:val="00744789"/>
    <w:rsid w:val="00744CC1"/>
    <w:rsid w:val="0074651A"/>
    <w:rsid w:val="007472E4"/>
    <w:rsid w:val="00747391"/>
    <w:rsid w:val="007512BA"/>
    <w:rsid w:val="007513D1"/>
    <w:rsid w:val="00751C40"/>
    <w:rsid w:val="00751FA7"/>
    <w:rsid w:val="00752484"/>
    <w:rsid w:val="007527C2"/>
    <w:rsid w:val="0075284E"/>
    <w:rsid w:val="00752E17"/>
    <w:rsid w:val="00754247"/>
    <w:rsid w:val="007543DF"/>
    <w:rsid w:val="00754678"/>
    <w:rsid w:val="0075470F"/>
    <w:rsid w:val="00754E32"/>
    <w:rsid w:val="007559FA"/>
    <w:rsid w:val="00755CC0"/>
    <w:rsid w:val="007563B0"/>
    <w:rsid w:val="00756A6A"/>
    <w:rsid w:val="00756AF4"/>
    <w:rsid w:val="00757F79"/>
    <w:rsid w:val="00757F91"/>
    <w:rsid w:val="007609E9"/>
    <w:rsid w:val="00760AD6"/>
    <w:rsid w:val="00760B58"/>
    <w:rsid w:val="00760B87"/>
    <w:rsid w:val="00761A59"/>
    <w:rsid w:val="00761FC5"/>
    <w:rsid w:val="0076222D"/>
    <w:rsid w:val="00762483"/>
    <w:rsid w:val="0076248D"/>
    <w:rsid w:val="00762A4A"/>
    <w:rsid w:val="007630E9"/>
    <w:rsid w:val="0076319F"/>
    <w:rsid w:val="0076338E"/>
    <w:rsid w:val="007633CC"/>
    <w:rsid w:val="007634F0"/>
    <w:rsid w:val="007640D2"/>
    <w:rsid w:val="00765223"/>
    <w:rsid w:val="00765547"/>
    <w:rsid w:val="0076571C"/>
    <w:rsid w:val="007663BB"/>
    <w:rsid w:val="00766945"/>
    <w:rsid w:val="00770EFE"/>
    <w:rsid w:val="00771B55"/>
    <w:rsid w:val="00771C3C"/>
    <w:rsid w:val="007726F9"/>
    <w:rsid w:val="0077319E"/>
    <w:rsid w:val="00774798"/>
    <w:rsid w:val="00775912"/>
    <w:rsid w:val="00776344"/>
    <w:rsid w:val="00776F4B"/>
    <w:rsid w:val="0077741C"/>
    <w:rsid w:val="00777D9D"/>
    <w:rsid w:val="00777E8B"/>
    <w:rsid w:val="00781282"/>
    <w:rsid w:val="00781680"/>
    <w:rsid w:val="0078257B"/>
    <w:rsid w:val="00782D12"/>
    <w:rsid w:val="00784065"/>
    <w:rsid w:val="00784105"/>
    <w:rsid w:val="007841DC"/>
    <w:rsid w:val="00784419"/>
    <w:rsid w:val="00784549"/>
    <w:rsid w:val="007848A3"/>
    <w:rsid w:val="007852A3"/>
    <w:rsid w:val="0078535E"/>
    <w:rsid w:val="00786120"/>
    <w:rsid w:val="007867F5"/>
    <w:rsid w:val="007874EA"/>
    <w:rsid w:val="00787F0D"/>
    <w:rsid w:val="00787FE6"/>
    <w:rsid w:val="00790309"/>
    <w:rsid w:val="00790E2E"/>
    <w:rsid w:val="00791A0F"/>
    <w:rsid w:val="00791D5F"/>
    <w:rsid w:val="00791EA3"/>
    <w:rsid w:val="00792B2C"/>
    <w:rsid w:val="00792B50"/>
    <w:rsid w:val="00793180"/>
    <w:rsid w:val="00793441"/>
    <w:rsid w:val="00793B79"/>
    <w:rsid w:val="00793BE5"/>
    <w:rsid w:val="00793F1D"/>
    <w:rsid w:val="007940CD"/>
    <w:rsid w:val="00795C00"/>
    <w:rsid w:val="00797C76"/>
    <w:rsid w:val="00797F20"/>
    <w:rsid w:val="007A0952"/>
    <w:rsid w:val="007A0DA1"/>
    <w:rsid w:val="007A1168"/>
    <w:rsid w:val="007A15BA"/>
    <w:rsid w:val="007A3FA7"/>
    <w:rsid w:val="007A4146"/>
    <w:rsid w:val="007A4356"/>
    <w:rsid w:val="007A43B3"/>
    <w:rsid w:val="007A4DBE"/>
    <w:rsid w:val="007A57DE"/>
    <w:rsid w:val="007A6415"/>
    <w:rsid w:val="007A7A39"/>
    <w:rsid w:val="007A7D99"/>
    <w:rsid w:val="007A7FD0"/>
    <w:rsid w:val="007B013C"/>
    <w:rsid w:val="007B08D7"/>
    <w:rsid w:val="007B1222"/>
    <w:rsid w:val="007B15D9"/>
    <w:rsid w:val="007B1637"/>
    <w:rsid w:val="007B16F7"/>
    <w:rsid w:val="007B20FE"/>
    <w:rsid w:val="007B22C0"/>
    <w:rsid w:val="007B3022"/>
    <w:rsid w:val="007B356F"/>
    <w:rsid w:val="007B4A2E"/>
    <w:rsid w:val="007B4D48"/>
    <w:rsid w:val="007B5031"/>
    <w:rsid w:val="007B6224"/>
    <w:rsid w:val="007B645B"/>
    <w:rsid w:val="007B738B"/>
    <w:rsid w:val="007B7DD0"/>
    <w:rsid w:val="007C02F2"/>
    <w:rsid w:val="007C0346"/>
    <w:rsid w:val="007C0DCD"/>
    <w:rsid w:val="007C11B0"/>
    <w:rsid w:val="007C1253"/>
    <w:rsid w:val="007C1CF1"/>
    <w:rsid w:val="007C2792"/>
    <w:rsid w:val="007C2FFD"/>
    <w:rsid w:val="007C4E65"/>
    <w:rsid w:val="007C518B"/>
    <w:rsid w:val="007C5543"/>
    <w:rsid w:val="007C56F9"/>
    <w:rsid w:val="007C5AD1"/>
    <w:rsid w:val="007C6155"/>
    <w:rsid w:val="007C636F"/>
    <w:rsid w:val="007C67BD"/>
    <w:rsid w:val="007C6E18"/>
    <w:rsid w:val="007C6FEF"/>
    <w:rsid w:val="007D0496"/>
    <w:rsid w:val="007D089D"/>
    <w:rsid w:val="007D1652"/>
    <w:rsid w:val="007D211E"/>
    <w:rsid w:val="007D2381"/>
    <w:rsid w:val="007D28C5"/>
    <w:rsid w:val="007D2F84"/>
    <w:rsid w:val="007D4596"/>
    <w:rsid w:val="007D4B03"/>
    <w:rsid w:val="007D51B2"/>
    <w:rsid w:val="007D5400"/>
    <w:rsid w:val="007D59BE"/>
    <w:rsid w:val="007D5C71"/>
    <w:rsid w:val="007D6078"/>
    <w:rsid w:val="007D69C0"/>
    <w:rsid w:val="007D6E6A"/>
    <w:rsid w:val="007D744F"/>
    <w:rsid w:val="007D763B"/>
    <w:rsid w:val="007D7AEE"/>
    <w:rsid w:val="007D7D33"/>
    <w:rsid w:val="007D7DC2"/>
    <w:rsid w:val="007D7F14"/>
    <w:rsid w:val="007E1DD7"/>
    <w:rsid w:val="007E2A7A"/>
    <w:rsid w:val="007E2F37"/>
    <w:rsid w:val="007E361D"/>
    <w:rsid w:val="007E4B0C"/>
    <w:rsid w:val="007E4DE2"/>
    <w:rsid w:val="007E4EBA"/>
    <w:rsid w:val="007E549C"/>
    <w:rsid w:val="007E5814"/>
    <w:rsid w:val="007E6505"/>
    <w:rsid w:val="007E6717"/>
    <w:rsid w:val="007E784F"/>
    <w:rsid w:val="007E79CF"/>
    <w:rsid w:val="007E7EF5"/>
    <w:rsid w:val="007F0A93"/>
    <w:rsid w:val="007F0DCC"/>
    <w:rsid w:val="007F16AD"/>
    <w:rsid w:val="007F1A03"/>
    <w:rsid w:val="007F26A0"/>
    <w:rsid w:val="007F2C91"/>
    <w:rsid w:val="007F2DD7"/>
    <w:rsid w:val="007F37E2"/>
    <w:rsid w:val="007F3A5B"/>
    <w:rsid w:val="007F4069"/>
    <w:rsid w:val="007F460F"/>
    <w:rsid w:val="007F4827"/>
    <w:rsid w:val="007F4F22"/>
    <w:rsid w:val="007F53C7"/>
    <w:rsid w:val="007F59CB"/>
    <w:rsid w:val="007F5BD3"/>
    <w:rsid w:val="007F6ACC"/>
    <w:rsid w:val="007F6F8A"/>
    <w:rsid w:val="007F7829"/>
    <w:rsid w:val="0080006E"/>
    <w:rsid w:val="008005B2"/>
    <w:rsid w:val="00800649"/>
    <w:rsid w:val="0080153B"/>
    <w:rsid w:val="00801803"/>
    <w:rsid w:val="00801903"/>
    <w:rsid w:val="00801A72"/>
    <w:rsid w:val="00802C1D"/>
    <w:rsid w:val="00803559"/>
    <w:rsid w:val="008039C4"/>
    <w:rsid w:val="00803E0A"/>
    <w:rsid w:val="008042C1"/>
    <w:rsid w:val="008048C7"/>
    <w:rsid w:val="0080531E"/>
    <w:rsid w:val="008054B8"/>
    <w:rsid w:val="008079F9"/>
    <w:rsid w:val="008111B3"/>
    <w:rsid w:val="00811607"/>
    <w:rsid w:val="00811880"/>
    <w:rsid w:val="00811B78"/>
    <w:rsid w:val="008127BB"/>
    <w:rsid w:val="00812D66"/>
    <w:rsid w:val="00813270"/>
    <w:rsid w:val="00813565"/>
    <w:rsid w:val="0081442C"/>
    <w:rsid w:val="00814D1D"/>
    <w:rsid w:val="00815275"/>
    <w:rsid w:val="00815762"/>
    <w:rsid w:val="00815D86"/>
    <w:rsid w:val="00815F04"/>
    <w:rsid w:val="00816897"/>
    <w:rsid w:val="008169AD"/>
    <w:rsid w:val="00816DFA"/>
    <w:rsid w:val="00820C97"/>
    <w:rsid w:val="00821455"/>
    <w:rsid w:val="008220D7"/>
    <w:rsid w:val="008231BA"/>
    <w:rsid w:val="008232BF"/>
    <w:rsid w:val="008232D4"/>
    <w:rsid w:val="00823497"/>
    <w:rsid w:val="00823B0E"/>
    <w:rsid w:val="00823E30"/>
    <w:rsid w:val="00824DF2"/>
    <w:rsid w:val="008257C8"/>
    <w:rsid w:val="00826165"/>
    <w:rsid w:val="008264D3"/>
    <w:rsid w:val="00826AF5"/>
    <w:rsid w:val="00826C40"/>
    <w:rsid w:val="00826FBE"/>
    <w:rsid w:val="00830910"/>
    <w:rsid w:val="00831A3C"/>
    <w:rsid w:val="0083220B"/>
    <w:rsid w:val="0083253B"/>
    <w:rsid w:val="0083405A"/>
    <w:rsid w:val="00834484"/>
    <w:rsid w:val="0083495F"/>
    <w:rsid w:val="00835392"/>
    <w:rsid w:val="00835686"/>
    <w:rsid w:val="00835BD8"/>
    <w:rsid w:val="00835F2E"/>
    <w:rsid w:val="00836142"/>
    <w:rsid w:val="008368DB"/>
    <w:rsid w:val="008373F9"/>
    <w:rsid w:val="00837DF6"/>
    <w:rsid w:val="00840275"/>
    <w:rsid w:val="00840543"/>
    <w:rsid w:val="00840695"/>
    <w:rsid w:val="008410FE"/>
    <w:rsid w:val="00841FE7"/>
    <w:rsid w:val="0084207C"/>
    <w:rsid w:val="0084265C"/>
    <w:rsid w:val="00842849"/>
    <w:rsid w:val="0084287F"/>
    <w:rsid w:val="00842953"/>
    <w:rsid w:val="008431E6"/>
    <w:rsid w:val="0084328B"/>
    <w:rsid w:val="00843C78"/>
    <w:rsid w:val="00843F1F"/>
    <w:rsid w:val="008440C4"/>
    <w:rsid w:val="00844927"/>
    <w:rsid w:val="00844E91"/>
    <w:rsid w:val="00844F63"/>
    <w:rsid w:val="00846098"/>
    <w:rsid w:val="008460EF"/>
    <w:rsid w:val="00846C7D"/>
    <w:rsid w:val="00847D2E"/>
    <w:rsid w:val="0085006F"/>
    <w:rsid w:val="00851B88"/>
    <w:rsid w:val="008521AB"/>
    <w:rsid w:val="0085378F"/>
    <w:rsid w:val="0085394C"/>
    <w:rsid w:val="00853ACF"/>
    <w:rsid w:val="00853BB8"/>
    <w:rsid w:val="00853F24"/>
    <w:rsid w:val="008545C2"/>
    <w:rsid w:val="0085463D"/>
    <w:rsid w:val="00855378"/>
    <w:rsid w:val="00855415"/>
    <w:rsid w:val="008558FD"/>
    <w:rsid w:val="00856545"/>
    <w:rsid w:val="0085742B"/>
    <w:rsid w:val="0085794B"/>
    <w:rsid w:val="008579F5"/>
    <w:rsid w:val="00857FBA"/>
    <w:rsid w:val="008605EB"/>
    <w:rsid w:val="00860DF3"/>
    <w:rsid w:val="008614BA"/>
    <w:rsid w:val="008616AF"/>
    <w:rsid w:val="00861996"/>
    <w:rsid w:val="00861CEB"/>
    <w:rsid w:val="00863024"/>
    <w:rsid w:val="008639FF"/>
    <w:rsid w:val="00864308"/>
    <w:rsid w:val="00866390"/>
    <w:rsid w:val="008672B3"/>
    <w:rsid w:val="00867385"/>
    <w:rsid w:val="00867584"/>
    <w:rsid w:val="008679BD"/>
    <w:rsid w:val="00867DBD"/>
    <w:rsid w:val="00870698"/>
    <w:rsid w:val="0087184C"/>
    <w:rsid w:val="00872A88"/>
    <w:rsid w:val="00872FFF"/>
    <w:rsid w:val="00874764"/>
    <w:rsid w:val="00874D0C"/>
    <w:rsid w:val="00876140"/>
    <w:rsid w:val="00876E23"/>
    <w:rsid w:val="008774C3"/>
    <w:rsid w:val="00877F17"/>
    <w:rsid w:val="00880172"/>
    <w:rsid w:val="00880CFE"/>
    <w:rsid w:val="008811A6"/>
    <w:rsid w:val="008817B3"/>
    <w:rsid w:val="00881C93"/>
    <w:rsid w:val="0088222A"/>
    <w:rsid w:val="00882726"/>
    <w:rsid w:val="00882785"/>
    <w:rsid w:val="00882AEB"/>
    <w:rsid w:val="00882C23"/>
    <w:rsid w:val="008846C7"/>
    <w:rsid w:val="00885BB3"/>
    <w:rsid w:val="0088600B"/>
    <w:rsid w:val="008866F9"/>
    <w:rsid w:val="00886720"/>
    <w:rsid w:val="0088687A"/>
    <w:rsid w:val="00886A3B"/>
    <w:rsid w:val="00886F2E"/>
    <w:rsid w:val="00887543"/>
    <w:rsid w:val="00887812"/>
    <w:rsid w:val="00887979"/>
    <w:rsid w:val="00887B24"/>
    <w:rsid w:val="00887B8C"/>
    <w:rsid w:val="008906B7"/>
    <w:rsid w:val="0089098E"/>
    <w:rsid w:val="00891D0E"/>
    <w:rsid w:val="0089236B"/>
    <w:rsid w:val="0089250D"/>
    <w:rsid w:val="00892997"/>
    <w:rsid w:val="00893195"/>
    <w:rsid w:val="00893B20"/>
    <w:rsid w:val="00893DFA"/>
    <w:rsid w:val="00895EB5"/>
    <w:rsid w:val="00895F60"/>
    <w:rsid w:val="00896674"/>
    <w:rsid w:val="00897F4E"/>
    <w:rsid w:val="008A03A7"/>
    <w:rsid w:val="008A118E"/>
    <w:rsid w:val="008A126F"/>
    <w:rsid w:val="008A12DC"/>
    <w:rsid w:val="008A1452"/>
    <w:rsid w:val="008A15ED"/>
    <w:rsid w:val="008A27CF"/>
    <w:rsid w:val="008A28E9"/>
    <w:rsid w:val="008A3066"/>
    <w:rsid w:val="008A3457"/>
    <w:rsid w:val="008A3F08"/>
    <w:rsid w:val="008A40D3"/>
    <w:rsid w:val="008A430B"/>
    <w:rsid w:val="008A4330"/>
    <w:rsid w:val="008A4AC1"/>
    <w:rsid w:val="008A4BC9"/>
    <w:rsid w:val="008A4DC7"/>
    <w:rsid w:val="008A5E25"/>
    <w:rsid w:val="008A62F8"/>
    <w:rsid w:val="008A7449"/>
    <w:rsid w:val="008A7809"/>
    <w:rsid w:val="008B017A"/>
    <w:rsid w:val="008B022D"/>
    <w:rsid w:val="008B0472"/>
    <w:rsid w:val="008B08C3"/>
    <w:rsid w:val="008B0C35"/>
    <w:rsid w:val="008B0E8C"/>
    <w:rsid w:val="008B16BD"/>
    <w:rsid w:val="008B1A7F"/>
    <w:rsid w:val="008B2D51"/>
    <w:rsid w:val="008B3394"/>
    <w:rsid w:val="008B36E3"/>
    <w:rsid w:val="008B3F9F"/>
    <w:rsid w:val="008B43DB"/>
    <w:rsid w:val="008B482D"/>
    <w:rsid w:val="008B496F"/>
    <w:rsid w:val="008B5DC8"/>
    <w:rsid w:val="008B683F"/>
    <w:rsid w:val="008B6DE1"/>
    <w:rsid w:val="008B7187"/>
    <w:rsid w:val="008B77C0"/>
    <w:rsid w:val="008C070E"/>
    <w:rsid w:val="008C0819"/>
    <w:rsid w:val="008C0C86"/>
    <w:rsid w:val="008C1310"/>
    <w:rsid w:val="008C1E45"/>
    <w:rsid w:val="008C2D55"/>
    <w:rsid w:val="008C32B6"/>
    <w:rsid w:val="008C33E6"/>
    <w:rsid w:val="008C357E"/>
    <w:rsid w:val="008C3BB1"/>
    <w:rsid w:val="008C3D58"/>
    <w:rsid w:val="008C41CA"/>
    <w:rsid w:val="008C4677"/>
    <w:rsid w:val="008C49B4"/>
    <w:rsid w:val="008C5105"/>
    <w:rsid w:val="008C539A"/>
    <w:rsid w:val="008C5AE1"/>
    <w:rsid w:val="008C6078"/>
    <w:rsid w:val="008C6483"/>
    <w:rsid w:val="008C6EE3"/>
    <w:rsid w:val="008C707E"/>
    <w:rsid w:val="008C7D43"/>
    <w:rsid w:val="008D038A"/>
    <w:rsid w:val="008D04CC"/>
    <w:rsid w:val="008D1173"/>
    <w:rsid w:val="008D1ECC"/>
    <w:rsid w:val="008D3AFC"/>
    <w:rsid w:val="008D443B"/>
    <w:rsid w:val="008D4C70"/>
    <w:rsid w:val="008D5424"/>
    <w:rsid w:val="008D5DE4"/>
    <w:rsid w:val="008D6072"/>
    <w:rsid w:val="008D6798"/>
    <w:rsid w:val="008D7B99"/>
    <w:rsid w:val="008E0A6E"/>
    <w:rsid w:val="008E1039"/>
    <w:rsid w:val="008E275B"/>
    <w:rsid w:val="008E2D1F"/>
    <w:rsid w:val="008E3E9C"/>
    <w:rsid w:val="008E3EFE"/>
    <w:rsid w:val="008E4D5B"/>
    <w:rsid w:val="008E5581"/>
    <w:rsid w:val="008E570A"/>
    <w:rsid w:val="008E5839"/>
    <w:rsid w:val="008E5D72"/>
    <w:rsid w:val="008E6D06"/>
    <w:rsid w:val="008E7059"/>
    <w:rsid w:val="008F0360"/>
    <w:rsid w:val="008F06ED"/>
    <w:rsid w:val="008F0C0D"/>
    <w:rsid w:val="008F1167"/>
    <w:rsid w:val="008F13D6"/>
    <w:rsid w:val="008F1635"/>
    <w:rsid w:val="008F1CB9"/>
    <w:rsid w:val="008F1F02"/>
    <w:rsid w:val="008F39DD"/>
    <w:rsid w:val="008F3A5E"/>
    <w:rsid w:val="008F501A"/>
    <w:rsid w:val="008F5286"/>
    <w:rsid w:val="008F5717"/>
    <w:rsid w:val="008F588F"/>
    <w:rsid w:val="008F638A"/>
    <w:rsid w:val="008F65D3"/>
    <w:rsid w:val="008F6667"/>
    <w:rsid w:val="008F7103"/>
    <w:rsid w:val="008F732C"/>
    <w:rsid w:val="008F750B"/>
    <w:rsid w:val="008F775F"/>
    <w:rsid w:val="008F7ABE"/>
    <w:rsid w:val="008F7E2F"/>
    <w:rsid w:val="009004A8"/>
    <w:rsid w:val="00900727"/>
    <w:rsid w:val="00900FC6"/>
    <w:rsid w:val="00901338"/>
    <w:rsid w:val="00901508"/>
    <w:rsid w:val="00901FA0"/>
    <w:rsid w:val="009026C4"/>
    <w:rsid w:val="009027D5"/>
    <w:rsid w:val="0090291D"/>
    <w:rsid w:val="00903437"/>
    <w:rsid w:val="009034DD"/>
    <w:rsid w:val="00903814"/>
    <w:rsid w:val="00903885"/>
    <w:rsid w:val="00903C05"/>
    <w:rsid w:val="009045B6"/>
    <w:rsid w:val="00904768"/>
    <w:rsid w:val="00904937"/>
    <w:rsid w:val="00905112"/>
    <w:rsid w:val="00905EB0"/>
    <w:rsid w:val="009062ED"/>
    <w:rsid w:val="0090655A"/>
    <w:rsid w:val="00906D9C"/>
    <w:rsid w:val="00907839"/>
    <w:rsid w:val="00907E3D"/>
    <w:rsid w:val="009100E7"/>
    <w:rsid w:val="00910177"/>
    <w:rsid w:val="009103A1"/>
    <w:rsid w:val="00911003"/>
    <w:rsid w:val="00911B21"/>
    <w:rsid w:val="00911E87"/>
    <w:rsid w:val="00912085"/>
    <w:rsid w:val="009121BD"/>
    <w:rsid w:val="0091297A"/>
    <w:rsid w:val="00912B96"/>
    <w:rsid w:val="0091339D"/>
    <w:rsid w:val="00913453"/>
    <w:rsid w:val="00913468"/>
    <w:rsid w:val="009136AE"/>
    <w:rsid w:val="009137AC"/>
    <w:rsid w:val="00913828"/>
    <w:rsid w:val="00913E59"/>
    <w:rsid w:val="0091535D"/>
    <w:rsid w:val="009163C0"/>
    <w:rsid w:val="00916620"/>
    <w:rsid w:val="00916E0D"/>
    <w:rsid w:val="00916F98"/>
    <w:rsid w:val="009172F3"/>
    <w:rsid w:val="0092180B"/>
    <w:rsid w:val="00921898"/>
    <w:rsid w:val="0092233B"/>
    <w:rsid w:val="009223AD"/>
    <w:rsid w:val="009223C4"/>
    <w:rsid w:val="009229E6"/>
    <w:rsid w:val="00923164"/>
    <w:rsid w:val="00923570"/>
    <w:rsid w:val="009238EB"/>
    <w:rsid w:val="0092530C"/>
    <w:rsid w:val="00925497"/>
    <w:rsid w:val="00925E85"/>
    <w:rsid w:val="009271C7"/>
    <w:rsid w:val="009274E3"/>
    <w:rsid w:val="00927728"/>
    <w:rsid w:val="0092777C"/>
    <w:rsid w:val="009307E4"/>
    <w:rsid w:val="00932281"/>
    <w:rsid w:val="00932A50"/>
    <w:rsid w:val="009332C7"/>
    <w:rsid w:val="0093340F"/>
    <w:rsid w:val="00933715"/>
    <w:rsid w:val="0093397C"/>
    <w:rsid w:val="00934C3F"/>
    <w:rsid w:val="00934CA0"/>
    <w:rsid w:val="00934FB1"/>
    <w:rsid w:val="00935064"/>
    <w:rsid w:val="00935D5C"/>
    <w:rsid w:val="009363AC"/>
    <w:rsid w:val="00936451"/>
    <w:rsid w:val="009369C6"/>
    <w:rsid w:val="009371B5"/>
    <w:rsid w:val="00941FC2"/>
    <w:rsid w:val="0094264E"/>
    <w:rsid w:val="0094297B"/>
    <w:rsid w:val="0094322E"/>
    <w:rsid w:val="009434AC"/>
    <w:rsid w:val="00944548"/>
    <w:rsid w:val="00944A67"/>
    <w:rsid w:val="0094553E"/>
    <w:rsid w:val="00945C86"/>
    <w:rsid w:val="0094641E"/>
    <w:rsid w:val="00946E23"/>
    <w:rsid w:val="00947153"/>
    <w:rsid w:val="00947743"/>
    <w:rsid w:val="00950158"/>
    <w:rsid w:val="009508C3"/>
    <w:rsid w:val="00950A41"/>
    <w:rsid w:val="00950E4C"/>
    <w:rsid w:val="0095135C"/>
    <w:rsid w:val="009515F7"/>
    <w:rsid w:val="0095295E"/>
    <w:rsid w:val="0095333B"/>
    <w:rsid w:val="00953562"/>
    <w:rsid w:val="00954512"/>
    <w:rsid w:val="009549EC"/>
    <w:rsid w:val="00954EEE"/>
    <w:rsid w:val="0095550D"/>
    <w:rsid w:val="00956311"/>
    <w:rsid w:val="00956851"/>
    <w:rsid w:val="00957843"/>
    <w:rsid w:val="009608AB"/>
    <w:rsid w:val="00960D86"/>
    <w:rsid w:val="00960FFA"/>
    <w:rsid w:val="0096160A"/>
    <w:rsid w:val="0096385C"/>
    <w:rsid w:val="00963D24"/>
    <w:rsid w:val="0096468F"/>
    <w:rsid w:val="00965448"/>
    <w:rsid w:val="00965B17"/>
    <w:rsid w:val="009660D0"/>
    <w:rsid w:val="00966610"/>
    <w:rsid w:val="009669A7"/>
    <w:rsid w:val="00966AD0"/>
    <w:rsid w:val="00966EB3"/>
    <w:rsid w:val="00967252"/>
    <w:rsid w:val="00967730"/>
    <w:rsid w:val="00967C51"/>
    <w:rsid w:val="00970AD0"/>
    <w:rsid w:val="00970B00"/>
    <w:rsid w:val="0097194A"/>
    <w:rsid w:val="00971D00"/>
    <w:rsid w:val="00971D6F"/>
    <w:rsid w:val="0097208E"/>
    <w:rsid w:val="009733FE"/>
    <w:rsid w:val="0097348D"/>
    <w:rsid w:val="0097370A"/>
    <w:rsid w:val="009754B4"/>
    <w:rsid w:val="00975610"/>
    <w:rsid w:val="00975B33"/>
    <w:rsid w:val="009761C8"/>
    <w:rsid w:val="0097623D"/>
    <w:rsid w:val="00976891"/>
    <w:rsid w:val="009768E5"/>
    <w:rsid w:val="00976C25"/>
    <w:rsid w:val="009774A3"/>
    <w:rsid w:val="0098071C"/>
    <w:rsid w:val="00980CD3"/>
    <w:rsid w:val="00981C49"/>
    <w:rsid w:val="00981CBC"/>
    <w:rsid w:val="00983235"/>
    <w:rsid w:val="00983895"/>
    <w:rsid w:val="00984CC2"/>
    <w:rsid w:val="009856D4"/>
    <w:rsid w:val="00985B65"/>
    <w:rsid w:val="00985FD7"/>
    <w:rsid w:val="00986519"/>
    <w:rsid w:val="009866D1"/>
    <w:rsid w:val="00986C82"/>
    <w:rsid w:val="00986CD4"/>
    <w:rsid w:val="00986F0B"/>
    <w:rsid w:val="009873DF"/>
    <w:rsid w:val="00987774"/>
    <w:rsid w:val="00990551"/>
    <w:rsid w:val="00991B19"/>
    <w:rsid w:val="0099262F"/>
    <w:rsid w:val="00992871"/>
    <w:rsid w:val="009931DA"/>
    <w:rsid w:val="009932A3"/>
    <w:rsid w:val="00993E9D"/>
    <w:rsid w:val="0099592D"/>
    <w:rsid w:val="00995CBE"/>
    <w:rsid w:val="009A028E"/>
    <w:rsid w:val="009A0320"/>
    <w:rsid w:val="009A039F"/>
    <w:rsid w:val="009A12FF"/>
    <w:rsid w:val="009A22F1"/>
    <w:rsid w:val="009A2357"/>
    <w:rsid w:val="009A2751"/>
    <w:rsid w:val="009A3E43"/>
    <w:rsid w:val="009A46C2"/>
    <w:rsid w:val="009A4961"/>
    <w:rsid w:val="009A4E02"/>
    <w:rsid w:val="009A54C7"/>
    <w:rsid w:val="009A5501"/>
    <w:rsid w:val="009A7172"/>
    <w:rsid w:val="009A75D6"/>
    <w:rsid w:val="009A795E"/>
    <w:rsid w:val="009B0337"/>
    <w:rsid w:val="009B0764"/>
    <w:rsid w:val="009B1173"/>
    <w:rsid w:val="009B1184"/>
    <w:rsid w:val="009B186D"/>
    <w:rsid w:val="009B187D"/>
    <w:rsid w:val="009B2B6E"/>
    <w:rsid w:val="009B2C59"/>
    <w:rsid w:val="009B3510"/>
    <w:rsid w:val="009B362D"/>
    <w:rsid w:val="009B3B52"/>
    <w:rsid w:val="009B53EF"/>
    <w:rsid w:val="009B58F4"/>
    <w:rsid w:val="009B591F"/>
    <w:rsid w:val="009B612E"/>
    <w:rsid w:val="009B6411"/>
    <w:rsid w:val="009B6455"/>
    <w:rsid w:val="009B6ACF"/>
    <w:rsid w:val="009B7452"/>
    <w:rsid w:val="009B7A6D"/>
    <w:rsid w:val="009B7E96"/>
    <w:rsid w:val="009B7EFF"/>
    <w:rsid w:val="009C0424"/>
    <w:rsid w:val="009C093A"/>
    <w:rsid w:val="009C09B2"/>
    <w:rsid w:val="009C0B2D"/>
    <w:rsid w:val="009C1172"/>
    <w:rsid w:val="009C177F"/>
    <w:rsid w:val="009C1B03"/>
    <w:rsid w:val="009C1FE0"/>
    <w:rsid w:val="009C2C88"/>
    <w:rsid w:val="009C2D23"/>
    <w:rsid w:val="009C3B0A"/>
    <w:rsid w:val="009C3C50"/>
    <w:rsid w:val="009C44B8"/>
    <w:rsid w:val="009C4579"/>
    <w:rsid w:val="009C483D"/>
    <w:rsid w:val="009C4CD4"/>
    <w:rsid w:val="009C531C"/>
    <w:rsid w:val="009C5CC3"/>
    <w:rsid w:val="009C5F8F"/>
    <w:rsid w:val="009C705D"/>
    <w:rsid w:val="009C74FB"/>
    <w:rsid w:val="009C7A52"/>
    <w:rsid w:val="009C7CA1"/>
    <w:rsid w:val="009C7D89"/>
    <w:rsid w:val="009D0998"/>
    <w:rsid w:val="009D1680"/>
    <w:rsid w:val="009D29B3"/>
    <w:rsid w:val="009D31D1"/>
    <w:rsid w:val="009D3696"/>
    <w:rsid w:val="009D382A"/>
    <w:rsid w:val="009D3E4D"/>
    <w:rsid w:val="009D4389"/>
    <w:rsid w:val="009D47D7"/>
    <w:rsid w:val="009D5635"/>
    <w:rsid w:val="009D5CE3"/>
    <w:rsid w:val="009D6366"/>
    <w:rsid w:val="009D6719"/>
    <w:rsid w:val="009E2661"/>
    <w:rsid w:val="009E27AF"/>
    <w:rsid w:val="009E2F6C"/>
    <w:rsid w:val="009E3103"/>
    <w:rsid w:val="009E37B5"/>
    <w:rsid w:val="009E40B0"/>
    <w:rsid w:val="009E420B"/>
    <w:rsid w:val="009E4D63"/>
    <w:rsid w:val="009E5F5A"/>
    <w:rsid w:val="009E6115"/>
    <w:rsid w:val="009E635F"/>
    <w:rsid w:val="009E683F"/>
    <w:rsid w:val="009E6C38"/>
    <w:rsid w:val="009E6CB2"/>
    <w:rsid w:val="009F1160"/>
    <w:rsid w:val="009F1582"/>
    <w:rsid w:val="009F1CB7"/>
    <w:rsid w:val="009F20D2"/>
    <w:rsid w:val="009F2263"/>
    <w:rsid w:val="009F2DC7"/>
    <w:rsid w:val="009F4B8F"/>
    <w:rsid w:val="009F5AC6"/>
    <w:rsid w:val="009F6ACB"/>
    <w:rsid w:val="00A0015B"/>
    <w:rsid w:val="00A00613"/>
    <w:rsid w:val="00A01DFB"/>
    <w:rsid w:val="00A01E09"/>
    <w:rsid w:val="00A02196"/>
    <w:rsid w:val="00A0344D"/>
    <w:rsid w:val="00A036C0"/>
    <w:rsid w:val="00A04CA9"/>
    <w:rsid w:val="00A050DA"/>
    <w:rsid w:val="00A051C1"/>
    <w:rsid w:val="00A05B80"/>
    <w:rsid w:val="00A06A94"/>
    <w:rsid w:val="00A06E4B"/>
    <w:rsid w:val="00A10308"/>
    <w:rsid w:val="00A114B1"/>
    <w:rsid w:val="00A1179F"/>
    <w:rsid w:val="00A118A7"/>
    <w:rsid w:val="00A12049"/>
    <w:rsid w:val="00A1213B"/>
    <w:rsid w:val="00A12927"/>
    <w:rsid w:val="00A12DA6"/>
    <w:rsid w:val="00A1320B"/>
    <w:rsid w:val="00A13591"/>
    <w:rsid w:val="00A137DA"/>
    <w:rsid w:val="00A14107"/>
    <w:rsid w:val="00A14556"/>
    <w:rsid w:val="00A148D7"/>
    <w:rsid w:val="00A15819"/>
    <w:rsid w:val="00A1628E"/>
    <w:rsid w:val="00A1648E"/>
    <w:rsid w:val="00A16B01"/>
    <w:rsid w:val="00A177B7"/>
    <w:rsid w:val="00A17D07"/>
    <w:rsid w:val="00A17FFE"/>
    <w:rsid w:val="00A200E9"/>
    <w:rsid w:val="00A203A4"/>
    <w:rsid w:val="00A21465"/>
    <w:rsid w:val="00A21A09"/>
    <w:rsid w:val="00A21F22"/>
    <w:rsid w:val="00A22DBA"/>
    <w:rsid w:val="00A23242"/>
    <w:rsid w:val="00A238BF"/>
    <w:rsid w:val="00A239E0"/>
    <w:rsid w:val="00A24257"/>
    <w:rsid w:val="00A24753"/>
    <w:rsid w:val="00A2516C"/>
    <w:rsid w:val="00A255DE"/>
    <w:rsid w:val="00A26104"/>
    <w:rsid w:val="00A26445"/>
    <w:rsid w:val="00A26D48"/>
    <w:rsid w:val="00A26F24"/>
    <w:rsid w:val="00A2704C"/>
    <w:rsid w:val="00A276F0"/>
    <w:rsid w:val="00A27F54"/>
    <w:rsid w:val="00A27FB2"/>
    <w:rsid w:val="00A30609"/>
    <w:rsid w:val="00A306B2"/>
    <w:rsid w:val="00A30D84"/>
    <w:rsid w:val="00A30DD5"/>
    <w:rsid w:val="00A3141F"/>
    <w:rsid w:val="00A31445"/>
    <w:rsid w:val="00A319A8"/>
    <w:rsid w:val="00A32E76"/>
    <w:rsid w:val="00A330AB"/>
    <w:rsid w:val="00A33457"/>
    <w:rsid w:val="00A3360D"/>
    <w:rsid w:val="00A337EE"/>
    <w:rsid w:val="00A352B6"/>
    <w:rsid w:val="00A35903"/>
    <w:rsid w:val="00A35B5A"/>
    <w:rsid w:val="00A3682E"/>
    <w:rsid w:val="00A372C1"/>
    <w:rsid w:val="00A37813"/>
    <w:rsid w:val="00A40F40"/>
    <w:rsid w:val="00A41B0E"/>
    <w:rsid w:val="00A41B9B"/>
    <w:rsid w:val="00A42919"/>
    <w:rsid w:val="00A430F4"/>
    <w:rsid w:val="00A433AD"/>
    <w:rsid w:val="00A43E27"/>
    <w:rsid w:val="00A43FB0"/>
    <w:rsid w:val="00A44686"/>
    <w:rsid w:val="00A4562B"/>
    <w:rsid w:val="00A45AD7"/>
    <w:rsid w:val="00A45BBA"/>
    <w:rsid w:val="00A46680"/>
    <w:rsid w:val="00A469CE"/>
    <w:rsid w:val="00A47880"/>
    <w:rsid w:val="00A47CE1"/>
    <w:rsid w:val="00A50053"/>
    <w:rsid w:val="00A506BE"/>
    <w:rsid w:val="00A51209"/>
    <w:rsid w:val="00A5144E"/>
    <w:rsid w:val="00A53D88"/>
    <w:rsid w:val="00A54590"/>
    <w:rsid w:val="00A54640"/>
    <w:rsid w:val="00A5470A"/>
    <w:rsid w:val="00A555B6"/>
    <w:rsid w:val="00A557ED"/>
    <w:rsid w:val="00A55CDF"/>
    <w:rsid w:val="00A569B5"/>
    <w:rsid w:val="00A56EEC"/>
    <w:rsid w:val="00A57857"/>
    <w:rsid w:val="00A6001C"/>
    <w:rsid w:val="00A601CD"/>
    <w:rsid w:val="00A614E2"/>
    <w:rsid w:val="00A616CF"/>
    <w:rsid w:val="00A6199F"/>
    <w:rsid w:val="00A61A78"/>
    <w:rsid w:val="00A61A7A"/>
    <w:rsid w:val="00A61E42"/>
    <w:rsid w:val="00A625C2"/>
    <w:rsid w:val="00A6287B"/>
    <w:rsid w:val="00A64255"/>
    <w:rsid w:val="00A64B50"/>
    <w:rsid w:val="00A64C98"/>
    <w:rsid w:val="00A6554A"/>
    <w:rsid w:val="00A657F1"/>
    <w:rsid w:val="00A658B2"/>
    <w:rsid w:val="00A6597A"/>
    <w:rsid w:val="00A67CEE"/>
    <w:rsid w:val="00A7101B"/>
    <w:rsid w:val="00A719E5"/>
    <w:rsid w:val="00A720EA"/>
    <w:rsid w:val="00A72DE1"/>
    <w:rsid w:val="00A72EF4"/>
    <w:rsid w:val="00A737D0"/>
    <w:rsid w:val="00A7384C"/>
    <w:rsid w:val="00A743C6"/>
    <w:rsid w:val="00A74C76"/>
    <w:rsid w:val="00A756EE"/>
    <w:rsid w:val="00A75AD7"/>
    <w:rsid w:val="00A75C8A"/>
    <w:rsid w:val="00A765BB"/>
    <w:rsid w:val="00A766CC"/>
    <w:rsid w:val="00A776C9"/>
    <w:rsid w:val="00A77C81"/>
    <w:rsid w:val="00A77E6F"/>
    <w:rsid w:val="00A801CD"/>
    <w:rsid w:val="00A817BB"/>
    <w:rsid w:val="00A8263B"/>
    <w:rsid w:val="00A829F1"/>
    <w:rsid w:val="00A829F9"/>
    <w:rsid w:val="00A82BBF"/>
    <w:rsid w:val="00A82C0B"/>
    <w:rsid w:val="00A83D15"/>
    <w:rsid w:val="00A83D36"/>
    <w:rsid w:val="00A83E37"/>
    <w:rsid w:val="00A84688"/>
    <w:rsid w:val="00A84A4F"/>
    <w:rsid w:val="00A86209"/>
    <w:rsid w:val="00A87357"/>
    <w:rsid w:val="00A87CD7"/>
    <w:rsid w:val="00A90B4D"/>
    <w:rsid w:val="00A91431"/>
    <w:rsid w:val="00A915FE"/>
    <w:rsid w:val="00A91A5A"/>
    <w:rsid w:val="00A92154"/>
    <w:rsid w:val="00A9245F"/>
    <w:rsid w:val="00A932A9"/>
    <w:rsid w:val="00A93A39"/>
    <w:rsid w:val="00A93BEF"/>
    <w:rsid w:val="00A95288"/>
    <w:rsid w:val="00A95D05"/>
    <w:rsid w:val="00A96831"/>
    <w:rsid w:val="00A9725C"/>
    <w:rsid w:val="00A97263"/>
    <w:rsid w:val="00A977B2"/>
    <w:rsid w:val="00A97C3E"/>
    <w:rsid w:val="00AA0172"/>
    <w:rsid w:val="00AA0233"/>
    <w:rsid w:val="00AA02E7"/>
    <w:rsid w:val="00AA0446"/>
    <w:rsid w:val="00AA23CD"/>
    <w:rsid w:val="00AA335B"/>
    <w:rsid w:val="00AA3B68"/>
    <w:rsid w:val="00AA3E8E"/>
    <w:rsid w:val="00AA453C"/>
    <w:rsid w:val="00AA5824"/>
    <w:rsid w:val="00AA59A2"/>
    <w:rsid w:val="00AA5ED3"/>
    <w:rsid w:val="00AA6324"/>
    <w:rsid w:val="00AA72F7"/>
    <w:rsid w:val="00AA73E8"/>
    <w:rsid w:val="00AB0F19"/>
    <w:rsid w:val="00AB1645"/>
    <w:rsid w:val="00AB1A33"/>
    <w:rsid w:val="00AB25C8"/>
    <w:rsid w:val="00AB266F"/>
    <w:rsid w:val="00AB2A9B"/>
    <w:rsid w:val="00AB2F92"/>
    <w:rsid w:val="00AB3340"/>
    <w:rsid w:val="00AB3B18"/>
    <w:rsid w:val="00AB5625"/>
    <w:rsid w:val="00AB577E"/>
    <w:rsid w:val="00AB5D7B"/>
    <w:rsid w:val="00AB6634"/>
    <w:rsid w:val="00AB6B93"/>
    <w:rsid w:val="00AB785F"/>
    <w:rsid w:val="00AB7D86"/>
    <w:rsid w:val="00AC0A7C"/>
    <w:rsid w:val="00AC1378"/>
    <w:rsid w:val="00AC1857"/>
    <w:rsid w:val="00AC1F29"/>
    <w:rsid w:val="00AC35D5"/>
    <w:rsid w:val="00AC3837"/>
    <w:rsid w:val="00AC3FE5"/>
    <w:rsid w:val="00AC42D0"/>
    <w:rsid w:val="00AC468F"/>
    <w:rsid w:val="00AC61AA"/>
    <w:rsid w:val="00AC66BE"/>
    <w:rsid w:val="00AC672B"/>
    <w:rsid w:val="00AC6B1F"/>
    <w:rsid w:val="00AC6D4C"/>
    <w:rsid w:val="00AC76B4"/>
    <w:rsid w:val="00AC76F6"/>
    <w:rsid w:val="00AC7810"/>
    <w:rsid w:val="00AD0697"/>
    <w:rsid w:val="00AD0E97"/>
    <w:rsid w:val="00AD1A01"/>
    <w:rsid w:val="00AD1BA2"/>
    <w:rsid w:val="00AD1C9A"/>
    <w:rsid w:val="00AD20E7"/>
    <w:rsid w:val="00AD2FDD"/>
    <w:rsid w:val="00AD3ADC"/>
    <w:rsid w:val="00AD41F6"/>
    <w:rsid w:val="00AD4C33"/>
    <w:rsid w:val="00AD5FD1"/>
    <w:rsid w:val="00AD67F1"/>
    <w:rsid w:val="00AD6FD8"/>
    <w:rsid w:val="00AD6FF5"/>
    <w:rsid w:val="00AD7C6D"/>
    <w:rsid w:val="00AE0056"/>
    <w:rsid w:val="00AE02ED"/>
    <w:rsid w:val="00AE0751"/>
    <w:rsid w:val="00AE0B8A"/>
    <w:rsid w:val="00AE0D93"/>
    <w:rsid w:val="00AE1B08"/>
    <w:rsid w:val="00AE1EC6"/>
    <w:rsid w:val="00AE1FC7"/>
    <w:rsid w:val="00AE2D74"/>
    <w:rsid w:val="00AE348F"/>
    <w:rsid w:val="00AE381B"/>
    <w:rsid w:val="00AE3828"/>
    <w:rsid w:val="00AE3CDC"/>
    <w:rsid w:val="00AE4C94"/>
    <w:rsid w:val="00AE4F5C"/>
    <w:rsid w:val="00AE5016"/>
    <w:rsid w:val="00AE597B"/>
    <w:rsid w:val="00AE5CEC"/>
    <w:rsid w:val="00AE5EEF"/>
    <w:rsid w:val="00AE63FE"/>
    <w:rsid w:val="00AE76CC"/>
    <w:rsid w:val="00AF1272"/>
    <w:rsid w:val="00AF2026"/>
    <w:rsid w:val="00AF229F"/>
    <w:rsid w:val="00AF25D3"/>
    <w:rsid w:val="00AF2616"/>
    <w:rsid w:val="00AF325A"/>
    <w:rsid w:val="00AF3C1C"/>
    <w:rsid w:val="00AF40E9"/>
    <w:rsid w:val="00AF4637"/>
    <w:rsid w:val="00AF46AA"/>
    <w:rsid w:val="00AF4D8A"/>
    <w:rsid w:val="00AF5280"/>
    <w:rsid w:val="00AF5548"/>
    <w:rsid w:val="00AF5D4C"/>
    <w:rsid w:val="00AF73C2"/>
    <w:rsid w:val="00AF79CF"/>
    <w:rsid w:val="00AF7CE3"/>
    <w:rsid w:val="00B00102"/>
    <w:rsid w:val="00B0016D"/>
    <w:rsid w:val="00B00179"/>
    <w:rsid w:val="00B00D68"/>
    <w:rsid w:val="00B010BE"/>
    <w:rsid w:val="00B01AC9"/>
    <w:rsid w:val="00B01FA5"/>
    <w:rsid w:val="00B02A82"/>
    <w:rsid w:val="00B03094"/>
    <w:rsid w:val="00B04053"/>
    <w:rsid w:val="00B0498E"/>
    <w:rsid w:val="00B05177"/>
    <w:rsid w:val="00B0553E"/>
    <w:rsid w:val="00B06314"/>
    <w:rsid w:val="00B06C1F"/>
    <w:rsid w:val="00B07252"/>
    <w:rsid w:val="00B072D9"/>
    <w:rsid w:val="00B07458"/>
    <w:rsid w:val="00B07564"/>
    <w:rsid w:val="00B100DB"/>
    <w:rsid w:val="00B113B5"/>
    <w:rsid w:val="00B11A1E"/>
    <w:rsid w:val="00B129D9"/>
    <w:rsid w:val="00B1332B"/>
    <w:rsid w:val="00B13754"/>
    <w:rsid w:val="00B13810"/>
    <w:rsid w:val="00B13C3C"/>
    <w:rsid w:val="00B13CE2"/>
    <w:rsid w:val="00B142C1"/>
    <w:rsid w:val="00B14359"/>
    <w:rsid w:val="00B1507C"/>
    <w:rsid w:val="00B153FE"/>
    <w:rsid w:val="00B1587D"/>
    <w:rsid w:val="00B15F49"/>
    <w:rsid w:val="00B16476"/>
    <w:rsid w:val="00B1657E"/>
    <w:rsid w:val="00B165F2"/>
    <w:rsid w:val="00B1692E"/>
    <w:rsid w:val="00B175C7"/>
    <w:rsid w:val="00B1765C"/>
    <w:rsid w:val="00B17B4B"/>
    <w:rsid w:val="00B20201"/>
    <w:rsid w:val="00B21446"/>
    <w:rsid w:val="00B216E5"/>
    <w:rsid w:val="00B22CCE"/>
    <w:rsid w:val="00B22D62"/>
    <w:rsid w:val="00B22E81"/>
    <w:rsid w:val="00B2379C"/>
    <w:rsid w:val="00B23F4E"/>
    <w:rsid w:val="00B24DA9"/>
    <w:rsid w:val="00B25340"/>
    <w:rsid w:val="00B25BE5"/>
    <w:rsid w:val="00B266FC"/>
    <w:rsid w:val="00B26AE4"/>
    <w:rsid w:val="00B270F0"/>
    <w:rsid w:val="00B27354"/>
    <w:rsid w:val="00B316F4"/>
    <w:rsid w:val="00B31858"/>
    <w:rsid w:val="00B318BF"/>
    <w:rsid w:val="00B32063"/>
    <w:rsid w:val="00B32D16"/>
    <w:rsid w:val="00B33161"/>
    <w:rsid w:val="00B3355F"/>
    <w:rsid w:val="00B3367F"/>
    <w:rsid w:val="00B33847"/>
    <w:rsid w:val="00B338D2"/>
    <w:rsid w:val="00B33D0A"/>
    <w:rsid w:val="00B345D6"/>
    <w:rsid w:val="00B3483C"/>
    <w:rsid w:val="00B34FCE"/>
    <w:rsid w:val="00B3671E"/>
    <w:rsid w:val="00B36BE8"/>
    <w:rsid w:val="00B36E3D"/>
    <w:rsid w:val="00B36EB3"/>
    <w:rsid w:val="00B375CE"/>
    <w:rsid w:val="00B401AF"/>
    <w:rsid w:val="00B40740"/>
    <w:rsid w:val="00B40752"/>
    <w:rsid w:val="00B40B33"/>
    <w:rsid w:val="00B40CD8"/>
    <w:rsid w:val="00B410E7"/>
    <w:rsid w:val="00B4138D"/>
    <w:rsid w:val="00B4198D"/>
    <w:rsid w:val="00B4388F"/>
    <w:rsid w:val="00B446BF"/>
    <w:rsid w:val="00B44720"/>
    <w:rsid w:val="00B45D4E"/>
    <w:rsid w:val="00B463D1"/>
    <w:rsid w:val="00B46FC1"/>
    <w:rsid w:val="00B47261"/>
    <w:rsid w:val="00B474A5"/>
    <w:rsid w:val="00B510FC"/>
    <w:rsid w:val="00B511D9"/>
    <w:rsid w:val="00B511EB"/>
    <w:rsid w:val="00B5155A"/>
    <w:rsid w:val="00B51599"/>
    <w:rsid w:val="00B51674"/>
    <w:rsid w:val="00B51BA4"/>
    <w:rsid w:val="00B51CF3"/>
    <w:rsid w:val="00B52412"/>
    <w:rsid w:val="00B5241D"/>
    <w:rsid w:val="00B52A1D"/>
    <w:rsid w:val="00B52AEB"/>
    <w:rsid w:val="00B52C0F"/>
    <w:rsid w:val="00B52E81"/>
    <w:rsid w:val="00B532A5"/>
    <w:rsid w:val="00B5366D"/>
    <w:rsid w:val="00B542D5"/>
    <w:rsid w:val="00B54967"/>
    <w:rsid w:val="00B54BE8"/>
    <w:rsid w:val="00B55041"/>
    <w:rsid w:val="00B550E4"/>
    <w:rsid w:val="00B552B8"/>
    <w:rsid w:val="00B553EC"/>
    <w:rsid w:val="00B559B7"/>
    <w:rsid w:val="00B55B03"/>
    <w:rsid w:val="00B5610B"/>
    <w:rsid w:val="00B56CF1"/>
    <w:rsid w:val="00B57233"/>
    <w:rsid w:val="00B57B19"/>
    <w:rsid w:val="00B57BB1"/>
    <w:rsid w:val="00B57CBB"/>
    <w:rsid w:val="00B604EE"/>
    <w:rsid w:val="00B60B23"/>
    <w:rsid w:val="00B61252"/>
    <w:rsid w:val="00B61A19"/>
    <w:rsid w:val="00B62074"/>
    <w:rsid w:val="00B6283B"/>
    <w:rsid w:val="00B63102"/>
    <w:rsid w:val="00B6327E"/>
    <w:rsid w:val="00B6467F"/>
    <w:rsid w:val="00B647F0"/>
    <w:rsid w:val="00B64EC7"/>
    <w:rsid w:val="00B6536F"/>
    <w:rsid w:val="00B66737"/>
    <w:rsid w:val="00B66DFD"/>
    <w:rsid w:val="00B7046D"/>
    <w:rsid w:val="00B71711"/>
    <w:rsid w:val="00B71F55"/>
    <w:rsid w:val="00B72380"/>
    <w:rsid w:val="00B73833"/>
    <w:rsid w:val="00B74035"/>
    <w:rsid w:val="00B7429E"/>
    <w:rsid w:val="00B7449E"/>
    <w:rsid w:val="00B745AA"/>
    <w:rsid w:val="00B74886"/>
    <w:rsid w:val="00B7614C"/>
    <w:rsid w:val="00B761E5"/>
    <w:rsid w:val="00B763AC"/>
    <w:rsid w:val="00B766E1"/>
    <w:rsid w:val="00B76981"/>
    <w:rsid w:val="00B77968"/>
    <w:rsid w:val="00B77DD9"/>
    <w:rsid w:val="00B8001A"/>
    <w:rsid w:val="00B80156"/>
    <w:rsid w:val="00B801C2"/>
    <w:rsid w:val="00B80AB3"/>
    <w:rsid w:val="00B80CCB"/>
    <w:rsid w:val="00B81A59"/>
    <w:rsid w:val="00B83511"/>
    <w:rsid w:val="00B8391C"/>
    <w:rsid w:val="00B845CB"/>
    <w:rsid w:val="00B84B26"/>
    <w:rsid w:val="00B85CE4"/>
    <w:rsid w:val="00B86355"/>
    <w:rsid w:val="00B869AB"/>
    <w:rsid w:val="00B871DC"/>
    <w:rsid w:val="00B8748E"/>
    <w:rsid w:val="00B9050C"/>
    <w:rsid w:val="00B90605"/>
    <w:rsid w:val="00B9138B"/>
    <w:rsid w:val="00B9196F"/>
    <w:rsid w:val="00B91F83"/>
    <w:rsid w:val="00B920D9"/>
    <w:rsid w:val="00B9210A"/>
    <w:rsid w:val="00B93C6A"/>
    <w:rsid w:val="00B93F11"/>
    <w:rsid w:val="00B93F77"/>
    <w:rsid w:val="00B941C3"/>
    <w:rsid w:val="00B9559A"/>
    <w:rsid w:val="00B95D98"/>
    <w:rsid w:val="00B96038"/>
    <w:rsid w:val="00B96179"/>
    <w:rsid w:val="00B964F2"/>
    <w:rsid w:val="00B969E0"/>
    <w:rsid w:val="00B970B8"/>
    <w:rsid w:val="00B974DF"/>
    <w:rsid w:val="00BA1465"/>
    <w:rsid w:val="00BA1552"/>
    <w:rsid w:val="00BA15DB"/>
    <w:rsid w:val="00BA15EE"/>
    <w:rsid w:val="00BA1BC3"/>
    <w:rsid w:val="00BA1CCB"/>
    <w:rsid w:val="00BA1D5E"/>
    <w:rsid w:val="00BA281A"/>
    <w:rsid w:val="00BA29D2"/>
    <w:rsid w:val="00BA2F4C"/>
    <w:rsid w:val="00BA2FA2"/>
    <w:rsid w:val="00BA3013"/>
    <w:rsid w:val="00BA375B"/>
    <w:rsid w:val="00BA3ECE"/>
    <w:rsid w:val="00BA51CD"/>
    <w:rsid w:val="00BA5C6E"/>
    <w:rsid w:val="00BA6486"/>
    <w:rsid w:val="00BA6839"/>
    <w:rsid w:val="00BA6E3A"/>
    <w:rsid w:val="00BA6EC2"/>
    <w:rsid w:val="00BA745E"/>
    <w:rsid w:val="00BB0A7C"/>
    <w:rsid w:val="00BB0AAE"/>
    <w:rsid w:val="00BB11B2"/>
    <w:rsid w:val="00BB1E78"/>
    <w:rsid w:val="00BB203A"/>
    <w:rsid w:val="00BB2293"/>
    <w:rsid w:val="00BB22BA"/>
    <w:rsid w:val="00BB2CFB"/>
    <w:rsid w:val="00BB2F89"/>
    <w:rsid w:val="00BB3245"/>
    <w:rsid w:val="00BB33ED"/>
    <w:rsid w:val="00BB3510"/>
    <w:rsid w:val="00BB3A6C"/>
    <w:rsid w:val="00BB4159"/>
    <w:rsid w:val="00BB42C3"/>
    <w:rsid w:val="00BB45BC"/>
    <w:rsid w:val="00BB45C7"/>
    <w:rsid w:val="00BB4CD8"/>
    <w:rsid w:val="00BB58B8"/>
    <w:rsid w:val="00BB58FA"/>
    <w:rsid w:val="00BB72B2"/>
    <w:rsid w:val="00BB791E"/>
    <w:rsid w:val="00BB7C93"/>
    <w:rsid w:val="00BB7E28"/>
    <w:rsid w:val="00BC0809"/>
    <w:rsid w:val="00BC0A27"/>
    <w:rsid w:val="00BC1087"/>
    <w:rsid w:val="00BC146A"/>
    <w:rsid w:val="00BC22B0"/>
    <w:rsid w:val="00BC26A4"/>
    <w:rsid w:val="00BC33AD"/>
    <w:rsid w:val="00BC348F"/>
    <w:rsid w:val="00BC34F1"/>
    <w:rsid w:val="00BC4498"/>
    <w:rsid w:val="00BC4878"/>
    <w:rsid w:val="00BC48C5"/>
    <w:rsid w:val="00BC4EAA"/>
    <w:rsid w:val="00BC4F67"/>
    <w:rsid w:val="00BC678C"/>
    <w:rsid w:val="00BD0A3C"/>
    <w:rsid w:val="00BD1A3F"/>
    <w:rsid w:val="00BD1A67"/>
    <w:rsid w:val="00BD2572"/>
    <w:rsid w:val="00BD25F7"/>
    <w:rsid w:val="00BD2E36"/>
    <w:rsid w:val="00BD2F41"/>
    <w:rsid w:val="00BD3040"/>
    <w:rsid w:val="00BD3DA5"/>
    <w:rsid w:val="00BD4046"/>
    <w:rsid w:val="00BD40D7"/>
    <w:rsid w:val="00BD42DF"/>
    <w:rsid w:val="00BD4CDE"/>
    <w:rsid w:val="00BD646F"/>
    <w:rsid w:val="00BD6792"/>
    <w:rsid w:val="00BD7028"/>
    <w:rsid w:val="00BD7A4E"/>
    <w:rsid w:val="00BD7C3E"/>
    <w:rsid w:val="00BE00B0"/>
    <w:rsid w:val="00BE03E5"/>
    <w:rsid w:val="00BE058B"/>
    <w:rsid w:val="00BE33A3"/>
    <w:rsid w:val="00BE3885"/>
    <w:rsid w:val="00BE3E71"/>
    <w:rsid w:val="00BE3FFC"/>
    <w:rsid w:val="00BE42D5"/>
    <w:rsid w:val="00BE508E"/>
    <w:rsid w:val="00BE57C0"/>
    <w:rsid w:val="00BE682A"/>
    <w:rsid w:val="00BE6CA1"/>
    <w:rsid w:val="00BE7172"/>
    <w:rsid w:val="00BE7DA3"/>
    <w:rsid w:val="00BF0E25"/>
    <w:rsid w:val="00BF1081"/>
    <w:rsid w:val="00BF29FC"/>
    <w:rsid w:val="00BF30CB"/>
    <w:rsid w:val="00BF3240"/>
    <w:rsid w:val="00BF3BA3"/>
    <w:rsid w:val="00BF4376"/>
    <w:rsid w:val="00BF46EB"/>
    <w:rsid w:val="00C005EF"/>
    <w:rsid w:val="00C007AC"/>
    <w:rsid w:val="00C00910"/>
    <w:rsid w:val="00C00B5E"/>
    <w:rsid w:val="00C01991"/>
    <w:rsid w:val="00C01B94"/>
    <w:rsid w:val="00C02315"/>
    <w:rsid w:val="00C0235A"/>
    <w:rsid w:val="00C02C45"/>
    <w:rsid w:val="00C032A0"/>
    <w:rsid w:val="00C034DC"/>
    <w:rsid w:val="00C03E2E"/>
    <w:rsid w:val="00C040B0"/>
    <w:rsid w:val="00C04147"/>
    <w:rsid w:val="00C04888"/>
    <w:rsid w:val="00C04F17"/>
    <w:rsid w:val="00C055C9"/>
    <w:rsid w:val="00C05F81"/>
    <w:rsid w:val="00C06527"/>
    <w:rsid w:val="00C06B1E"/>
    <w:rsid w:val="00C06FD7"/>
    <w:rsid w:val="00C0748C"/>
    <w:rsid w:val="00C07DD1"/>
    <w:rsid w:val="00C07F1D"/>
    <w:rsid w:val="00C10833"/>
    <w:rsid w:val="00C10DBF"/>
    <w:rsid w:val="00C1197B"/>
    <w:rsid w:val="00C11B10"/>
    <w:rsid w:val="00C122B5"/>
    <w:rsid w:val="00C124A0"/>
    <w:rsid w:val="00C127B3"/>
    <w:rsid w:val="00C12D15"/>
    <w:rsid w:val="00C131B7"/>
    <w:rsid w:val="00C13543"/>
    <w:rsid w:val="00C13717"/>
    <w:rsid w:val="00C13F73"/>
    <w:rsid w:val="00C14813"/>
    <w:rsid w:val="00C14A2B"/>
    <w:rsid w:val="00C14D04"/>
    <w:rsid w:val="00C15741"/>
    <w:rsid w:val="00C15EBA"/>
    <w:rsid w:val="00C15F3D"/>
    <w:rsid w:val="00C161CD"/>
    <w:rsid w:val="00C16472"/>
    <w:rsid w:val="00C16BC9"/>
    <w:rsid w:val="00C16F10"/>
    <w:rsid w:val="00C17663"/>
    <w:rsid w:val="00C1782B"/>
    <w:rsid w:val="00C17FC1"/>
    <w:rsid w:val="00C201BF"/>
    <w:rsid w:val="00C20D9D"/>
    <w:rsid w:val="00C215D3"/>
    <w:rsid w:val="00C2192E"/>
    <w:rsid w:val="00C223A1"/>
    <w:rsid w:val="00C22D6A"/>
    <w:rsid w:val="00C2347B"/>
    <w:rsid w:val="00C235D7"/>
    <w:rsid w:val="00C2539E"/>
    <w:rsid w:val="00C257D8"/>
    <w:rsid w:val="00C25AB2"/>
    <w:rsid w:val="00C2709D"/>
    <w:rsid w:val="00C3023E"/>
    <w:rsid w:val="00C3024E"/>
    <w:rsid w:val="00C30C64"/>
    <w:rsid w:val="00C3125D"/>
    <w:rsid w:val="00C31CD8"/>
    <w:rsid w:val="00C332B6"/>
    <w:rsid w:val="00C3354F"/>
    <w:rsid w:val="00C3444F"/>
    <w:rsid w:val="00C346EF"/>
    <w:rsid w:val="00C348AC"/>
    <w:rsid w:val="00C35029"/>
    <w:rsid w:val="00C35046"/>
    <w:rsid w:val="00C351BE"/>
    <w:rsid w:val="00C35DA3"/>
    <w:rsid w:val="00C36835"/>
    <w:rsid w:val="00C3703B"/>
    <w:rsid w:val="00C373AC"/>
    <w:rsid w:val="00C37B9E"/>
    <w:rsid w:val="00C40E51"/>
    <w:rsid w:val="00C41336"/>
    <w:rsid w:val="00C41DA7"/>
    <w:rsid w:val="00C423E6"/>
    <w:rsid w:val="00C424C3"/>
    <w:rsid w:val="00C43E65"/>
    <w:rsid w:val="00C451B9"/>
    <w:rsid w:val="00C4698B"/>
    <w:rsid w:val="00C46E8A"/>
    <w:rsid w:val="00C505E2"/>
    <w:rsid w:val="00C50A62"/>
    <w:rsid w:val="00C5141D"/>
    <w:rsid w:val="00C51497"/>
    <w:rsid w:val="00C53282"/>
    <w:rsid w:val="00C53DC6"/>
    <w:rsid w:val="00C5437C"/>
    <w:rsid w:val="00C552E7"/>
    <w:rsid w:val="00C5619E"/>
    <w:rsid w:val="00C56F39"/>
    <w:rsid w:val="00C57197"/>
    <w:rsid w:val="00C60364"/>
    <w:rsid w:val="00C606CB"/>
    <w:rsid w:val="00C607E6"/>
    <w:rsid w:val="00C60F5D"/>
    <w:rsid w:val="00C6227D"/>
    <w:rsid w:val="00C6269B"/>
    <w:rsid w:val="00C630B9"/>
    <w:rsid w:val="00C635DF"/>
    <w:rsid w:val="00C63936"/>
    <w:rsid w:val="00C641BB"/>
    <w:rsid w:val="00C64849"/>
    <w:rsid w:val="00C64A46"/>
    <w:rsid w:val="00C64BB3"/>
    <w:rsid w:val="00C661C9"/>
    <w:rsid w:val="00C6758B"/>
    <w:rsid w:val="00C67DF7"/>
    <w:rsid w:val="00C67E75"/>
    <w:rsid w:val="00C7005B"/>
    <w:rsid w:val="00C70385"/>
    <w:rsid w:val="00C703E5"/>
    <w:rsid w:val="00C70D99"/>
    <w:rsid w:val="00C72604"/>
    <w:rsid w:val="00C728C4"/>
    <w:rsid w:val="00C72E76"/>
    <w:rsid w:val="00C72E95"/>
    <w:rsid w:val="00C7338A"/>
    <w:rsid w:val="00C741F0"/>
    <w:rsid w:val="00C74933"/>
    <w:rsid w:val="00C74ABD"/>
    <w:rsid w:val="00C74AE6"/>
    <w:rsid w:val="00C74CE6"/>
    <w:rsid w:val="00C75019"/>
    <w:rsid w:val="00C76280"/>
    <w:rsid w:val="00C76A44"/>
    <w:rsid w:val="00C76F22"/>
    <w:rsid w:val="00C77281"/>
    <w:rsid w:val="00C77B21"/>
    <w:rsid w:val="00C77C10"/>
    <w:rsid w:val="00C81548"/>
    <w:rsid w:val="00C8222D"/>
    <w:rsid w:val="00C82302"/>
    <w:rsid w:val="00C8232A"/>
    <w:rsid w:val="00C82B73"/>
    <w:rsid w:val="00C844EE"/>
    <w:rsid w:val="00C8662D"/>
    <w:rsid w:val="00C8699C"/>
    <w:rsid w:val="00C86A0D"/>
    <w:rsid w:val="00C86B01"/>
    <w:rsid w:val="00C9082B"/>
    <w:rsid w:val="00C90C8C"/>
    <w:rsid w:val="00C914BC"/>
    <w:rsid w:val="00C91EEA"/>
    <w:rsid w:val="00C91FE1"/>
    <w:rsid w:val="00C92951"/>
    <w:rsid w:val="00C936C8"/>
    <w:rsid w:val="00C94367"/>
    <w:rsid w:val="00C94B0A"/>
    <w:rsid w:val="00C95399"/>
    <w:rsid w:val="00C95E86"/>
    <w:rsid w:val="00C96B9B"/>
    <w:rsid w:val="00C97764"/>
    <w:rsid w:val="00C97B32"/>
    <w:rsid w:val="00CA07AF"/>
    <w:rsid w:val="00CA0BC7"/>
    <w:rsid w:val="00CA0C21"/>
    <w:rsid w:val="00CA1113"/>
    <w:rsid w:val="00CA1B9B"/>
    <w:rsid w:val="00CA1E0B"/>
    <w:rsid w:val="00CA21CE"/>
    <w:rsid w:val="00CA28A5"/>
    <w:rsid w:val="00CA2B2F"/>
    <w:rsid w:val="00CA2D94"/>
    <w:rsid w:val="00CA3B78"/>
    <w:rsid w:val="00CA3E31"/>
    <w:rsid w:val="00CA41E4"/>
    <w:rsid w:val="00CA5A85"/>
    <w:rsid w:val="00CA5D54"/>
    <w:rsid w:val="00CA6A90"/>
    <w:rsid w:val="00CA77E7"/>
    <w:rsid w:val="00CB0BE8"/>
    <w:rsid w:val="00CB15E9"/>
    <w:rsid w:val="00CB1AE3"/>
    <w:rsid w:val="00CB2055"/>
    <w:rsid w:val="00CB2D93"/>
    <w:rsid w:val="00CB40F4"/>
    <w:rsid w:val="00CB5025"/>
    <w:rsid w:val="00CB5CC0"/>
    <w:rsid w:val="00CB5FB8"/>
    <w:rsid w:val="00CB640A"/>
    <w:rsid w:val="00CB68EF"/>
    <w:rsid w:val="00CB7191"/>
    <w:rsid w:val="00CC0C5D"/>
    <w:rsid w:val="00CC1127"/>
    <w:rsid w:val="00CC1699"/>
    <w:rsid w:val="00CC1DB1"/>
    <w:rsid w:val="00CC1FBC"/>
    <w:rsid w:val="00CC2F6C"/>
    <w:rsid w:val="00CC3DCA"/>
    <w:rsid w:val="00CC40FD"/>
    <w:rsid w:val="00CC459A"/>
    <w:rsid w:val="00CC56BB"/>
    <w:rsid w:val="00CC640E"/>
    <w:rsid w:val="00CC66B1"/>
    <w:rsid w:val="00CC6D83"/>
    <w:rsid w:val="00CC6D85"/>
    <w:rsid w:val="00CC7142"/>
    <w:rsid w:val="00CC79CC"/>
    <w:rsid w:val="00CC7A12"/>
    <w:rsid w:val="00CC7C6D"/>
    <w:rsid w:val="00CC7D2E"/>
    <w:rsid w:val="00CD02B6"/>
    <w:rsid w:val="00CD0E31"/>
    <w:rsid w:val="00CD1729"/>
    <w:rsid w:val="00CD1774"/>
    <w:rsid w:val="00CD1D26"/>
    <w:rsid w:val="00CD2BB6"/>
    <w:rsid w:val="00CD3048"/>
    <w:rsid w:val="00CD30C2"/>
    <w:rsid w:val="00CD3643"/>
    <w:rsid w:val="00CD3B23"/>
    <w:rsid w:val="00CD50F6"/>
    <w:rsid w:val="00CD5B2E"/>
    <w:rsid w:val="00CD5FCC"/>
    <w:rsid w:val="00CD608F"/>
    <w:rsid w:val="00CD63B3"/>
    <w:rsid w:val="00CD64CD"/>
    <w:rsid w:val="00CD6A09"/>
    <w:rsid w:val="00CD74BA"/>
    <w:rsid w:val="00CE0612"/>
    <w:rsid w:val="00CE086A"/>
    <w:rsid w:val="00CE0E26"/>
    <w:rsid w:val="00CE2950"/>
    <w:rsid w:val="00CE2E7B"/>
    <w:rsid w:val="00CE3117"/>
    <w:rsid w:val="00CE31E7"/>
    <w:rsid w:val="00CE39AA"/>
    <w:rsid w:val="00CE3B7C"/>
    <w:rsid w:val="00CE430C"/>
    <w:rsid w:val="00CE58D6"/>
    <w:rsid w:val="00CE5B25"/>
    <w:rsid w:val="00CE5B46"/>
    <w:rsid w:val="00CE5B80"/>
    <w:rsid w:val="00CE5BF6"/>
    <w:rsid w:val="00CE63D3"/>
    <w:rsid w:val="00CE6739"/>
    <w:rsid w:val="00CE700B"/>
    <w:rsid w:val="00CE7473"/>
    <w:rsid w:val="00CE7830"/>
    <w:rsid w:val="00CF0317"/>
    <w:rsid w:val="00CF0714"/>
    <w:rsid w:val="00CF0BF5"/>
    <w:rsid w:val="00CF120E"/>
    <w:rsid w:val="00CF249E"/>
    <w:rsid w:val="00CF279E"/>
    <w:rsid w:val="00CF2A03"/>
    <w:rsid w:val="00CF38BF"/>
    <w:rsid w:val="00CF3A3B"/>
    <w:rsid w:val="00CF3E7F"/>
    <w:rsid w:val="00CF3F92"/>
    <w:rsid w:val="00CF4976"/>
    <w:rsid w:val="00CF4CFB"/>
    <w:rsid w:val="00CF5357"/>
    <w:rsid w:val="00CF5A69"/>
    <w:rsid w:val="00CF5B60"/>
    <w:rsid w:val="00CF5B69"/>
    <w:rsid w:val="00CF676A"/>
    <w:rsid w:val="00CF70C2"/>
    <w:rsid w:val="00CF74A2"/>
    <w:rsid w:val="00CF77ED"/>
    <w:rsid w:val="00D00CB5"/>
    <w:rsid w:val="00D02B3A"/>
    <w:rsid w:val="00D03FA7"/>
    <w:rsid w:val="00D067F2"/>
    <w:rsid w:val="00D06ACA"/>
    <w:rsid w:val="00D07095"/>
    <w:rsid w:val="00D07E6E"/>
    <w:rsid w:val="00D07F9B"/>
    <w:rsid w:val="00D107BE"/>
    <w:rsid w:val="00D10B29"/>
    <w:rsid w:val="00D10C10"/>
    <w:rsid w:val="00D10D48"/>
    <w:rsid w:val="00D112B2"/>
    <w:rsid w:val="00D117F4"/>
    <w:rsid w:val="00D11883"/>
    <w:rsid w:val="00D121A4"/>
    <w:rsid w:val="00D122BD"/>
    <w:rsid w:val="00D127ED"/>
    <w:rsid w:val="00D131A5"/>
    <w:rsid w:val="00D13717"/>
    <w:rsid w:val="00D13C0D"/>
    <w:rsid w:val="00D13C58"/>
    <w:rsid w:val="00D14125"/>
    <w:rsid w:val="00D14C69"/>
    <w:rsid w:val="00D15128"/>
    <w:rsid w:val="00D159AF"/>
    <w:rsid w:val="00D164F6"/>
    <w:rsid w:val="00D20502"/>
    <w:rsid w:val="00D20A03"/>
    <w:rsid w:val="00D20D7D"/>
    <w:rsid w:val="00D20D82"/>
    <w:rsid w:val="00D212CC"/>
    <w:rsid w:val="00D21741"/>
    <w:rsid w:val="00D21A8E"/>
    <w:rsid w:val="00D21E4A"/>
    <w:rsid w:val="00D22143"/>
    <w:rsid w:val="00D225E5"/>
    <w:rsid w:val="00D228B3"/>
    <w:rsid w:val="00D232DF"/>
    <w:rsid w:val="00D2364D"/>
    <w:rsid w:val="00D242F6"/>
    <w:rsid w:val="00D2455F"/>
    <w:rsid w:val="00D2463C"/>
    <w:rsid w:val="00D2468E"/>
    <w:rsid w:val="00D24E42"/>
    <w:rsid w:val="00D258F8"/>
    <w:rsid w:val="00D25A59"/>
    <w:rsid w:val="00D26272"/>
    <w:rsid w:val="00D26CF6"/>
    <w:rsid w:val="00D27709"/>
    <w:rsid w:val="00D27759"/>
    <w:rsid w:val="00D27A7C"/>
    <w:rsid w:val="00D27D1E"/>
    <w:rsid w:val="00D31467"/>
    <w:rsid w:val="00D31C54"/>
    <w:rsid w:val="00D31D9F"/>
    <w:rsid w:val="00D32C45"/>
    <w:rsid w:val="00D33720"/>
    <w:rsid w:val="00D3379F"/>
    <w:rsid w:val="00D339D0"/>
    <w:rsid w:val="00D33E64"/>
    <w:rsid w:val="00D3452D"/>
    <w:rsid w:val="00D34FD8"/>
    <w:rsid w:val="00D3546B"/>
    <w:rsid w:val="00D35739"/>
    <w:rsid w:val="00D36DE6"/>
    <w:rsid w:val="00D37301"/>
    <w:rsid w:val="00D40150"/>
    <w:rsid w:val="00D402AB"/>
    <w:rsid w:val="00D40FB5"/>
    <w:rsid w:val="00D41BB0"/>
    <w:rsid w:val="00D41BEF"/>
    <w:rsid w:val="00D4228D"/>
    <w:rsid w:val="00D42BC0"/>
    <w:rsid w:val="00D42E94"/>
    <w:rsid w:val="00D438DE"/>
    <w:rsid w:val="00D43A96"/>
    <w:rsid w:val="00D44E5E"/>
    <w:rsid w:val="00D45DEC"/>
    <w:rsid w:val="00D467D4"/>
    <w:rsid w:val="00D469CC"/>
    <w:rsid w:val="00D477B4"/>
    <w:rsid w:val="00D477F0"/>
    <w:rsid w:val="00D47B38"/>
    <w:rsid w:val="00D47E0D"/>
    <w:rsid w:val="00D500D2"/>
    <w:rsid w:val="00D51150"/>
    <w:rsid w:val="00D51867"/>
    <w:rsid w:val="00D51D85"/>
    <w:rsid w:val="00D52968"/>
    <w:rsid w:val="00D52A3A"/>
    <w:rsid w:val="00D533FB"/>
    <w:rsid w:val="00D53DED"/>
    <w:rsid w:val="00D53F8D"/>
    <w:rsid w:val="00D54290"/>
    <w:rsid w:val="00D54E5F"/>
    <w:rsid w:val="00D5534D"/>
    <w:rsid w:val="00D55778"/>
    <w:rsid w:val="00D55AAD"/>
    <w:rsid w:val="00D55DF5"/>
    <w:rsid w:val="00D55F42"/>
    <w:rsid w:val="00D55F54"/>
    <w:rsid w:val="00D566B1"/>
    <w:rsid w:val="00D56F40"/>
    <w:rsid w:val="00D60435"/>
    <w:rsid w:val="00D60A73"/>
    <w:rsid w:val="00D61785"/>
    <w:rsid w:val="00D6194A"/>
    <w:rsid w:val="00D61981"/>
    <w:rsid w:val="00D61DDC"/>
    <w:rsid w:val="00D62E3E"/>
    <w:rsid w:val="00D63946"/>
    <w:rsid w:val="00D6458E"/>
    <w:rsid w:val="00D64997"/>
    <w:rsid w:val="00D64D3A"/>
    <w:rsid w:val="00D64D8F"/>
    <w:rsid w:val="00D64DBD"/>
    <w:rsid w:val="00D64FD1"/>
    <w:rsid w:val="00D65701"/>
    <w:rsid w:val="00D657EB"/>
    <w:rsid w:val="00D65B00"/>
    <w:rsid w:val="00D65BCD"/>
    <w:rsid w:val="00D65D5C"/>
    <w:rsid w:val="00D65F0A"/>
    <w:rsid w:val="00D66CEF"/>
    <w:rsid w:val="00D6700D"/>
    <w:rsid w:val="00D673A9"/>
    <w:rsid w:val="00D67B5D"/>
    <w:rsid w:val="00D67EE0"/>
    <w:rsid w:val="00D70377"/>
    <w:rsid w:val="00D70658"/>
    <w:rsid w:val="00D72277"/>
    <w:rsid w:val="00D72433"/>
    <w:rsid w:val="00D73176"/>
    <w:rsid w:val="00D731FC"/>
    <w:rsid w:val="00D73371"/>
    <w:rsid w:val="00D734D7"/>
    <w:rsid w:val="00D735BD"/>
    <w:rsid w:val="00D738F7"/>
    <w:rsid w:val="00D741C8"/>
    <w:rsid w:val="00D7588F"/>
    <w:rsid w:val="00D759E8"/>
    <w:rsid w:val="00D75A18"/>
    <w:rsid w:val="00D75C30"/>
    <w:rsid w:val="00D760CE"/>
    <w:rsid w:val="00D7612A"/>
    <w:rsid w:val="00D76DE4"/>
    <w:rsid w:val="00D76FB9"/>
    <w:rsid w:val="00D80106"/>
    <w:rsid w:val="00D804A0"/>
    <w:rsid w:val="00D8055F"/>
    <w:rsid w:val="00D80C4B"/>
    <w:rsid w:val="00D80FFE"/>
    <w:rsid w:val="00D83F1A"/>
    <w:rsid w:val="00D84C1E"/>
    <w:rsid w:val="00D84C98"/>
    <w:rsid w:val="00D84F28"/>
    <w:rsid w:val="00D85235"/>
    <w:rsid w:val="00D85BB9"/>
    <w:rsid w:val="00D85C5C"/>
    <w:rsid w:val="00D86DEC"/>
    <w:rsid w:val="00D87049"/>
    <w:rsid w:val="00D87E53"/>
    <w:rsid w:val="00D90027"/>
    <w:rsid w:val="00D90491"/>
    <w:rsid w:val="00D904A6"/>
    <w:rsid w:val="00D90575"/>
    <w:rsid w:val="00D907A3"/>
    <w:rsid w:val="00D91249"/>
    <w:rsid w:val="00D92542"/>
    <w:rsid w:val="00D93534"/>
    <w:rsid w:val="00D941AC"/>
    <w:rsid w:val="00D943AA"/>
    <w:rsid w:val="00D944BE"/>
    <w:rsid w:val="00D94F5E"/>
    <w:rsid w:val="00D954B5"/>
    <w:rsid w:val="00D9599A"/>
    <w:rsid w:val="00D95C96"/>
    <w:rsid w:val="00D95FF1"/>
    <w:rsid w:val="00D962D5"/>
    <w:rsid w:val="00D97172"/>
    <w:rsid w:val="00DA001C"/>
    <w:rsid w:val="00DA03F5"/>
    <w:rsid w:val="00DA0C6F"/>
    <w:rsid w:val="00DA1E3B"/>
    <w:rsid w:val="00DA2ABC"/>
    <w:rsid w:val="00DA2F45"/>
    <w:rsid w:val="00DA3082"/>
    <w:rsid w:val="00DA3CCD"/>
    <w:rsid w:val="00DA4895"/>
    <w:rsid w:val="00DA4B4C"/>
    <w:rsid w:val="00DA5695"/>
    <w:rsid w:val="00DA5814"/>
    <w:rsid w:val="00DA6D13"/>
    <w:rsid w:val="00DA7845"/>
    <w:rsid w:val="00DA78BB"/>
    <w:rsid w:val="00DA7C0D"/>
    <w:rsid w:val="00DB18B5"/>
    <w:rsid w:val="00DB1FFF"/>
    <w:rsid w:val="00DB2776"/>
    <w:rsid w:val="00DB2AAE"/>
    <w:rsid w:val="00DB2B45"/>
    <w:rsid w:val="00DB2D26"/>
    <w:rsid w:val="00DB2D65"/>
    <w:rsid w:val="00DB2E77"/>
    <w:rsid w:val="00DB2F49"/>
    <w:rsid w:val="00DB577A"/>
    <w:rsid w:val="00DB6275"/>
    <w:rsid w:val="00DB65C5"/>
    <w:rsid w:val="00DB66C5"/>
    <w:rsid w:val="00DB6AFC"/>
    <w:rsid w:val="00DB6B01"/>
    <w:rsid w:val="00DB755F"/>
    <w:rsid w:val="00DB79B3"/>
    <w:rsid w:val="00DC0221"/>
    <w:rsid w:val="00DC0477"/>
    <w:rsid w:val="00DC13F6"/>
    <w:rsid w:val="00DC157A"/>
    <w:rsid w:val="00DC1919"/>
    <w:rsid w:val="00DC1EFE"/>
    <w:rsid w:val="00DC29D9"/>
    <w:rsid w:val="00DC2C7D"/>
    <w:rsid w:val="00DC2CBC"/>
    <w:rsid w:val="00DC303D"/>
    <w:rsid w:val="00DC32E3"/>
    <w:rsid w:val="00DC4985"/>
    <w:rsid w:val="00DC49B1"/>
    <w:rsid w:val="00DC4C9D"/>
    <w:rsid w:val="00DC5B95"/>
    <w:rsid w:val="00DC5B99"/>
    <w:rsid w:val="00DC6117"/>
    <w:rsid w:val="00DC62B9"/>
    <w:rsid w:val="00DC681A"/>
    <w:rsid w:val="00DC6E24"/>
    <w:rsid w:val="00DD08C8"/>
    <w:rsid w:val="00DD1906"/>
    <w:rsid w:val="00DD1C8A"/>
    <w:rsid w:val="00DD1F3C"/>
    <w:rsid w:val="00DD2251"/>
    <w:rsid w:val="00DD29C7"/>
    <w:rsid w:val="00DD2DCB"/>
    <w:rsid w:val="00DD3A2B"/>
    <w:rsid w:val="00DD3B3F"/>
    <w:rsid w:val="00DD545C"/>
    <w:rsid w:val="00DD646D"/>
    <w:rsid w:val="00DD6490"/>
    <w:rsid w:val="00DD74B7"/>
    <w:rsid w:val="00DD74CC"/>
    <w:rsid w:val="00DD7D02"/>
    <w:rsid w:val="00DE0809"/>
    <w:rsid w:val="00DE1076"/>
    <w:rsid w:val="00DE141A"/>
    <w:rsid w:val="00DE28BC"/>
    <w:rsid w:val="00DE2911"/>
    <w:rsid w:val="00DE2D9B"/>
    <w:rsid w:val="00DE3819"/>
    <w:rsid w:val="00DE393A"/>
    <w:rsid w:val="00DE4519"/>
    <w:rsid w:val="00DE4AF8"/>
    <w:rsid w:val="00DE5267"/>
    <w:rsid w:val="00DE55B7"/>
    <w:rsid w:val="00DE560D"/>
    <w:rsid w:val="00DE6558"/>
    <w:rsid w:val="00DE765A"/>
    <w:rsid w:val="00DF011B"/>
    <w:rsid w:val="00DF0965"/>
    <w:rsid w:val="00DF233E"/>
    <w:rsid w:val="00DF2475"/>
    <w:rsid w:val="00DF39ED"/>
    <w:rsid w:val="00DF44A4"/>
    <w:rsid w:val="00DF519E"/>
    <w:rsid w:val="00DF59D6"/>
    <w:rsid w:val="00DF5BB9"/>
    <w:rsid w:val="00DF648E"/>
    <w:rsid w:val="00DF74FE"/>
    <w:rsid w:val="00E00763"/>
    <w:rsid w:val="00E00A08"/>
    <w:rsid w:val="00E01231"/>
    <w:rsid w:val="00E013B6"/>
    <w:rsid w:val="00E01550"/>
    <w:rsid w:val="00E015CF"/>
    <w:rsid w:val="00E02598"/>
    <w:rsid w:val="00E02F30"/>
    <w:rsid w:val="00E03021"/>
    <w:rsid w:val="00E0359E"/>
    <w:rsid w:val="00E035BC"/>
    <w:rsid w:val="00E038DD"/>
    <w:rsid w:val="00E04060"/>
    <w:rsid w:val="00E04170"/>
    <w:rsid w:val="00E045AB"/>
    <w:rsid w:val="00E0537A"/>
    <w:rsid w:val="00E05737"/>
    <w:rsid w:val="00E05DA2"/>
    <w:rsid w:val="00E05E9C"/>
    <w:rsid w:val="00E067E4"/>
    <w:rsid w:val="00E073E9"/>
    <w:rsid w:val="00E075E2"/>
    <w:rsid w:val="00E10296"/>
    <w:rsid w:val="00E106BE"/>
    <w:rsid w:val="00E10E91"/>
    <w:rsid w:val="00E141F0"/>
    <w:rsid w:val="00E15224"/>
    <w:rsid w:val="00E16284"/>
    <w:rsid w:val="00E162B5"/>
    <w:rsid w:val="00E1640A"/>
    <w:rsid w:val="00E16D55"/>
    <w:rsid w:val="00E172DA"/>
    <w:rsid w:val="00E173F5"/>
    <w:rsid w:val="00E177B0"/>
    <w:rsid w:val="00E17C3F"/>
    <w:rsid w:val="00E17D1D"/>
    <w:rsid w:val="00E2133F"/>
    <w:rsid w:val="00E21853"/>
    <w:rsid w:val="00E21927"/>
    <w:rsid w:val="00E21EAD"/>
    <w:rsid w:val="00E2222A"/>
    <w:rsid w:val="00E22345"/>
    <w:rsid w:val="00E22411"/>
    <w:rsid w:val="00E226EE"/>
    <w:rsid w:val="00E235F2"/>
    <w:rsid w:val="00E2417D"/>
    <w:rsid w:val="00E24D38"/>
    <w:rsid w:val="00E250DF"/>
    <w:rsid w:val="00E2511F"/>
    <w:rsid w:val="00E267AE"/>
    <w:rsid w:val="00E26BE8"/>
    <w:rsid w:val="00E27544"/>
    <w:rsid w:val="00E279C8"/>
    <w:rsid w:val="00E3007E"/>
    <w:rsid w:val="00E319C6"/>
    <w:rsid w:val="00E319F1"/>
    <w:rsid w:val="00E325AA"/>
    <w:rsid w:val="00E32F14"/>
    <w:rsid w:val="00E33FBD"/>
    <w:rsid w:val="00E340A3"/>
    <w:rsid w:val="00E3442C"/>
    <w:rsid w:val="00E3465C"/>
    <w:rsid w:val="00E34EEB"/>
    <w:rsid w:val="00E35F89"/>
    <w:rsid w:val="00E35FDD"/>
    <w:rsid w:val="00E362CC"/>
    <w:rsid w:val="00E362EF"/>
    <w:rsid w:val="00E36FC0"/>
    <w:rsid w:val="00E37D79"/>
    <w:rsid w:val="00E40702"/>
    <w:rsid w:val="00E40760"/>
    <w:rsid w:val="00E408CF"/>
    <w:rsid w:val="00E40B4C"/>
    <w:rsid w:val="00E40C87"/>
    <w:rsid w:val="00E40D74"/>
    <w:rsid w:val="00E41C13"/>
    <w:rsid w:val="00E421A6"/>
    <w:rsid w:val="00E4237B"/>
    <w:rsid w:val="00E42D73"/>
    <w:rsid w:val="00E430A1"/>
    <w:rsid w:val="00E4615A"/>
    <w:rsid w:val="00E463F6"/>
    <w:rsid w:val="00E465B5"/>
    <w:rsid w:val="00E47D39"/>
    <w:rsid w:val="00E47EAC"/>
    <w:rsid w:val="00E5001F"/>
    <w:rsid w:val="00E50614"/>
    <w:rsid w:val="00E51335"/>
    <w:rsid w:val="00E51D36"/>
    <w:rsid w:val="00E520D6"/>
    <w:rsid w:val="00E52C5E"/>
    <w:rsid w:val="00E53129"/>
    <w:rsid w:val="00E535A0"/>
    <w:rsid w:val="00E536DD"/>
    <w:rsid w:val="00E53D6A"/>
    <w:rsid w:val="00E53DEA"/>
    <w:rsid w:val="00E544F9"/>
    <w:rsid w:val="00E54549"/>
    <w:rsid w:val="00E54881"/>
    <w:rsid w:val="00E54DDB"/>
    <w:rsid w:val="00E54ED2"/>
    <w:rsid w:val="00E55A7F"/>
    <w:rsid w:val="00E56923"/>
    <w:rsid w:val="00E5692F"/>
    <w:rsid w:val="00E572A8"/>
    <w:rsid w:val="00E6047E"/>
    <w:rsid w:val="00E604CD"/>
    <w:rsid w:val="00E60F86"/>
    <w:rsid w:val="00E6153A"/>
    <w:rsid w:val="00E621AE"/>
    <w:rsid w:val="00E62A7C"/>
    <w:rsid w:val="00E62ACE"/>
    <w:rsid w:val="00E62B22"/>
    <w:rsid w:val="00E62CC0"/>
    <w:rsid w:val="00E63490"/>
    <w:rsid w:val="00E63AC3"/>
    <w:rsid w:val="00E63C33"/>
    <w:rsid w:val="00E65B5A"/>
    <w:rsid w:val="00E65C31"/>
    <w:rsid w:val="00E66AA5"/>
    <w:rsid w:val="00E67504"/>
    <w:rsid w:val="00E67B03"/>
    <w:rsid w:val="00E67B75"/>
    <w:rsid w:val="00E705A5"/>
    <w:rsid w:val="00E70D9D"/>
    <w:rsid w:val="00E714DF"/>
    <w:rsid w:val="00E717F9"/>
    <w:rsid w:val="00E71946"/>
    <w:rsid w:val="00E719CF"/>
    <w:rsid w:val="00E722BD"/>
    <w:rsid w:val="00E72337"/>
    <w:rsid w:val="00E725A3"/>
    <w:rsid w:val="00E727BF"/>
    <w:rsid w:val="00E729A5"/>
    <w:rsid w:val="00E73608"/>
    <w:rsid w:val="00E7368E"/>
    <w:rsid w:val="00E738A0"/>
    <w:rsid w:val="00E74C5C"/>
    <w:rsid w:val="00E7527F"/>
    <w:rsid w:val="00E75BEB"/>
    <w:rsid w:val="00E75E0C"/>
    <w:rsid w:val="00E763F7"/>
    <w:rsid w:val="00E76C8E"/>
    <w:rsid w:val="00E77496"/>
    <w:rsid w:val="00E77569"/>
    <w:rsid w:val="00E77D7E"/>
    <w:rsid w:val="00E77E2F"/>
    <w:rsid w:val="00E80110"/>
    <w:rsid w:val="00E80864"/>
    <w:rsid w:val="00E80A4C"/>
    <w:rsid w:val="00E80D8D"/>
    <w:rsid w:val="00E8180A"/>
    <w:rsid w:val="00E81A4F"/>
    <w:rsid w:val="00E821C9"/>
    <w:rsid w:val="00E82D42"/>
    <w:rsid w:val="00E8383C"/>
    <w:rsid w:val="00E845AE"/>
    <w:rsid w:val="00E8632D"/>
    <w:rsid w:val="00E9020B"/>
    <w:rsid w:val="00E903C3"/>
    <w:rsid w:val="00E91073"/>
    <w:rsid w:val="00E91B45"/>
    <w:rsid w:val="00E9234E"/>
    <w:rsid w:val="00E92804"/>
    <w:rsid w:val="00E936CB"/>
    <w:rsid w:val="00E937B9"/>
    <w:rsid w:val="00E94153"/>
    <w:rsid w:val="00E957E1"/>
    <w:rsid w:val="00E95AC5"/>
    <w:rsid w:val="00E95E22"/>
    <w:rsid w:val="00E96571"/>
    <w:rsid w:val="00E96DE3"/>
    <w:rsid w:val="00E977F1"/>
    <w:rsid w:val="00E97E6F"/>
    <w:rsid w:val="00EA0ED4"/>
    <w:rsid w:val="00EA2412"/>
    <w:rsid w:val="00EA323C"/>
    <w:rsid w:val="00EA376C"/>
    <w:rsid w:val="00EA4B14"/>
    <w:rsid w:val="00EA55C5"/>
    <w:rsid w:val="00EA55F7"/>
    <w:rsid w:val="00EA5E5C"/>
    <w:rsid w:val="00EA69EC"/>
    <w:rsid w:val="00EB1F5C"/>
    <w:rsid w:val="00EB2B93"/>
    <w:rsid w:val="00EB3499"/>
    <w:rsid w:val="00EB37A9"/>
    <w:rsid w:val="00EB4D53"/>
    <w:rsid w:val="00EB5012"/>
    <w:rsid w:val="00EB53A3"/>
    <w:rsid w:val="00EB5B27"/>
    <w:rsid w:val="00EB63B6"/>
    <w:rsid w:val="00EB6CDD"/>
    <w:rsid w:val="00EC0334"/>
    <w:rsid w:val="00EC054A"/>
    <w:rsid w:val="00EC1736"/>
    <w:rsid w:val="00EC29A6"/>
    <w:rsid w:val="00EC3514"/>
    <w:rsid w:val="00EC47A7"/>
    <w:rsid w:val="00EC49B4"/>
    <w:rsid w:val="00EC5572"/>
    <w:rsid w:val="00EC55D5"/>
    <w:rsid w:val="00EC5EEF"/>
    <w:rsid w:val="00EC630D"/>
    <w:rsid w:val="00EC6C45"/>
    <w:rsid w:val="00EC6E8B"/>
    <w:rsid w:val="00EC716A"/>
    <w:rsid w:val="00EC7EA4"/>
    <w:rsid w:val="00ED0136"/>
    <w:rsid w:val="00ED0322"/>
    <w:rsid w:val="00ED053F"/>
    <w:rsid w:val="00ED127D"/>
    <w:rsid w:val="00ED20E6"/>
    <w:rsid w:val="00ED2CFA"/>
    <w:rsid w:val="00ED2E7B"/>
    <w:rsid w:val="00ED3226"/>
    <w:rsid w:val="00ED339E"/>
    <w:rsid w:val="00ED423F"/>
    <w:rsid w:val="00ED4485"/>
    <w:rsid w:val="00ED48B0"/>
    <w:rsid w:val="00ED4E3C"/>
    <w:rsid w:val="00ED61AA"/>
    <w:rsid w:val="00ED6212"/>
    <w:rsid w:val="00ED6725"/>
    <w:rsid w:val="00ED6A94"/>
    <w:rsid w:val="00ED73EF"/>
    <w:rsid w:val="00ED753B"/>
    <w:rsid w:val="00ED7B4F"/>
    <w:rsid w:val="00EE0547"/>
    <w:rsid w:val="00EE0D21"/>
    <w:rsid w:val="00EE1195"/>
    <w:rsid w:val="00EE1A3C"/>
    <w:rsid w:val="00EE1A56"/>
    <w:rsid w:val="00EE1B4C"/>
    <w:rsid w:val="00EE1DD2"/>
    <w:rsid w:val="00EE25DB"/>
    <w:rsid w:val="00EE332C"/>
    <w:rsid w:val="00EE4854"/>
    <w:rsid w:val="00EE521F"/>
    <w:rsid w:val="00EE53E8"/>
    <w:rsid w:val="00EE56E4"/>
    <w:rsid w:val="00EE5D92"/>
    <w:rsid w:val="00EE6EB0"/>
    <w:rsid w:val="00EE7654"/>
    <w:rsid w:val="00EE776E"/>
    <w:rsid w:val="00EF0AE2"/>
    <w:rsid w:val="00EF12B8"/>
    <w:rsid w:val="00EF1987"/>
    <w:rsid w:val="00EF1BCE"/>
    <w:rsid w:val="00EF1D97"/>
    <w:rsid w:val="00EF1F27"/>
    <w:rsid w:val="00EF1F79"/>
    <w:rsid w:val="00EF20D0"/>
    <w:rsid w:val="00EF36E7"/>
    <w:rsid w:val="00EF3C1A"/>
    <w:rsid w:val="00EF3F80"/>
    <w:rsid w:val="00EF402D"/>
    <w:rsid w:val="00EF4091"/>
    <w:rsid w:val="00EF4126"/>
    <w:rsid w:val="00EF4CA7"/>
    <w:rsid w:val="00EF4E08"/>
    <w:rsid w:val="00EF6B7B"/>
    <w:rsid w:val="00EF7DC8"/>
    <w:rsid w:val="00F01AA0"/>
    <w:rsid w:val="00F02F97"/>
    <w:rsid w:val="00F03129"/>
    <w:rsid w:val="00F0330C"/>
    <w:rsid w:val="00F033F4"/>
    <w:rsid w:val="00F0379E"/>
    <w:rsid w:val="00F03B00"/>
    <w:rsid w:val="00F03BBD"/>
    <w:rsid w:val="00F03C82"/>
    <w:rsid w:val="00F041D4"/>
    <w:rsid w:val="00F04C42"/>
    <w:rsid w:val="00F056DD"/>
    <w:rsid w:val="00F05E66"/>
    <w:rsid w:val="00F062AA"/>
    <w:rsid w:val="00F06995"/>
    <w:rsid w:val="00F06D4A"/>
    <w:rsid w:val="00F06D87"/>
    <w:rsid w:val="00F10940"/>
    <w:rsid w:val="00F11919"/>
    <w:rsid w:val="00F1221E"/>
    <w:rsid w:val="00F14187"/>
    <w:rsid w:val="00F1419D"/>
    <w:rsid w:val="00F14C32"/>
    <w:rsid w:val="00F14DF6"/>
    <w:rsid w:val="00F15637"/>
    <w:rsid w:val="00F1579B"/>
    <w:rsid w:val="00F15E0F"/>
    <w:rsid w:val="00F167AE"/>
    <w:rsid w:val="00F17040"/>
    <w:rsid w:val="00F17DAC"/>
    <w:rsid w:val="00F20584"/>
    <w:rsid w:val="00F20B69"/>
    <w:rsid w:val="00F210F6"/>
    <w:rsid w:val="00F21617"/>
    <w:rsid w:val="00F2166D"/>
    <w:rsid w:val="00F216A8"/>
    <w:rsid w:val="00F217E2"/>
    <w:rsid w:val="00F21910"/>
    <w:rsid w:val="00F21A9E"/>
    <w:rsid w:val="00F22D21"/>
    <w:rsid w:val="00F22EB6"/>
    <w:rsid w:val="00F22EFB"/>
    <w:rsid w:val="00F22F00"/>
    <w:rsid w:val="00F22FAC"/>
    <w:rsid w:val="00F23232"/>
    <w:rsid w:val="00F23C31"/>
    <w:rsid w:val="00F24060"/>
    <w:rsid w:val="00F2457E"/>
    <w:rsid w:val="00F24B70"/>
    <w:rsid w:val="00F24D2F"/>
    <w:rsid w:val="00F2533E"/>
    <w:rsid w:val="00F25A43"/>
    <w:rsid w:val="00F26592"/>
    <w:rsid w:val="00F265F4"/>
    <w:rsid w:val="00F27732"/>
    <w:rsid w:val="00F27E6C"/>
    <w:rsid w:val="00F3046A"/>
    <w:rsid w:val="00F30570"/>
    <w:rsid w:val="00F3130C"/>
    <w:rsid w:val="00F318E7"/>
    <w:rsid w:val="00F32017"/>
    <w:rsid w:val="00F32401"/>
    <w:rsid w:val="00F3452A"/>
    <w:rsid w:val="00F34983"/>
    <w:rsid w:val="00F3575D"/>
    <w:rsid w:val="00F3678C"/>
    <w:rsid w:val="00F367BA"/>
    <w:rsid w:val="00F36FF7"/>
    <w:rsid w:val="00F3701A"/>
    <w:rsid w:val="00F40805"/>
    <w:rsid w:val="00F416BC"/>
    <w:rsid w:val="00F41B15"/>
    <w:rsid w:val="00F41E59"/>
    <w:rsid w:val="00F4222A"/>
    <w:rsid w:val="00F42920"/>
    <w:rsid w:val="00F442AA"/>
    <w:rsid w:val="00F449AB"/>
    <w:rsid w:val="00F44F53"/>
    <w:rsid w:val="00F4525C"/>
    <w:rsid w:val="00F462F0"/>
    <w:rsid w:val="00F46380"/>
    <w:rsid w:val="00F46D6E"/>
    <w:rsid w:val="00F46FDC"/>
    <w:rsid w:val="00F47440"/>
    <w:rsid w:val="00F47742"/>
    <w:rsid w:val="00F47B64"/>
    <w:rsid w:val="00F501F2"/>
    <w:rsid w:val="00F50503"/>
    <w:rsid w:val="00F51770"/>
    <w:rsid w:val="00F519E9"/>
    <w:rsid w:val="00F5241A"/>
    <w:rsid w:val="00F539A7"/>
    <w:rsid w:val="00F549C4"/>
    <w:rsid w:val="00F54B02"/>
    <w:rsid w:val="00F54B6C"/>
    <w:rsid w:val="00F54E8E"/>
    <w:rsid w:val="00F54EAC"/>
    <w:rsid w:val="00F552C2"/>
    <w:rsid w:val="00F566FB"/>
    <w:rsid w:val="00F56D24"/>
    <w:rsid w:val="00F57632"/>
    <w:rsid w:val="00F579EF"/>
    <w:rsid w:val="00F60F0F"/>
    <w:rsid w:val="00F61BF7"/>
    <w:rsid w:val="00F61FE1"/>
    <w:rsid w:val="00F6228E"/>
    <w:rsid w:val="00F6258A"/>
    <w:rsid w:val="00F6263C"/>
    <w:rsid w:val="00F62A72"/>
    <w:rsid w:val="00F62D78"/>
    <w:rsid w:val="00F63CEB"/>
    <w:rsid w:val="00F64077"/>
    <w:rsid w:val="00F6486B"/>
    <w:rsid w:val="00F65032"/>
    <w:rsid w:val="00F65190"/>
    <w:rsid w:val="00F65F2C"/>
    <w:rsid w:val="00F66C33"/>
    <w:rsid w:val="00F7041C"/>
    <w:rsid w:val="00F70483"/>
    <w:rsid w:val="00F70BE5"/>
    <w:rsid w:val="00F70F44"/>
    <w:rsid w:val="00F71345"/>
    <w:rsid w:val="00F7154B"/>
    <w:rsid w:val="00F71C93"/>
    <w:rsid w:val="00F722C7"/>
    <w:rsid w:val="00F72397"/>
    <w:rsid w:val="00F73512"/>
    <w:rsid w:val="00F73BED"/>
    <w:rsid w:val="00F73DE4"/>
    <w:rsid w:val="00F73E11"/>
    <w:rsid w:val="00F76661"/>
    <w:rsid w:val="00F76DA5"/>
    <w:rsid w:val="00F77474"/>
    <w:rsid w:val="00F77F45"/>
    <w:rsid w:val="00F8096C"/>
    <w:rsid w:val="00F8104C"/>
    <w:rsid w:val="00F81849"/>
    <w:rsid w:val="00F82946"/>
    <w:rsid w:val="00F82FE3"/>
    <w:rsid w:val="00F83ABC"/>
    <w:rsid w:val="00F84B87"/>
    <w:rsid w:val="00F84F5A"/>
    <w:rsid w:val="00F87624"/>
    <w:rsid w:val="00F8792D"/>
    <w:rsid w:val="00F87A51"/>
    <w:rsid w:val="00F87D69"/>
    <w:rsid w:val="00F9001C"/>
    <w:rsid w:val="00F90642"/>
    <w:rsid w:val="00F90A57"/>
    <w:rsid w:val="00F91648"/>
    <w:rsid w:val="00F91FC8"/>
    <w:rsid w:val="00F9232A"/>
    <w:rsid w:val="00F92CFC"/>
    <w:rsid w:val="00F93C15"/>
    <w:rsid w:val="00F941E6"/>
    <w:rsid w:val="00F945E3"/>
    <w:rsid w:val="00F946B5"/>
    <w:rsid w:val="00F9475E"/>
    <w:rsid w:val="00F94921"/>
    <w:rsid w:val="00F94C56"/>
    <w:rsid w:val="00F95297"/>
    <w:rsid w:val="00F95A0F"/>
    <w:rsid w:val="00F95C27"/>
    <w:rsid w:val="00F964E4"/>
    <w:rsid w:val="00F97269"/>
    <w:rsid w:val="00F97C0A"/>
    <w:rsid w:val="00FA0337"/>
    <w:rsid w:val="00FA0B85"/>
    <w:rsid w:val="00FA0D0E"/>
    <w:rsid w:val="00FA14FC"/>
    <w:rsid w:val="00FA15BC"/>
    <w:rsid w:val="00FA224B"/>
    <w:rsid w:val="00FA2555"/>
    <w:rsid w:val="00FA2713"/>
    <w:rsid w:val="00FA38C5"/>
    <w:rsid w:val="00FA3A90"/>
    <w:rsid w:val="00FA3CCD"/>
    <w:rsid w:val="00FA3E38"/>
    <w:rsid w:val="00FA411E"/>
    <w:rsid w:val="00FA4685"/>
    <w:rsid w:val="00FA4708"/>
    <w:rsid w:val="00FA49F8"/>
    <w:rsid w:val="00FA4FA1"/>
    <w:rsid w:val="00FA542A"/>
    <w:rsid w:val="00FA594B"/>
    <w:rsid w:val="00FA5D7E"/>
    <w:rsid w:val="00FA6071"/>
    <w:rsid w:val="00FA6136"/>
    <w:rsid w:val="00FA62FC"/>
    <w:rsid w:val="00FA66CB"/>
    <w:rsid w:val="00FA6861"/>
    <w:rsid w:val="00FA71E7"/>
    <w:rsid w:val="00FA7321"/>
    <w:rsid w:val="00FA773B"/>
    <w:rsid w:val="00FA7769"/>
    <w:rsid w:val="00FA7DF3"/>
    <w:rsid w:val="00FB0594"/>
    <w:rsid w:val="00FB0C4A"/>
    <w:rsid w:val="00FB1003"/>
    <w:rsid w:val="00FB1166"/>
    <w:rsid w:val="00FB2153"/>
    <w:rsid w:val="00FB21F6"/>
    <w:rsid w:val="00FB2489"/>
    <w:rsid w:val="00FB24BD"/>
    <w:rsid w:val="00FB27E9"/>
    <w:rsid w:val="00FB29FC"/>
    <w:rsid w:val="00FB3602"/>
    <w:rsid w:val="00FB3F37"/>
    <w:rsid w:val="00FB3F4C"/>
    <w:rsid w:val="00FB707A"/>
    <w:rsid w:val="00FB7340"/>
    <w:rsid w:val="00FB7517"/>
    <w:rsid w:val="00FC047C"/>
    <w:rsid w:val="00FC0491"/>
    <w:rsid w:val="00FC0F00"/>
    <w:rsid w:val="00FC0F4E"/>
    <w:rsid w:val="00FC1E62"/>
    <w:rsid w:val="00FC24B1"/>
    <w:rsid w:val="00FC32CC"/>
    <w:rsid w:val="00FC36FB"/>
    <w:rsid w:val="00FC39B1"/>
    <w:rsid w:val="00FC3C85"/>
    <w:rsid w:val="00FC3FB1"/>
    <w:rsid w:val="00FC5484"/>
    <w:rsid w:val="00FC5911"/>
    <w:rsid w:val="00FC5E47"/>
    <w:rsid w:val="00FC6527"/>
    <w:rsid w:val="00FC7365"/>
    <w:rsid w:val="00FC7587"/>
    <w:rsid w:val="00FC78CC"/>
    <w:rsid w:val="00FC7F22"/>
    <w:rsid w:val="00FD0005"/>
    <w:rsid w:val="00FD0C71"/>
    <w:rsid w:val="00FD11C6"/>
    <w:rsid w:val="00FD132D"/>
    <w:rsid w:val="00FD1B41"/>
    <w:rsid w:val="00FD4138"/>
    <w:rsid w:val="00FD44E6"/>
    <w:rsid w:val="00FD551F"/>
    <w:rsid w:val="00FD584D"/>
    <w:rsid w:val="00FD6490"/>
    <w:rsid w:val="00FD6BA3"/>
    <w:rsid w:val="00FD7442"/>
    <w:rsid w:val="00FD76E0"/>
    <w:rsid w:val="00FD7F4A"/>
    <w:rsid w:val="00FE0CE0"/>
    <w:rsid w:val="00FE258F"/>
    <w:rsid w:val="00FE262C"/>
    <w:rsid w:val="00FE2788"/>
    <w:rsid w:val="00FE2A94"/>
    <w:rsid w:val="00FE3069"/>
    <w:rsid w:val="00FE3347"/>
    <w:rsid w:val="00FE511E"/>
    <w:rsid w:val="00FE522B"/>
    <w:rsid w:val="00FE535E"/>
    <w:rsid w:val="00FE564B"/>
    <w:rsid w:val="00FE6030"/>
    <w:rsid w:val="00FE6D97"/>
    <w:rsid w:val="00FE71E5"/>
    <w:rsid w:val="00FE7CDC"/>
    <w:rsid w:val="00FE7D65"/>
    <w:rsid w:val="00FF08C2"/>
    <w:rsid w:val="00FF0C23"/>
    <w:rsid w:val="00FF17F8"/>
    <w:rsid w:val="00FF18B9"/>
    <w:rsid w:val="00FF1B43"/>
    <w:rsid w:val="00FF2BFE"/>
    <w:rsid w:val="00FF3876"/>
    <w:rsid w:val="00FF3980"/>
    <w:rsid w:val="00FF6729"/>
    <w:rsid w:val="00FF6912"/>
    <w:rsid w:val="00FF6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93B72"/>
  <w15:docId w15:val="{B01FF36E-F28D-43D3-8DC9-DBF5DFE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link w:val="NormalWebChar"/>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uiPriority w:val="59"/>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character" w:styleId="Emphasis">
    <w:name w:val="Emphasis"/>
    <w:basedOn w:val="DefaultParagraphFont"/>
    <w:qFormat/>
    <w:locked/>
    <w:rsid w:val="00B76981"/>
    <w:rPr>
      <w:i/>
      <w:iCs/>
    </w:rPr>
  </w:style>
  <w:style w:type="character" w:customStyle="1" w:styleId="NormalWebChar">
    <w:name w:val="Normal (Web) Char"/>
    <w:basedOn w:val="DefaultParagraphFont"/>
    <w:link w:val="NormalWeb"/>
    <w:rsid w:val="006C793F"/>
    <w:rPr>
      <w:rFonts w:eastAsia="SimSun"/>
      <w:noProof/>
      <w:sz w:val="24"/>
      <w:szCs w:val="24"/>
      <w:lang w:eastAsia="zh-CN"/>
    </w:rPr>
  </w:style>
  <w:style w:type="character" w:styleId="UnresolvedMention">
    <w:name w:val="Unresolved Mention"/>
    <w:basedOn w:val="DefaultParagraphFont"/>
    <w:uiPriority w:val="99"/>
    <w:semiHidden/>
    <w:unhideWhenUsed/>
    <w:rsid w:val="002E5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09706">
      <w:bodyDiv w:val="1"/>
      <w:marLeft w:val="0"/>
      <w:marRight w:val="0"/>
      <w:marTop w:val="0"/>
      <w:marBottom w:val="0"/>
      <w:divBdr>
        <w:top w:val="none" w:sz="0" w:space="0" w:color="auto"/>
        <w:left w:val="none" w:sz="0" w:space="0" w:color="auto"/>
        <w:bottom w:val="none" w:sz="0" w:space="0" w:color="auto"/>
        <w:right w:val="none" w:sz="0" w:space="0" w:color="auto"/>
      </w:divBdr>
    </w:div>
    <w:div w:id="1042633677">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1147493">
      <w:bodyDiv w:val="1"/>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595019492">
      <w:bodyDiv w:val="1"/>
      <w:marLeft w:val="0"/>
      <w:marRight w:val="0"/>
      <w:marTop w:val="0"/>
      <w:marBottom w:val="0"/>
      <w:divBdr>
        <w:top w:val="none" w:sz="0" w:space="0" w:color="auto"/>
        <w:left w:val="none" w:sz="0" w:space="0" w:color="auto"/>
        <w:bottom w:val="none" w:sz="0" w:space="0" w:color="auto"/>
        <w:right w:val="none" w:sz="0" w:space="0" w:color="auto"/>
      </w:divBdr>
      <w:divsChild>
        <w:div w:id="274945142">
          <w:marLeft w:val="0"/>
          <w:marRight w:val="0"/>
          <w:marTop w:val="0"/>
          <w:marBottom w:val="0"/>
          <w:divBdr>
            <w:top w:val="none" w:sz="0" w:space="0" w:color="auto"/>
            <w:left w:val="none" w:sz="0" w:space="0" w:color="auto"/>
            <w:bottom w:val="none" w:sz="0" w:space="0" w:color="auto"/>
            <w:right w:val="none" w:sz="0" w:space="0" w:color="auto"/>
          </w:divBdr>
          <w:divsChild>
            <w:div w:id="1653604923">
              <w:marLeft w:val="0"/>
              <w:marRight w:val="0"/>
              <w:marTop w:val="0"/>
              <w:marBottom w:val="0"/>
              <w:divBdr>
                <w:top w:val="none" w:sz="0" w:space="0" w:color="auto"/>
                <w:left w:val="none" w:sz="0" w:space="0" w:color="auto"/>
                <w:bottom w:val="none" w:sz="0" w:space="0" w:color="auto"/>
                <w:right w:val="none" w:sz="0" w:space="0" w:color="auto"/>
              </w:divBdr>
              <w:divsChild>
                <w:div w:id="1914044692">
                  <w:marLeft w:val="0"/>
                  <w:marRight w:val="0"/>
                  <w:marTop w:val="0"/>
                  <w:marBottom w:val="0"/>
                  <w:divBdr>
                    <w:top w:val="none" w:sz="0" w:space="0" w:color="auto"/>
                    <w:left w:val="none" w:sz="0" w:space="0" w:color="auto"/>
                    <w:bottom w:val="none" w:sz="0" w:space="0" w:color="auto"/>
                    <w:right w:val="none" w:sz="0" w:space="0" w:color="auto"/>
                  </w:divBdr>
                  <w:divsChild>
                    <w:div w:id="921597076">
                      <w:marLeft w:val="0"/>
                      <w:marRight w:val="0"/>
                      <w:marTop w:val="0"/>
                      <w:marBottom w:val="0"/>
                      <w:divBdr>
                        <w:top w:val="none" w:sz="0" w:space="0" w:color="auto"/>
                        <w:left w:val="none" w:sz="0" w:space="0" w:color="auto"/>
                        <w:bottom w:val="none" w:sz="0" w:space="0" w:color="auto"/>
                        <w:right w:val="none" w:sz="0" w:space="0" w:color="auto"/>
                      </w:divBdr>
                      <w:divsChild>
                        <w:div w:id="839542472">
                          <w:marLeft w:val="0"/>
                          <w:marRight w:val="0"/>
                          <w:marTop w:val="0"/>
                          <w:marBottom w:val="0"/>
                          <w:divBdr>
                            <w:top w:val="none" w:sz="0" w:space="0" w:color="auto"/>
                            <w:left w:val="none" w:sz="0" w:space="0" w:color="auto"/>
                            <w:bottom w:val="none" w:sz="0" w:space="0" w:color="auto"/>
                            <w:right w:val="none" w:sz="0" w:space="0" w:color="auto"/>
                          </w:divBdr>
                          <w:divsChild>
                            <w:div w:id="1233739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9E4F-6ACD-43A9-90C4-6D23F27E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21281</Words>
  <Characters>12131</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26. septembra noteikumos Nr. 330 "Vakcinācijas noteikumi"" sākotnējās ietekmes novērtējuma ziņojums (anotācija)</vt:lpstr>
    </vt:vector>
  </TitlesOfParts>
  <Company>Veselības ministrija</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26. septembra noteikumos Nr. 330 "Vakcinācijas noteikumi"" sākotnējās ietekmes novērtējuma ziņojums (anotācija)</dc:title>
  <dc:subject>Anotācija</dc:subject>
  <dc:creator>Veselības ministrija</dc:creator>
  <dc:description>Inga Liepiņa, 67876080
Inga.Liepina@vm.gov.lv</dc:description>
  <cp:lastModifiedBy>Inga Liepiņa</cp:lastModifiedBy>
  <cp:revision>3</cp:revision>
  <cp:lastPrinted>2015-07-27T07:10:00Z</cp:lastPrinted>
  <dcterms:created xsi:type="dcterms:W3CDTF">2018-10-30T09:13:00Z</dcterms:created>
  <dcterms:modified xsi:type="dcterms:W3CDTF">2018-10-30T09:15:00Z</dcterms:modified>
</cp:coreProperties>
</file>