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55" w:rsidRPr="00FB2F2B" w:rsidRDefault="00C01117" w:rsidP="00647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r w:rsidRPr="00FB2F2B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Ministru kabineta noteikumu projekta “</w:t>
      </w:r>
      <w:r w:rsidR="006E18FC" w:rsidRPr="00FB2F2B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Grozījumi Ministru kabineta 2016. gada 31.maija noteikumos Nr. 334 “Kārtība, kādā administrē un uzrauga Eiropas Savienības atbalstu lauksaimniecības produktu informācijas un veicināšanas programmām”</w:t>
      </w:r>
      <w:r w:rsidRPr="00FB2F2B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”</w:t>
      </w:r>
      <w:r w:rsidR="00894C55" w:rsidRPr="00FB2F2B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 </w:t>
      </w:r>
      <w:r w:rsidR="003B0BF9" w:rsidRPr="00FB2F2B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br/>
      </w:r>
      <w:r w:rsidR="00894C55" w:rsidRPr="00FB2F2B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sākotnējās ietekmes novērtējuma ziņojums (anotācija)</w:t>
      </w:r>
    </w:p>
    <w:p w:rsidR="00E5323B" w:rsidRPr="00E064B5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E064B5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E064B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5D6084" w:rsidRPr="00E064B5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64B5" w:rsidRDefault="00792ADC" w:rsidP="006E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792A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Projekts šo jomu neskar.</w:t>
            </w:r>
          </w:p>
        </w:tc>
      </w:tr>
    </w:tbl>
    <w:p w:rsidR="00E5323B" w:rsidRPr="00E064B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</w:pPr>
      <w:r w:rsidRPr="00E064B5"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D6084" w:rsidRPr="00E064B5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E064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="005D6084" w:rsidRPr="00E064B5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64B5" w:rsidRDefault="006E18FC" w:rsidP="00DC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E18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Lauksaimniecības un lauku attīstības likuma 5. panta septītā daļa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5D6084" w:rsidRPr="00E064B5" w:rsidTr="00792ADC">
        <w:trPr>
          <w:trHeight w:val="5568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1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C01117" w:rsidRPr="00C01117" w:rsidRDefault="00C01117" w:rsidP="00C01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01117" w:rsidRPr="00C01117" w:rsidRDefault="00C01117" w:rsidP="00C01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01117" w:rsidRPr="00C01117" w:rsidRDefault="00C01117" w:rsidP="00C01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01117" w:rsidRPr="00C01117" w:rsidRDefault="00C01117" w:rsidP="00C01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01117" w:rsidRPr="00C01117" w:rsidRDefault="00C01117" w:rsidP="00C01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01117" w:rsidRPr="00C01117" w:rsidRDefault="00C01117" w:rsidP="00C01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01117" w:rsidRPr="00C01117" w:rsidRDefault="00C01117" w:rsidP="00C01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01117" w:rsidRPr="00C01117" w:rsidRDefault="00C01117" w:rsidP="00C01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5323B" w:rsidRPr="00C01117" w:rsidRDefault="00E5323B" w:rsidP="00C01117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8A" w:rsidRDefault="00434FD4" w:rsidP="006E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2016. gada 31.maija noteikumi</w:t>
            </w:r>
            <w:r w:rsidRPr="00434F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334 “Kārtība, kādā administrē un uzrauga Eiropas Savienības atbalstu lauksaimniecības produktu informācijas un veicināšanas programmām””</w:t>
            </w:r>
            <w:r w:rsidR="006478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noteikumi Nr. </w:t>
            </w:r>
            <w:r w:rsidR="00647839" w:rsidRPr="00434F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334</w:t>
            </w:r>
            <w:r w:rsidR="006478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Pr="00434F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nosaka kārtību, kādā administrē un uzrauga Eiropas Savienības atbalstu lauksaimniecības produktu informācijas un veicināšanas vienas dalībvalsts programmām, ko īsteno Eiropas Savienības dalībvalstī vai valstī, kas nav Eiropas Savienības dalībvalsts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0F1E8A" w:rsidRPr="000F1E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Lauksaimniecības garantiju fondu ietvaros Latvijas nozaru profesionāļiem ir iespēja izstrādāt un īstenot Eiropas Savienības (turpmāk – ES) lauksaimniecības produktu veicināšanas un informēšanas programmas (</w:t>
            </w:r>
            <w:r w:rsidR="000F1E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turpmāk - programmas</w:t>
            </w:r>
            <w:r w:rsidR="000F1E8A" w:rsidRPr="000F1E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), kuru mērķis ir noteiktu lauksaimniecības produktu popularizēšana gan iekšējā ES tirgū, gan ārpus ES tirgus robežām.</w:t>
            </w:r>
          </w:p>
          <w:p w:rsidR="008401CF" w:rsidRDefault="000F1E8A" w:rsidP="006E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Programmu izstrādā programmas iesniedzējs - </w:t>
            </w:r>
            <w:r w:rsidR="00C21885" w:rsidRPr="00C218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biedrība, nodibinājums, lauksaimniecības pakalpojumu kooperatīvā sabiedrība, ražotāju grupa vai ražotāju organizācija</w:t>
            </w:r>
            <w:r w:rsidR="00C218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Lai realizētu programmas pasākumus, programmas iesniedzējs izvēlas pasākumu izpildītāju </w:t>
            </w:r>
            <w:r w:rsidR="006E18FC" w:rsidRPr="006E18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normatīvajiem aktiem par iepirkuma procedūrām pa</w:t>
            </w:r>
            <w:r w:rsidR="006E18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sūtītāja finansētiem projektiem, kas nosaka, ka </w:t>
            </w:r>
            <w:r w:rsidR="005746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piedāvājumu iesniegšanas termiņš ir vismaz 10 darbadienas</w:t>
            </w:r>
            <w:r w:rsidR="005702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(2017. gada 28. februāra MK noteikumi Nr. 104 “</w:t>
            </w:r>
            <w:r w:rsidR="005702F2" w:rsidRPr="004855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Noteikumi par iepirkuma procedūru un tās piemērošanas kārtību pasūtītāja finansētiem projektiem</w:t>
            </w:r>
            <w:r w:rsidR="005702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 23.punkts)</w:t>
            </w:r>
            <w:r w:rsidR="005746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6118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:rsidR="00C21885" w:rsidRDefault="00611877" w:rsidP="006E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Programmu iesniedzēji bieži vien arī izmanto noteikto minimālo termiņu, kas liedz </w:t>
            </w:r>
            <w:r w:rsidR="001B0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konkursā piedalīties vairāk pretendentiem</w:t>
            </w:r>
            <w:r w:rsidR="00445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Tāpat arī ņ</w:t>
            </w:r>
            <w:r w:rsidR="001B0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emot vērā programmu ievērojamos apmērus gan laika, gan finansiālā ziņā (programmu ilgums 1-3 gadi un finansējums bieži vien </w:t>
            </w:r>
            <w:r w:rsidR="001B0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pārsniedz 1 milj. EUR), </w:t>
            </w:r>
            <w:r w:rsidR="00CD1A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pretendentam ir ļoti apgrūtinoši un sarežģīti</w:t>
            </w:r>
            <w:r w:rsidR="001B0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tik īsā laikā sagatavot </w:t>
            </w:r>
            <w:r w:rsidR="00445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detalizētu un </w:t>
            </w:r>
            <w:r w:rsidR="001B0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kvalitatīvu piedāvājumu</w:t>
            </w:r>
            <w:r w:rsidR="00CD1A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445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izvērtējot dažādus sociālekonomiskus riskus</w:t>
            </w:r>
            <w:r w:rsidR="001B0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:rsidR="00611877" w:rsidRDefault="00C21885" w:rsidP="006E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18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Tādēļ</w:t>
            </w:r>
            <w:r w:rsidR="00445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l</w:t>
            </w:r>
            <w:r w:rsidR="00445D09" w:rsidRPr="00C218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ai nodrošinātu kvalitatīvu </w:t>
            </w:r>
            <w:r w:rsidR="00445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programmu izstrādi un izpildi,</w:t>
            </w:r>
            <w:r w:rsidRPr="00C218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projekts paredz </w:t>
            </w:r>
            <w:r w:rsidR="005702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noteikt </w:t>
            </w:r>
            <w:r w:rsidRPr="00C218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pasākumu izpildītāja izvēles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termiņu</w:t>
            </w:r>
            <w:r w:rsidR="005702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kas nav īsāks par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30 dienām</w:t>
            </w:r>
            <w:r w:rsidRPr="00C218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programmām, kuru finansējums pārsniedz 500 000 eiro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6478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Finansējuma slieksnis – 500 000 eiro, izvēlēts ar nolūku harmonizēt noteikums Nr. 334 ar citiem normatīviem ES atbalsta piešķiršana</w:t>
            </w:r>
            <w:r w:rsidR="00CD1A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 lauksaimniecības un zivsaimniecības </w:t>
            </w:r>
            <w:r w:rsidR="006478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jomā.</w:t>
            </w:r>
          </w:p>
          <w:p w:rsidR="00574698" w:rsidRPr="00E064B5" w:rsidRDefault="00574698" w:rsidP="0079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E5323B" w:rsidRPr="00E064B5" w:rsidTr="006E18F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FE" w:rsidRPr="00E064B5" w:rsidRDefault="00CA397A" w:rsidP="00785C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Zemkopības ministrija un </w:t>
            </w:r>
            <w:r w:rsidR="00792ADC" w:rsidRPr="00792A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Lauku atbalsta dienests.</w:t>
            </w:r>
          </w:p>
        </w:tc>
      </w:tr>
      <w:tr w:rsidR="00E5323B" w:rsidRPr="00E064B5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64B5" w:rsidRDefault="00C17D4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627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E064B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E064B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E064B5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E064B5" w:rsidTr="00B4604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056" w:rsidRPr="00E064B5" w:rsidRDefault="00F3408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t xml:space="preserve"> </w:t>
            </w:r>
            <w:r w:rsidRPr="00F340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projektā ietvertais tiesiskais regulējums attieksies uz atbalsta pretendentiem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>
              <w:t xml:space="preserve"> b</w:t>
            </w:r>
            <w:r w:rsidRPr="00F340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iedrība, nodibinājums, lauksaimniecības pakalpojumu kooperatīvā sabiedrība, ražotāju grupa vai ražotāju organizācij</w:t>
            </w:r>
            <w:r w:rsidR="007F05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a. </w:t>
            </w:r>
          </w:p>
        </w:tc>
      </w:tr>
      <w:tr w:rsidR="00E5323B" w:rsidRPr="00E064B5" w:rsidTr="00B4604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088" w:rsidRPr="00F34088" w:rsidRDefault="00F34088" w:rsidP="00F3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t xml:space="preserve"> </w:t>
            </w:r>
            <w:r w:rsidRPr="00F340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nemaina administratīvo slogu.</w:t>
            </w:r>
          </w:p>
          <w:p w:rsidR="00E5323B" w:rsidRPr="00E064B5" w:rsidRDefault="00F34088" w:rsidP="00F3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340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grupām un institūcijām noteikumu projekta tiesiskais regulējums nemaina tiesības un pienākumus, ne arī veicamās darbības.</w:t>
            </w:r>
          </w:p>
        </w:tc>
      </w:tr>
      <w:tr w:rsidR="00E5323B" w:rsidRPr="00E064B5" w:rsidTr="00B4604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725" w:rsidRPr="00E064B5" w:rsidRDefault="00792ADC" w:rsidP="001A5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792A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B46040" w:rsidRPr="00E064B5" w:rsidTr="00B4604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040" w:rsidRPr="00E064B5" w:rsidRDefault="00B46040" w:rsidP="00B460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040" w:rsidRPr="00E064B5" w:rsidRDefault="00B46040" w:rsidP="00B460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040" w:rsidRPr="00E064B5" w:rsidRDefault="00B46040" w:rsidP="00B4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B5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B46040" w:rsidRPr="00E064B5" w:rsidTr="000D1252">
        <w:trPr>
          <w:trHeight w:val="265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040" w:rsidRPr="00E064B5" w:rsidRDefault="00B46040" w:rsidP="00B460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040" w:rsidRPr="00E064B5" w:rsidRDefault="00B46040" w:rsidP="00B460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040" w:rsidRPr="00E064B5" w:rsidRDefault="00B46040" w:rsidP="00B4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B5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627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323B" w:rsidRPr="00E064B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E064B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E46DE" w:rsidRPr="00E064B5" w:rsidTr="0068015B">
        <w:tc>
          <w:tcPr>
            <w:tcW w:w="0" w:type="auto"/>
            <w:shd w:val="clear" w:color="auto" w:fill="auto"/>
            <w:hideMark/>
          </w:tcPr>
          <w:p w:rsidR="002E46DE" w:rsidRPr="00E064B5" w:rsidRDefault="002E46DE" w:rsidP="002E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2E46DE" w:rsidRPr="00E064B5" w:rsidTr="0068015B">
        <w:tc>
          <w:tcPr>
            <w:tcW w:w="0" w:type="auto"/>
            <w:shd w:val="clear" w:color="auto" w:fill="auto"/>
          </w:tcPr>
          <w:p w:rsidR="002E46DE" w:rsidRPr="00E064B5" w:rsidRDefault="002E46DE" w:rsidP="002E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2E46DE" w:rsidRDefault="002E46DE" w:rsidP="002E46DE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p w:rsidR="00647839" w:rsidRPr="00E064B5" w:rsidRDefault="00647839" w:rsidP="002E46DE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E46DE" w:rsidRPr="00E064B5" w:rsidTr="0068015B">
        <w:tc>
          <w:tcPr>
            <w:tcW w:w="0" w:type="auto"/>
            <w:shd w:val="clear" w:color="auto" w:fill="auto"/>
            <w:hideMark/>
          </w:tcPr>
          <w:p w:rsidR="002E46DE" w:rsidRPr="00E064B5" w:rsidRDefault="002E46DE" w:rsidP="002E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lastRenderedPageBreak/>
              <w:t>IV. Tiesību akta projekta ietekme uz spēkā esošo tiesību normu sistēmu</w:t>
            </w:r>
          </w:p>
        </w:tc>
      </w:tr>
      <w:tr w:rsidR="002E46DE" w:rsidRPr="00E064B5" w:rsidTr="00647839">
        <w:trPr>
          <w:trHeight w:val="417"/>
        </w:trPr>
        <w:tc>
          <w:tcPr>
            <w:tcW w:w="0" w:type="auto"/>
            <w:shd w:val="clear" w:color="auto" w:fill="auto"/>
          </w:tcPr>
          <w:p w:rsidR="002E46DE" w:rsidRPr="00E064B5" w:rsidRDefault="002E46DE" w:rsidP="002E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A226A5" w:rsidRPr="00E064B5" w:rsidTr="00791AB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A226A5" w:rsidRPr="00E064B5" w:rsidTr="00791AB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A226A5" w:rsidRDefault="00A226A5" w:rsidP="00A2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1)</w:t>
            </w:r>
            <w:r w:rsidRPr="00A226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Eiropas Parlamenta un Padomes </w:t>
            </w:r>
            <w:r w:rsidR="005702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2014. gada 22. oktobra</w:t>
            </w:r>
            <w:r w:rsidR="005702F2" w:rsidRPr="00A226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226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Regula Nr. 2014/1144  par tādiem informācijas un veicināšanas pasākumiem attiecībā uz lauksaimniecības produktiem, ko īsteno iekšējā tirgū un trešās valstīs, un ar kuru atceļ Padomes Regulu (EK) Nr. 3/2008</w:t>
            </w:r>
            <w:r w:rsidR="001B5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</w:t>
            </w:r>
            <w:r w:rsidRPr="00A226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  <w:r w:rsidR="001B5D55" w:rsidRPr="001960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Regula Nr. 2014/1144</w:t>
            </w:r>
            <w:r w:rsidR="001B5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);</w:t>
            </w:r>
          </w:p>
          <w:p w:rsidR="00A226A5" w:rsidRPr="00A226A5" w:rsidRDefault="00A226A5" w:rsidP="00A2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2)</w:t>
            </w:r>
            <w:r w:rsidRPr="00A226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Komisijas Deleģētā </w:t>
            </w:r>
            <w:r w:rsidR="005702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2015. gada 23. aprīļa</w:t>
            </w:r>
            <w:r w:rsidR="005702F2" w:rsidRPr="00A226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226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regula Nr. 2015/1829 , ar ko papildina Eiropas Parlamenta un Padomes Regulu (ES) Nr. 2014/1144 par tādiem informācijas un veicināšanas pasākumiem attiecībā uz lauksaimniecības produktiem, ko īsteno iekšējā tirgū un trešās valstīs</w:t>
            </w:r>
            <w:r w:rsidR="001B5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- regula </w:t>
            </w:r>
            <w:r w:rsidRPr="00A226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  <w:r w:rsidR="001B5D55" w:rsidRPr="001960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2015/1829</w:t>
            </w:r>
            <w:r w:rsidR="001B5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);</w:t>
            </w:r>
          </w:p>
          <w:p w:rsidR="00A226A5" w:rsidRPr="00E064B5" w:rsidRDefault="00A226A5" w:rsidP="0057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3)</w:t>
            </w:r>
            <w:r w:rsidRPr="00A226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Komisijas Īstenošanas </w:t>
            </w:r>
            <w:r w:rsidR="005702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2015. gada 7. oktobra</w:t>
            </w:r>
            <w:r w:rsidR="005702F2" w:rsidRPr="00A226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226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regula Nr. 2015/1831 , kurā noteikts, kā piemērojama Eiropas Parlamenta un Padomes Regula (ES) Nr. 2014/1144 par tādiem informācijas un veicināšanas pasākumiem attiecībā uz lauksaimniecības produktiem, ko īsteno iekšējā tirgū un trešās valstīs</w:t>
            </w:r>
            <w:r w:rsidR="001B5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(R</w:t>
            </w:r>
            <w:r w:rsidR="001B5D55" w:rsidRPr="001960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egula Nr. 2015/1831</w:t>
            </w:r>
            <w:r w:rsidR="001B5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Pr="00A226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A226A5" w:rsidRPr="00E064B5" w:rsidTr="00791AB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B5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226A5" w:rsidRPr="00E064B5" w:rsidTr="00791AB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B5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:rsidR="00A226A5" w:rsidRPr="00E064B5" w:rsidRDefault="00A226A5" w:rsidP="00A226A5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E064B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8"/>
        <w:gridCol w:w="2103"/>
        <w:gridCol w:w="2253"/>
        <w:gridCol w:w="2581"/>
      </w:tblGrid>
      <w:tr w:rsidR="00A226A5" w:rsidRPr="00E064B5" w:rsidTr="00791AB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1. tabula</w:t>
            </w:r>
            <w:r w:rsidRPr="00E064B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A226A5" w:rsidRPr="00E064B5" w:rsidTr="00A226A5">
        <w:trPr>
          <w:tblCellSpacing w:w="15" w:type="dxa"/>
        </w:trPr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37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01E" w:rsidRPr="0019601E" w:rsidRDefault="0019601E" w:rsidP="001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0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1) Regula Nr. 2014/1144 ;</w:t>
            </w:r>
          </w:p>
          <w:p w:rsidR="0019601E" w:rsidRPr="00DB5672" w:rsidRDefault="0019601E" w:rsidP="001B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0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2) </w:t>
            </w:r>
            <w:r w:rsidR="001B5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</w:t>
            </w:r>
            <w:r w:rsidRPr="001960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egula Nr. 2015/1829 3) </w:t>
            </w:r>
            <w:r w:rsidR="001B5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</w:t>
            </w:r>
            <w:r w:rsidRPr="001960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egula Nr. 2015/1831 </w:t>
            </w:r>
          </w:p>
        </w:tc>
      </w:tr>
      <w:tr w:rsidR="00A226A5" w:rsidRPr="00E064B5" w:rsidTr="00A226A5">
        <w:trPr>
          <w:tblCellSpacing w:w="15" w:type="dxa"/>
        </w:trPr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D</w:t>
            </w:r>
          </w:p>
        </w:tc>
      </w:tr>
      <w:tr w:rsidR="00A226A5" w:rsidRPr="00E064B5" w:rsidTr="00A226A5">
        <w:trPr>
          <w:tblCellSpacing w:w="15" w:type="dxa"/>
        </w:trPr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Informācija par to, vai šīs tabulas A ailē minētās ES tiesību akta vienības tiek pārņemtas vai ieviestas pilnībā vai daļēji.</w:t>
            </w: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 xml:space="preserve">Ja attiecīgā ES tiesību akta vienība tiek pārņemta vai ieviesta daļēji, sniedz attiecīgu skaidrojumu, kā arī </w:t>
            </w: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precīzi norāda, kad un kādā veidā ES tiesību akta vienība tiks pārņemta vai ieviesta pilnībā.</w:t>
            </w: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Informācija par to, vai šīs tabulas B ailē minētās projekta vienības paredz stingrākas prasības nekā šīs tabulas A ailē minētās ES tiesību akta vienības.</w:t>
            </w: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 projekts satur stingrākas prasības nekā attiecīgais ES tiesību akts, norāda pamatojumu un samērīgumu.</w:t>
            </w: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 xml:space="preserve">Norāda iespējamās alternatīvas (t. sk. </w:t>
            </w: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A226A5" w:rsidRPr="00E064B5" w:rsidTr="00A226A5">
        <w:trPr>
          <w:tblCellSpacing w:w="15" w:type="dxa"/>
        </w:trPr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A5" w:rsidRPr="00A226A5" w:rsidRDefault="00A226A5" w:rsidP="00A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Regulas Nr. 2015/1829 2. pants, Regulas Nr.1144/2015 13. panta 2.punkts, Regulas Nr. 2015/1831 11. pants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A5" w:rsidRPr="00A226A5" w:rsidRDefault="005702F2" w:rsidP="00A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projekts.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A5" w:rsidRPr="00A226A5" w:rsidRDefault="00A226A5" w:rsidP="00A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A5">
              <w:rPr>
                <w:rFonts w:ascii="Times New Roman" w:hAnsi="Times New Roman" w:cs="Times New Roman"/>
                <w:sz w:val="24"/>
                <w:szCs w:val="24"/>
              </w:rPr>
              <w:t>Ieviests pilnībā.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A5" w:rsidRPr="00A226A5" w:rsidRDefault="00A226A5" w:rsidP="00A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A5">
              <w:rPr>
                <w:rFonts w:ascii="Times New Roman" w:hAnsi="Times New Roman" w:cs="Times New Roman"/>
                <w:sz w:val="24"/>
                <w:szCs w:val="24"/>
              </w:rPr>
              <w:t>Neparedz stingrākas prasības kā ES tiesību normas.</w:t>
            </w:r>
          </w:p>
        </w:tc>
      </w:tr>
      <w:tr w:rsidR="00A226A5" w:rsidRPr="00E064B5" w:rsidTr="00A226A5">
        <w:trPr>
          <w:tblCellSpacing w:w="15" w:type="dxa"/>
        </w:trPr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7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B5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226A5" w:rsidRPr="00E064B5" w:rsidTr="00A226A5">
        <w:trPr>
          <w:tblCellSpacing w:w="15" w:type="dxa"/>
        </w:trPr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7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B5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226A5" w:rsidRPr="00E064B5" w:rsidTr="00A226A5">
        <w:trPr>
          <w:tblCellSpacing w:w="15" w:type="dxa"/>
        </w:trPr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A226A5" w:rsidRPr="00E064B5" w:rsidTr="00791AB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2. tabula</w:t>
            </w:r>
            <w:r w:rsidRPr="00E064B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E064B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="00A226A5" w:rsidRPr="00E064B5" w:rsidTr="00791AB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A5" w:rsidRPr="00E064B5" w:rsidRDefault="00A226A5" w:rsidP="007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Projekts šo jomu neskar.</w:t>
            </w:r>
          </w:p>
        </w:tc>
      </w:tr>
    </w:tbl>
    <w:p w:rsidR="000D1252" w:rsidRDefault="000D1252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p w:rsidR="00E5323B" w:rsidRPr="00E064B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E064B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E064B5" w:rsidTr="0079269B">
        <w:trPr>
          <w:trHeight w:val="840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5323B" w:rsidRPr="00E064B5" w:rsidTr="00E064B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9269B" w:rsidRDefault="00EC2676" w:rsidP="000D1252">
            <w:pPr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79269B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projekts </w:t>
            </w:r>
            <w:r w:rsidR="000D1252">
              <w:rPr>
                <w:rFonts w:ascii="Times New Roman" w:hAnsi="Times New Roman" w:cs="Times New Roman"/>
                <w:sz w:val="24"/>
                <w:szCs w:val="24"/>
              </w:rPr>
              <w:t xml:space="preserve">tiks </w:t>
            </w:r>
            <w:r w:rsidRPr="0079269B">
              <w:rPr>
                <w:rFonts w:ascii="Times New Roman" w:hAnsi="Times New Roman" w:cs="Times New Roman"/>
                <w:sz w:val="24"/>
                <w:szCs w:val="24"/>
              </w:rPr>
              <w:t xml:space="preserve">ievietots sabiedriskajai apspriešanai Zemkopības ministrijas tīmekļvietnē </w:t>
            </w:r>
            <w:hyperlink r:id="rId8" w:history="1">
              <w:r w:rsidRPr="0079269B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www.zm.gov.lv</w:t>
              </w:r>
            </w:hyperlink>
            <w:r w:rsidRPr="0079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64B5" w:rsidRPr="00E064B5" w:rsidTr="00E064B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4B5" w:rsidRPr="00E064B5" w:rsidRDefault="00E064B5" w:rsidP="00E064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4B5" w:rsidRPr="00E064B5" w:rsidRDefault="00E064B5" w:rsidP="00E064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4B5" w:rsidRPr="0079269B" w:rsidRDefault="002F7621" w:rsidP="000D1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621">
              <w:rPr>
                <w:rFonts w:ascii="Times New Roman" w:hAnsi="Times New Roman" w:cs="Times New Roman"/>
                <w:sz w:val="24"/>
                <w:szCs w:val="24"/>
              </w:rPr>
              <w:t>Noteikumu projekts elektroniski tiks nosūtīts saskaņošanai Lauksaimnieku organizāciju sadarbības padomei, Zemnieku saeimai, Lauku atbalsta dienestam, biedrībai „Latvijas Reklāmas asociācija”, Latvijas Pārtikas uzņēmumu federācijai.</w:t>
            </w:r>
          </w:p>
        </w:tc>
      </w:tr>
      <w:tr w:rsidR="00E064B5" w:rsidRPr="00E064B5" w:rsidTr="00E064B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4B5" w:rsidRPr="00E064B5" w:rsidRDefault="00E064B5" w:rsidP="00E064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4B5" w:rsidRPr="00E064B5" w:rsidRDefault="00E064B5" w:rsidP="00E064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4B5" w:rsidRPr="00224C91" w:rsidRDefault="005702F2" w:rsidP="0086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1">
              <w:rPr>
                <w:rFonts w:ascii="Times New Roman" w:hAnsi="Times New Roman" w:cs="Times New Roman"/>
                <w:sz w:val="24"/>
                <w:szCs w:val="24"/>
              </w:rPr>
              <w:t>Iebildumi un priekšlikumi nav saņemti/atbalsta</w:t>
            </w:r>
          </w:p>
        </w:tc>
      </w:tr>
      <w:tr w:rsidR="00E5323B" w:rsidRPr="00E064B5" w:rsidTr="00E064B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64B5" w:rsidRDefault="007A6B3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6475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627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E064B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E064B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E064B5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E064B5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6" w:rsidRPr="00E064B5" w:rsidRDefault="00277396" w:rsidP="007A6B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Lauku atbalsta dienests</w:t>
            </w:r>
            <w:r w:rsidR="005702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E064B5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64B5" w:rsidRDefault="007A6B3F" w:rsidP="007A6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izpildei nav nepieciešams paplašināt šīs sadaļas 1. punktā minēto institūciju funkcijas un uzdevumus.</w:t>
            </w:r>
          </w:p>
        </w:tc>
      </w:tr>
      <w:tr w:rsidR="00E5323B" w:rsidRPr="00E064B5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64B5" w:rsidRDefault="007A6B3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6475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627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E064B5" w:rsidRDefault="00E5323B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839" w:rsidRDefault="00647839" w:rsidP="00ED66F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839" w:rsidRDefault="00647839" w:rsidP="00ED66F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C55" w:rsidRPr="00FB2F2B" w:rsidRDefault="005F15C9" w:rsidP="005F1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6F7" w:rsidRPr="00FB2F2B">
        <w:rPr>
          <w:rFonts w:ascii="Times New Roman" w:hAnsi="Times New Roman" w:cs="Times New Roman"/>
          <w:sz w:val="28"/>
          <w:szCs w:val="28"/>
        </w:rPr>
        <w:t>Zemkopības</w:t>
      </w:r>
      <w:r w:rsidR="00894C55" w:rsidRPr="00FB2F2B">
        <w:rPr>
          <w:rFonts w:ascii="Times New Roman" w:hAnsi="Times New Roman" w:cs="Times New Roman"/>
          <w:sz w:val="28"/>
          <w:szCs w:val="28"/>
        </w:rPr>
        <w:t xml:space="preserve"> ministrs</w:t>
      </w:r>
      <w:r w:rsidR="00894C55" w:rsidRPr="00FB2F2B">
        <w:rPr>
          <w:rFonts w:ascii="Times New Roman" w:hAnsi="Times New Roman" w:cs="Times New Roman"/>
          <w:sz w:val="28"/>
          <w:szCs w:val="28"/>
        </w:rPr>
        <w:tab/>
      </w:r>
      <w:r w:rsidR="00AE30CD">
        <w:rPr>
          <w:rFonts w:ascii="Times New Roman" w:hAnsi="Times New Roman" w:cs="Times New Roman"/>
          <w:sz w:val="28"/>
          <w:szCs w:val="28"/>
        </w:rPr>
        <w:tab/>
      </w:r>
      <w:r w:rsidR="00AE30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66F7" w:rsidRPr="00FB2F2B">
        <w:rPr>
          <w:rFonts w:ascii="Times New Roman" w:hAnsi="Times New Roman" w:cs="Times New Roman"/>
          <w:sz w:val="28"/>
          <w:szCs w:val="28"/>
        </w:rPr>
        <w:t>Jānis Dūklavs</w:t>
      </w:r>
    </w:p>
    <w:p w:rsidR="00894C55" w:rsidRPr="00FB2F2B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47839" w:rsidRDefault="00647839" w:rsidP="00894C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47839" w:rsidRDefault="00647839" w:rsidP="00FB2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2B" w:rsidRDefault="00FB2F2B" w:rsidP="00FB2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839" w:rsidRPr="00E064B5" w:rsidRDefault="00647839" w:rsidP="00894C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94C55" w:rsidRPr="00FB2F2B" w:rsidRDefault="000D1252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F2B">
        <w:rPr>
          <w:rFonts w:ascii="Times New Roman" w:hAnsi="Times New Roman" w:cs="Times New Roman"/>
          <w:sz w:val="24"/>
          <w:szCs w:val="24"/>
        </w:rPr>
        <w:t>Celmiņa 67027361</w:t>
      </w:r>
    </w:p>
    <w:p w:rsidR="00894C55" w:rsidRPr="00FB2F2B" w:rsidRDefault="000D1252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F2B">
        <w:rPr>
          <w:rFonts w:ascii="Times New Roman" w:hAnsi="Times New Roman" w:cs="Times New Roman"/>
          <w:sz w:val="24"/>
          <w:szCs w:val="24"/>
        </w:rPr>
        <w:t>Lelde.Celmina</w:t>
      </w:r>
      <w:r w:rsidR="00894C55" w:rsidRPr="00FB2F2B">
        <w:rPr>
          <w:rFonts w:ascii="Times New Roman" w:hAnsi="Times New Roman" w:cs="Times New Roman"/>
          <w:sz w:val="24"/>
          <w:szCs w:val="24"/>
        </w:rPr>
        <w:t>@</w:t>
      </w:r>
      <w:r w:rsidR="006D14E4" w:rsidRPr="00FB2F2B">
        <w:rPr>
          <w:rFonts w:ascii="Times New Roman" w:hAnsi="Times New Roman" w:cs="Times New Roman"/>
          <w:sz w:val="24"/>
          <w:szCs w:val="24"/>
        </w:rPr>
        <w:t>zm</w:t>
      </w:r>
      <w:r w:rsidR="00894C55" w:rsidRPr="00FB2F2B">
        <w:rPr>
          <w:rFonts w:ascii="Times New Roman" w:hAnsi="Times New Roman" w:cs="Times New Roman"/>
          <w:sz w:val="24"/>
          <w:szCs w:val="24"/>
        </w:rPr>
        <w:t>.gov.lv</w:t>
      </w:r>
      <w:bookmarkStart w:id="0" w:name="_GoBack"/>
      <w:bookmarkEnd w:id="0"/>
    </w:p>
    <w:sectPr w:rsidR="00894C55" w:rsidRPr="00FB2F2B" w:rsidSect="005F15C9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6F9" w:rsidRDefault="002026F9" w:rsidP="00894C55">
      <w:pPr>
        <w:spacing w:after="0" w:line="240" w:lineRule="auto"/>
      </w:pPr>
      <w:r>
        <w:separator/>
      </w:r>
    </w:p>
  </w:endnote>
  <w:endnote w:type="continuationSeparator" w:id="0">
    <w:p w:rsidR="002026F9" w:rsidRDefault="002026F9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55" w:rsidRPr="005F15C9" w:rsidRDefault="005F15C9" w:rsidP="005F15C9">
    <w:pPr>
      <w:pStyle w:val="Kjene"/>
    </w:pPr>
    <w:r w:rsidRPr="005F15C9">
      <w:rPr>
        <w:rFonts w:ascii="Times New Roman" w:hAnsi="Times New Roman" w:cs="Times New Roman"/>
        <w:sz w:val="20"/>
        <w:szCs w:val="20"/>
      </w:rPr>
      <w:t>ZManot_221018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54" w:rsidRPr="005F15C9" w:rsidRDefault="005F15C9" w:rsidP="005F15C9">
    <w:pPr>
      <w:pStyle w:val="Kjene"/>
    </w:pPr>
    <w:r w:rsidRPr="005F15C9">
      <w:rPr>
        <w:rFonts w:ascii="Times New Roman" w:hAnsi="Times New Roman" w:cs="Times New Roman"/>
        <w:sz w:val="20"/>
        <w:szCs w:val="20"/>
      </w:rPr>
      <w:t>ZManot_221018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6F9" w:rsidRDefault="002026F9" w:rsidP="00894C55">
      <w:pPr>
        <w:spacing w:after="0" w:line="240" w:lineRule="auto"/>
      </w:pPr>
      <w:r>
        <w:separator/>
      </w:r>
    </w:p>
  </w:footnote>
  <w:footnote w:type="continuationSeparator" w:id="0">
    <w:p w:rsidR="002026F9" w:rsidRDefault="002026F9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456E40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5F15C9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5EB1"/>
    <w:multiLevelType w:val="hybridMultilevel"/>
    <w:tmpl w:val="8FAC1C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0FE4"/>
    <w:multiLevelType w:val="hybridMultilevel"/>
    <w:tmpl w:val="78BC27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F6093"/>
    <w:multiLevelType w:val="hybridMultilevel"/>
    <w:tmpl w:val="F61EA2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55ED9"/>
    <w:multiLevelType w:val="hybridMultilevel"/>
    <w:tmpl w:val="88E06E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B7817"/>
    <w:multiLevelType w:val="hybridMultilevel"/>
    <w:tmpl w:val="7E2CE5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235BE"/>
    <w:rsid w:val="000D1252"/>
    <w:rsid w:val="000F1E8A"/>
    <w:rsid w:val="000F45F0"/>
    <w:rsid w:val="00101286"/>
    <w:rsid w:val="00110056"/>
    <w:rsid w:val="00145CDF"/>
    <w:rsid w:val="00162A76"/>
    <w:rsid w:val="00163495"/>
    <w:rsid w:val="00175ECF"/>
    <w:rsid w:val="0019601E"/>
    <w:rsid w:val="001A546A"/>
    <w:rsid w:val="001B08E6"/>
    <w:rsid w:val="001B5D55"/>
    <w:rsid w:val="002026F9"/>
    <w:rsid w:val="00224C91"/>
    <w:rsid w:val="00243426"/>
    <w:rsid w:val="00257CD3"/>
    <w:rsid w:val="00277396"/>
    <w:rsid w:val="002C332D"/>
    <w:rsid w:val="002E1C05"/>
    <w:rsid w:val="002E46DE"/>
    <w:rsid w:val="002F7621"/>
    <w:rsid w:val="003B0BF9"/>
    <w:rsid w:val="003E0791"/>
    <w:rsid w:val="003F28AC"/>
    <w:rsid w:val="00434FD4"/>
    <w:rsid w:val="004454FE"/>
    <w:rsid w:val="00445D09"/>
    <w:rsid w:val="00456E40"/>
    <w:rsid w:val="00471F27"/>
    <w:rsid w:val="00485524"/>
    <w:rsid w:val="0050178F"/>
    <w:rsid w:val="0053750C"/>
    <w:rsid w:val="005702F2"/>
    <w:rsid w:val="00574698"/>
    <w:rsid w:val="005A02B2"/>
    <w:rsid w:val="005D6084"/>
    <w:rsid w:val="005E32EE"/>
    <w:rsid w:val="005F15C9"/>
    <w:rsid w:val="00611877"/>
    <w:rsid w:val="0062782E"/>
    <w:rsid w:val="0064751D"/>
    <w:rsid w:val="00647839"/>
    <w:rsid w:val="00655F2C"/>
    <w:rsid w:val="006B3AE1"/>
    <w:rsid w:val="006D14E4"/>
    <w:rsid w:val="006E1081"/>
    <w:rsid w:val="006E18FC"/>
    <w:rsid w:val="006F6B2C"/>
    <w:rsid w:val="00720585"/>
    <w:rsid w:val="00750725"/>
    <w:rsid w:val="00761405"/>
    <w:rsid w:val="00772A91"/>
    <w:rsid w:val="00773AF6"/>
    <w:rsid w:val="00785CFE"/>
    <w:rsid w:val="00790EA2"/>
    <w:rsid w:val="0079269B"/>
    <w:rsid w:val="00792ADC"/>
    <w:rsid w:val="00795F71"/>
    <w:rsid w:val="007A6B3F"/>
    <w:rsid w:val="007C24F6"/>
    <w:rsid w:val="007E5F7A"/>
    <w:rsid w:val="007E73AB"/>
    <w:rsid w:val="007F0525"/>
    <w:rsid w:val="00816C11"/>
    <w:rsid w:val="008401CF"/>
    <w:rsid w:val="00843E7C"/>
    <w:rsid w:val="00860661"/>
    <w:rsid w:val="00894C55"/>
    <w:rsid w:val="00954B44"/>
    <w:rsid w:val="009A2654"/>
    <w:rsid w:val="00A10FC3"/>
    <w:rsid w:val="00A226A5"/>
    <w:rsid w:val="00A41D88"/>
    <w:rsid w:val="00A6073E"/>
    <w:rsid w:val="00A7064E"/>
    <w:rsid w:val="00A748FD"/>
    <w:rsid w:val="00AE30CD"/>
    <w:rsid w:val="00AE5567"/>
    <w:rsid w:val="00AF1239"/>
    <w:rsid w:val="00B144C7"/>
    <w:rsid w:val="00B16480"/>
    <w:rsid w:val="00B164CA"/>
    <w:rsid w:val="00B2165C"/>
    <w:rsid w:val="00B41226"/>
    <w:rsid w:val="00B46040"/>
    <w:rsid w:val="00B93B2F"/>
    <w:rsid w:val="00BA20AA"/>
    <w:rsid w:val="00BC1FA9"/>
    <w:rsid w:val="00BC74FD"/>
    <w:rsid w:val="00BD4425"/>
    <w:rsid w:val="00BD7853"/>
    <w:rsid w:val="00BF49B1"/>
    <w:rsid w:val="00C01117"/>
    <w:rsid w:val="00C17D4D"/>
    <w:rsid w:val="00C21885"/>
    <w:rsid w:val="00C25B49"/>
    <w:rsid w:val="00C346DE"/>
    <w:rsid w:val="00C81BDD"/>
    <w:rsid w:val="00CA397A"/>
    <w:rsid w:val="00CC0D2D"/>
    <w:rsid w:val="00CD1A2A"/>
    <w:rsid w:val="00CE5657"/>
    <w:rsid w:val="00D07ABF"/>
    <w:rsid w:val="00D133F8"/>
    <w:rsid w:val="00D14A3E"/>
    <w:rsid w:val="00D20F88"/>
    <w:rsid w:val="00D4625C"/>
    <w:rsid w:val="00DB3B21"/>
    <w:rsid w:val="00DB5672"/>
    <w:rsid w:val="00DC41EE"/>
    <w:rsid w:val="00DC4579"/>
    <w:rsid w:val="00E064B5"/>
    <w:rsid w:val="00E3716B"/>
    <w:rsid w:val="00E5323B"/>
    <w:rsid w:val="00E8749E"/>
    <w:rsid w:val="00E9048E"/>
    <w:rsid w:val="00E90C01"/>
    <w:rsid w:val="00E97C72"/>
    <w:rsid w:val="00EA486E"/>
    <w:rsid w:val="00EB0277"/>
    <w:rsid w:val="00EC2676"/>
    <w:rsid w:val="00ED66F7"/>
    <w:rsid w:val="00F34088"/>
    <w:rsid w:val="00F57B0C"/>
    <w:rsid w:val="00F806DC"/>
    <w:rsid w:val="00F81073"/>
    <w:rsid w:val="00FB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A702133-6377-4F6A-AFEF-25E41326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20F88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145CD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45CD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45CD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45CD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45C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92B7A-96F3-4DB0-87DB-72C3690A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5591</Words>
  <Characters>3187</Characters>
  <Application>Microsoft Office Word</Application>
  <DocSecurity>0</DocSecurity>
  <Lines>26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MK 2011.gada 1.novembra noteikumos Nr.841</vt:lpstr>
      <vt:lpstr>grozījumi MK 2011.gada 1.novembra noteikumos Nr.841</vt:lpstr>
    </vt:vector>
  </TitlesOfParts>
  <Company>Zemkopības ministrija</Company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 kabineta noteikumu</dc:title>
  <dc:subject>Anotācija</dc:subject>
  <dc:creator>Lelde Celmiņa</dc:creator>
  <dc:description>Celmiņa 67027361_x000d_
Lelde.Celmina@zm.gov.lv</dc:description>
  <cp:lastModifiedBy>Kristiāna Sebre</cp:lastModifiedBy>
  <cp:revision>4</cp:revision>
  <dcterms:created xsi:type="dcterms:W3CDTF">2018-09-11T11:49:00Z</dcterms:created>
  <dcterms:modified xsi:type="dcterms:W3CDTF">2018-10-22T11:51:00Z</dcterms:modified>
</cp:coreProperties>
</file>