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E7FB" w14:textId="1F46B720" w:rsidR="00894C55" w:rsidRPr="00E06D38" w:rsidRDefault="00195C26" w:rsidP="00962D32">
      <w:pPr>
        <w:spacing w:after="0" w:line="240" w:lineRule="auto"/>
        <w:contextualSpacing/>
        <w:jc w:val="center"/>
        <w:rPr>
          <w:rFonts w:ascii="Times New Roman" w:hAnsi="Times New Roman" w:cs="Times New Roman"/>
          <w:b/>
          <w:sz w:val="24"/>
          <w:szCs w:val="24"/>
        </w:rPr>
      </w:pPr>
      <w:r w:rsidRPr="00E06D38">
        <w:rPr>
          <w:rFonts w:ascii="Times New Roman" w:eastAsia="Times New Roman" w:hAnsi="Times New Roman" w:cs="Times New Roman"/>
          <w:b/>
          <w:bCs/>
          <w:sz w:val="24"/>
          <w:szCs w:val="24"/>
          <w:lang w:eastAsia="lv-LV"/>
        </w:rPr>
        <w:t>Likumprojekta</w:t>
      </w:r>
      <w:r w:rsidR="00BE10FA" w:rsidRPr="00E06D38">
        <w:rPr>
          <w:rFonts w:ascii="Times New Roman" w:eastAsia="Times New Roman" w:hAnsi="Times New Roman" w:cs="Times New Roman"/>
          <w:b/>
          <w:bCs/>
          <w:sz w:val="24"/>
          <w:szCs w:val="24"/>
          <w:lang w:eastAsia="lv-LV"/>
        </w:rPr>
        <w:t xml:space="preserve"> </w:t>
      </w:r>
      <w:r w:rsidR="00BE10FA" w:rsidRPr="00E06D38">
        <w:rPr>
          <w:rFonts w:ascii="Times New Roman" w:hAnsi="Times New Roman" w:cs="Times New Roman"/>
          <w:b/>
          <w:sz w:val="24"/>
          <w:szCs w:val="24"/>
        </w:rPr>
        <w:t>”Grozījumi Energoefektivitātes likumā”</w:t>
      </w:r>
      <w:r w:rsidRPr="00E06D38">
        <w:rPr>
          <w:rFonts w:ascii="Times New Roman" w:eastAsia="Times New Roman" w:hAnsi="Times New Roman" w:cs="Times New Roman"/>
          <w:b/>
          <w:bCs/>
          <w:sz w:val="24"/>
          <w:szCs w:val="24"/>
          <w:lang w:eastAsia="lv-LV"/>
        </w:rPr>
        <w:t xml:space="preserve"> </w:t>
      </w:r>
      <w:r w:rsidR="00894C55" w:rsidRPr="00E06D38">
        <w:rPr>
          <w:rFonts w:ascii="Times New Roman" w:eastAsia="Times New Roman" w:hAnsi="Times New Roman" w:cs="Times New Roman"/>
          <w:b/>
          <w:bCs/>
          <w:sz w:val="24"/>
          <w:szCs w:val="24"/>
          <w:lang w:eastAsia="lv-LV"/>
        </w:rPr>
        <w:t>sākotnējās ietekmes novērtējuma ziņojums (anotācija)</w:t>
      </w:r>
    </w:p>
    <w:p w14:paraId="6AA73CDB" w14:textId="497CC443" w:rsidR="00894C55" w:rsidRPr="00E06D38" w:rsidRDefault="00894C55" w:rsidP="00962D32">
      <w:pPr>
        <w:shd w:val="clear" w:color="auto" w:fill="FFFFFF"/>
        <w:spacing w:after="0" w:line="240" w:lineRule="auto"/>
        <w:contextualSpacing/>
        <w:rPr>
          <w:rFonts w:ascii="Times New Roman" w:eastAsia="Times New Roman" w:hAnsi="Times New Roman" w:cs="Times New Roman"/>
          <w:iCs/>
          <w:sz w:val="24"/>
          <w:szCs w:val="24"/>
          <w:lang w:eastAsia="lv-LV"/>
        </w:rPr>
      </w:pPr>
    </w:p>
    <w:p w14:paraId="7499E939" w14:textId="77777777" w:rsidR="00542211" w:rsidRPr="00E06D38" w:rsidRDefault="00542211" w:rsidP="00962D32">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228"/>
      </w:tblGrid>
      <w:tr w:rsidR="00542211" w:rsidRPr="00E06D38" w14:paraId="27B82246" w14:textId="77777777" w:rsidTr="007023D1">
        <w:trPr>
          <w:trHeight w:val="40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F9524F8" w14:textId="77777777" w:rsidR="00542211" w:rsidRPr="00E06D38" w:rsidRDefault="00542211" w:rsidP="0031741E">
            <w:pPr>
              <w:spacing w:after="0" w:line="240" w:lineRule="auto"/>
              <w:jc w:val="center"/>
              <w:rPr>
                <w:rFonts w:ascii="Times New Roman" w:hAnsi="Times New Roman"/>
                <w:b/>
                <w:bCs/>
                <w:sz w:val="24"/>
                <w:szCs w:val="24"/>
                <w:lang w:eastAsia="lv-LV"/>
              </w:rPr>
            </w:pPr>
            <w:r w:rsidRPr="00E06D38">
              <w:rPr>
                <w:rFonts w:ascii="Times New Roman" w:hAnsi="Times New Roman"/>
                <w:b/>
                <w:bCs/>
                <w:iCs/>
                <w:sz w:val="24"/>
                <w:szCs w:val="24"/>
                <w:lang w:eastAsia="lv-LV"/>
              </w:rPr>
              <w:t>Tiesību akta projekta anotācijas kopsavilkums</w:t>
            </w:r>
          </w:p>
        </w:tc>
      </w:tr>
      <w:tr w:rsidR="00542211" w:rsidRPr="00E06D38" w14:paraId="0F551ABE" w14:textId="77777777" w:rsidTr="007023D1">
        <w:trPr>
          <w:trHeight w:val="405"/>
        </w:trPr>
        <w:tc>
          <w:tcPr>
            <w:tcW w:w="1561" w:type="pct"/>
            <w:tcBorders>
              <w:top w:val="outset" w:sz="6" w:space="0" w:color="414142"/>
              <w:left w:val="outset" w:sz="6" w:space="0" w:color="414142"/>
              <w:bottom w:val="outset" w:sz="6" w:space="0" w:color="414142"/>
              <w:right w:val="outset" w:sz="6" w:space="0" w:color="414142"/>
            </w:tcBorders>
            <w:hideMark/>
          </w:tcPr>
          <w:p w14:paraId="5E07ABA6" w14:textId="77777777" w:rsidR="00542211" w:rsidRPr="00E06D38" w:rsidRDefault="00542211" w:rsidP="007023D1">
            <w:pPr>
              <w:spacing w:after="0" w:line="240" w:lineRule="auto"/>
              <w:rPr>
                <w:rFonts w:ascii="Times New Roman" w:hAnsi="Times New Roman"/>
                <w:sz w:val="24"/>
                <w:szCs w:val="24"/>
                <w:lang w:eastAsia="lv-LV"/>
              </w:rPr>
            </w:pPr>
            <w:r w:rsidRPr="00E06D38">
              <w:rPr>
                <w:rFonts w:ascii="Times New Roman" w:eastAsia="Times New Roman" w:hAnsi="Times New Roman" w:cs="Times New Roman"/>
                <w:iCs/>
                <w:sz w:val="24"/>
                <w:szCs w:val="24"/>
                <w:lang w:eastAsia="lv-LV"/>
              </w:rPr>
              <w:t>Mērķis, risinājums un projekta spēkā stāšanās laiks (500 zīmes bez atstarpēm)</w:t>
            </w:r>
          </w:p>
        </w:tc>
        <w:tc>
          <w:tcPr>
            <w:tcW w:w="3439" w:type="pct"/>
            <w:tcBorders>
              <w:top w:val="outset" w:sz="6" w:space="0" w:color="414142"/>
              <w:left w:val="outset" w:sz="6" w:space="0" w:color="414142"/>
              <w:bottom w:val="outset" w:sz="6" w:space="0" w:color="414142"/>
              <w:right w:val="outset" w:sz="6" w:space="0" w:color="414142"/>
            </w:tcBorders>
            <w:hideMark/>
          </w:tcPr>
          <w:p w14:paraId="7F36BD21" w14:textId="1F4A20B8" w:rsidR="00AA7BCC" w:rsidRPr="00E06D38" w:rsidRDefault="0082282C" w:rsidP="00F36861">
            <w:pPr>
              <w:pStyle w:val="naiskr"/>
              <w:spacing w:before="0" w:beforeAutospacing="0" w:after="0" w:afterAutospacing="0"/>
              <w:ind w:firstLine="217"/>
              <w:contextualSpacing/>
              <w:jc w:val="both"/>
            </w:pPr>
            <w:bookmarkStart w:id="0" w:name="_Hlk531355209"/>
            <w:r w:rsidRPr="00E06D38">
              <w:t xml:space="preserve">Likumprojekta mērķis ir novērst </w:t>
            </w:r>
            <w:r w:rsidR="00F76E4B">
              <w:t xml:space="preserve">konstatētās </w:t>
            </w:r>
            <w:r w:rsidRPr="00E06D38">
              <w:t>problēmas, piemērojot Energoefektivitātes likuma (turpmāk – Likums) normas attiecībā uz obligāto energoauditu veikšanu vai sertificētas energopārvaldības sistēmas ieviešanu lielajiem uzņēmumiem un lielajiem elektroenerģijas patērētājiem, kā arī nodrošināt Likumā</w:t>
            </w:r>
            <w:r w:rsidR="00F76E4B">
              <w:t xml:space="preserve"> ietverto</w:t>
            </w:r>
            <w:r w:rsidRPr="00E06D38">
              <w:t xml:space="preserve"> prasību ievērošanu, paredzot administratīvo atbildību </w:t>
            </w:r>
            <w:r w:rsidR="00F36861" w:rsidRPr="00E06D38">
              <w:t xml:space="preserve">lielajiem uzņēmumiem, energoefektivitātes pienākuma shēmas atbildīgajām pusēm un elektroenerģijas, gāzes un siltumenerģijas tirgotājiem. </w:t>
            </w:r>
          </w:p>
          <w:p w14:paraId="2498A740" w14:textId="16223CEF" w:rsidR="00542211" w:rsidRPr="00E06D38" w:rsidRDefault="00A50A21" w:rsidP="00AA7BCC">
            <w:pPr>
              <w:pStyle w:val="naiskr"/>
              <w:spacing w:before="0" w:beforeAutospacing="0" w:after="0" w:afterAutospacing="0"/>
              <w:ind w:firstLine="217"/>
              <w:contextualSpacing/>
              <w:jc w:val="both"/>
            </w:pPr>
            <w:r w:rsidRPr="00E06D38">
              <w:t>Likump</w:t>
            </w:r>
            <w:r w:rsidR="00AA7BCC" w:rsidRPr="00E06D38">
              <w:t>rojekta spēkā stāšanās laiks plānots 2019.gada otrajā pusē.</w:t>
            </w:r>
            <w:bookmarkEnd w:id="0"/>
          </w:p>
        </w:tc>
      </w:tr>
    </w:tbl>
    <w:p w14:paraId="52820B37" w14:textId="043B5E36" w:rsidR="00EE1DA9" w:rsidRPr="00E06D38" w:rsidRDefault="00EE1DA9" w:rsidP="00962D32">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53"/>
        <w:gridCol w:w="2807"/>
        <w:gridCol w:w="5795"/>
      </w:tblGrid>
      <w:tr w:rsidR="00EB70B8" w:rsidRPr="00E06D38" w14:paraId="3EABC7D1" w14:textId="77777777" w:rsidTr="0079359A">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D69200" w14:textId="77777777" w:rsidR="00894C55" w:rsidRPr="00E06D38" w:rsidRDefault="00894C55" w:rsidP="006146CD">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I.</w:t>
            </w:r>
            <w:r w:rsidR="0050178F"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izstrādes nepieciešamība</w:t>
            </w:r>
          </w:p>
        </w:tc>
      </w:tr>
      <w:tr w:rsidR="00BE10FA" w:rsidRPr="00E06D38" w14:paraId="0769BE41" w14:textId="77777777" w:rsidTr="0079359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1D7125"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78A7894" w14:textId="77777777" w:rsidR="00894C55" w:rsidRPr="00E06D38" w:rsidRDefault="00894C55" w:rsidP="00962D32">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AF295CD" w14:textId="6D2E8FBD" w:rsidR="00A40FE8" w:rsidRPr="00E06D38" w:rsidRDefault="00A40FE8" w:rsidP="0008357F">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Ministru kabineta 2018.gada 12.jūnija sēdes </w:t>
            </w:r>
            <w:r w:rsidR="00BD152E" w:rsidRPr="00E06D38">
              <w:rPr>
                <w:rFonts w:ascii="Times New Roman" w:eastAsia="Times New Roman" w:hAnsi="Times New Roman" w:cs="Times New Roman"/>
                <w:sz w:val="24"/>
                <w:szCs w:val="24"/>
                <w:lang w:eastAsia="lv-LV"/>
              </w:rPr>
              <w:t>protokollēmum</w:t>
            </w:r>
            <w:r w:rsidR="00792ADE" w:rsidRPr="00E06D38">
              <w:rPr>
                <w:rFonts w:ascii="Times New Roman" w:eastAsia="Times New Roman" w:hAnsi="Times New Roman" w:cs="Times New Roman"/>
                <w:sz w:val="24"/>
                <w:szCs w:val="24"/>
                <w:lang w:eastAsia="lv-LV"/>
              </w:rPr>
              <w:t xml:space="preserve">a </w:t>
            </w:r>
            <w:r w:rsidRPr="00E06D38">
              <w:rPr>
                <w:rFonts w:ascii="Times New Roman" w:eastAsia="Times New Roman" w:hAnsi="Times New Roman" w:cs="Times New Roman"/>
                <w:sz w:val="24"/>
                <w:szCs w:val="24"/>
                <w:lang w:eastAsia="lv-LV"/>
              </w:rPr>
              <w:t>(prot.Nr.28, 1.§.</w:t>
            </w:r>
            <w:r w:rsidR="00BD152E" w:rsidRPr="00E06D38">
              <w:rPr>
                <w:rFonts w:ascii="Times New Roman" w:eastAsia="Times New Roman" w:hAnsi="Times New Roman" w:cs="Times New Roman"/>
                <w:sz w:val="24"/>
                <w:szCs w:val="24"/>
                <w:lang w:eastAsia="lv-LV"/>
              </w:rPr>
              <w:t>)</w:t>
            </w:r>
            <w:r w:rsidR="00792ADE" w:rsidRPr="00E06D38">
              <w:rPr>
                <w:rFonts w:ascii="Times New Roman" w:eastAsia="Times New Roman" w:hAnsi="Times New Roman" w:cs="Times New Roman"/>
                <w:sz w:val="24"/>
                <w:szCs w:val="24"/>
                <w:lang w:eastAsia="lv-LV"/>
              </w:rPr>
              <w:t xml:space="preserve"> 2.punkts, kas</w:t>
            </w:r>
            <w:r w:rsidR="00635CBA" w:rsidRPr="00E06D38">
              <w:rPr>
                <w:rFonts w:ascii="Times New Roman" w:eastAsia="Times New Roman" w:hAnsi="Times New Roman" w:cs="Times New Roman"/>
                <w:sz w:val="24"/>
                <w:szCs w:val="24"/>
                <w:lang w:eastAsia="lv-LV"/>
              </w:rPr>
              <w:t xml:space="preserve"> paredz pienākumu</w:t>
            </w:r>
            <w:r w:rsidR="00792ADE" w:rsidRPr="00E06D38">
              <w:rPr>
                <w:rFonts w:ascii="Times New Roman" w:eastAsia="Times New Roman" w:hAnsi="Times New Roman" w:cs="Times New Roman"/>
                <w:sz w:val="24"/>
                <w:szCs w:val="24"/>
                <w:lang w:eastAsia="lv-LV"/>
              </w:rPr>
              <w:t xml:space="preserve"> Ekonomikas ministrijai </w:t>
            </w:r>
            <w:r w:rsidR="001E69FB" w:rsidRPr="00E06D38">
              <w:rPr>
                <w:rFonts w:ascii="Times New Roman" w:eastAsia="Times New Roman" w:hAnsi="Times New Roman" w:cs="Times New Roman"/>
                <w:sz w:val="24"/>
                <w:szCs w:val="24"/>
                <w:lang w:eastAsia="lv-LV"/>
              </w:rPr>
              <w:t xml:space="preserve">(turpmāk – EM) </w:t>
            </w:r>
            <w:r w:rsidR="00792ADE" w:rsidRPr="00E06D38">
              <w:rPr>
                <w:rFonts w:ascii="Times New Roman" w:eastAsia="Times New Roman" w:hAnsi="Times New Roman" w:cs="Times New Roman"/>
                <w:sz w:val="24"/>
                <w:szCs w:val="24"/>
                <w:lang w:eastAsia="lv-LV"/>
              </w:rPr>
              <w:t xml:space="preserve">izvērtēt nepieciešamību savstarpēji saskaņot Energoefektivitātes likuma </w:t>
            </w:r>
            <w:r w:rsidR="00BD4986" w:rsidRPr="00E06D38">
              <w:rPr>
                <w:rFonts w:ascii="Times New Roman" w:eastAsia="Times New Roman" w:hAnsi="Times New Roman" w:cs="Times New Roman"/>
                <w:sz w:val="24"/>
                <w:szCs w:val="24"/>
                <w:lang w:eastAsia="lv-LV"/>
              </w:rPr>
              <w:t xml:space="preserve">(turpmāk – Likums) </w:t>
            </w:r>
            <w:r w:rsidR="00792ADE" w:rsidRPr="00E06D38">
              <w:rPr>
                <w:rFonts w:ascii="Times New Roman" w:eastAsia="Times New Roman" w:hAnsi="Times New Roman" w:cs="Times New Roman"/>
                <w:sz w:val="24"/>
                <w:szCs w:val="24"/>
                <w:lang w:eastAsia="lv-LV"/>
              </w:rPr>
              <w:t>un Ēku energoefektivitātes likuma tiesību normas, novēršot to iespējamās kolīzijas, un ekonomikas ministram līdz 2019.gada 1.septembrim iesniegt Ministru kabinetā attiecīgus tiesību aktu projektus.</w:t>
            </w:r>
          </w:p>
        </w:tc>
      </w:tr>
      <w:tr w:rsidR="00BE10FA" w:rsidRPr="00E06D38" w14:paraId="46BE19B7" w14:textId="77777777" w:rsidTr="0079359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EB482D9"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838CA49" w14:textId="753B906A" w:rsidR="00894C55" w:rsidRPr="00E06D38" w:rsidRDefault="00894C55" w:rsidP="0079359A">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70014E0" w14:textId="09160496" w:rsidR="00C815AD" w:rsidRPr="00E06D38" w:rsidRDefault="00C815AD"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Likums stājās spēkā 2016.gada 29.martā. Likuma normu piemērošanas laikā ir konstatēti vairāki </w:t>
            </w:r>
            <w:proofErr w:type="spellStart"/>
            <w:r w:rsidRPr="00E06D38">
              <w:rPr>
                <w:rFonts w:ascii="Times New Roman" w:eastAsia="Times New Roman" w:hAnsi="Times New Roman" w:cs="Times New Roman"/>
                <w:sz w:val="24"/>
                <w:szCs w:val="24"/>
                <w:lang w:eastAsia="lv-LV"/>
              </w:rPr>
              <w:t>problēmjautājumi</w:t>
            </w:r>
            <w:proofErr w:type="spellEnd"/>
            <w:r w:rsidRPr="00E06D38">
              <w:rPr>
                <w:rFonts w:ascii="Times New Roman" w:eastAsia="Times New Roman" w:hAnsi="Times New Roman" w:cs="Times New Roman"/>
                <w:sz w:val="24"/>
                <w:szCs w:val="24"/>
                <w:lang w:eastAsia="lv-LV"/>
              </w:rPr>
              <w:t xml:space="preserve"> un neprecizitātes, kuru atrisināšanai ir nepieciešami Likuma grozījumi. </w:t>
            </w:r>
          </w:p>
          <w:p w14:paraId="792D89F9" w14:textId="2CBA9708" w:rsidR="00C815AD" w:rsidRPr="00E06D38" w:rsidRDefault="00C815AD"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Likuma 17.pants, kas paredz Latvijas Administratīvo pārkāpumu kodeksā noteikt administratīvo atbildību, vairs neatbilst reālajai situācijai, jo 2020.gada 1.janvārī stāsies spēkā Administratīvās atbildības likums.</w:t>
            </w:r>
          </w:p>
          <w:p w14:paraId="631302ED" w14:textId="09D16C8F" w:rsidR="00C815AD" w:rsidRPr="00E06D38" w:rsidRDefault="00C815AD"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Likumprojekts “Grozījumi Energoefektivitātes likumā” (turpmāk – Likumprojekts) veicinās Likuma 6., 10. 12. un 16.pantā noteikto pasākumu ieviešanu, kas ir nepieciešami, lai izpildītu valsts saistības (obligāto energoefektivitātes mērķi) – līdz 2020.gadam nodrošināt kumulatīvu gala enerģijas ietaupījumu 9896 GWh apjomā.</w:t>
            </w:r>
          </w:p>
          <w:p w14:paraId="60F649A3" w14:textId="77777777" w:rsidR="006C2B21" w:rsidRPr="00E06D38" w:rsidRDefault="006C2B21" w:rsidP="0025743B">
            <w:pPr>
              <w:pStyle w:val="naiskr"/>
              <w:spacing w:before="0" w:beforeAutospacing="0" w:after="0" w:afterAutospacing="0"/>
              <w:ind w:firstLine="217"/>
              <w:contextualSpacing/>
              <w:jc w:val="both"/>
            </w:pPr>
          </w:p>
          <w:p w14:paraId="7BC9F9D7" w14:textId="54086422" w:rsidR="00EB51BF" w:rsidRPr="00E06D38" w:rsidRDefault="00EB51BF" w:rsidP="0025743B">
            <w:pPr>
              <w:pStyle w:val="naiskr"/>
              <w:spacing w:before="0" w:beforeAutospacing="0" w:after="0" w:afterAutospacing="0"/>
              <w:ind w:firstLine="217"/>
              <w:contextualSpacing/>
              <w:jc w:val="both"/>
            </w:pPr>
            <w:r w:rsidRPr="00E06D38">
              <w:t xml:space="preserve">Likumprojekta mērķis ir </w:t>
            </w:r>
            <w:r w:rsidR="00C348D9" w:rsidRPr="00E06D38">
              <w:t>novērst Likuma normu piemērošanas procesā konstatētās problēmas, kā arī nodrošināt Likumā</w:t>
            </w:r>
            <w:r w:rsidR="00256B0A" w:rsidRPr="00E06D38">
              <w:t xml:space="preserve"> prasības</w:t>
            </w:r>
            <w:r w:rsidRPr="00E06D38">
              <w:t xml:space="preserve"> attiecībā uz admini</w:t>
            </w:r>
            <w:r w:rsidR="00C348D9" w:rsidRPr="00E06D38">
              <w:t>stratīvās atbildības noteikšanu un</w:t>
            </w:r>
            <w:r w:rsidRPr="00E06D38">
              <w:t xml:space="preserve"> ieviešanu.</w:t>
            </w:r>
          </w:p>
          <w:p w14:paraId="53324CDD" w14:textId="423E67D7" w:rsidR="009F2BFE" w:rsidRPr="00E06D38" w:rsidRDefault="00256B0A" w:rsidP="0025743B">
            <w:pPr>
              <w:pStyle w:val="naiskr"/>
              <w:spacing w:before="0" w:beforeAutospacing="0" w:after="0" w:afterAutospacing="0"/>
              <w:ind w:firstLine="217"/>
              <w:contextualSpacing/>
              <w:jc w:val="both"/>
            </w:pPr>
            <w:r w:rsidRPr="00E06D38">
              <w:t>Likumprojektā</w:t>
            </w:r>
            <w:r w:rsidR="009F2BFE" w:rsidRPr="00E06D38">
              <w:t xml:space="preserve"> ir iekļauta prasība atbildīgajai ministrijai katru gadu publicēt tiešās pārvaldes iestāžu īpašumā un lietojumā esošo ēku sarakstu, kuru apkurināmā platība ir </w:t>
            </w:r>
            <w:r w:rsidR="009F2BFE" w:rsidRPr="00E06D38">
              <w:lastRenderedPageBreak/>
              <w:t>250 m</w:t>
            </w:r>
            <w:r w:rsidR="009F2BFE" w:rsidRPr="00E06D38">
              <w:rPr>
                <w:vertAlign w:val="superscript"/>
              </w:rPr>
              <w:t>2</w:t>
            </w:r>
            <w:r w:rsidR="009F2BFE" w:rsidRPr="00E06D38">
              <w:t xml:space="preserve"> un lielāka, un kuras uz katra gada 1.janvāri neatbilst minimālajām energoefektivitātes prasībām, kas noteiktas normatīvajos aktos pa</w:t>
            </w:r>
            <w:r w:rsidR="00AA47CB" w:rsidRPr="00E06D38">
              <w:t>r ēku energoefektivitāti. Minētā prasība</w:t>
            </w:r>
            <w:r w:rsidR="009F2BFE" w:rsidRPr="00E06D38">
              <w:t xml:space="preserve"> par saraksta izveidošanu un publicēšanu </w:t>
            </w:r>
            <w:r w:rsidR="00AA47CB" w:rsidRPr="00E06D38">
              <w:t>ir noteikta</w:t>
            </w:r>
            <w:r w:rsidR="009F2BFE" w:rsidRPr="00E06D38">
              <w:t xml:space="preserve"> Eiropas Parlamenta un Padomes Direktīvas 2012/27/ES par energoefektivitāti, ar ko groza Direktīvas 2009/125/EK un 2010/30/EK un atceļ Direktīvas 2004/8/EK un 2006/32/EK (turpmāk – Direktīva 2012/27/ES) </w:t>
            </w:r>
            <w:r w:rsidR="00AA47CB" w:rsidRPr="00E06D38">
              <w:t xml:space="preserve">5.panta </w:t>
            </w:r>
            <w:r w:rsidR="00C43292" w:rsidRPr="00E06D38">
              <w:t>5.</w:t>
            </w:r>
            <w:r w:rsidR="00AA47CB" w:rsidRPr="00E06D38">
              <w:t>punktā un līdz šim normatīvajos aktos nebija ietverta.</w:t>
            </w:r>
          </w:p>
          <w:p w14:paraId="28E4FC56" w14:textId="77777777" w:rsidR="00AA47CB" w:rsidRPr="00E06D38" w:rsidRDefault="00AA47CB" w:rsidP="0025743B">
            <w:pPr>
              <w:pStyle w:val="naiskr"/>
              <w:spacing w:before="0" w:beforeAutospacing="0" w:after="0" w:afterAutospacing="0"/>
              <w:ind w:firstLine="217"/>
              <w:contextualSpacing/>
              <w:jc w:val="both"/>
            </w:pPr>
          </w:p>
          <w:p w14:paraId="281D1940" w14:textId="1F5EB90A" w:rsidR="005004CA" w:rsidRPr="00E06D38" w:rsidRDefault="005004CA" w:rsidP="0025743B">
            <w:pPr>
              <w:pStyle w:val="naiskr"/>
              <w:spacing w:before="0" w:beforeAutospacing="0" w:after="0" w:afterAutospacing="0"/>
              <w:ind w:firstLine="217"/>
              <w:contextualSpacing/>
              <w:jc w:val="both"/>
            </w:pPr>
            <w:r w:rsidRPr="00E06D38">
              <w:t xml:space="preserve">Likumprojektā ir iekļauta jauna </w:t>
            </w:r>
            <w:r w:rsidR="00F76E4B">
              <w:t xml:space="preserve">tiesību </w:t>
            </w:r>
            <w:r w:rsidRPr="00E06D38">
              <w:t>norma, kas nosaka, ka atbildīgā ministrija izstrādā un ievieš pasākumus, lai nodrošinātu, ka katru gadu tiek renovēti vismaz 3</w:t>
            </w:r>
            <w:r w:rsidR="002071CD" w:rsidRPr="00E06D38">
              <w:t xml:space="preserve"> procenti</w:t>
            </w:r>
            <w:r w:rsidRPr="00E06D38">
              <w:t xml:space="preserve"> no</w:t>
            </w:r>
            <w:r w:rsidR="0079359A" w:rsidRPr="00E06D38">
              <w:t xml:space="preserve"> </w:t>
            </w:r>
            <w:r w:rsidRPr="00E06D38">
              <w:t>šā panta septītās daļas 5.punktā minētajā sarakstā iekļautajām ēkām. Minētā norma atbilst Direktīvas 2012/27/ES 5.panta prasībām</w:t>
            </w:r>
            <w:r w:rsidR="00AA47CB" w:rsidRPr="00E06D38">
              <w:t xml:space="preserve"> un, l</w:t>
            </w:r>
            <w:r w:rsidRPr="00E06D38">
              <w:t>ai nodrošinātu, ka katru gadu tiek renovēti vismaz 3</w:t>
            </w:r>
            <w:r w:rsidR="002071CD" w:rsidRPr="00E06D38">
              <w:t xml:space="preserve"> procenti</w:t>
            </w:r>
            <w:r w:rsidRPr="00E06D38">
              <w:t xml:space="preserve"> no tiešās pārvaldes iestāžu īpašumā un lietojumā esošo ēku saraksta ēkām, ir pieejama darbības programmas “Izaugsme un nodarbinātība” 4.2.1 specifiskā atbalsta mērķa “Veicināt energoefektivitātes paaugstināšanu valsts un dzīvojamās ēkās</w:t>
            </w:r>
            <w:r w:rsidR="002071CD" w:rsidRPr="00E06D38">
              <w:t>”</w:t>
            </w:r>
            <w:r w:rsidRPr="00E06D38">
              <w:t xml:space="preserve"> 4.2.1.2. pasākuma “Veicināt energoefektivitātes paaugstināšanu valsts ēkās</w:t>
            </w:r>
            <w:r w:rsidR="002071CD" w:rsidRPr="00E06D38">
              <w:t>”</w:t>
            </w:r>
            <w:r w:rsidRPr="00E06D38">
              <w:t xml:space="preserve"> </w:t>
            </w:r>
            <w:r w:rsidR="00325440" w:rsidRPr="00E06D38">
              <w:t>pieejamais finansējums ir 76 693 686 euro.</w:t>
            </w:r>
          </w:p>
          <w:p w14:paraId="0F2489A1" w14:textId="2B5304AD" w:rsidR="00AA47CB" w:rsidRPr="00E06D38" w:rsidRDefault="00AA47CB" w:rsidP="0025743B">
            <w:pPr>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 xml:space="preserve">Pašlaik </w:t>
            </w:r>
            <w:r w:rsidR="003201C3" w:rsidRPr="00E06D38">
              <w:rPr>
                <w:rFonts w:ascii="Times New Roman" w:hAnsi="Times New Roman" w:cs="Times New Roman"/>
                <w:sz w:val="24"/>
                <w:szCs w:val="24"/>
              </w:rPr>
              <w:t>likumprojekta “Energoefektivitātes likums” anotācijā</w:t>
            </w:r>
            <w:r w:rsidR="003201C3" w:rsidRPr="00E06D38">
              <w:rPr>
                <w:rStyle w:val="FootnoteReference"/>
                <w:rFonts w:ascii="Times New Roman" w:hAnsi="Times New Roman" w:cs="Times New Roman"/>
                <w:sz w:val="24"/>
                <w:szCs w:val="24"/>
              </w:rPr>
              <w:footnoteReference w:id="1"/>
            </w:r>
            <w:r w:rsidRPr="00E06D38">
              <w:rPr>
                <w:rFonts w:ascii="Times New Roman" w:hAnsi="Times New Roman" w:cs="Times New Roman"/>
                <w:sz w:val="24"/>
                <w:szCs w:val="24"/>
              </w:rPr>
              <w:t xml:space="preserve"> ir </w:t>
            </w:r>
            <w:r w:rsidR="0080310C" w:rsidRPr="00E06D38">
              <w:rPr>
                <w:rFonts w:ascii="Times New Roman" w:hAnsi="Times New Roman" w:cs="Times New Roman"/>
                <w:sz w:val="24"/>
                <w:szCs w:val="24"/>
              </w:rPr>
              <w:t>norādīts</w:t>
            </w:r>
            <w:r w:rsidRPr="00E06D38">
              <w:rPr>
                <w:rFonts w:ascii="Times New Roman" w:hAnsi="Times New Roman" w:cs="Times New Roman"/>
                <w:sz w:val="24"/>
                <w:szCs w:val="24"/>
              </w:rPr>
              <w:t xml:space="preserve">, ka </w:t>
            </w:r>
            <w:r w:rsidR="002071CD" w:rsidRPr="00E06D38">
              <w:rPr>
                <w:rFonts w:ascii="Times New Roman" w:hAnsi="Times New Roman" w:cs="Times New Roman"/>
                <w:sz w:val="24"/>
                <w:szCs w:val="24"/>
              </w:rPr>
              <w:t>Direktīvas 2012/27/ES</w:t>
            </w:r>
            <w:r w:rsidR="002071CD" w:rsidRPr="00E06D38" w:rsidDel="002071CD">
              <w:rPr>
                <w:rFonts w:ascii="Times New Roman" w:hAnsi="Times New Roman" w:cs="Times New Roman"/>
                <w:sz w:val="24"/>
                <w:szCs w:val="24"/>
              </w:rPr>
              <w:t xml:space="preserve"> </w:t>
            </w:r>
            <w:r w:rsidRPr="00E06D38">
              <w:rPr>
                <w:rFonts w:ascii="Times New Roman" w:hAnsi="Times New Roman" w:cs="Times New Roman"/>
                <w:sz w:val="24"/>
                <w:szCs w:val="24"/>
              </w:rPr>
              <w:t xml:space="preserve">5.pants pārņemts ar EM mājas lapā publicēto valsts ēku sarakstu un plānošanas dokumentu “Darbības programma Izaugsme un nodarbinātība”, kas paredz veidot valsts ēku renovācijas programmu. Saskaņā ar juristu sniegto skaidrojumu, direktīvas normas var pārņemt tikai ar normatīvajiem aktiem, nevis plānošanas dokumentiem un atsevišķām publikācijām. Tāpēc nepieciešams </w:t>
            </w:r>
            <w:r w:rsidR="00CA1E17">
              <w:rPr>
                <w:rFonts w:ascii="Times New Roman" w:hAnsi="Times New Roman" w:cs="Times New Roman"/>
                <w:sz w:val="24"/>
                <w:szCs w:val="24"/>
              </w:rPr>
              <w:t>L</w:t>
            </w:r>
            <w:r w:rsidRPr="00E06D38">
              <w:rPr>
                <w:rFonts w:ascii="Times New Roman" w:hAnsi="Times New Roman" w:cs="Times New Roman"/>
                <w:sz w:val="24"/>
                <w:szCs w:val="24"/>
              </w:rPr>
              <w:t xml:space="preserve">ikumu papildināt ar atbildīgās ministrijas uzdevumiem, kas nodrošinātu </w:t>
            </w:r>
            <w:r w:rsidR="00AF345F" w:rsidRPr="00E06D38">
              <w:rPr>
                <w:rFonts w:ascii="Times New Roman" w:hAnsi="Times New Roman" w:cs="Times New Roman"/>
                <w:sz w:val="24"/>
                <w:szCs w:val="24"/>
              </w:rPr>
              <w:t>Direktīvas 2012/27/ES</w:t>
            </w:r>
            <w:r w:rsidR="00AF345F" w:rsidRPr="00E06D38" w:rsidDel="00AF345F">
              <w:rPr>
                <w:rFonts w:ascii="Times New Roman" w:hAnsi="Times New Roman" w:cs="Times New Roman"/>
                <w:sz w:val="24"/>
                <w:szCs w:val="24"/>
              </w:rPr>
              <w:t xml:space="preserve"> </w:t>
            </w:r>
            <w:r w:rsidRPr="00E06D38">
              <w:rPr>
                <w:rFonts w:ascii="Times New Roman" w:hAnsi="Times New Roman" w:cs="Times New Roman"/>
                <w:sz w:val="24"/>
                <w:szCs w:val="24"/>
              </w:rPr>
              <w:t>5.pantā noteikto pienākumu noteikšanu normatīvajā aktā.</w:t>
            </w:r>
          </w:p>
          <w:p w14:paraId="53CFD75F" w14:textId="63845C76" w:rsidR="00F64A6C" w:rsidRPr="00E06D38" w:rsidRDefault="00F64A6C" w:rsidP="0025743B">
            <w:pPr>
              <w:pStyle w:val="naiskr"/>
              <w:spacing w:before="0" w:beforeAutospacing="0" w:after="0" w:afterAutospacing="0"/>
              <w:ind w:firstLine="217"/>
              <w:contextualSpacing/>
              <w:jc w:val="both"/>
            </w:pPr>
          </w:p>
          <w:p w14:paraId="15D818D9" w14:textId="65B74E16" w:rsidR="009A2051" w:rsidRPr="00E06D38" w:rsidRDefault="00F64A6C" w:rsidP="0025743B">
            <w:pPr>
              <w:pStyle w:val="naiskr"/>
              <w:spacing w:before="0" w:beforeAutospacing="0" w:after="0" w:afterAutospacing="0"/>
              <w:ind w:firstLine="217"/>
              <w:contextualSpacing/>
              <w:jc w:val="both"/>
            </w:pPr>
            <w:r w:rsidRPr="00E06D38">
              <w:t xml:space="preserve">Likuma 5.panta sestajā daļā šobrīd ir noteikts, ka pašvaldībām, kuru pienākums atbilstoši </w:t>
            </w:r>
            <w:r w:rsidR="00AA47CB" w:rsidRPr="00E06D38">
              <w:t>L</w:t>
            </w:r>
            <w:r w:rsidRPr="00E06D38">
              <w:t>ikuma noteikumiem ir ieviest energopārvaldības sistēmu un kuras šo pienākumu ir izpildījušas, palielina atbilstoši kvalitātes vērtēšanas kritērijiem maksim</w:t>
            </w:r>
            <w:r w:rsidR="009A2051" w:rsidRPr="00E06D38">
              <w:t>āli iegūstamo punktu skaitu. Tā kā Latvijā ir vairākas pašvaldības, kas energopārvaldības sistēmu ir ieviesušas brīvprātīgi, tad, lai veicinātu energopārvaldības sistēmu brīvprātīgu ieviešanu, Likumprojektā ir iekļauta norma, ka visām pašvaldībām, kuras ir</w:t>
            </w:r>
            <w:r w:rsidR="0079359A" w:rsidRPr="00E06D38">
              <w:t xml:space="preserve"> </w:t>
            </w:r>
            <w:r w:rsidR="009A2051" w:rsidRPr="00E06D38">
              <w:t xml:space="preserve">ieviesušas energopārvaldību palielina atbilstoši kvalitātes vērtēšanas kritērijiem maksimāli iegūstamo </w:t>
            </w:r>
            <w:r w:rsidR="009A2051" w:rsidRPr="00E06D38">
              <w:lastRenderedPageBreak/>
              <w:t>punktu skaitu, iev</w:t>
            </w:r>
            <w:r w:rsidR="00AA47CB" w:rsidRPr="00E06D38">
              <w:t>ērojot</w:t>
            </w:r>
            <w:r w:rsidR="009A2051" w:rsidRPr="00E06D38">
              <w:t xml:space="preserve"> kārtību, kādu nosaka normatīvais akts par attiecīgā finansējuma piešķiršanu.</w:t>
            </w:r>
          </w:p>
          <w:p w14:paraId="15101C14" w14:textId="77777777" w:rsidR="009A2051" w:rsidRPr="00E06D38" w:rsidRDefault="009A2051" w:rsidP="0025743B">
            <w:pPr>
              <w:pStyle w:val="naiskr"/>
              <w:spacing w:before="0" w:beforeAutospacing="0" w:after="0" w:afterAutospacing="0"/>
              <w:ind w:firstLine="217"/>
              <w:contextualSpacing/>
              <w:jc w:val="both"/>
            </w:pPr>
          </w:p>
          <w:p w14:paraId="4EA6334C" w14:textId="4017A6A8" w:rsidR="009A2051" w:rsidRPr="00E06D38" w:rsidRDefault="009A2051" w:rsidP="0025743B">
            <w:pPr>
              <w:pStyle w:val="NoSpacing"/>
              <w:ind w:firstLine="217"/>
              <w:contextualSpacing/>
              <w:rPr>
                <w:sz w:val="24"/>
                <w:szCs w:val="24"/>
              </w:rPr>
            </w:pPr>
            <w:r w:rsidRPr="00E06D38">
              <w:rPr>
                <w:sz w:val="24"/>
                <w:szCs w:val="24"/>
              </w:rPr>
              <w:t>Likum</w:t>
            </w:r>
            <w:r w:rsidR="00051D8D" w:rsidRPr="00E06D38">
              <w:rPr>
                <w:sz w:val="24"/>
                <w:szCs w:val="24"/>
              </w:rPr>
              <w:t>projektā ir iekļauts priekšlikums</w:t>
            </w:r>
            <w:r w:rsidRPr="00E06D38">
              <w:rPr>
                <w:sz w:val="24"/>
                <w:szCs w:val="24"/>
              </w:rPr>
              <w:t xml:space="preserve"> 10.panta otr</w:t>
            </w:r>
            <w:r w:rsidR="003A05EC" w:rsidRPr="00E06D38">
              <w:rPr>
                <w:sz w:val="24"/>
                <w:szCs w:val="24"/>
              </w:rPr>
              <w:t>o</w:t>
            </w:r>
            <w:r w:rsidRPr="00E06D38">
              <w:rPr>
                <w:sz w:val="24"/>
                <w:szCs w:val="24"/>
              </w:rPr>
              <w:t xml:space="preserve"> daļ</w:t>
            </w:r>
            <w:r w:rsidR="00051D8D" w:rsidRPr="00E06D38">
              <w:rPr>
                <w:sz w:val="24"/>
                <w:szCs w:val="24"/>
              </w:rPr>
              <w:t>u papildināt</w:t>
            </w:r>
            <w:r w:rsidRPr="00E06D38">
              <w:rPr>
                <w:sz w:val="24"/>
                <w:szCs w:val="24"/>
              </w:rPr>
              <w:t xml:space="preserve"> ar</w:t>
            </w:r>
            <w:r w:rsidR="0079359A" w:rsidRPr="00E06D38">
              <w:rPr>
                <w:sz w:val="24"/>
                <w:szCs w:val="24"/>
              </w:rPr>
              <w:t xml:space="preserve"> </w:t>
            </w:r>
            <w:r w:rsidRPr="00E06D38">
              <w:rPr>
                <w:sz w:val="24"/>
                <w:szCs w:val="24"/>
              </w:rPr>
              <w:t>nosacījumu lielo uzņēmumu izslēgšanai no lielo uzņēmumu saraksta, kas līdz šim Likumā nebija iekļauts.</w:t>
            </w:r>
            <w:r w:rsidR="00051D8D" w:rsidRPr="00E06D38">
              <w:rPr>
                <w:sz w:val="24"/>
                <w:szCs w:val="24"/>
              </w:rPr>
              <w:t xml:space="preserve"> </w:t>
            </w:r>
            <w:r w:rsidR="001B67E8" w:rsidRPr="00E06D38">
              <w:rPr>
                <w:sz w:val="24"/>
                <w:szCs w:val="24"/>
              </w:rPr>
              <w:t xml:space="preserve">Uzņēmums tiek izslēgts no lielo uzņēmumu saraksta gadījumā, ja tas neatbilst lielā uzņēmuma kritērijiem divos pārskata periodos pēc kārtas. Minētā norma ir saskaņota ar Likuma 10.panta otrajā daļā </w:t>
            </w:r>
            <w:r w:rsidR="003A05EC" w:rsidRPr="00E06D38">
              <w:rPr>
                <w:sz w:val="24"/>
                <w:szCs w:val="24"/>
              </w:rPr>
              <w:t>iekļauto nosacījumu</w:t>
            </w:r>
            <w:r w:rsidR="001B67E8" w:rsidRPr="00E06D38">
              <w:rPr>
                <w:sz w:val="24"/>
                <w:szCs w:val="24"/>
              </w:rPr>
              <w:t xml:space="preserve">, ka </w:t>
            </w:r>
            <w:r w:rsidR="000537AB" w:rsidRPr="00E06D38">
              <w:rPr>
                <w:sz w:val="24"/>
                <w:szCs w:val="24"/>
                <w:lang w:eastAsia="lv-LV"/>
              </w:rPr>
              <w:t>u</w:t>
            </w:r>
            <w:r w:rsidR="001B67E8" w:rsidRPr="00E06D38">
              <w:rPr>
                <w:sz w:val="24"/>
                <w:szCs w:val="24"/>
                <w:lang w:eastAsia="lv-LV"/>
              </w:rPr>
              <w:t>zņēmums tiek iekļauts lielo uzņēmumu sarakstā, ja tas divos pārskata periodos pēc kārtas atbilst lielā uzņēmuma kritērijiem.</w:t>
            </w:r>
          </w:p>
          <w:p w14:paraId="3C082F15" w14:textId="44742BE4" w:rsidR="003552B6" w:rsidRPr="00E06D38" w:rsidRDefault="003552B6"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Saistībā ar grozījum</w:t>
            </w:r>
            <w:r w:rsidR="00BC378B" w:rsidRPr="00E06D38">
              <w:rPr>
                <w:b w:val="0"/>
                <w:sz w:val="24"/>
                <w:szCs w:val="24"/>
              </w:rPr>
              <w:t>u pieņemšanu</w:t>
            </w:r>
            <w:r w:rsidRPr="00E06D38">
              <w:rPr>
                <w:b w:val="0"/>
                <w:sz w:val="24"/>
                <w:szCs w:val="24"/>
              </w:rPr>
              <w:t xml:space="preserve"> Ministru kabineta noteikumos Nr.</w:t>
            </w:r>
            <w:r w:rsidR="00BC378B" w:rsidRPr="00E06D38">
              <w:rPr>
                <w:b w:val="0"/>
                <w:sz w:val="24"/>
                <w:szCs w:val="24"/>
              </w:rPr>
              <w:t>487 ”Uzņēmumu energoaudita noteikumi”,</w:t>
            </w:r>
            <w:r w:rsidRPr="00E06D38">
              <w:rPr>
                <w:b w:val="0"/>
                <w:sz w:val="24"/>
                <w:szCs w:val="24"/>
              </w:rPr>
              <w:t xml:space="preserve"> Ministru kabineta 2018.gada 12.jūnija sēdes protokol</w:t>
            </w:r>
            <w:r w:rsidR="004A5ACF" w:rsidRPr="00E06D38">
              <w:rPr>
                <w:b w:val="0"/>
                <w:sz w:val="24"/>
                <w:szCs w:val="24"/>
              </w:rPr>
              <w:t>lēmuma</w:t>
            </w:r>
            <w:r w:rsidRPr="00E06D38">
              <w:rPr>
                <w:b w:val="0"/>
                <w:sz w:val="24"/>
                <w:szCs w:val="24"/>
              </w:rPr>
              <w:t xml:space="preserve"> </w:t>
            </w:r>
            <w:r w:rsidR="00F138E8" w:rsidRPr="00E06D38">
              <w:rPr>
                <w:b w:val="0"/>
                <w:sz w:val="24"/>
                <w:szCs w:val="24"/>
              </w:rPr>
              <w:t xml:space="preserve">(prot.Nr.28, 1.§.) </w:t>
            </w:r>
            <w:r w:rsidR="004A5ACF" w:rsidRPr="00E06D38">
              <w:rPr>
                <w:b w:val="0"/>
                <w:sz w:val="24"/>
                <w:szCs w:val="24"/>
              </w:rPr>
              <w:t xml:space="preserve">2.punktā </w:t>
            </w:r>
            <w:r w:rsidR="00BC378B" w:rsidRPr="00E06D38">
              <w:rPr>
                <w:b w:val="0"/>
                <w:sz w:val="24"/>
                <w:szCs w:val="24"/>
              </w:rPr>
              <w:t xml:space="preserve">tika noteikts, </w:t>
            </w:r>
            <w:r w:rsidRPr="00E06D38">
              <w:rPr>
                <w:b w:val="0"/>
                <w:sz w:val="24"/>
                <w:szCs w:val="24"/>
              </w:rPr>
              <w:t xml:space="preserve">ka </w:t>
            </w:r>
            <w:r w:rsidR="001B67E8" w:rsidRPr="00E06D38">
              <w:rPr>
                <w:b w:val="0"/>
                <w:sz w:val="24"/>
                <w:szCs w:val="24"/>
              </w:rPr>
              <w:t>EM</w:t>
            </w:r>
            <w:r w:rsidR="00F332DF" w:rsidRPr="00E06D38">
              <w:rPr>
                <w:b w:val="0"/>
                <w:sz w:val="24"/>
                <w:szCs w:val="24"/>
              </w:rPr>
              <w:t xml:space="preserve"> </w:t>
            </w:r>
            <w:r w:rsidR="00A13E56" w:rsidRPr="00E06D38">
              <w:rPr>
                <w:b w:val="0"/>
                <w:sz w:val="24"/>
                <w:szCs w:val="24"/>
              </w:rPr>
              <w:t xml:space="preserve">ir </w:t>
            </w:r>
            <w:r w:rsidRPr="00E06D38">
              <w:rPr>
                <w:b w:val="0"/>
                <w:sz w:val="24"/>
                <w:szCs w:val="24"/>
              </w:rPr>
              <w:t xml:space="preserve">jāizvērtē nepieciešamību savstarpēji saskaņot </w:t>
            </w:r>
            <w:r w:rsidR="00A13E56" w:rsidRPr="00E06D38">
              <w:rPr>
                <w:b w:val="0"/>
                <w:sz w:val="24"/>
                <w:szCs w:val="24"/>
              </w:rPr>
              <w:t>L</w:t>
            </w:r>
            <w:r w:rsidRPr="00E06D38">
              <w:rPr>
                <w:b w:val="0"/>
                <w:sz w:val="24"/>
                <w:szCs w:val="24"/>
              </w:rPr>
              <w:t xml:space="preserve">ikuma un Ēku energoefektivitātes likuma normas, novēršot to iespējamās kolīzijas, un ekonomikas ministram līdz 2019.gada 1.septembrim iesniegt Ministru kabinetā attiecīgus tiesību aktu projektus, </w:t>
            </w:r>
            <w:r w:rsidR="002D75F4" w:rsidRPr="00E06D38">
              <w:rPr>
                <w:b w:val="0"/>
                <w:sz w:val="24"/>
                <w:szCs w:val="24"/>
              </w:rPr>
              <w:t xml:space="preserve">Likuma </w:t>
            </w:r>
            <w:r w:rsidRPr="00E06D38">
              <w:rPr>
                <w:b w:val="0"/>
                <w:sz w:val="24"/>
                <w:szCs w:val="24"/>
              </w:rPr>
              <w:t xml:space="preserve">10.pants </w:t>
            </w:r>
            <w:r w:rsidR="002D75F4" w:rsidRPr="00E06D38">
              <w:rPr>
                <w:b w:val="0"/>
                <w:sz w:val="24"/>
                <w:szCs w:val="24"/>
              </w:rPr>
              <w:t>ir papildināts</w:t>
            </w:r>
            <w:r w:rsidRPr="00E06D38">
              <w:rPr>
                <w:b w:val="0"/>
                <w:sz w:val="24"/>
                <w:szCs w:val="24"/>
              </w:rPr>
              <w:t xml:space="preserve"> ar </w:t>
            </w:r>
            <w:r w:rsidR="00BC378B" w:rsidRPr="00E06D38">
              <w:rPr>
                <w:b w:val="0"/>
                <w:sz w:val="24"/>
                <w:szCs w:val="24"/>
              </w:rPr>
              <w:t>jaunu daļu, kurā norādīts, kuros gadījumos energoauditu lielajos uzņēmumos ir tiesīgs veikt neatkarīgs eksperts ēku energoefektivitātes jomā.</w:t>
            </w:r>
          </w:p>
          <w:p w14:paraId="7C597F6B" w14:textId="37C4A88A" w:rsidR="002D75F4" w:rsidRPr="00E06D38" w:rsidRDefault="002D75F4"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 xml:space="preserve">Praksē vairākkārtīgi no lielo uzņēmumu puses ir izskanējis jautājums par to, </w:t>
            </w:r>
            <w:r w:rsidR="004A2BD7" w:rsidRPr="00E06D38">
              <w:rPr>
                <w:b w:val="0"/>
                <w:sz w:val="24"/>
                <w:szCs w:val="24"/>
              </w:rPr>
              <w:t xml:space="preserve">līdz kādam termiņam ir jāveic otrs obligātais energoaudits, jo Likumā tāds </w:t>
            </w:r>
            <w:r w:rsidR="001B67E8" w:rsidRPr="00E06D38">
              <w:rPr>
                <w:b w:val="0"/>
                <w:sz w:val="24"/>
                <w:szCs w:val="24"/>
              </w:rPr>
              <w:t>nav</w:t>
            </w:r>
            <w:r w:rsidR="004A2BD7" w:rsidRPr="00E06D38">
              <w:rPr>
                <w:b w:val="0"/>
                <w:sz w:val="24"/>
                <w:szCs w:val="24"/>
              </w:rPr>
              <w:t xml:space="preserve"> noteikts. Likumprojektā iekļautā norma pilnībā atbilst Direktīvas</w:t>
            </w:r>
            <w:r w:rsidR="0079359A" w:rsidRPr="00E06D38">
              <w:rPr>
                <w:b w:val="0"/>
                <w:sz w:val="24"/>
                <w:szCs w:val="24"/>
              </w:rPr>
              <w:t xml:space="preserve"> </w:t>
            </w:r>
            <w:r w:rsidR="004A2BD7" w:rsidRPr="00E06D38">
              <w:rPr>
                <w:b w:val="0"/>
                <w:sz w:val="24"/>
                <w:szCs w:val="24"/>
              </w:rPr>
              <w:t>2012/27/ES 8.panta 4.punktā noteiktajam, ka nāk</w:t>
            </w:r>
            <w:r w:rsidR="004B19B5" w:rsidRPr="00E06D38">
              <w:rPr>
                <w:b w:val="0"/>
                <w:sz w:val="24"/>
                <w:szCs w:val="24"/>
              </w:rPr>
              <w:t>am</w:t>
            </w:r>
            <w:r w:rsidR="004A2BD7" w:rsidRPr="00E06D38">
              <w:rPr>
                <w:b w:val="0"/>
                <w:sz w:val="24"/>
                <w:szCs w:val="24"/>
              </w:rPr>
              <w:t>ais energoaudits ir jāveic ik pēc četriem gadiem pēc dienas, kad veikts iepriekšējais energoaudits.</w:t>
            </w:r>
          </w:p>
          <w:p w14:paraId="25DEA93F" w14:textId="1D50BE47" w:rsidR="004A2BD7" w:rsidRPr="00E06D38" w:rsidRDefault="004A2BD7"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Likumā nav noteikts ziņošanas pienākuma par iegūtajiem enerģijas ietaupījumiem ilgums nedz lielajiem uzņēmumiem, nedz lielajiem elektroenerģijas patērētājiem.</w:t>
            </w:r>
            <w:r w:rsidR="00051D8D" w:rsidRPr="00E06D38">
              <w:rPr>
                <w:b w:val="0"/>
                <w:sz w:val="24"/>
                <w:szCs w:val="24"/>
              </w:rPr>
              <w:t xml:space="preserve"> Likumprojektā z</w:t>
            </w:r>
            <w:r w:rsidRPr="00E06D38">
              <w:rPr>
                <w:b w:val="0"/>
                <w:sz w:val="24"/>
                <w:szCs w:val="24"/>
              </w:rPr>
              <w:t>iņošanas pienākuma ilgums abos minētajos gadījumos ir noteikts četru gadu garumā, kas atbilst intervā</w:t>
            </w:r>
            <w:r w:rsidR="00051D8D" w:rsidRPr="00E06D38">
              <w:rPr>
                <w:b w:val="0"/>
                <w:sz w:val="24"/>
                <w:szCs w:val="24"/>
              </w:rPr>
              <w:t>lam starp diviem energoauditiem vai arī visu sertificētas energopārvaldības sistēmas darbības laiku, ņemot vēra, ka</w:t>
            </w:r>
            <w:r w:rsidR="0079359A" w:rsidRPr="00E06D38">
              <w:rPr>
                <w:b w:val="0"/>
                <w:sz w:val="24"/>
                <w:szCs w:val="24"/>
              </w:rPr>
              <w:t xml:space="preserve"> </w:t>
            </w:r>
            <w:r w:rsidR="00051D8D" w:rsidRPr="00E06D38">
              <w:rPr>
                <w:b w:val="0"/>
                <w:sz w:val="24"/>
                <w:szCs w:val="24"/>
              </w:rPr>
              <w:t>sertificētas energopārvaldības sistēmas sertificēšanas prasībās ir noteikts katru gadu sagatavot enerģijas ietaupījumu pārskatu.</w:t>
            </w:r>
          </w:p>
          <w:p w14:paraId="2D6B3899" w14:textId="2B68024C" w:rsidR="00FD667C" w:rsidRPr="00E06D38" w:rsidRDefault="00C11912"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Kopumā 727 l</w:t>
            </w:r>
            <w:r w:rsidR="00E14938" w:rsidRPr="00E06D38">
              <w:rPr>
                <w:rFonts w:ascii="Times New Roman" w:hAnsi="Times New Roman" w:cs="Times New Roman"/>
                <w:sz w:val="24"/>
                <w:szCs w:val="24"/>
              </w:rPr>
              <w:t>ielie uzņēmumi</w:t>
            </w:r>
            <w:r w:rsidRPr="00E06D38">
              <w:rPr>
                <w:rFonts w:ascii="Times New Roman" w:hAnsi="Times New Roman" w:cs="Times New Roman"/>
                <w:sz w:val="24"/>
                <w:szCs w:val="24"/>
              </w:rPr>
              <w:t xml:space="preserve"> </w:t>
            </w:r>
            <w:r w:rsidR="00E14938" w:rsidRPr="00E06D38">
              <w:rPr>
                <w:rFonts w:ascii="Times New Roman" w:hAnsi="Times New Roman" w:cs="Times New Roman"/>
                <w:sz w:val="24"/>
                <w:szCs w:val="24"/>
              </w:rPr>
              <w:t>un lielie elektroenerģijas patērētāji</w:t>
            </w:r>
            <w:r w:rsidRPr="00E06D38">
              <w:rPr>
                <w:rFonts w:ascii="Times New Roman" w:hAnsi="Times New Roman" w:cs="Times New Roman"/>
                <w:sz w:val="24"/>
                <w:szCs w:val="24"/>
              </w:rPr>
              <w:t xml:space="preserve"> </w:t>
            </w:r>
            <w:r w:rsidR="00E14938" w:rsidRPr="00E06D38">
              <w:rPr>
                <w:rFonts w:ascii="Times New Roman" w:hAnsi="Times New Roman" w:cs="Times New Roman"/>
                <w:sz w:val="24"/>
                <w:szCs w:val="24"/>
              </w:rPr>
              <w:t xml:space="preserve">ir iesnieguši </w:t>
            </w:r>
            <w:r w:rsidR="00AE02BC" w:rsidRPr="00E06D38">
              <w:rPr>
                <w:rFonts w:ascii="Times New Roman" w:hAnsi="Times New Roman" w:cs="Times New Roman"/>
                <w:sz w:val="24"/>
                <w:szCs w:val="24"/>
              </w:rPr>
              <w:t>E</w:t>
            </w:r>
            <w:r w:rsidR="00F332DF" w:rsidRPr="00E06D38">
              <w:rPr>
                <w:rFonts w:ascii="Times New Roman" w:hAnsi="Times New Roman" w:cs="Times New Roman"/>
                <w:sz w:val="24"/>
                <w:szCs w:val="24"/>
              </w:rPr>
              <w:t>M</w:t>
            </w:r>
            <w:r w:rsidR="00E14938" w:rsidRPr="00E06D38">
              <w:rPr>
                <w:rFonts w:ascii="Times New Roman" w:hAnsi="Times New Roman" w:cs="Times New Roman"/>
                <w:sz w:val="24"/>
                <w:szCs w:val="24"/>
              </w:rPr>
              <w:t xml:space="preserve"> pirmos obligātos energoauditus vai ziņojuši par sertificētas </w:t>
            </w:r>
            <w:r w:rsidR="00FD667C" w:rsidRPr="00E06D38">
              <w:rPr>
                <w:rFonts w:ascii="Times New Roman" w:hAnsi="Times New Roman" w:cs="Times New Roman"/>
                <w:sz w:val="24"/>
                <w:szCs w:val="24"/>
              </w:rPr>
              <w:t xml:space="preserve">energopārvaldības sistēmas ieviešanu. Vairākos gadījumos uzņēmumu </w:t>
            </w:r>
            <w:proofErr w:type="spellStart"/>
            <w:r w:rsidR="00FD667C" w:rsidRPr="00E06D38">
              <w:rPr>
                <w:rFonts w:ascii="Times New Roman" w:hAnsi="Times New Roman" w:cs="Times New Roman"/>
                <w:sz w:val="24"/>
                <w:szCs w:val="24"/>
              </w:rPr>
              <w:t>energoauditori</w:t>
            </w:r>
            <w:proofErr w:type="spellEnd"/>
            <w:r w:rsidR="00FD667C" w:rsidRPr="00E06D38">
              <w:rPr>
                <w:rFonts w:ascii="Times New Roman" w:hAnsi="Times New Roman" w:cs="Times New Roman"/>
                <w:sz w:val="24"/>
                <w:szCs w:val="24"/>
              </w:rPr>
              <w:t xml:space="preserve"> ir norādījuši, ka objektīvu apstākļu dēļ (piemēram, nesen veikta ražošanas ēkas renovācija vai nomainītas enerģiju patērējošas ražošanas iekārtas vai to daļas, nomainīts uzņēmuma autoparks) energoaudita pārskatos ir iespējams identificēt tikai vienu vai divus energoefektivitātes </w:t>
            </w:r>
            <w:r w:rsidR="00FD667C" w:rsidRPr="00E06D38">
              <w:rPr>
                <w:rFonts w:ascii="Times New Roman" w:hAnsi="Times New Roman" w:cs="Times New Roman"/>
                <w:sz w:val="24"/>
                <w:szCs w:val="24"/>
              </w:rPr>
              <w:lastRenderedPageBreak/>
              <w:t>uzlabošanas pasākumus ar ekonomisko atdevi vai lielu novērtēto enerģijas ietaupījumu. Lai ņemtu vērā esošo situāciju</w:t>
            </w:r>
            <w:r w:rsidR="0035453D" w:rsidRPr="00E06D38">
              <w:rPr>
                <w:rFonts w:ascii="Times New Roman" w:hAnsi="Times New Roman" w:cs="Times New Roman"/>
                <w:sz w:val="24"/>
                <w:szCs w:val="24"/>
              </w:rPr>
              <w:t>,</w:t>
            </w:r>
            <w:r w:rsidR="00FD667C" w:rsidRPr="00E06D38">
              <w:rPr>
                <w:rFonts w:ascii="Times New Roman" w:hAnsi="Times New Roman" w:cs="Times New Roman"/>
                <w:sz w:val="24"/>
                <w:szCs w:val="24"/>
              </w:rPr>
              <w:t xml:space="preserve"> Likumprojektā ir iekļauta norma, kas nosaka, ka minētajā gadījumā uzņēmumam ir jāievieš visus</w:t>
            </w:r>
            <w:r w:rsidR="0035453D" w:rsidRPr="00E06D38">
              <w:rPr>
                <w:rFonts w:ascii="Times New Roman" w:hAnsi="Times New Roman" w:cs="Times New Roman"/>
                <w:sz w:val="24"/>
                <w:szCs w:val="24"/>
              </w:rPr>
              <w:t xml:space="preserve"> uzņēmumu energoauditora</w:t>
            </w:r>
            <w:r w:rsidR="00FD667C" w:rsidRPr="00E06D38">
              <w:rPr>
                <w:rFonts w:ascii="Times New Roman" w:hAnsi="Times New Roman" w:cs="Times New Roman"/>
                <w:sz w:val="24"/>
                <w:szCs w:val="24"/>
              </w:rPr>
              <w:t xml:space="preserve"> ieteiktos energoefektivitātes uzlabošanas pasākumus.</w:t>
            </w:r>
          </w:p>
          <w:p w14:paraId="533A4C3D" w14:textId="02FA0CAB" w:rsidR="0035453D" w:rsidRPr="00E06D38" w:rsidRDefault="0035453D"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Saistībā ar obligāto energoauditu veikšanas pienākumu, E</w:t>
            </w:r>
            <w:r w:rsidR="0087794D" w:rsidRPr="00E06D38">
              <w:rPr>
                <w:rFonts w:ascii="Times New Roman" w:hAnsi="Times New Roman" w:cs="Times New Roman"/>
                <w:sz w:val="24"/>
                <w:szCs w:val="24"/>
              </w:rPr>
              <w:t>M</w:t>
            </w:r>
            <w:r w:rsidRPr="00E06D38">
              <w:rPr>
                <w:rFonts w:ascii="Times New Roman" w:hAnsi="Times New Roman" w:cs="Times New Roman"/>
                <w:sz w:val="24"/>
                <w:szCs w:val="24"/>
              </w:rPr>
              <w:t xml:space="preserve"> ir saņēmusi jautājumus </w:t>
            </w:r>
            <w:r w:rsidR="00FB02E1" w:rsidRPr="00E06D38">
              <w:rPr>
                <w:rFonts w:ascii="Times New Roman" w:hAnsi="Times New Roman" w:cs="Times New Roman"/>
                <w:sz w:val="24"/>
                <w:szCs w:val="24"/>
              </w:rPr>
              <w:t>gan no lielajiem uzņēmumiem, gan lielajiem elektroenerģijas patērētājiem</w:t>
            </w:r>
            <w:r w:rsidRPr="00E06D38">
              <w:rPr>
                <w:rFonts w:ascii="Times New Roman" w:hAnsi="Times New Roman" w:cs="Times New Roman"/>
                <w:sz w:val="24"/>
                <w:szCs w:val="24"/>
              </w:rPr>
              <w:t xml:space="preserve">, kuri plāno vai jau ir uzsākuši ražošanas vai pakalpojumu sniegšanas ēku rekonstrukciju vai veco ēku nojaukšanu un jaunu būvēšanu. Šajos gadījumos veikt energoauditu rekonstruējamā vai nojaucamā ēkā ir nepamatoti. Likumprojektā ir iekļauta jauna </w:t>
            </w:r>
            <w:r w:rsidR="00CA1E17">
              <w:rPr>
                <w:rFonts w:ascii="Times New Roman" w:hAnsi="Times New Roman" w:cs="Times New Roman"/>
                <w:sz w:val="24"/>
                <w:szCs w:val="24"/>
              </w:rPr>
              <w:t xml:space="preserve">tiesību </w:t>
            </w:r>
            <w:bookmarkStart w:id="1" w:name="_GoBack"/>
            <w:bookmarkEnd w:id="1"/>
            <w:r w:rsidRPr="00E06D38">
              <w:rPr>
                <w:rFonts w:ascii="Times New Roman" w:hAnsi="Times New Roman" w:cs="Times New Roman"/>
                <w:sz w:val="24"/>
                <w:szCs w:val="24"/>
              </w:rPr>
              <w:t>norma par to kā, ņemot vērā normatīvo aktu prasības ēku energoefektivitātes aprēķina metodes un ēku energosertifikācijas jomā, uzņēmumam rīkoties minētajos gadījumos.</w:t>
            </w:r>
          </w:p>
          <w:p w14:paraId="282D0F33" w14:textId="64222C97" w:rsidR="000C1AEA" w:rsidRPr="00E06D38" w:rsidRDefault="00C57934"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Likuma</w:t>
            </w:r>
            <w:r w:rsidR="0079359A" w:rsidRPr="00E06D38">
              <w:rPr>
                <w:rFonts w:ascii="Times New Roman" w:hAnsi="Times New Roman" w:cs="Times New Roman"/>
                <w:sz w:val="24"/>
                <w:szCs w:val="24"/>
              </w:rPr>
              <w:t xml:space="preserve"> </w:t>
            </w:r>
            <w:r w:rsidR="000062FE" w:rsidRPr="00E06D38">
              <w:rPr>
                <w:rFonts w:ascii="Times New Roman" w:hAnsi="Times New Roman" w:cs="Times New Roman"/>
                <w:sz w:val="24"/>
                <w:szCs w:val="24"/>
              </w:rPr>
              <w:t>12.pantā ir noteikts, ka</w:t>
            </w:r>
            <w:r w:rsidRPr="00E06D38">
              <w:rPr>
                <w:rFonts w:ascii="Times New Roman" w:hAnsi="Times New Roman" w:cs="Times New Roman"/>
                <w:sz w:val="24"/>
                <w:szCs w:val="24"/>
              </w:rPr>
              <w:t xml:space="preserve"> lielais elektroenerģijas patērētājs ir komersants, kura ikgadējais</w:t>
            </w:r>
            <w:r w:rsidR="005212D2">
              <w:rPr>
                <w:rFonts w:ascii="Times New Roman" w:hAnsi="Times New Roman" w:cs="Times New Roman"/>
                <w:sz w:val="24"/>
                <w:szCs w:val="24"/>
              </w:rPr>
              <w:t xml:space="preserve"> (kalendārā gada) </w:t>
            </w:r>
            <w:r w:rsidRPr="00E06D38">
              <w:rPr>
                <w:rFonts w:ascii="Times New Roman" w:hAnsi="Times New Roman" w:cs="Times New Roman"/>
                <w:sz w:val="24"/>
                <w:szCs w:val="24"/>
              </w:rPr>
              <w:t xml:space="preserve"> elektroenerģijas patēriņš pārsniedz 500 MWh</w:t>
            </w:r>
            <w:r w:rsidR="000062FE" w:rsidRPr="00E06D38">
              <w:rPr>
                <w:rFonts w:ascii="Times New Roman" w:hAnsi="Times New Roman" w:cs="Times New Roman"/>
                <w:sz w:val="24"/>
                <w:szCs w:val="24"/>
              </w:rPr>
              <w:t xml:space="preserve"> un sistēmas operatoram ir pienākums katru gadu nodrošināt atbildīgo ministriju ar lielā elektroenerģijas patērētāja statusam atbilstošu komersantu ikgadējiem elektroenerģijas galapatēriņa datiem. E</w:t>
            </w:r>
            <w:r w:rsidR="0087794D" w:rsidRPr="00E06D38">
              <w:rPr>
                <w:rFonts w:ascii="Times New Roman" w:hAnsi="Times New Roman" w:cs="Times New Roman"/>
                <w:sz w:val="24"/>
                <w:szCs w:val="24"/>
              </w:rPr>
              <w:t>M</w:t>
            </w:r>
            <w:r w:rsidR="000062FE" w:rsidRPr="00E06D38">
              <w:rPr>
                <w:rFonts w:ascii="Times New Roman" w:hAnsi="Times New Roman" w:cs="Times New Roman"/>
                <w:sz w:val="24"/>
                <w:szCs w:val="24"/>
              </w:rPr>
              <w:t xml:space="preserve"> ir saņēmusi A/S “Sadales </w:t>
            </w:r>
            <w:r w:rsidR="003A4323" w:rsidRPr="00E06D38">
              <w:rPr>
                <w:rFonts w:ascii="Times New Roman" w:hAnsi="Times New Roman" w:cs="Times New Roman"/>
                <w:sz w:val="24"/>
                <w:szCs w:val="24"/>
              </w:rPr>
              <w:t xml:space="preserve">tīkls” </w:t>
            </w:r>
            <w:r w:rsidR="00DD5B80" w:rsidRPr="00E06D38">
              <w:rPr>
                <w:rFonts w:ascii="Times New Roman" w:hAnsi="Times New Roman" w:cs="Times New Roman"/>
                <w:sz w:val="24"/>
                <w:szCs w:val="24"/>
              </w:rPr>
              <w:t xml:space="preserve">informāciju par lielajiem elektroenerģijas patērētājiem par 2016. un 2017.gadu. Tomēr, </w:t>
            </w:r>
            <w:r w:rsidR="00FB02E1" w:rsidRPr="00E06D38">
              <w:rPr>
                <w:rFonts w:ascii="Times New Roman" w:hAnsi="Times New Roman" w:cs="Times New Roman"/>
                <w:sz w:val="24"/>
                <w:szCs w:val="24"/>
              </w:rPr>
              <w:t>kā norādīts A/S “Sadales tīkls” 2017.gada 6.decembra vēstulē Nr.30VD00-11/5198</w:t>
            </w:r>
            <w:r w:rsidR="0079359A" w:rsidRPr="00E06D38">
              <w:rPr>
                <w:rFonts w:ascii="Times New Roman" w:hAnsi="Times New Roman" w:cs="Times New Roman"/>
                <w:sz w:val="24"/>
                <w:szCs w:val="24"/>
              </w:rPr>
              <w:t xml:space="preserve"> </w:t>
            </w:r>
            <w:r w:rsidR="00DD5B80" w:rsidRPr="00E06D38">
              <w:rPr>
                <w:rFonts w:ascii="Times New Roman" w:hAnsi="Times New Roman" w:cs="Times New Roman"/>
                <w:sz w:val="24"/>
                <w:szCs w:val="24"/>
              </w:rPr>
              <w:t>“Slēdzot sistēmas pakalpojumu līgumu ar lietotāju, AS</w:t>
            </w:r>
            <w:r w:rsidR="0067399B" w:rsidRPr="00E06D38">
              <w:rPr>
                <w:rFonts w:ascii="Times New Roman" w:hAnsi="Times New Roman" w:cs="Times New Roman"/>
                <w:sz w:val="24"/>
                <w:szCs w:val="24"/>
              </w:rPr>
              <w:t> </w:t>
            </w:r>
            <w:r w:rsidR="00DD5B80" w:rsidRPr="00E06D38">
              <w:rPr>
                <w:rFonts w:ascii="Times New Roman" w:hAnsi="Times New Roman" w:cs="Times New Roman"/>
                <w:sz w:val="24"/>
                <w:szCs w:val="24"/>
              </w:rPr>
              <w:t>“Sadales tīkls” darbojas normatīvo aktu noteiktajās robežās, tas nozīmē, ka par lietotāju tiek iegūta tikai tā informācija, kas nepieciešama sistēmas pakalpojumu līguma noslēgšanai un sistēmas pakalpojumu u</w:t>
            </w:r>
            <w:r w:rsidR="000C1AEA" w:rsidRPr="00E06D38">
              <w:rPr>
                <w:rFonts w:ascii="Times New Roman" w:hAnsi="Times New Roman" w:cs="Times New Roman"/>
                <w:sz w:val="24"/>
                <w:szCs w:val="24"/>
              </w:rPr>
              <w:t>n citu pakalpojumu sniegšanai</w:t>
            </w:r>
            <w:r w:rsidR="0067399B" w:rsidRPr="00E06D38">
              <w:rPr>
                <w:rFonts w:ascii="Times New Roman" w:hAnsi="Times New Roman" w:cs="Times New Roman"/>
                <w:sz w:val="24"/>
                <w:szCs w:val="24"/>
              </w:rPr>
              <w:t xml:space="preserve"> [..]</w:t>
            </w:r>
            <w:r w:rsidR="000C1AEA" w:rsidRPr="00E06D38">
              <w:rPr>
                <w:rFonts w:ascii="Times New Roman" w:hAnsi="Times New Roman" w:cs="Times New Roman"/>
                <w:sz w:val="24"/>
                <w:szCs w:val="24"/>
              </w:rPr>
              <w:t>.</w:t>
            </w:r>
            <w:r w:rsidR="0079359A" w:rsidRPr="00E06D38">
              <w:rPr>
                <w:rFonts w:ascii="Times New Roman" w:hAnsi="Times New Roman" w:cs="Times New Roman"/>
                <w:sz w:val="24"/>
                <w:szCs w:val="24"/>
              </w:rPr>
              <w:t xml:space="preserve"> </w:t>
            </w:r>
            <w:r w:rsidR="00FB02E1" w:rsidRPr="00E06D38">
              <w:rPr>
                <w:rFonts w:ascii="Times New Roman" w:hAnsi="Times New Roman" w:cs="Times New Roman"/>
                <w:sz w:val="24"/>
                <w:szCs w:val="24"/>
              </w:rPr>
              <w:t xml:space="preserve">A/S </w:t>
            </w:r>
            <w:r w:rsidR="000C1AEA" w:rsidRPr="00E06D38">
              <w:rPr>
                <w:rFonts w:ascii="Times New Roman" w:hAnsi="Times New Roman" w:cs="Times New Roman"/>
                <w:sz w:val="24"/>
                <w:szCs w:val="24"/>
              </w:rPr>
              <w:t>“Sadales tīkls” kā sistēmas operators ir atbildīgs par elektroenerģijas piegādi lietotājam līdz elektroietaišu piederības robežai. Uz elektroietaišu piederības robežas ir uzstādīts sistēmas operatora reģistrēts elektroenerģijas komercuzskaites mēraparāts, kurš ir mērīšanas līdzeklis vai mērīšanas līdzekļu sistēma elektroenerģijas daudzuma un sistēmas pakalpojumu uzskaitei norēķinu vajadzībām, kā arī elektriskās slodzes lieluma fiksēšanai tirdzniecības intervālā. Sistēmas operatoram ir pienākums uzskaitīt</w:t>
            </w:r>
            <w:r w:rsidR="0079359A" w:rsidRPr="00E06D38">
              <w:rPr>
                <w:rFonts w:ascii="Times New Roman" w:hAnsi="Times New Roman" w:cs="Times New Roman"/>
                <w:sz w:val="24"/>
                <w:szCs w:val="24"/>
              </w:rPr>
              <w:t xml:space="preserve"> </w:t>
            </w:r>
            <w:r w:rsidR="000C1AEA" w:rsidRPr="00E06D38">
              <w:rPr>
                <w:rFonts w:ascii="Times New Roman" w:hAnsi="Times New Roman" w:cs="Times New Roman"/>
                <w:sz w:val="24"/>
                <w:szCs w:val="24"/>
              </w:rPr>
              <w:t>lietotāju elektroenerģijas patēriņu un slodzes profilu atbilstoši tām tehniskajām iespējām, ko nodrošina lietotājam uzstādītais komercuzskaite</w:t>
            </w:r>
            <w:r w:rsidR="00FB02E1" w:rsidRPr="00E06D38">
              <w:rPr>
                <w:rFonts w:ascii="Times New Roman" w:hAnsi="Times New Roman" w:cs="Times New Roman"/>
                <w:sz w:val="24"/>
                <w:szCs w:val="24"/>
              </w:rPr>
              <w:t xml:space="preserve">s mēraparāts. </w:t>
            </w:r>
            <w:r w:rsidR="000C1AEA" w:rsidRPr="00E06D38">
              <w:rPr>
                <w:rFonts w:ascii="Times New Roman" w:hAnsi="Times New Roman" w:cs="Times New Roman"/>
                <w:sz w:val="24"/>
                <w:szCs w:val="24"/>
              </w:rPr>
              <w:t>Pamatojoties uz minēto</w:t>
            </w:r>
            <w:r w:rsidR="0087794D" w:rsidRPr="00E06D38">
              <w:rPr>
                <w:rFonts w:ascii="Times New Roman" w:hAnsi="Times New Roman" w:cs="Times New Roman"/>
                <w:sz w:val="24"/>
                <w:szCs w:val="24"/>
              </w:rPr>
              <w:t>,</w:t>
            </w:r>
            <w:r w:rsidR="000C1AEA" w:rsidRPr="00E06D38">
              <w:rPr>
                <w:rFonts w:ascii="Times New Roman" w:hAnsi="Times New Roman" w:cs="Times New Roman"/>
                <w:sz w:val="24"/>
                <w:szCs w:val="24"/>
              </w:rPr>
              <w:t xml:space="preserve"> AS “Sadales tīkls” var sniegt tikai augstāk minēto uzskaitīto</w:t>
            </w:r>
            <w:r w:rsidR="0079359A" w:rsidRPr="00E06D38">
              <w:rPr>
                <w:rFonts w:ascii="Times New Roman" w:hAnsi="Times New Roman" w:cs="Times New Roman"/>
                <w:sz w:val="24"/>
                <w:szCs w:val="24"/>
              </w:rPr>
              <w:t xml:space="preserve"> </w:t>
            </w:r>
            <w:r w:rsidR="000C1AEA" w:rsidRPr="00E06D38">
              <w:rPr>
                <w:rFonts w:ascii="Times New Roman" w:hAnsi="Times New Roman" w:cs="Times New Roman"/>
                <w:sz w:val="24"/>
                <w:szCs w:val="24"/>
              </w:rPr>
              <w:t>informāciju (par lietotāja elektroenerģijas patēriņu un slodzes profilu, kurš uzskaitīts ar elektroenerģijas komercuzskaites mēraparātu), bet nevar sniegt informāciju par elektroenerģijas lietošanu aiz tā elektroietaišu piederības robežām.”</w:t>
            </w:r>
          </w:p>
          <w:p w14:paraId="076E638C" w14:textId="1891D6D5" w:rsidR="00157D2C" w:rsidRPr="00E06D38" w:rsidRDefault="000C1AEA"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lastRenderedPageBreak/>
              <w:t xml:space="preserve">Līdz ar to ir grūti, dažos gadījumos </w:t>
            </w:r>
            <w:r w:rsidR="0067399B" w:rsidRPr="00E06D38">
              <w:rPr>
                <w:rFonts w:ascii="Times New Roman" w:hAnsi="Times New Roman" w:cs="Times New Roman"/>
                <w:sz w:val="24"/>
                <w:szCs w:val="24"/>
              </w:rPr>
              <w:t xml:space="preserve">pat </w:t>
            </w:r>
            <w:r w:rsidRPr="00E06D38">
              <w:rPr>
                <w:rFonts w:ascii="Times New Roman" w:hAnsi="Times New Roman" w:cs="Times New Roman"/>
                <w:sz w:val="24"/>
                <w:szCs w:val="24"/>
              </w:rPr>
              <w:t>neiespējami</w:t>
            </w:r>
            <w:r w:rsidR="0067399B" w:rsidRPr="00E06D38">
              <w:rPr>
                <w:rFonts w:ascii="Times New Roman" w:hAnsi="Times New Roman" w:cs="Times New Roman"/>
                <w:sz w:val="24"/>
                <w:szCs w:val="24"/>
              </w:rPr>
              <w:t>,</w:t>
            </w:r>
            <w:r w:rsidRPr="00E06D38">
              <w:rPr>
                <w:rFonts w:ascii="Times New Roman" w:hAnsi="Times New Roman" w:cs="Times New Roman"/>
                <w:sz w:val="24"/>
                <w:szCs w:val="24"/>
              </w:rPr>
              <w:t xml:space="preserve"> identificēt elektroenerģijas </w:t>
            </w:r>
            <w:proofErr w:type="spellStart"/>
            <w:r w:rsidRPr="00E06D38">
              <w:rPr>
                <w:rFonts w:ascii="Times New Roman" w:hAnsi="Times New Roman" w:cs="Times New Roman"/>
                <w:sz w:val="24"/>
                <w:szCs w:val="24"/>
              </w:rPr>
              <w:t>apakšlietotājus</w:t>
            </w:r>
            <w:proofErr w:type="spellEnd"/>
            <w:r w:rsidRPr="00E06D38">
              <w:rPr>
                <w:rFonts w:ascii="Times New Roman" w:hAnsi="Times New Roman" w:cs="Times New Roman"/>
                <w:sz w:val="24"/>
                <w:szCs w:val="24"/>
              </w:rPr>
              <w:t xml:space="preserve">. </w:t>
            </w:r>
            <w:r w:rsidR="00157D2C" w:rsidRPr="00E06D38">
              <w:rPr>
                <w:rFonts w:ascii="Times New Roman" w:hAnsi="Times New Roman" w:cs="Times New Roman"/>
                <w:sz w:val="24"/>
                <w:szCs w:val="24"/>
              </w:rPr>
              <w:t>Ņemot vērā reālo situāciju, kā arī</w:t>
            </w:r>
            <w:r w:rsidR="00F1216F" w:rsidRPr="00E06D38">
              <w:rPr>
                <w:rFonts w:ascii="Times New Roman" w:hAnsi="Times New Roman" w:cs="Times New Roman"/>
                <w:sz w:val="24"/>
                <w:szCs w:val="24"/>
              </w:rPr>
              <w:t>,</w:t>
            </w:r>
            <w:r w:rsidR="00157D2C" w:rsidRPr="00E06D38">
              <w:rPr>
                <w:rFonts w:ascii="Times New Roman" w:hAnsi="Times New Roman" w:cs="Times New Roman"/>
                <w:sz w:val="24"/>
                <w:szCs w:val="24"/>
              </w:rPr>
              <w:t xml:space="preserve"> lai nepaaugstinātu administratīvo slogu, </w:t>
            </w:r>
            <w:r w:rsidR="00F1216F" w:rsidRPr="00E06D38">
              <w:rPr>
                <w:rFonts w:ascii="Times New Roman" w:hAnsi="Times New Roman" w:cs="Times New Roman"/>
                <w:sz w:val="24"/>
                <w:szCs w:val="24"/>
              </w:rPr>
              <w:t>L</w:t>
            </w:r>
            <w:r w:rsidR="00157D2C" w:rsidRPr="00E06D38">
              <w:rPr>
                <w:rFonts w:ascii="Times New Roman" w:hAnsi="Times New Roman" w:cs="Times New Roman"/>
                <w:sz w:val="24"/>
                <w:szCs w:val="24"/>
              </w:rPr>
              <w:t xml:space="preserve">ikumprojektā ir noteiktas </w:t>
            </w:r>
            <w:r w:rsidR="0018264F" w:rsidRPr="00E06D38">
              <w:rPr>
                <w:rFonts w:ascii="Times New Roman" w:hAnsi="Times New Roman" w:cs="Times New Roman"/>
                <w:sz w:val="24"/>
                <w:szCs w:val="24"/>
              </w:rPr>
              <w:t>divas</w:t>
            </w:r>
            <w:r w:rsidR="00157D2C" w:rsidRPr="00E06D38">
              <w:rPr>
                <w:rFonts w:ascii="Times New Roman" w:hAnsi="Times New Roman" w:cs="Times New Roman"/>
                <w:sz w:val="24"/>
                <w:szCs w:val="24"/>
              </w:rPr>
              <w:t xml:space="preserve"> izņēmumu grupas no lielo elektroenerģijas patērētāju saraksta:</w:t>
            </w:r>
          </w:p>
          <w:p w14:paraId="073BAFB0" w14:textId="2F8BBE58" w:rsidR="00157D2C" w:rsidRPr="00E06D38" w:rsidRDefault="0018264F"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eastAsia="Times New Roman" w:hAnsi="Times New Roman" w:cs="Times New Roman"/>
                <w:sz w:val="24"/>
                <w:szCs w:val="24"/>
                <w:lang w:eastAsia="lv-LV"/>
              </w:rPr>
              <w:t>1</w:t>
            </w:r>
            <w:r w:rsidR="00157D2C" w:rsidRPr="00E06D38">
              <w:rPr>
                <w:rFonts w:ascii="Times New Roman" w:eastAsia="Times New Roman" w:hAnsi="Times New Roman" w:cs="Times New Roman"/>
                <w:sz w:val="24"/>
                <w:szCs w:val="24"/>
                <w:lang w:eastAsia="lv-LV"/>
              </w:rPr>
              <w:t>)</w:t>
            </w:r>
            <w:r w:rsidR="008B3550" w:rsidRPr="00E06D38">
              <w:rPr>
                <w:rFonts w:ascii="Times New Roman" w:eastAsia="Times New Roman" w:hAnsi="Times New Roman" w:cs="Times New Roman"/>
                <w:sz w:val="24"/>
                <w:szCs w:val="24"/>
                <w:lang w:eastAsia="lv-LV"/>
              </w:rPr>
              <w:t xml:space="preserve"> </w:t>
            </w:r>
            <w:r w:rsidR="00157D2C" w:rsidRPr="00E06D38">
              <w:rPr>
                <w:rFonts w:ascii="Times New Roman" w:hAnsi="Times New Roman" w:cs="Times New Roman"/>
                <w:sz w:val="24"/>
                <w:szCs w:val="24"/>
              </w:rPr>
              <w:t>sadales sistēmas operatori, kuri ir saņēmuši licenci elektroenerģijas sadalei Sabiedrisko pakalpojumu regulēšanas komisijā un ir iekļauti sadales sistēmas operatoru licenču sarakstā</w:t>
            </w:r>
            <w:r w:rsidR="00430679" w:rsidRPr="00E06D38">
              <w:rPr>
                <w:rFonts w:ascii="Times New Roman" w:hAnsi="Times New Roman" w:cs="Times New Roman"/>
                <w:sz w:val="24"/>
                <w:szCs w:val="24"/>
              </w:rPr>
              <w:t>;</w:t>
            </w:r>
          </w:p>
          <w:p w14:paraId="7CBCFFCE" w14:textId="1A926CB8" w:rsidR="00157D2C" w:rsidRPr="00E06D38" w:rsidRDefault="0018264F"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2</w:t>
            </w:r>
            <w:r w:rsidR="00157D2C" w:rsidRPr="00E06D38">
              <w:rPr>
                <w:rFonts w:ascii="Times New Roman" w:hAnsi="Times New Roman" w:cs="Times New Roman"/>
                <w:sz w:val="24"/>
                <w:szCs w:val="24"/>
              </w:rPr>
              <w:t>)</w:t>
            </w:r>
            <w:r w:rsidR="008B3550" w:rsidRPr="00E06D38">
              <w:rPr>
                <w:rFonts w:ascii="Times New Roman" w:hAnsi="Times New Roman" w:cs="Times New Roman"/>
                <w:sz w:val="24"/>
                <w:szCs w:val="24"/>
              </w:rPr>
              <w:t xml:space="preserve"> </w:t>
            </w:r>
            <w:r w:rsidR="00157D2C" w:rsidRPr="00E06D38">
              <w:rPr>
                <w:rFonts w:ascii="Times New Roman" w:hAnsi="Times New Roman" w:cs="Times New Roman"/>
                <w:sz w:val="24"/>
                <w:szCs w:val="24"/>
              </w:rPr>
              <w:t>dzīvojamo namu pārvaldnieki, kuri ir reģistrējušies Būvniecības informācijas sistēmas Dzīvojamo māju pārvaldnieku reģistrā.</w:t>
            </w:r>
          </w:p>
          <w:p w14:paraId="2086B413" w14:textId="61508AFC" w:rsidR="00157D2C" w:rsidRPr="00E06D38" w:rsidRDefault="00157D2C" w:rsidP="0025743B">
            <w:pPr>
              <w:widowControl w:val="0"/>
              <w:spacing w:after="0" w:line="240" w:lineRule="auto"/>
              <w:ind w:firstLine="217"/>
              <w:contextualSpacing/>
              <w:jc w:val="both"/>
              <w:rPr>
                <w:rFonts w:ascii="Times New Roman" w:hAnsi="Times New Roman" w:cs="Times New Roman"/>
                <w:sz w:val="24"/>
                <w:szCs w:val="24"/>
                <w:u w:val="single"/>
              </w:rPr>
            </w:pPr>
            <w:r w:rsidRPr="00E06D38">
              <w:rPr>
                <w:rFonts w:ascii="Times New Roman" w:hAnsi="Times New Roman" w:cs="Times New Roman"/>
                <w:sz w:val="24"/>
                <w:szCs w:val="24"/>
              </w:rPr>
              <w:t xml:space="preserve">Pārējiem </w:t>
            </w:r>
            <w:r w:rsidR="005A7F8B" w:rsidRPr="00E06D38">
              <w:rPr>
                <w:rFonts w:ascii="Times New Roman" w:hAnsi="Times New Roman" w:cs="Times New Roman"/>
                <w:sz w:val="24"/>
                <w:szCs w:val="24"/>
              </w:rPr>
              <w:t>lielajiem elektroenerģijas patērētājiem</w:t>
            </w:r>
            <w:r w:rsidRPr="00E06D38">
              <w:rPr>
                <w:rFonts w:ascii="Times New Roman" w:hAnsi="Times New Roman" w:cs="Times New Roman"/>
                <w:sz w:val="24"/>
                <w:szCs w:val="24"/>
              </w:rPr>
              <w:t>, kuri ir noslēguši</w:t>
            </w:r>
            <w:r w:rsidR="0079359A" w:rsidRPr="00E06D38">
              <w:rPr>
                <w:rFonts w:ascii="Times New Roman" w:hAnsi="Times New Roman" w:cs="Times New Roman"/>
                <w:sz w:val="24"/>
                <w:szCs w:val="24"/>
              </w:rPr>
              <w:t xml:space="preserve"> </w:t>
            </w:r>
            <w:r w:rsidRPr="00E06D38">
              <w:rPr>
                <w:rFonts w:ascii="Times New Roman" w:hAnsi="Times New Roman" w:cs="Times New Roman"/>
                <w:sz w:val="24"/>
                <w:szCs w:val="24"/>
              </w:rPr>
              <w:t>pakalpojumu līgumu ar AS “Sadales tīkls” vai citu sadales operatoru</w:t>
            </w:r>
            <w:r w:rsidR="005A7F8B" w:rsidRPr="00E06D38">
              <w:rPr>
                <w:rFonts w:ascii="Times New Roman" w:hAnsi="Times New Roman" w:cs="Times New Roman"/>
                <w:sz w:val="24"/>
                <w:szCs w:val="24"/>
              </w:rPr>
              <w:t>, atbilstoši Ministru kabineta 2017.gada 11.aprīļa noteikumu Nr.202 “Noteikumi par energoefektivitātes nodevas apmēru un tās aprēķināšanas, piemērošanas, maksāšanas un kontroles kārtību” 4.punkta prasībām līdz kārtējā gada 31.janvārim ir jāiesniedz E</w:t>
            </w:r>
            <w:r w:rsidR="0087794D" w:rsidRPr="00E06D38">
              <w:rPr>
                <w:rFonts w:ascii="Times New Roman" w:hAnsi="Times New Roman" w:cs="Times New Roman"/>
                <w:sz w:val="24"/>
                <w:szCs w:val="24"/>
              </w:rPr>
              <w:t>M</w:t>
            </w:r>
            <w:r w:rsidR="005A7F8B" w:rsidRPr="00E06D38">
              <w:rPr>
                <w:rFonts w:ascii="Times New Roman" w:hAnsi="Times New Roman" w:cs="Times New Roman"/>
                <w:sz w:val="24"/>
                <w:szCs w:val="24"/>
              </w:rPr>
              <w:t xml:space="preserve"> energoauditora apstiprināta elektroenerģijas bilance, kas parāda apakšlietotājiem nodotās elektroenerģijas patēriņu. Līdz ar minētās bilances iesniegšanu, E</w:t>
            </w:r>
            <w:r w:rsidR="0087794D" w:rsidRPr="00E06D38">
              <w:rPr>
                <w:rFonts w:ascii="Times New Roman" w:hAnsi="Times New Roman" w:cs="Times New Roman"/>
                <w:sz w:val="24"/>
                <w:szCs w:val="24"/>
              </w:rPr>
              <w:t>M</w:t>
            </w:r>
            <w:r w:rsidR="005A7F8B" w:rsidRPr="00E06D38">
              <w:rPr>
                <w:rFonts w:ascii="Times New Roman" w:hAnsi="Times New Roman" w:cs="Times New Roman"/>
                <w:sz w:val="24"/>
                <w:szCs w:val="24"/>
              </w:rPr>
              <w:t xml:space="preserve"> ir iespējams pārliecināties par apakšlietotājiem nodotās elektroenerģijas apjomu.</w:t>
            </w:r>
          </w:p>
          <w:p w14:paraId="0F79FFA0" w14:textId="371660AB" w:rsidR="00051D8D" w:rsidRPr="00E06D38" w:rsidRDefault="000E4028" w:rsidP="0025743B">
            <w:pPr>
              <w:widowControl w:val="0"/>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hAnsi="Times New Roman" w:cs="Times New Roman"/>
                <w:sz w:val="24"/>
                <w:szCs w:val="24"/>
              </w:rPr>
              <w:t>Likum</w:t>
            </w:r>
            <w:r w:rsidR="009F218C" w:rsidRPr="00E06D38">
              <w:rPr>
                <w:rFonts w:ascii="Times New Roman" w:hAnsi="Times New Roman" w:cs="Times New Roman"/>
                <w:sz w:val="24"/>
                <w:szCs w:val="24"/>
              </w:rPr>
              <w:t xml:space="preserve">a </w:t>
            </w:r>
            <w:r w:rsidR="00B0523D" w:rsidRPr="00E06D38">
              <w:rPr>
                <w:rFonts w:ascii="Times New Roman" w:hAnsi="Times New Roman" w:cs="Times New Roman"/>
                <w:sz w:val="24"/>
                <w:szCs w:val="24"/>
              </w:rPr>
              <w:t>p</w:t>
            </w:r>
            <w:r w:rsidR="009F218C" w:rsidRPr="00E06D38">
              <w:rPr>
                <w:rFonts w:ascii="Times New Roman" w:hAnsi="Times New Roman" w:cs="Times New Roman"/>
                <w:sz w:val="24"/>
                <w:szCs w:val="24"/>
              </w:rPr>
              <w:t>ārejas noteikumu 10.punktā</w:t>
            </w:r>
            <w:r w:rsidRPr="00E06D38">
              <w:rPr>
                <w:rFonts w:ascii="Times New Roman" w:hAnsi="Times New Roman" w:cs="Times New Roman"/>
                <w:sz w:val="24"/>
                <w:szCs w:val="24"/>
              </w:rPr>
              <w:t xml:space="preserve"> ir noteikts termiņš</w:t>
            </w:r>
            <w:r w:rsidR="00430679" w:rsidRPr="00E06D38">
              <w:rPr>
                <w:rFonts w:ascii="Times New Roman" w:hAnsi="Times New Roman" w:cs="Times New Roman"/>
                <w:sz w:val="24"/>
                <w:szCs w:val="24"/>
              </w:rPr>
              <w:t>,</w:t>
            </w:r>
            <w:r w:rsidRPr="00E06D38">
              <w:rPr>
                <w:rFonts w:ascii="Times New Roman" w:hAnsi="Times New Roman" w:cs="Times New Roman"/>
                <w:sz w:val="24"/>
                <w:szCs w:val="24"/>
              </w:rPr>
              <w:t xml:space="preserve"> līdz kuram </w:t>
            </w:r>
            <w:r w:rsidR="0062392D" w:rsidRPr="00E06D38">
              <w:rPr>
                <w:rFonts w:ascii="Times New Roman" w:hAnsi="Times New Roman" w:cs="Times New Roman"/>
                <w:sz w:val="24"/>
                <w:szCs w:val="24"/>
              </w:rPr>
              <w:t>lielajam elektroenerģijas patērētājam</w:t>
            </w:r>
            <w:r w:rsidR="002B6BC6" w:rsidRPr="00E06D38">
              <w:rPr>
                <w:rFonts w:ascii="Times New Roman" w:hAnsi="Times New Roman" w:cs="Times New Roman"/>
                <w:sz w:val="24"/>
                <w:szCs w:val="24"/>
              </w:rPr>
              <w:t>,</w:t>
            </w:r>
            <w:r w:rsidR="0062392D" w:rsidRPr="00E06D38">
              <w:rPr>
                <w:rFonts w:ascii="Times New Roman" w:hAnsi="Times New Roman" w:cs="Times New Roman"/>
                <w:sz w:val="24"/>
                <w:szCs w:val="24"/>
              </w:rPr>
              <w:t xml:space="preserve"> pēc 2016.gada datiem</w:t>
            </w:r>
            <w:r w:rsidR="002B6BC6" w:rsidRPr="00E06D38">
              <w:rPr>
                <w:rFonts w:ascii="Times New Roman" w:hAnsi="Times New Roman" w:cs="Times New Roman"/>
                <w:sz w:val="24"/>
                <w:szCs w:val="24"/>
              </w:rPr>
              <w:t>,</w:t>
            </w:r>
            <w:r w:rsidR="0062392D" w:rsidRPr="00E06D38">
              <w:rPr>
                <w:rFonts w:ascii="Times New Roman" w:hAnsi="Times New Roman" w:cs="Times New Roman"/>
                <w:sz w:val="24"/>
                <w:szCs w:val="24"/>
              </w:rPr>
              <w:t xml:space="preserve"> bija jāievieš sertificēta energopārvaldības sistēma, bet nebija noteikts termiņš tiem lielajiem elektroenerģijas patērētājiem, kuri par tādiem kļuva</w:t>
            </w:r>
            <w:r w:rsidR="002B6BC6" w:rsidRPr="00E06D38">
              <w:rPr>
                <w:rFonts w:ascii="Times New Roman" w:hAnsi="Times New Roman" w:cs="Times New Roman"/>
                <w:sz w:val="24"/>
                <w:szCs w:val="24"/>
              </w:rPr>
              <w:t>,</w:t>
            </w:r>
            <w:r w:rsidR="0062392D" w:rsidRPr="00E06D38">
              <w:rPr>
                <w:rFonts w:ascii="Times New Roman" w:hAnsi="Times New Roman" w:cs="Times New Roman"/>
                <w:sz w:val="24"/>
                <w:szCs w:val="24"/>
              </w:rPr>
              <w:t xml:space="preserve"> sākot no 2017.gada. </w:t>
            </w:r>
            <w:r w:rsidR="00336643" w:rsidRPr="00E06D38">
              <w:rPr>
                <w:rFonts w:ascii="Times New Roman" w:hAnsi="Times New Roman" w:cs="Times New Roman"/>
                <w:sz w:val="24"/>
                <w:szCs w:val="24"/>
              </w:rPr>
              <w:t xml:space="preserve">Ar </w:t>
            </w:r>
            <w:r w:rsidR="0062392D" w:rsidRPr="00E06D38">
              <w:rPr>
                <w:rFonts w:ascii="Times New Roman" w:hAnsi="Times New Roman" w:cs="Times New Roman"/>
                <w:sz w:val="24"/>
                <w:szCs w:val="24"/>
              </w:rPr>
              <w:t>Likumprojekt</w:t>
            </w:r>
            <w:r w:rsidR="00336643" w:rsidRPr="00E06D38">
              <w:rPr>
                <w:rFonts w:ascii="Times New Roman" w:hAnsi="Times New Roman" w:cs="Times New Roman"/>
                <w:sz w:val="24"/>
                <w:szCs w:val="24"/>
              </w:rPr>
              <w:t>u</w:t>
            </w:r>
            <w:r w:rsidR="0062392D" w:rsidRPr="00E06D38">
              <w:rPr>
                <w:rFonts w:ascii="Times New Roman" w:hAnsi="Times New Roman" w:cs="Times New Roman"/>
                <w:sz w:val="24"/>
                <w:szCs w:val="24"/>
              </w:rPr>
              <w:t xml:space="preserve"> ir </w:t>
            </w:r>
            <w:r w:rsidR="000F2F02" w:rsidRPr="00E06D38">
              <w:rPr>
                <w:rFonts w:ascii="Times New Roman" w:hAnsi="Times New Roman" w:cs="Times New Roman"/>
                <w:sz w:val="24"/>
                <w:szCs w:val="24"/>
              </w:rPr>
              <w:t>paredzēts papildināt Likumu ar 12.panta piekto daļu</w:t>
            </w:r>
            <w:r w:rsidR="0062392D" w:rsidRPr="00E06D38">
              <w:rPr>
                <w:rFonts w:ascii="Times New Roman" w:hAnsi="Times New Roman" w:cs="Times New Roman"/>
                <w:sz w:val="24"/>
                <w:szCs w:val="24"/>
              </w:rPr>
              <w:t>, kas nosaka, ka komersants līdz nāk</w:t>
            </w:r>
            <w:r w:rsidR="002B6BC6" w:rsidRPr="00E06D38">
              <w:rPr>
                <w:rFonts w:ascii="Times New Roman" w:hAnsi="Times New Roman" w:cs="Times New Roman"/>
                <w:sz w:val="24"/>
                <w:szCs w:val="24"/>
              </w:rPr>
              <w:t>am</w:t>
            </w:r>
            <w:r w:rsidR="0062392D" w:rsidRPr="00E06D38">
              <w:rPr>
                <w:rFonts w:ascii="Times New Roman" w:hAnsi="Times New Roman" w:cs="Times New Roman"/>
                <w:sz w:val="24"/>
                <w:szCs w:val="24"/>
              </w:rPr>
              <w:t>ā gada 1.decembrim no dienas, kad tas kļuvis par lielo elektroenerģijas patērētāju saskaņā ar šā panta pirmo daļu,</w:t>
            </w:r>
            <w:r w:rsidR="0062392D" w:rsidRPr="00E06D38">
              <w:rPr>
                <w:rFonts w:ascii="Times New Roman" w:eastAsia="Times New Roman" w:hAnsi="Times New Roman" w:cs="Times New Roman"/>
                <w:sz w:val="24"/>
                <w:szCs w:val="24"/>
                <w:lang w:eastAsia="lv-LV"/>
              </w:rPr>
              <w:t xml:space="preserve"> veic pirmo energoauditu un pēc tam regulāri nodrošina kārtējo energoauditu četru gadu laikā pēc dienas, kad apstiprināts iepriekšējais uzņēmuma</w:t>
            </w:r>
            <w:r w:rsidR="0079359A" w:rsidRPr="00E06D38">
              <w:rPr>
                <w:rFonts w:ascii="Times New Roman" w:eastAsia="Times New Roman" w:hAnsi="Times New Roman" w:cs="Times New Roman"/>
                <w:sz w:val="24"/>
                <w:szCs w:val="24"/>
                <w:lang w:eastAsia="lv-LV"/>
              </w:rPr>
              <w:t xml:space="preserve"> </w:t>
            </w:r>
            <w:r w:rsidR="0062392D" w:rsidRPr="00E06D38">
              <w:rPr>
                <w:rFonts w:ascii="Times New Roman" w:eastAsia="Times New Roman" w:hAnsi="Times New Roman" w:cs="Times New Roman"/>
                <w:sz w:val="24"/>
                <w:szCs w:val="24"/>
                <w:lang w:eastAsia="lv-LV"/>
              </w:rPr>
              <w:t>energoaudita pārskats.</w:t>
            </w:r>
          </w:p>
          <w:p w14:paraId="5AAF0BA8" w14:textId="708760B3" w:rsidR="00FB02E1" w:rsidRPr="00E06D38" w:rsidRDefault="0062392D"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Likumā nav noteikts</w:t>
            </w:r>
            <w:r w:rsidR="006D5F5A" w:rsidRPr="00E06D38">
              <w:rPr>
                <w:b w:val="0"/>
                <w:sz w:val="24"/>
                <w:szCs w:val="24"/>
              </w:rPr>
              <w:t>,</w:t>
            </w:r>
            <w:r w:rsidRPr="00E06D38">
              <w:rPr>
                <w:b w:val="0"/>
                <w:sz w:val="24"/>
                <w:szCs w:val="24"/>
              </w:rPr>
              <w:t xml:space="preserve"> cik ilgi saglabājas ziņošanas pienākums lielajam elektroenerģijas patērētājam gadījumā, </w:t>
            </w:r>
            <w:r w:rsidR="006D5F5A" w:rsidRPr="00E06D38">
              <w:rPr>
                <w:b w:val="0"/>
                <w:sz w:val="24"/>
                <w:szCs w:val="24"/>
              </w:rPr>
              <w:t xml:space="preserve">ja </w:t>
            </w:r>
            <w:r w:rsidRPr="00E06D38">
              <w:rPr>
                <w:b w:val="0"/>
                <w:sz w:val="24"/>
                <w:szCs w:val="24"/>
              </w:rPr>
              <w:t>tas ir zaudējis lielā elektroenerģijas patērētāja statusu</w:t>
            </w:r>
            <w:r w:rsidR="00FB02E1" w:rsidRPr="00E06D38">
              <w:rPr>
                <w:b w:val="0"/>
                <w:sz w:val="24"/>
                <w:szCs w:val="24"/>
              </w:rPr>
              <w:t>. Tā kā E</w:t>
            </w:r>
            <w:r w:rsidR="0087794D" w:rsidRPr="00E06D38">
              <w:rPr>
                <w:b w:val="0"/>
                <w:sz w:val="24"/>
                <w:szCs w:val="24"/>
              </w:rPr>
              <w:t>M</w:t>
            </w:r>
            <w:r w:rsidR="00FB02E1" w:rsidRPr="00E06D38">
              <w:rPr>
                <w:b w:val="0"/>
                <w:sz w:val="24"/>
                <w:szCs w:val="24"/>
              </w:rPr>
              <w:t xml:space="preserve"> valsts energoefektivitātes mērķu sasniegšanas aprēķināšanai ir būtiski iegūt ikgadēju informāciju par iegūtajiem enerģijas ietaupījumiem, Likumprojektā ir noteikts, ka ziņošanas pienākums un termiņš (4.gadi) komersantam saglabājas arī gadījumā, ja komersants ir zaudējis lielā elektroenerģijas patērētāja statusu. </w:t>
            </w:r>
          </w:p>
          <w:p w14:paraId="27AF0D1D" w14:textId="4ED0072E" w:rsidR="0062392D" w:rsidRPr="00E06D38" w:rsidRDefault="00FB02E1"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 xml:space="preserve">Likumā nav noteikta norma par to, kā jārīkojas gadījumā, </w:t>
            </w:r>
            <w:r w:rsidR="00986393" w:rsidRPr="00E06D38">
              <w:rPr>
                <w:b w:val="0"/>
                <w:sz w:val="24"/>
                <w:szCs w:val="24"/>
              </w:rPr>
              <w:t xml:space="preserve">ja </w:t>
            </w:r>
            <w:r w:rsidRPr="00E06D38">
              <w:rPr>
                <w:b w:val="0"/>
                <w:sz w:val="24"/>
                <w:szCs w:val="24"/>
              </w:rPr>
              <w:t xml:space="preserve">lielais elektroenerģijas patērētājs kādā no gadiem ir zaudējis savu statusu, bet tad atkal to atguvis. Likumprojektā ir iekļauta jauna norma, kas nosaka, kā lielajam elektroenerģijas patērētājam ir jārīkojas minētajā </w:t>
            </w:r>
            <w:r w:rsidRPr="00E06D38">
              <w:rPr>
                <w:b w:val="0"/>
                <w:sz w:val="24"/>
                <w:szCs w:val="24"/>
              </w:rPr>
              <w:lastRenderedPageBreak/>
              <w:t xml:space="preserve">gadījumā. </w:t>
            </w:r>
            <w:r w:rsidR="0087794D" w:rsidRPr="00E06D38">
              <w:rPr>
                <w:b w:val="0"/>
                <w:sz w:val="24"/>
                <w:szCs w:val="24"/>
              </w:rPr>
              <w:t>Jaunā n</w:t>
            </w:r>
            <w:r w:rsidR="00717DE3" w:rsidRPr="00E06D38">
              <w:rPr>
                <w:b w:val="0"/>
                <w:sz w:val="24"/>
                <w:szCs w:val="24"/>
              </w:rPr>
              <w:t>orma neuzliek uzņēmumiem papildu administratīvo slogu.</w:t>
            </w:r>
          </w:p>
          <w:p w14:paraId="426944C3" w14:textId="1DB05FA8" w:rsidR="00AB133D" w:rsidRPr="00E06D38" w:rsidRDefault="00717DE3" w:rsidP="0025743B">
            <w:pPr>
              <w:spacing w:after="0" w:line="240" w:lineRule="auto"/>
              <w:ind w:firstLine="217"/>
              <w:contextualSpacing/>
              <w:jc w:val="both"/>
              <w:rPr>
                <w:rFonts w:ascii="Times New Roman" w:eastAsia="Calibri" w:hAnsi="Times New Roman" w:cs="Times New Roman"/>
                <w:sz w:val="24"/>
                <w:szCs w:val="24"/>
              </w:rPr>
            </w:pPr>
            <w:r w:rsidRPr="00E06D38">
              <w:rPr>
                <w:rFonts w:ascii="Times New Roman" w:hAnsi="Times New Roman" w:cs="Times New Roman"/>
                <w:sz w:val="24"/>
                <w:szCs w:val="24"/>
              </w:rPr>
              <w:t>Likumā nav noteikts deleģējums Ministru kabinetam noteikt kārtību, kādā uzņēmums sniedz atbildīgajai ministrijai uzņēmuma elektroenerģijas patēriņa bilanci,</w:t>
            </w:r>
            <w:r w:rsidR="00AB133D" w:rsidRPr="00E06D38">
              <w:rPr>
                <w:rFonts w:ascii="Times New Roman" w:hAnsi="Times New Roman" w:cs="Times New Roman"/>
                <w:sz w:val="24"/>
                <w:szCs w:val="24"/>
              </w:rPr>
              <w:t xml:space="preserve"> nav precīzi noteikts</w:t>
            </w:r>
            <w:r w:rsidR="00450A37" w:rsidRPr="00E06D38">
              <w:rPr>
                <w:rFonts w:ascii="Times New Roman" w:hAnsi="Times New Roman" w:cs="Times New Roman"/>
                <w:sz w:val="24"/>
                <w:szCs w:val="24"/>
              </w:rPr>
              <w:t>,</w:t>
            </w:r>
            <w:r w:rsidR="00AB133D" w:rsidRPr="00E06D38">
              <w:rPr>
                <w:rFonts w:ascii="Times New Roman" w:hAnsi="Times New Roman" w:cs="Times New Roman"/>
                <w:sz w:val="24"/>
                <w:szCs w:val="24"/>
              </w:rPr>
              <w:t xml:space="preserve"> par kāda gada elektroenerģijas patēriņu ir jāmaksā energoefektivitātes nodeva, kā arī nav noteikts</w:t>
            </w:r>
            <w:r w:rsidR="00450A37" w:rsidRPr="00E06D38">
              <w:rPr>
                <w:rFonts w:ascii="Times New Roman" w:hAnsi="Times New Roman" w:cs="Times New Roman"/>
                <w:sz w:val="24"/>
                <w:szCs w:val="24"/>
              </w:rPr>
              <w:t>,</w:t>
            </w:r>
            <w:r w:rsidR="00AB133D" w:rsidRPr="00E06D38">
              <w:rPr>
                <w:rFonts w:ascii="Times New Roman" w:hAnsi="Times New Roman" w:cs="Times New Roman"/>
                <w:sz w:val="24"/>
                <w:szCs w:val="24"/>
              </w:rPr>
              <w:t xml:space="preserve"> kā uzņēmumam rīkoties gadījumā, ja tas ir vai nav nomaksājis energoefektivitātes nodevu. Līdz ar to Likumprojektā ir iekļautas jaunas normas, kas nosaka, ka</w:t>
            </w:r>
            <w:r w:rsidR="0079359A" w:rsidRPr="00E06D38">
              <w:rPr>
                <w:rFonts w:ascii="Times New Roman" w:hAnsi="Times New Roman" w:cs="Times New Roman"/>
                <w:sz w:val="24"/>
                <w:szCs w:val="24"/>
              </w:rPr>
              <w:t xml:space="preserve"> </w:t>
            </w:r>
            <w:r w:rsidR="00AB133D" w:rsidRPr="00E06D38">
              <w:rPr>
                <w:rFonts w:ascii="Times New Roman" w:hAnsi="Times New Roman" w:cs="Times New Roman"/>
                <w:sz w:val="24"/>
                <w:szCs w:val="24"/>
              </w:rPr>
              <w:t xml:space="preserve">energoefektivitātes nodevas nomaksāšana neatbrīvo lielo elektroenerģijas patērētāju no Likuma </w:t>
            </w:r>
            <w:r w:rsidR="00AB133D" w:rsidRPr="00E06D38">
              <w:rPr>
                <w:rFonts w:ascii="Times New Roman" w:eastAsia="Calibri" w:hAnsi="Times New Roman" w:cs="Times New Roman"/>
                <w:sz w:val="24"/>
                <w:szCs w:val="24"/>
              </w:rPr>
              <w:t>10.panta piektajā, sestajā un septītajā daļā, kā arī 12.panta otrajā un piektajā</w:t>
            </w:r>
            <w:r w:rsidR="0079359A" w:rsidRPr="00E06D38">
              <w:rPr>
                <w:rFonts w:ascii="Times New Roman" w:eastAsia="Calibri" w:hAnsi="Times New Roman" w:cs="Times New Roman"/>
                <w:sz w:val="24"/>
                <w:szCs w:val="24"/>
              </w:rPr>
              <w:t xml:space="preserve"> </w:t>
            </w:r>
            <w:r w:rsidR="00AB133D" w:rsidRPr="00E06D38">
              <w:rPr>
                <w:rFonts w:ascii="Times New Roman" w:eastAsia="Calibri" w:hAnsi="Times New Roman" w:cs="Times New Roman"/>
                <w:sz w:val="24"/>
                <w:szCs w:val="24"/>
              </w:rPr>
              <w:t xml:space="preserve">daļā noteikto pienākumu pildīšanas. </w:t>
            </w:r>
          </w:p>
          <w:p w14:paraId="154A5C00" w14:textId="76BF0EFB" w:rsidR="001B67E8" w:rsidRPr="00E06D38" w:rsidRDefault="0087794D" w:rsidP="0018264F">
            <w:pPr>
              <w:pStyle w:val="naiskr"/>
              <w:spacing w:before="0" w:beforeAutospacing="0" w:after="0" w:afterAutospacing="0"/>
              <w:ind w:firstLine="217"/>
              <w:contextualSpacing/>
              <w:jc w:val="both"/>
            </w:pPr>
            <w:r w:rsidRPr="00E06D38">
              <w:t>Praksē konstatēts, ka L</w:t>
            </w:r>
            <w:r w:rsidR="00154A29" w:rsidRPr="00E06D38">
              <w:t>ikumā ietvertās normas attiecībā uz energoefektivitātes monitoringa sistēmas darbību nav pilnīg</w:t>
            </w:r>
            <w:r w:rsidR="00D8135A" w:rsidRPr="00E06D38">
              <w:t>a</w:t>
            </w:r>
            <w:r w:rsidR="00154A29" w:rsidRPr="00E06D38">
              <w:t xml:space="preserve">s. </w:t>
            </w:r>
            <w:r w:rsidR="003C44A6" w:rsidRPr="00E06D38">
              <w:t>Tā kā</w:t>
            </w:r>
            <w:r w:rsidR="00154A29" w:rsidRPr="00E06D38">
              <w:t xml:space="preserve"> </w:t>
            </w:r>
            <w:r w:rsidR="003C44A6" w:rsidRPr="00E06D38">
              <w:t xml:space="preserve">pašreizējā </w:t>
            </w:r>
            <w:r w:rsidR="00154A29" w:rsidRPr="00E06D38">
              <w:t xml:space="preserve">monitoringa sistēmā iztrūkst pienākums sistēmas ietvaros aprēķināt iegūtos enerģijas ietaupījumus, </w:t>
            </w:r>
            <w:r w:rsidR="001958A9" w:rsidRPr="00E06D38">
              <w:t xml:space="preserve">ar </w:t>
            </w:r>
            <w:r w:rsidR="00154A29" w:rsidRPr="00E06D38">
              <w:t>likumprojekt</w:t>
            </w:r>
            <w:r w:rsidR="001958A9" w:rsidRPr="00E06D38">
              <w:t>u ir paredzēts papildināt</w:t>
            </w:r>
            <w:r w:rsidR="00154A29" w:rsidRPr="00E06D38">
              <w:t xml:space="preserve"> </w:t>
            </w:r>
            <w:r w:rsidR="00EB577C" w:rsidRPr="00E06D38">
              <w:t xml:space="preserve">Likuma </w:t>
            </w:r>
            <w:r w:rsidR="00154A29" w:rsidRPr="00E06D38">
              <w:t>15.panta otr</w:t>
            </w:r>
            <w:r w:rsidR="001958A9" w:rsidRPr="00E06D38">
              <w:t>o</w:t>
            </w:r>
            <w:r w:rsidR="00154A29" w:rsidRPr="00E06D38">
              <w:t xml:space="preserve"> daļ</w:t>
            </w:r>
            <w:r w:rsidR="001958A9" w:rsidRPr="00E06D38">
              <w:t>u</w:t>
            </w:r>
            <w:r w:rsidR="00154A29" w:rsidRPr="00E06D38">
              <w:t xml:space="preserve"> ar pienākumu energoefektivitātes monitoringa sistēmas ietvaros veikt minētos aprēķinus.</w:t>
            </w:r>
          </w:p>
          <w:p w14:paraId="04A4BA5D" w14:textId="2C61682B" w:rsidR="001B67E8" w:rsidRPr="00E06D38" w:rsidRDefault="0087794D" w:rsidP="0025743B">
            <w:pPr>
              <w:pStyle w:val="naiskr"/>
              <w:spacing w:before="0" w:beforeAutospacing="0" w:after="0" w:afterAutospacing="0"/>
              <w:ind w:firstLine="217"/>
              <w:contextualSpacing/>
              <w:jc w:val="both"/>
            </w:pPr>
            <w:r w:rsidRPr="00E06D38">
              <w:t>Likumprojekt</w:t>
            </w:r>
            <w:r w:rsidR="00FF09A4" w:rsidRPr="00E06D38">
              <w:t>ā</w:t>
            </w:r>
            <w:r w:rsidRPr="00E06D38">
              <w:t xml:space="preserve"> ir </w:t>
            </w:r>
            <w:r w:rsidR="00FF09A4" w:rsidRPr="00E06D38">
              <w:t xml:space="preserve">paredzēts </w:t>
            </w:r>
            <w:r w:rsidRPr="00E06D38">
              <w:t>papildināt</w:t>
            </w:r>
            <w:r w:rsidR="00FF09A4" w:rsidRPr="00E06D38">
              <w:t xml:space="preserve"> Likumu</w:t>
            </w:r>
            <w:r w:rsidRPr="00E06D38">
              <w:t xml:space="preserve"> ar deleģējumu Ministru kabinetam noteikt kārtību</w:t>
            </w:r>
            <w:r w:rsidR="00F343A7" w:rsidRPr="00E06D38">
              <w:t>,</w:t>
            </w:r>
            <w:r w:rsidRPr="00E06D38">
              <w:t xml:space="preserve"> kādā atbildīgā iestāde apkopo saņemto informāciju par atsevišķiem energoefektivitātes uzlabošanas projektiem un informē atbildīgo ministriju. Minētā norma iekļauta atbilstoši </w:t>
            </w:r>
            <w:r w:rsidR="001B67E8" w:rsidRPr="00E06D38">
              <w:t xml:space="preserve">Tieslietu ministrijas </w:t>
            </w:r>
            <w:r w:rsidR="00642A51" w:rsidRPr="00E06D38">
              <w:t>20</w:t>
            </w:r>
            <w:r w:rsidR="001B67E8" w:rsidRPr="00E06D38">
              <w:t>16.</w:t>
            </w:r>
            <w:r w:rsidR="00642A51" w:rsidRPr="00E06D38">
              <w:t>gada 30.jūnija</w:t>
            </w:r>
            <w:r w:rsidR="001B67E8" w:rsidRPr="00E06D38">
              <w:t xml:space="preserve"> atzinumā Nr.1-9.1/798 par Energoefektivitātes monitoringa un piemērojamo energopārvaldības sistēmas standartu norādīt</w:t>
            </w:r>
            <w:r w:rsidR="00226F3C" w:rsidRPr="00E06D38">
              <w:t>ajam</w:t>
            </w:r>
            <w:r w:rsidR="001B67E8" w:rsidRPr="00E06D38">
              <w:t>, ka Likums nesatur pilnvarojumu Ministru kabineta</w:t>
            </w:r>
            <w:r w:rsidR="00A32FAD" w:rsidRPr="00E06D38">
              <w:t>m</w:t>
            </w:r>
            <w:r w:rsidR="001B67E8" w:rsidRPr="00E06D38">
              <w:t xml:space="preserve"> izdot attiecīga satura noteikumus.</w:t>
            </w:r>
          </w:p>
          <w:p w14:paraId="38BB87A2" w14:textId="77777777" w:rsidR="008221FC" w:rsidRPr="00E06D38" w:rsidRDefault="008221FC" w:rsidP="00F343A7">
            <w:pPr>
              <w:pStyle w:val="naiskr"/>
              <w:spacing w:before="0" w:beforeAutospacing="0" w:after="0" w:afterAutospacing="0"/>
              <w:contextualSpacing/>
              <w:jc w:val="both"/>
            </w:pPr>
          </w:p>
          <w:p w14:paraId="27DE2C96" w14:textId="155E4FD4" w:rsidR="00D815CB" w:rsidRPr="00E06D38" w:rsidRDefault="00283CC5" w:rsidP="0025743B">
            <w:pPr>
              <w:pStyle w:val="naiskr"/>
              <w:spacing w:before="0" w:beforeAutospacing="0" w:after="0" w:afterAutospacing="0"/>
              <w:ind w:firstLine="217"/>
              <w:contextualSpacing/>
              <w:jc w:val="both"/>
            </w:pPr>
            <w:r w:rsidRPr="00E06D38">
              <w:t>Likuma 17</w:t>
            </w:r>
            <w:r w:rsidR="008221FC" w:rsidRPr="00E06D38">
              <w:t>.</w:t>
            </w:r>
            <w:r w:rsidRPr="00E06D38">
              <w:t xml:space="preserve">pantā ir noteikta administratīvā atbildība par šā likuma pārkāpumiem, kas paredzēja, ka par </w:t>
            </w:r>
            <w:r w:rsidR="0093289F" w:rsidRPr="00E06D38">
              <w:t>L</w:t>
            </w:r>
            <w:r w:rsidRPr="00E06D38">
              <w:t xml:space="preserve">ikuma 6.panta piektās daļas, 10.panta.piektās daļas, kā arī 16.panta pirmās daļas prasību neizpildi attiecīgās personas saucamas pie Latvijas Administratīvo pārkāpumu kodeksā noteiktās atbildības. </w:t>
            </w:r>
            <w:r w:rsidR="009F3F86" w:rsidRPr="00E06D38">
              <w:t xml:space="preserve">Likumā minētā norma ir iekļauta atbilstoši Direktīvas 2012/27/ES 13.panta prasībām, kas nosaka, ka dalībvalstis paredz noteikumus par sankcijām un veic nepieciešamos pasākumus, lai nodrošinātu to piemērošanu. Paredzētām sankcijām jābūt efektīvām, samērīgām un preventīvām. </w:t>
            </w:r>
            <w:r w:rsidR="008221FC" w:rsidRPr="00E06D38">
              <w:t xml:space="preserve">Tā kā minētā Likuma 17.panta norma nav ieviesta, tad pašreiz </w:t>
            </w:r>
            <w:r w:rsidR="002D65CD" w:rsidRPr="00E06D38">
              <w:t>EM</w:t>
            </w:r>
            <w:r w:rsidR="008221FC" w:rsidRPr="00E06D38">
              <w:t xml:space="preserve"> nav iespējams uzlikt administratīvo sodu energoefektivitātes pienākuma shēmas (EPS) atbildīgajām pusēm kuras, atbilstoši Likuma 6.panta piektās daļas un Ministru kabineta 2017.gada 25.aprīļa noteikumu Nr.226 “Energoefektivitātes pienākuma shēmas noteikumi”</w:t>
            </w:r>
            <w:r w:rsidR="00CF6FA6" w:rsidRPr="00E06D38">
              <w:t xml:space="preserve"> (turpmāk – Noteikumi Nr.226)</w:t>
            </w:r>
            <w:r w:rsidR="008221FC" w:rsidRPr="00E06D38">
              <w:t xml:space="preserve"> 14.punkta prasībām, nav ziņojušas par iegūto enerģijas ietaupījumu. Līdz ar to </w:t>
            </w:r>
            <w:r w:rsidR="002D65CD" w:rsidRPr="00E06D38">
              <w:t xml:space="preserve">var </w:t>
            </w:r>
            <w:r w:rsidR="008221FC" w:rsidRPr="00E06D38">
              <w:lastRenderedPageBreak/>
              <w:t>neti</w:t>
            </w:r>
            <w:r w:rsidR="002D65CD" w:rsidRPr="00E06D38">
              <w:t>kt</w:t>
            </w:r>
            <w:r w:rsidR="008221FC" w:rsidRPr="00E06D38">
              <w:t xml:space="preserve"> pilnībā saņemta un uzkrāta informācija par EPS atbildīgo pušu veiktajiem energoefektivitātes pasākumiem un iegūtajiem enerģijas ietaupījumiem un līdz ar to apdraudēta Latvijai obligātā gala enerģijas ietaupījuma kumulatīvā mērķa 0,850 </w:t>
            </w:r>
            <w:proofErr w:type="spellStart"/>
            <w:r w:rsidR="008221FC" w:rsidRPr="00E06D38">
              <w:t>Mtoe</w:t>
            </w:r>
            <w:proofErr w:type="spellEnd"/>
            <w:r w:rsidR="008221FC" w:rsidRPr="00E06D38">
              <w:t xml:space="preserve"> (9896 GWh) sasniegšana. EM šobrīd nav pieejamas soda sankcijas ziņošanas pienākumu neizpildījušo EPS atbildīgo pušu</w:t>
            </w:r>
            <w:r w:rsidR="0079359A" w:rsidRPr="00E06D38">
              <w:t xml:space="preserve"> </w:t>
            </w:r>
            <w:r w:rsidR="008221FC" w:rsidRPr="00E06D38">
              <w:t xml:space="preserve">administratīvai sodīšanai. </w:t>
            </w:r>
            <w:r w:rsidRPr="00E06D38">
              <w:t xml:space="preserve">Tā kā 2018.gada 25.oktobrī ir pieņemts Administratīvās </w:t>
            </w:r>
            <w:r w:rsidR="009F3F86" w:rsidRPr="00E06D38">
              <w:t>a</w:t>
            </w:r>
            <w:r w:rsidRPr="00E06D38">
              <w:t>tbildības likums</w:t>
            </w:r>
            <w:r w:rsidR="00C40EB5" w:rsidRPr="00E06D38">
              <w:t>, kas</w:t>
            </w:r>
            <w:r w:rsidRPr="00E06D38">
              <w:t xml:space="preserve"> stāsies spēkā 2020.gada 1.janvārī, tad </w:t>
            </w:r>
            <w:r w:rsidR="007C111C" w:rsidRPr="00E06D38">
              <w:t>L</w:t>
            </w:r>
            <w:r w:rsidRPr="00E06D38">
              <w:t xml:space="preserve">ikumprojektā ir iekļauta jauna </w:t>
            </w:r>
            <w:proofErr w:type="spellStart"/>
            <w:r w:rsidRPr="00E06D38">
              <w:t>VI.nodaļa</w:t>
            </w:r>
            <w:proofErr w:type="spellEnd"/>
            <w:r w:rsidRPr="00E06D38">
              <w:t xml:space="preserve"> “Atbildība par prasību neievērošanu”. Minētā nodaļa ietver četrus pantus, kas nosaka </w:t>
            </w:r>
            <w:r w:rsidR="008221FC" w:rsidRPr="00E06D38">
              <w:t>EPS</w:t>
            </w:r>
            <w:r w:rsidRPr="00E06D38">
              <w:t xml:space="preserve"> atbildīgās puses atbildību, lielā uzņēmuma, kā arī elektroenerģijas, gāzes un siltumenerģijas tirgotāja atbildību par </w:t>
            </w:r>
            <w:r w:rsidR="00E720B9" w:rsidRPr="00E06D38">
              <w:t xml:space="preserve">Likuma </w:t>
            </w:r>
            <w:r w:rsidR="00B34DD3" w:rsidRPr="00E06D38">
              <w:t xml:space="preserve">6.panta piektās daļas, 10.panta </w:t>
            </w:r>
            <w:r w:rsidRPr="00E06D38">
              <w:t>piektās daļas, kā arī 16.panta pirmās daļas prasību neizpildi</w:t>
            </w:r>
            <w:r w:rsidR="009F3F86" w:rsidRPr="00E06D38">
              <w:t>. Visos gadījumos kā sankcija ir noteikts naudas sods</w:t>
            </w:r>
            <w:r w:rsidR="0018264F" w:rsidRPr="00E06D38">
              <w:t>.</w:t>
            </w:r>
            <w:r w:rsidR="00D815CB" w:rsidRPr="00E06D38">
              <w:t xml:space="preserve"> Atbilstoši Administratīvās atbildības likuma 16.panta otrajai daļai, viena naudas soda vienība ir pieci </w:t>
            </w:r>
            <w:r w:rsidR="00D815CB" w:rsidRPr="00E06D38">
              <w:rPr>
                <w:i/>
              </w:rPr>
              <w:t>euro</w:t>
            </w:r>
            <w:r w:rsidR="00D815CB" w:rsidRPr="00E06D38">
              <w:t xml:space="preserve"> un atbilstoši ceturtajai daļai maksimālais naudas sods fiziskajām personām ir 400</w:t>
            </w:r>
            <w:r w:rsidR="00256B0A" w:rsidRPr="00E06D38">
              <w:t>0</w:t>
            </w:r>
            <w:r w:rsidR="00D815CB" w:rsidRPr="00E06D38">
              <w:t xml:space="preserve"> naudas soda vienību</w:t>
            </w:r>
            <w:r w:rsidR="00256B0A" w:rsidRPr="00E06D38">
              <w:t xml:space="preserve"> (</w:t>
            </w:r>
            <w:r w:rsidR="00256B0A" w:rsidRPr="00E06D38">
              <w:rPr>
                <w:i/>
              </w:rPr>
              <w:t>20 000 euro</w:t>
            </w:r>
            <w:r w:rsidR="00256B0A" w:rsidRPr="00E06D38">
              <w:t>)</w:t>
            </w:r>
            <w:r w:rsidR="00D815CB" w:rsidRPr="00E06D38">
              <w:t>.</w:t>
            </w:r>
          </w:p>
          <w:p w14:paraId="34E435A2" w14:textId="77777777" w:rsidR="001A10B7" w:rsidRPr="00E06D38" w:rsidRDefault="001A10B7" w:rsidP="0025743B">
            <w:pPr>
              <w:pStyle w:val="naiskr"/>
              <w:spacing w:before="0" w:beforeAutospacing="0" w:after="0" w:afterAutospacing="0"/>
              <w:ind w:firstLine="217"/>
              <w:contextualSpacing/>
              <w:jc w:val="both"/>
            </w:pPr>
          </w:p>
          <w:p w14:paraId="2BC080E0" w14:textId="47E891C4" w:rsidR="001A10B7" w:rsidRPr="00E06D38" w:rsidRDefault="00D815CB" w:rsidP="0025743B">
            <w:pPr>
              <w:pStyle w:val="NoSpacing"/>
              <w:ind w:firstLine="217"/>
              <w:contextualSpacing/>
              <w:rPr>
                <w:sz w:val="24"/>
                <w:szCs w:val="24"/>
              </w:rPr>
            </w:pPr>
            <w:r w:rsidRPr="00E06D38">
              <w:rPr>
                <w:b/>
                <w:sz w:val="24"/>
                <w:szCs w:val="24"/>
              </w:rPr>
              <w:t xml:space="preserve">Naudas sods </w:t>
            </w:r>
            <w:r w:rsidR="00256B0A" w:rsidRPr="00E06D38">
              <w:rPr>
                <w:b/>
                <w:sz w:val="24"/>
                <w:szCs w:val="24"/>
              </w:rPr>
              <w:t>EPS</w:t>
            </w:r>
            <w:r w:rsidRPr="00E06D38">
              <w:rPr>
                <w:b/>
                <w:sz w:val="24"/>
                <w:szCs w:val="24"/>
              </w:rPr>
              <w:t xml:space="preserve"> atbildīgajai pusei </w:t>
            </w:r>
            <w:r w:rsidRPr="00E06D38">
              <w:rPr>
                <w:sz w:val="24"/>
                <w:szCs w:val="24"/>
              </w:rPr>
              <w:t xml:space="preserve">par </w:t>
            </w:r>
            <w:r w:rsidR="001969F4" w:rsidRPr="00E06D38">
              <w:rPr>
                <w:sz w:val="24"/>
                <w:szCs w:val="24"/>
              </w:rPr>
              <w:t xml:space="preserve">Likuma </w:t>
            </w:r>
            <w:r w:rsidRPr="00E06D38">
              <w:rPr>
                <w:sz w:val="24"/>
                <w:szCs w:val="24"/>
              </w:rPr>
              <w:t xml:space="preserve">6.panta piektās daļas prasību nepildīšanu ir noteikts </w:t>
            </w:r>
            <w:r w:rsidR="00555FB0" w:rsidRPr="00E06D38">
              <w:rPr>
                <w:sz w:val="24"/>
                <w:szCs w:val="24"/>
              </w:rPr>
              <w:t>četri tūkstoši naudas soda vienības</w:t>
            </w:r>
            <w:r w:rsidR="00AA7BCC" w:rsidRPr="00E06D38">
              <w:rPr>
                <w:sz w:val="24"/>
                <w:szCs w:val="24"/>
              </w:rPr>
              <w:t xml:space="preserve"> (20 000 </w:t>
            </w:r>
            <w:r w:rsidR="00AA7BCC" w:rsidRPr="00E06D38">
              <w:rPr>
                <w:i/>
                <w:sz w:val="24"/>
                <w:szCs w:val="24"/>
              </w:rPr>
              <w:t>euro</w:t>
            </w:r>
            <w:r w:rsidR="00AA7BCC" w:rsidRPr="00E06D38">
              <w:rPr>
                <w:sz w:val="24"/>
                <w:szCs w:val="24"/>
              </w:rPr>
              <w:t>)</w:t>
            </w:r>
            <w:r w:rsidR="00555FB0" w:rsidRPr="00E06D38">
              <w:rPr>
                <w:sz w:val="24"/>
                <w:szCs w:val="24"/>
              </w:rPr>
              <w:t xml:space="preserve">. </w:t>
            </w:r>
          </w:p>
          <w:p w14:paraId="776122ED" w14:textId="22626504" w:rsidR="00DD086C" w:rsidRPr="00E06D38" w:rsidRDefault="001A10B7" w:rsidP="0025743B">
            <w:pPr>
              <w:spacing w:after="0" w:line="240" w:lineRule="auto"/>
              <w:ind w:firstLine="217"/>
              <w:contextualSpacing/>
              <w:jc w:val="both"/>
              <w:rPr>
                <w:rFonts w:ascii="Times New Roman" w:eastAsia="Times New Roman" w:hAnsi="Times New Roman" w:cs="Times New Roman"/>
                <w:bCs/>
                <w:sz w:val="24"/>
                <w:szCs w:val="24"/>
                <w:lang w:eastAsia="lv-LV"/>
              </w:rPr>
            </w:pPr>
            <w:r w:rsidRPr="00E06D38">
              <w:rPr>
                <w:rFonts w:ascii="Times New Roman" w:hAnsi="Times New Roman" w:cs="Times New Roman"/>
                <w:sz w:val="24"/>
                <w:szCs w:val="24"/>
              </w:rPr>
              <w:t>Lai sods būtu samērīgs ar ieguvumu, kādu komersants varētu gūt vai ir ieguvis, neievērojot Likuma prasības,</w:t>
            </w:r>
            <w:r w:rsidR="0079359A" w:rsidRPr="00E06D38">
              <w:rPr>
                <w:rFonts w:ascii="Times New Roman" w:hAnsi="Times New Roman" w:cs="Times New Roman"/>
                <w:sz w:val="24"/>
                <w:szCs w:val="24"/>
              </w:rPr>
              <w:t xml:space="preserve"> </w:t>
            </w:r>
            <w:r w:rsidRPr="00E06D38">
              <w:rPr>
                <w:rFonts w:ascii="Times New Roman" w:hAnsi="Times New Roman" w:cs="Times New Roman"/>
                <w:sz w:val="24"/>
                <w:szCs w:val="24"/>
              </w:rPr>
              <w:t>naudas</w:t>
            </w:r>
            <w:r w:rsidR="00EE732E" w:rsidRPr="00E06D38">
              <w:rPr>
                <w:rFonts w:ascii="Times New Roman" w:hAnsi="Times New Roman" w:cs="Times New Roman"/>
                <w:sz w:val="24"/>
                <w:szCs w:val="24"/>
              </w:rPr>
              <w:t xml:space="preserve"> soda</w:t>
            </w:r>
            <w:r w:rsidRPr="00E06D38">
              <w:rPr>
                <w:rFonts w:ascii="Times New Roman" w:hAnsi="Times New Roman" w:cs="Times New Roman"/>
                <w:sz w:val="24"/>
                <w:szCs w:val="24"/>
              </w:rPr>
              <w:t xml:space="preserve"> apmērs ir saistīts ar</w:t>
            </w:r>
            <w:r w:rsidR="0079359A" w:rsidRPr="00E06D38">
              <w:rPr>
                <w:rFonts w:ascii="Times New Roman" w:hAnsi="Times New Roman" w:cs="Times New Roman"/>
                <w:sz w:val="24"/>
                <w:szCs w:val="24"/>
              </w:rPr>
              <w:t xml:space="preserve"> </w:t>
            </w:r>
            <w:r w:rsidRPr="00E06D38">
              <w:rPr>
                <w:rFonts w:ascii="Times New Roman" w:eastAsia="Times New Roman" w:hAnsi="Times New Roman" w:cs="Times New Roman"/>
                <w:bCs/>
                <w:sz w:val="24"/>
                <w:szCs w:val="24"/>
                <w:lang w:eastAsia="lv-LV"/>
              </w:rPr>
              <w:t>Ministru kabineta 2017.gada 25.aprīļa noteikumu Nr.221</w:t>
            </w:r>
            <w:r w:rsidRPr="00E06D38">
              <w:rPr>
                <w:rFonts w:ascii="Times New Roman" w:eastAsia="Times New Roman" w:hAnsi="Times New Roman" w:cs="Times New Roman"/>
                <w:sz w:val="24"/>
                <w:szCs w:val="24"/>
                <w:lang w:eastAsia="lv-LV"/>
              </w:rPr>
              <w:t xml:space="preserve"> “</w:t>
            </w:r>
            <w:r w:rsidRPr="00E06D38">
              <w:rPr>
                <w:rFonts w:ascii="Times New Roman" w:eastAsia="Times New Roman" w:hAnsi="Times New Roman" w:cs="Times New Roman"/>
                <w:bCs/>
                <w:sz w:val="24"/>
                <w:szCs w:val="24"/>
                <w:lang w:eastAsia="lv-LV"/>
              </w:rPr>
              <w:t xml:space="preserve">Noteikumi par kārtību, kādā tiek veiktas iemaksas energoefektivitātes fondos, un to apmēru, kā arī energoefektivitātes fonda līdzekļu izmantošanu” </w:t>
            </w:r>
            <w:r w:rsidR="00433C8B" w:rsidRPr="00E06D38">
              <w:rPr>
                <w:rFonts w:ascii="Times New Roman" w:eastAsia="Times New Roman" w:hAnsi="Times New Roman" w:cs="Times New Roman"/>
                <w:bCs/>
                <w:sz w:val="24"/>
                <w:szCs w:val="24"/>
                <w:lang w:eastAsia="lv-LV"/>
              </w:rPr>
              <w:t>2.</w:t>
            </w:r>
            <w:r w:rsidRPr="00E06D38">
              <w:rPr>
                <w:rFonts w:ascii="Times New Roman" w:eastAsia="Times New Roman" w:hAnsi="Times New Roman" w:cs="Times New Roman"/>
                <w:bCs/>
                <w:sz w:val="24"/>
                <w:szCs w:val="24"/>
                <w:lang w:eastAsia="lv-LV"/>
              </w:rPr>
              <w:t xml:space="preserve">punktu, kurā noteikts, ka iemaksas valsts energoefektivitātes fondā ir 70 </w:t>
            </w:r>
            <w:r w:rsidRPr="00E06D38">
              <w:rPr>
                <w:rFonts w:ascii="Times New Roman" w:eastAsia="Times New Roman" w:hAnsi="Times New Roman" w:cs="Times New Roman"/>
                <w:bCs/>
                <w:i/>
                <w:sz w:val="24"/>
                <w:szCs w:val="24"/>
                <w:lang w:eastAsia="lv-LV"/>
              </w:rPr>
              <w:t>euro</w:t>
            </w:r>
            <w:r w:rsidRPr="00E06D38">
              <w:rPr>
                <w:rFonts w:ascii="Times New Roman" w:eastAsia="Times New Roman" w:hAnsi="Times New Roman" w:cs="Times New Roman"/>
                <w:bCs/>
                <w:sz w:val="24"/>
                <w:szCs w:val="24"/>
                <w:lang w:eastAsia="lv-LV"/>
              </w:rPr>
              <w:t xml:space="preserve"> par megavatstundu.</w:t>
            </w:r>
          </w:p>
          <w:p w14:paraId="4D3876E7" w14:textId="6B6C5399" w:rsidR="00371B92" w:rsidRPr="00E06D38" w:rsidRDefault="00D815CB" w:rsidP="0025743B">
            <w:pPr>
              <w:pStyle w:val="NoSpacing"/>
              <w:ind w:firstLine="217"/>
              <w:contextualSpacing/>
              <w:rPr>
                <w:sz w:val="24"/>
                <w:szCs w:val="24"/>
              </w:rPr>
            </w:pPr>
            <w:r w:rsidRPr="00E06D38">
              <w:rPr>
                <w:sz w:val="24"/>
                <w:szCs w:val="24"/>
              </w:rPr>
              <w:t>Maksimāl</w:t>
            </w:r>
            <w:r w:rsidR="00371B92" w:rsidRPr="00E06D38">
              <w:rPr>
                <w:sz w:val="24"/>
                <w:szCs w:val="24"/>
              </w:rPr>
              <w:t>ais</w:t>
            </w:r>
            <w:r w:rsidRPr="00E06D38">
              <w:rPr>
                <w:sz w:val="24"/>
                <w:szCs w:val="24"/>
              </w:rPr>
              <w:t xml:space="preserve"> naudas sods var būt ne vairāk kā četri tūkstoši</w:t>
            </w:r>
            <w:r w:rsidR="00D03060" w:rsidRPr="00E06D38">
              <w:rPr>
                <w:sz w:val="24"/>
                <w:szCs w:val="24"/>
              </w:rPr>
              <w:t xml:space="preserve"> </w:t>
            </w:r>
            <w:r w:rsidRPr="00E06D38">
              <w:rPr>
                <w:sz w:val="24"/>
                <w:szCs w:val="24"/>
              </w:rPr>
              <w:t>naudas sodu vienību</w:t>
            </w:r>
            <w:r w:rsidR="00D03060" w:rsidRPr="00E06D38">
              <w:rPr>
                <w:sz w:val="24"/>
                <w:szCs w:val="24"/>
              </w:rPr>
              <w:t xml:space="preserve"> (</w:t>
            </w:r>
            <w:r w:rsidR="00D03060" w:rsidRPr="00E06D38">
              <w:rPr>
                <w:i/>
                <w:sz w:val="24"/>
                <w:szCs w:val="24"/>
              </w:rPr>
              <w:t>20 000 euro)</w:t>
            </w:r>
            <w:r w:rsidRPr="00E06D38">
              <w:rPr>
                <w:sz w:val="24"/>
                <w:szCs w:val="24"/>
              </w:rPr>
              <w:t>.</w:t>
            </w:r>
            <w:r w:rsidR="00371B92" w:rsidRPr="00E06D38">
              <w:rPr>
                <w:sz w:val="24"/>
                <w:szCs w:val="24"/>
              </w:rPr>
              <w:t xml:space="preserve"> Noteiktā naudas soda mērķis ir būt preventīvam līdzeklim, lai motivētu </w:t>
            </w:r>
            <w:r w:rsidR="00256B0A" w:rsidRPr="00E06D38">
              <w:rPr>
                <w:sz w:val="24"/>
                <w:szCs w:val="24"/>
              </w:rPr>
              <w:t>EPS</w:t>
            </w:r>
            <w:r w:rsidR="00371B92" w:rsidRPr="00E06D38">
              <w:rPr>
                <w:sz w:val="24"/>
                <w:szCs w:val="24"/>
              </w:rPr>
              <w:t xml:space="preserve"> atbildīgās puses katru gadu iegūt enerģijas ietaupījumus un Likumā noteiktos termiņos par tiem ziņot atbildīgajai ministrijai.</w:t>
            </w:r>
            <w:r w:rsidR="008221FC" w:rsidRPr="00E06D38">
              <w:rPr>
                <w:sz w:val="24"/>
                <w:szCs w:val="24"/>
              </w:rPr>
              <w:t xml:space="preserve"> </w:t>
            </w:r>
            <w:r w:rsidR="00256B0A" w:rsidRPr="00E06D38">
              <w:rPr>
                <w:sz w:val="24"/>
                <w:szCs w:val="24"/>
              </w:rPr>
              <w:t xml:space="preserve">Atbilstoši </w:t>
            </w:r>
            <w:r w:rsidR="00FA7B0A" w:rsidRPr="00E06D38">
              <w:rPr>
                <w:sz w:val="24"/>
                <w:szCs w:val="24"/>
              </w:rPr>
              <w:t>N</w:t>
            </w:r>
            <w:r w:rsidR="00256B0A" w:rsidRPr="00E06D38">
              <w:rPr>
                <w:sz w:val="24"/>
                <w:szCs w:val="24"/>
              </w:rPr>
              <w:t xml:space="preserve">oteikumiem Nr.226, </w:t>
            </w:r>
            <w:r w:rsidR="008221FC" w:rsidRPr="00E06D38">
              <w:rPr>
                <w:sz w:val="24"/>
                <w:szCs w:val="24"/>
              </w:rPr>
              <w:t>E</w:t>
            </w:r>
            <w:r w:rsidR="00256B0A" w:rsidRPr="00E06D38">
              <w:rPr>
                <w:sz w:val="24"/>
                <w:szCs w:val="24"/>
              </w:rPr>
              <w:t>PS</w:t>
            </w:r>
            <w:r w:rsidR="00B34DD3" w:rsidRPr="00E06D38">
              <w:rPr>
                <w:sz w:val="24"/>
                <w:szCs w:val="24"/>
              </w:rPr>
              <w:t xml:space="preserve"> </w:t>
            </w:r>
            <w:r w:rsidR="00B34DD3" w:rsidRPr="00E06D38">
              <w:rPr>
                <w:sz w:val="24"/>
                <w:szCs w:val="24"/>
                <w:lang w:eastAsia="lv-LV"/>
              </w:rPr>
              <w:t>atbildīgās puses ir elektroenerģijas tirgotāji, kuru pārdotais elektroenerģijas apjoms ir lielāks par 10 GWh un atbilstoši pieejamai informācijai, EPS atbildīgās puses kritērijiem atbilst 13 elektroenerģijas tirgotāji</w:t>
            </w:r>
            <w:r w:rsidR="00E80763" w:rsidRPr="00E06D38">
              <w:rPr>
                <w:sz w:val="24"/>
                <w:szCs w:val="24"/>
                <w:lang w:eastAsia="lv-LV"/>
              </w:rPr>
              <w:t>.</w:t>
            </w:r>
          </w:p>
          <w:p w14:paraId="07EF6D8A" w14:textId="77777777" w:rsidR="00371B92" w:rsidRPr="00E06D38" w:rsidRDefault="00371B92" w:rsidP="0025743B">
            <w:pPr>
              <w:pStyle w:val="NoSpacing"/>
              <w:ind w:firstLine="217"/>
              <w:contextualSpacing/>
              <w:rPr>
                <w:sz w:val="24"/>
                <w:szCs w:val="24"/>
              </w:rPr>
            </w:pPr>
          </w:p>
          <w:p w14:paraId="46DBE765" w14:textId="1C54DDD7" w:rsidR="00256B0A" w:rsidRPr="00E06D38" w:rsidRDefault="00371B92" w:rsidP="0025743B">
            <w:pPr>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b/>
                <w:sz w:val="24"/>
                <w:szCs w:val="24"/>
              </w:rPr>
              <w:t>Naudas sods</w:t>
            </w:r>
            <w:r w:rsidR="0079359A" w:rsidRPr="00E06D38">
              <w:rPr>
                <w:rFonts w:ascii="Times New Roman" w:hAnsi="Times New Roman" w:cs="Times New Roman"/>
                <w:b/>
                <w:sz w:val="24"/>
                <w:szCs w:val="24"/>
              </w:rPr>
              <w:t xml:space="preserve"> </w:t>
            </w:r>
            <w:r w:rsidRPr="00E06D38">
              <w:rPr>
                <w:rFonts w:ascii="Times New Roman" w:hAnsi="Times New Roman" w:cs="Times New Roman"/>
                <w:b/>
                <w:sz w:val="24"/>
                <w:szCs w:val="24"/>
              </w:rPr>
              <w:t>lielajam uzņēmumam</w:t>
            </w:r>
            <w:r w:rsidRPr="00E06D38">
              <w:rPr>
                <w:rFonts w:ascii="Times New Roman" w:hAnsi="Times New Roman" w:cs="Times New Roman"/>
                <w:sz w:val="24"/>
                <w:szCs w:val="24"/>
              </w:rPr>
              <w:t xml:space="preserve"> par likuma obligātā energoaudita neveikšanu vai sertificētas energopārvaldības sistēmas neieviešanu vai vides pārvaldības sistēmas nepapildināšanu ar enerģētikas datiem </w:t>
            </w:r>
            <w:r w:rsidR="00D03060" w:rsidRPr="00E06D38">
              <w:rPr>
                <w:rFonts w:ascii="Times New Roman" w:hAnsi="Times New Roman" w:cs="Times New Roman"/>
                <w:sz w:val="24"/>
                <w:szCs w:val="24"/>
              </w:rPr>
              <w:t>likumā noteiktā termiņā, ir noteikts</w:t>
            </w:r>
            <w:r w:rsidR="00555FB0" w:rsidRPr="00E06D38">
              <w:rPr>
                <w:rFonts w:ascii="Times New Roman" w:hAnsi="Times New Roman" w:cs="Times New Roman"/>
                <w:sz w:val="24"/>
                <w:szCs w:val="24"/>
              </w:rPr>
              <w:t xml:space="preserve"> četri tūkstoši</w:t>
            </w:r>
            <w:r w:rsidR="00AA7BCC" w:rsidRPr="00E06D38">
              <w:rPr>
                <w:rFonts w:ascii="Times New Roman" w:hAnsi="Times New Roman" w:cs="Times New Roman"/>
                <w:sz w:val="24"/>
                <w:szCs w:val="24"/>
              </w:rPr>
              <w:t xml:space="preserve"> (20 000 </w:t>
            </w:r>
            <w:r w:rsidR="00AA7BCC" w:rsidRPr="00E06D38">
              <w:rPr>
                <w:rFonts w:ascii="Times New Roman" w:hAnsi="Times New Roman" w:cs="Times New Roman"/>
                <w:i/>
                <w:sz w:val="24"/>
                <w:szCs w:val="24"/>
              </w:rPr>
              <w:t>euro</w:t>
            </w:r>
            <w:r w:rsidR="00AA7BCC" w:rsidRPr="00E06D38">
              <w:rPr>
                <w:rFonts w:ascii="Times New Roman" w:hAnsi="Times New Roman" w:cs="Times New Roman"/>
                <w:sz w:val="24"/>
                <w:szCs w:val="24"/>
              </w:rPr>
              <w:t>)</w:t>
            </w:r>
            <w:r w:rsidR="00555FB0" w:rsidRPr="00E06D38">
              <w:rPr>
                <w:rFonts w:ascii="Times New Roman" w:hAnsi="Times New Roman" w:cs="Times New Roman"/>
                <w:sz w:val="24"/>
                <w:szCs w:val="24"/>
              </w:rPr>
              <w:t xml:space="preserve"> naudas soda vienību</w:t>
            </w:r>
            <w:r w:rsidRPr="00E06D38">
              <w:rPr>
                <w:rFonts w:ascii="Times New Roman" w:hAnsi="Times New Roman" w:cs="Times New Roman"/>
                <w:sz w:val="24"/>
                <w:szCs w:val="24"/>
              </w:rPr>
              <w:t xml:space="preserve"> apmērā</w:t>
            </w:r>
            <w:r w:rsidR="00CF142C" w:rsidRPr="00E06D38">
              <w:rPr>
                <w:rFonts w:ascii="Times New Roman" w:hAnsi="Times New Roman" w:cs="Times New Roman"/>
                <w:sz w:val="24"/>
                <w:szCs w:val="24"/>
              </w:rPr>
              <w:t>.</w:t>
            </w:r>
            <w:r w:rsidR="00D03060" w:rsidRPr="00E06D38">
              <w:rPr>
                <w:rFonts w:ascii="Times New Roman" w:hAnsi="Times New Roman" w:cs="Times New Roman"/>
                <w:sz w:val="24"/>
                <w:szCs w:val="24"/>
              </w:rPr>
              <w:t xml:space="preserve"> </w:t>
            </w:r>
            <w:r w:rsidR="001F1D3D" w:rsidRPr="00E06D38">
              <w:rPr>
                <w:rFonts w:ascii="Times New Roman" w:hAnsi="Times New Roman" w:cs="Times New Roman"/>
                <w:sz w:val="24"/>
                <w:szCs w:val="24"/>
              </w:rPr>
              <w:t xml:space="preserve">Naudas soda apmērs lielajam uzņēmumam </w:t>
            </w:r>
            <w:r w:rsidR="001F1D3D" w:rsidRPr="00E06D38">
              <w:rPr>
                <w:rFonts w:ascii="Times New Roman" w:hAnsi="Times New Roman" w:cs="Times New Roman"/>
                <w:sz w:val="24"/>
                <w:szCs w:val="24"/>
              </w:rPr>
              <w:lastRenderedPageBreak/>
              <w:t>ir saistīts ar l</w:t>
            </w:r>
            <w:r w:rsidR="008B4140" w:rsidRPr="00E06D38">
              <w:rPr>
                <w:rFonts w:ascii="Times New Roman" w:hAnsi="Times New Roman" w:cs="Times New Roman"/>
                <w:sz w:val="24"/>
                <w:szCs w:val="24"/>
              </w:rPr>
              <w:t>ī</w:t>
            </w:r>
            <w:r w:rsidR="001F1D3D" w:rsidRPr="00E06D38">
              <w:rPr>
                <w:rFonts w:ascii="Times New Roman" w:hAnsi="Times New Roman" w:cs="Times New Roman"/>
                <w:sz w:val="24"/>
                <w:szCs w:val="24"/>
              </w:rPr>
              <w:t xml:space="preserve">dz šim nomaksātās energoefektivitātes nodevas vidējo apmēru </w:t>
            </w:r>
            <w:r w:rsidR="001A10B7" w:rsidRPr="00E06D38">
              <w:rPr>
                <w:rFonts w:ascii="Times New Roman" w:hAnsi="Times New Roman" w:cs="Times New Roman"/>
                <w:sz w:val="24"/>
                <w:szCs w:val="24"/>
              </w:rPr>
              <w:t xml:space="preserve">37,8 tūkst. </w:t>
            </w:r>
            <w:r w:rsidR="001A10B7" w:rsidRPr="00E06D38">
              <w:rPr>
                <w:rFonts w:ascii="Times New Roman" w:hAnsi="Times New Roman" w:cs="Times New Roman"/>
                <w:i/>
                <w:sz w:val="24"/>
                <w:szCs w:val="24"/>
              </w:rPr>
              <w:t>euro</w:t>
            </w:r>
            <w:r w:rsidR="001F1D3D" w:rsidRPr="00E06D38">
              <w:rPr>
                <w:rFonts w:ascii="Times New Roman" w:hAnsi="Times New Roman" w:cs="Times New Roman"/>
                <w:i/>
                <w:sz w:val="24"/>
                <w:szCs w:val="24"/>
              </w:rPr>
              <w:t>.</w:t>
            </w:r>
            <w:r w:rsidR="001F1D3D" w:rsidRPr="00E06D38">
              <w:rPr>
                <w:rFonts w:ascii="Times New Roman" w:hAnsi="Times New Roman" w:cs="Times New Roman"/>
                <w:sz w:val="24"/>
                <w:szCs w:val="24"/>
              </w:rPr>
              <w:t xml:space="preserve"> </w:t>
            </w:r>
            <w:r w:rsidR="00D03060" w:rsidRPr="00E06D38">
              <w:rPr>
                <w:rFonts w:ascii="Times New Roman" w:hAnsi="Times New Roman" w:cs="Times New Roman"/>
                <w:sz w:val="24"/>
                <w:szCs w:val="24"/>
              </w:rPr>
              <w:t>Noteiktā naudas soda mērķis ir būt preventīvam līdzeklim, lai motivētu lielos uzņēmumus</w:t>
            </w:r>
            <w:r w:rsidR="0079359A" w:rsidRPr="00E06D38">
              <w:rPr>
                <w:rFonts w:ascii="Times New Roman" w:hAnsi="Times New Roman" w:cs="Times New Roman"/>
                <w:sz w:val="24"/>
                <w:szCs w:val="24"/>
              </w:rPr>
              <w:t xml:space="preserve"> </w:t>
            </w:r>
            <w:r w:rsidR="00D03060" w:rsidRPr="00E06D38">
              <w:rPr>
                <w:rFonts w:ascii="Times New Roman" w:hAnsi="Times New Roman" w:cs="Times New Roman"/>
                <w:sz w:val="24"/>
                <w:szCs w:val="24"/>
              </w:rPr>
              <w:t>Likumā noteiktajos termiņos veikt obligātos, regulāros uzņēmuma energoauditus.</w:t>
            </w:r>
            <w:r w:rsidR="00B34DD3" w:rsidRPr="00E06D38">
              <w:rPr>
                <w:rFonts w:ascii="Times New Roman" w:hAnsi="Times New Roman" w:cs="Times New Roman"/>
                <w:sz w:val="24"/>
                <w:szCs w:val="24"/>
              </w:rPr>
              <w:t xml:space="preserve"> Likumprojektā iekļauta norma, kas nosaka, ka lielajam uzņēmuma, kas vienlaicīgi ir arī lielais elektroenerģijas patērētājs un tam ir piemērota energoefektivitātes nodeva, nevar uzlikt naud</w:t>
            </w:r>
            <w:r w:rsidR="006E51E9" w:rsidRPr="00E06D38">
              <w:rPr>
                <w:rFonts w:ascii="Times New Roman" w:hAnsi="Times New Roman" w:cs="Times New Roman"/>
                <w:sz w:val="24"/>
                <w:szCs w:val="24"/>
              </w:rPr>
              <w:t>as sodu</w:t>
            </w:r>
            <w:r w:rsidR="00B34DD3" w:rsidRPr="00E06D38">
              <w:rPr>
                <w:rFonts w:ascii="Times New Roman" w:hAnsi="Times New Roman" w:cs="Times New Roman"/>
                <w:sz w:val="24"/>
                <w:szCs w:val="24"/>
              </w:rPr>
              <w:t xml:space="preserve"> par </w:t>
            </w:r>
            <w:r w:rsidR="000D5F27" w:rsidRPr="00E06D38">
              <w:rPr>
                <w:rFonts w:ascii="Times New Roman" w:hAnsi="Times New Roman" w:cs="Times New Roman"/>
                <w:sz w:val="24"/>
                <w:szCs w:val="24"/>
              </w:rPr>
              <w:t>L</w:t>
            </w:r>
            <w:r w:rsidR="00B34DD3" w:rsidRPr="00E06D38">
              <w:rPr>
                <w:rFonts w:ascii="Times New Roman" w:hAnsi="Times New Roman" w:cs="Times New Roman"/>
                <w:sz w:val="24"/>
                <w:szCs w:val="24"/>
              </w:rPr>
              <w:t>ikuma 10.panta piektās daļas prasību nepildīšanu.</w:t>
            </w:r>
            <w:r w:rsidR="008221FC" w:rsidRPr="00E06D38">
              <w:rPr>
                <w:rFonts w:ascii="Times New Roman" w:hAnsi="Times New Roman" w:cs="Times New Roman"/>
                <w:sz w:val="24"/>
                <w:szCs w:val="24"/>
              </w:rPr>
              <w:t xml:space="preserve"> </w:t>
            </w:r>
            <w:r w:rsidR="008221FC" w:rsidRPr="00E06D38">
              <w:rPr>
                <w:rFonts w:ascii="Times New Roman" w:eastAsia="Times New Roman" w:hAnsi="Times New Roman" w:cs="Times New Roman"/>
                <w:sz w:val="24"/>
                <w:szCs w:val="24"/>
                <w:lang w:eastAsia="lv-LV"/>
              </w:rPr>
              <w:t>2016.gadā lielo uzņēmumu sarakstā bija 228 komersanti, un par obligātā energoaudita veikšanu līdz 2018.gada 20.novembrim ir</w:t>
            </w:r>
            <w:r w:rsidR="0079359A" w:rsidRPr="00E06D38">
              <w:rPr>
                <w:rFonts w:ascii="Times New Roman" w:eastAsia="Times New Roman" w:hAnsi="Times New Roman" w:cs="Times New Roman"/>
                <w:sz w:val="24"/>
                <w:szCs w:val="24"/>
                <w:lang w:eastAsia="lv-LV"/>
              </w:rPr>
              <w:t xml:space="preserve"> </w:t>
            </w:r>
            <w:r w:rsidR="008221FC" w:rsidRPr="00E06D38">
              <w:rPr>
                <w:rFonts w:ascii="Times New Roman" w:eastAsia="Times New Roman" w:hAnsi="Times New Roman" w:cs="Times New Roman"/>
                <w:sz w:val="24"/>
                <w:szCs w:val="24"/>
                <w:lang w:eastAsia="lv-LV"/>
              </w:rPr>
              <w:t>ziņojuši 199 lielie uzņēmumi.</w:t>
            </w:r>
            <w:r w:rsidR="00256B0A" w:rsidRPr="00E06D38">
              <w:rPr>
                <w:rFonts w:ascii="Times New Roman" w:eastAsia="Times New Roman" w:hAnsi="Times New Roman" w:cs="Times New Roman"/>
                <w:sz w:val="24"/>
                <w:szCs w:val="24"/>
                <w:lang w:eastAsia="lv-LV"/>
              </w:rPr>
              <w:t xml:space="preserve"> </w:t>
            </w:r>
            <w:r w:rsidR="00256B0A" w:rsidRPr="00E06D38">
              <w:rPr>
                <w:rFonts w:ascii="Times New Roman" w:hAnsi="Times New Roman" w:cs="Times New Roman"/>
                <w:sz w:val="24"/>
                <w:szCs w:val="24"/>
              </w:rPr>
              <w:t xml:space="preserve">Atbilstoši EM pieņemtajiem lēmumiem, 5 lielie uzņēmumi, kas vienlaicīgi ir arī lielie elektroenerģijas patērētāji un nav izpildījuši Likumā noteiktās prasības, ir nomaksājuši energoefektivitātes nodevu. Vidējais nomaksātās nodevas apmērs vienam uzņēmumam ir 37,8 tūkst. </w:t>
            </w:r>
            <w:r w:rsidR="00256B0A" w:rsidRPr="00E06D38">
              <w:rPr>
                <w:rFonts w:ascii="Times New Roman" w:hAnsi="Times New Roman" w:cs="Times New Roman"/>
                <w:i/>
                <w:sz w:val="24"/>
                <w:szCs w:val="24"/>
              </w:rPr>
              <w:t>euro</w:t>
            </w:r>
            <w:r w:rsidR="00256B0A" w:rsidRPr="00E06D38">
              <w:rPr>
                <w:rFonts w:ascii="Times New Roman" w:hAnsi="Times New Roman" w:cs="Times New Roman"/>
                <w:sz w:val="24"/>
                <w:szCs w:val="24"/>
              </w:rPr>
              <w:t xml:space="preserve">. </w:t>
            </w:r>
          </w:p>
          <w:p w14:paraId="569BD4A4" w14:textId="3094C0AF" w:rsidR="00D03060" w:rsidRPr="00E06D38" w:rsidRDefault="00D03060" w:rsidP="0025743B">
            <w:pPr>
              <w:pStyle w:val="NoSpacing"/>
              <w:ind w:firstLine="217"/>
              <w:contextualSpacing/>
              <w:rPr>
                <w:sz w:val="24"/>
                <w:szCs w:val="24"/>
              </w:rPr>
            </w:pPr>
          </w:p>
          <w:p w14:paraId="5AFE15C9" w14:textId="5D281AD7" w:rsidR="00CF142C" w:rsidRPr="00E06D38" w:rsidRDefault="00D03060" w:rsidP="0018264F">
            <w:pPr>
              <w:pStyle w:val="NoSpacing"/>
              <w:contextualSpacing/>
              <w:rPr>
                <w:i/>
                <w:sz w:val="24"/>
                <w:szCs w:val="24"/>
              </w:rPr>
            </w:pPr>
            <w:r w:rsidRPr="00E06D38">
              <w:rPr>
                <w:b/>
                <w:sz w:val="24"/>
                <w:szCs w:val="24"/>
              </w:rPr>
              <w:t xml:space="preserve">Naudas sods elektroenerģijas, gāzes un siltumenerģijas tirgotājiem </w:t>
            </w:r>
            <w:r w:rsidRPr="00E06D38">
              <w:rPr>
                <w:sz w:val="24"/>
                <w:szCs w:val="24"/>
              </w:rPr>
              <w:t>par atsevišķas samaksas pieprasī</w:t>
            </w:r>
            <w:r w:rsidR="00B34DD3" w:rsidRPr="00E06D38">
              <w:rPr>
                <w:sz w:val="24"/>
                <w:szCs w:val="24"/>
              </w:rPr>
              <w:t>šanu no gal</w:t>
            </w:r>
            <w:r w:rsidRPr="00E06D38">
              <w:rPr>
                <w:sz w:val="24"/>
                <w:szCs w:val="24"/>
              </w:rPr>
              <w:t xml:space="preserve">alietotājiem par rēķinu vai rēķinu informāciju, kā arī pieeju galalietotāja enerģijas patēriņa datiem, ir noteikts </w:t>
            </w:r>
            <w:r w:rsidR="00CF142C" w:rsidRPr="00E06D38">
              <w:rPr>
                <w:sz w:val="24"/>
                <w:szCs w:val="24"/>
              </w:rPr>
              <w:t>četri tūkstoši</w:t>
            </w:r>
            <w:r w:rsidR="00AA7BCC" w:rsidRPr="00E06D38">
              <w:rPr>
                <w:sz w:val="24"/>
                <w:szCs w:val="24"/>
              </w:rPr>
              <w:t xml:space="preserve"> (20 000 </w:t>
            </w:r>
            <w:r w:rsidR="00AA7BCC" w:rsidRPr="00E06D38">
              <w:rPr>
                <w:i/>
                <w:sz w:val="24"/>
                <w:szCs w:val="24"/>
              </w:rPr>
              <w:t>euro</w:t>
            </w:r>
            <w:r w:rsidR="00AA7BCC" w:rsidRPr="00E06D38">
              <w:rPr>
                <w:sz w:val="24"/>
                <w:szCs w:val="24"/>
              </w:rPr>
              <w:t>)</w:t>
            </w:r>
            <w:r w:rsidR="00CF142C" w:rsidRPr="00E06D38">
              <w:rPr>
                <w:sz w:val="24"/>
                <w:szCs w:val="24"/>
              </w:rPr>
              <w:t xml:space="preserve"> naudas soda vienības.</w:t>
            </w:r>
          </w:p>
          <w:p w14:paraId="1877CB47" w14:textId="77651EC4" w:rsidR="009D3DC8" w:rsidRPr="00E06D38" w:rsidRDefault="00B34DD3"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hAnsi="Times New Roman" w:cs="Times New Roman"/>
                <w:sz w:val="24"/>
                <w:szCs w:val="24"/>
              </w:rPr>
              <w:t>Noteiktā naudas soda mērķis ir būt preventīvam līdzeklim, lai atturētu elektroenerģijas, gāzes un siltumenerģijas tirgotājus</w:t>
            </w:r>
            <w:r w:rsidR="0079359A" w:rsidRPr="00E06D38">
              <w:rPr>
                <w:rFonts w:ascii="Times New Roman" w:hAnsi="Times New Roman" w:cs="Times New Roman"/>
                <w:b/>
                <w:sz w:val="24"/>
                <w:szCs w:val="24"/>
              </w:rPr>
              <w:t xml:space="preserve"> </w:t>
            </w:r>
            <w:r w:rsidRPr="00E06D38">
              <w:rPr>
                <w:rFonts w:ascii="Times New Roman" w:hAnsi="Times New Roman" w:cs="Times New Roman"/>
                <w:sz w:val="24"/>
                <w:szCs w:val="24"/>
              </w:rPr>
              <w:t>no atsevišķas samaksas pieprasīšanas no galalietotājiem par rēķinu vai rēķinu informāciju, kā arī par pieeju galalietotāja enerģijas patēriņa datiem.</w:t>
            </w:r>
            <w:r w:rsidR="008221FC" w:rsidRPr="00E06D38">
              <w:rPr>
                <w:rFonts w:ascii="Times New Roman" w:hAnsi="Times New Roman" w:cs="Times New Roman"/>
                <w:sz w:val="24"/>
                <w:szCs w:val="24"/>
              </w:rPr>
              <w:t xml:space="preserve"> </w:t>
            </w:r>
            <w:r w:rsidR="008221FC" w:rsidRPr="00E06D38">
              <w:rPr>
                <w:rFonts w:ascii="Times New Roman" w:eastAsia="Times New Roman" w:hAnsi="Times New Roman" w:cs="Times New Roman"/>
                <w:sz w:val="24"/>
                <w:szCs w:val="24"/>
                <w:lang w:eastAsia="lv-LV"/>
              </w:rPr>
              <w:t>Pašlaik sabiedrisko pakalpojumu regulēšanas komisijā ir reģistrēti 28 gāzes, 78 elektroenerģijas un 79 siltumenerģijas tirgotāji, uz kuriem attiecas Likuma</w:t>
            </w:r>
            <w:r w:rsidR="000C7A0E" w:rsidRPr="00E06D38">
              <w:rPr>
                <w:rFonts w:ascii="Times New Roman" w:eastAsia="Times New Roman" w:hAnsi="Times New Roman" w:cs="Times New Roman"/>
                <w:sz w:val="24"/>
                <w:szCs w:val="24"/>
                <w:lang w:eastAsia="lv-LV"/>
              </w:rPr>
              <w:t xml:space="preserve"> </w:t>
            </w:r>
            <w:r w:rsidR="008221FC" w:rsidRPr="00E06D38">
              <w:rPr>
                <w:rFonts w:ascii="Times New Roman" w:eastAsia="Times New Roman" w:hAnsi="Times New Roman" w:cs="Times New Roman"/>
                <w:sz w:val="24"/>
                <w:szCs w:val="24"/>
                <w:lang w:eastAsia="lv-LV"/>
              </w:rPr>
              <w:t>16.panta pirmajā daļā noteiktais aizliegums par atsevišķas samaksas pieprasīšanu no galalietotāja par iespēju saņemt rēķinu, rēķinu informāciju un pieeju galalietotāja enerģijas patēriņa datiem.</w:t>
            </w:r>
          </w:p>
        </w:tc>
      </w:tr>
      <w:tr w:rsidR="00BE10FA" w:rsidRPr="00E06D38" w14:paraId="7080F327" w14:textId="77777777" w:rsidTr="0079359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5ED60CB"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EA70104"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67DEFC46" w14:textId="6D479A9B" w:rsidR="00894C55" w:rsidRPr="00E06D38" w:rsidRDefault="00426193" w:rsidP="00962D3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EM</w:t>
            </w:r>
          </w:p>
        </w:tc>
      </w:tr>
      <w:tr w:rsidR="00BE10FA" w:rsidRPr="00E06D38" w14:paraId="31DDCB0A" w14:textId="77777777" w:rsidTr="0079359A">
        <w:tc>
          <w:tcPr>
            <w:tcW w:w="250" w:type="pct"/>
            <w:tcBorders>
              <w:top w:val="outset" w:sz="6" w:space="0" w:color="414142"/>
              <w:left w:val="outset" w:sz="6" w:space="0" w:color="414142"/>
              <w:bottom w:val="outset" w:sz="6" w:space="0" w:color="414142"/>
              <w:right w:val="outset" w:sz="6" w:space="0" w:color="414142"/>
            </w:tcBorders>
            <w:hideMark/>
          </w:tcPr>
          <w:p w14:paraId="1DFD0453"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9BA006"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356BEAE" w14:textId="77777777" w:rsidR="00894C55" w:rsidRPr="00E06D38" w:rsidRDefault="0024502B"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Nav</w:t>
                </w:r>
              </w:p>
            </w:tc>
          </w:sdtContent>
        </w:sdt>
      </w:tr>
    </w:tbl>
    <w:p w14:paraId="24C31075" w14:textId="77777777" w:rsidR="00894C55" w:rsidRPr="00E06D38" w:rsidRDefault="00894C55" w:rsidP="00962D32">
      <w:pPr>
        <w:shd w:val="clear" w:color="auto" w:fill="FFFFFF"/>
        <w:spacing w:after="0" w:line="240" w:lineRule="auto"/>
        <w:ind w:firstLine="301"/>
        <w:contextualSpacing/>
        <w:rPr>
          <w:rFonts w:ascii="Times New Roman" w:eastAsia="Times New Roman" w:hAnsi="Times New Roman" w:cs="Times New Roman"/>
          <w:sz w:val="24"/>
          <w:szCs w:val="24"/>
          <w:lang w:eastAsia="lv-LV"/>
        </w:rPr>
      </w:pPr>
    </w:p>
    <w:p w14:paraId="6A5B1977" w14:textId="77777777" w:rsidR="00B80599" w:rsidRPr="00E06D38" w:rsidRDefault="00B80599" w:rsidP="00962D32">
      <w:pPr>
        <w:shd w:val="clear" w:color="auto" w:fill="FFFFFF"/>
        <w:spacing w:after="0" w:line="240" w:lineRule="auto"/>
        <w:ind w:firstLine="301"/>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581"/>
        <w:gridCol w:w="3068"/>
        <w:gridCol w:w="5406"/>
      </w:tblGrid>
      <w:tr w:rsidR="00EB70B8" w:rsidRPr="00E06D38" w14:paraId="6FF0B844" w14:textId="77777777" w:rsidTr="0079359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ECD694" w14:textId="77777777" w:rsidR="00B80599" w:rsidRPr="00E06D38" w:rsidRDefault="00B80599" w:rsidP="0031741E">
            <w:pPr>
              <w:spacing w:after="0" w:line="240" w:lineRule="auto"/>
              <w:contextualSpacing/>
              <w:jc w:val="center"/>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B70B8" w:rsidRPr="00E06D38" w14:paraId="25580085"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D9F401"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728209"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Sabiedrības </w:t>
            </w:r>
            <w:proofErr w:type="spellStart"/>
            <w:r w:rsidRPr="00E06D38">
              <w:rPr>
                <w:rFonts w:ascii="Times New Roman" w:eastAsia="Times New Roman" w:hAnsi="Times New Roman" w:cs="Times New Roman"/>
                <w:iCs/>
                <w:sz w:val="24"/>
                <w:szCs w:val="24"/>
                <w:lang w:eastAsia="lv-LV"/>
              </w:rPr>
              <w:t>mērķgrupas</w:t>
            </w:r>
            <w:proofErr w:type="spellEnd"/>
            <w:r w:rsidRPr="00E06D3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F36B88" w14:textId="7FE2DB8F" w:rsidR="00087FA7" w:rsidRPr="00E06D38" w:rsidRDefault="00AA59A6"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EPS atbildīgās puses, lielie uzņēmumi, elektroenerģijas, </w:t>
            </w:r>
            <w:r w:rsidRPr="00E06D38">
              <w:rPr>
                <w:rFonts w:ascii="Times New Roman" w:eastAsia="Times New Roman" w:hAnsi="Times New Roman" w:cs="Times New Roman"/>
                <w:sz w:val="24"/>
                <w:szCs w:val="24"/>
                <w:lang w:eastAsia="lv-LV"/>
              </w:rPr>
              <w:t>gāzes un siltumenerģijas tirgotāji</w:t>
            </w:r>
          </w:p>
          <w:p w14:paraId="50714B06"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p>
        </w:tc>
      </w:tr>
      <w:tr w:rsidR="00EB70B8" w:rsidRPr="00E06D38" w14:paraId="517DF2D6"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8B1E7"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A6DBE9E"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F3662C0" w14:textId="2E214E98" w:rsidR="008B6A46" w:rsidRPr="00E06D38" w:rsidRDefault="00663D63"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hAnsi="Times New Roman" w:cs="Times New Roman"/>
                <w:iCs/>
                <w:sz w:val="24"/>
                <w:szCs w:val="24"/>
              </w:rPr>
              <w:t xml:space="preserve">Tiesiskajam regulējumam prognozējama pozitīva ietekme uz tautsaimniecību. </w:t>
            </w:r>
            <w:r w:rsidR="001F1D3D" w:rsidRPr="00E06D38">
              <w:rPr>
                <w:rFonts w:ascii="Times New Roman" w:hAnsi="Times New Roman" w:cs="Times New Roman"/>
                <w:iCs/>
                <w:sz w:val="24"/>
                <w:szCs w:val="24"/>
              </w:rPr>
              <w:t xml:space="preserve">Likumprojektā ietvertās normas sakārtos līdz šim strīdīgās vai neskaidrās Likuma normas. </w:t>
            </w:r>
            <w:r w:rsidRPr="00E06D38">
              <w:rPr>
                <w:rFonts w:ascii="Times New Roman" w:hAnsi="Times New Roman" w:cs="Times New Roman"/>
                <w:iCs/>
                <w:sz w:val="24"/>
                <w:szCs w:val="24"/>
              </w:rPr>
              <w:t>Likumprojektā ietvertā</w:t>
            </w:r>
            <w:r w:rsidR="001F1D3D" w:rsidRPr="00E06D38">
              <w:rPr>
                <w:rFonts w:ascii="Times New Roman" w:hAnsi="Times New Roman" w:cs="Times New Roman"/>
                <w:iCs/>
                <w:sz w:val="24"/>
                <w:szCs w:val="24"/>
              </w:rPr>
              <w:t xml:space="preserve"> administratīvā atbildība</w:t>
            </w:r>
            <w:r w:rsidRPr="00E06D38">
              <w:rPr>
                <w:rFonts w:ascii="Times New Roman" w:hAnsi="Times New Roman" w:cs="Times New Roman"/>
                <w:sz w:val="24"/>
                <w:szCs w:val="24"/>
              </w:rPr>
              <w:t xml:space="preserve"> ir</w:t>
            </w:r>
            <w:r w:rsidR="001F1D3D" w:rsidRPr="00E06D38">
              <w:rPr>
                <w:rFonts w:ascii="Times New Roman" w:hAnsi="Times New Roman" w:cs="Times New Roman"/>
                <w:sz w:val="24"/>
                <w:szCs w:val="24"/>
              </w:rPr>
              <w:t xml:space="preserve"> samērīga</w:t>
            </w:r>
            <w:r w:rsidR="009F4CAC" w:rsidRPr="00E06D38">
              <w:rPr>
                <w:rFonts w:ascii="Times New Roman" w:hAnsi="Times New Roman" w:cs="Times New Roman"/>
                <w:sz w:val="24"/>
                <w:szCs w:val="24"/>
              </w:rPr>
              <w:t>,</w:t>
            </w:r>
            <w:r w:rsidR="001F1D3D" w:rsidRPr="00E06D38">
              <w:rPr>
                <w:rFonts w:ascii="Times New Roman" w:hAnsi="Times New Roman" w:cs="Times New Roman"/>
                <w:sz w:val="24"/>
                <w:szCs w:val="24"/>
              </w:rPr>
              <w:t xml:space="preserve"> efektīva un preventīva</w:t>
            </w:r>
            <w:r w:rsidRPr="00E06D38">
              <w:rPr>
                <w:rFonts w:ascii="Times New Roman" w:hAnsi="Times New Roman" w:cs="Times New Roman"/>
                <w:sz w:val="24"/>
                <w:szCs w:val="24"/>
              </w:rPr>
              <w:t xml:space="preserve"> un kopumā</w:t>
            </w:r>
            <w:r w:rsidR="008B6A46" w:rsidRPr="00E06D38">
              <w:rPr>
                <w:rFonts w:ascii="Times New Roman" w:hAnsi="Times New Roman" w:cs="Times New Roman"/>
                <w:sz w:val="24"/>
                <w:szCs w:val="24"/>
              </w:rPr>
              <w:t xml:space="preserve"> veicinās valsts obligātā gala enerģijas ietaupījuma mērķa sasniegšanu</w:t>
            </w:r>
            <w:r w:rsidR="00165A0C" w:rsidRPr="00E06D38">
              <w:rPr>
                <w:rFonts w:ascii="Times New Roman" w:hAnsi="Times New Roman" w:cs="Times New Roman"/>
                <w:sz w:val="24"/>
                <w:szCs w:val="24"/>
              </w:rPr>
              <w:t xml:space="preserve">. </w:t>
            </w:r>
            <w:r w:rsidR="00165A0C" w:rsidRPr="00E06D38">
              <w:rPr>
                <w:rFonts w:ascii="Times New Roman" w:eastAsia="Times New Roman" w:hAnsi="Times New Roman" w:cs="Times New Roman"/>
                <w:iCs/>
                <w:sz w:val="24"/>
                <w:szCs w:val="24"/>
                <w:lang w:eastAsia="lv-LV"/>
              </w:rPr>
              <w:t xml:space="preserve">Likumprojektā noteiktās normas ietekmēs tās EPS atbildīgās puses, lielos uzņēmumus un elektroenerģijas, </w:t>
            </w:r>
            <w:r w:rsidR="00165A0C" w:rsidRPr="00E06D38">
              <w:rPr>
                <w:rFonts w:ascii="Times New Roman" w:eastAsia="Times New Roman" w:hAnsi="Times New Roman" w:cs="Times New Roman"/>
                <w:sz w:val="24"/>
                <w:szCs w:val="24"/>
                <w:lang w:eastAsia="lv-LV"/>
              </w:rPr>
              <w:t>gāzes un siltumenerģijas tirgotājus</w:t>
            </w:r>
            <w:r w:rsidR="00610B00" w:rsidRPr="00E06D38">
              <w:rPr>
                <w:rFonts w:ascii="Times New Roman" w:eastAsia="Times New Roman" w:hAnsi="Times New Roman" w:cs="Times New Roman"/>
                <w:sz w:val="24"/>
                <w:szCs w:val="24"/>
                <w:lang w:eastAsia="lv-LV"/>
              </w:rPr>
              <w:t>,</w:t>
            </w:r>
            <w:r w:rsidR="00165A0C" w:rsidRPr="00E06D38">
              <w:rPr>
                <w:rFonts w:ascii="Times New Roman" w:eastAsia="Times New Roman" w:hAnsi="Times New Roman" w:cs="Times New Roman"/>
                <w:sz w:val="24"/>
                <w:szCs w:val="24"/>
                <w:lang w:eastAsia="lv-LV"/>
              </w:rPr>
              <w:t xml:space="preserve"> kuri nepilda </w:t>
            </w:r>
            <w:r w:rsidR="009F4CAC" w:rsidRPr="00E06D38">
              <w:rPr>
                <w:rFonts w:ascii="Times New Roman" w:eastAsia="Times New Roman" w:hAnsi="Times New Roman" w:cs="Times New Roman"/>
                <w:sz w:val="24"/>
                <w:szCs w:val="24"/>
                <w:lang w:eastAsia="lv-LV"/>
              </w:rPr>
              <w:t>L</w:t>
            </w:r>
            <w:r w:rsidR="00165A0C" w:rsidRPr="00E06D38">
              <w:rPr>
                <w:rFonts w:ascii="Times New Roman" w:eastAsia="Times New Roman" w:hAnsi="Times New Roman" w:cs="Times New Roman"/>
                <w:sz w:val="24"/>
                <w:szCs w:val="24"/>
                <w:lang w:eastAsia="lv-LV"/>
              </w:rPr>
              <w:t xml:space="preserve">ikuma 17.panta prasības. </w:t>
            </w:r>
          </w:p>
          <w:p w14:paraId="64775828" w14:textId="6B6148B8" w:rsidR="00663D63" w:rsidRPr="00E06D38" w:rsidRDefault="00663D63" w:rsidP="00962D32">
            <w:pPr>
              <w:spacing w:after="0" w:line="240" w:lineRule="auto"/>
              <w:contextualSpacing/>
              <w:jc w:val="both"/>
              <w:rPr>
                <w:rFonts w:ascii="Times New Roman" w:hAnsi="Times New Roman" w:cs="Times New Roman"/>
                <w:sz w:val="24"/>
                <w:szCs w:val="24"/>
              </w:rPr>
            </w:pPr>
            <w:r w:rsidRPr="00E06D38">
              <w:rPr>
                <w:rFonts w:ascii="Times New Roman" w:hAnsi="Times New Roman" w:cs="Times New Roman"/>
                <w:iCs/>
                <w:sz w:val="24"/>
                <w:szCs w:val="24"/>
              </w:rPr>
              <w:t>Administratīvā sloga palielināšanās ir iespējama komersantam gadījumos, ja tam nav iespējams vai tas nevēlas izpildīt Likumā noteiktos pienākumus.</w:t>
            </w:r>
            <w:r w:rsidR="0079359A" w:rsidRPr="00E06D38">
              <w:rPr>
                <w:rFonts w:ascii="Times New Roman" w:hAnsi="Times New Roman" w:cs="Times New Roman"/>
                <w:iCs/>
                <w:sz w:val="24"/>
                <w:szCs w:val="24"/>
              </w:rPr>
              <w:t xml:space="preserve"> </w:t>
            </w:r>
          </w:p>
        </w:tc>
      </w:tr>
      <w:tr w:rsidR="00EB70B8" w:rsidRPr="00E06D38" w14:paraId="0E0D0D63"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9E2B1"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DA902C"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7D9A2BA" w14:textId="56DA1C1B" w:rsidR="00C325BE" w:rsidRPr="00E06D38" w:rsidRDefault="00C325BE" w:rsidP="0079359A">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Administratīvo izmaksu novērtējumā iekļauts aprēķins par Likumprojektā minētā naudas </w:t>
            </w:r>
            <w:r w:rsidR="00885BAF" w:rsidRPr="00E06D38">
              <w:rPr>
                <w:rFonts w:ascii="Times New Roman" w:eastAsia="Times New Roman" w:hAnsi="Times New Roman" w:cs="Times New Roman"/>
                <w:sz w:val="24"/>
                <w:szCs w:val="24"/>
                <w:lang w:eastAsia="lv-LV"/>
              </w:rPr>
              <w:t xml:space="preserve">soda </w:t>
            </w:r>
            <w:r w:rsidRPr="00E06D38">
              <w:rPr>
                <w:rFonts w:ascii="Times New Roman" w:eastAsia="Times New Roman" w:hAnsi="Times New Roman" w:cs="Times New Roman"/>
                <w:sz w:val="24"/>
                <w:szCs w:val="24"/>
                <w:lang w:eastAsia="lv-LV"/>
              </w:rPr>
              <w:t>piemērošanas administrēšanas izmaksām.</w:t>
            </w:r>
          </w:p>
          <w:p w14:paraId="5344A2FE" w14:textId="77777777" w:rsidR="00C325BE" w:rsidRPr="00E06D38" w:rsidRDefault="00C325BE" w:rsidP="0079359A">
            <w:pPr>
              <w:spacing w:after="0" w:line="240" w:lineRule="auto"/>
              <w:contextualSpacing/>
              <w:jc w:val="both"/>
              <w:rPr>
                <w:rFonts w:ascii="Times New Roman" w:hAnsi="Times New Roman" w:cs="Times New Roman"/>
                <w:sz w:val="24"/>
                <w:szCs w:val="24"/>
              </w:rPr>
            </w:pPr>
            <w:r w:rsidRPr="00E06D38">
              <w:rPr>
                <w:rFonts w:ascii="Times New Roman" w:hAnsi="Times New Roman" w:cs="Times New Roman"/>
                <w:sz w:val="24"/>
                <w:szCs w:val="24"/>
              </w:rPr>
              <w:t>C = (f x l) x (n x b), kur</w:t>
            </w:r>
          </w:p>
          <w:p w14:paraId="0B2DD9EC" w14:textId="087529DA" w:rsidR="00C325BE" w:rsidRPr="00E06D38" w:rsidRDefault="00C325BE" w:rsidP="0079359A">
            <w:pPr>
              <w:spacing w:after="0" w:line="240" w:lineRule="auto"/>
              <w:contextualSpacing/>
              <w:jc w:val="both"/>
              <w:rPr>
                <w:rFonts w:ascii="Times New Roman" w:hAnsi="Times New Roman" w:cs="Times New Roman"/>
                <w:sz w:val="24"/>
                <w:szCs w:val="24"/>
              </w:rPr>
            </w:pPr>
            <w:r w:rsidRPr="00E06D38">
              <w:rPr>
                <w:rFonts w:ascii="Times New Roman" w:hAnsi="Times New Roman" w:cs="Times New Roman"/>
                <w:b/>
                <w:sz w:val="24"/>
                <w:szCs w:val="24"/>
              </w:rPr>
              <w:t>C</w:t>
            </w:r>
            <w:r w:rsidRPr="00E06D38">
              <w:rPr>
                <w:rFonts w:ascii="Times New Roman" w:hAnsi="Times New Roman" w:cs="Times New Roman"/>
                <w:sz w:val="24"/>
                <w:szCs w:val="24"/>
              </w:rPr>
              <w:t xml:space="preserve"> –</w:t>
            </w:r>
            <w:r w:rsidR="002C2FD7" w:rsidRPr="00E06D38">
              <w:rPr>
                <w:rFonts w:ascii="Times New Roman" w:hAnsi="Times New Roman" w:cs="Times New Roman"/>
                <w:sz w:val="24"/>
                <w:szCs w:val="24"/>
              </w:rPr>
              <w:t xml:space="preserve"> </w:t>
            </w:r>
            <w:r w:rsidRPr="00E06D38">
              <w:rPr>
                <w:rFonts w:ascii="Times New Roman" w:eastAsia="Times New Roman" w:hAnsi="Times New Roman" w:cs="Times New Roman"/>
                <w:sz w:val="24"/>
                <w:szCs w:val="24"/>
                <w:lang w:eastAsia="lv-LV"/>
              </w:rPr>
              <w:t xml:space="preserve">naudas </w:t>
            </w:r>
            <w:r w:rsidR="002C2FD7" w:rsidRPr="00E06D38">
              <w:rPr>
                <w:rFonts w:ascii="Times New Roman" w:eastAsia="Times New Roman" w:hAnsi="Times New Roman" w:cs="Times New Roman"/>
                <w:sz w:val="24"/>
                <w:szCs w:val="24"/>
                <w:lang w:eastAsia="lv-LV"/>
              </w:rPr>
              <w:t xml:space="preserve">soda </w:t>
            </w:r>
            <w:r w:rsidRPr="00E06D38">
              <w:rPr>
                <w:rFonts w:ascii="Times New Roman" w:eastAsia="Times New Roman" w:hAnsi="Times New Roman" w:cs="Times New Roman"/>
                <w:sz w:val="24"/>
                <w:szCs w:val="24"/>
                <w:lang w:eastAsia="lv-LV"/>
              </w:rPr>
              <w:t>piemērošanas administrēšanas izmaksas</w:t>
            </w:r>
            <w:r w:rsidRPr="00E06D38">
              <w:rPr>
                <w:rFonts w:ascii="Times New Roman" w:hAnsi="Times New Roman" w:cs="Times New Roman"/>
                <w:sz w:val="24"/>
                <w:szCs w:val="24"/>
              </w:rPr>
              <w:t>;</w:t>
            </w:r>
          </w:p>
          <w:p w14:paraId="790DD892" w14:textId="2CB0DC83" w:rsidR="00C325BE" w:rsidRPr="00E06D38" w:rsidRDefault="00C325BE" w:rsidP="0079359A">
            <w:pPr>
              <w:pStyle w:val="tv213"/>
              <w:spacing w:before="0" w:beforeAutospacing="0" w:after="0" w:afterAutospacing="0"/>
              <w:contextualSpacing/>
              <w:jc w:val="both"/>
            </w:pPr>
            <w:r w:rsidRPr="00E06D38">
              <w:rPr>
                <w:b/>
              </w:rPr>
              <w:t>f</w:t>
            </w:r>
            <w:r w:rsidRPr="00E06D38">
              <w:t xml:space="preserve"> – stundas samaksas likme sabiedriskajā sektorā – aprēķināta, dalot vidējo mēneša algu sabiedriskajā sektorā (pēc Centrālās statistikas pārvaldes tīmekļvietnes </w:t>
            </w:r>
            <w:hyperlink r:id="rId7" w:history="1">
              <w:r w:rsidRPr="00E06D38">
                <w:rPr>
                  <w:rStyle w:val="Hyperlink"/>
                  <w:color w:val="auto"/>
                </w:rPr>
                <w:t>www.csb.gov.lv</w:t>
              </w:r>
            </w:hyperlink>
            <w:r w:rsidRPr="00E06D38">
              <w:t xml:space="preserve"> datiem 2017. gadā tā bija 951,00 </w:t>
            </w:r>
            <w:r w:rsidRPr="00E06D38">
              <w:rPr>
                <w:i/>
              </w:rPr>
              <w:t xml:space="preserve">euro </w:t>
            </w:r>
            <w:r w:rsidRPr="00E06D38">
              <w:t xml:space="preserve">mēnesī) ar Darba likuma 131.panta pirmajā daļā minēto normālo darba laiku (40 stundas nedēļā x 4 = 160 stundas mēnesī) = </w:t>
            </w:r>
            <w:r w:rsidRPr="00E06D38">
              <w:rPr>
                <w:b/>
              </w:rPr>
              <w:t>5,94 </w:t>
            </w:r>
            <w:r w:rsidRPr="00E06D38">
              <w:rPr>
                <w:b/>
                <w:i/>
              </w:rPr>
              <w:t>euro</w:t>
            </w:r>
            <w:r w:rsidRPr="00E06D38">
              <w:rPr>
                <w:b/>
              </w:rPr>
              <w:t xml:space="preserve"> stundā</w:t>
            </w:r>
            <w:r w:rsidRPr="00E06D38">
              <w:t>;</w:t>
            </w:r>
          </w:p>
          <w:p w14:paraId="233A4ED4" w14:textId="11D35535" w:rsidR="00C325BE" w:rsidRPr="00E06D38" w:rsidRDefault="00C325BE" w:rsidP="0079359A">
            <w:pPr>
              <w:pStyle w:val="tv213"/>
              <w:spacing w:before="0" w:beforeAutospacing="0" w:after="0" w:afterAutospacing="0"/>
              <w:contextualSpacing/>
              <w:jc w:val="both"/>
            </w:pPr>
            <w:r w:rsidRPr="00E06D38">
              <w:rPr>
                <w:b/>
              </w:rPr>
              <w:t xml:space="preserve">l </w:t>
            </w:r>
            <w:r w:rsidRPr="00E06D38">
              <w:t xml:space="preserve">– laika patēriņš, kas nepieciešams, lai administrētu naudas </w:t>
            </w:r>
            <w:r w:rsidR="002C2FD7" w:rsidRPr="00E06D38">
              <w:t xml:space="preserve">soda </w:t>
            </w:r>
            <w:r w:rsidRPr="00E06D38">
              <w:t xml:space="preserve">noteikšanu vienam komersantam – </w:t>
            </w:r>
            <w:r w:rsidRPr="00E06D38">
              <w:rPr>
                <w:b/>
              </w:rPr>
              <w:t>24 stundas</w:t>
            </w:r>
            <w:r w:rsidRPr="00E06D38">
              <w:t>;</w:t>
            </w:r>
          </w:p>
          <w:p w14:paraId="0EEEE32D" w14:textId="444F0A35" w:rsidR="00C325BE" w:rsidRPr="00E06D38" w:rsidRDefault="00C325BE" w:rsidP="0079359A">
            <w:pPr>
              <w:pStyle w:val="tv213"/>
              <w:spacing w:before="0" w:beforeAutospacing="0" w:after="0" w:afterAutospacing="0"/>
              <w:contextualSpacing/>
              <w:jc w:val="both"/>
              <w:rPr>
                <w:b/>
              </w:rPr>
            </w:pPr>
            <w:r w:rsidRPr="00E06D38">
              <w:rPr>
                <w:b/>
              </w:rPr>
              <w:t>n</w:t>
            </w:r>
            <w:r w:rsidRPr="00E06D38">
              <w:t xml:space="preserve"> – komersantu skaits, uz ko attiecas projektā paredzētās prasības –</w:t>
            </w:r>
            <w:r w:rsidR="00342B7A" w:rsidRPr="00E06D38">
              <w:t xml:space="preserve"> </w:t>
            </w:r>
            <w:r w:rsidRPr="00E06D38">
              <w:rPr>
                <w:b/>
              </w:rPr>
              <w:t xml:space="preserve">50 komersanti </w:t>
            </w:r>
            <w:r w:rsidRPr="00E06D38">
              <w:t>(pieņēmums, ka lielākā daļa komersantu izpildīs Likumā noteiktās prasības);</w:t>
            </w:r>
          </w:p>
          <w:p w14:paraId="7D8DE5BF" w14:textId="737890E4" w:rsidR="00C325BE" w:rsidRPr="00E06D38" w:rsidRDefault="00C325BE" w:rsidP="0079359A">
            <w:pPr>
              <w:pStyle w:val="tv213"/>
              <w:spacing w:before="0" w:beforeAutospacing="0" w:after="0" w:afterAutospacing="0"/>
              <w:contextualSpacing/>
              <w:jc w:val="both"/>
            </w:pPr>
            <w:r w:rsidRPr="00E06D38">
              <w:rPr>
                <w:b/>
              </w:rPr>
              <w:t>b</w:t>
            </w:r>
            <w:r w:rsidRPr="00E06D38">
              <w:t xml:space="preserve"> –</w:t>
            </w:r>
            <w:r w:rsidR="00201AF0" w:rsidRPr="00E06D38">
              <w:t xml:space="preserve"> </w:t>
            </w:r>
            <w:r w:rsidRPr="00E06D38">
              <w:t xml:space="preserve">naudas </w:t>
            </w:r>
            <w:r w:rsidR="00201AF0" w:rsidRPr="00E06D38">
              <w:t xml:space="preserve">soda </w:t>
            </w:r>
            <w:r w:rsidRPr="00E06D38">
              <w:t xml:space="preserve">piemērošanas biežums – </w:t>
            </w:r>
            <w:r w:rsidRPr="00E06D38">
              <w:rPr>
                <w:b/>
              </w:rPr>
              <w:t>1 reizi</w:t>
            </w:r>
            <w:r w:rsidRPr="00E06D38">
              <w:t xml:space="preserve"> </w:t>
            </w:r>
          </w:p>
          <w:p w14:paraId="47B3DDA0" w14:textId="77777777" w:rsidR="00C325BE" w:rsidRPr="00E06D38" w:rsidRDefault="00C325BE" w:rsidP="0079359A">
            <w:pPr>
              <w:pStyle w:val="tv213"/>
              <w:spacing w:before="0" w:beforeAutospacing="0" w:after="0" w:afterAutospacing="0"/>
              <w:contextualSpacing/>
              <w:jc w:val="both"/>
            </w:pPr>
          </w:p>
          <w:p w14:paraId="5A4A2C19" w14:textId="77777777" w:rsidR="00C325BE" w:rsidRPr="00E06D38" w:rsidRDefault="00C325BE" w:rsidP="0079359A">
            <w:pPr>
              <w:pStyle w:val="tv213"/>
              <w:spacing w:before="0" w:beforeAutospacing="0" w:after="0" w:afterAutospacing="0"/>
              <w:contextualSpacing/>
              <w:jc w:val="both"/>
            </w:pPr>
            <w:r w:rsidRPr="00E06D38">
              <w:t xml:space="preserve">Aprēķins: </w:t>
            </w:r>
          </w:p>
          <w:p w14:paraId="6A8AA747" w14:textId="77777777" w:rsidR="00C325BE" w:rsidRPr="00E06D38" w:rsidRDefault="00C325BE" w:rsidP="0079359A">
            <w:pPr>
              <w:pStyle w:val="tv213"/>
              <w:spacing w:before="0" w:beforeAutospacing="0" w:after="0" w:afterAutospacing="0"/>
              <w:contextualSpacing/>
              <w:jc w:val="both"/>
              <w:rPr>
                <w:b/>
                <w:i/>
              </w:rPr>
            </w:pPr>
            <w:r w:rsidRPr="00E06D38">
              <w:rPr>
                <w:b/>
              </w:rPr>
              <w:t xml:space="preserve">C = (5,94x 24) x (50x 1) = 7 128 </w:t>
            </w:r>
            <w:r w:rsidRPr="00E06D38">
              <w:rPr>
                <w:b/>
                <w:i/>
              </w:rPr>
              <w:t>euro</w:t>
            </w:r>
          </w:p>
          <w:p w14:paraId="644033B8" w14:textId="77777777" w:rsidR="00B80599" w:rsidRPr="00E06D38" w:rsidRDefault="00B80599" w:rsidP="00962D32">
            <w:pPr>
              <w:spacing w:after="0" w:line="240" w:lineRule="auto"/>
              <w:contextualSpacing/>
              <w:jc w:val="both"/>
              <w:rPr>
                <w:rFonts w:ascii="Times New Roman" w:hAnsi="Times New Roman" w:cs="Times New Roman"/>
                <w:sz w:val="24"/>
                <w:szCs w:val="24"/>
              </w:rPr>
            </w:pPr>
          </w:p>
        </w:tc>
      </w:tr>
      <w:tr w:rsidR="00EB70B8" w:rsidRPr="00E06D38" w14:paraId="65D33922"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745E4"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D0F4C5"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B2B91" w14:textId="28907E69" w:rsidR="00B80599" w:rsidRPr="00E06D38" w:rsidRDefault="00C325BE"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sz w:val="24"/>
                <w:szCs w:val="24"/>
                <w:lang w:eastAsia="lv-LV"/>
              </w:rPr>
              <w:t xml:space="preserve"> Atbilstības izmaksas ir līdzvērtīgas administratīvajām izmaksām, kas tiek rēķinātas pēc anotācijas II. sadaļas 3. punktā minētās formulas, tomēr precīzu novērtējumu ir iespējams veikt tikai brīdī, kad ir skaidrs komersantu skaits, ka</w:t>
            </w:r>
            <w:r w:rsidR="00002D56" w:rsidRPr="00E06D38">
              <w:rPr>
                <w:rFonts w:ascii="Times New Roman" w:eastAsia="Times New Roman" w:hAnsi="Times New Roman" w:cs="Times New Roman"/>
                <w:sz w:val="24"/>
                <w:szCs w:val="24"/>
                <w:lang w:eastAsia="lv-LV"/>
              </w:rPr>
              <w:t>m tiks piemē</w:t>
            </w:r>
            <w:r w:rsidRPr="00E06D38">
              <w:rPr>
                <w:rFonts w:ascii="Times New Roman" w:eastAsia="Times New Roman" w:hAnsi="Times New Roman" w:cs="Times New Roman"/>
                <w:sz w:val="24"/>
                <w:szCs w:val="24"/>
                <w:lang w:eastAsia="lv-LV"/>
              </w:rPr>
              <w:t>rot</w:t>
            </w:r>
            <w:r w:rsidR="001851D6" w:rsidRPr="00E06D38">
              <w:rPr>
                <w:rFonts w:ascii="Times New Roman" w:eastAsia="Times New Roman" w:hAnsi="Times New Roman" w:cs="Times New Roman"/>
                <w:sz w:val="24"/>
                <w:szCs w:val="24"/>
                <w:lang w:eastAsia="lv-LV"/>
              </w:rPr>
              <w:t>s</w:t>
            </w:r>
            <w:r w:rsidRPr="00E06D38">
              <w:rPr>
                <w:rFonts w:ascii="Times New Roman" w:eastAsia="Times New Roman" w:hAnsi="Times New Roman" w:cs="Times New Roman"/>
                <w:sz w:val="24"/>
                <w:szCs w:val="24"/>
                <w:lang w:eastAsia="lv-LV"/>
              </w:rPr>
              <w:t xml:space="preserve"> </w:t>
            </w:r>
            <w:r w:rsidR="001851D6" w:rsidRPr="00E06D38">
              <w:rPr>
                <w:rFonts w:ascii="Times New Roman" w:eastAsia="Times New Roman" w:hAnsi="Times New Roman" w:cs="Times New Roman"/>
                <w:sz w:val="24"/>
                <w:szCs w:val="24"/>
                <w:lang w:eastAsia="lv-LV"/>
              </w:rPr>
              <w:t xml:space="preserve">naudas </w:t>
            </w:r>
            <w:r w:rsidRPr="00E06D38">
              <w:rPr>
                <w:rFonts w:ascii="Times New Roman" w:eastAsia="Times New Roman" w:hAnsi="Times New Roman" w:cs="Times New Roman"/>
                <w:sz w:val="24"/>
                <w:szCs w:val="24"/>
                <w:lang w:eastAsia="lv-LV"/>
              </w:rPr>
              <w:t>sod</w:t>
            </w:r>
            <w:r w:rsidR="005F7279" w:rsidRPr="00E06D38">
              <w:rPr>
                <w:rFonts w:ascii="Times New Roman" w:eastAsia="Times New Roman" w:hAnsi="Times New Roman" w:cs="Times New Roman"/>
                <w:sz w:val="24"/>
                <w:szCs w:val="24"/>
                <w:lang w:eastAsia="lv-LV"/>
              </w:rPr>
              <w:t>s</w:t>
            </w:r>
            <w:r w:rsidRPr="00E06D38">
              <w:rPr>
                <w:rFonts w:ascii="Times New Roman" w:eastAsia="Times New Roman" w:hAnsi="Times New Roman" w:cs="Times New Roman"/>
                <w:sz w:val="24"/>
                <w:szCs w:val="24"/>
                <w:lang w:eastAsia="lv-LV"/>
              </w:rPr>
              <w:t>.</w:t>
            </w:r>
          </w:p>
        </w:tc>
      </w:tr>
      <w:tr w:rsidR="00EB70B8" w:rsidRPr="00E06D38" w14:paraId="79653056"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3B6EC"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7CD7951"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B3DC62" w14:textId="77777777" w:rsidR="005D0F37" w:rsidRPr="00E06D38" w:rsidRDefault="005D0F37"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p w14:paraId="3F1A9223"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p>
        </w:tc>
      </w:tr>
    </w:tbl>
    <w:p w14:paraId="39FC5B76" w14:textId="67780333" w:rsidR="00B80599" w:rsidRPr="00E06D38" w:rsidRDefault="0079359A"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B70B8" w:rsidRPr="00E06D38" w14:paraId="3A0F3D6D" w14:textId="77777777" w:rsidTr="00C325B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14DA066" w14:textId="77777777" w:rsidR="00B80599" w:rsidRPr="00E06D38" w:rsidRDefault="00B80599" w:rsidP="0031741E">
            <w:pPr>
              <w:spacing w:after="0" w:line="240" w:lineRule="auto"/>
              <w:contextualSpacing/>
              <w:jc w:val="center"/>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III. Tiesību akta projekta ietekme uz valsts budžetu un pašvaldību budžetiem</w:t>
            </w:r>
          </w:p>
        </w:tc>
      </w:tr>
      <w:tr w:rsidR="00EB70B8" w:rsidRPr="00E06D38" w14:paraId="0DF6A4B9" w14:textId="77777777" w:rsidTr="00C325BE">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5B4464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F9F1A9"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2018</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2B8934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Turpmākie trīs gadi (</w:t>
            </w:r>
            <w:r w:rsidRPr="00E06D38">
              <w:rPr>
                <w:rFonts w:ascii="Times New Roman" w:eastAsia="Times New Roman" w:hAnsi="Times New Roman" w:cs="Times New Roman"/>
                <w:i/>
                <w:iCs/>
                <w:sz w:val="24"/>
                <w:szCs w:val="24"/>
                <w:lang w:eastAsia="lv-LV"/>
              </w:rPr>
              <w:t>euro</w:t>
            </w:r>
            <w:r w:rsidRPr="00E06D38">
              <w:rPr>
                <w:rFonts w:ascii="Times New Roman" w:eastAsia="Times New Roman" w:hAnsi="Times New Roman" w:cs="Times New Roman"/>
                <w:iCs/>
                <w:sz w:val="24"/>
                <w:szCs w:val="24"/>
                <w:lang w:eastAsia="lv-LV"/>
              </w:rPr>
              <w:t>)</w:t>
            </w:r>
          </w:p>
        </w:tc>
      </w:tr>
      <w:tr w:rsidR="00EB70B8" w:rsidRPr="00E06D38" w14:paraId="66B8B850" w14:textId="77777777" w:rsidTr="00C325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19FAD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B8D55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ADD05CF"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C348733"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33A7C9"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2021</w:t>
            </w:r>
          </w:p>
        </w:tc>
      </w:tr>
      <w:tr w:rsidR="00EB70B8" w:rsidRPr="00E06D38" w14:paraId="6F711F28" w14:textId="77777777" w:rsidTr="00C325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83BD4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4018CC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81D64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05451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39711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B3FCA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F0A48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5A82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salīdzinot ar vidēja termiņa budžeta ietvaru n+2 gadam</w:t>
            </w:r>
          </w:p>
        </w:tc>
      </w:tr>
      <w:tr w:rsidR="00EB70B8" w:rsidRPr="00E06D38" w14:paraId="74B5342D"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1C541E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7D5AC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0A92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356E9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DF9C2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753D3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BAF6D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9BAFD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8</w:t>
            </w:r>
          </w:p>
        </w:tc>
      </w:tr>
      <w:tr w:rsidR="00EB70B8" w:rsidRPr="00E06D38" w14:paraId="3528FBA4"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69F8C3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D3338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6BE30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F19DD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405B2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F4D2A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4276C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D3CB4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1FCD38C1"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04A8E9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4BD57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494E6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51F6F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7D813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D2AFB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CA53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A709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779CC7E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0701E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1E72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EBE7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8EC3D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FCB1E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41C2C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B5B9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5561F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0DE2297"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ACD99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3F0B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D5555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370C4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DE98F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F3D2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90F6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D1ACC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181F6C24"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E1BB9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E68DA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D5654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9A7F2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0CBD6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CB082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03F9F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9924A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5BFB0E4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845C4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D4AFF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E611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90174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D91FB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A24FB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863E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7DD25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60F8EF91"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5F75E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A52D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89DA7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F4D4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94067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C8D82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815B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071D3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6E802E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0B820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8896D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0FB4C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9848F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33BE1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103F1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511AD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7E860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3C23950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DC3006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F4202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8247B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071A1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1BF6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9979D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E4CEC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DD8AD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0578458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18CEE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C5ADC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A8D14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70B7A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416F7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5EB34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106C5B"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19B66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41BB99FF"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0EE11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DD316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BD095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1D49E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A89B8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62580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D7551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9144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460B6928"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0F99F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915EE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2D88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6887C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2CEE7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C57F5B"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3B95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B605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3A1B3D61"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CDF9E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4. Finanšu līdzekļi papildu izdevumu finansēšanai (kompensējošu izdevumu </w:t>
            </w:r>
            <w:r w:rsidRPr="00E06D38">
              <w:rPr>
                <w:rFonts w:ascii="Times New Roman" w:eastAsia="Times New Roman" w:hAnsi="Times New Roman" w:cs="Times New Roman"/>
                <w:iCs/>
                <w:sz w:val="24"/>
                <w:szCs w:val="24"/>
                <w:lang w:eastAsia="lv-LV"/>
              </w:rPr>
              <w:lastRenderedPageBreak/>
              <w:t>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F9BD21"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9987E"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FBBFD34"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ED8F2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99AE2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BABF9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560C1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00142D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0E765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FDF2972"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F45D094"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45FB99F"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4760EC5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C57AEC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7AD9EF92"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8B30C"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F89825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95A192C"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40849775"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39B3419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2CE90345"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022F42B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2009E0"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A27BF93"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11ED5C26"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59F4C6F0"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1E80DAA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5051F17E"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72AA5606"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B3099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8283A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9DA203B"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6DC2D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D792C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527E2B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32813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A9508C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EB1A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723B1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0EE7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786B780A"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1343B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19738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1712C9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C9CD4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1D48D0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44CB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B70FC2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852F1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1D85166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E901C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F7248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A4085E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5E310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8CD82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4C2F0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3B3D1A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7E54B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54FD3D02"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B81A3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2D1C847" w14:textId="685A062B" w:rsidR="00B80599" w:rsidRPr="00E06D38" w:rsidRDefault="005D0F37"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rPr>
              <w:t xml:space="preserve">Likumprojekts ietekmē valsts budžeta ieņēmumu daļu. Taču šobrīd precīza ietekme uz valsts budžetu nav nosakāma, </w:t>
            </w:r>
            <w:r w:rsidR="002F6BCE" w:rsidRPr="00E06D38">
              <w:rPr>
                <w:rFonts w:ascii="Times New Roman" w:hAnsi="Times New Roman" w:cs="Times New Roman"/>
                <w:sz w:val="24"/>
                <w:szCs w:val="24"/>
              </w:rPr>
              <w:t xml:space="preserve">jo </w:t>
            </w:r>
            <w:r w:rsidRPr="00E06D38">
              <w:rPr>
                <w:rFonts w:ascii="Times New Roman" w:hAnsi="Times New Roman" w:cs="Times New Roman"/>
                <w:sz w:val="24"/>
                <w:szCs w:val="24"/>
              </w:rPr>
              <w:t xml:space="preserve">līdz šim naudas </w:t>
            </w:r>
            <w:r w:rsidR="00201AF0" w:rsidRPr="00E06D38">
              <w:rPr>
                <w:rFonts w:ascii="Times New Roman" w:hAnsi="Times New Roman" w:cs="Times New Roman"/>
                <w:sz w:val="24"/>
                <w:szCs w:val="24"/>
              </w:rPr>
              <w:t xml:space="preserve">sods </w:t>
            </w:r>
            <w:r w:rsidRPr="00E06D38">
              <w:rPr>
                <w:rFonts w:ascii="Times New Roman" w:hAnsi="Times New Roman" w:cs="Times New Roman"/>
                <w:sz w:val="24"/>
                <w:szCs w:val="24"/>
              </w:rPr>
              <w:t>nav piemērots. Atbilstoši Likuma regulējumam nauda</w:t>
            </w:r>
            <w:r w:rsidR="005C0649" w:rsidRPr="00E06D38">
              <w:rPr>
                <w:rFonts w:ascii="Times New Roman" w:hAnsi="Times New Roman" w:cs="Times New Roman"/>
                <w:sz w:val="24"/>
                <w:szCs w:val="24"/>
              </w:rPr>
              <w:t>s sods</w:t>
            </w:r>
            <w:r w:rsidRPr="00E06D38">
              <w:rPr>
                <w:rFonts w:ascii="Times New Roman" w:hAnsi="Times New Roman" w:cs="Times New Roman"/>
                <w:sz w:val="24"/>
                <w:szCs w:val="24"/>
              </w:rPr>
              <w:t xml:space="preserve"> būs maksājama tikai tad, ja komersants nav </w:t>
            </w:r>
            <w:r w:rsidR="00234CFC" w:rsidRPr="00E06D38">
              <w:rPr>
                <w:rFonts w:ascii="Times New Roman" w:hAnsi="Times New Roman" w:cs="Times New Roman"/>
                <w:sz w:val="24"/>
                <w:szCs w:val="24"/>
              </w:rPr>
              <w:t xml:space="preserve">izpildījis </w:t>
            </w:r>
            <w:r w:rsidRPr="00E06D38">
              <w:rPr>
                <w:rFonts w:ascii="Times New Roman" w:hAnsi="Times New Roman" w:cs="Times New Roman"/>
                <w:sz w:val="24"/>
                <w:szCs w:val="24"/>
              </w:rPr>
              <w:t>normatīvajos aktos noteiktās prasības. Tādējādi šobrīd nav precīzi prognozējams komersantu skaits, kuram būtu nosakāms naudas</w:t>
            </w:r>
            <w:r w:rsidR="00DB2706" w:rsidRPr="00E06D38">
              <w:rPr>
                <w:rFonts w:ascii="Times New Roman" w:hAnsi="Times New Roman" w:cs="Times New Roman"/>
                <w:sz w:val="24"/>
                <w:szCs w:val="24"/>
              </w:rPr>
              <w:t xml:space="preserve"> sods</w:t>
            </w:r>
            <w:r w:rsidRPr="00E06D38">
              <w:rPr>
                <w:rFonts w:ascii="Times New Roman" w:hAnsi="Times New Roman" w:cs="Times New Roman"/>
                <w:sz w:val="24"/>
                <w:szCs w:val="24"/>
              </w:rPr>
              <w:t xml:space="preserve">. </w:t>
            </w:r>
            <w:r w:rsidR="00EB402A" w:rsidRPr="00E06D38">
              <w:rPr>
                <w:rFonts w:ascii="Times New Roman" w:hAnsi="Times New Roman" w:cs="Times New Roman"/>
                <w:sz w:val="24"/>
                <w:szCs w:val="24"/>
              </w:rPr>
              <w:t>N</w:t>
            </w:r>
            <w:r w:rsidRPr="00E06D38">
              <w:rPr>
                <w:rFonts w:ascii="Times New Roman" w:hAnsi="Times New Roman" w:cs="Times New Roman"/>
                <w:sz w:val="24"/>
                <w:szCs w:val="24"/>
              </w:rPr>
              <w:t xml:space="preserve">audas </w:t>
            </w:r>
            <w:r w:rsidR="00EB402A" w:rsidRPr="00E06D38">
              <w:rPr>
                <w:rFonts w:ascii="Times New Roman" w:hAnsi="Times New Roman" w:cs="Times New Roman"/>
                <w:sz w:val="24"/>
                <w:szCs w:val="24"/>
              </w:rPr>
              <w:t xml:space="preserve">soda </w:t>
            </w:r>
            <w:r w:rsidRPr="00E06D38">
              <w:rPr>
                <w:rFonts w:ascii="Times New Roman" w:hAnsi="Times New Roman" w:cs="Times New Roman"/>
                <w:sz w:val="24"/>
                <w:szCs w:val="24"/>
              </w:rPr>
              <w:t>ieņēmumu apjoms ir atkarīgs no komersantu skaita un tā pieaugums vai samazinājums nav</w:t>
            </w:r>
            <w:r w:rsidR="00C75FF5" w:rsidRPr="00E06D38">
              <w:rPr>
                <w:rFonts w:ascii="Times New Roman" w:hAnsi="Times New Roman" w:cs="Times New Roman"/>
                <w:sz w:val="24"/>
                <w:szCs w:val="24"/>
              </w:rPr>
              <w:t xml:space="preserve"> </w:t>
            </w:r>
            <w:r w:rsidRPr="00E06D38">
              <w:rPr>
                <w:rFonts w:ascii="Times New Roman" w:hAnsi="Times New Roman" w:cs="Times New Roman"/>
                <w:sz w:val="24"/>
                <w:szCs w:val="24"/>
              </w:rPr>
              <w:t xml:space="preserve">prognozējams, jo </w:t>
            </w:r>
            <w:r w:rsidR="00C75FF5" w:rsidRPr="00E06D38">
              <w:rPr>
                <w:rFonts w:ascii="Times New Roman" w:hAnsi="Times New Roman" w:cs="Times New Roman"/>
                <w:sz w:val="24"/>
                <w:szCs w:val="24"/>
              </w:rPr>
              <w:t>t</w:t>
            </w:r>
            <w:r w:rsidRPr="00E06D38">
              <w:rPr>
                <w:rFonts w:ascii="Times New Roman" w:hAnsi="Times New Roman" w:cs="Times New Roman"/>
                <w:sz w:val="24"/>
                <w:szCs w:val="24"/>
              </w:rPr>
              <w:t xml:space="preserve">as ir saistīts ar komersantu spējām </w:t>
            </w:r>
            <w:r w:rsidR="00C75FF5" w:rsidRPr="00E06D38">
              <w:rPr>
                <w:rFonts w:ascii="Times New Roman" w:hAnsi="Times New Roman" w:cs="Times New Roman"/>
                <w:sz w:val="24"/>
                <w:szCs w:val="24"/>
              </w:rPr>
              <w:t>nodrošināt L</w:t>
            </w:r>
            <w:r w:rsidRPr="00E06D38">
              <w:rPr>
                <w:rFonts w:ascii="Times New Roman" w:hAnsi="Times New Roman" w:cs="Times New Roman"/>
                <w:sz w:val="24"/>
                <w:szCs w:val="24"/>
              </w:rPr>
              <w:t xml:space="preserve">ikumā noteikto prasību izpildi. </w:t>
            </w:r>
          </w:p>
        </w:tc>
      </w:tr>
      <w:tr w:rsidR="00EB70B8" w:rsidRPr="00E06D38" w14:paraId="660D470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1A612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90EC0F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r>
      <w:tr w:rsidR="00EB70B8" w:rsidRPr="00E06D38" w14:paraId="4D938542"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6AB11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6184EC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r>
      <w:tr w:rsidR="00EB70B8" w:rsidRPr="00E06D38" w14:paraId="1969191C"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6C01B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D8A303A" w14:textId="60AB9EEC" w:rsidR="00B80599" w:rsidRPr="00E06D38" w:rsidRDefault="00917EE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w:t>
            </w:r>
            <w:r w:rsidR="00DC68B0" w:rsidRPr="00E06D38">
              <w:rPr>
                <w:rFonts w:ascii="Times New Roman" w:eastAsia="Times New Roman" w:hAnsi="Times New Roman" w:cs="Times New Roman"/>
                <w:iCs/>
                <w:sz w:val="24"/>
                <w:szCs w:val="24"/>
                <w:lang w:eastAsia="lv-LV"/>
              </w:rPr>
              <w:t xml:space="preserve">audas </w:t>
            </w:r>
            <w:r w:rsidRPr="00E06D38">
              <w:rPr>
                <w:rFonts w:ascii="Times New Roman" w:eastAsia="Times New Roman" w:hAnsi="Times New Roman" w:cs="Times New Roman"/>
                <w:iCs/>
                <w:sz w:val="24"/>
                <w:szCs w:val="24"/>
                <w:lang w:eastAsia="lv-LV"/>
              </w:rPr>
              <w:t xml:space="preserve">soda </w:t>
            </w:r>
            <w:r w:rsidR="00DC68B0" w:rsidRPr="00E06D38">
              <w:rPr>
                <w:rFonts w:ascii="Times New Roman" w:eastAsia="Times New Roman" w:hAnsi="Times New Roman" w:cs="Times New Roman"/>
                <w:iCs/>
                <w:sz w:val="24"/>
                <w:szCs w:val="24"/>
                <w:lang w:eastAsia="lv-LV"/>
              </w:rPr>
              <w:t xml:space="preserve">administrēšanai nepieciešama viena jurista amata vieta </w:t>
            </w:r>
          </w:p>
        </w:tc>
      </w:tr>
      <w:tr w:rsidR="00227E17" w:rsidRPr="00E06D38" w14:paraId="446D6BDE"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F4FA3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42F44C1" w14:textId="23B3D9DB" w:rsidR="00B80599" w:rsidRPr="00E06D38" w:rsidRDefault="00402A7A"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rPr>
              <w:t>Valsts budžetam var rasties ieņēmumi no uzliktaj</w:t>
            </w:r>
            <w:r w:rsidR="0060328F" w:rsidRPr="00E06D38">
              <w:rPr>
                <w:rFonts w:ascii="Times New Roman" w:hAnsi="Times New Roman" w:cs="Times New Roman"/>
                <w:sz w:val="24"/>
                <w:szCs w:val="24"/>
              </w:rPr>
              <w:t>ie</w:t>
            </w:r>
            <w:r w:rsidRPr="00E06D38">
              <w:rPr>
                <w:rFonts w:ascii="Times New Roman" w:hAnsi="Times New Roman" w:cs="Times New Roman"/>
                <w:sz w:val="24"/>
                <w:szCs w:val="24"/>
              </w:rPr>
              <w:t>m naud</w:t>
            </w:r>
            <w:r w:rsidR="0060328F" w:rsidRPr="00E06D38">
              <w:rPr>
                <w:rFonts w:ascii="Times New Roman" w:hAnsi="Times New Roman" w:cs="Times New Roman"/>
                <w:sz w:val="24"/>
                <w:szCs w:val="24"/>
              </w:rPr>
              <w:t>as sodiem</w:t>
            </w:r>
            <w:r w:rsidRPr="00E06D38">
              <w:rPr>
                <w:rFonts w:ascii="Times New Roman" w:hAnsi="Times New Roman" w:cs="Times New Roman"/>
                <w:sz w:val="24"/>
                <w:szCs w:val="24"/>
              </w:rPr>
              <w:t>, kuru apjomu pašlaik nav iespējams aprēķināt.</w:t>
            </w:r>
          </w:p>
        </w:tc>
      </w:tr>
    </w:tbl>
    <w:p w14:paraId="34CFEFA0" w14:textId="77777777" w:rsidR="00B80599" w:rsidRPr="00E06D38" w:rsidRDefault="00B80599" w:rsidP="0079359A">
      <w:pPr>
        <w:shd w:val="clear" w:color="auto" w:fill="FFFFFF"/>
        <w:spacing w:after="0" w:line="240" w:lineRule="auto"/>
        <w:contextualSpacing/>
        <w:rPr>
          <w:rFonts w:ascii="Times New Roman" w:eastAsia="Times New Roman" w:hAnsi="Times New Roman" w:cs="Times New Roman"/>
          <w:sz w:val="24"/>
          <w:szCs w:val="24"/>
          <w:lang w:eastAsia="lv-LV"/>
        </w:rPr>
      </w:pPr>
    </w:p>
    <w:p w14:paraId="2828AE02" w14:textId="77777777" w:rsidR="00DB4949" w:rsidRPr="00E06D38" w:rsidRDefault="00DB4949" w:rsidP="0079359A">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B70B8" w:rsidRPr="00E06D38" w14:paraId="4427E188"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BA8573F"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IV.</w:t>
            </w:r>
            <w:r w:rsidR="00BD4425"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ietekme uz spēkā esošo tiesību normu sistēmu</w:t>
            </w:r>
          </w:p>
        </w:tc>
      </w:tr>
      <w:tr w:rsidR="003B5C4B" w:rsidRPr="00E06D38" w14:paraId="04C47310" w14:textId="77777777" w:rsidTr="007023D1">
        <w:tblPrEx>
          <w:jc w:val="left"/>
        </w:tblPrEx>
        <w:tc>
          <w:tcPr>
            <w:tcW w:w="0" w:type="auto"/>
            <w:tcBorders>
              <w:top w:val="outset" w:sz="6" w:space="0" w:color="414142"/>
              <w:left w:val="outset" w:sz="6" w:space="0" w:color="414142"/>
              <w:bottom w:val="outset" w:sz="6" w:space="0" w:color="414142"/>
              <w:right w:val="outset" w:sz="6" w:space="0" w:color="414142"/>
            </w:tcBorders>
            <w:vAlign w:val="center"/>
          </w:tcPr>
          <w:p w14:paraId="0F1A7342" w14:textId="77777777" w:rsidR="003B5C4B" w:rsidRPr="00E06D38" w:rsidRDefault="003B5C4B" w:rsidP="007023D1">
            <w:pPr>
              <w:spacing w:after="0" w:line="240" w:lineRule="auto"/>
              <w:contextualSpacing/>
              <w:jc w:val="center"/>
              <w:rPr>
                <w:rFonts w:ascii="Times New Roman" w:eastAsia="Times New Roman" w:hAnsi="Times New Roman" w:cs="Times New Roman"/>
                <w:bCs/>
                <w:sz w:val="24"/>
                <w:szCs w:val="24"/>
                <w:lang w:eastAsia="lv-LV"/>
              </w:rPr>
            </w:pPr>
            <w:r w:rsidRPr="00E06D38">
              <w:rPr>
                <w:rFonts w:ascii="Times New Roman" w:eastAsia="Times New Roman" w:hAnsi="Times New Roman" w:cs="Times New Roman"/>
                <w:bCs/>
                <w:sz w:val="24"/>
                <w:szCs w:val="24"/>
                <w:lang w:eastAsia="lv-LV"/>
              </w:rPr>
              <w:t>Projekts šo jomu neskar</w:t>
            </w:r>
          </w:p>
        </w:tc>
      </w:tr>
    </w:tbl>
    <w:p w14:paraId="3BB33609" w14:textId="77777777" w:rsidR="00894C55" w:rsidRPr="00E06D38" w:rsidRDefault="00894C55" w:rsidP="005A5EB4">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B70B8" w:rsidRPr="00E06D38" w14:paraId="00E68D4D"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021186E8"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V.</w:t>
            </w:r>
            <w:r w:rsidR="003E0791"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atbilstība Latvijas Republikas starptautiskajām saistībām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6"/>
              <w:gridCol w:w="5368"/>
            </w:tblGrid>
            <w:tr w:rsidR="00CF142C" w:rsidRPr="00E06D38" w14:paraId="509D7AE4" w14:textId="77777777" w:rsidTr="00CF14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3078F8" w14:textId="3828CC6C" w:rsidR="00CF142C" w:rsidRPr="00E06D38" w:rsidRDefault="00CF142C" w:rsidP="00CF142C">
                  <w:pPr>
                    <w:spacing w:after="0" w:line="240" w:lineRule="auto"/>
                    <w:rPr>
                      <w:rFonts w:ascii="Times New Roman" w:eastAsia="Times New Roman" w:hAnsi="Times New Roman" w:cs="Times New Roman"/>
                      <w:b/>
                      <w:bCs/>
                      <w:iCs/>
                      <w:sz w:val="24"/>
                      <w:szCs w:val="24"/>
                      <w:lang w:eastAsia="lv-LV"/>
                    </w:rPr>
                  </w:pPr>
                </w:p>
              </w:tc>
            </w:tr>
            <w:tr w:rsidR="00CF142C" w:rsidRPr="00E06D38" w14:paraId="4D0AC417" w14:textId="77777777" w:rsidTr="00CF14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04A87"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B804BF"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69AD5DA" w14:textId="45B9704A"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shd w:val="clear" w:color="auto" w:fill="FFFFFF"/>
                    </w:rPr>
                    <w:t xml:space="preserve">Likumprojekta nepieciešamību nosaka Direktīvas 2012/27/ES 28. panta 1. punkts, kurā </w:t>
                  </w:r>
                  <w:r w:rsidR="00267ED7" w:rsidRPr="00E06D38">
                    <w:rPr>
                      <w:rFonts w:ascii="Times New Roman" w:hAnsi="Times New Roman" w:cs="Times New Roman"/>
                      <w:sz w:val="24"/>
                      <w:szCs w:val="24"/>
                      <w:shd w:val="clear" w:color="auto" w:fill="FFFFFF"/>
                    </w:rPr>
                    <w:t>paredzēts</w:t>
                  </w:r>
                  <w:r w:rsidRPr="00E06D38">
                    <w:rPr>
                      <w:rFonts w:ascii="Times New Roman" w:hAnsi="Times New Roman" w:cs="Times New Roman"/>
                      <w:sz w:val="24"/>
                      <w:szCs w:val="24"/>
                      <w:shd w:val="clear" w:color="auto" w:fill="FFFFFF"/>
                    </w:rPr>
                    <w:t>, ka normatīvajiem un administratīvajiem aktiem, kas vajadzīgi, lai izpildītu Direktīvas 2012/27/ES prasības, jāstājas spēkā līdz 2014. gada 5. jūnijam.</w:t>
                  </w:r>
                </w:p>
              </w:tc>
            </w:tr>
            <w:tr w:rsidR="00CF142C" w:rsidRPr="00E06D38" w14:paraId="4BCAA0E4" w14:textId="77777777" w:rsidTr="00AA7B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119387"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556E79"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0A7BD5ED" w14:textId="16B09D1E"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r w:rsidR="00CF142C" w:rsidRPr="00E06D38" w14:paraId="07BB65BF" w14:textId="77777777" w:rsidTr="00AA7B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B22B8"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FC927"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94D4FB" w14:textId="53212BB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bl>
          <w:p w14:paraId="3B3B0B95"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5"/>
              <w:gridCol w:w="2152"/>
              <w:gridCol w:w="2242"/>
              <w:gridCol w:w="2432"/>
            </w:tblGrid>
            <w:tr w:rsidR="00CF142C" w:rsidRPr="00E06D38" w14:paraId="7A3C5921" w14:textId="77777777" w:rsidTr="00CF142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33819A2" w14:textId="77777777" w:rsidR="00CF142C" w:rsidRPr="00E06D38" w:rsidRDefault="00CF142C" w:rsidP="00CF142C">
                  <w:pPr>
                    <w:spacing w:after="0" w:line="240" w:lineRule="auto"/>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lastRenderedPageBreak/>
                    <w:t>1. tabula</w:t>
                  </w:r>
                  <w:r w:rsidRPr="00E06D38">
                    <w:rPr>
                      <w:rFonts w:ascii="Times New Roman" w:eastAsia="Times New Roman" w:hAnsi="Times New Roman" w:cs="Times New Roman"/>
                      <w:b/>
                      <w:bCs/>
                      <w:iCs/>
                      <w:sz w:val="24"/>
                      <w:szCs w:val="24"/>
                      <w:lang w:eastAsia="lv-LV"/>
                    </w:rPr>
                    <w:br/>
                    <w:t>Tiesību akta projekta atbilstība ES tiesību aktiem</w:t>
                  </w:r>
                </w:p>
              </w:tc>
            </w:tr>
            <w:tr w:rsidR="00CF142C" w:rsidRPr="00E06D38" w14:paraId="68329FE9"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8343BCC"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Attiecīgā ES tiesību akta datums, numurs un nosaukums</w:t>
                  </w:r>
                </w:p>
              </w:tc>
              <w:tc>
                <w:tcPr>
                  <w:tcW w:w="3759" w:type="pct"/>
                  <w:gridSpan w:val="3"/>
                  <w:tcBorders>
                    <w:top w:val="outset" w:sz="6" w:space="0" w:color="auto"/>
                    <w:left w:val="outset" w:sz="6" w:space="0" w:color="auto"/>
                    <w:bottom w:val="outset" w:sz="6" w:space="0" w:color="auto"/>
                    <w:right w:val="outset" w:sz="6" w:space="0" w:color="auto"/>
                  </w:tcBorders>
                  <w:hideMark/>
                </w:tcPr>
                <w:p w14:paraId="06E70835" w14:textId="23246FF3"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shd w:val="clear" w:color="auto" w:fill="FFFFFF"/>
                    </w:rPr>
                    <w:t>Eiropas Parlamenta un Padomes 2012. gada 25. oktobra Direktīva 2012/27/ES par energoefektivitāti, ar ko groza Direktīvas 2009/125/EK un 2010/30/ES un atceļ Direktīvas 2004/8/EK un 2006/32/EK</w:t>
                  </w:r>
                </w:p>
              </w:tc>
            </w:tr>
            <w:tr w:rsidR="00CF142C" w:rsidRPr="00E06D38" w14:paraId="6A24E410"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792D927F"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w:t>
                  </w:r>
                </w:p>
              </w:tc>
              <w:tc>
                <w:tcPr>
                  <w:tcW w:w="1192" w:type="pct"/>
                  <w:tcBorders>
                    <w:top w:val="outset" w:sz="6" w:space="0" w:color="auto"/>
                    <w:left w:val="outset" w:sz="6" w:space="0" w:color="auto"/>
                    <w:bottom w:val="outset" w:sz="6" w:space="0" w:color="auto"/>
                    <w:right w:val="outset" w:sz="6" w:space="0" w:color="auto"/>
                  </w:tcBorders>
                  <w:vAlign w:val="center"/>
                  <w:hideMark/>
                </w:tcPr>
                <w:p w14:paraId="6459FEB5"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B</w:t>
                  </w:r>
                </w:p>
              </w:tc>
              <w:tc>
                <w:tcPr>
                  <w:tcW w:w="1243" w:type="pct"/>
                  <w:tcBorders>
                    <w:top w:val="outset" w:sz="6" w:space="0" w:color="auto"/>
                    <w:left w:val="outset" w:sz="6" w:space="0" w:color="auto"/>
                    <w:bottom w:val="outset" w:sz="6" w:space="0" w:color="auto"/>
                    <w:right w:val="outset" w:sz="6" w:space="0" w:color="auto"/>
                  </w:tcBorders>
                  <w:vAlign w:val="center"/>
                  <w:hideMark/>
                </w:tcPr>
                <w:p w14:paraId="6B8D473C"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w:t>
                  </w:r>
                </w:p>
              </w:tc>
              <w:tc>
                <w:tcPr>
                  <w:tcW w:w="1291" w:type="pct"/>
                  <w:tcBorders>
                    <w:top w:val="outset" w:sz="6" w:space="0" w:color="auto"/>
                    <w:left w:val="outset" w:sz="6" w:space="0" w:color="auto"/>
                    <w:bottom w:val="outset" w:sz="6" w:space="0" w:color="auto"/>
                    <w:right w:val="outset" w:sz="6" w:space="0" w:color="auto"/>
                  </w:tcBorders>
                  <w:vAlign w:val="center"/>
                  <w:hideMark/>
                </w:tcPr>
                <w:p w14:paraId="25F2AEB4"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D</w:t>
                  </w:r>
                </w:p>
              </w:tc>
            </w:tr>
            <w:tr w:rsidR="00CF142C" w:rsidRPr="00E06D38" w14:paraId="4F653308"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44E2E41"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92" w:type="pct"/>
                  <w:tcBorders>
                    <w:top w:val="outset" w:sz="6" w:space="0" w:color="auto"/>
                    <w:left w:val="outset" w:sz="6" w:space="0" w:color="auto"/>
                    <w:bottom w:val="outset" w:sz="6" w:space="0" w:color="auto"/>
                    <w:right w:val="outset" w:sz="6" w:space="0" w:color="auto"/>
                  </w:tcBorders>
                  <w:hideMark/>
                </w:tcPr>
                <w:p w14:paraId="6651316D"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3" w:type="pct"/>
                  <w:tcBorders>
                    <w:top w:val="outset" w:sz="6" w:space="0" w:color="auto"/>
                    <w:left w:val="outset" w:sz="6" w:space="0" w:color="auto"/>
                    <w:bottom w:val="outset" w:sz="6" w:space="0" w:color="auto"/>
                    <w:right w:val="outset" w:sz="6" w:space="0" w:color="auto"/>
                  </w:tcBorders>
                  <w:hideMark/>
                </w:tcPr>
                <w:p w14:paraId="53E21D2E"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E06D38">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06D38">
                    <w:rPr>
                      <w:rFonts w:ascii="Times New Roman" w:eastAsia="Times New Roman" w:hAnsi="Times New Roman" w:cs="Times New Roman"/>
                      <w:iCs/>
                      <w:sz w:val="24"/>
                      <w:szCs w:val="24"/>
                      <w:lang w:eastAsia="lv-LV"/>
                    </w:rPr>
                    <w:br/>
                    <w:t>Norāda institūciju, kas ir atbildīga par šo saistību izpildi pilnībā</w:t>
                  </w:r>
                </w:p>
              </w:tc>
              <w:tc>
                <w:tcPr>
                  <w:tcW w:w="1291" w:type="pct"/>
                  <w:tcBorders>
                    <w:top w:val="outset" w:sz="6" w:space="0" w:color="auto"/>
                    <w:left w:val="outset" w:sz="6" w:space="0" w:color="auto"/>
                    <w:bottom w:val="outset" w:sz="6" w:space="0" w:color="auto"/>
                    <w:right w:val="outset" w:sz="6" w:space="0" w:color="auto"/>
                  </w:tcBorders>
                  <w:hideMark/>
                </w:tcPr>
                <w:p w14:paraId="24864DD9"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E06D3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E06D38">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F142C" w:rsidRPr="00E06D38" w14:paraId="4222A1FD"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8639265" w14:textId="17D0332C"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Direktīvas 2012/27/ES 5.panta 5.punkts </w:t>
                  </w:r>
                </w:p>
              </w:tc>
              <w:tc>
                <w:tcPr>
                  <w:tcW w:w="1192" w:type="pct"/>
                  <w:tcBorders>
                    <w:top w:val="outset" w:sz="6" w:space="0" w:color="auto"/>
                    <w:left w:val="outset" w:sz="6" w:space="0" w:color="auto"/>
                    <w:bottom w:val="outset" w:sz="6" w:space="0" w:color="auto"/>
                    <w:right w:val="outset" w:sz="6" w:space="0" w:color="auto"/>
                  </w:tcBorders>
                  <w:hideMark/>
                </w:tcPr>
                <w:p w14:paraId="1EF41A64" w14:textId="76685A6B"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Likuma 4.panta septītās daļas 5.punkts</w:t>
                  </w:r>
                </w:p>
              </w:tc>
              <w:tc>
                <w:tcPr>
                  <w:tcW w:w="1243" w:type="pct"/>
                  <w:tcBorders>
                    <w:top w:val="outset" w:sz="6" w:space="0" w:color="auto"/>
                    <w:left w:val="outset" w:sz="6" w:space="0" w:color="auto"/>
                    <w:bottom w:val="outset" w:sz="6" w:space="0" w:color="auto"/>
                    <w:right w:val="outset" w:sz="6" w:space="0" w:color="auto"/>
                  </w:tcBorders>
                  <w:hideMark/>
                </w:tcPr>
                <w:p w14:paraId="15A51ECF" w14:textId="7DB13EE7"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Pārņemts pilnībā</w:t>
                  </w:r>
                </w:p>
              </w:tc>
              <w:tc>
                <w:tcPr>
                  <w:tcW w:w="1291" w:type="pct"/>
                  <w:tcBorders>
                    <w:top w:val="outset" w:sz="6" w:space="0" w:color="auto"/>
                    <w:left w:val="outset" w:sz="6" w:space="0" w:color="auto"/>
                    <w:bottom w:val="outset" w:sz="6" w:space="0" w:color="auto"/>
                    <w:right w:val="outset" w:sz="6" w:space="0" w:color="auto"/>
                  </w:tcBorders>
                  <w:hideMark/>
                </w:tcPr>
                <w:p w14:paraId="7A9BB2AD" w14:textId="29EBCAB4"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Neparedz stingrākas prasības</w:t>
                  </w:r>
                </w:p>
              </w:tc>
            </w:tr>
            <w:tr w:rsidR="00804FB1" w:rsidRPr="00E06D38" w14:paraId="16381A4D"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tcPr>
                <w:p w14:paraId="4C9EA964" w14:textId="4D457389"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Direktīvas 2012/27/ES 13.pants</w:t>
                  </w:r>
                </w:p>
              </w:tc>
              <w:tc>
                <w:tcPr>
                  <w:tcW w:w="1192" w:type="pct"/>
                  <w:tcBorders>
                    <w:top w:val="outset" w:sz="6" w:space="0" w:color="auto"/>
                    <w:left w:val="outset" w:sz="6" w:space="0" w:color="auto"/>
                    <w:bottom w:val="outset" w:sz="6" w:space="0" w:color="auto"/>
                    <w:right w:val="outset" w:sz="6" w:space="0" w:color="auto"/>
                  </w:tcBorders>
                </w:tcPr>
                <w:p w14:paraId="7DD53AB7" w14:textId="29027A21"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Likuma 17.-20.pants</w:t>
                  </w:r>
                </w:p>
              </w:tc>
              <w:tc>
                <w:tcPr>
                  <w:tcW w:w="1243" w:type="pct"/>
                  <w:tcBorders>
                    <w:top w:val="outset" w:sz="6" w:space="0" w:color="auto"/>
                    <w:left w:val="outset" w:sz="6" w:space="0" w:color="auto"/>
                    <w:bottom w:val="outset" w:sz="6" w:space="0" w:color="auto"/>
                    <w:right w:val="outset" w:sz="6" w:space="0" w:color="auto"/>
                  </w:tcBorders>
                </w:tcPr>
                <w:p w14:paraId="783A7311" w14:textId="344D4A20"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Pārņemts pilnībā</w:t>
                  </w:r>
                </w:p>
              </w:tc>
              <w:tc>
                <w:tcPr>
                  <w:tcW w:w="1291" w:type="pct"/>
                  <w:tcBorders>
                    <w:top w:val="outset" w:sz="6" w:space="0" w:color="auto"/>
                    <w:left w:val="outset" w:sz="6" w:space="0" w:color="auto"/>
                    <w:bottom w:val="outset" w:sz="6" w:space="0" w:color="auto"/>
                    <w:right w:val="outset" w:sz="6" w:space="0" w:color="auto"/>
                  </w:tcBorders>
                </w:tcPr>
                <w:p w14:paraId="755D454A" w14:textId="663DB103"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Neparedz stingrākas prasības</w:t>
                  </w:r>
                </w:p>
              </w:tc>
            </w:tr>
            <w:tr w:rsidR="00CF142C" w:rsidRPr="00E06D38" w14:paraId="125F7E5A"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45AD4C96"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9" w:type="pct"/>
                  <w:gridSpan w:val="3"/>
                  <w:tcBorders>
                    <w:top w:val="outset" w:sz="6" w:space="0" w:color="auto"/>
                    <w:left w:val="outset" w:sz="6" w:space="0" w:color="auto"/>
                    <w:bottom w:val="outset" w:sz="6" w:space="0" w:color="auto"/>
                    <w:right w:val="outset" w:sz="6" w:space="0" w:color="auto"/>
                  </w:tcBorders>
                  <w:hideMark/>
                </w:tcPr>
                <w:p w14:paraId="246002FE" w14:textId="101435ED" w:rsidR="00CF142C" w:rsidRPr="00E06D38" w:rsidRDefault="00804FB1" w:rsidP="00AA7BCC">
                  <w:pPr>
                    <w:pStyle w:val="CommentText"/>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r w:rsidR="00CF142C" w:rsidRPr="00E06D38" w14:paraId="0BEB320D"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47EFF62"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Saistības sniegt paziņojumu ES institūcijām un ES </w:t>
                  </w:r>
                  <w:r w:rsidRPr="00E06D38">
                    <w:rPr>
                      <w:rFonts w:ascii="Times New Roman" w:eastAsia="Times New Roman" w:hAnsi="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759" w:type="pct"/>
                  <w:gridSpan w:val="3"/>
                  <w:tcBorders>
                    <w:top w:val="outset" w:sz="6" w:space="0" w:color="auto"/>
                    <w:left w:val="outset" w:sz="6" w:space="0" w:color="auto"/>
                    <w:bottom w:val="outset" w:sz="6" w:space="0" w:color="auto"/>
                    <w:right w:val="outset" w:sz="6" w:space="0" w:color="auto"/>
                  </w:tcBorders>
                  <w:hideMark/>
                </w:tcPr>
                <w:p w14:paraId="471857C0" w14:textId="769ECBC6"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Projekts šo jomu neskar</w:t>
                  </w:r>
                </w:p>
              </w:tc>
            </w:tr>
            <w:tr w:rsidR="00CF142C" w:rsidRPr="00E06D38" w14:paraId="3E04A16F"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58EBD345"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759" w:type="pct"/>
                  <w:gridSpan w:val="3"/>
                  <w:tcBorders>
                    <w:top w:val="outset" w:sz="6" w:space="0" w:color="auto"/>
                    <w:left w:val="outset" w:sz="6" w:space="0" w:color="auto"/>
                    <w:bottom w:val="outset" w:sz="6" w:space="0" w:color="auto"/>
                    <w:right w:val="outset" w:sz="6" w:space="0" w:color="auto"/>
                  </w:tcBorders>
                  <w:hideMark/>
                </w:tcPr>
                <w:p w14:paraId="6A14E0E5" w14:textId="1DF47EEF"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r w:rsidR="00CF142C" w:rsidRPr="00E06D38" w14:paraId="11404B77" w14:textId="77777777" w:rsidTr="00CF142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2B1FCE9" w14:textId="00D959B5" w:rsidR="00804FB1" w:rsidRPr="00E06D38" w:rsidRDefault="00CF142C" w:rsidP="00CF142C">
                  <w:pPr>
                    <w:spacing w:after="0" w:line="240" w:lineRule="auto"/>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2. tabula</w:t>
                  </w:r>
                  <w:r w:rsidRPr="00E06D3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w:t>
                  </w:r>
                  <w:r w:rsidR="007C4901" w:rsidRPr="00E06D38">
                    <w:rPr>
                      <w:rFonts w:ascii="Times New Roman" w:eastAsia="Times New Roman" w:hAnsi="Times New Roman" w:cs="Times New Roman"/>
                      <w:b/>
                      <w:bCs/>
                      <w:iCs/>
                      <w:sz w:val="24"/>
                      <w:szCs w:val="24"/>
                      <w:lang w:eastAsia="lv-LV"/>
                    </w:rPr>
                    <w:t xml:space="preserve"> vai organizācijas dokumentiem. </w:t>
                  </w:r>
                  <w:r w:rsidRPr="00E06D38">
                    <w:rPr>
                      <w:rFonts w:ascii="Times New Roman" w:eastAsia="Times New Roman" w:hAnsi="Times New Roman" w:cs="Times New Roman"/>
                      <w:b/>
                      <w:bCs/>
                      <w:iCs/>
                      <w:sz w:val="24"/>
                      <w:szCs w:val="24"/>
                      <w:lang w:eastAsia="lv-LV"/>
                    </w:rPr>
                    <w:t>Pasākumi šo saistību izpildei</w:t>
                  </w:r>
                </w:p>
              </w:tc>
            </w:tr>
            <w:tr w:rsidR="00152F72" w:rsidRPr="00E06D38" w14:paraId="348AB070" w14:textId="77777777" w:rsidTr="00152F72">
              <w:trPr>
                <w:tblCellSpacing w:w="15" w:type="dxa"/>
              </w:trPr>
              <w:tc>
                <w:tcPr>
                  <w:tcW w:w="4967" w:type="pct"/>
                  <w:gridSpan w:val="4"/>
                  <w:tcBorders>
                    <w:top w:val="single" w:sz="4" w:space="0" w:color="auto"/>
                    <w:left w:val="outset" w:sz="6" w:space="0" w:color="auto"/>
                    <w:bottom w:val="outset" w:sz="6" w:space="0" w:color="auto"/>
                    <w:right w:val="outset" w:sz="6" w:space="0" w:color="auto"/>
                  </w:tcBorders>
                </w:tcPr>
                <w:p w14:paraId="78D5938E" w14:textId="4BCA9AB5" w:rsidR="00152F72" w:rsidRPr="00E06D38" w:rsidRDefault="00152F72" w:rsidP="00152F72">
                  <w:pPr>
                    <w:spacing w:after="0" w:line="240" w:lineRule="auto"/>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bl>
          <w:p w14:paraId="652CC09F" w14:textId="176B1501" w:rsidR="00CF142C" w:rsidRPr="00E06D38" w:rsidRDefault="00CF142C" w:rsidP="00962D32">
            <w:pPr>
              <w:spacing w:after="0" w:line="240" w:lineRule="auto"/>
              <w:contextualSpacing/>
              <w:jc w:val="center"/>
              <w:rPr>
                <w:rFonts w:ascii="Times New Roman" w:eastAsia="Times New Roman" w:hAnsi="Times New Roman" w:cs="Times New Roman"/>
                <w:b/>
                <w:bCs/>
                <w:sz w:val="24"/>
                <w:szCs w:val="24"/>
                <w:lang w:eastAsia="lv-LV"/>
              </w:rPr>
            </w:pPr>
          </w:p>
        </w:tc>
      </w:tr>
    </w:tbl>
    <w:p w14:paraId="615440E1" w14:textId="77777777" w:rsidR="00DB4949" w:rsidRPr="00E06D38" w:rsidRDefault="00DB4949" w:rsidP="00962D32">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EB70B8" w:rsidRPr="00E06D38" w14:paraId="4409902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49D8A8"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VI.</w:t>
            </w:r>
            <w:r w:rsidR="00816C11"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Sabiedrības līdzdalība un komunikācijas aktivitātes</w:t>
            </w:r>
          </w:p>
        </w:tc>
      </w:tr>
      <w:tr w:rsidR="00EB70B8" w:rsidRPr="00E06D38" w14:paraId="333B9267"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DED04F6"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8E41973"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1B12093" w14:textId="735F513D" w:rsidR="00894C55" w:rsidRPr="00E06D38" w:rsidRDefault="00670092" w:rsidP="00F76E4B">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Likumprojektu </w:t>
            </w:r>
            <w:r w:rsidR="00DC4706" w:rsidRPr="00E06D38">
              <w:rPr>
                <w:rFonts w:ascii="Times New Roman" w:eastAsia="Times New Roman" w:hAnsi="Times New Roman" w:cs="Times New Roman"/>
                <w:sz w:val="24"/>
                <w:szCs w:val="24"/>
                <w:lang w:eastAsia="lv-LV"/>
              </w:rPr>
              <w:t>plānots ievietot sabiedriskajai apspriešanai E</w:t>
            </w:r>
            <w:r w:rsidR="00227E17" w:rsidRPr="00E06D38">
              <w:rPr>
                <w:rFonts w:ascii="Times New Roman" w:eastAsia="Times New Roman" w:hAnsi="Times New Roman" w:cs="Times New Roman"/>
                <w:sz w:val="24"/>
                <w:szCs w:val="24"/>
                <w:lang w:eastAsia="lv-LV"/>
              </w:rPr>
              <w:t>M</w:t>
            </w:r>
            <w:r w:rsidR="00DC4706" w:rsidRPr="00E06D38">
              <w:rPr>
                <w:rFonts w:ascii="Times New Roman" w:eastAsia="Times New Roman" w:hAnsi="Times New Roman" w:cs="Times New Roman"/>
                <w:sz w:val="24"/>
                <w:szCs w:val="24"/>
                <w:lang w:eastAsia="lv-LV"/>
              </w:rPr>
              <w:t xml:space="preserve"> </w:t>
            </w:r>
            <w:r w:rsidR="00F76E4B">
              <w:rPr>
                <w:rFonts w:ascii="Times New Roman" w:eastAsia="Times New Roman" w:hAnsi="Times New Roman" w:cs="Times New Roman"/>
                <w:sz w:val="24"/>
                <w:szCs w:val="24"/>
                <w:lang w:eastAsia="lv-LV"/>
              </w:rPr>
              <w:t>tīmekļvietnē</w:t>
            </w:r>
            <w:r w:rsidR="00DC4706" w:rsidRPr="00E06D38">
              <w:rPr>
                <w:rFonts w:ascii="Times New Roman" w:eastAsia="Times New Roman" w:hAnsi="Times New Roman" w:cs="Times New Roman"/>
                <w:sz w:val="24"/>
                <w:szCs w:val="24"/>
                <w:lang w:eastAsia="lv-LV"/>
              </w:rPr>
              <w:t>.</w:t>
            </w:r>
          </w:p>
        </w:tc>
      </w:tr>
      <w:tr w:rsidR="00EB70B8" w:rsidRPr="00E06D38" w14:paraId="69896BD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F6C3B95"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6368584"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4ACF03F" w14:textId="54A250E2" w:rsidR="00894C55" w:rsidRPr="00E06D38" w:rsidRDefault="00DC4AF1" w:rsidP="00601262">
            <w:pP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Sabiedrība varēs iepazīties ar </w:t>
            </w:r>
            <w:r w:rsidR="00670092" w:rsidRPr="00E06D38">
              <w:rPr>
                <w:rFonts w:ascii="Times New Roman" w:eastAsia="Times New Roman" w:hAnsi="Times New Roman" w:cs="Times New Roman"/>
                <w:sz w:val="24"/>
                <w:szCs w:val="24"/>
                <w:lang w:eastAsia="lv-LV"/>
              </w:rPr>
              <w:t xml:space="preserve">Likumprojektu </w:t>
            </w:r>
            <w:r w:rsidRPr="00E06D38">
              <w:rPr>
                <w:rFonts w:ascii="Times New Roman" w:eastAsia="Times New Roman" w:hAnsi="Times New Roman" w:cs="Times New Roman"/>
                <w:sz w:val="24"/>
                <w:szCs w:val="24"/>
                <w:lang w:eastAsia="lv-LV"/>
              </w:rPr>
              <w:t xml:space="preserve">EM mājaslapā </w:t>
            </w:r>
            <w:r w:rsidR="00670092" w:rsidRPr="00E06D38">
              <w:rPr>
                <w:rFonts w:ascii="Times New Roman" w:eastAsia="Times New Roman" w:hAnsi="Times New Roman" w:cs="Times New Roman"/>
                <w:sz w:val="24"/>
                <w:szCs w:val="24"/>
                <w:lang w:eastAsia="lv-LV"/>
              </w:rPr>
              <w:t xml:space="preserve">un </w:t>
            </w:r>
            <w:r w:rsidRPr="00E06D38">
              <w:rPr>
                <w:rFonts w:ascii="Times New Roman" w:eastAsia="Times New Roman" w:hAnsi="Times New Roman" w:cs="Times New Roman"/>
                <w:sz w:val="24"/>
                <w:szCs w:val="24"/>
                <w:lang w:eastAsia="lv-LV"/>
              </w:rPr>
              <w:t>izteikt par to viedokli.</w:t>
            </w:r>
          </w:p>
        </w:tc>
      </w:tr>
      <w:tr w:rsidR="00EB70B8" w:rsidRPr="00E06D38" w14:paraId="172AEC1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7F9FCFA"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C6AEAAC"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CB998E3" w14:textId="00A3CB35" w:rsidR="00894C55" w:rsidRPr="00E06D38" w:rsidRDefault="00621D72" w:rsidP="00601262">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Informācija tiks papildināta, atkarībā no saņemtajiem viedokļiem, </w:t>
            </w:r>
            <w:r w:rsidR="005D1904" w:rsidRPr="00E06D38">
              <w:rPr>
                <w:rFonts w:ascii="Times New Roman" w:eastAsia="Times New Roman" w:hAnsi="Times New Roman" w:cs="Times New Roman"/>
                <w:sz w:val="24"/>
                <w:szCs w:val="24"/>
                <w:lang w:eastAsia="lv-LV"/>
              </w:rPr>
              <w:t xml:space="preserve">priekšlikumiem, </w:t>
            </w:r>
            <w:r w:rsidRPr="00E06D38">
              <w:rPr>
                <w:rFonts w:ascii="Times New Roman" w:eastAsia="Times New Roman" w:hAnsi="Times New Roman" w:cs="Times New Roman"/>
                <w:sz w:val="24"/>
                <w:szCs w:val="24"/>
                <w:lang w:eastAsia="lv-LV"/>
              </w:rPr>
              <w:t>atzinumiem un iebildumiem</w:t>
            </w:r>
          </w:p>
        </w:tc>
      </w:tr>
      <w:tr w:rsidR="00894C55" w:rsidRPr="00E06D38" w14:paraId="0D8141B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B128D1"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B77C5AB"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E738F7" w14:textId="77777777" w:rsidR="00894C55" w:rsidRPr="00E06D38" w:rsidRDefault="00DC4706"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Nav</w:t>
            </w:r>
          </w:p>
        </w:tc>
      </w:tr>
    </w:tbl>
    <w:p w14:paraId="32C29EC3" w14:textId="77777777" w:rsidR="00894C55" w:rsidRPr="00E06D38" w:rsidRDefault="00894C55" w:rsidP="009053FB">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EB70B8" w:rsidRPr="00E06D38" w14:paraId="212E184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5168CB"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VII.</w:t>
            </w:r>
            <w:r w:rsidR="00816C11"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izpildes nodrošināšana un tās ietekme uz institūcijām</w:t>
            </w:r>
          </w:p>
        </w:tc>
      </w:tr>
      <w:tr w:rsidR="00EB70B8" w:rsidRPr="00E06D38" w14:paraId="0695BCB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06712D3"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D49DBC2"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580504E" w14:textId="1D04AAD6" w:rsidR="00894C55" w:rsidRPr="00E06D38" w:rsidRDefault="00F76E4B" w:rsidP="00962D3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EM</w:t>
            </w:r>
          </w:p>
        </w:tc>
      </w:tr>
      <w:tr w:rsidR="00EB70B8" w:rsidRPr="00E06D38" w14:paraId="28F405F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9754A64"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3A19D"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Projekta izpildes ietekme uz pārvaldes funkcijām un institucionālo struktūru.</w:t>
            </w:r>
          </w:p>
          <w:p w14:paraId="7D4BE237"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332648B" w14:textId="0A51D731" w:rsidR="00526003" w:rsidRPr="00E06D38" w:rsidRDefault="00526003"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Likumprojektā iekļautie nosacījumi var radīt ietekmi uz pārvaldes funkcijām, tomēr tas neietekmēs institucionālo sistēmu.</w:t>
            </w:r>
          </w:p>
          <w:p w14:paraId="1F481F69" w14:textId="77777777" w:rsidR="00526003" w:rsidRPr="00E06D38" w:rsidRDefault="00526003"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Likumprojektā iekļauto nosacījumu izpildei nav nepieciešams veidot jaunas institūcijas, likvidēt vai reorganizēt esošās institūcijas.</w:t>
            </w:r>
            <w:r w:rsidR="00DC4706" w:rsidRPr="00E06D38">
              <w:rPr>
                <w:rFonts w:ascii="Times New Roman" w:eastAsia="Times New Roman" w:hAnsi="Times New Roman" w:cs="Times New Roman"/>
                <w:sz w:val="24"/>
                <w:szCs w:val="24"/>
                <w:lang w:eastAsia="lv-LV"/>
              </w:rPr>
              <w:t xml:space="preserve"> </w:t>
            </w:r>
          </w:p>
          <w:p w14:paraId="2CE9BCBD" w14:textId="00B91B1E" w:rsidR="00DC4706" w:rsidRPr="00E06D38" w:rsidRDefault="00526003"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w:t>
            </w:r>
            <w:r w:rsidR="00DC4706" w:rsidRPr="00E06D38">
              <w:rPr>
                <w:rFonts w:ascii="Times New Roman" w:eastAsia="Times New Roman" w:hAnsi="Times New Roman" w:cs="Times New Roman"/>
                <w:sz w:val="24"/>
                <w:szCs w:val="24"/>
                <w:lang w:eastAsia="lv-LV"/>
              </w:rPr>
              <w:t>ikumprojektā noteikto administratīvo pienākumu izpildei nepieciešama viena papildu štata vieta.</w:t>
            </w:r>
          </w:p>
          <w:p w14:paraId="1DFA5DFA" w14:textId="77777777" w:rsidR="00894C55" w:rsidRPr="00E06D38" w:rsidRDefault="00894C55"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p>
        </w:tc>
      </w:tr>
      <w:tr w:rsidR="00227E17" w:rsidRPr="00E06D38" w14:paraId="5852FEA0" w14:textId="77777777" w:rsidTr="00227E1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4953C15"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C2EAE52"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05E25E94" w14:textId="77777777" w:rsidR="00894C55" w:rsidRPr="00E06D38" w:rsidRDefault="00DC4706"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Nav</w:t>
            </w:r>
          </w:p>
        </w:tc>
      </w:tr>
    </w:tbl>
    <w:p w14:paraId="02FF1612" w14:textId="77777777" w:rsidR="00720585" w:rsidRPr="00E06D38" w:rsidRDefault="00720585" w:rsidP="00962D32">
      <w:pPr>
        <w:spacing w:after="0" w:line="240" w:lineRule="auto"/>
        <w:contextualSpacing/>
        <w:rPr>
          <w:rFonts w:ascii="Times New Roman" w:hAnsi="Times New Roman" w:cs="Times New Roman"/>
          <w:sz w:val="24"/>
          <w:szCs w:val="24"/>
        </w:rPr>
      </w:pPr>
    </w:p>
    <w:p w14:paraId="0EFE7121" w14:textId="00023197" w:rsidR="00C25B49" w:rsidRPr="00E06D38" w:rsidRDefault="00C25B49" w:rsidP="00962D32">
      <w:pPr>
        <w:spacing w:after="0" w:line="240" w:lineRule="auto"/>
        <w:contextualSpacing/>
        <w:rPr>
          <w:rFonts w:ascii="Times New Roman" w:hAnsi="Times New Roman" w:cs="Times New Roman"/>
          <w:sz w:val="24"/>
          <w:szCs w:val="24"/>
        </w:rPr>
      </w:pPr>
    </w:p>
    <w:p w14:paraId="6F352D8B" w14:textId="77777777" w:rsidR="009053FB" w:rsidRPr="00E06D38" w:rsidRDefault="009053FB" w:rsidP="00962D32">
      <w:pPr>
        <w:spacing w:after="0" w:line="240" w:lineRule="auto"/>
        <w:contextualSpacing/>
        <w:rPr>
          <w:rFonts w:ascii="Times New Roman" w:hAnsi="Times New Roman" w:cs="Times New Roman"/>
          <w:sz w:val="24"/>
          <w:szCs w:val="24"/>
        </w:rPr>
      </w:pPr>
    </w:p>
    <w:p w14:paraId="5246C87F" w14:textId="77777777" w:rsidR="009F4CAC" w:rsidRPr="00E06D38" w:rsidRDefault="009F4CAC" w:rsidP="00962D32">
      <w:pPr>
        <w:pStyle w:val="Subtitle"/>
        <w:tabs>
          <w:tab w:val="left" w:pos="4665"/>
          <w:tab w:val="left" w:pos="6096"/>
          <w:tab w:val="right" w:pos="8931"/>
        </w:tabs>
        <w:ind w:left="0"/>
        <w:contextualSpacing/>
        <w:rPr>
          <w:sz w:val="24"/>
          <w:szCs w:val="24"/>
          <w:lang w:val="lv-LV"/>
        </w:rPr>
      </w:pPr>
      <w:r w:rsidRPr="00E06D38">
        <w:rPr>
          <w:sz w:val="24"/>
          <w:szCs w:val="24"/>
          <w:lang w:val="lv-LV"/>
        </w:rPr>
        <w:t>Ministru prezidenta biedrs,</w:t>
      </w:r>
    </w:p>
    <w:p w14:paraId="008681E3" w14:textId="4BD900D9" w:rsidR="00894C55" w:rsidRPr="00E06D38" w:rsidRDefault="009F4CAC" w:rsidP="00943543">
      <w:pPr>
        <w:tabs>
          <w:tab w:val="left" w:pos="7230"/>
        </w:tabs>
        <w:spacing w:after="0" w:line="240" w:lineRule="auto"/>
        <w:contextualSpacing/>
        <w:rPr>
          <w:rFonts w:ascii="Times New Roman" w:hAnsi="Times New Roman" w:cs="Times New Roman"/>
          <w:sz w:val="24"/>
          <w:szCs w:val="24"/>
        </w:rPr>
      </w:pPr>
      <w:r w:rsidRPr="00E06D38">
        <w:rPr>
          <w:rFonts w:ascii="Times New Roman" w:hAnsi="Times New Roman" w:cs="Times New Roman"/>
          <w:sz w:val="24"/>
          <w:szCs w:val="24"/>
        </w:rPr>
        <w:t>ekonomikas ministrs</w:t>
      </w:r>
      <w:r w:rsidRPr="00E06D38" w:rsidDel="009F4CAC">
        <w:rPr>
          <w:rFonts w:ascii="Times New Roman" w:hAnsi="Times New Roman" w:cs="Times New Roman"/>
          <w:sz w:val="24"/>
          <w:szCs w:val="24"/>
        </w:rPr>
        <w:t xml:space="preserve"> </w:t>
      </w:r>
      <w:r w:rsidR="00894C55" w:rsidRPr="00E06D38">
        <w:rPr>
          <w:rFonts w:ascii="Times New Roman" w:hAnsi="Times New Roman" w:cs="Times New Roman"/>
          <w:sz w:val="24"/>
          <w:szCs w:val="24"/>
        </w:rPr>
        <w:tab/>
      </w:r>
      <w:r w:rsidRPr="00E06D38">
        <w:rPr>
          <w:rFonts w:ascii="Times New Roman" w:hAnsi="Times New Roman" w:cs="Times New Roman"/>
          <w:sz w:val="24"/>
          <w:szCs w:val="24"/>
        </w:rPr>
        <w:t>A.</w:t>
      </w:r>
      <w:r w:rsidR="00717B4B" w:rsidRPr="00E06D38">
        <w:rPr>
          <w:rFonts w:ascii="Times New Roman" w:hAnsi="Times New Roman" w:cs="Times New Roman"/>
          <w:sz w:val="24"/>
          <w:szCs w:val="24"/>
        </w:rPr>
        <w:t xml:space="preserve"> </w:t>
      </w:r>
      <w:r w:rsidRPr="00E06D38">
        <w:rPr>
          <w:rFonts w:ascii="Times New Roman" w:hAnsi="Times New Roman" w:cs="Times New Roman"/>
          <w:sz w:val="24"/>
          <w:szCs w:val="24"/>
        </w:rPr>
        <w:t>A</w:t>
      </w:r>
      <w:r w:rsidR="00227E17" w:rsidRPr="00E06D38">
        <w:rPr>
          <w:rFonts w:ascii="Times New Roman" w:hAnsi="Times New Roman" w:cs="Times New Roman"/>
          <w:sz w:val="24"/>
          <w:szCs w:val="24"/>
        </w:rPr>
        <w:t>šeradens</w:t>
      </w:r>
    </w:p>
    <w:p w14:paraId="43319B76" w14:textId="66211678" w:rsidR="00894C55" w:rsidRPr="00E06D38" w:rsidRDefault="00894C55" w:rsidP="00962D32">
      <w:pPr>
        <w:spacing w:after="0" w:line="240" w:lineRule="auto"/>
        <w:contextualSpacing/>
        <w:rPr>
          <w:rFonts w:ascii="Times New Roman" w:hAnsi="Times New Roman" w:cs="Times New Roman"/>
          <w:sz w:val="24"/>
          <w:szCs w:val="24"/>
        </w:rPr>
      </w:pPr>
    </w:p>
    <w:p w14:paraId="1E67F3A8" w14:textId="261F5F46" w:rsidR="009053FB" w:rsidRPr="00E06D38" w:rsidRDefault="00F11F4E" w:rsidP="00962D32">
      <w:pPr>
        <w:spacing w:after="0" w:line="240" w:lineRule="auto"/>
        <w:contextualSpacing/>
        <w:rPr>
          <w:rFonts w:ascii="Times New Roman" w:hAnsi="Times New Roman" w:cs="Times New Roman"/>
          <w:sz w:val="24"/>
          <w:szCs w:val="24"/>
        </w:rPr>
      </w:pPr>
      <w:r w:rsidRPr="00E06D38">
        <w:rPr>
          <w:rFonts w:ascii="Times New Roman" w:hAnsi="Times New Roman" w:cs="Times New Roman"/>
          <w:sz w:val="24"/>
          <w:szCs w:val="24"/>
        </w:rPr>
        <w:t>Vīza:</w:t>
      </w:r>
    </w:p>
    <w:p w14:paraId="0175730D" w14:textId="5E615E7B" w:rsidR="00894C55" w:rsidRPr="00E06D38" w:rsidRDefault="00894C55" w:rsidP="00943543">
      <w:pPr>
        <w:tabs>
          <w:tab w:val="left" w:pos="7230"/>
        </w:tabs>
        <w:spacing w:after="0" w:line="240" w:lineRule="auto"/>
        <w:contextualSpacing/>
        <w:rPr>
          <w:rFonts w:ascii="Times New Roman" w:hAnsi="Times New Roman" w:cs="Times New Roman"/>
          <w:sz w:val="24"/>
          <w:szCs w:val="24"/>
        </w:rPr>
      </w:pPr>
      <w:r w:rsidRPr="00E06D38">
        <w:rPr>
          <w:rFonts w:ascii="Times New Roman" w:hAnsi="Times New Roman" w:cs="Times New Roman"/>
          <w:sz w:val="24"/>
          <w:szCs w:val="24"/>
        </w:rPr>
        <w:t>valsts sekretārs</w:t>
      </w:r>
      <w:r w:rsidRPr="00E06D38">
        <w:rPr>
          <w:rFonts w:ascii="Times New Roman" w:hAnsi="Times New Roman" w:cs="Times New Roman"/>
          <w:sz w:val="24"/>
          <w:szCs w:val="24"/>
        </w:rPr>
        <w:tab/>
      </w:r>
      <w:r w:rsidR="00227E17" w:rsidRPr="00E06D38">
        <w:rPr>
          <w:rFonts w:ascii="Times New Roman" w:hAnsi="Times New Roman" w:cs="Times New Roman"/>
          <w:sz w:val="24"/>
          <w:szCs w:val="24"/>
        </w:rPr>
        <w:t>Ē.</w:t>
      </w:r>
      <w:r w:rsidR="00717B4B" w:rsidRPr="00E06D38">
        <w:rPr>
          <w:rFonts w:ascii="Times New Roman" w:hAnsi="Times New Roman" w:cs="Times New Roman"/>
          <w:sz w:val="24"/>
          <w:szCs w:val="24"/>
        </w:rPr>
        <w:t xml:space="preserve"> </w:t>
      </w:r>
      <w:r w:rsidR="00227E17" w:rsidRPr="00E06D38">
        <w:rPr>
          <w:rFonts w:ascii="Times New Roman" w:hAnsi="Times New Roman" w:cs="Times New Roman"/>
          <w:sz w:val="24"/>
          <w:szCs w:val="24"/>
        </w:rPr>
        <w:t>Eglītis</w:t>
      </w:r>
    </w:p>
    <w:p w14:paraId="11CB7A2A" w14:textId="14FB2364" w:rsidR="00894C55" w:rsidRPr="00E06D38" w:rsidRDefault="00894C55" w:rsidP="00962D32">
      <w:pPr>
        <w:tabs>
          <w:tab w:val="left" w:pos="6237"/>
        </w:tabs>
        <w:spacing w:after="0" w:line="240" w:lineRule="auto"/>
        <w:contextualSpacing/>
        <w:rPr>
          <w:rFonts w:ascii="Times New Roman" w:hAnsi="Times New Roman" w:cs="Times New Roman"/>
          <w:sz w:val="20"/>
          <w:szCs w:val="20"/>
        </w:rPr>
      </w:pPr>
    </w:p>
    <w:p w14:paraId="01895F04" w14:textId="77777777" w:rsidR="009053FB" w:rsidRPr="00E06D38" w:rsidRDefault="009053FB" w:rsidP="00962D32">
      <w:pPr>
        <w:tabs>
          <w:tab w:val="left" w:pos="6237"/>
        </w:tabs>
        <w:spacing w:after="0" w:line="240" w:lineRule="auto"/>
        <w:contextualSpacing/>
        <w:rPr>
          <w:rFonts w:ascii="Times New Roman" w:hAnsi="Times New Roman" w:cs="Times New Roman"/>
          <w:sz w:val="20"/>
          <w:szCs w:val="20"/>
        </w:rPr>
      </w:pPr>
    </w:p>
    <w:p w14:paraId="461A58D4" w14:textId="77777777" w:rsidR="00227E17" w:rsidRPr="00E06D38" w:rsidRDefault="00227E17" w:rsidP="00962D32">
      <w:pPr>
        <w:tabs>
          <w:tab w:val="left" w:pos="6237"/>
        </w:tabs>
        <w:spacing w:after="0" w:line="240" w:lineRule="auto"/>
        <w:contextualSpacing/>
        <w:rPr>
          <w:rFonts w:ascii="Times New Roman" w:hAnsi="Times New Roman" w:cs="Times New Roman"/>
          <w:sz w:val="20"/>
          <w:szCs w:val="20"/>
        </w:rPr>
      </w:pPr>
    </w:p>
    <w:p w14:paraId="3685EDDF" w14:textId="58727138" w:rsidR="005A791E" w:rsidRPr="00E06D38" w:rsidRDefault="005A791E" w:rsidP="00962D32">
      <w:pPr>
        <w:tabs>
          <w:tab w:val="left" w:pos="6237"/>
        </w:tabs>
        <w:spacing w:after="0" w:line="240" w:lineRule="auto"/>
        <w:contextualSpacing/>
        <w:rPr>
          <w:rFonts w:ascii="Times New Roman" w:hAnsi="Times New Roman" w:cs="Times New Roman"/>
          <w:sz w:val="20"/>
          <w:szCs w:val="20"/>
        </w:rPr>
      </w:pPr>
      <w:r w:rsidRPr="00E06D38">
        <w:rPr>
          <w:rFonts w:ascii="Times New Roman" w:hAnsi="Times New Roman" w:cs="Times New Roman"/>
          <w:sz w:val="20"/>
          <w:szCs w:val="20"/>
        </w:rPr>
        <w:t>Ozoliņa</w:t>
      </w:r>
      <w:r w:rsidR="0079359A" w:rsidRPr="00E06D38">
        <w:rPr>
          <w:rFonts w:ascii="Times New Roman" w:hAnsi="Times New Roman" w:cs="Times New Roman"/>
          <w:sz w:val="20"/>
          <w:szCs w:val="20"/>
        </w:rPr>
        <w:t xml:space="preserve"> </w:t>
      </w:r>
      <w:r w:rsidR="00894C55" w:rsidRPr="00E06D38">
        <w:rPr>
          <w:rFonts w:ascii="Times New Roman" w:hAnsi="Times New Roman" w:cs="Times New Roman"/>
          <w:sz w:val="20"/>
          <w:szCs w:val="20"/>
        </w:rPr>
        <w:t>6701</w:t>
      </w:r>
      <w:r w:rsidR="00943543" w:rsidRPr="00E06D38">
        <w:rPr>
          <w:rFonts w:ascii="Times New Roman" w:hAnsi="Times New Roman" w:cs="Times New Roman"/>
          <w:sz w:val="20"/>
          <w:szCs w:val="20"/>
        </w:rPr>
        <w:t>3</w:t>
      </w:r>
      <w:r w:rsidRPr="00E06D38">
        <w:rPr>
          <w:rFonts w:ascii="Times New Roman" w:hAnsi="Times New Roman" w:cs="Times New Roman"/>
          <w:sz w:val="20"/>
          <w:szCs w:val="20"/>
        </w:rPr>
        <w:t>175</w:t>
      </w:r>
    </w:p>
    <w:p w14:paraId="7A6B6DBD" w14:textId="396E57B2" w:rsidR="00894C55" w:rsidRPr="00E06D38" w:rsidRDefault="005A791E" w:rsidP="00962D32">
      <w:pPr>
        <w:tabs>
          <w:tab w:val="left" w:pos="6237"/>
        </w:tabs>
        <w:spacing w:after="0" w:line="240" w:lineRule="auto"/>
        <w:contextualSpacing/>
        <w:rPr>
          <w:rFonts w:ascii="Times New Roman" w:hAnsi="Times New Roman" w:cs="Times New Roman"/>
          <w:sz w:val="20"/>
          <w:szCs w:val="20"/>
        </w:rPr>
      </w:pPr>
      <w:r w:rsidRPr="00E06D38">
        <w:rPr>
          <w:rFonts w:ascii="Times New Roman" w:hAnsi="Times New Roman" w:cs="Times New Roman"/>
          <w:sz w:val="20"/>
          <w:szCs w:val="20"/>
        </w:rPr>
        <w:t>inguna.ozol</w:t>
      </w:r>
      <w:r w:rsidR="00E4410A" w:rsidRPr="00E06D38">
        <w:rPr>
          <w:rFonts w:ascii="Times New Roman" w:hAnsi="Times New Roman" w:cs="Times New Roman"/>
          <w:sz w:val="20"/>
          <w:szCs w:val="20"/>
        </w:rPr>
        <w:t>i</w:t>
      </w:r>
      <w:r w:rsidRPr="00E06D38">
        <w:rPr>
          <w:rFonts w:ascii="Times New Roman" w:hAnsi="Times New Roman" w:cs="Times New Roman"/>
          <w:sz w:val="20"/>
          <w:szCs w:val="20"/>
        </w:rPr>
        <w:t>na@em.gov.lv</w:t>
      </w:r>
    </w:p>
    <w:sectPr w:rsidR="00894C55" w:rsidRPr="00E06D38" w:rsidSect="0087342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51D7" w14:textId="77777777" w:rsidR="00973C9A" w:rsidRDefault="00973C9A" w:rsidP="00894C55">
      <w:pPr>
        <w:spacing w:after="0" w:line="240" w:lineRule="auto"/>
      </w:pPr>
      <w:r>
        <w:separator/>
      </w:r>
    </w:p>
  </w:endnote>
  <w:endnote w:type="continuationSeparator" w:id="0">
    <w:p w14:paraId="7DFE245C" w14:textId="77777777" w:rsidR="00973C9A" w:rsidRDefault="00973C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C242" w14:textId="049D5E6E" w:rsidR="006146CD" w:rsidRPr="009F4CAC" w:rsidRDefault="006146CD" w:rsidP="009F4CAC">
    <w:pPr>
      <w:pStyle w:val="Footer"/>
      <w:rPr>
        <w:rFonts w:ascii="Times New Roman" w:hAnsi="Times New Roman" w:cs="Times New Roman"/>
        <w:sz w:val="20"/>
        <w:szCs w:val="20"/>
      </w:rPr>
    </w:pPr>
    <w:r>
      <w:rPr>
        <w:rFonts w:ascii="Times New Roman" w:hAnsi="Times New Roman" w:cs="Times New Roman"/>
        <w:sz w:val="20"/>
        <w:szCs w:val="20"/>
      </w:rPr>
      <w:t>EMA</w:t>
    </w:r>
    <w:r w:rsidRPr="005E5000">
      <w:rPr>
        <w:rFonts w:ascii="Times New Roman" w:hAnsi="Times New Roman" w:cs="Times New Roman"/>
        <w:sz w:val="20"/>
        <w:szCs w:val="20"/>
      </w:rPr>
      <w:t>not_</w:t>
    </w:r>
    <w:r w:rsidR="00881D02">
      <w:rPr>
        <w:rFonts w:ascii="Times New Roman" w:hAnsi="Times New Roman" w:cs="Times New Roman"/>
        <w:sz w:val="20"/>
        <w:szCs w:val="20"/>
      </w:rPr>
      <w:t>04</w:t>
    </w:r>
    <w:r>
      <w:rPr>
        <w:rFonts w:ascii="Times New Roman" w:hAnsi="Times New Roman" w:cs="Times New Roman"/>
        <w:sz w:val="20"/>
        <w:szCs w:val="20"/>
      </w:rPr>
      <w:t>1218</w:t>
    </w:r>
    <w:r w:rsidRPr="005E5000">
      <w:rPr>
        <w:rFonts w:ascii="Times New Roman" w:hAnsi="Times New Roman" w:cs="Times New Roman"/>
        <w:sz w:val="20"/>
        <w:szCs w:val="20"/>
      </w:rPr>
      <w:t>_</w:t>
    </w:r>
    <w:r w:rsidR="00881D02">
      <w:rPr>
        <w:rFonts w:ascii="Times New Roman" w:hAnsi="Times New Roman" w:cs="Times New Roman"/>
        <w:sz w:val="20"/>
        <w:szCs w:val="20"/>
      </w:rPr>
      <w:t>GrozEEL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9F2D" w14:textId="74F647CE" w:rsidR="006146CD" w:rsidRPr="009F4CAC" w:rsidRDefault="006146CD">
    <w:pPr>
      <w:pStyle w:val="Footer"/>
      <w:rPr>
        <w:rFonts w:ascii="Times New Roman" w:hAnsi="Times New Roman" w:cs="Times New Roman"/>
        <w:sz w:val="20"/>
        <w:szCs w:val="20"/>
      </w:rPr>
    </w:pPr>
    <w:r>
      <w:rPr>
        <w:rFonts w:ascii="Times New Roman" w:hAnsi="Times New Roman" w:cs="Times New Roman"/>
        <w:sz w:val="20"/>
        <w:szCs w:val="20"/>
      </w:rPr>
      <w:t>EMA</w:t>
    </w:r>
    <w:r w:rsidRPr="005E5000">
      <w:rPr>
        <w:rFonts w:ascii="Times New Roman" w:hAnsi="Times New Roman" w:cs="Times New Roman"/>
        <w:sz w:val="20"/>
        <w:szCs w:val="20"/>
      </w:rPr>
      <w:t>not_</w:t>
    </w:r>
    <w:r>
      <w:rPr>
        <w:rFonts w:ascii="Times New Roman" w:hAnsi="Times New Roman" w:cs="Times New Roman"/>
        <w:sz w:val="20"/>
        <w:szCs w:val="20"/>
      </w:rPr>
      <w:t>0</w:t>
    </w:r>
    <w:r w:rsidR="00881D02">
      <w:rPr>
        <w:rFonts w:ascii="Times New Roman" w:hAnsi="Times New Roman" w:cs="Times New Roman"/>
        <w:sz w:val="20"/>
        <w:szCs w:val="20"/>
      </w:rPr>
      <w:t>4</w:t>
    </w:r>
    <w:r>
      <w:rPr>
        <w:rFonts w:ascii="Times New Roman" w:hAnsi="Times New Roman" w:cs="Times New Roman"/>
        <w:sz w:val="20"/>
        <w:szCs w:val="20"/>
      </w:rPr>
      <w:t>1218</w:t>
    </w:r>
    <w:r w:rsidRPr="005E5000">
      <w:rPr>
        <w:rFonts w:ascii="Times New Roman" w:hAnsi="Times New Roman" w:cs="Times New Roman"/>
        <w:sz w:val="20"/>
        <w:szCs w:val="20"/>
      </w:rPr>
      <w:t>_</w:t>
    </w:r>
    <w:r w:rsidR="00881D02">
      <w:rPr>
        <w:rFonts w:ascii="Times New Roman" w:hAnsi="Times New Roman" w:cs="Times New Roman"/>
        <w:sz w:val="20"/>
        <w:szCs w:val="20"/>
      </w:rPr>
      <w:t>G</w:t>
    </w:r>
    <w:r>
      <w:rPr>
        <w:rFonts w:ascii="Times New Roman" w:hAnsi="Times New Roman" w:cs="Times New Roman"/>
        <w:sz w:val="20"/>
        <w:szCs w:val="20"/>
      </w:rPr>
      <w:t>rozEE</w:t>
    </w:r>
    <w:r w:rsidR="00881D02">
      <w:rPr>
        <w:rFonts w:ascii="Times New Roman" w:hAnsi="Times New Roman" w:cs="Times New Roman"/>
        <w:sz w:val="20"/>
        <w:szCs w:val="20"/>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3672C" w14:textId="77777777" w:rsidR="00973C9A" w:rsidRDefault="00973C9A" w:rsidP="00894C55">
      <w:pPr>
        <w:spacing w:after="0" w:line="240" w:lineRule="auto"/>
      </w:pPr>
      <w:r>
        <w:separator/>
      </w:r>
    </w:p>
  </w:footnote>
  <w:footnote w:type="continuationSeparator" w:id="0">
    <w:p w14:paraId="3CD63C24" w14:textId="77777777" w:rsidR="00973C9A" w:rsidRDefault="00973C9A" w:rsidP="00894C55">
      <w:pPr>
        <w:spacing w:after="0" w:line="240" w:lineRule="auto"/>
      </w:pPr>
      <w:r>
        <w:continuationSeparator/>
      </w:r>
    </w:p>
  </w:footnote>
  <w:footnote w:id="1">
    <w:p w14:paraId="3071A751" w14:textId="343034C1" w:rsidR="006146CD" w:rsidRDefault="006146CD">
      <w:pPr>
        <w:pStyle w:val="FootnoteText"/>
      </w:pPr>
      <w:r>
        <w:rPr>
          <w:rStyle w:val="FootnoteReference"/>
        </w:rPr>
        <w:footnoteRef/>
      </w:r>
      <w:r>
        <w:t xml:space="preserve"> </w:t>
      </w:r>
      <w:hyperlink r:id="rId1" w:history="1">
        <w:r w:rsidRPr="00866B58">
          <w:rPr>
            <w:rStyle w:val="Hyperlink"/>
          </w:rPr>
          <w:t>http://titania.saeima.lv/LIVS12/SaeimaLIVS12.nsf/0/99E6F4CEACA1C03BC2257E51002559FC?OpenDocument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11F7D5F5" w14:textId="77B35146" w:rsidR="006146CD" w:rsidRPr="001F6AC9" w:rsidRDefault="006146CD">
        <w:pPr>
          <w:pStyle w:val="Header"/>
          <w:jc w:val="center"/>
          <w:rPr>
            <w:rFonts w:ascii="Times New Roman" w:hAnsi="Times New Roman" w:cs="Times New Roman"/>
            <w:sz w:val="20"/>
            <w:szCs w:val="20"/>
          </w:rPr>
        </w:pPr>
        <w:r w:rsidRPr="001F6AC9">
          <w:rPr>
            <w:rFonts w:ascii="Times New Roman" w:hAnsi="Times New Roman" w:cs="Times New Roman"/>
            <w:sz w:val="20"/>
            <w:szCs w:val="20"/>
          </w:rPr>
          <w:fldChar w:fldCharType="begin"/>
        </w:r>
        <w:r w:rsidRPr="001F6AC9">
          <w:rPr>
            <w:rFonts w:ascii="Times New Roman" w:hAnsi="Times New Roman" w:cs="Times New Roman"/>
            <w:sz w:val="20"/>
            <w:szCs w:val="20"/>
          </w:rPr>
          <w:instrText xml:space="preserve"> PAGE   \* MERGEFORMAT </w:instrText>
        </w:r>
        <w:r w:rsidRPr="001F6AC9">
          <w:rPr>
            <w:rFonts w:ascii="Times New Roman" w:hAnsi="Times New Roman" w:cs="Times New Roman"/>
            <w:sz w:val="20"/>
            <w:szCs w:val="20"/>
          </w:rPr>
          <w:fldChar w:fldCharType="separate"/>
        </w:r>
        <w:r w:rsidR="00CA1E17">
          <w:rPr>
            <w:rFonts w:ascii="Times New Roman" w:hAnsi="Times New Roman" w:cs="Times New Roman"/>
            <w:noProof/>
            <w:sz w:val="20"/>
            <w:szCs w:val="20"/>
          </w:rPr>
          <w:t>8</w:t>
        </w:r>
        <w:r w:rsidRPr="001F6AC9">
          <w:rPr>
            <w:rFonts w:ascii="Times New Roman" w:hAnsi="Times New Roman" w:cs="Times New Roman"/>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41"/>
    <w:rsid w:val="00002D56"/>
    <w:rsid w:val="000062FE"/>
    <w:rsid w:val="00012C87"/>
    <w:rsid w:val="0002200B"/>
    <w:rsid w:val="000278F2"/>
    <w:rsid w:val="00031326"/>
    <w:rsid w:val="00033B25"/>
    <w:rsid w:val="0004000C"/>
    <w:rsid w:val="00041367"/>
    <w:rsid w:val="00044F09"/>
    <w:rsid w:val="00045B89"/>
    <w:rsid w:val="00051D8D"/>
    <w:rsid w:val="000537AB"/>
    <w:rsid w:val="0006682B"/>
    <w:rsid w:val="00073ACB"/>
    <w:rsid w:val="0008357F"/>
    <w:rsid w:val="00087FA7"/>
    <w:rsid w:val="00090EA3"/>
    <w:rsid w:val="000B080B"/>
    <w:rsid w:val="000B6F95"/>
    <w:rsid w:val="000C1AEA"/>
    <w:rsid w:val="000C54D2"/>
    <w:rsid w:val="000C619D"/>
    <w:rsid w:val="000C7A0E"/>
    <w:rsid w:val="000D5F27"/>
    <w:rsid w:val="000E28DC"/>
    <w:rsid w:val="000E4028"/>
    <w:rsid w:val="000F2391"/>
    <w:rsid w:val="000F2F02"/>
    <w:rsid w:val="00127F9B"/>
    <w:rsid w:val="00137D1B"/>
    <w:rsid w:val="00145C60"/>
    <w:rsid w:val="001460D4"/>
    <w:rsid w:val="00152F72"/>
    <w:rsid w:val="00154A29"/>
    <w:rsid w:val="00157D2C"/>
    <w:rsid w:val="0016155E"/>
    <w:rsid w:val="00165A0C"/>
    <w:rsid w:val="001676A2"/>
    <w:rsid w:val="0018264F"/>
    <w:rsid w:val="001851D6"/>
    <w:rsid w:val="0019246E"/>
    <w:rsid w:val="001958A9"/>
    <w:rsid w:val="00195C26"/>
    <w:rsid w:val="001969F4"/>
    <w:rsid w:val="001A10B7"/>
    <w:rsid w:val="001A5F4F"/>
    <w:rsid w:val="001B62F6"/>
    <w:rsid w:val="001B67E8"/>
    <w:rsid w:val="001B6987"/>
    <w:rsid w:val="001E4AAA"/>
    <w:rsid w:val="001E69FB"/>
    <w:rsid w:val="001F1D3D"/>
    <w:rsid w:val="001F6AC9"/>
    <w:rsid w:val="00201AF0"/>
    <w:rsid w:val="0020252E"/>
    <w:rsid w:val="002071CD"/>
    <w:rsid w:val="00212C10"/>
    <w:rsid w:val="00226F3C"/>
    <w:rsid w:val="00227E17"/>
    <w:rsid w:val="00234CFC"/>
    <w:rsid w:val="0023564B"/>
    <w:rsid w:val="00243426"/>
    <w:rsid w:val="0024502B"/>
    <w:rsid w:val="002474AF"/>
    <w:rsid w:val="00256B0A"/>
    <w:rsid w:val="0025743B"/>
    <w:rsid w:val="002575F6"/>
    <w:rsid w:val="002679C0"/>
    <w:rsid w:val="00267ED7"/>
    <w:rsid w:val="00275C1E"/>
    <w:rsid w:val="00283CC5"/>
    <w:rsid w:val="002B6BC6"/>
    <w:rsid w:val="002C2FD7"/>
    <w:rsid w:val="002D65CD"/>
    <w:rsid w:val="002D75F4"/>
    <w:rsid w:val="002F1C38"/>
    <w:rsid w:val="002F3E59"/>
    <w:rsid w:val="002F6BCE"/>
    <w:rsid w:val="00302C3D"/>
    <w:rsid w:val="0031741E"/>
    <w:rsid w:val="003201C3"/>
    <w:rsid w:val="00325440"/>
    <w:rsid w:val="0032795E"/>
    <w:rsid w:val="00331911"/>
    <w:rsid w:val="00336643"/>
    <w:rsid w:val="00342B7A"/>
    <w:rsid w:val="0035453D"/>
    <w:rsid w:val="003552B6"/>
    <w:rsid w:val="00361B9B"/>
    <w:rsid w:val="00361E97"/>
    <w:rsid w:val="00362DAE"/>
    <w:rsid w:val="00371B92"/>
    <w:rsid w:val="003A05EC"/>
    <w:rsid w:val="003A4323"/>
    <w:rsid w:val="003B0BF9"/>
    <w:rsid w:val="003B52B7"/>
    <w:rsid w:val="003B5C4B"/>
    <w:rsid w:val="003C44A6"/>
    <w:rsid w:val="003D4076"/>
    <w:rsid w:val="003E0791"/>
    <w:rsid w:val="003E2386"/>
    <w:rsid w:val="003E7C01"/>
    <w:rsid w:val="003F28AC"/>
    <w:rsid w:val="00402A7A"/>
    <w:rsid w:val="004045AF"/>
    <w:rsid w:val="0041082F"/>
    <w:rsid w:val="00420316"/>
    <w:rsid w:val="00426193"/>
    <w:rsid w:val="00430679"/>
    <w:rsid w:val="00431EB3"/>
    <w:rsid w:val="00433C8B"/>
    <w:rsid w:val="0043627B"/>
    <w:rsid w:val="00440F43"/>
    <w:rsid w:val="004454FE"/>
    <w:rsid w:val="00450A37"/>
    <w:rsid w:val="004630D6"/>
    <w:rsid w:val="00465AFA"/>
    <w:rsid w:val="00467520"/>
    <w:rsid w:val="00467759"/>
    <w:rsid w:val="00471F27"/>
    <w:rsid w:val="00481F51"/>
    <w:rsid w:val="004913CB"/>
    <w:rsid w:val="0049792D"/>
    <w:rsid w:val="004A114D"/>
    <w:rsid w:val="004A23AA"/>
    <w:rsid w:val="004A2BD7"/>
    <w:rsid w:val="004A3A9F"/>
    <w:rsid w:val="004A5ACF"/>
    <w:rsid w:val="004B19B5"/>
    <w:rsid w:val="004C0951"/>
    <w:rsid w:val="004D39F5"/>
    <w:rsid w:val="004E21F6"/>
    <w:rsid w:val="004E5F6B"/>
    <w:rsid w:val="004F21B4"/>
    <w:rsid w:val="005004CA"/>
    <w:rsid w:val="0050178F"/>
    <w:rsid w:val="00501FFD"/>
    <w:rsid w:val="005055F6"/>
    <w:rsid w:val="005212D2"/>
    <w:rsid w:val="00526003"/>
    <w:rsid w:val="00542211"/>
    <w:rsid w:val="005465B9"/>
    <w:rsid w:val="00551E29"/>
    <w:rsid w:val="00555FB0"/>
    <w:rsid w:val="00564E05"/>
    <w:rsid w:val="00576598"/>
    <w:rsid w:val="005931FB"/>
    <w:rsid w:val="005A5EB4"/>
    <w:rsid w:val="005A791E"/>
    <w:rsid w:val="005A7F8B"/>
    <w:rsid w:val="005C0649"/>
    <w:rsid w:val="005D0F37"/>
    <w:rsid w:val="005D1904"/>
    <w:rsid w:val="005E5000"/>
    <w:rsid w:val="005F7279"/>
    <w:rsid w:val="0060099B"/>
    <w:rsid w:val="00601262"/>
    <w:rsid w:val="0060328F"/>
    <w:rsid w:val="006064B4"/>
    <w:rsid w:val="00610B00"/>
    <w:rsid w:val="006146CD"/>
    <w:rsid w:val="00614908"/>
    <w:rsid w:val="00621D72"/>
    <w:rsid w:val="0062392D"/>
    <w:rsid w:val="00635CBA"/>
    <w:rsid w:val="00642A51"/>
    <w:rsid w:val="00663D63"/>
    <w:rsid w:val="00670092"/>
    <w:rsid w:val="0067399B"/>
    <w:rsid w:val="006A436A"/>
    <w:rsid w:val="006A72D6"/>
    <w:rsid w:val="006B2B12"/>
    <w:rsid w:val="006B52C7"/>
    <w:rsid w:val="006B68EB"/>
    <w:rsid w:val="006C2B21"/>
    <w:rsid w:val="006C5CB9"/>
    <w:rsid w:val="006D5F5A"/>
    <w:rsid w:val="006E1081"/>
    <w:rsid w:val="006E48EF"/>
    <w:rsid w:val="006E51E9"/>
    <w:rsid w:val="006F4638"/>
    <w:rsid w:val="007023D1"/>
    <w:rsid w:val="00717B4B"/>
    <w:rsid w:val="00717DE3"/>
    <w:rsid w:val="00720585"/>
    <w:rsid w:val="00727296"/>
    <w:rsid w:val="0073384F"/>
    <w:rsid w:val="00735FA5"/>
    <w:rsid w:val="0075046E"/>
    <w:rsid w:val="00755049"/>
    <w:rsid w:val="0076492F"/>
    <w:rsid w:val="007721D6"/>
    <w:rsid w:val="00773AF6"/>
    <w:rsid w:val="00792ADE"/>
    <w:rsid w:val="0079359A"/>
    <w:rsid w:val="007A52BD"/>
    <w:rsid w:val="007C111C"/>
    <w:rsid w:val="007C4518"/>
    <w:rsid w:val="007C4901"/>
    <w:rsid w:val="007D6EF5"/>
    <w:rsid w:val="007E441D"/>
    <w:rsid w:val="007F7403"/>
    <w:rsid w:val="0080310C"/>
    <w:rsid w:val="00804FB1"/>
    <w:rsid w:val="00812A78"/>
    <w:rsid w:val="00816C11"/>
    <w:rsid w:val="008221FC"/>
    <w:rsid w:val="0082282C"/>
    <w:rsid w:val="0082573B"/>
    <w:rsid w:val="00831006"/>
    <w:rsid w:val="008328B8"/>
    <w:rsid w:val="00841C68"/>
    <w:rsid w:val="008449EE"/>
    <w:rsid w:val="00860893"/>
    <w:rsid w:val="00864E00"/>
    <w:rsid w:val="00864EF7"/>
    <w:rsid w:val="0087342D"/>
    <w:rsid w:val="0087794D"/>
    <w:rsid w:val="00881D02"/>
    <w:rsid w:val="00885BAF"/>
    <w:rsid w:val="00894C55"/>
    <w:rsid w:val="008B2E96"/>
    <w:rsid w:val="008B3550"/>
    <w:rsid w:val="008B4140"/>
    <w:rsid w:val="008B67C3"/>
    <w:rsid w:val="008B6A46"/>
    <w:rsid w:val="008F4BDD"/>
    <w:rsid w:val="009053FB"/>
    <w:rsid w:val="009058B2"/>
    <w:rsid w:val="00915BCD"/>
    <w:rsid w:val="00917B91"/>
    <w:rsid w:val="00917EE7"/>
    <w:rsid w:val="0093172E"/>
    <w:rsid w:val="0093289F"/>
    <w:rsid w:val="00943543"/>
    <w:rsid w:val="00955E17"/>
    <w:rsid w:val="00961886"/>
    <w:rsid w:val="00962D32"/>
    <w:rsid w:val="00973C9A"/>
    <w:rsid w:val="00986393"/>
    <w:rsid w:val="00994AB8"/>
    <w:rsid w:val="00995DAD"/>
    <w:rsid w:val="009A2051"/>
    <w:rsid w:val="009B39F6"/>
    <w:rsid w:val="009C45F4"/>
    <w:rsid w:val="009D1D0E"/>
    <w:rsid w:val="009D3DC8"/>
    <w:rsid w:val="009F218C"/>
    <w:rsid w:val="009F2BFE"/>
    <w:rsid w:val="009F3E99"/>
    <w:rsid w:val="009F3F86"/>
    <w:rsid w:val="009F4CAC"/>
    <w:rsid w:val="009F7D01"/>
    <w:rsid w:val="00A03F82"/>
    <w:rsid w:val="00A13E56"/>
    <w:rsid w:val="00A27B2C"/>
    <w:rsid w:val="00A32FAD"/>
    <w:rsid w:val="00A40FE8"/>
    <w:rsid w:val="00A50A21"/>
    <w:rsid w:val="00A51953"/>
    <w:rsid w:val="00A5418F"/>
    <w:rsid w:val="00A90E84"/>
    <w:rsid w:val="00A91A6C"/>
    <w:rsid w:val="00AA47CB"/>
    <w:rsid w:val="00AA59A6"/>
    <w:rsid w:val="00AA7BCC"/>
    <w:rsid w:val="00AB133D"/>
    <w:rsid w:val="00AB2441"/>
    <w:rsid w:val="00AB72A5"/>
    <w:rsid w:val="00AE02BC"/>
    <w:rsid w:val="00AE5567"/>
    <w:rsid w:val="00AF345F"/>
    <w:rsid w:val="00B0523D"/>
    <w:rsid w:val="00B17702"/>
    <w:rsid w:val="00B20E87"/>
    <w:rsid w:val="00B2165C"/>
    <w:rsid w:val="00B22DE3"/>
    <w:rsid w:val="00B324D8"/>
    <w:rsid w:val="00B34DD3"/>
    <w:rsid w:val="00B52B2B"/>
    <w:rsid w:val="00B63DD8"/>
    <w:rsid w:val="00B71959"/>
    <w:rsid w:val="00B80599"/>
    <w:rsid w:val="00B813BA"/>
    <w:rsid w:val="00B9232C"/>
    <w:rsid w:val="00BA2B82"/>
    <w:rsid w:val="00BB764A"/>
    <w:rsid w:val="00BC378B"/>
    <w:rsid w:val="00BD152E"/>
    <w:rsid w:val="00BD4425"/>
    <w:rsid w:val="00BD44C9"/>
    <w:rsid w:val="00BD4986"/>
    <w:rsid w:val="00BE10FA"/>
    <w:rsid w:val="00BF097C"/>
    <w:rsid w:val="00C11912"/>
    <w:rsid w:val="00C227FE"/>
    <w:rsid w:val="00C25B49"/>
    <w:rsid w:val="00C31841"/>
    <w:rsid w:val="00C325BE"/>
    <w:rsid w:val="00C327F5"/>
    <w:rsid w:val="00C348D9"/>
    <w:rsid w:val="00C35652"/>
    <w:rsid w:val="00C37988"/>
    <w:rsid w:val="00C40EB5"/>
    <w:rsid w:val="00C41D99"/>
    <w:rsid w:val="00C43292"/>
    <w:rsid w:val="00C57934"/>
    <w:rsid w:val="00C658FD"/>
    <w:rsid w:val="00C7280E"/>
    <w:rsid w:val="00C75304"/>
    <w:rsid w:val="00C75FF5"/>
    <w:rsid w:val="00C815AD"/>
    <w:rsid w:val="00C8391A"/>
    <w:rsid w:val="00C8688C"/>
    <w:rsid w:val="00CA1E17"/>
    <w:rsid w:val="00CC7605"/>
    <w:rsid w:val="00CD2C75"/>
    <w:rsid w:val="00CE5657"/>
    <w:rsid w:val="00CF142C"/>
    <w:rsid w:val="00CF49F4"/>
    <w:rsid w:val="00CF6FA6"/>
    <w:rsid w:val="00D03060"/>
    <w:rsid w:val="00D23A50"/>
    <w:rsid w:val="00D242AA"/>
    <w:rsid w:val="00D53CA4"/>
    <w:rsid w:val="00D5403B"/>
    <w:rsid w:val="00D8135A"/>
    <w:rsid w:val="00D815CB"/>
    <w:rsid w:val="00DB2706"/>
    <w:rsid w:val="00DB4949"/>
    <w:rsid w:val="00DC056C"/>
    <w:rsid w:val="00DC1055"/>
    <w:rsid w:val="00DC4706"/>
    <w:rsid w:val="00DC4AF1"/>
    <w:rsid w:val="00DC6275"/>
    <w:rsid w:val="00DC68A8"/>
    <w:rsid w:val="00DC68B0"/>
    <w:rsid w:val="00DD068E"/>
    <w:rsid w:val="00DD086C"/>
    <w:rsid w:val="00DD5B80"/>
    <w:rsid w:val="00DF444D"/>
    <w:rsid w:val="00E06D38"/>
    <w:rsid w:val="00E14938"/>
    <w:rsid w:val="00E15117"/>
    <w:rsid w:val="00E169A8"/>
    <w:rsid w:val="00E242BB"/>
    <w:rsid w:val="00E259F8"/>
    <w:rsid w:val="00E4410A"/>
    <w:rsid w:val="00E52DA5"/>
    <w:rsid w:val="00E64B41"/>
    <w:rsid w:val="00E720B9"/>
    <w:rsid w:val="00E80763"/>
    <w:rsid w:val="00E80F35"/>
    <w:rsid w:val="00E90C01"/>
    <w:rsid w:val="00EA486E"/>
    <w:rsid w:val="00EB0C61"/>
    <w:rsid w:val="00EB402A"/>
    <w:rsid w:val="00EB51BF"/>
    <w:rsid w:val="00EB577C"/>
    <w:rsid w:val="00EB70B8"/>
    <w:rsid w:val="00EE1DA9"/>
    <w:rsid w:val="00EE732E"/>
    <w:rsid w:val="00EF1B54"/>
    <w:rsid w:val="00F11F4E"/>
    <w:rsid w:val="00F1216F"/>
    <w:rsid w:val="00F138E8"/>
    <w:rsid w:val="00F14C32"/>
    <w:rsid w:val="00F229F7"/>
    <w:rsid w:val="00F332DF"/>
    <w:rsid w:val="00F343A7"/>
    <w:rsid w:val="00F36861"/>
    <w:rsid w:val="00F57B0C"/>
    <w:rsid w:val="00F6129E"/>
    <w:rsid w:val="00F62F8C"/>
    <w:rsid w:val="00F64A6C"/>
    <w:rsid w:val="00F75F2F"/>
    <w:rsid w:val="00F76E4B"/>
    <w:rsid w:val="00F83C19"/>
    <w:rsid w:val="00F950CB"/>
    <w:rsid w:val="00FA7B0A"/>
    <w:rsid w:val="00FA7CB5"/>
    <w:rsid w:val="00FB02E1"/>
    <w:rsid w:val="00FB1832"/>
    <w:rsid w:val="00FB3713"/>
    <w:rsid w:val="00FD667C"/>
    <w:rsid w:val="00FD72D2"/>
    <w:rsid w:val="00FF09A4"/>
    <w:rsid w:val="00FF4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DBFF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semiHidden/>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semiHidden/>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val="x-none"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basedOn w:val="Normal"/>
    <w:link w:val="FootnoteTextChar"/>
    <w:uiPriority w:val="99"/>
    <w:semiHidden/>
    <w:unhideWhenUsed/>
    <w:rsid w:val="00257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F6"/>
    <w:rPr>
      <w:sz w:val="20"/>
      <w:szCs w:val="20"/>
    </w:rPr>
  </w:style>
  <w:style w:type="character" w:styleId="FootnoteReference">
    <w:name w:val="footnote reference"/>
    <w:basedOn w:val="DefaultParagraphFont"/>
    <w:uiPriority w:val="99"/>
    <w:semiHidden/>
    <w:unhideWhenUsed/>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99E6F4CEACA1C03BC2257E51002559FC?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05B58"/>
    <w:rsid w:val="00165088"/>
    <w:rsid w:val="0023379D"/>
    <w:rsid w:val="002B4A81"/>
    <w:rsid w:val="002D21C9"/>
    <w:rsid w:val="00344186"/>
    <w:rsid w:val="00354F0E"/>
    <w:rsid w:val="00367732"/>
    <w:rsid w:val="003E4F4B"/>
    <w:rsid w:val="00472F39"/>
    <w:rsid w:val="00473DC5"/>
    <w:rsid w:val="00523A63"/>
    <w:rsid w:val="005D498A"/>
    <w:rsid w:val="0066609B"/>
    <w:rsid w:val="006A564C"/>
    <w:rsid w:val="00746A1F"/>
    <w:rsid w:val="008331DC"/>
    <w:rsid w:val="008B623B"/>
    <w:rsid w:val="008C56E8"/>
    <w:rsid w:val="009E5813"/>
    <w:rsid w:val="00AA0CAD"/>
    <w:rsid w:val="00C00671"/>
    <w:rsid w:val="00C84365"/>
    <w:rsid w:val="00DE4FBF"/>
    <w:rsid w:val="00E25AC8"/>
    <w:rsid w:val="00E4408D"/>
    <w:rsid w:val="00F71DB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5F7D-9C69-438C-B24E-F36049A2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18645</Words>
  <Characters>10629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Likumprojekta “Grozījumi Energoefektivitātes likumā” projekta sākotnējās ietekmes novērtējuma ziņojums (anotācija)</vt:lpstr>
    </vt:vector>
  </TitlesOfParts>
  <Company>Iestādes nosaukums</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Energoefektivitātes likumā” projekta sākotnējās ietekmes novērtējuma ziņojums (anotācija)</dc:title>
  <dc:subject>Anotācija</dc:subject>
  <dc:creator>Andzela.Petersone@em.gov.lv</dc:creator>
  <dc:description>Ozoliņa 67013175, inguna.ozolina@em.gov.lv</dc:description>
  <cp:lastModifiedBy>Kārlis Piģēns</cp:lastModifiedBy>
  <cp:revision>8</cp:revision>
  <dcterms:created xsi:type="dcterms:W3CDTF">2018-12-04T08:16:00Z</dcterms:created>
  <dcterms:modified xsi:type="dcterms:W3CDTF">2018-12-04T13:33:00Z</dcterms:modified>
</cp:coreProperties>
</file>