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D6C1F" w14:textId="1D879842" w:rsidR="00E5323B" w:rsidRPr="001529D9" w:rsidRDefault="0078714F"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1529D9">
        <w:rPr>
          <w:rFonts w:ascii="Times New Roman" w:eastAsia="Times New Roman" w:hAnsi="Times New Roman" w:cs="Times New Roman"/>
          <w:b/>
          <w:bCs/>
          <w:sz w:val="28"/>
          <w:szCs w:val="24"/>
          <w:lang w:eastAsia="lv-LV"/>
        </w:rPr>
        <w:t>Ministru kabineta noteikumu projekta “</w:t>
      </w:r>
      <w:r w:rsidR="00471DB2" w:rsidRPr="00471DB2">
        <w:rPr>
          <w:rFonts w:ascii="Times New Roman" w:eastAsia="Times New Roman" w:hAnsi="Times New Roman" w:cs="Times New Roman"/>
          <w:b/>
          <w:bCs/>
          <w:sz w:val="28"/>
          <w:szCs w:val="24"/>
          <w:lang w:eastAsia="lv-LV"/>
        </w:rPr>
        <w:t>Grozījumi Ministru kabineta 2014. gada 17. jūnija noteikumos Nr. 306 “Kārtība, kādā Finanšu un kapitāla tirgus komisija un Datu valsts inspekcija pieprasa un elektronisko sakaru komersants nodod noslodzes datus”</w:t>
      </w:r>
      <w:r w:rsidRPr="001529D9">
        <w:rPr>
          <w:rFonts w:ascii="Times New Roman" w:eastAsia="Times New Roman" w:hAnsi="Times New Roman" w:cs="Times New Roman"/>
          <w:b/>
          <w:bCs/>
          <w:sz w:val="28"/>
          <w:szCs w:val="24"/>
          <w:lang w:eastAsia="lv-LV"/>
        </w:rPr>
        <w:t>” sākotnējās ietekmes novērtējuma ziņojums (anotācija)</w:t>
      </w:r>
    </w:p>
    <w:p w14:paraId="7679B1F5" w14:textId="77777777" w:rsidR="001529D9" w:rsidRPr="001529D9" w:rsidRDefault="001529D9"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3B46" w14:paraId="47622F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ACF5E5"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Tiesību akta projekta anotācijas kopsavilkums</w:t>
            </w:r>
          </w:p>
        </w:tc>
      </w:tr>
      <w:tr w:rsidR="003B3B46" w14:paraId="3665617D" w14:textId="77777777" w:rsidTr="001529D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CC9FA5F"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391F667C" w14:textId="7E4E32A5" w:rsidR="00E5323B" w:rsidRDefault="00F22778" w:rsidP="001B4D3B">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Noteikumu projekta mērķis ir noteikt kārtību, kādā </w:t>
            </w:r>
            <w:r w:rsidRPr="001529D9">
              <w:rPr>
                <w:rFonts w:ascii="Times New Roman" w:hAnsi="Times New Roman" w:cs="Times New Roman"/>
                <w:sz w:val="24"/>
                <w:szCs w:val="24"/>
              </w:rPr>
              <w:t>Patērētāju tiesību aizsardzības centrs</w:t>
            </w:r>
            <w:r>
              <w:rPr>
                <w:rFonts w:ascii="Times New Roman" w:hAnsi="Times New Roman" w:cs="Times New Roman"/>
                <w:sz w:val="24"/>
                <w:szCs w:val="24"/>
              </w:rPr>
              <w:t xml:space="preserve"> </w:t>
            </w:r>
            <w:r w:rsidRPr="001529D9">
              <w:rPr>
                <w:rFonts w:ascii="Times New Roman" w:hAnsi="Times New Roman" w:cs="Times New Roman"/>
                <w:sz w:val="24"/>
                <w:szCs w:val="24"/>
              </w:rPr>
              <w:t>(turpmāk – PTAC)</w:t>
            </w:r>
            <w:r>
              <w:rPr>
                <w:rFonts w:ascii="Times New Roman" w:hAnsi="Times New Roman" w:cs="Times New Roman"/>
                <w:sz w:val="24"/>
                <w:szCs w:val="24"/>
              </w:rPr>
              <w:t xml:space="preserve"> pieprasa noslodzes datus no elektronisko sakaru komersantiem. Ņemot vērā, ka </w:t>
            </w:r>
            <w:r w:rsidRPr="00F22778">
              <w:rPr>
                <w:rFonts w:ascii="Times New Roman" w:hAnsi="Times New Roman" w:cs="Times New Roman"/>
                <w:sz w:val="24"/>
                <w:szCs w:val="24"/>
              </w:rPr>
              <w:t>M</w:t>
            </w:r>
            <w:r w:rsidR="003A16DD">
              <w:rPr>
                <w:rFonts w:ascii="Times New Roman" w:hAnsi="Times New Roman" w:cs="Times New Roman"/>
                <w:sz w:val="24"/>
                <w:szCs w:val="24"/>
              </w:rPr>
              <w:t>inistru kabineta 2014. gada 17.</w:t>
            </w:r>
            <w:r w:rsidRPr="00F22778">
              <w:rPr>
                <w:rFonts w:ascii="Times New Roman" w:hAnsi="Times New Roman" w:cs="Times New Roman"/>
                <w:sz w:val="24"/>
                <w:szCs w:val="24"/>
              </w:rPr>
              <w:t>jūnija noteikumos Nr. 306 “Kārtība, kādā Finanšu un kapitāla tirgus komisija un Datu valsts inspekcija pieprasa un elektronisko sakaru komersants nodod noslodzes datus”</w:t>
            </w:r>
            <w:r>
              <w:rPr>
                <w:rFonts w:ascii="Times New Roman" w:hAnsi="Times New Roman" w:cs="Times New Roman"/>
                <w:sz w:val="24"/>
                <w:szCs w:val="24"/>
              </w:rPr>
              <w:t xml:space="preserve"> (turpmāk – noteikumi Nr. 306) jau šobrīd </w:t>
            </w:r>
            <w:r w:rsidR="00C258F5">
              <w:rPr>
                <w:rFonts w:ascii="Times New Roman" w:hAnsi="Times New Roman" w:cs="Times New Roman"/>
                <w:sz w:val="24"/>
                <w:szCs w:val="24"/>
              </w:rPr>
              <w:t>paredz noslodzes datu nodošanas kārtību</w:t>
            </w:r>
            <w:r>
              <w:rPr>
                <w:rFonts w:ascii="Times New Roman" w:hAnsi="Times New Roman" w:cs="Times New Roman"/>
                <w:sz w:val="24"/>
                <w:szCs w:val="24"/>
              </w:rPr>
              <w:t xml:space="preserve">, noteikumu projekts </w:t>
            </w:r>
            <w:r w:rsidR="00C258F5">
              <w:rPr>
                <w:rFonts w:ascii="Times New Roman" w:hAnsi="Times New Roman" w:cs="Times New Roman"/>
                <w:sz w:val="24"/>
                <w:szCs w:val="24"/>
              </w:rPr>
              <w:t>papildina</w:t>
            </w:r>
            <w:r w:rsidRPr="00F22778">
              <w:rPr>
                <w:rFonts w:ascii="Times New Roman" w:hAnsi="Times New Roman" w:cs="Times New Roman"/>
                <w:sz w:val="24"/>
                <w:szCs w:val="24"/>
              </w:rPr>
              <w:t xml:space="preserve"> noteikumus Nr.</w:t>
            </w:r>
            <w:r w:rsidR="009121D3">
              <w:rPr>
                <w:rFonts w:ascii="Times New Roman" w:hAnsi="Times New Roman" w:cs="Times New Roman"/>
                <w:sz w:val="24"/>
                <w:szCs w:val="24"/>
              </w:rPr>
              <w:t xml:space="preserve"> </w:t>
            </w:r>
            <w:r w:rsidRPr="00F22778">
              <w:rPr>
                <w:rFonts w:ascii="Times New Roman" w:hAnsi="Times New Roman" w:cs="Times New Roman"/>
                <w:sz w:val="24"/>
                <w:szCs w:val="24"/>
              </w:rPr>
              <w:t>306</w:t>
            </w:r>
            <w:r>
              <w:rPr>
                <w:rFonts w:ascii="Times New Roman" w:hAnsi="Times New Roman" w:cs="Times New Roman"/>
                <w:sz w:val="24"/>
                <w:szCs w:val="24"/>
              </w:rPr>
              <w:t xml:space="preserve"> </w:t>
            </w:r>
            <w:r w:rsidR="00C258F5">
              <w:rPr>
                <w:rFonts w:ascii="Times New Roman" w:hAnsi="Times New Roman" w:cs="Times New Roman"/>
                <w:sz w:val="24"/>
                <w:szCs w:val="24"/>
              </w:rPr>
              <w:t>ar vēl vienu iestādi</w:t>
            </w:r>
            <w:r>
              <w:rPr>
                <w:rFonts w:ascii="Times New Roman" w:hAnsi="Times New Roman" w:cs="Times New Roman"/>
                <w:sz w:val="24"/>
                <w:szCs w:val="24"/>
              </w:rPr>
              <w:t>.</w:t>
            </w:r>
          </w:p>
          <w:p w14:paraId="0B96E1E9" w14:textId="6937350B" w:rsidR="00F22778" w:rsidRPr="001529D9" w:rsidRDefault="00CA68B2" w:rsidP="001B4D3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Plānots, ka n</w:t>
            </w:r>
            <w:r w:rsidR="00F22778">
              <w:rPr>
                <w:rFonts w:ascii="Times New Roman" w:hAnsi="Times New Roman" w:cs="Times New Roman"/>
                <w:sz w:val="24"/>
                <w:szCs w:val="24"/>
              </w:rPr>
              <w:t>ote</w:t>
            </w:r>
            <w:r w:rsidR="000258AD">
              <w:rPr>
                <w:rFonts w:ascii="Times New Roman" w:hAnsi="Times New Roman" w:cs="Times New Roman"/>
                <w:sz w:val="24"/>
                <w:szCs w:val="24"/>
              </w:rPr>
              <w:t>ikumu projekts stājas spēkā 2019</w:t>
            </w:r>
            <w:r w:rsidR="003A16DD">
              <w:rPr>
                <w:rFonts w:ascii="Times New Roman" w:hAnsi="Times New Roman" w:cs="Times New Roman"/>
                <w:sz w:val="24"/>
                <w:szCs w:val="24"/>
              </w:rPr>
              <w:t>.gada 1.</w:t>
            </w:r>
            <w:r w:rsidR="00C825FC">
              <w:rPr>
                <w:rFonts w:ascii="Times New Roman" w:hAnsi="Times New Roman" w:cs="Times New Roman"/>
                <w:sz w:val="24"/>
                <w:szCs w:val="24"/>
              </w:rPr>
              <w:t>janvārī</w:t>
            </w:r>
            <w:r w:rsidR="00F22778">
              <w:rPr>
                <w:rFonts w:ascii="Times New Roman" w:hAnsi="Times New Roman" w:cs="Times New Roman"/>
                <w:sz w:val="24"/>
                <w:szCs w:val="24"/>
              </w:rPr>
              <w:t>.</w:t>
            </w:r>
          </w:p>
        </w:tc>
      </w:tr>
    </w:tbl>
    <w:p w14:paraId="6A59DAF0" w14:textId="751F9891" w:rsidR="00E5323B" w:rsidRPr="001529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3B46" w14:paraId="3C3BDC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3123EC" w14:textId="7FA6666A"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I. Tiesību akta projekta izstrādes nepieciešamība</w:t>
            </w:r>
          </w:p>
        </w:tc>
      </w:tr>
      <w:tr w:rsidR="003B3B46" w14:paraId="0A13A26B" w14:textId="77777777" w:rsidTr="006945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84AE5F"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224BC1"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3EC0EB67"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Elektronisko sakaru likuma 70. panta vienpadsmitā daļa</w:t>
            </w:r>
          </w:p>
        </w:tc>
      </w:tr>
      <w:tr w:rsidR="003B3B46" w14:paraId="30D015F9" w14:textId="77777777" w:rsidTr="006945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4A9620" w14:textId="77777777"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D9EAA5A" w14:textId="691CF781" w:rsidR="001529D9" w:rsidRPr="00336127" w:rsidRDefault="0078714F" w:rsidP="00336127">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AFA2977" w14:textId="7F8338E0" w:rsidR="001529D9" w:rsidRPr="00F11589" w:rsidRDefault="00F22778" w:rsidP="001529D9">
            <w:pPr>
              <w:jc w:val="both"/>
              <w:rPr>
                <w:rFonts w:ascii="Times New Roman" w:hAnsi="Times New Roman" w:cs="Times New Roman"/>
                <w:sz w:val="24"/>
                <w:szCs w:val="24"/>
              </w:rPr>
            </w:pPr>
            <w:r w:rsidRPr="00F11589">
              <w:rPr>
                <w:rFonts w:ascii="Times New Roman" w:hAnsi="Times New Roman" w:cs="Times New Roman"/>
                <w:sz w:val="24"/>
                <w:szCs w:val="24"/>
              </w:rPr>
              <w:t>PTAC</w:t>
            </w:r>
            <w:r w:rsidR="0078714F" w:rsidRPr="00F11589">
              <w:rPr>
                <w:rFonts w:ascii="Times New Roman" w:hAnsi="Times New Roman" w:cs="Times New Roman"/>
                <w:sz w:val="24"/>
                <w:szCs w:val="24"/>
              </w:rPr>
              <w:t xml:space="preserve">  atbilstoši savai kompetencei uzrauga Negodīgas komercprakses aizlieguma likuma (turpmāk – NKAL) un Informācijas sabiedrības pakalpojumu likuma (turpmāk – ISPL) ievērošanu. NKAL 15.panta otrās daļas 1.punkts nosaka, ka uzraudzības iestāde, izvērtējot komercprakses atbilstību šā likuma prasībām, ir tiesīga pieprasīt un saņemt no komercprakses īstenotāja un citām fiziskajām un juridiskajām personām visu lietas būtības noskaidrošanai nepieciešamo informāciju, dokumentus un citus pierādījumus, kā arī mutvārdu paskaidrojumus par </w:t>
            </w:r>
            <w:proofErr w:type="spellStart"/>
            <w:r w:rsidR="0078714F" w:rsidRPr="00F11589">
              <w:rPr>
                <w:rFonts w:ascii="Times New Roman" w:hAnsi="Times New Roman" w:cs="Times New Roman"/>
                <w:sz w:val="24"/>
                <w:szCs w:val="24"/>
              </w:rPr>
              <w:t>komercpraksē</w:t>
            </w:r>
            <w:proofErr w:type="spellEnd"/>
            <w:r w:rsidR="0078714F" w:rsidRPr="00F11589">
              <w:rPr>
                <w:rFonts w:ascii="Times New Roman" w:hAnsi="Times New Roman" w:cs="Times New Roman"/>
                <w:sz w:val="24"/>
                <w:szCs w:val="24"/>
              </w:rPr>
              <w:t xml:space="preserve"> izmantotās informācijas patiesumu, darbības atbilstību šā likuma prasībām, kā arī noteikt informācijas, dokumentu un pierādījumu iesniegšanas termiņu un informācijas sniegšanas veidu. Savukārt ISPL 13.panta pirmās daļas 1.punkts nosaka, ka uzraudzības iestāde ir tiesīga pieprasīt visu lietas būtības noskaidrošanai nepieciešamo informāciju, ja konstatē šā likuma pārkāpumus. </w:t>
            </w:r>
          </w:p>
          <w:p w14:paraId="6A15B449" w14:textId="2AA4F257" w:rsidR="001529D9" w:rsidRPr="00F11589" w:rsidRDefault="0078714F" w:rsidP="001529D9">
            <w:pPr>
              <w:jc w:val="both"/>
              <w:rPr>
                <w:rFonts w:ascii="Times New Roman" w:hAnsi="Times New Roman" w:cs="Times New Roman"/>
                <w:sz w:val="24"/>
                <w:szCs w:val="24"/>
              </w:rPr>
            </w:pPr>
            <w:r w:rsidRPr="00F11589">
              <w:rPr>
                <w:rFonts w:ascii="Times New Roman" w:hAnsi="Times New Roman" w:cs="Times New Roman"/>
                <w:sz w:val="24"/>
                <w:szCs w:val="24"/>
              </w:rPr>
              <w:t xml:space="preserve">Veicot uzraudzības pasākumus, PTAC ir </w:t>
            </w:r>
            <w:proofErr w:type="spellStart"/>
            <w:r w:rsidRPr="00F11589">
              <w:rPr>
                <w:rFonts w:ascii="Times New Roman" w:hAnsi="Times New Roman" w:cs="Times New Roman"/>
                <w:sz w:val="24"/>
                <w:szCs w:val="24"/>
              </w:rPr>
              <w:t>saskāries</w:t>
            </w:r>
            <w:proofErr w:type="spellEnd"/>
            <w:r w:rsidRPr="00F11589">
              <w:rPr>
                <w:rFonts w:ascii="Times New Roman" w:hAnsi="Times New Roman" w:cs="Times New Roman"/>
                <w:sz w:val="24"/>
                <w:szCs w:val="24"/>
              </w:rPr>
              <w:t xml:space="preserve"> ar elektronisko sakaru komersantu (turpmāk – </w:t>
            </w:r>
            <w:r w:rsidRPr="00F11589">
              <w:rPr>
                <w:rFonts w:ascii="Times New Roman" w:hAnsi="Times New Roman" w:cs="Times New Roman"/>
                <w:sz w:val="24"/>
                <w:szCs w:val="24"/>
              </w:rPr>
              <w:lastRenderedPageBreak/>
              <w:t xml:space="preserve">komersanti) atteikumu sniegt PTAC pieprasīto informāciju par komercprakses pārkāpējiem, norādot, ka atbilstoši Elektronisko sakaru likuma (turpmāk - ESL) 68.panta pirmajai daļai tiem nav tiesību bez lietotāju vai abonentu piekrišanas izpaust ziņas par lietotājiem vai abonentiem, kā arī informāciju par to saņemtajiem elektronisko sakaru pakalpojumiem. </w:t>
            </w:r>
          </w:p>
          <w:p w14:paraId="5DB250AD" w14:textId="14F1C009" w:rsidR="001529D9" w:rsidRPr="00F11589" w:rsidRDefault="0078714F" w:rsidP="001529D9">
            <w:pPr>
              <w:jc w:val="both"/>
              <w:rPr>
                <w:rFonts w:ascii="Times New Roman" w:hAnsi="Times New Roman" w:cs="Times New Roman"/>
                <w:sz w:val="24"/>
                <w:szCs w:val="24"/>
              </w:rPr>
            </w:pPr>
            <w:r w:rsidRPr="00F11589">
              <w:rPr>
                <w:rFonts w:ascii="Times New Roman" w:hAnsi="Times New Roman" w:cs="Times New Roman"/>
                <w:sz w:val="24"/>
                <w:szCs w:val="24"/>
              </w:rPr>
              <w:t>Lai nodrošinātu PTAC funkciju izpildi atbilstoši normatīvo aktu prasībām, 2018.gada 3.maijā tika pieņemti grozījumi ESL, kas paredz PTAC tiesības pieprasīt no elektronisko sakaru komersanta informāciju par tā abonentu vai lietotāju. Grozījumi stājas spēkā 2018.gada 1.novembrī. Atbilstoši grozījumiem PTAC ir tiesīgs pieprasīt informāciju par abonenta vai lietotāja:</w:t>
            </w:r>
          </w:p>
          <w:p w14:paraId="1CCDD5DD" w14:textId="77777777" w:rsidR="001529D9" w:rsidRPr="00F11589" w:rsidRDefault="0078714F" w:rsidP="001529D9">
            <w:pPr>
              <w:pStyle w:val="ListParagraph"/>
              <w:numPr>
                <w:ilvl w:val="0"/>
                <w:numId w:val="1"/>
              </w:numPr>
              <w:jc w:val="both"/>
              <w:rPr>
                <w:color w:val="auto"/>
              </w:rPr>
            </w:pPr>
            <w:r w:rsidRPr="00F11589">
              <w:rPr>
                <w:color w:val="auto"/>
              </w:rPr>
              <w:t>nosaukumu (firmu) un reģistrācijas numuru, ja abonents vai lietotājs ir juridiskā persona;</w:t>
            </w:r>
          </w:p>
          <w:p w14:paraId="1F925109" w14:textId="77777777" w:rsidR="001529D9" w:rsidRPr="00F11589" w:rsidRDefault="0078714F" w:rsidP="001529D9">
            <w:pPr>
              <w:pStyle w:val="ListParagraph"/>
              <w:numPr>
                <w:ilvl w:val="0"/>
                <w:numId w:val="1"/>
              </w:numPr>
              <w:jc w:val="both"/>
              <w:rPr>
                <w:color w:val="auto"/>
              </w:rPr>
            </w:pPr>
            <w:r w:rsidRPr="00F11589">
              <w:rPr>
                <w:color w:val="auto"/>
              </w:rPr>
              <w:t>vārdu, uzvārdu un personas kodu, ja abonents vai lietotājs ir fiziskā persona;</w:t>
            </w:r>
          </w:p>
          <w:p w14:paraId="4B3B8044" w14:textId="77777777" w:rsidR="001529D9" w:rsidRPr="00F11589" w:rsidRDefault="0078714F" w:rsidP="001529D9">
            <w:pPr>
              <w:pStyle w:val="ListParagraph"/>
              <w:numPr>
                <w:ilvl w:val="0"/>
                <w:numId w:val="1"/>
              </w:numPr>
              <w:jc w:val="both"/>
              <w:rPr>
                <w:color w:val="auto"/>
              </w:rPr>
            </w:pPr>
            <w:r w:rsidRPr="00F11589">
              <w:rPr>
                <w:color w:val="auto"/>
              </w:rPr>
              <w:t xml:space="preserve">abonentam vai lietotājam saskaņā ar elektronisko sakaru pakalpojumu līgumu piešķirtos telefonu numurus, interneta protokola (IP) adreses un kontaktinformāciju. </w:t>
            </w:r>
          </w:p>
          <w:p w14:paraId="44B47ACF" w14:textId="043F4230" w:rsidR="001529D9" w:rsidRPr="00F11589" w:rsidRDefault="0078714F" w:rsidP="001529D9">
            <w:pPr>
              <w:jc w:val="both"/>
              <w:rPr>
                <w:rFonts w:ascii="Times New Roman" w:hAnsi="Times New Roman" w:cs="Times New Roman"/>
                <w:sz w:val="24"/>
                <w:szCs w:val="24"/>
              </w:rPr>
            </w:pPr>
            <w:r w:rsidRPr="00F11589">
              <w:rPr>
                <w:rFonts w:ascii="Times New Roman" w:hAnsi="Times New Roman" w:cs="Times New Roman"/>
                <w:sz w:val="24"/>
                <w:szCs w:val="24"/>
              </w:rPr>
              <w:t>Savukārt grozījumi ESL 70.panta vienpadsmitajā daļā  paredz, ka Ministru kabinets nosaka kārtību, kādā PTAC pieprasa noslodzes datus, kā arī nosaka kārtību, kādā elektronisko sakaru komersanti noslodzes datus nodod attiecīgajai iestādei.</w:t>
            </w:r>
          </w:p>
          <w:p w14:paraId="59CC4765" w14:textId="2D8C1891" w:rsidR="00D612C9" w:rsidRPr="00F11589" w:rsidRDefault="0078714F" w:rsidP="00EE4F99">
            <w:pPr>
              <w:jc w:val="both"/>
              <w:rPr>
                <w:rFonts w:ascii="Times New Roman" w:hAnsi="Times New Roman" w:cs="Times New Roman"/>
                <w:sz w:val="24"/>
                <w:szCs w:val="24"/>
              </w:rPr>
            </w:pPr>
            <w:r w:rsidRPr="00F11589">
              <w:rPr>
                <w:rFonts w:ascii="Times New Roman" w:hAnsi="Times New Roman" w:cs="Times New Roman"/>
                <w:sz w:val="24"/>
                <w:szCs w:val="24"/>
              </w:rPr>
              <w:t>Atbilstoši noteikumu projektam, PTAC pieprasa datus elektroniski vai papīra formā</w:t>
            </w:r>
            <w:r w:rsidR="00BC1901" w:rsidRPr="00F11589">
              <w:rPr>
                <w:rFonts w:ascii="Times New Roman" w:hAnsi="Times New Roman" w:cs="Times New Roman"/>
                <w:sz w:val="24"/>
                <w:szCs w:val="24"/>
              </w:rPr>
              <w:t>,</w:t>
            </w:r>
            <w:r w:rsidRPr="00F11589">
              <w:rPr>
                <w:rFonts w:ascii="Times New Roman" w:hAnsi="Times New Roman" w:cs="Times New Roman"/>
                <w:sz w:val="24"/>
                <w:szCs w:val="24"/>
              </w:rPr>
              <w:t xml:space="preserve"> nosūtot komersantam aizpildītu un PTAC direktora vai tā pienākumu izpildītāja parakstītu pieprasījuma formu. Noteikumu projekts paredz</w:t>
            </w:r>
            <w:r w:rsidR="00694541" w:rsidRPr="00F11589">
              <w:rPr>
                <w:rFonts w:ascii="Times New Roman" w:hAnsi="Times New Roman" w:cs="Times New Roman"/>
                <w:sz w:val="24"/>
                <w:szCs w:val="24"/>
              </w:rPr>
              <w:t xml:space="preserve"> papildināt </w:t>
            </w:r>
            <w:r w:rsidR="00685487" w:rsidRPr="00F11589">
              <w:rPr>
                <w:rFonts w:ascii="Times New Roman" w:hAnsi="Times New Roman" w:cs="Times New Roman"/>
                <w:iCs/>
                <w:sz w:val="24"/>
                <w:szCs w:val="24"/>
                <w:lang w:eastAsia="lv-LV"/>
              </w:rPr>
              <w:t>noteikumus Nr.306</w:t>
            </w:r>
            <w:r w:rsidR="00694541" w:rsidRPr="00F11589">
              <w:rPr>
                <w:rFonts w:ascii="Times New Roman" w:hAnsi="Times New Roman" w:cs="Times New Roman"/>
                <w:iCs/>
                <w:sz w:val="24"/>
                <w:szCs w:val="24"/>
                <w:lang w:eastAsia="lv-LV"/>
              </w:rPr>
              <w:t xml:space="preserve"> ar atšķirīgu pieprasījuma formu 3.pielikumā, </w:t>
            </w:r>
            <w:r w:rsidR="00694541" w:rsidRPr="00F11589">
              <w:rPr>
                <w:rFonts w:ascii="Times New Roman" w:hAnsi="Times New Roman" w:cs="Times New Roman"/>
                <w:sz w:val="24"/>
                <w:szCs w:val="24"/>
              </w:rPr>
              <w:t xml:space="preserve">ņemot vērā, ka ESL 70.panta astotā </w:t>
            </w:r>
            <w:proofErr w:type="spellStart"/>
            <w:r w:rsidR="00694541" w:rsidRPr="00F11589">
              <w:rPr>
                <w:rFonts w:ascii="Times New Roman" w:hAnsi="Times New Roman" w:cs="Times New Roman"/>
                <w:sz w:val="24"/>
                <w:szCs w:val="24"/>
              </w:rPr>
              <w:t>prim</w:t>
            </w:r>
            <w:proofErr w:type="spellEnd"/>
            <w:r w:rsidR="00694541" w:rsidRPr="00F11589">
              <w:rPr>
                <w:rFonts w:ascii="Times New Roman" w:hAnsi="Times New Roman" w:cs="Times New Roman"/>
                <w:sz w:val="24"/>
                <w:szCs w:val="24"/>
              </w:rPr>
              <w:t xml:space="preserve"> daļā noteiktais noslodzes datu, ko pieprasa PTAC, saturs atšķiras no noslodzes datu satura, ko pieprasa Finanšu un kapitāla tirgus komisija un Datu valsts inspekcija.</w:t>
            </w:r>
          </w:p>
          <w:p w14:paraId="07CFEDB5" w14:textId="15D27A6A" w:rsidR="00D612C9" w:rsidRPr="00F11589" w:rsidRDefault="0078714F" w:rsidP="00EE4F99">
            <w:pPr>
              <w:jc w:val="both"/>
              <w:rPr>
                <w:rFonts w:ascii="Times New Roman" w:hAnsi="Times New Roman" w:cs="Times New Roman"/>
                <w:sz w:val="24"/>
                <w:szCs w:val="24"/>
              </w:rPr>
            </w:pPr>
            <w:r w:rsidRPr="00F11589">
              <w:rPr>
                <w:rFonts w:ascii="Times New Roman" w:hAnsi="Times New Roman" w:cs="Times New Roman"/>
                <w:sz w:val="24"/>
                <w:szCs w:val="24"/>
              </w:rPr>
              <w:t>Komersants, saņemot pieprasījumu, sniedz tā rīcībā esošos noslodzes datus PTAC norādītajā apjomā un atbildes sniegšanas veidā, norādot darbinieku, k</w:t>
            </w:r>
            <w:r w:rsidR="00BC1901" w:rsidRPr="00F11589">
              <w:rPr>
                <w:rFonts w:ascii="Times New Roman" w:hAnsi="Times New Roman" w:cs="Times New Roman"/>
                <w:sz w:val="24"/>
                <w:szCs w:val="24"/>
              </w:rPr>
              <w:t>urš</w:t>
            </w:r>
            <w:r w:rsidRPr="00F11589">
              <w:rPr>
                <w:rFonts w:ascii="Times New Roman" w:hAnsi="Times New Roman" w:cs="Times New Roman"/>
                <w:sz w:val="24"/>
                <w:szCs w:val="24"/>
              </w:rPr>
              <w:t xml:space="preserve"> izsniedzis datus.</w:t>
            </w:r>
            <w:r w:rsidR="000B7A78" w:rsidRPr="00F11589">
              <w:rPr>
                <w:rFonts w:ascii="Times New Roman" w:hAnsi="Times New Roman" w:cs="Times New Roman"/>
                <w:sz w:val="24"/>
                <w:szCs w:val="24"/>
              </w:rPr>
              <w:t xml:space="preserve"> </w:t>
            </w:r>
          </w:p>
          <w:p w14:paraId="4A97D0EA" w14:textId="021116B2" w:rsidR="009430B0" w:rsidRPr="00F11589" w:rsidRDefault="006B6857" w:rsidP="009430B0">
            <w:pPr>
              <w:jc w:val="both"/>
              <w:rPr>
                <w:rFonts w:ascii="Times New Roman" w:hAnsi="Times New Roman"/>
                <w:sz w:val="24"/>
                <w:szCs w:val="24"/>
              </w:rPr>
            </w:pPr>
            <w:r w:rsidRPr="00F11589">
              <w:rPr>
                <w:rFonts w:ascii="Times New Roman" w:hAnsi="Times New Roman" w:cs="Times New Roman"/>
                <w:sz w:val="24"/>
                <w:szCs w:val="24"/>
              </w:rPr>
              <w:t>P</w:t>
            </w:r>
            <w:r w:rsidR="002E44D2" w:rsidRPr="00F11589">
              <w:rPr>
                <w:rFonts w:ascii="Times New Roman" w:hAnsi="Times New Roman" w:cs="Times New Roman"/>
                <w:sz w:val="24"/>
                <w:szCs w:val="24"/>
              </w:rPr>
              <w:t>rivāt</w:t>
            </w:r>
            <w:r w:rsidR="00307D29" w:rsidRPr="00F11589">
              <w:rPr>
                <w:rFonts w:ascii="Times New Roman" w:hAnsi="Times New Roman" w:cs="Times New Roman"/>
                <w:sz w:val="24"/>
                <w:szCs w:val="24"/>
              </w:rPr>
              <w:t>p</w:t>
            </w:r>
            <w:r w:rsidR="008D554D" w:rsidRPr="00F11589">
              <w:rPr>
                <w:rFonts w:ascii="Times New Roman" w:hAnsi="Times New Roman" w:cs="Times New Roman"/>
                <w:sz w:val="24"/>
                <w:szCs w:val="24"/>
              </w:rPr>
              <w:t xml:space="preserve">ersonu datu iegūšana, apstrāde un glabāšana ir uzskatāma par šo personu tiesību ierobežojumu. Šādam </w:t>
            </w:r>
            <w:r w:rsidR="008D554D" w:rsidRPr="00F11589">
              <w:rPr>
                <w:rFonts w:ascii="Times New Roman" w:hAnsi="Times New Roman" w:cs="Times New Roman"/>
                <w:sz w:val="24"/>
                <w:szCs w:val="24"/>
              </w:rPr>
              <w:lastRenderedPageBreak/>
              <w:t>ierobežojumam ir jākalpo leģitīma mērķa sasnieg</w:t>
            </w:r>
            <w:r w:rsidRPr="00F11589">
              <w:rPr>
                <w:rFonts w:ascii="Times New Roman" w:hAnsi="Times New Roman" w:cs="Times New Roman"/>
                <w:sz w:val="24"/>
                <w:szCs w:val="24"/>
              </w:rPr>
              <w:t>šanai. PTAC pieprasa nepieciešamos noslodzes datus</w:t>
            </w:r>
            <w:r w:rsidR="008D554D" w:rsidRPr="00F11589">
              <w:rPr>
                <w:rFonts w:ascii="Times New Roman" w:hAnsi="Times New Roman" w:cs="Times New Roman"/>
                <w:sz w:val="24"/>
                <w:szCs w:val="24"/>
              </w:rPr>
              <w:t xml:space="preserve">, lai izmeklētu NKAL, ISPL un citu </w:t>
            </w:r>
            <w:r w:rsidR="00685487" w:rsidRPr="00F11589">
              <w:rPr>
                <w:rFonts w:ascii="Times New Roman" w:hAnsi="Times New Roman" w:cs="Times New Roman"/>
                <w:sz w:val="24"/>
                <w:szCs w:val="24"/>
              </w:rPr>
              <w:t>tā</w:t>
            </w:r>
            <w:r w:rsidR="008D554D" w:rsidRPr="00F11589">
              <w:rPr>
                <w:rFonts w:ascii="Times New Roman" w:hAnsi="Times New Roman" w:cs="Times New Roman"/>
                <w:sz w:val="24"/>
                <w:szCs w:val="24"/>
              </w:rPr>
              <w:t xml:space="preserve"> kompetencē esošu normatīvo aktu</w:t>
            </w:r>
            <w:r w:rsidR="001E5B32" w:rsidRPr="00F11589">
              <w:rPr>
                <w:rFonts w:ascii="Times New Roman" w:hAnsi="Times New Roman" w:cs="Times New Roman"/>
                <w:sz w:val="24"/>
                <w:szCs w:val="24"/>
              </w:rPr>
              <w:t xml:space="preserve"> pārkāpumus</w:t>
            </w:r>
            <w:r w:rsidR="008D554D" w:rsidRPr="00F11589">
              <w:rPr>
                <w:rFonts w:ascii="Times New Roman" w:hAnsi="Times New Roman" w:cs="Times New Roman"/>
                <w:sz w:val="24"/>
                <w:szCs w:val="24"/>
              </w:rPr>
              <w:t xml:space="preserve"> un</w:t>
            </w:r>
            <w:r w:rsidRPr="00F11589">
              <w:rPr>
                <w:rFonts w:ascii="Times New Roman" w:hAnsi="Times New Roman" w:cs="Times New Roman"/>
                <w:sz w:val="24"/>
                <w:szCs w:val="24"/>
              </w:rPr>
              <w:t xml:space="preserve"> novērstu</w:t>
            </w:r>
            <w:r w:rsidR="008D554D" w:rsidRPr="00F11589">
              <w:rPr>
                <w:rFonts w:ascii="Times New Roman" w:hAnsi="Times New Roman" w:cs="Times New Roman"/>
                <w:sz w:val="24"/>
                <w:szCs w:val="24"/>
              </w:rPr>
              <w:t xml:space="preserve"> patērētāju kolekt</w:t>
            </w:r>
            <w:r w:rsidRPr="00F11589">
              <w:rPr>
                <w:rFonts w:ascii="Times New Roman" w:hAnsi="Times New Roman" w:cs="Times New Roman"/>
                <w:sz w:val="24"/>
                <w:szCs w:val="24"/>
              </w:rPr>
              <w:t>īvo</w:t>
            </w:r>
            <w:r w:rsidR="008D554D" w:rsidRPr="00F11589">
              <w:rPr>
                <w:rFonts w:ascii="Times New Roman" w:hAnsi="Times New Roman" w:cs="Times New Roman"/>
                <w:sz w:val="24"/>
                <w:szCs w:val="24"/>
              </w:rPr>
              <w:t xml:space="preserve"> intere</w:t>
            </w:r>
            <w:r w:rsidRPr="00F11589">
              <w:rPr>
                <w:rFonts w:ascii="Times New Roman" w:hAnsi="Times New Roman" w:cs="Times New Roman"/>
                <w:sz w:val="24"/>
                <w:szCs w:val="24"/>
              </w:rPr>
              <w:t>šu pārkāpumus, kas ir būtiski sabiedrības interesēm</w:t>
            </w:r>
            <w:r w:rsidR="008D554D" w:rsidRPr="00F11589">
              <w:rPr>
                <w:rFonts w:ascii="Times New Roman" w:hAnsi="Times New Roman" w:cs="Times New Roman"/>
                <w:sz w:val="24"/>
                <w:szCs w:val="24"/>
              </w:rPr>
              <w:t>. Vispārīgās datu aizsardzī</w:t>
            </w:r>
            <w:r w:rsidR="00CA68B2" w:rsidRPr="00F11589">
              <w:rPr>
                <w:rFonts w:ascii="Times New Roman" w:hAnsi="Times New Roman" w:cs="Times New Roman"/>
                <w:sz w:val="24"/>
                <w:szCs w:val="24"/>
              </w:rPr>
              <w:t>bas regulas 6.panta pirmā</w:t>
            </w:r>
            <w:r w:rsidR="00C258F5" w:rsidRPr="00F11589">
              <w:rPr>
                <w:rFonts w:ascii="Times New Roman" w:hAnsi="Times New Roman" w:cs="Times New Roman"/>
                <w:sz w:val="24"/>
                <w:szCs w:val="24"/>
              </w:rPr>
              <w:t xml:space="preserve"> daļa</w:t>
            </w:r>
            <w:r w:rsidR="008D554D" w:rsidRPr="00F11589">
              <w:rPr>
                <w:rFonts w:ascii="Times New Roman" w:hAnsi="Times New Roman" w:cs="Times New Roman"/>
                <w:sz w:val="24"/>
                <w:szCs w:val="24"/>
              </w:rPr>
              <w:t xml:space="preserve"> pieļauj personas datu apstrādi šāda leģitīma mērķa sasniegšanai. Tajā pašā laikā šādai personas datu apstrādei ir jābūt arī samērīgai</w:t>
            </w:r>
            <w:r w:rsidRPr="00F11589">
              <w:rPr>
                <w:rFonts w:ascii="Times New Roman" w:hAnsi="Times New Roman" w:cs="Times New Roman"/>
                <w:sz w:val="24"/>
                <w:szCs w:val="24"/>
              </w:rPr>
              <w:t xml:space="preserve"> un </w:t>
            </w:r>
            <w:r w:rsidR="008D554D" w:rsidRPr="00F11589">
              <w:rPr>
                <w:rFonts w:ascii="Times New Roman" w:hAnsi="Times New Roman" w:cs="Times New Roman"/>
                <w:sz w:val="24"/>
                <w:szCs w:val="24"/>
              </w:rPr>
              <w:t>izmantotajiem līdzekļiem jābūt piemērotiem šī leģitīmā mērķa sasniegšanai.</w:t>
            </w:r>
            <w:r w:rsidRPr="00F11589">
              <w:rPr>
                <w:rFonts w:ascii="Times New Roman" w:hAnsi="Times New Roman" w:cs="Times New Roman"/>
                <w:sz w:val="24"/>
                <w:szCs w:val="24"/>
              </w:rPr>
              <w:t xml:space="preserve"> </w:t>
            </w:r>
            <w:r w:rsidR="001E5B32" w:rsidRPr="00F11589">
              <w:rPr>
                <w:rFonts w:ascii="Times New Roman" w:hAnsi="Times New Roman" w:cs="Times New Roman"/>
                <w:sz w:val="24"/>
                <w:szCs w:val="24"/>
              </w:rPr>
              <w:t xml:space="preserve">Ņemot vērā, ka nepastāv citu saudzējošāku līdzekļu visu lietas būtības nepieciešamās informācijas noskaidrošanai, </w:t>
            </w:r>
            <w:r w:rsidR="00662F14" w:rsidRPr="00F11589">
              <w:rPr>
                <w:rFonts w:ascii="Times New Roman" w:hAnsi="Times New Roman" w:cs="Times New Roman"/>
                <w:sz w:val="24"/>
                <w:szCs w:val="24"/>
              </w:rPr>
              <w:t>personu datu apstrāde ir uzskatāma par samērīgu līdzekli, kas ļauj PTAC izpildīt patērētāju interešu aizsardzības funkciju un sasniegt izvirzīto leģitīmo mērķi.</w:t>
            </w:r>
            <w:r w:rsidR="00961F86" w:rsidRPr="00F11589">
              <w:rPr>
                <w:rFonts w:ascii="Times New Roman" w:hAnsi="Times New Roman" w:cs="Times New Roman"/>
                <w:sz w:val="24"/>
                <w:szCs w:val="24"/>
              </w:rPr>
              <w:t xml:space="preserve"> Datu pieprasīšanas lēmuma </w:t>
            </w:r>
            <w:r w:rsidR="00961F86" w:rsidRPr="00F11589">
              <w:rPr>
                <w:rFonts w:ascii="Times New Roman" w:hAnsi="Times New Roman"/>
                <w:iCs/>
                <w:sz w:val="24"/>
                <w:szCs w:val="24"/>
              </w:rPr>
              <w:t>s</w:t>
            </w:r>
            <w:r w:rsidR="00931189" w:rsidRPr="00F11589">
              <w:rPr>
                <w:rFonts w:ascii="Times New Roman" w:hAnsi="Times New Roman"/>
                <w:iCs/>
                <w:sz w:val="24"/>
                <w:szCs w:val="24"/>
              </w:rPr>
              <w:t>amērīgums, pieprasāmo datu apjoms un glabāšanas termiņš tiks noteikts, vērtējot katras konkrētās administratīvās lietas apstākļus un nepieciešamās izmeklēšanas un pārkāpumu novēršanas darbības</w:t>
            </w:r>
            <w:r w:rsidR="00931189" w:rsidRPr="00F11589">
              <w:rPr>
                <w:rFonts w:ascii="Times New Roman" w:hAnsi="Times New Roman"/>
                <w:sz w:val="24"/>
                <w:szCs w:val="24"/>
              </w:rPr>
              <w:t>.</w:t>
            </w:r>
          </w:p>
          <w:p w14:paraId="0272794B" w14:textId="28589223" w:rsidR="007D313B" w:rsidRPr="00F11589" w:rsidRDefault="007D313B" w:rsidP="007D313B">
            <w:pPr>
              <w:jc w:val="both"/>
              <w:rPr>
                <w:rFonts w:ascii="Times New Roman" w:hAnsi="Times New Roman"/>
                <w:iCs/>
                <w:sz w:val="24"/>
                <w:szCs w:val="24"/>
              </w:rPr>
            </w:pPr>
            <w:r w:rsidRPr="00F11589">
              <w:rPr>
                <w:rFonts w:ascii="Times New Roman" w:hAnsi="Times New Roman"/>
                <w:iCs/>
                <w:sz w:val="24"/>
                <w:szCs w:val="24"/>
              </w:rPr>
              <w:t>Veicot izmeklēšanu administratīvo lietu ietvaros, PTAC</w:t>
            </w:r>
            <w:r w:rsidR="00F11589">
              <w:rPr>
                <w:rFonts w:ascii="Times New Roman" w:hAnsi="Times New Roman"/>
                <w:iCs/>
                <w:sz w:val="24"/>
                <w:szCs w:val="24"/>
              </w:rPr>
              <w:t xml:space="preserve"> </w:t>
            </w:r>
            <w:bookmarkStart w:id="0" w:name="_GoBack"/>
            <w:bookmarkEnd w:id="0"/>
            <w:r w:rsidRPr="00F11589">
              <w:rPr>
                <w:rFonts w:ascii="Times New Roman" w:hAnsi="Times New Roman"/>
                <w:iCs/>
                <w:sz w:val="24"/>
                <w:szCs w:val="24"/>
              </w:rPr>
              <w:t>nodrošina juridisko un fizisko personu datu apstrādi un aizsardzību atbilstoši iekšējo un ārējo normatīvo aktu prasībām, gan gadījumos, kad attiecīgā informācija ir iegūta no elektronisko sakaru pakalpojumu sniedzējiem, gan arī situācijās, kad tādu pašu informāciju ir sniegušas citas personas, piemēram, reklāmas izplatītāji, komercprakses īstenošanā iesaistīti starpnieki, preču un dažādu pakalpojumu sniedzēji, citas personas vai iestādes.</w:t>
            </w:r>
          </w:p>
          <w:p w14:paraId="6D27E75A" w14:textId="648311DE" w:rsidR="00467407" w:rsidRPr="00F11589" w:rsidRDefault="00467407" w:rsidP="007B7325">
            <w:pPr>
              <w:jc w:val="both"/>
              <w:rPr>
                <w:rFonts w:ascii="Times New Roman" w:hAnsi="Times New Roman"/>
                <w:iCs/>
                <w:sz w:val="24"/>
                <w:szCs w:val="24"/>
              </w:rPr>
            </w:pPr>
            <w:r w:rsidRPr="00F11589">
              <w:rPr>
                <w:rFonts w:ascii="Times New Roman" w:hAnsi="Times New Roman"/>
                <w:iCs/>
                <w:sz w:val="24"/>
                <w:szCs w:val="24"/>
              </w:rPr>
              <w:t xml:space="preserve">PTAC īsteno personu datu tehnisko aizsardzību ar fiziskiem un loģiskiem līdzekļiem, realizējot </w:t>
            </w:r>
            <w:r w:rsidR="000072E0" w:rsidRPr="00F11589">
              <w:rPr>
                <w:rFonts w:ascii="Times New Roman" w:hAnsi="Times New Roman"/>
                <w:iCs/>
                <w:sz w:val="24"/>
                <w:szCs w:val="24"/>
              </w:rPr>
              <w:t>drošības pasākumus, lai nepieļautu nesankcionētu piekļuvi personas datiem, to izpaušanu vai citu prettiesi</w:t>
            </w:r>
            <w:r w:rsidRPr="00F11589">
              <w:rPr>
                <w:rFonts w:ascii="Times New Roman" w:hAnsi="Times New Roman"/>
                <w:iCs/>
                <w:sz w:val="24"/>
                <w:szCs w:val="24"/>
              </w:rPr>
              <w:t xml:space="preserve">sku personu datu izmantošanu. </w:t>
            </w:r>
            <w:r w:rsidR="007D313B" w:rsidRPr="00F11589">
              <w:rPr>
                <w:rFonts w:ascii="Times New Roman" w:hAnsi="Times New Roman"/>
                <w:iCs/>
                <w:sz w:val="24"/>
                <w:szCs w:val="24"/>
              </w:rPr>
              <w:t>Administratīvo lietu materiāli ir ierobežotas pieejamības informācija.</w:t>
            </w:r>
          </w:p>
          <w:p w14:paraId="329D8F55" w14:textId="2D41822D" w:rsidR="007F7B03" w:rsidRPr="00F11589" w:rsidRDefault="007F7B03" w:rsidP="007B7325">
            <w:pPr>
              <w:jc w:val="both"/>
              <w:rPr>
                <w:rFonts w:ascii="Times New Roman" w:hAnsi="Times New Roman"/>
                <w:iCs/>
                <w:sz w:val="24"/>
                <w:szCs w:val="24"/>
              </w:rPr>
            </w:pPr>
            <w:r w:rsidRPr="00F11589">
              <w:rPr>
                <w:rFonts w:ascii="Times New Roman" w:hAnsi="Times New Roman"/>
                <w:iCs/>
                <w:sz w:val="24"/>
                <w:szCs w:val="24"/>
              </w:rPr>
              <w:t xml:space="preserve">Atbilstoši 2015. gada 28. jūlija Ministru kabineta noteikumu Nr. 442 “Kārtība, kādā tiek nodrošināta informācijas un komunikācijas tehnoloģiju sistēmu atbilstība minimālajām drošības prasībām” 8. punktam Ekonomikas ministrijā ir izstrādāti iekšējie normatīvie akti , kas nosaka informācijas sistēmu drošības politiku, drošības iekšējos noteikumus, lietošanas noteikumus, </w:t>
            </w:r>
            <w:r w:rsidRPr="00F11589">
              <w:rPr>
                <w:rFonts w:ascii="Times New Roman" w:hAnsi="Times New Roman"/>
                <w:iCs/>
                <w:sz w:val="24"/>
                <w:szCs w:val="24"/>
              </w:rPr>
              <w:lastRenderedPageBreak/>
              <w:t>drošības riska pārvaldības plānu un darbības atjaunošanas plānu, kas attiecās arī uz</w:t>
            </w:r>
            <w:r w:rsidR="00F11589" w:rsidRPr="00F11589">
              <w:rPr>
                <w:rFonts w:ascii="Times New Roman" w:hAnsi="Times New Roman"/>
                <w:iCs/>
                <w:sz w:val="24"/>
                <w:szCs w:val="24"/>
              </w:rPr>
              <w:t xml:space="preserve"> Ekonomikas</w:t>
            </w:r>
            <w:r w:rsidRPr="00F11589">
              <w:rPr>
                <w:rFonts w:ascii="Times New Roman" w:hAnsi="Times New Roman"/>
                <w:iCs/>
                <w:sz w:val="24"/>
                <w:szCs w:val="24"/>
              </w:rPr>
              <w:t xml:space="preserve"> ministrijas padotībā esošo PTAC.</w:t>
            </w:r>
            <w:r w:rsidR="00F11589" w:rsidRPr="00F11589">
              <w:rPr>
                <w:rFonts w:ascii="Times New Roman" w:hAnsi="Times New Roman"/>
                <w:iCs/>
                <w:sz w:val="24"/>
                <w:szCs w:val="24"/>
              </w:rPr>
              <w:t xml:space="preserve"> PTAC Datu aizsardzības speciālista pienākumus veic Ekonomikas ministrijas Juridiskā departamenta Tiesiskā nodrošinājuma nodaļas datu aizsardzības speciālists.</w:t>
            </w:r>
          </w:p>
          <w:p w14:paraId="6AB68040" w14:textId="47CCEED9" w:rsidR="007E41B2" w:rsidRPr="00F11589" w:rsidRDefault="00467407" w:rsidP="007B7325">
            <w:pPr>
              <w:jc w:val="both"/>
              <w:rPr>
                <w:rFonts w:ascii="Times New Roman" w:hAnsi="Times New Roman"/>
                <w:iCs/>
                <w:sz w:val="24"/>
                <w:szCs w:val="24"/>
              </w:rPr>
            </w:pPr>
            <w:r w:rsidRPr="00F11589">
              <w:rPr>
                <w:rFonts w:ascii="Times New Roman" w:hAnsi="Times New Roman"/>
                <w:iCs/>
                <w:sz w:val="24"/>
                <w:szCs w:val="24"/>
              </w:rPr>
              <w:t>PTAC uztur kvalitātes pārvaldības sistēmu, kuras ietvaros tiek noteikta un vērtēta iestādes darbība un administratīvo lietu procesuālā kārtība, tai skaitā tās atbilstība normatīvo aktu prasībām fizisko personu datu apstrādes jomā. D</w:t>
            </w:r>
            <w:r w:rsidR="000072E0" w:rsidRPr="00F11589">
              <w:rPr>
                <w:rFonts w:ascii="Times New Roman" w:hAnsi="Times New Roman"/>
                <w:iCs/>
                <w:sz w:val="24"/>
                <w:szCs w:val="24"/>
              </w:rPr>
              <w:t>rošības pasākumi tiek pastāvīgi pilnveidoti atbilstoši normatīva</w:t>
            </w:r>
            <w:r w:rsidRPr="00F11589">
              <w:rPr>
                <w:rFonts w:ascii="Times New Roman" w:hAnsi="Times New Roman"/>
                <w:iCs/>
                <w:sz w:val="24"/>
                <w:szCs w:val="24"/>
              </w:rPr>
              <w:t>jos aktos noteiktajām  prasībām.</w:t>
            </w:r>
          </w:p>
          <w:p w14:paraId="5AD82353" w14:textId="51CCE0D1" w:rsidR="00D612C9" w:rsidRPr="00F11589" w:rsidRDefault="00E9467B" w:rsidP="009430B0">
            <w:pPr>
              <w:jc w:val="both"/>
              <w:rPr>
                <w:rFonts w:ascii="Times New Roman" w:hAnsi="Times New Roman" w:cs="Times New Roman"/>
                <w:sz w:val="24"/>
                <w:szCs w:val="24"/>
              </w:rPr>
            </w:pPr>
            <w:r w:rsidRPr="00F11589">
              <w:rPr>
                <w:rFonts w:ascii="Times New Roman" w:hAnsi="Times New Roman"/>
                <w:iCs/>
                <w:sz w:val="24"/>
                <w:szCs w:val="24"/>
              </w:rPr>
              <w:t>Atbilstoši Oficiālās elektroniskās adreses likuma 5.panta un pārejas noteikumu 3.punkta prasībām no 2020.gada 1.janvāra valsts iestādes ar reģis</w:t>
            </w:r>
            <w:r w:rsidR="001B4D3B" w:rsidRPr="00F11589">
              <w:rPr>
                <w:rFonts w:ascii="Times New Roman" w:hAnsi="Times New Roman"/>
                <w:iCs/>
                <w:sz w:val="24"/>
                <w:szCs w:val="24"/>
              </w:rPr>
              <w:t>tros reģistrētiem</w:t>
            </w:r>
            <w:r w:rsidRPr="00F11589">
              <w:rPr>
                <w:rFonts w:ascii="Times New Roman" w:hAnsi="Times New Roman"/>
                <w:iCs/>
                <w:sz w:val="24"/>
                <w:szCs w:val="24"/>
              </w:rPr>
              <w:t xml:space="preserve"> tiesību subjektiem</w:t>
            </w:r>
            <w:r w:rsidR="004444C0" w:rsidRPr="00F11589">
              <w:rPr>
                <w:rFonts w:ascii="Times New Roman" w:hAnsi="Times New Roman"/>
                <w:iCs/>
                <w:sz w:val="24"/>
                <w:szCs w:val="24"/>
              </w:rPr>
              <w:t>, veicot saziņu, obligāti izmanto o</w:t>
            </w:r>
            <w:r w:rsidR="000258AD" w:rsidRPr="00F11589">
              <w:rPr>
                <w:rFonts w:ascii="Times New Roman" w:hAnsi="Times New Roman"/>
                <w:iCs/>
                <w:sz w:val="24"/>
                <w:szCs w:val="24"/>
              </w:rPr>
              <w:t>ficiālo elektronisko adresi</w:t>
            </w:r>
            <w:r w:rsidRPr="00F11589">
              <w:rPr>
                <w:rFonts w:ascii="Times New Roman" w:hAnsi="Times New Roman"/>
                <w:iCs/>
                <w:sz w:val="24"/>
                <w:szCs w:val="24"/>
              </w:rPr>
              <w:t>.</w:t>
            </w:r>
            <w:r w:rsidR="00307D29" w:rsidRPr="00F11589">
              <w:rPr>
                <w:rFonts w:ascii="Times New Roman" w:hAnsi="Times New Roman"/>
                <w:iCs/>
                <w:sz w:val="24"/>
                <w:szCs w:val="24"/>
              </w:rPr>
              <w:t xml:space="preserve"> </w:t>
            </w:r>
          </w:p>
        </w:tc>
      </w:tr>
      <w:tr w:rsidR="003B3B46" w14:paraId="5936DF62" w14:textId="77777777" w:rsidTr="006945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7BDBC" w14:textId="77777777"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A66ABB1" w14:textId="77777777"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FD56957" w14:textId="249A4054"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Ekonomikas ministrija, Patērētāju tiesību aizsardzības centrs</w:t>
            </w:r>
          </w:p>
        </w:tc>
      </w:tr>
      <w:tr w:rsidR="003B3B46" w14:paraId="619B0B8F" w14:textId="77777777" w:rsidTr="006945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2495F5" w14:textId="77777777"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B99AC4C" w14:textId="77777777"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73C6B6" w14:textId="77777777" w:rsidR="001529D9" w:rsidRPr="001529D9" w:rsidRDefault="0078714F" w:rsidP="001529D9">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Nav</w:t>
            </w:r>
          </w:p>
        </w:tc>
      </w:tr>
    </w:tbl>
    <w:p w14:paraId="141745D1" w14:textId="70EA9989" w:rsidR="00E5323B" w:rsidRPr="001529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3B46" w14:paraId="7480E2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E26BC"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3B46" w14:paraId="2131DA2E" w14:textId="77777777" w:rsidTr="001529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8D5AEA"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CE56FE4"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 xml:space="preserve">Sabiedrības </w:t>
            </w:r>
            <w:proofErr w:type="spellStart"/>
            <w:r w:rsidRPr="001529D9">
              <w:rPr>
                <w:rFonts w:ascii="Times New Roman" w:eastAsia="Times New Roman" w:hAnsi="Times New Roman" w:cs="Times New Roman"/>
                <w:iCs/>
                <w:sz w:val="24"/>
                <w:szCs w:val="24"/>
                <w:lang w:eastAsia="lv-LV"/>
              </w:rPr>
              <w:t>mērķgrupas</w:t>
            </w:r>
            <w:proofErr w:type="spellEnd"/>
            <w:r w:rsidRPr="001529D9">
              <w:rPr>
                <w:rFonts w:ascii="Times New Roman" w:eastAsia="Times New Roman" w:hAnsi="Times New Roman" w:cs="Times New Roman"/>
                <w:iCs/>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9025019" w14:textId="77777777" w:rsidR="001529D9" w:rsidRPr="001529D9" w:rsidRDefault="0078714F" w:rsidP="001529D9">
            <w:pPr>
              <w:pStyle w:val="ListParagraph"/>
              <w:numPr>
                <w:ilvl w:val="0"/>
                <w:numId w:val="2"/>
              </w:numPr>
              <w:shd w:val="clear" w:color="auto" w:fill="FFFFFF"/>
              <w:ind w:right="57"/>
              <w:jc w:val="both"/>
              <w:rPr>
                <w:color w:val="auto"/>
              </w:rPr>
            </w:pPr>
            <w:r w:rsidRPr="001529D9">
              <w:rPr>
                <w:color w:val="auto"/>
              </w:rPr>
              <w:t>Elektronisko sakaru komersanti. Līdz 2018.gada 7.jūnijam Sabiedrisko pakalpojumu regulēšanas komisijas reģistrā ir reģistrēti 289 elektronisko sakaru komersanti.</w:t>
            </w:r>
          </w:p>
          <w:p w14:paraId="78C7B9DA" w14:textId="033326F9" w:rsidR="00E5323B" w:rsidRPr="001529D9" w:rsidRDefault="0078714F" w:rsidP="001529D9">
            <w:pPr>
              <w:pStyle w:val="ListParagraph"/>
              <w:numPr>
                <w:ilvl w:val="0"/>
                <w:numId w:val="2"/>
              </w:numPr>
              <w:shd w:val="clear" w:color="auto" w:fill="FFFFFF"/>
              <w:ind w:right="57"/>
              <w:jc w:val="both"/>
              <w:rPr>
                <w:color w:val="auto"/>
              </w:rPr>
            </w:pPr>
            <w:r w:rsidRPr="001529D9">
              <w:rPr>
                <w:color w:val="auto"/>
                <w:lang w:eastAsia="lv-LV"/>
              </w:rPr>
              <w:t xml:space="preserve">Abonenti un lietotāji, kas </w:t>
            </w:r>
            <w:r w:rsidR="00CA68B2">
              <w:rPr>
                <w:color w:val="auto"/>
                <w:lang w:eastAsia="lv-LV"/>
              </w:rPr>
              <w:t>veic</w:t>
            </w:r>
            <w:r w:rsidRPr="001529D9">
              <w:rPr>
                <w:color w:val="auto"/>
                <w:lang w:eastAsia="lv-LV"/>
              </w:rPr>
              <w:t xml:space="preserve"> komercpraksi, izmantojot elektroniskos sakarus.</w:t>
            </w:r>
          </w:p>
        </w:tc>
      </w:tr>
      <w:tr w:rsidR="003B3B46" w14:paraId="74EFB857" w14:textId="77777777" w:rsidTr="001529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8BE577"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1EEB608"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tcPr>
          <w:p w14:paraId="12587A4E" w14:textId="26394290" w:rsidR="00E5323B" w:rsidRDefault="00B43E00" w:rsidP="004164A0">
            <w:p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Pēc PTAC sniegtās informācijas </w:t>
            </w:r>
            <w:r>
              <w:rPr>
                <w:rFonts w:ascii="Times New Roman" w:hAnsi="Times New Roman" w:cs="Times New Roman"/>
                <w:sz w:val="24"/>
                <w:lang w:eastAsia="lv-LV"/>
              </w:rPr>
              <w:t>k</w:t>
            </w:r>
            <w:r w:rsidR="0078714F" w:rsidRPr="001529D9">
              <w:rPr>
                <w:rFonts w:ascii="Times New Roman" w:hAnsi="Times New Roman" w:cs="Times New Roman"/>
                <w:sz w:val="24"/>
                <w:lang w:eastAsia="lv-LV"/>
              </w:rPr>
              <w:t>opējais</w:t>
            </w:r>
            <w:r>
              <w:rPr>
                <w:rFonts w:ascii="Times New Roman" w:hAnsi="Times New Roman" w:cs="Times New Roman"/>
                <w:sz w:val="24"/>
                <w:lang w:eastAsia="lv-LV"/>
              </w:rPr>
              <w:t xml:space="preserve"> prognozējamais</w:t>
            </w:r>
            <w:r w:rsidR="00A07F4F">
              <w:rPr>
                <w:rFonts w:ascii="Times New Roman" w:hAnsi="Times New Roman" w:cs="Times New Roman"/>
                <w:sz w:val="24"/>
                <w:lang w:eastAsia="lv-LV"/>
              </w:rPr>
              <w:t xml:space="preserve"> noslodzes datu </w:t>
            </w:r>
            <w:r w:rsidR="0078714F" w:rsidRPr="001529D9">
              <w:rPr>
                <w:rFonts w:ascii="Times New Roman" w:hAnsi="Times New Roman" w:cs="Times New Roman"/>
                <w:sz w:val="24"/>
                <w:lang w:eastAsia="lv-LV"/>
              </w:rPr>
              <w:t xml:space="preserve">pieprasījumu skaits gadā </w:t>
            </w:r>
            <w:r w:rsidR="00CA68B2">
              <w:rPr>
                <w:rFonts w:ascii="Times New Roman" w:hAnsi="Times New Roman" w:cs="Times New Roman"/>
                <w:sz w:val="24"/>
                <w:lang w:eastAsia="lv-LV"/>
              </w:rPr>
              <w:t>varētu sasniegt</w:t>
            </w:r>
            <w:r w:rsidR="0078714F" w:rsidRPr="001529D9">
              <w:rPr>
                <w:rFonts w:ascii="Times New Roman" w:hAnsi="Times New Roman" w:cs="Times New Roman"/>
                <w:sz w:val="24"/>
                <w:lang w:eastAsia="lv-LV"/>
              </w:rPr>
              <w:t xml:space="preserve"> 60-120.</w:t>
            </w:r>
            <w:r w:rsidR="00EB3BA2">
              <w:rPr>
                <w:rFonts w:ascii="Times New Roman" w:hAnsi="Times New Roman" w:cs="Times New Roman"/>
                <w:sz w:val="24"/>
                <w:lang w:eastAsia="lv-LV"/>
              </w:rPr>
              <w:t xml:space="preserve"> </w:t>
            </w:r>
            <w:r w:rsidR="00CA68B2">
              <w:rPr>
                <w:rFonts w:ascii="Times New Roman" w:hAnsi="Times New Roman" w:cs="Times New Roman"/>
                <w:sz w:val="24"/>
                <w:szCs w:val="24"/>
              </w:rPr>
              <w:t xml:space="preserve">Noslodzes datu pieprasījumi tiks </w:t>
            </w:r>
            <w:r w:rsidR="00D55A75">
              <w:rPr>
                <w:rFonts w:ascii="Times New Roman" w:hAnsi="Times New Roman" w:cs="Times New Roman"/>
                <w:sz w:val="24"/>
                <w:szCs w:val="24"/>
              </w:rPr>
              <w:t>veikti</w:t>
            </w:r>
            <w:r w:rsidR="00CA68B2">
              <w:rPr>
                <w:rFonts w:ascii="Times New Roman" w:hAnsi="Times New Roman" w:cs="Times New Roman"/>
                <w:sz w:val="24"/>
                <w:szCs w:val="24"/>
              </w:rPr>
              <w:t xml:space="preserve"> </w:t>
            </w:r>
            <w:r w:rsidR="00CA68B2" w:rsidRPr="00A76FD3">
              <w:rPr>
                <w:rFonts w:ascii="Times New Roman" w:hAnsi="Times New Roman" w:cs="Times New Roman"/>
                <w:sz w:val="24"/>
                <w:szCs w:val="24"/>
              </w:rPr>
              <w:t>administratīvo uzraudzības lietu</w:t>
            </w:r>
            <w:r w:rsidR="00CA68B2">
              <w:rPr>
                <w:rFonts w:ascii="Times New Roman" w:hAnsi="Times New Roman" w:cs="Times New Roman"/>
                <w:sz w:val="24"/>
                <w:szCs w:val="24"/>
              </w:rPr>
              <w:t xml:space="preserve"> esošo izmaksu</w:t>
            </w:r>
            <w:r w:rsidR="00CA68B2" w:rsidRPr="00A76FD3">
              <w:rPr>
                <w:rFonts w:ascii="Times New Roman" w:hAnsi="Times New Roman" w:cs="Times New Roman"/>
                <w:sz w:val="24"/>
                <w:szCs w:val="24"/>
              </w:rPr>
              <w:t xml:space="preserve"> ietvaros</w:t>
            </w:r>
            <w:r w:rsidR="00CA68B2">
              <w:rPr>
                <w:rFonts w:ascii="Times New Roman" w:hAnsi="Times New Roman" w:cs="Times New Roman"/>
                <w:sz w:val="24"/>
                <w:szCs w:val="24"/>
              </w:rPr>
              <w:t>.</w:t>
            </w:r>
          </w:p>
          <w:p w14:paraId="3DBCC046" w14:textId="3F8A47CA" w:rsidR="00CA68B2" w:rsidRPr="001B4D3B" w:rsidRDefault="00CA68B2" w:rsidP="00416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noskaidrotu administratīvo slogu komersantiem, Ekonomikas ministrija lūdza sniegt informāciju SIA “Lattelecom” in “</w:t>
            </w:r>
            <w:r w:rsidRPr="00EB3BA2">
              <w:rPr>
                <w:rFonts w:ascii="Times New Roman" w:hAnsi="Times New Roman" w:cs="Times New Roman"/>
                <w:sz w:val="24"/>
                <w:szCs w:val="24"/>
              </w:rPr>
              <w:t>Latvijas Mobilais Telefons</w:t>
            </w:r>
            <w:r>
              <w:rPr>
                <w:rFonts w:ascii="Times New Roman" w:hAnsi="Times New Roman" w:cs="Times New Roman"/>
                <w:sz w:val="24"/>
                <w:szCs w:val="24"/>
              </w:rPr>
              <w:t>”</w:t>
            </w:r>
            <w:r w:rsidRPr="00EB3BA2">
              <w:rPr>
                <w:rFonts w:ascii="Times New Roman" w:hAnsi="Times New Roman" w:cs="Times New Roman"/>
                <w:sz w:val="24"/>
                <w:szCs w:val="24"/>
              </w:rPr>
              <w:t xml:space="preserve"> SIA</w:t>
            </w:r>
            <w:r>
              <w:rPr>
                <w:rFonts w:ascii="Times New Roman" w:hAnsi="Times New Roman" w:cs="Times New Roman"/>
                <w:sz w:val="24"/>
                <w:szCs w:val="24"/>
              </w:rPr>
              <w:t xml:space="preserve"> par izmaksām, ko radīs regulējums.</w:t>
            </w:r>
          </w:p>
          <w:p w14:paraId="40FB87E7" w14:textId="232DD7E9" w:rsidR="00EB3BA2" w:rsidRDefault="00A55D87" w:rsidP="00416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SIA “Lattelecom” </w:t>
            </w:r>
            <w:r w:rsidR="00CA68B2">
              <w:rPr>
                <w:rFonts w:ascii="Times New Roman" w:hAnsi="Times New Roman" w:cs="Times New Roman"/>
                <w:sz w:val="24"/>
                <w:szCs w:val="24"/>
              </w:rPr>
              <w:t>informēja, ka pieprasījumu skaita pieaugums</w:t>
            </w:r>
            <w:r w:rsidR="00EB3BA2">
              <w:rPr>
                <w:rFonts w:ascii="Times New Roman" w:hAnsi="Times New Roman" w:cs="Times New Roman"/>
                <w:sz w:val="24"/>
                <w:szCs w:val="24"/>
              </w:rPr>
              <w:t xml:space="preserve"> par 10 pieprasījumiem mēnesī neradīs papildus izmaksas. </w:t>
            </w:r>
          </w:p>
          <w:p w14:paraId="1DCA4CC4" w14:textId="153EE8D5" w:rsidR="00B33B27" w:rsidRPr="001B4D3B" w:rsidRDefault="00B33B27" w:rsidP="00416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Pēc “</w:t>
            </w:r>
            <w:r w:rsidRPr="00EB3BA2">
              <w:rPr>
                <w:rFonts w:ascii="Times New Roman" w:hAnsi="Times New Roman" w:cs="Times New Roman"/>
                <w:sz w:val="24"/>
                <w:szCs w:val="24"/>
              </w:rPr>
              <w:t>Latvijas Mobilais Telefons</w:t>
            </w:r>
            <w:r>
              <w:rPr>
                <w:rFonts w:ascii="Times New Roman" w:hAnsi="Times New Roman" w:cs="Times New Roman"/>
                <w:sz w:val="24"/>
                <w:szCs w:val="24"/>
              </w:rPr>
              <w:t>”</w:t>
            </w:r>
            <w:r w:rsidRPr="00EB3BA2">
              <w:rPr>
                <w:rFonts w:ascii="Times New Roman" w:hAnsi="Times New Roman" w:cs="Times New Roman"/>
                <w:sz w:val="24"/>
                <w:szCs w:val="24"/>
              </w:rPr>
              <w:t xml:space="preserve"> SIA</w:t>
            </w:r>
            <w:r>
              <w:rPr>
                <w:rFonts w:ascii="Times New Roman" w:hAnsi="Times New Roman" w:cs="Times New Roman"/>
                <w:sz w:val="24"/>
                <w:szCs w:val="24"/>
              </w:rPr>
              <w:t xml:space="preserve"> sniegtās informācijas,</w:t>
            </w:r>
            <w:r w:rsidDel="003055BB">
              <w:rPr>
                <w:rFonts w:ascii="Times New Roman" w:hAnsi="Times New Roman" w:cs="Times New Roman"/>
                <w:sz w:val="24"/>
                <w:szCs w:val="24"/>
              </w:rPr>
              <w:t xml:space="preserve"> </w:t>
            </w:r>
            <w:r>
              <w:rPr>
                <w:rFonts w:ascii="Times New Roman" w:hAnsi="Times New Roman" w:cs="Times New Roman"/>
                <w:sz w:val="24"/>
                <w:szCs w:val="24"/>
              </w:rPr>
              <w:t>ņ</w:t>
            </w:r>
            <w:r w:rsidRPr="00EB3BA2">
              <w:rPr>
                <w:rFonts w:ascii="Times New Roman" w:hAnsi="Times New Roman" w:cs="Times New Roman"/>
                <w:sz w:val="24"/>
                <w:szCs w:val="24"/>
              </w:rPr>
              <w:t xml:space="preserve">emot vērā informācijas pieprasījumus apstrādājošo darbinieku stundas likmes un citas izmaksas, viena informācijas pieprasījuma apstrādes </w:t>
            </w:r>
            <w:r>
              <w:rPr>
                <w:rFonts w:ascii="Times New Roman" w:hAnsi="Times New Roman" w:cs="Times New Roman"/>
                <w:sz w:val="24"/>
                <w:szCs w:val="24"/>
              </w:rPr>
              <w:t xml:space="preserve">izmaksas </w:t>
            </w:r>
            <w:r w:rsidRPr="00EB3BA2">
              <w:rPr>
                <w:rFonts w:ascii="Times New Roman" w:hAnsi="Times New Roman" w:cs="Times New Roman"/>
                <w:sz w:val="24"/>
                <w:szCs w:val="24"/>
              </w:rPr>
              <w:t>par vienk</w:t>
            </w:r>
            <w:r>
              <w:rPr>
                <w:rFonts w:ascii="Times New Roman" w:hAnsi="Times New Roman" w:cs="Times New Roman"/>
                <w:sz w:val="24"/>
                <w:szCs w:val="24"/>
              </w:rPr>
              <w:t xml:space="preserve">āršajiem pieprasījumiem, kas </w:t>
            </w:r>
            <w:r w:rsidRPr="00EB3BA2">
              <w:rPr>
                <w:rFonts w:ascii="Times New Roman" w:hAnsi="Times New Roman" w:cs="Times New Roman"/>
                <w:sz w:val="24"/>
                <w:szCs w:val="24"/>
              </w:rPr>
              <w:t>varē</w:t>
            </w:r>
            <w:r w:rsidR="00CA68B2">
              <w:rPr>
                <w:rFonts w:ascii="Times New Roman" w:hAnsi="Times New Roman" w:cs="Times New Roman"/>
                <w:sz w:val="24"/>
                <w:szCs w:val="24"/>
              </w:rPr>
              <w:t>tu būt attiecināmi</w:t>
            </w:r>
            <w:r>
              <w:rPr>
                <w:rFonts w:ascii="Times New Roman" w:hAnsi="Times New Roman" w:cs="Times New Roman"/>
                <w:sz w:val="24"/>
                <w:szCs w:val="24"/>
              </w:rPr>
              <w:t xml:space="preserve"> arī uz PTAC</w:t>
            </w:r>
            <w:r w:rsidR="00CA68B2">
              <w:rPr>
                <w:rFonts w:ascii="Times New Roman" w:hAnsi="Times New Roman" w:cs="Times New Roman"/>
                <w:sz w:val="24"/>
                <w:szCs w:val="24"/>
              </w:rPr>
              <w:t xml:space="preserve"> pieprasījumiem</w:t>
            </w:r>
            <w:r>
              <w:rPr>
                <w:rFonts w:ascii="Times New Roman" w:hAnsi="Times New Roman" w:cs="Times New Roman"/>
                <w:sz w:val="24"/>
                <w:szCs w:val="24"/>
              </w:rPr>
              <w:t>, ir 35 EUR.</w:t>
            </w:r>
          </w:p>
        </w:tc>
      </w:tr>
      <w:tr w:rsidR="003B3B46" w14:paraId="495CDD3E" w14:textId="77777777" w:rsidTr="001529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7FEA34"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5488576"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685D546" w14:textId="76AB22FC" w:rsidR="00BF5EE2" w:rsidRDefault="00BF5E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viena piepras</w:t>
            </w:r>
            <w:r w:rsidR="006E5469">
              <w:rPr>
                <w:rFonts w:ascii="Times New Roman" w:hAnsi="Times New Roman" w:cs="Times New Roman"/>
                <w:sz w:val="24"/>
                <w:szCs w:val="24"/>
              </w:rPr>
              <w:t>ījuma izmaksas</w:t>
            </w:r>
            <w:r>
              <w:rPr>
                <w:rFonts w:ascii="Times New Roman" w:hAnsi="Times New Roman" w:cs="Times New Roman"/>
                <w:sz w:val="24"/>
                <w:szCs w:val="24"/>
              </w:rPr>
              <w:t xml:space="preserve"> un PTAC prognozējamo pieprasījumu skaitu gadā,</w:t>
            </w:r>
            <w:r w:rsidR="00EB3BA2">
              <w:rPr>
                <w:rFonts w:ascii="Times New Roman" w:hAnsi="Times New Roman" w:cs="Times New Roman"/>
                <w:sz w:val="24"/>
                <w:szCs w:val="24"/>
              </w:rPr>
              <w:t xml:space="preserve"> kopējās izmaksas nozarei </w:t>
            </w:r>
            <w:r w:rsidR="00CA68B2">
              <w:rPr>
                <w:rFonts w:ascii="Times New Roman" w:hAnsi="Times New Roman" w:cs="Times New Roman"/>
                <w:sz w:val="24"/>
                <w:szCs w:val="24"/>
              </w:rPr>
              <w:t xml:space="preserve">var svārstīties no 2100 līdz </w:t>
            </w:r>
            <w:r>
              <w:rPr>
                <w:rFonts w:ascii="Times New Roman" w:hAnsi="Times New Roman" w:cs="Times New Roman"/>
                <w:sz w:val="24"/>
                <w:szCs w:val="24"/>
              </w:rPr>
              <w:t>4200 EUR gadā.</w:t>
            </w:r>
            <w:r w:rsidR="00EB3BA2">
              <w:rPr>
                <w:rFonts w:ascii="Times New Roman" w:hAnsi="Times New Roman" w:cs="Times New Roman"/>
                <w:sz w:val="24"/>
                <w:szCs w:val="24"/>
              </w:rPr>
              <w:t xml:space="preserve"> </w:t>
            </w:r>
            <w:r w:rsidR="00CA68B2">
              <w:rPr>
                <w:rFonts w:ascii="Times New Roman" w:hAnsi="Times New Roman" w:cs="Times New Roman"/>
                <w:sz w:val="24"/>
                <w:szCs w:val="24"/>
              </w:rPr>
              <w:t>Veicot aprēķinu</w:t>
            </w:r>
            <w:r w:rsidR="00D55A75">
              <w:rPr>
                <w:rFonts w:ascii="Times New Roman" w:hAnsi="Times New Roman" w:cs="Times New Roman"/>
                <w:sz w:val="24"/>
                <w:szCs w:val="24"/>
              </w:rPr>
              <w:t>, tika pieņemts, ka PTAC veiks 60-120 pieprasījumus gadā un viena pieprasījuma izmaksas būs 35 EUR.</w:t>
            </w:r>
          </w:p>
          <w:p w14:paraId="0FF2B511" w14:textId="21362BDB" w:rsidR="006E5469" w:rsidRDefault="00B33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BF5EE2">
              <w:rPr>
                <w:rFonts w:ascii="Times New Roman" w:hAnsi="Times New Roman" w:cs="Times New Roman"/>
                <w:sz w:val="24"/>
                <w:szCs w:val="24"/>
              </w:rPr>
              <w:t>Sabiedrisko pakalpojumu regulēšanas komisijas reģistrā</w:t>
            </w:r>
            <w:r>
              <w:rPr>
                <w:rFonts w:ascii="Times New Roman" w:hAnsi="Times New Roman" w:cs="Times New Roman"/>
                <w:sz w:val="24"/>
                <w:szCs w:val="24"/>
              </w:rPr>
              <w:t xml:space="preserve"> reģistrēto elekt</w:t>
            </w:r>
            <w:r w:rsidR="0070495B">
              <w:rPr>
                <w:rFonts w:ascii="Times New Roman" w:hAnsi="Times New Roman" w:cs="Times New Roman"/>
                <w:sz w:val="24"/>
                <w:szCs w:val="24"/>
              </w:rPr>
              <w:t>ronisko sakaru komersantu skaitu un pieņemot, ka PTAC veiks 60-120 pieprasījumus gadā</w:t>
            </w:r>
            <w:r>
              <w:rPr>
                <w:rFonts w:ascii="Times New Roman" w:hAnsi="Times New Roman" w:cs="Times New Roman"/>
                <w:sz w:val="24"/>
                <w:szCs w:val="24"/>
              </w:rPr>
              <w:t>, vidēji vienam elektronisko sakaru komersantam tiks pieprasīts 1 pieprasījums 2,5 līdz 5 gados.</w:t>
            </w:r>
            <w:r w:rsidR="00A5634F">
              <w:rPr>
                <w:rFonts w:ascii="Times New Roman" w:hAnsi="Times New Roman" w:cs="Times New Roman"/>
                <w:sz w:val="24"/>
                <w:szCs w:val="24"/>
              </w:rPr>
              <w:t xml:space="preserve"> </w:t>
            </w:r>
          </w:p>
          <w:p w14:paraId="2A34DF07" w14:textId="7013E28D" w:rsidR="00A07F4F" w:rsidRPr="001B4D3B" w:rsidRDefault="006E5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kopējās izmaksas nozarei</w:t>
            </w:r>
            <w:r w:rsidR="0070495B">
              <w:rPr>
                <w:rFonts w:ascii="Times New Roman" w:hAnsi="Times New Roman" w:cs="Times New Roman"/>
                <w:sz w:val="24"/>
                <w:szCs w:val="24"/>
              </w:rPr>
              <w:t xml:space="preserve"> un</w:t>
            </w:r>
            <w:r>
              <w:rPr>
                <w:rFonts w:ascii="Times New Roman" w:hAnsi="Times New Roman" w:cs="Times New Roman"/>
                <w:sz w:val="24"/>
                <w:szCs w:val="24"/>
              </w:rPr>
              <w:t xml:space="preserve"> vidējo pieprasījumu skaitu gadā vienam komersantam, secināms ka vidēji izmaksas vienam komersantam </w:t>
            </w:r>
            <w:r w:rsidR="0070495B">
              <w:rPr>
                <w:rFonts w:ascii="Times New Roman" w:hAnsi="Times New Roman" w:cs="Times New Roman"/>
                <w:sz w:val="24"/>
                <w:szCs w:val="24"/>
              </w:rPr>
              <w:t xml:space="preserve">svārstīsies no 7,2 līdz </w:t>
            </w:r>
            <w:r>
              <w:rPr>
                <w:rFonts w:ascii="Times New Roman" w:hAnsi="Times New Roman" w:cs="Times New Roman"/>
                <w:sz w:val="24"/>
                <w:szCs w:val="24"/>
              </w:rPr>
              <w:t>14,4 EUR gadā.</w:t>
            </w:r>
          </w:p>
        </w:tc>
      </w:tr>
      <w:tr w:rsidR="003B3B46" w14:paraId="428CFBEE" w14:textId="77777777" w:rsidTr="001529D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A07B3A"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4</w:t>
            </w:r>
            <w:r w:rsidR="00E5323B" w:rsidRPr="001529D9">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49A42288"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8CD99AB"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Nav</w:t>
            </w:r>
          </w:p>
        </w:tc>
      </w:tr>
    </w:tbl>
    <w:p w14:paraId="35A9A5E4" w14:textId="1DEBC9AA" w:rsidR="00E5323B" w:rsidRPr="001529D9" w:rsidRDefault="00E5323B"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3B46" w14:paraId="6DA922E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DD9CB"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III. Tiesību akta projekta ietekme uz valsts budžetu un pašvaldību budžetiem</w:t>
            </w:r>
          </w:p>
        </w:tc>
      </w:tr>
      <w:tr w:rsidR="003B3B46" w14:paraId="5CAD14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CCFD0" w14:textId="77777777" w:rsidR="001B6A66" w:rsidRPr="001529D9" w:rsidRDefault="0078714F" w:rsidP="001B6A66">
            <w:pPr>
              <w:spacing w:after="0" w:line="240" w:lineRule="auto"/>
              <w:jc w:val="center"/>
              <w:rPr>
                <w:rFonts w:ascii="Times New Roman" w:eastAsia="Times New Roman" w:hAnsi="Times New Roman" w:cs="Times New Roman"/>
                <w:bCs/>
                <w:iCs/>
                <w:sz w:val="24"/>
                <w:szCs w:val="24"/>
                <w:lang w:eastAsia="lv-LV"/>
              </w:rPr>
            </w:pPr>
            <w:r w:rsidRPr="001529D9">
              <w:rPr>
                <w:rFonts w:ascii="Times New Roman" w:eastAsia="Times New Roman" w:hAnsi="Times New Roman" w:cs="Times New Roman"/>
                <w:bCs/>
                <w:iCs/>
                <w:sz w:val="24"/>
                <w:szCs w:val="24"/>
                <w:lang w:eastAsia="lv-LV"/>
              </w:rPr>
              <w:t>Projekts šo jomu neskar</w:t>
            </w:r>
          </w:p>
        </w:tc>
      </w:tr>
    </w:tbl>
    <w:p w14:paraId="76FB96E8" w14:textId="75276F95" w:rsidR="00E5323B" w:rsidRPr="001529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3B46" w14:paraId="22070CC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D92902"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IV. Tiesību akta projekta ietekme uz spēkā esošo tiesību normu sistēmu</w:t>
            </w:r>
          </w:p>
        </w:tc>
      </w:tr>
      <w:tr w:rsidR="003B3B46" w14:paraId="1B7C4CF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18948" w14:textId="77777777" w:rsidR="001B6A66" w:rsidRPr="001529D9" w:rsidRDefault="0078714F" w:rsidP="001B6A66">
            <w:pPr>
              <w:spacing w:after="0" w:line="240" w:lineRule="auto"/>
              <w:jc w:val="center"/>
              <w:rPr>
                <w:rFonts w:ascii="Times New Roman" w:eastAsia="Times New Roman" w:hAnsi="Times New Roman" w:cs="Times New Roman"/>
                <w:bCs/>
                <w:iCs/>
                <w:sz w:val="24"/>
                <w:szCs w:val="24"/>
                <w:lang w:eastAsia="lv-LV"/>
              </w:rPr>
            </w:pPr>
            <w:r w:rsidRPr="001529D9">
              <w:rPr>
                <w:rFonts w:ascii="Times New Roman" w:eastAsia="Times New Roman" w:hAnsi="Times New Roman" w:cs="Times New Roman"/>
                <w:bCs/>
                <w:iCs/>
                <w:sz w:val="24"/>
                <w:szCs w:val="24"/>
                <w:lang w:eastAsia="lv-LV"/>
              </w:rPr>
              <w:t>Projekts šo jomu neskar</w:t>
            </w:r>
          </w:p>
        </w:tc>
      </w:tr>
    </w:tbl>
    <w:p w14:paraId="0AA1C0AE" w14:textId="2BB71158" w:rsidR="00E5323B" w:rsidRPr="001529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3B46" w14:paraId="3E5254B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698CFA"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3B46" w14:paraId="03966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9FC06" w14:textId="77777777" w:rsidR="001B6A66" w:rsidRPr="001529D9" w:rsidRDefault="0078714F" w:rsidP="001B6A66">
            <w:pPr>
              <w:spacing w:after="0" w:line="240" w:lineRule="auto"/>
              <w:jc w:val="center"/>
              <w:rPr>
                <w:rFonts w:ascii="Times New Roman" w:eastAsia="Times New Roman" w:hAnsi="Times New Roman" w:cs="Times New Roman"/>
                <w:bCs/>
                <w:iCs/>
                <w:sz w:val="24"/>
                <w:szCs w:val="24"/>
                <w:lang w:eastAsia="lv-LV"/>
              </w:rPr>
            </w:pPr>
            <w:r w:rsidRPr="001529D9">
              <w:rPr>
                <w:rFonts w:ascii="Times New Roman" w:eastAsia="Times New Roman" w:hAnsi="Times New Roman" w:cs="Times New Roman"/>
                <w:bCs/>
                <w:iCs/>
                <w:sz w:val="24"/>
                <w:szCs w:val="24"/>
                <w:lang w:eastAsia="lv-LV"/>
              </w:rPr>
              <w:t>Projekts šo jomu neskar</w:t>
            </w:r>
          </w:p>
        </w:tc>
      </w:tr>
    </w:tbl>
    <w:p w14:paraId="3CFF9350" w14:textId="2D50380B" w:rsidR="00E5323B" w:rsidRPr="001529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3B46" w14:paraId="639DBE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C33A3B"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VI. Sabiedrības līdzdalība un komunikācijas aktivitātes</w:t>
            </w:r>
          </w:p>
        </w:tc>
      </w:tr>
      <w:tr w:rsidR="003B3B46" w14:paraId="6D8E71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B26D9A"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238F2E"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4389036" w14:textId="103DF951" w:rsidR="001529D9" w:rsidRPr="001529D9" w:rsidRDefault="0078714F" w:rsidP="001529D9">
            <w:pPr>
              <w:pStyle w:val="naiskr"/>
              <w:spacing w:before="0" w:after="0"/>
              <w:ind w:right="57"/>
              <w:jc w:val="both"/>
              <w:rPr>
                <w:iCs/>
                <w:color w:val="auto"/>
              </w:rPr>
            </w:pPr>
            <w:r w:rsidRPr="001529D9">
              <w:rPr>
                <w:rStyle w:val="st1"/>
                <w:bCs/>
                <w:color w:val="auto"/>
              </w:rPr>
              <w:t>S</w:t>
            </w:r>
            <w:r w:rsidRPr="001529D9">
              <w:rPr>
                <w:iCs/>
                <w:color w:val="auto"/>
              </w:rPr>
              <w:t xml:space="preserve">abiedrības informēšana un līdzdalība </w:t>
            </w:r>
            <w:r w:rsidR="00E50E08">
              <w:rPr>
                <w:iCs/>
                <w:color w:val="auto"/>
              </w:rPr>
              <w:t>noteiku</w:t>
            </w:r>
            <w:r w:rsidR="008B3F06">
              <w:rPr>
                <w:iCs/>
                <w:color w:val="auto"/>
              </w:rPr>
              <w:t>m</w:t>
            </w:r>
            <w:r w:rsidR="00E50E08">
              <w:rPr>
                <w:iCs/>
                <w:color w:val="auto"/>
              </w:rPr>
              <w:t xml:space="preserve">u </w:t>
            </w:r>
            <w:r w:rsidR="0070495B">
              <w:rPr>
                <w:iCs/>
                <w:color w:val="auto"/>
              </w:rPr>
              <w:t>projekta izstrādē tika</w:t>
            </w:r>
            <w:r w:rsidRPr="001529D9">
              <w:rPr>
                <w:iCs/>
                <w:color w:val="auto"/>
              </w:rPr>
              <w:t xml:space="preserve"> nodrošināta:</w:t>
            </w:r>
          </w:p>
          <w:p w14:paraId="09011973" w14:textId="77777777" w:rsidR="001529D9" w:rsidRPr="001529D9" w:rsidRDefault="0078714F" w:rsidP="001529D9">
            <w:pPr>
              <w:pStyle w:val="ListParagraph"/>
              <w:numPr>
                <w:ilvl w:val="0"/>
                <w:numId w:val="3"/>
              </w:numPr>
              <w:jc w:val="both"/>
              <w:rPr>
                <w:color w:val="auto"/>
                <w:lang w:eastAsia="lv-LV"/>
              </w:rPr>
            </w:pPr>
            <w:r w:rsidRPr="001529D9">
              <w:rPr>
                <w:color w:val="auto"/>
                <w:lang w:eastAsia="lv-LV"/>
              </w:rPr>
              <w:t>publicējot to Ekonomikas ministrijas mājaslapā;</w:t>
            </w:r>
          </w:p>
          <w:p w14:paraId="0A39FC3D" w14:textId="3F68E533" w:rsidR="00E5323B" w:rsidRPr="001529D9" w:rsidRDefault="0078714F" w:rsidP="001529D9">
            <w:pPr>
              <w:pStyle w:val="ListParagraph"/>
              <w:numPr>
                <w:ilvl w:val="0"/>
                <w:numId w:val="3"/>
              </w:numPr>
              <w:jc w:val="both"/>
              <w:rPr>
                <w:color w:val="auto"/>
                <w:lang w:eastAsia="lv-LV"/>
              </w:rPr>
            </w:pPr>
            <w:r w:rsidRPr="001529D9">
              <w:rPr>
                <w:color w:val="auto"/>
                <w:lang w:eastAsia="lv-LV"/>
              </w:rPr>
              <w:t>nosūtot to Latvijas Darba devēju konfederācijai, Latvijas Tirdzniecības un rūpniecības kamerai, Latvijas Elektronisko komunikāciju asociācijai, Latvijas Telekomunikāciju asociācijai, Latvijas Informācijas un komunikācijas tehnoloģijas asociācijai</w:t>
            </w:r>
            <w:r w:rsidR="005C7CC0">
              <w:rPr>
                <w:color w:val="auto"/>
                <w:lang w:eastAsia="lv-LV"/>
              </w:rPr>
              <w:t xml:space="preserve"> un</w:t>
            </w:r>
            <w:r w:rsidRPr="001529D9">
              <w:rPr>
                <w:color w:val="auto"/>
                <w:lang w:eastAsia="lv-LV"/>
              </w:rPr>
              <w:t xml:space="preserve"> Latvijas Interneta asociācijai.</w:t>
            </w:r>
          </w:p>
        </w:tc>
      </w:tr>
      <w:tr w:rsidR="003B3B46" w14:paraId="6F2E7D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969E9D"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94F9354"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CD3AA06" w14:textId="5C62678F" w:rsidR="00E5323B" w:rsidRPr="001529D9" w:rsidRDefault="0078714F" w:rsidP="001529D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2018.gada 27</w:t>
            </w:r>
            <w:r w:rsidR="001529D9" w:rsidRPr="001529D9">
              <w:rPr>
                <w:rFonts w:ascii="Times New Roman" w:hAnsi="Times New Roman" w:cs="Times New Roman"/>
                <w:sz w:val="24"/>
                <w:szCs w:val="24"/>
                <w:lang w:eastAsia="lv-LV"/>
              </w:rPr>
              <w:t>.jūnijā noteikumu projekts</w:t>
            </w:r>
            <w:r w:rsidR="0070495B">
              <w:rPr>
                <w:rFonts w:ascii="Times New Roman" w:hAnsi="Times New Roman" w:cs="Times New Roman"/>
                <w:sz w:val="24"/>
                <w:szCs w:val="24"/>
                <w:lang w:eastAsia="lv-LV"/>
              </w:rPr>
              <w:t xml:space="preserve"> tika</w:t>
            </w:r>
            <w:r w:rsidR="001529D9" w:rsidRPr="001529D9">
              <w:rPr>
                <w:rFonts w:ascii="Times New Roman" w:hAnsi="Times New Roman" w:cs="Times New Roman"/>
                <w:sz w:val="24"/>
                <w:szCs w:val="24"/>
                <w:lang w:eastAsia="lv-LV"/>
              </w:rPr>
              <w:t xml:space="preserve"> publicēts Ekonomikas ministrijas mājaslapā - sadaļā “Sabiedrības līdzdalība”, kā arī nosūtīts Latvijas Darba devēju konfederācijai, Latvijas Tirdzniecības un rūpniecības kamerai, Latvijas Elektronisko komunikāciju asociācijai, Latvijas Telekomunikāciju asociācijai, Latvijas Informācijas un komunikācijas tehnoloģijas asociācijai</w:t>
            </w:r>
            <w:r w:rsidR="005C7CC0">
              <w:rPr>
                <w:rFonts w:ascii="Times New Roman" w:hAnsi="Times New Roman" w:cs="Times New Roman"/>
                <w:sz w:val="24"/>
                <w:szCs w:val="24"/>
                <w:lang w:eastAsia="lv-LV"/>
              </w:rPr>
              <w:t xml:space="preserve"> un</w:t>
            </w:r>
            <w:r w:rsidR="00F16B0D">
              <w:rPr>
                <w:rFonts w:ascii="Times New Roman" w:hAnsi="Times New Roman" w:cs="Times New Roman"/>
                <w:sz w:val="24"/>
                <w:szCs w:val="24"/>
                <w:lang w:eastAsia="lv-LV"/>
              </w:rPr>
              <w:t xml:space="preserve"> </w:t>
            </w:r>
            <w:r w:rsidR="001529D9" w:rsidRPr="001529D9">
              <w:rPr>
                <w:rFonts w:ascii="Times New Roman" w:hAnsi="Times New Roman" w:cs="Times New Roman"/>
                <w:sz w:val="24"/>
                <w:szCs w:val="24"/>
                <w:lang w:eastAsia="lv-LV"/>
              </w:rPr>
              <w:t>Latvijas Interneta asociācijai. Ekonomikas ministrija aicināja sniegt rak</w:t>
            </w:r>
            <w:r>
              <w:rPr>
                <w:rFonts w:ascii="Times New Roman" w:hAnsi="Times New Roman" w:cs="Times New Roman"/>
                <w:sz w:val="24"/>
                <w:szCs w:val="24"/>
                <w:lang w:eastAsia="lv-LV"/>
              </w:rPr>
              <w:t>stisku viedokli līdz 2018.gada 13</w:t>
            </w:r>
            <w:r w:rsidR="001529D9" w:rsidRPr="001529D9">
              <w:rPr>
                <w:rFonts w:ascii="Times New Roman" w:hAnsi="Times New Roman" w:cs="Times New Roman"/>
                <w:sz w:val="24"/>
                <w:szCs w:val="24"/>
                <w:lang w:eastAsia="lv-LV"/>
              </w:rPr>
              <w:t xml:space="preserve">.jūlijam. </w:t>
            </w:r>
          </w:p>
        </w:tc>
      </w:tr>
      <w:tr w:rsidR="003B3B46" w14:paraId="70CF09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A39278"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F36FDB4"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BEF6DAC" w14:textId="343DA98C" w:rsidR="0070495B" w:rsidRDefault="0070495B" w:rsidP="009A05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saņēma viedokli no </w:t>
            </w:r>
            <w:r w:rsidRPr="009A05FB">
              <w:rPr>
                <w:rFonts w:ascii="Times New Roman" w:eastAsia="Times New Roman" w:hAnsi="Times New Roman" w:cs="Times New Roman"/>
                <w:iCs/>
                <w:sz w:val="24"/>
                <w:szCs w:val="24"/>
                <w:lang w:eastAsia="lv-LV"/>
              </w:rPr>
              <w:t>Latvijas Elektronisko komunikāciju</w:t>
            </w:r>
            <w:r>
              <w:rPr>
                <w:rFonts w:ascii="Times New Roman" w:eastAsia="Times New Roman" w:hAnsi="Times New Roman" w:cs="Times New Roman"/>
                <w:iCs/>
                <w:sz w:val="24"/>
                <w:szCs w:val="24"/>
                <w:lang w:eastAsia="lv-LV"/>
              </w:rPr>
              <w:t xml:space="preserve"> asociācijas (turpmāk – LEKA), </w:t>
            </w:r>
            <w:r w:rsidRPr="009A05FB">
              <w:rPr>
                <w:rFonts w:ascii="Times New Roman" w:eastAsia="Times New Roman" w:hAnsi="Times New Roman" w:cs="Times New Roman"/>
                <w:iCs/>
                <w:sz w:val="24"/>
                <w:szCs w:val="24"/>
                <w:lang w:eastAsia="lv-LV"/>
              </w:rPr>
              <w:t>Latvijas Informācijas un komunikācijas tehnoloģijas asociācija</w:t>
            </w:r>
            <w:r>
              <w:rPr>
                <w:rFonts w:ascii="Times New Roman" w:eastAsia="Times New Roman" w:hAnsi="Times New Roman" w:cs="Times New Roman"/>
                <w:iCs/>
                <w:sz w:val="24"/>
                <w:szCs w:val="24"/>
                <w:lang w:eastAsia="lv-LV"/>
              </w:rPr>
              <w:t>s (turpmāk – LIKTA) un Latvijas Interneta asociācijas (turpmāk – LIA)</w:t>
            </w:r>
          </w:p>
          <w:p w14:paraId="21534081" w14:textId="0D621CF0" w:rsidR="009A05FB" w:rsidRPr="009A05FB" w:rsidRDefault="0070495B" w:rsidP="009A05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LEKA norādīja, ka tai</w:t>
            </w:r>
            <w:r w:rsidR="0078714F" w:rsidRPr="009A05FB">
              <w:rPr>
                <w:rFonts w:ascii="Times New Roman" w:eastAsia="Times New Roman" w:hAnsi="Times New Roman" w:cs="Times New Roman"/>
                <w:iCs/>
                <w:sz w:val="24"/>
                <w:szCs w:val="24"/>
                <w:lang w:eastAsia="lv-LV"/>
              </w:rPr>
              <w:t xml:space="preserve"> nav būtisku iebildumu vai priekšlikumu par projektu.</w:t>
            </w:r>
          </w:p>
          <w:p w14:paraId="4DA125C6" w14:textId="6317A9AC" w:rsidR="008D1B44" w:rsidRDefault="0070495B" w:rsidP="009A05FB">
            <w:pPr>
              <w:spacing w:after="0"/>
              <w:jc w:val="both"/>
              <w:rPr>
                <w:rFonts w:ascii="Times New Roman" w:hAnsi="Times New Roman" w:cs="Times New Roman"/>
                <w:iCs/>
                <w:sz w:val="24"/>
                <w:szCs w:val="24"/>
                <w:lang w:eastAsia="lv-LV"/>
              </w:rPr>
            </w:pPr>
            <w:r>
              <w:rPr>
                <w:rFonts w:ascii="Times New Roman" w:eastAsia="Times New Roman" w:hAnsi="Times New Roman" w:cs="Times New Roman"/>
                <w:iCs/>
                <w:sz w:val="24"/>
                <w:szCs w:val="24"/>
                <w:lang w:eastAsia="lv-LV"/>
              </w:rPr>
              <w:t>LIKTA izteica</w:t>
            </w:r>
            <w:r w:rsidR="0078714F" w:rsidRPr="009A05FB">
              <w:rPr>
                <w:rFonts w:ascii="Times New Roman" w:eastAsia="Times New Roman" w:hAnsi="Times New Roman" w:cs="Times New Roman"/>
                <w:iCs/>
                <w:sz w:val="24"/>
                <w:szCs w:val="24"/>
                <w:lang w:eastAsia="lv-LV"/>
              </w:rPr>
              <w:t xml:space="preserve"> iebil</w:t>
            </w:r>
            <w:r w:rsidR="00283A7B" w:rsidRPr="009A05FB">
              <w:rPr>
                <w:rFonts w:ascii="Times New Roman" w:eastAsia="Times New Roman" w:hAnsi="Times New Roman" w:cs="Times New Roman"/>
                <w:iCs/>
                <w:sz w:val="24"/>
                <w:szCs w:val="24"/>
                <w:lang w:eastAsia="lv-LV"/>
              </w:rPr>
              <w:t>dumus</w:t>
            </w:r>
            <w:r w:rsidR="0078714F" w:rsidRPr="009A05FB">
              <w:rPr>
                <w:rFonts w:ascii="Times New Roman" w:eastAsia="Times New Roman" w:hAnsi="Times New Roman" w:cs="Times New Roman"/>
                <w:iCs/>
                <w:sz w:val="24"/>
                <w:szCs w:val="24"/>
                <w:lang w:eastAsia="lv-LV"/>
              </w:rPr>
              <w:t xml:space="preserve"> p</w:t>
            </w:r>
            <w:r w:rsidR="00283A7B" w:rsidRPr="009A05FB">
              <w:rPr>
                <w:rFonts w:ascii="Times New Roman" w:eastAsia="Times New Roman" w:hAnsi="Times New Roman" w:cs="Times New Roman"/>
                <w:iCs/>
                <w:sz w:val="24"/>
                <w:szCs w:val="24"/>
                <w:lang w:eastAsia="lv-LV"/>
              </w:rPr>
              <w:t>ar</w:t>
            </w:r>
            <w:r w:rsidR="0078714F">
              <w:rPr>
                <w:rFonts w:ascii="Times New Roman" w:eastAsia="Times New Roman" w:hAnsi="Times New Roman" w:cs="Times New Roman"/>
                <w:iCs/>
                <w:sz w:val="24"/>
                <w:szCs w:val="24"/>
                <w:lang w:eastAsia="lv-LV"/>
              </w:rPr>
              <w:t xml:space="preserve"> regulējuma izstrādi</w:t>
            </w:r>
            <w:r w:rsidR="00283A7B" w:rsidRPr="009A05FB">
              <w:rPr>
                <w:rFonts w:ascii="Times New Roman" w:eastAsia="Times New Roman" w:hAnsi="Times New Roman" w:cs="Times New Roman"/>
                <w:iCs/>
                <w:sz w:val="24"/>
                <w:szCs w:val="24"/>
                <w:lang w:eastAsia="lv-LV"/>
              </w:rPr>
              <w:t xml:space="preserve"> </w:t>
            </w:r>
            <w:r w:rsidR="0078714F">
              <w:rPr>
                <w:rFonts w:ascii="Times New Roman" w:eastAsia="Times New Roman" w:hAnsi="Times New Roman" w:cs="Times New Roman"/>
                <w:iCs/>
                <w:sz w:val="24"/>
                <w:szCs w:val="24"/>
                <w:lang w:eastAsia="lv-LV"/>
              </w:rPr>
              <w:t>atsevišķā noteikumu projektā</w:t>
            </w:r>
            <w:r w:rsidR="00283A7B" w:rsidRPr="009A05FB">
              <w:rPr>
                <w:rFonts w:ascii="Times New Roman" w:eastAsia="Times New Roman" w:hAnsi="Times New Roman" w:cs="Times New Roman"/>
                <w:iCs/>
                <w:sz w:val="24"/>
                <w:szCs w:val="24"/>
                <w:lang w:eastAsia="lv-LV"/>
              </w:rPr>
              <w:t xml:space="preserve">, norādot, ka </w:t>
            </w:r>
            <w:r w:rsidR="0078714F">
              <w:rPr>
                <w:rFonts w:ascii="Times New Roman" w:hAnsi="Times New Roman" w:cs="Times New Roman"/>
                <w:iCs/>
                <w:sz w:val="24"/>
                <w:szCs w:val="24"/>
                <w:lang w:eastAsia="lv-LV"/>
              </w:rPr>
              <w:t>tādējādi tiek dublēti</w:t>
            </w:r>
            <w:r w:rsidR="00A752A8" w:rsidRPr="009A05FB">
              <w:rPr>
                <w:rFonts w:ascii="Times New Roman" w:hAnsi="Times New Roman" w:cs="Times New Roman"/>
                <w:iCs/>
                <w:sz w:val="24"/>
                <w:szCs w:val="24"/>
                <w:lang w:eastAsia="lv-LV"/>
              </w:rPr>
              <w:t xml:space="preserve"> </w:t>
            </w:r>
            <w:r w:rsidR="00694541">
              <w:rPr>
                <w:rFonts w:ascii="Times New Roman" w:hAnsi="Times New Roman" w:cs="Times New Roman"/>
                <w:iCs/>
                <w:sz w:val="24"/>
                <w:szCs w:val="24"/>
                <w:lang w:eastAsia="lv-LV"/>
              </w:rPr>
              <w:t>noteikumi Nr.306</w:t>
            </w:r>
            <w:r w:rsidR="00235320" w:rsidRPr="009A05FB">
              <w:rPr>
                <w:rFonts w:ascii="Times New Roman" w:hAnsi="Times New Roman" w:cs="Times New Roman"/>
                <w:iCs/>
                <w:sz w:val="24"/>
                <w:szCs w:val="24"/>
                <w:lang w:eastAsia="lv-LV"/>
              </w:rPr>
              <w:t xml:space="preserve">. </w:t>
            </w:r>
            <w:r w:rsidR="0003178F" w:rsidRPr="009A05FB">
              <w:rPr>
                <w:rFonts w:ascii="Times New Roman" w:hAnsi="Times New Roman" w:cs="Times New Roman"/>
                <w:iCs/>
                <w:sz w:val="24"/>
                <w:szCs w:val="24"/>
                <w:lang w:eastAsia="lv-LV"/>
              </w:rPr>
              <w:t>Tāpat</w:t>
            </w:r>
            <w:r w:rsidR="00731480" w:rsidRPr="009A05FB">
              <w:rPr>
                <w:rFonts w:ascii="Times New Roman" w:hAnsi="Times New Roman" w:cs="Times New Roman"/>
                <w:iCs/>
                <w:sz w:val="24"/>
                <w:szCs w:val="24"/>
                <w:lang w:eastAsia="lv-LV"/>
              </w:rPr>
              <w:t xml:space="preserve"> LIKTA norādījusi, ka alternatīvas elektroniskas noslodzes datu pieprasījumu apstrādes sistēmas izstrāde PTAC vajadzībām paaugstinātu datu apstrādes </w:t>
            </w:r>
            <w:r w:rsidR="006464F5" w:rsidRPr="009A05FB">
              <w:rPr>
                <w:rFonts w:ascii="Times New Roman" w:hAnsi="Times New Roman" w:cs="Times New Roman"/>
                <w:iCs/>
                <w:sz w:val="24"/>
                <w:szCs w:val="24"/>
                <w:lang w:eastAsia="lv-LV"/>
              </w:rPr>
              <w:t xml:space="preserve">drošības riskus, kā </w:t>
            </w:r>
            <w:r w:rsidR="00D3271C">
              <w:rPr>
                <w:rFonts w:ascii="Times New Roman" w:hAnsi="Times New Roman" w:cs="Times New Roman"/>
                <w:iCs/>
                <w:sz w:val="24"/>
                <w:szCs w:val="24"/>
                <w:lang w:eastAsia="lv-LV"/>
              </w:rPr>
              <w:t>arī radītu administratīvo slogu</w:t>
            </w:r>
            <w:r w:rsidR="0065470B" w:rsidRPr="009A05FB">
              <w:rPr>
                <w:rFonts w:ascii="Times New Roman" w:hAnsi="Times New Roman" w:cs="Times New Roman"/>
                <w:iCs/>
                <w:sz w:val="24"/>
                <w:szCs w:val="24"/>
                <w:lang w:eastAsia="lv-LV"/>
              </w:rPr>
              <w:t xml:space="preserve">. </w:t>
            </w:r>
            <w:r w:rsidR="00235320" w:rsidRPr="009A05FB">
              <w:rPr>
                <w:rFonts w:ascii="Times New Roman" w:hAnsi="Times New Roman" w:cs="Times New Roman"/>
                <w:iCs/>
                <w:sz w:val="24"/>
                <w:szCs w:val="24"/>
                <w:lang w:eastAsia="lv-LV"/>
              </w:rPr>
              <w:t xml:space="preserve"> </w:t>
            </w:r>
          </w:p>
          <w:p w14:paraId="273C77E4" w14:textId="2FCE0DA1" w:rsidR="000258AD" w:rsidRPr="009A05FB" w:rsidRDefault="00C825FC" w:rsidP="009A05FB">
            <w:pPr>
              <w:spacing w:after="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Ekonomikas ministrija secināja, </w:t>
            </w:r>
            <w:r w:rsidRPr="00C825FC">
              <w:rPr>
                <w:rFonts w:ascii="Times New Roman" w:hAnsi="Times New Roman" w:cs="Times New Roman"/>
                <w:iCs/>
                <w:sz w:val="24"/>
                <w:szCs w:val="24"/>
                <w:lang w:eastAsia="lv-LV"/>
              </w:rPr>
              <w:t>ka institūciju pieprasāmo noslodzes datu satura atšķirības nav būtisks šķērslis, lai attiecinātu noteikumus Nr.306 uz PTAC, un</w:t>
            </w:r>
            <w:r>
              <w:rPr>
                <w:rFonts w:ascii="Times New Roman" w:hAnsi="Times New Roman" w:cs="Times New Roman"/>
                <w:iCs/>
                <w:sz w:val="24"/>
                <w:szCs w:val="24"/>
                <w:lang w:eastAsia="lv-LV"/>
              </w:rPr>
              <w:t>,</w:t>
            </w:r>
            <w:r w:rsidRPr="00C825FC">
              <w:rPr>
                <w:rFonts w:ascii="Times New Roman" w:hAnsi="Times New Roman" w:cs="Times New Roman"/>
                <w:iCs/>
                <w:sz w:val="24"/>
                <w:szCs w:val="24"/>
                <w:lang w:eastAsia="lv-LV"/>
              </w:rPr>
              <w:t xml:space="preserve"> lai samazinātu administratīvo slogu privātpersonām un iestādēm, kā arī izvairoties no vienu jomu regulējošā tiesiskā regulējuma sadrumstalotības, kārtība, kādā PTAC pieprasa noslodzes datus no elektronisko sakaru komersantiem</w:t>
            </w:r>
            <w:r>
              <w:rPr>
                <w:rFonts w:ascii="Times New Roman" w:hAnsi="Times New Roman" w:cs="Times New Roman"/>
                <w:iCs/>
                <w:sz w:val="24"/>
                <w:szCs w:val="24"/>
                <w:lang w:eastAsia="lv-LV"/>
              </w:rPr>
              <w:t>,</w:t>
            </w:r>
            <w:r w:rsidRPr="00C825FC">
              <w:rPr>
                <w:rFonts w:ascii="Times New Roman" w:hAnsi="Times New Roman" w:cs="Times New Roman"/>
                <w:iCs/>
                <w:sz w:val="24"/>
                <w:szCs w:val="24"/>
                <w:lang w:eastAsia="lv-LV"/>
              </w:rPr>
              <w:t xml:space="preserve"> tika iestrādāta noteikumos Nr.306.</w:t>
            </w:r>
          </w:p>
          <w:p w14:paraId="78AC6CF7" w14:textId="61DEFCBF" w:rsidR="00C825FC" w:rsidRDefault="0070495B" w:rsidP="009A05FB">
            <w:pPr>
              <w:spacing w:after="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LIA</w:t>
            </w:r>
            <w:r w:rsidR="0078714F" w:rsidRPr="009A05FB">
              <w:rPr>
                <w:rFonts w:ascii="Times New Roman" w:hAnsi="Times New Roman" w:cs="Times New Roman"/>
                <w:iCs/>
                <w:sz w:val="24"/>
                <w:szCs w:val="24"/>
                <w:lang w:eastAsia="lv-LV"/>
              </w:rPr>
              <w:t xml:space="preserve"> lūdz</w:t>
            </w:r>
            <w:r w:rsidR="00C825FC">
              <w:rPr>
                <w:rFonts w:ascii="Times New Roman" w:hAnsi="Times New Roman" w:cs="Times New Roman"/>
                <w:iCs/>
                <w:sz w:val="24"/>
                <w:szCs w:val="24"/>
                <w:lang w:eastAsia="lv-LV"/>
              </w:rPr>
              <w:t>a</w:t>
            </w:r>
            <w:r w:rsidR="0078714F" w:rsidRPr="009A05FB">
              <w:rPr>
                <w:rFonts w:ascii="Times New Roman" w:hAnsi="Times New Roman" w:cs="Times New Roman"/>
                <w:iCs/>
                <w:sz w:val="24"/>
                <w:szCs w:val="24"/>
                <w:lang w:eastAsia="lv-LV"/>
              </w:rPr>
              <w:t xml:space="preserve"> noteikt</w:t>
            </w:r>
            <w:r w:rsidR="006F06DC" w:rsidRPr="009A05FB">
              <w:rPr>
                <w:rFonts w:ascii="Times New Roman" w:hAnsi="Times New Roman" w:cs="Times New Roman"/>
                <w:iCs/>
                <w:sz w:val="24"/>
                <w:szCs w:val="24"/>
                <w:lang w:eastAsia="lv-LV"/>
              </w:rPr>
              <w:t xml:space="preserve"> projekta</w:t>
            </w:r>
            <w:r w:rsidR="0078714F" w:rsidRPr="009A05FB">
              <w:rPr>
                <w:rFonts w:ascii="Times New Roman" w:hAnsi="Times New Roman" w:cs="Times New Roman"/>
                <w:iCs/>
                <w:sz w:val="24"/>
                <w:szCs w:val="24"/>
                <w:lang w:eastAsia="lv-LV"/>
              </w:rPr>
              <w:t xml:space="preserve"> spēkā stāšanos ne ātrāk kā ar 2019.gada 1.martu, lai dotu iespēju komersantiem sagatavoties noteikumu izpildei</w:t>
            </w:r>
            <w:r>
              <w:rPr>
                <w:rFonts w:ascii="Times New Roman" w:hAnsi="Times New Roman" w:cs="Times New Roman"/>
                <w:iCs/>
                <w:sz w:val="24"/>
                <w:szCs w:val="24"/>
                <w:lang w:eastAsia="lv-LV"/>
              </w:rPr>
              <w:t>,</w:t>
            </w:r>
            <w:r w:rsidR="0014116D">
              <w:rPr>
                <w:rFonts w:ascii="Times New Roman" w:hAnsi="Times New Roman" w:cs="Times New Roman"/>
                <w:iCs/>
                <w:sz w:val="24"/>
                <w:szCs w:val="24"/>
                <w:lang w:eastAsia="lv-LV"/>
              </w:rPr>
              <w:t xml:space="preserve"> un atteikties </w:t>
            </w:r>
            <w:r w:rsidR="00A60182" w:rsidRPr="009A05FB">
              <w:rPr>
                <w:rFonts w:ascii="Times New Roman" w:hAnsi="Times New Roman" w:cs="Times New Roman"/>
                <w:iCs/>
                <w:sz w:val="24"/>
                <w:szCs w:val="24"/>
                <w:lang w:eastAsia="lv-LV"/>
              </w:rPr>
              <w:t xml:space="preserve">no </w:t>
            </w:r>
            <w:r w:rsidR="003C62B5" w:rsidRPr="009A05FB">
              <w:rPr>
                <w:rFonts w:ascii="Times New Roman" w:hAnsi="Times New Roman" w:cs="Times New Roman"/>
                <w:iCs/>
                <w:sz w:val="24"/>
                <w:szCs w:val="24"/>
                <w:lang w:eastAsia="lv-LV"/>
              </w:rPr>
              <w:t>datu apmaiņas</w:t>
            </w:r>
            <w:r w:rsidR="00A60182" w:rsidRPr="009A05FB">
              <w:rPr>
                <w:rFonts w:ascii="Times New Roman" w:hAnsi="Times New Roman" w:cs="Times New Roman"/>
                <w:iCs/>
                <w:sz w:val="24"/>
                <w:szCs w:val="24"/>
                <w:lang w:eastAsia="lv-LV"/>
              </w:rPr>
              <w:t xml:space="preserve"> papīra formātā. </w:t>
            </w:r>
            <w:r w:rsidR="003C62B5" w:rsidRPr="009A05FB">
              <w:rPr>
                <w:rFonts w:ascii="Times New Roman" w:hAnsi="Times New Roman" w:cs="Times New Roman"/>
                <w:iCs/>
                <w:sz w:val="24"/>
                <w:szCs w:val="24"/>
                <w:lang w:eastAsia="lv-LV"/>
              </w:rPr>
              <w:t xml:space="preserve">Tāpat </w:t>
            </w:r>
            <w:r w:rsidR="00B43D9A" w:rsidRPr="009A05FB">
              <w:rPr>
                <w:rFonts w:ascii="Times New Roman" w:hAnsi="Times New Roman" w:cs="Times New Roman"/>
                <w:iCs/>
                <w:sz w:val="24"/>
                <w:szCs w:val="24"/>
                <w:lang w:eastAsia="lv-LV"/>
              </w:rPr>
              <w:t xml:space="preserve">LIA </w:t>
            </w:r>
            <w:r>
              <w:rPr>
                <w:rFonts w:ascii="Times New Roman" w:hAnsi="Times New Roman" w:cs="Times New Roman"/>
                <w:iCs/>
                <w:sz w:val="24"/>
                <w:szCs w:val="24"/>
                <w:lang w:eastAsia="lv-LV"/>
              </w:rPr>
              <w:t>norādīja</w:t>
            </w:r>
            <w:r w:rsidR="003C62B5" w:rsidRPr="009A05FB">
              <w:rPr>
                <w:rFonts w:ascii="Times New Roman" w:hAnsi="Times New Roman" w:cs="Times New Roman"/>
                <w:iCs/>
                <w:sz w:val="24"/>
                <w:szCs w:val="24"/>
                <w:lang w:eastAsia="lv-LV"/>
              </w:rPr>
              <w:t xml:space="preserve"> , ka </w:t>
            </w:r>
            <w:r w:rsidR="00B43D9A" w:rsidRPr="009A05FB">
              <w:rPr>
                <w:rFonts w:ascii="Times New Roman" w:hAnsi="Times New Roman" w:cs="Times New Roman"/>
                <w:iCs/>
                <w:sz w:val="24"/>
                <w:szCs w:val="24"/>
                <w:lang w:eastAsia="lv-LV"/>
              </w:rPr>
              <w:t>komersantam veicamās darbības pie datu izsniegšanas</w:t>
            </w:r>
            <w:r w:rsidR="00D62CCB" w:rsidRPr="009A05FB">
              <w:rPr>
                <w:rFonts w:ascii="Times New Roman" w:hAnsi="Times New Roman" w:cs="Times New Roman"/>
                <w:iCs/>
                <w:sz w:val="24"/>
                <w:szCs w:val="24"/>
                <w:lang w:eastAsia="lv-LV"/>
              </w:rPr>
              <w:t xml:space="preserve"> ir pārāk detalizētas</w:t>
            </w:r>
            <w:r w:rsidR="006F06DC" w:rsidRPr="009A05FB">
              <w:rPr>
                <w:rFonts w:ascii="Times New Roman" w:hAnsi="Times New Roman" w:cs="Times New Roman"/>
                <w:iCs/>
                <w:sz w:val="24"/>
                <w:szCs w:val="24"/>
                <w:lang w:eastAsia="lv-LV"/>
              </w:rPr>
              <w:t xml:space="preserve">. </w:t>
            </w:r>
            <w:r w:rsidR="009D01C2" w:rsidRPr="009A05FB">
              <w:rPr>
                <w:rFonts w:ascii="Times New Roman" w:hAnsi="Times New Roman" w:cs="Times New Roman"/>
                <w:iCs/>
                <w:sz w:val="24"/>
                <w:szCs w:val="24"/>
                <w:lang w:eastAsia="lv-LV"/>
              </w:rPr>
              <w:t>N</w:t>
            </w:r>
            <w:r w:rsidR="00B43D9A" w:rsidRPr="009A05FB">
              <w:rPr>
                <w:rFonts w:ascii="Times New Roman" w:hAnsi="Times New Roman" w:cs="Times New Roman"/>
                <w:iCs/>
                <w:sz w:val="24"/>
                <w:szCs w:val="24"/>
                <w:lang w:eastAsia="lv-LV"/>
              </w:rPr>
              <w:t xml:space="preserve">av precizēts, ko PTAC drīkst darīt ar saņemtajiem datiem un kādā termiņā. </w:t>
            </w:r>
            <w:r w:rsidR="00D62CCB" w:rsidRPr="009A05FB">
              <w:rPr>
                <w:rFonts w:ascii="Times New Roman" w:hAnsi="Times New Roman" w:cs="Times New Roman"/>
                <w:iCs/>
                <w:sz w:val="24"/>
                <w:szCs w:val="24"/>
                <w:lang w:eastAsia="lv-LV"/>
              </w:rPr>
              <w:t xml:space="preserve">LIA ieskatā arī </w:t>
            </w:r>
            <w:r w:rsidR="00B43D9A" w:rsidRPr="009A05FB">
              <w:rPr>
                <w:rFonts w:ascii="Times New Roman" w:hAnsi="Times New Roman" w:cs="Times New Roman"/>
                <w:iCs/>
                <w:sz w:val="24"/>
                <w:szCs w:val="24"/>
                <w:lang w:eastAsia="lv-LV"/>
              </w:rPr>
              <w:t>PTAC</w:t>
            </w:r>
            <w:r w:rsidR="00D62CCB" w:rsidRPr="009A05FB">
              <w:rPr>
                <w:rFonts w:ascii="Times New Roman" w:hAnsi="Times New Roman" w:cs="Times New Roman"/>
                <w:iCs/>
                <w:sz w:val="24"/>
                <w:szCs w:val="24"/>
                <w:lang w:eastAsia="lv-LV"/>
              </w:rPr>
              <w:t>,</w:t>
            </w:r>
            <w:r w:rsidR="00B43D9A" w:rsidRPr="009A05FB">
              <w:rPr>
                <w:rFonts w:ascii="Times New Roman" w:hAnsi="Times New Roman" w:cs="Times New Roman"/>
                <w:iCs/>
                <w:sz w:val="24"/>
                <w:szCs w:val="24"/>
                <w:lang w:eastAsia="lv-LV"/>
              </w:rPr>
              <w:t xml:space="preserve"> tāpat kā elektronisko sakaru komersantam</w:t>
            </w:r>
            <w:r w:rsidR="00D62CCB" w:rsidRPr="009A05FB">
              <w:rPr>
                <w:rFonts w:ascii="Times New Roman" w:hAnsi="Times New Roman" w:cs="Times New Roman"/>
                <w:iCs/>
                <w:sz w:val="24"/>
                <w:szCs w:val="24"/>
                <w:lang w:eastAsia="lv-LV"/>
              </w:rPr>
              <w:t>,</w:t>
            </w:r>
            <w:r w:rsidR="00B43D9A" w:rsidRPr="009A05FB">
              <w:rPr>
                <w:rFonts w:ascii="Times New Roman" w:hAnsi="Times New Roman" w:cs="Times New Roman"/>
                <w:iCs/>
                <w:sz w:val="24"/>
                <w:szCs w:val="24"/>
                <w:lang w:eastAsia="lv-LV"/>
              </w:rPr>
              <w:t xml:space="preserve"> jānodrošina, ka lietotājs vai abonents nepiekļūst noslodzes datiem, kā arī, ka saņemtie noslodzes dati netiek nodoti tālāk citām iestādēm. </w:t>
            </w:r>
          </w:p>
          <w:p w14:paraId="09010A0A" w14:textId="2C921572" w:rsidR="001B4D3B" w:rsidRDefault="00C825FC" w:rsidP="009A05FB">
            <w:pPr>
              <w:spacing w:after="0"/>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Ekonomikas ministrija secināja, ka komersantiem ir nepieciešams samērīgs pārejas periods, lai sagatavotos noteikumu izpildei, tādēļ tika noteikts, ka noteikumi stājas spēkā</w:t>
            </w:r>
            <w:r w:rsidR="000258AD">
              <w:rPr>
                <w:rFonts w:ascii="Times New Roman" w:hAnsi="Times New Roman" w:cs="Times New Roman"/>
                <w:iCs/>
                <w:sz w:val="24"/>
                <w:szCs w:val="24"/>
                <w:lang w:eastAsia="lv-LV"/>
              </w:rPr>
              <w:t xml:space="preserve"> 2019.gada</w:t>
            </w:r>
            <w:r>
              <w:rPr>
                <w:rFonts w:ascii="Times New Roman" w:hAnsi="Times New Roman" w:cs="Times New Roman"/>
                <w:iCs/>
                <w:sz w:val="24"/>
                <w:szCs w:val="24"/>
                <w:lang w:eastAsia="lv-LV"/>
              </w:rPr>
              <w:t xml:space="preserve"> 1.janvārī.</w:t>
            </w:r>
            <w:r w:rsidR="001B4D3B">
              <w:rPr>
                <w:rFonts w:ascii="Times New Roman" w:hAnsi="Times New Roman" w:cs="Times New Roman"/>
                <w:iCs/>
                <w:sz w:val="24"/>
                <w:szCs w:val="24"/>
                <w:lang w:eastAsia="lv-LV"/>
              </w:rPr>
              <w:t xml:space="preserve"> </w:t>
            </w:r>
            <w:r w:rsidR="00D62CCB" w:rsidRPr="009A05FB">
              <w:rPr>
                <w:rFonts w:ascii="Times New Roman" w:hAnsi="Times New Roman" w:cs="Times New Roman"/>
                <w:iCs/>
                <w:sz w:val="24"/>
                <w:szCs w:val="24"/>
                <w:lang w:eastAsia="lv-LV"/>
              </w:rPr>
              <w:t xml:space="preserve">Attiecībā uz papīra </w:t>
            </w:r>
            <w:r w:rsidR="00D62CCB" w:rsidRPr="009A05FB">
              <w:rPr>
                <w:rFonts w:ascii="Times New Roman" w:hAnsi="Times New Roman" w:cs="Times New Roman"/>
                <w:iCs/>
                <w:sz w:val="24"/>
                <w:szCs w:val="24"/>
                <w:lang w:eastAsia="lv-LV"/>
              </w:rPr>
              <w:lastRenderedPageBreak/>
              <w:t>formāta datu pieprasījumiem, norādāms, ka PTAC lielākoties plāno pieprasīt informāciju elektroniskā formā, taču var būt gadījumi, kad elektroniskā formāta datu apmaiņa ir ierobežota, tāpēc jāsaglabā iespēja sniegt informāciju arī papīra formātā</w:t>
            </w:r>
            <w:r w:rsidR="00863D4F">
              <w:rPr>
                <w:rFonts w:ascii="Times New Roman" w:hAnsi="Times New Roman" w:cs="Times New Roman"/>
                <w:iCs/>
                <w:sz w:val="24"/>
                <w:szCs w:val="24"/>
                <w:lang w:eastAsia="lv-LV"/>
              </w:rPr>
              <w:t xml:space="preserve"> līdz 2020.</w:t>
            </w:r>
            <w:r w:rsidR="001B4D3B">
              <w:rPr>
                <w:rFonts w:ascii="Times New Roman" w:hAnsi="Times New Roman" w:cs="Times New Roman"/>
                <w:iCs/>
                <w:sz w:val="24"/>
                <w:szCs w:val="24"/>
                <w:lang w:eastAsia="lv-LV"/>
              </w:rPr>
              <w:t xml:space="preserve">gada 1.janvārim, kad </w:t>
            </w:r>
            <w:r w:rsidR="001B4D3B">
              <w:rPr>
                <w:rFonts w:ascii="Times New Roman" w:hAnsi="Times New Roman"/>
                <w:iCs/>
                <w:sz w:val="24"/>
                <w:szCs w:val="24"/>
              </w:rPr>
              <w:t>o</w:t>
            </w:r>
            <w:r w:rsidR="001B4D3B" w:rsidRPr="004444C0">
              <w:rPr>
                <w:rFonts w:ascii="Times New Roman" w:hAnsi="Times New Roman"/>
                <w:iCs/>
                <w:sz w:val="24"/>
                <w:szCs w:val="24"/>
              </w:rPr>
              <w:t>ficiālās elektroniskās adreses</w:t>
            </w:r>
            <w:r w:rsidR="001B4D3B">
              <w:rPr>
                <w:rFonts w:ascii="Times New Roman" w:hAnsi="Times New Roman"/>
                <w:iCs/>
                <w:sz w:val="24"/>
                <w:szCs w:val="24"/>
              </w:rPr>
              <w:t xml:space="preserve"> izmantošana saziņā starp valsts pārvaldes iestādēm un reģistros reģistrētiem tiesību subjektiem kļūs par obligātu prasību</w:t>
            </w:r>
            <w:r w:rsidR="00D62CCB" w:rsidRPr="009A05FB">
              <w:rPr>
                <w:rFonts w:ascii="Times New Roman" w:hAnsi="Times New Roman" w:cs="Times New Roman"/>
                <w:iCs/>
                <w:sz w:val="24"/>
                <w:szCs w:val="24"/>
                <w:lang w:eastAsia="lv-LV"/>
              </w:rPr>
              <w:t xml:space="preserve">. </w:t>
            </w:r>
          </w:p>
          <w:p w14:paraId="0BAFC2C0" w14:textId="565B560D" w:rsidR="0059263E" w:rsidRPr="009A05FB" w:rsidRDefault="00595DA0" w:rsidP="009A05FB">
            <w:pPr>
              <w:spacing w:after="0"/>
              <w:jc w:val="both"/>
              <w:rPr>
                <w:rFonts w:ascii="Times New Roman" w:hAnsi="Times New Roman" w:cs="Times New Roman"/>
                <w:iCs/>
                <w:sz w:val="24"/>
                <w:szCs w:val="24"/>
                <w:lang w:eastAsia="lv-LV"/>
              </w:rPr>
            </w:pPr>
            <w:r w:rsidRPr="009A05FB">
              <w:rPr>
                <w:rFonts w:ascii="Times New Roman" w:hAnsi="Times New Roman" w:cs="Times New Roman"/>
                <w:iCs/>
                <w:sz w:val="24"/>
                <w:szCs w:val="24"/>
                <w:lang w:eastAsia="lv-LV"/>
              </w:rPr>
              <w:t>Attiecībā uz LIA iebildumu par PTAC</w:t>
            </w:r>
            <w:r w:rsidR="004F1140">
              <w:rPr>
                <w:rFonts w:ascii="Times New Roman" w:hAnsi="Times New Roman" w:cs="Times New Roman"/>
                <w:iCs/>
                <w:sz w:val="24"/>
                <w:szCs w:val="24"/>
                <w:lang w:eastAsia="lv-LV"/>
              </w:rPr>
              <w:t xml:space="preserve"> tiesībām izmantot iegūtos datu</w:t>
            </w:r>
            <w:r w:rsidRPr="009A05FB">
              <w:rPr>
                <w:rFonts w:ascii="Times New Roman" w:hAnsi="Times New Roman" w:cs="Times New Roman"/>
                <w:iCs/>
                <w:sz w:val="24"/>
                <w:szCs w:val="24"/>
                <w:lang w:eastAsia="lv-LV"/>
              </w:rPr>
              <w:t xml:space="preserve">s norādāms, ka </w:t>
            </w:r>
            <w:r w:rsidR="0078714F" w:rsidRPr="009A05FB">
              <w:rPr>
                <w:rFonts w:ascii="Times New Roman" w:hAnsi="Times New Roman" w:cs="Times New Roman"/>
                <w:iCs/>
                <w:sz w:val="24"/>
                <w:szCs w:val="24"/>
                <w:lang w:eastAsia="lv-LV"/>
              </w:rPr>
              <w:t>ESL 70.panta sestā daļa jau paredz, ka lietotājam vai abonentam nav tiesību piekļūt noslodzes datiem un izdarīt tajos labojumus.</w:t>
            </w:r>
            <w:r w:rsidRPr="009A05FB">
              <w:rPr>
                <w:rFonts w:ascii="Times New Roman" w:hAnsi="Times New Roman" w:cs="Times New Roman"/>
                <w:iCs/>
                <w:sz w:val="24"/>
                <w:szCs w:val="24"/>
                <w:lang w:eastAsia="lv-LV"/>
              </w:rPr>
              <w:t xml:space="preserve"> Tāpat </w:t>
            </w:r>
            <w:r w:rsidR="00DC2620" w:rsidRPr="009A05FB">
              <w:rPr>
                <w:rFonts w:ascii="Times New Roman" w:hAnsi="Times New Roman" w:cs="Times New Roman"/>
                <w:iCs/>
                <w:sz w:val="24"/>
                <w:szCs w:val="24"/>
                <w:lang w:eastAsia="lv-LV"/>
              </w:rPr>
              <w:t xml:space="preserve">ESL 70.panta astotajā </w:t>
            </w:r>
            <w:proofErr w:type="spellStart"/>
            <w:r w:rsidR="00DC2620" w:rsidRPr="009A05FB">
              <w:rPr>
                <w:rFonts w:ascii="Times New Roman" w:hAnsi="Times New Roman" w:cs="Times New Roman"/>
                <w:i/>
                <w:iCs/>
                <w:sz w:val="24"/>
                <w:szCs w:val="24"/>
                <w:lang w:eastAsia="lv-LV"/>
              </w:rPr>
              <w:t>prim</w:t>
            </w:r>
            <w:proofErr w:type="spellEnd"/>
            <w:r w:rsidR="00DC2620" w:rsidRPr="009A05FB">
              <w:rPr>
                <w:rFonts w:ascii="Times New Roman" w:hAnsi="Times New Roman" w:cs="Times New Roman"/>
                <w:iCs/>
                <w:sz w:val="24"/>
                <w:szCs w:val="24"/>
                <w:lang w:eastAsia="lv-LV"/>
              </w:rPr>
              <w:t xml:space="preserve"> daļa skaidri nosaka, kādiem nolūkiem PTAC drīkst pieprasīt datus no elektronisko sakaru komersantiem. Datu izmantošana citos nolūkos būtu pretrunā ESL noteiktajam.</w:t>
            </w:r>
          </w:p>
        </w:tc>
      </w:tr>
      <w:tr w:rsidR="003B3B46" w14:paraId="432348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9E2AF"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33A4264"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11E8F8" w14:textId="77777777" w:rsidR="00E5323B" w:rsidRPr="001529D9" w:rsidRDefault="0078714F" w:rsidP="001529D9">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Nav</w:t>
            </w:r>
          </w:p>
        </w:tc>
      </w:tr>
    </w:tbl>
    <w:p w14:paraId="3BA0A772" w14:textId="2DF97902" w:rsidR="00E5323B" w:rsidRPr="001529D9"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3B46" w14:paraId="6B7705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44978F" w14:textId="77777777" w:rsidR="00CD526E" w:rsidRPr="001529D9" w:rsidRDefault="0078714F" w:rsidP="001B6A66">
            <w:pPr>
              <w:spacing w:after="0" w:line="240" w:lineRule="auto"/>
              <w:jc w:val="center"/>
              <w:rPr>
                <w:rFonts w:ascii="Times New Roman" w:eastAsia="Times New Roman" w:hAnsi="Times New Roman" w:cs="Times New Roman"/>
                <w:b/>
                <w:bCs/>
                <w:iCs/>
                <w:sz w:val="24"/>
                <w:szCs w:val="24"/>
                <w:lang w:eastAsia="lv-LV"/>
              </w:rPr>
            </w:pPr>
            <w:r w:rsidRPr="001529D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3B46" w14:paraId="703980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2BC2D8"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DEBFA5"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6AFB5A"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rPr>
              <w:t>Ekonomikas ministrija, Patērētāju tiesību aizsardzības centrs.</w:t>
            </w:r>
          </w:p>
        </w:tc>
      </w:tr>
      <w:tr w:rsidR="003B3B46" w14:paraId="4B7811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01333C"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176A06"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Projekta izpildes ietekme uz pārvaldes funkcijām un institucionālo struktūru.</w:t>
            </w:r>
            <w:r w:rsidRPr="001529D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34B513B" w14:textId="5F91ECA0" w:rsidR="00E5323B" w:rsidRPr="001529D9" w:rsidRDefault="0078714F" w:rsidP="001529D9">
            <w:pPr>
              <w:spacing w:after="0" w:line="240" w:lineRule="auto"/>
              <w:jc w:val="both"/>
              <w:rPr>
                <w:rFonts w:ascii="Times New Roman" w:eastAsia="Times New Roman" w:hAnsi="Times New Roman" w:cs="Times New Roman"/>
                <w:iCs/>
                <w:sz w:val="24"/>
                <w:szCs w:val="24"/>
                <w:lang w:eastAsia="lv-LV"/>
              </w:rPr>
            </w:pPr>
            <w:r w:rsidRPr="001529D9">
              <w:rPr>
                <w:rFonts w:ascii="Times New Roman" w:hAnsi="Times New Roman" w:cs="Times New Roman"/>
                <w:sz w:val="24"/>
                <w:szCs w:val="24"/>
                <w:lang w:eastAsia="lv-LV"/>
              </w:rPr>
              <w:t xml:space="preserve">Pārvaldes funkcijas un institucionālā struktūra nemainās. Noteikumu projekts neparedz jaunu valsts institūciju izveidi, </w:t>
            </w:r>
            <w:r w:rsidRPr="001529D9">
              <w:rPr>
                <w:rFonts w:ascii="Times New Roman" w:hAnsi="Times New Roman" w:cs="Times New Roman"/>
                <w:sz w:val="24"/>
                <w:szCs w:val="24"/>
              </w:rPr>
              <w:t>esošu institūciju likvidāciju vai reorganizāciju, kā arī neatstāj ietekmi uz institūciju cilvēkresursiem</w:t>
            </w:r>
            <w:r w:rsidRPr="001529D9">
              <w:rPr>
                <w:rFonts w:ascii="Times New Roman" w:hAnsi="Times New Roman" w:cs="Times New Roman"/>
                <w:sz w:val="24"/>
                <w:szCs w:val="24"/>
                <w:lang w:eastAsia="lv-LV"/>
              </w:rPr>
              <w:t>.</w:t>
            </w:r>
          </w:p>
        </w:tc>
      </w:tr>
      <w:tr w:rsidR="003B3B46" w14:paraId="19427C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FCB58" w14:textId="77777777" w:rsidR="00CD526E"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68DAA5" w14:textId="77777777" w:rsidR="00E5323B" w:rsidRPr="001529D9" w:rsidRDefault="0078714F" w:rsidP="00E5323B">
            <w:pPr>
              <w:spacing w:after="0" w:line="240" w:lineRule="auto"/>
              <w:rPr>
                <w:rFonts w:ascii="Times New Roman" w:eastAsia="Times New Roman" w:hAnsi="Times New Roman" w:cs="Times New Roman"/>
                <w:iCs/>
                <w:sz w:val="24"/>
                <w:szCs w:val="24"/>
                <w:lang w:eastAsia="lv-LV"/>
              </w:rPr>
            </w:pPr>
            <w:r w:rsidRPr="001529D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98A018" w14:textId="7978878D" w:rsidR="00E5323B" w:rsidRPr="001529D9" w:rsidRDefault="00CA68B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6AA6FE7" w14:textId="77777777" w:rsidR="00C25B49" w:rsidRPr="001529D9" w:rsidRDefault="00C25B49" w:rsidP="00894C55">
      <w:pPr>
        <w:spacing w:after="0" w:line="240" w:lineRule="auto"/>
        <w:rPr>
          <w:rFonts w:ascii="Times New Roman" w:hAnsi="Times New Roman" w:cs="Times New Roman"/>
          <w:sz w:val="28"/>
          <w:szCs w:val="28"/>
        </w:rPr>
      </w:pPr>
    </w:p>
    <w:p w14:paraId="7393C283" w14:textId="14B31253" w:rsidR="00E5323B" w:rsidRDefault="00E5323B" w:rsidP="00894C55">
      <w:pPr>
        <w:spacing w:after="0" w:line="240" w:lineRule="auto"/>
        <w:rPr>
          <w:rFonts w:ascii="Times New Roman" w:hAnsi="Times New Roman" w:cs="Times New Roman"/>
          <w:sz w:val="28"/>
          <w:szCs w:val="28"/>
        </w:rPr>
      </w:pPr>
    </w:p>
    <w:p w14:paraId="3153B2C8" w14:textId="77777777" w:rsidR="00D55B15" w:rsidRDefault="0078714F" w:rsidP="00D55B15">
      <w:pPr>
        <w:tabs>
          <w:tab w:val="left" w:pos="6804"/>
        </w:tabs>
        <w:spacing w:after="0"/>
        <w:rPr>
          <w:rFonts w:ascii="Times New Roman" w:hAnsi="Times New Roman" w:cs="Times New Roman"/>
          <w:sz w:val="24"/>
          <w:szCs w:val="24"/>
        </w:rPr>
      </w:pPr>
      <w:r w:rsidRPr="00D55B15">
        <w:rPr>
          <w:rFonts w:ascii="Times New Roman" w:hAnsi="Times New Roman" w:cs="Times New Roman"/>
          <w:sz w:val="24"/>
          <w:szCs w:val="24"/>
        </w:rPr>
        <w:t>Ministru prezidenta biedrs,</w:t>
      </w:r>
    </w:p>
    <w:p w14:paraId="59934B15" w14:textId="3553009F" w:rsidR="001529D9" w:rsidRPr="001529D9" w:rsidRDefault="0078714F" w:rsidP="00D55B15">
      <w:pPr>
        <w:tabs>
          <w:tab w:val="left" w:pos="6804"/>
        </w:tabs>
        <w:spacing w:after="0"/>
        <w:rPr>
          <w:rFonts w:ascii="Times New Roman" w:hAnsi="Times New Roman" w:cs="Times New Roman"/>
          <w:sz w:val="24"/>
          <w:szCs w:val="24"/>
        </w:rPr>
      </w:pPr>
      <w:r w:rsidRPr="00D55B15">
        <w:rPr>
          <w:rFonts w:ascii="Times New Roman" w:hAnsi="Times New Roman" w:cs="Times New Roman"/>
          <w:sz w:val="24"/>
          <w:szCs w:val="24"/>
        </w:rPr>
        <w:t>ekonomikas ministrs</w:t>
      </w:r>
      <w:r w:rsidRPr="00D55B15">
        <w:rPr>
          <w:rFonts w:ascii="Times New Roman" w:hAnsi="Times New Roman" w:cs="Times New Roman"/>
          <w:sz w:val="24"/>
          <w:szCs w:val="24"/>
        </w:rPr>
        <w:tab/>
        <w:t>A. Ašeradens</w:t>
      </w:r>
    </w:p>
    <w:p w14:paraId="02B45A7F" w14:textId="77777777" w:rsidR="001529D9" w:rsidRPr="001529D9" w:rsidRDefault="001529D9" w:rsidP="00D55B15">
      <w:pPr>
        <w:tabs>
          <w:tab w:val="left" w:pos="6237"/>
          <w:tab w:val="left" w:pos="6804"/>
        </w:tabs>
        <w:spacing w:after="0"/>
        <w:rPr>
          <w:rFonts w:ascii="Times New Roman" w:hAnsi="Times New Roman" w:cs="Times New Roman"/>
          <w:bCs/>
          <w:sz w:val="24"/>
          <w:szCs w:val="24"/>
        </w:rPr>
      </w:pPr>
    </w:p>
    <w:p w14:paraId="5C0062E5" w14:textId="77777777" w:rsidR="001529D9" w:rsidRPr="001529D9" w:rsidRDefault="001529D9" w:rsidP="00D55B15">
      <w:pPr>
        <w:tabs>
          <w:tab w:val="left" w:pos="6237"/>
          <w:tab w:val="left" w:pos="6804"/>
        </w:tabs>
        <w:spacing w:after="0"/>
        <w:rPr>
          <w:rFonts w:ascii="Times New Roman" w:hAnsi="Times New Roman" w:cs="Times New Roman"/>
          <w:bCs/>
          <w:sz w:val="24"/>
          <w:szCs w:val="24"/>
        </w:rPr>
      </w:pPr>
    </w:p>
    <w:p w14:paraId="0ED94BCB" w14:textId="77777777" w:rsidR="00D55B15" w:rsidRDefault="0078714F" w:rsidP="00D55B15">
      <w:pPr>
        <w:tabs>
          <w:tab w:val="left" w:pos="6804"/>
        </w:tabs>
        <w:spacing w:after="0"/>
        <w:jc w:val="both"/>
        <w:rPr>
          <w:rFonts w:ascii="Times New Roman" w:hAnsi="Times New Roman" w:cs="Times New Roman"/>
          <w:bCs/>
          <w:sz w:val="24"/>
          <w:szCs w:val="24"/>
        </w:rPr>
      </w:pPr>
      <w:r w:rsidRPr="001529D9">
        <w:rPr>
          <w:rFonts w:ascii="Times New Roman" w:hAnsi="Times New Roman" w:cs="Times New Roman"/>
          <w:bCs/>
          <w:sz w:val="24"/>
          <w:szCs w:val="24"/>
        </w:rPr>
        <w:t>Vīza:</w:t>
      </w:r>
    </w:p>
    <w:p w14:paraId="15DEE435" w14:textId="16DA4EE2" w:rsidR="001529D9" w:rsidRPr="001529D9" w:rsidRDefault="0078714F" w:rsidP="00D55B15">
      <w:pPr>
        <w:tabs>
          <w:tab w:val="left" w:pos="6804"/>
        </w:tabs>
        <w:spacing w:after="0"/>
        <w:jc w:val="both"/>
        <w:rPr>
          <w:rFonts w:ascii="Times New Roman" w:hAnsi="Times New Roman" w:cs="Times New Roman"/>
          <w:sz w:val="24"/>
          <w:szCs w:val="24"/>
        </w:rPr>
      </w:pPr>
      <w:r w:rsidRPr="001529D9">
        <w:rPr>
          <w:rFonts w:ascii="Times New Roman" w:hAnsi="Times New Roman" w:cs="Times New Roman"/>
          <w:bCs/>
          <w:sz w:val="24"/>
          <w:szCs w:val="24"/>
        </w:rPr>
        <w:t xml:space="preserve">Valsts sekretārs </w:t>
      </w:r>
      <w:r w:rsidRPr="001529D9">
        <w:rPr>
          <w:rFonts w:ascii="Times New Roman" w:hAnsi="Times New Roman" w:cs="Times New Roman"/>
          <w:bCs/>
          <w:sz w:val="24"/>
          <w:szCs w:val="24"/>
        </w:rPr>
        <w:tab/>
        <w:t>Ē. Eglītis</w:t>
      </w:r>
    </w:p>
    <w:p w14:paraId="22E576C9" w14:textId="77777777" w:rsidR="001529D9" w:rsidRPr="001529D9" w:rsidRDefault="001529D9" w:rsidP="001529D9">
      <w:pPr>
        <w:spacing w:after="0"/>
        <w:jc w:val="both"/>
        <w:rPr>
          <w:rFonts w:ascii="Times New Roman" w:hAnsi="Times New Roman" w:cs="Times New Roman"/>
          <w:sz w:val="24"/>
          <w:szCs w:val="24"/>
        </w:rPr>
      </w:pPr>
    </w:p>
    <w:p w14:paraId="580AB2F7" w14:textId="77777777" w:rsidR="001529D9" w:rsidRPr="001529D9" w:rsidRDefault="001529D9" w:rsidP="001529D9">
      <w:pPr>
        <w:spacing w:after="0"/>
        <w:jc w:val="both"/>
        <w:rPr>
          <w:rFonts w:ascii="Times New Roman" w:hAnsi="Times New Roman" w:cs="Times New Roman"/>
          <w:sz w:val="24"/>
          <w:szCs w:val="24"/>
        </w:rPr>
      </w:pPr>
    </w:p>
    <w:p w14:paraId="2D80A58B" w14:textId="77777777" w:rsidR="001529D9" w:rsidRPr="001529D9" w:rsidRDefault="001529D9" w:rsidP="001529D9">
      <w:pPr>
        <w:spacing w:after="0"/>
        <w:jc w:val="both"/>
        <w:rPr>
          <w:rFonts w:ascii="Times New Roman" w:hAnsi="Times New Roman" w:cs="Times New Roman"/>
          <w:sz w:val="24"/>
          <w:szCs w:val="24"/>
        </w:rPr>
      </w:pPr>
    </w:p>
    <w:p w14:paraId="3B5B89FB" w14:textId="77777777" w:rsidR="001529D9" w:rsidRPr="001529D9" w:rsidRDefault="0078714F" w:rsidP="001529D9">
      <w:pPr>
        <w:spacing w:after="0"/>
        <w:jc w:val="both"/>
        <w:rPr>
          <w:rFonts w:ascii="Times New Roman" w:hAnsi="Times New Roman" w:cs="Times New Roman"/>
          <w:sz w:val="20"/>
          <w:szCs w:val="20"/>
        </w:rPr>
      </w:pPr>
      <w:r w:rsidRPr="001529D9">
        <w:rPr>
          <w:rFonts w:ascii="Times New Roman" w:hAnsi="Times New Roman" w:cs="Times New Roman"/>
          <w:sz w:val="20"/>
          <w:szCs w:val="20"/>
        </w:rPr>
        <w:t>Latišenko, 67013230</w:t>
      </w:r>
    </w:p>
    <w:p w14:paraId="602D428E" w14:textId="4238D8CB" w:rsidR="00894C55" w:rsidRPr="001529D9" w:rsidRDefault="00041197" w:rsidP="00A4026A">
      <w:pPr>
        <w:spacing w:after="0"/>
        <w:jc w:val="both"/>
        <w:rPr>
          <w:rFonts w:ascii="Times New Roman" w:hAnsi="Times New Roman" w:cs="Times New Roman"/>
          <w:sz w:val="24"/>
          <w:szCs w:val="28"/>
        </w:rPr>
      </w:pPr>
      <w:hyperlink r:id="rId8" w:history="1">
        <w:r w:rsidR="001529D9" w:rsidRPr="001529D9">
          <w:rPr>
            <w:rStyle w:val="Hyperlink"/>
            <w:rFonts w:ascii="Times New Roman" w:hAnsi="Times New Roman" w:cs="Times New Roman"/>
            <w:color w:val="auto"/>
            <w:sz w:val="20"/>
            <w:szCs w:val="20"/>
          </w:rPr>
          <w:t>Arnis.Latisenko@em.gov.lv</w:t>
        </w:r>
      </w:hyperlink>
    </w:p>
    <w:sectPr w:rsidR="00894C55" w:rsidRPr="001529D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442C" w14:textId="77777777" w:rsidR="00041197" w:rsidRDefault="00041197">
      <w:pPr>
        <w:spacing w:after="0" w:line="240" w:lineRule="auto"/>
      </w:pPr>
      <w:r>
        <w:separator/>
      </w:r>
    </w:p>
  </w:endnote>
  <w:endnote w:type="continuationSeparator" w:id="0">
    <w:p w14:paraId="447C938F" w14:textId="77777777" w:rsidR="00041197" w:rsidRDefault="0004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44F6A" w14:textId="77777777" w:rsidR="00894C55" w:rsidRPr="004164A0" w:rsidRDefault="0078714F" w:rsidP="004164A0">
    <w:pPr>
      <w:pStyle w:val="Footer"/>
      <w:rPr>
        <w:rFonts w:ascii="Times New Roman" w:hAnsi="Times New Roman" w:cs="Times New Roman"/>
        <w:sz w:val="20"/>
        <w:szCs w:val="20"/>
      </w:rPr>
    </w:pPr>
    <w:r w:rsidRPr="004164A0">
      <w:rPr>
        <w:rFonts w:ascii="Times New Roman" w:hAnsi="Times New Roman" w:cs="Times New Roman"/>
        <w:sz w:val="20"/>
        <w:szCs w:val="20"/>
      </w:rPr>
      <w:t xml:space="preserve">EMAnot_180618_noslodze.docx; Ministru kabineta noteikumu projekta “Kārtība, kādā Patērētāju tiesību aizsardzības centrs pieprasa un elektronisko sakaru komersants nodod noslodzes datus” </w:t>
    </w:r>
    <w:r w:rsidRPr="004164A0">
      <w:rPr>
        <w:rFonts w:ascii="Times New Roman" w:hAnsi="Times New Roman" w:cs="Times New Roman"/>
        <w:bCs/>
        <w:sz w:val="20"/>
        <w:szCs w:val="20"/>
      </w:rPr>
      <w:t>sākotnējās ietekmes novērtējuma ziņojums (anotācija</w:t>
    </w:r>
    <w:r w:rsidRPr="004164A0">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187D" w14:textId="77777777" w:rsidR="009A2654" w:rsidRPr="004164A0" w:rsidRDefault="0078714F" w:rsidP="004164A0">
    <w:pPr>
      <w:pStyle w:val="Footer"/>
      <w:rPr>
        <w:rFonts w:ascii="Times New Roman" w:hAnsi="Times New Roman" w:cs="Times New Roman"/>
        <w:sz w:val="20"/>
        <w:szCs w:val="20"/>
      </w:rPr>
    </w:pPr>
    <w:r w:rsidRPr="004164A0">
      <w:rPr>
        <w:rFonts w:ascii="Times New Roman" w:hAnsi="Times New Roman" w:cs="Times New Roman"/>
        <w:sz w:val="20"/>
        <w:szCs w:val="20"/>
      </w:rPr>
      <w:t xml:space="preserve">EMAnot_180618_noslodze.docx; Ministru kabineta noteikumu projekta “Kārtība, kādā Patērētāju tiesību aizsardzības centrs pieprasa un elektronisko sakaru komersants nodod noslodzes datus” </w:t>
    </w:r>
    <w:r w:rsidRPr="004164A0">
      <w:rPr>
        <w:rFonts w:ascii="Times New Roman" w:hAnsi="Times New Roman" w:cs="Times New Roman"/>
        <w:bCs/>
        <w:sz w:val="20"/>
        <w:szCs w:val="20"/>
      </w:rPr>
      <w:t>sākotnējās ietekmes novērtējuma ziņojums (anotācija</w:t>
    </w:r>
    <w:r w:rsidRPr="004164A0">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29D33" w14:textId="77777777" w:rsidR="00041197" w:rsidRDefault="00041197">
      <w:pPr>
        <w:spacing w:after="0" w:line="240" w:lineRule="auto"/>
      </w:pPr>
      <w:r>
        <w:separator/>
      </w:r>
    </w:p>
  </w:footnote>
  <w:footnote w:type="continuationSeparator" w:id="0">
    <w:p w14:paraId="7B936F62" w14:textId="77777777" w:rsidR="00041197" w:rsidRDefault="0004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060475"/>
      <w:docPartObj>
        <w:docPartGallery w:val="Page Numbers (Top of Page)"/>
        <w:docPartUnique/>
      </w:docPartObj>
    </w:sdtPr>
    <w:sdtEndPr>
      <w:rPr>
        <w:rFonts w:ascii="Times New Roman" w:hAnsi="Times New Roman" w:cs="Times New Roman"/>
        <w:noProof/>
        <w:sz w:val="24"/>
        <w:szCs w:val="20"/>
      </w:rPr>
    </w:sdtEndPr>
    <w:sdtContent>
      <w:p w14:paraId="1E63B997" w14:textId="5BD26CAB" w:rsidR="00894C55" w:rsidRPr="00C25B49" w:rsidRDefault="0078714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259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482244"/>
    <w:multiLevelType w:val="hybridMultilevel"/>
    <w:tmpl w:val="28E08E62"/>
    <w:lvl w:ilvl="0" w:tplc="57F6C8F0">
      <w:numFmt w:val="bullet"/>
      <w:lvlText w:val="-"/>
      <w:lvlJc w:val="left"/>
      <w:pPr>
        <w:ind w:left="360" w:hanging="360"/>
      </w:pPr>
      <w:rPr>
        <w:rFonts w:ascii="Times New Roman" w:eastAsia="Times New Roman" w:hAnsi="Times New Roman" w:cs="Times New Roman" w:hint="default"/>
      </w:rPr>
    </w:lvl>
    <w:lvl w:ilvl="1" w:tplc="3A0A0EA4" w:tentative="1">
      <w:start w:val="1"/>
      <w:numFmt w:val="bullet"/>
      <w:lvlText w:val="o"/>
      <w:lvlJc w:val="left"/>
      <w:pPr>
        <w:ind w:left="1440" w:hanging="360"/>
      </w:pPr>
      <w:rPr>
        <w:rFonts w:ascii="Courier New" w:hAnsi="Courier New" w:cs="Courier New" w:hint="default"/>
      </w:rPr>
    </w:lvl>
    <w:lvl w:ilvl="2" w:tplc="02C0EAD0" w:tentative="1">
      <w:start w:val="1"/>
      <w:numFmt w:val="bullet"/>
      <w:lvlText w:val=""/>
      <w:lvlJc w:val="left"/>
      <w:pPr>
        <w:ind w:left="2160" w:hanging="360"/>
      </w:pPr>
      <w:rPr>
        <w:rFonts w:ascii="Wingdings" w:hAnsi="Wingdings" w:hint="default"/>
      </w:rPr>
    </w:lvl>
    <w:lvl w:ilvl="3" w:tplc="B47A30E0" w:tentative="1">
      <w:start w:val="1"/>
      <w:numFmt w:val="bullet"/>
      <w:lvlText w:val=""/>
      <w:lvlJc w:val="left"/>
      <w:pPr>
        <w:ind w:left="2880" w:hanging="360"/>
      </w:pPr>
      <w:rPr>
        <w:rFonts w:ascii="Symbol" w:hAnsi="Symbol" w:hint="default"/>
      </w:rPr>
    </w:lvl>
    <w:lvl w:ilvl="4" w:tplc="63669720" w:tentative="1">
      <w:start w:val="1"/>
      <w:numFmt w:val="bullet"/>
      <w:lvlText w:val="o"/>
      <w:lvlJc w:val="left"/>
      <w:pPr>
        <w:ind w:left="3600" w:hanging="360"/>
      </w:pPr>
      <w:rPr>
        <w:rFonts w:ascii="Courier New" w:hAnsi="Courier New" w:cs="Courier New" w:hint="default"/>
      </w:rPr>
    </w:lvl>
    <w:lvl w:ilvl="5" w:tplc="38D246E6" w:tentative="1">
      <w:start w:val="1"/>
      <w:numFmt w:val="bullet"/>
      <w:lvlText w:val=""/>
      <w:lvlJc w:val="left"/>
      <w:pPr>
        <w:ind w:left="4320" w:hanging="360"/>
      </w:pPr>
      <w:rPr>
        <w:rFonts w:ascii="Wingdings" w:hAnsi="Wingdings" w:hint="default"/>
      </w:rPr>
    </w:lvl>
    <w:lvl w:ilvl="6" w:tplc="557E20A6" w:tentative="1">
      <w:start w:val="1"/>
      <w:numFmt w:val="bullet"/>
      <w:lvlText w:val=""/>
      <w:lvlJc w:val="left"/>
      <w:pPr>
        <w:ind w:left="5040" w:hanging="360"/>
      </w:pPr>
      <w:rPr>
        <w:rFonts w:ascii="Symbol" w:hAnsi="Symbol" w:hint="default"/>
      </w:rPr>
    </w:lvl>
    <w:lvl w:ilvl="7" w:tplc="E09419F0" w:tentative="1">
      <w:start w:val="1"/>
      <w:numFmt w:val="bullet"/>
      <w:lvlText w:val="o"/>
      <w:lvlJc w:val="left"/>
      <w:pPr>
        <w:ind w:left="5760" w:hanging="360"/>
      </w:pPr>
      <w:rPr>
        <w:rFonts w:ascii="Courier New" w:hAnsi="Courier New" w:cs="Courier New" w:hint="default"/>
      </w:rPr>
    </w:lvl>
    <w:lvl w:ilvl="8" w:tplc="85B61E3C" w:tentative="1">
      <w:start w:val="1"/>
      <w:numFmt w:val="bullet"/>
      <w:lvlText w:val=""/>
      <w:lvlJc w:val="left"/>
      <w:pPr>
        <w:ind w:left="6480" w:hanging="360"/>
      </w:pPr>
      <w:rPr>
        <w:rFonts w:ascii="Wingdings" w:hAnsi="Wingdings" w:hint="default"/>
      </w:rPr>
    </w:lvl>
  </w:abstractNum>
  <w:abstractNum w:abstractNumId="1" w15:restartNumberingAfterBreak="1">
    <w:nsid w:val="21501F4B"/>
    <w:multiLevelType w:val="hybridMultilevel"/>
    <w:tmpl w:val="3B0E0690"/>
    <w:lvl w:ilvl="0" w:tplc="717C2F56">
      <w:start w:val="1"/>
      <w:numFmt w:val="decimal"/>
      <w:lvlText w:val="%1)"/>
      <w:lvlJc w:val="left"/>
      <w:pPr>
        <w:ind w:left="720" w:hanging="360"/>
      </w:pPr>
      <w:rPr>
        <w:rFonts w:hint="default"/>
      </w:rPr>
    </w:lvl>
    <w:lvl w:ilvl="1" w:tplc="43DE1308" w:tentative="1">
      <w:start w:val="1"/>
      <w:numFmt w:val="lowerLetter"/>
      <w:lvlText w:val="%2."/>
      <w:lvlJc w:val="left"/>
      <w:pPr>
        <w:ind w:left="1440" w:hanging="360"/>
      </w:pPr>
    </w:lvl>
    <w:lvl w:ilvl="2" w:tplc="5D3C250E" w:tentative="1">
      <w:start w:val="1"/>
      <w:numFmt w:val="lowerRoman"/>
      <w:lvlText w:val="%3."/>
      <w:lvlJc w:val="right"/>
      <w:pPr>
        <w:ind w:left="2160" w:hanging="180"/>
      </w:pPr>
    </w:lvl>
    <w:lvl w:ilvl="3" w:tplc="DAFCB35C" w:tentative="1">
      <w:start w:val="1"/>
      <w:numFmt w:val="decimal"/>
      <w:lvlText w:val="%4."/>
      <w:lvlJc w:val="left"/>
      <w:pPr>
        <w:ind w:left="2880" w:hanging="360"/>
      </w:pPr>
    </w:lvl>
    <w:lvl w:ilvl="4" w:tplc="4B42A03C" w:tentative="1">
      <w:start w:val="1"/>
      <w:numFmt w:val="lowerLetter"/>
      <w:lvlText w:val="%5."/>
      <w:lvlJc w:val="left"/>
      <w:pPr>
        <w:ind w:left="3600" w:hanging="360"/>
      </w:pPr>
    </w:lvl>
    <w:lvl w:ilvl="5" w:tplc="8A02D718" w:tentative="1">
      <w:start w:val="1"/>
      <w:numFmt w:val="lowerRoman"/>
      <w:lvlText w:val="%6."/>
      <w:lvlJc w:val="right"/>
      <w:pPr>
        <w:ind w:left="4320" w:hanging="180"/>
      </w:pPr>
    </w:lvl>
    <w:lvl w:ilvl="6" w:tplc="35A8B59E" w:tentative="1">
      <w:start w:val="1"/>
      <w:numFmt w:val="decimal"/>
      <w:lvlText w:val="%7."/>
      <w:lvlJc w:val="left"/>
      <w:pPr>
        <w:ind w:left="5040" w:hanging="360"/>
      </w:pPr>
    </w:lvl>
    <w:lvl w:ilvl="7" w:tplc="164A6020" w:tentative="1">
      <w:start w:val="1"/>
      <w:numFmt w:val="lowerLetter"/>
      <w:lvlText w:val="%8."/>
      <w:lvlJc w:val="left"/>
      <w:pPr>
        <w:ind w:left="5760" w:hanging="360"/>
      </w:pPr>
    </w:lvl>
    <w:lvl w:ilvl="8" w:tplc="12DCEED0" w:tentative="1">
      <w:start w:val="1"/>
      <w:numFmt w:val="lowerRoman"/>
      <w:lvlText w:val="%9."/>
      <w:lvlJc w:val="right"/>
      <w:pPr>
        <w:ind w:left="6480" w:hanging="180"/>
      </w:pPr>
    </w:lvl>
  </w:abstractNum>
  <w:abstractNum w:abstractNumId="2" w15:restartNumberingAfterBreak="1">
    <w:nsid w:val="6FB4247F"/>
    <w:multiLevelType w:val="hybridMultilevel"/>
    <w:tmpl w:val="3AC4027C"/>
    <w:lvl w:ilvl="0" w:tplc="592694B8">
      <w:start w:val="1"/>
      <w:numFmt w:val="decimal"/>
      <w:lvlText w:val="%1."/>
      <w:lvlJc w:val="left"/>
      <w:pPr>
        <w:ind w:left="360" w:hanging="360"/>
      </w:pPr>
      <w:rPr>
        <w:rFonts w:hint="default"/>
      </w:rPr>
    </w:lvl>
    <w:lvl w:ilvl="1" w:tplc="E0E65D34" w:tentative="1">
      <w:start w:val="1"/>
      <w:numFmt w:val="lowerLetter"/>
      <w:lvlText w:val="%2."/>
      <w:lvlJc w:val="left"/>
      <w:pPr>
        <w:ind w:left="1080" w:hanging="360"/>
      </w:pPr>
    </w:lvl>
    <w:lvl w:ilvl="2" w:tplc="E8E2AF5A" w:tentative="1">
      <w:start w:val="1"/>
      <w:numFmt w:val="lowerRoman"/>
      <w:lvlText w:val="%3."/>
      <w:lvlJc w:val="right"/>
      <w:pPr>
        <w:ind w:left="1800" w:hanging="180"/>
      </w:pPr>
    </w:lvl>
    <w:lvl w:ilvl="3" w:tplc="8B5EFD78" w:tentative="1">
      <w:start w:val="1"/>
      <w:numFmt w:val="decimal"/>
      <w:lvlText w:val="%4."/>
      <w:lvlJc w:val="left"/>
      <w:pPr>
        <w:ind w:left="2520" w:hanging="360"/>
      </w:pPr>
    </w:lvl>
    <w:lvl w:ilvl="4" w:tplc="67025356" w:tentative="1">
      <w:start w:val="1"/>
      <w:numFmt w:val="lowerLetter"/>
      <w:lvlText w:val="%5."/>
      <w:lvlJc w:val="left"/>
      <w:pPr>
        <w:ind w:left="3240" w:hanging="360"/>
      </w:pPr>
    </w:lvl>
    <w:lvl w:ilvl="5" w:tplc="9176C634" w:tentative="1">
      <w:start w:val="1"/>
      <w:numFmt w:val="lowerRoman"/>
      <w:lvlText w:val="%6."/>
      <w:lvlJc w:val="right"/>
      <w:pPr>
        <w:ind w:left="3960" w:hanging="180"/>
      </w:pPr>
    </w:lvl>
    <w:lvl w:ilvl="6" w:tplc="2CA06396" w:tentative="1">
      <w:start w:val="1"/>
      <w:numFmt w:val="decimal"/>
      <w:lvlText w:val="%7."/>
      <w:lvlJc w:val="left"/>
      <w:pPr>
        <w:ind w:left="4680" w:hanging="360"/>
      </w:pPr>
    </w:lvl>
    <w:lvl w:ilvl="7" w:tplc="FD289368" w:tentative="1">
      <w:start w:val="1"/>
      <w:numFmt w:val="lowerLetter"/>
      <w:lvlText w:val="%8."/>
      <w:lvlJc w:val="left"/>
      <w:pPr>
        <w:ind w:left="5400" w:hanging="360"/>
      </w:pPr>
    </w:lvl>
    <w:lvl w:ilvl="8" w:tplc="6B7AA71C"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E0"/>
    <w:rsid w:val="000258AD"/>
    <w:rsid w:val="0003178F"/>
    <w:rsid w:val="00035382"/>
    <w:rsid w:val="00041197"/>
    <w:rsid w:val="00044B18"/>
    <w:rsid w:val="000B51C7"/>
    <w:rsid w:val="000B7A78"/>
    <w:rsid w:val="000C2B4F"/>
    <w:rsid w:val="000C3AF7"/>
    <w:rsid w:val="000D2BA0"/>
    <w:rsid w:val="000D6E1C"/>
    <w:rsid w:val="00125F9C"/>
    <w:rsid w:val="0014116D"/>
    <w:rsid w:val="001529D9"/>
    <w:rsid w:val="0016280A"/>
    <w:rsid w:val="0018653B"/>
    <w:rsid w:val="001B4D3B"/>
    <w:rsid w:val="001B6A66"/>
    <w:rsid w:val="001D408A"/>
    <w:rsid w:val="001E5B32"/>
    <w:rsid w:val="001E5F17"/>
    <w:rsid w:val="001F7688"/>
    <w:rsid w:val="002041F4"/>
    <w:rsid w:val="00235320"/>
    <w:rsid w:val="00243426"/>
    <w:rsid w:val="002659C6"/>
    <w:rsid w:val="00275414"/>
    <w:rsid w:val="00283A7B"/>
    <w:rsid w:val="002A5D8B"/>
    <w:rsid w:val="002C4E7E"/>
    <w:rsid w:val="002E1C05"/>
    <w:rsid w:val="002E426A"/>
    <w:rsid w:val="002E44D2"/>
    <w:rsid w:val="003055BB"/>
    <w:rsid w:val="00307D29"/>
    <w:rsid w:val="00316D1E"/>
    <w:rsid w:val="00331364"/>
    <w:rsid w:val="00336127"/>
    <w:rsid w:val="003373DD"/>
    <w:rsid w:val="003804D4"/>
    <w:rsid w:val="003A16DD"/>
    <w:rsid w:val="003B088D"/>
    <w:rsid w:val="003B0BF9"/>
    <w:rsid w:val="003B3B46"/>
    <w:rsid w:val="003C4211"/>
    <w:rsid w:val="003C62B5"/>
    <w:rsid w:val="003D5490"/>
    <w:rsid w:val="003D6CE0"/>
    <w:rsid w:val="003E0791"/>
    <w:rsid w:val="003F28AC"/>
    <w:rsid w:val="003F5531"/>
    <w:rsid w:val="004164A0"/>
    <w:rsid w:val="004444C0"/>
    <w:rsid w:val="004454FE"/>
    <w:rsid w:val="00454A69"/>
    <w:rsid w:val="00456E40"/>
    <w:rsid w:val="00467407"/>
    <w:rsid w:val="00471DB2"/>
    <w:rsid w:val="00471F27"/>
    <w:rsid w:val="004A4A2B"/>
    <w:rsid w:val="004D4FFA"/>
    <w:rsid w:val="004D773F"/>
    <w:rsid w:val="004E49BD"/>
    <w:rsid w:val="004F1140"/>
    <w:rsid w:val="004F4749"/>
    <w:rsid w:val="0050178F"/>
    <w:rsid w:val="00527715"/>
    <w:rsid w:val="00542CA8"/>
    <w:rsid w:val="0054530F"/>
    <w:rsid w:val="00550B6A"/>
    <w:rsid w:val="0055337B"/>
    <w:rsid w:val="00571C7E"/>
    <w:rsid w:val="00576799"/>
    <w:rsid w:val="00584EE3"/>
    <w:rsid w:val="0059263E"/>
    <w:rsid w:val="00595DA0"/>
    <w:rsid w:val="005C137F"/>
    <w:rsid w:val="005C7CC0"/>
    <w:rsid w:val="005E282E"/>
    <w:rsid w:val="005F1491"/>
    <w:rsid w:val="005F5C40"/>
    <w:rsid w:val="00600A6D"/>
    <w:rsid w:val="00615852"/>
    <w:rsid w:val="00621FD1"/>
    <w:rsid w:val="00630769"/>
    <w:rsid w:val="006429F5"/>
    <w:rsid w:val="006464F5"/>
    <w:rsid w:val="00647D1B"/>
    <w:rsid w:val="00652FB6"/>
    <w:rsid w:val="0065470B"/>
    <w:rsid w:val="00662F14"/>
    <w:rsid w:val="00685487"/>
    <w:rsid w:val="00694541"/>
    <w:rsid w:val="006A441E"/>
    <w:rsid w:val="006B19C3"/>
    <w:rsid w:val="006B6857"/>
    <w:rsid w:val="006E1081"/>
    <w:rsid w:val="006E5469"/>
    <w:rsid w:val="006E60AD"/>
    <w:rsid w:val="006E78B4"/>
    <w:rsid w:val="006F06DC"/>
    <w:rsid w:val="006F2D1D"/>
    <w:rsid w:val="00703D96"/>
    <w:rsid w:val="0070495B"/>
    <w:rsid w:val="00720585"/>
    <w:rsid w:val="0072259D"/>
    <w:rsid w:val="00731480"/>
    <w:rsid w:val="00773AF6"/>
    <w:rsid w:val="0078714F"/>
    <w:rsid w:val="00795F71"/>
    <w:rsid w:val="007B7325"/>
    <w:rsid w:val="007D313B"/>
    <w:rsid w:val="007E239E"/>
    <w:rsid w:val="007E41B2"/>
    <w:rsid w:val="007E73AB"/>
    <w:rsid w:val="007F7B03"/>
    <w:rsid w:val="00816C11"/>
    <w:rsid w:val="008212CD"/>
    <w:rsid w:val="0082311B"/>
    <w:rsid w:val="00837230"/>
    <w:rsid w:val="00844F66"/>
    <w:rsid w:val="00863D4F"/>
    <w:rsid w:val="00894C55"/>
    <w:rsid w:val="008B3F06"/>
    <w:rsid w:val="008C564B"/>
    <w:rsid w:val="008C699E"/>
    <w:rsid w:val="008D1B44"/>
    <w:rsid w:val="008D554D"/>
    <w:rsid w:val="008D6489"/>
    <w:rsid w:val="008E5943"/>
    <w:rsid w:val="008F2440"/>
    <w:rsid w:val="00903699"/>
    <w:rsid w:val="009121D3"/>
    <w:rsid w:val="00931189"/>
    <w:rsid w:val="009430B0"/>
    <w:rsid w:val="00961F86"/>
    <w:rsid w:val="00996723"/>
    <w:rsid w:val="009A05FB"/>
    <w:rsid w:val="009A2654"/>
    <w:rsid w:val="009A54D9"/>
    <w:rsid w:val="009C23C6"/>
    <w:rsid w:val="009D01C2"/>
    <w:rsid w:val="009D03DC"/>
    <w:rsid w:val="009D349D"/>
    <w:rsid w:val="009E1AA1"/>
    <w:rsid w:val="009F7EA3"/>
    <w:rsid w:val="00A07F4F"/>
    <w:rsid w:val="00A10067"/>
    <w:rsid w:val="00A10FC3"/>
    <w:rsid w:val="00A4026A"/>
    <w:rsid w:val="00A53907"/>
    <w:rsid w:val="00A55D87"/>
    <w:rsid w:val="00A5634F"/>
    <w:rsid w:val="00A60182"/>
    <w:rsid w:val="00A6073E"/>
    <w:rsid w:val="00A612E0"/>
    <w:rsid w:val="00A70D66"/>
    <w:rsid w:val="00A73EFB"/>
    <w:rsid w:val="00A752A8"/>
    <w:rsid w:val="00A76FD3"/>
    <w:rsid w:val="00A86ADF"/>
    <w:rsid w:val="00AA5ADB"/>
    <w:rsid w:val="00AB501C"/>
    <w:rsid w:val="00AE27F6"/>
    <w:rsid w:val="00AE5567"/>
    <w:rsid w:val="00AF2651"/>
    <w:rsid w:val="00B02031"/>
    <w:rsid w:val="00B16480"/>
    <w:rsid w:val="00B2165C"/>
    <w:rsid w:val="00B33B27"/>
    <w:rsid w:val="00B35E77"/>
    <w:rsid w:val="00B40049"/>
    <w:rsid w:val="00B43D9A"/>
    <w:rsid w:val="00B43E00"/>
    <w:rsid w:val="00B55E0D"/>
    <w:rsid w:val="00B56987"/>
    <w:rsid w:val="00B736B6"/>
    <w:rsid w:val="00B9018D"/>
    <w:rsid w:val="00BA20AA"/>
    <w:rsid w:val="00BA32DB"/>
    <w:rsid w:val="00BB47FF"/>
    <w:rsid w:val="00BC1901"/>
    <w:rsid w:val="00BD4425"/>
    <w:rsid w:val="00BE3871"/>
    <w:rsid w:val="00BE3FA4"/>
    <w:rsid w:val="00BE5EB8"/>
    <w:rsid w:val="00BF5EE2"/>
    <w:rsid w:val="00C04D5B"/>
    <w:rsid w:val="00C06106"/>
    <w:rsid w:val="00C258F5"/>
    <w:rsid w:val="00C25B49"/>
    <w:rsid w:val="00C35F9C"/>
    <w:rsid w:val="00C3762B"/>
    <w:rsid w:val="00C60F56"/>
    <w:rsid w:val="00C6641B"/>
    <w:rsid w:val="00C727E1"/>
    <w:rsid w:val="00C81BAC"/>
    <w:rsid w:val="00C825FC"/>
    <w:rsid w:val="00CA68B2"/>
    <w:rsid w:val="00CB0E00"/>
    <w:rsid w:val="00CD526E"/>
    <w:rsid w:val="00CE5657"/>
    <w:rsid w:val="00D133F8"/>
    <w:rsid w:val="00D14A3E"/>
    <w:rsid w:val="00D3271C"/>
    <w:rsid w:val="00D55A75"/>
    <w:rsid w:val="00D55B15"/>
    <w:rsid w:val="00D612C9"/>
    <w:rsid w:val="00D626B4"/>
    <w:rsid w:val="00D62CCB"/>
    <w:rsid w:val="00D8210C"/>
    <w:rsid w:val="00DC2620"/>
    <w:rsid w:val="00DE31E7"/>
    <w:rsid w:val="00DE6278"/>
    <w:rsid w:val="00DE6BE3"/>
    <w:rsid w:val="00DF5547"/>
    <w:rsid w:val="00E03C25"/>
    <w:rsid w:val="00E05F86"/>
    <w:rsid w:val="00E10969"/>
    <w:rsid w:val="00E331B0"/>
    <w:rsid w:val="00E3716B"/>
    <w:rsid w:val="00E50E08"/>
    <w:rsid w:val="00E5323B"/>
    <w:rsid w:val="00E8749E"/>
    <w:rsid w:val="00E90C01"/>
    <w:rsid w:val="00E91D8B"/>
    <w:rsid w:val="00E9467B"/>
    <w:rsid w:val="00EA0CC7"/>
    <w:rsid w:val="00EA486E"/>
    <w:rsid w:val="00EB1066"/>
    <w:rsid w:val="00EB3BA2"/>
    <w:rsid w:val="00EB42C8"/>
    <w:rsid w:val="00EC07DF"/>
    <w:rsid w:val="00EC6B4F"/>
    <w:rsid w:val="00EE4F99"/>
    <w:rsid w:val="00EE562A"/>
    <w:rsid w:val="00EF54FD"/>
    <w:rsid w:val="00F11589"/>
    <w:rsid w:val="00F16B0D"/>
    <w:rsid w:val="00F22778"/>
    <w:rsid w:val="00F42871"/>
    <w:rsid w:val="00F57B0C"/>
    <w:rsid w:val="00FD038B"/>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EB6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E40"/>
  </w:style>
  <w:style w:type="paragraph" w:styleId="Heading1">
    <w:name w:val="heading 1"/>
    <w:basedOn w:val="Normal"/>
    <w:next w:val="Normal"/>
    <w:link w:val="Heading1Char"/>
    <w:qFormat/>
    <w:rsid w:val="001529D9"/>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529D9"/>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529D9"/>
    <w:rPr>
      <w:rFonts w:ascii="Times New Roman" w:eastAsia="Times New Roman" w:hAnsi="Times New Roman" w:cs="Times New Roman"/>
      <w:sz w:val="28"/>
      <w:szCs w:val="20"/>
      <w:lang w:eastAsia="lv-LV"/>
    </w:rPr>
  </w:style>
  <w:style w:type="paragraph" w:customStyle="1" w:styleId="naiskr">
    <w:name w:val="naiskr"/>
    <w:basedOn w:val="Normal"/>
    <w:uiPriority w:val="99"/>
    <w:rsid w:val="001529D9"/>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1529D9"/>
  </w:style>
  <w:style w:type="character" w:styleId="CommentReference">
    <w:name w:val="annotation reference"/>
    <w:basedOn w:val="DefaultParagraphFont"/>
    <w:uiPriority w:val="99"/>
    <w:semiHidden/>
    <w:unhideWhenUsed/>
    <w:rsid w:val="00550B6A"/>
    <w:rPr>
      <w:sz w:val="16"/>
      <w:szCs w:val="16"/>
    </w:rPr>
  </w:style>
  <w:style w:type="paragraph" w:styleId="CommentText">
    <w:name w:val="annotation text"/>
    <w:basedOn w:val="Normal"/>
    <w:link w:val="CommentTextChar"/>
    <w:uiPriority w:val="99"/>
    <w:semiHidden/>
    <w:unhideWhenUsed/>
    <w:rsid w:val="00550B6A"/>
    <w:pPr>
      <w:spacing w:line="240" w:lineRule="auto"/>
    </w:pPr>
    <w:rPr>
      <w:sz w:val="20"/>
      <w:szCs w:val="20"/>
    </w:rPr>
  </w:style>
  <w:style w:type="character" w:customStyle="1" w:styleId="CommentTextChar">
    <w:name w:val="Comment Text Char"/>
    <w:basedOn w:val="DefaultParagraphFont"/>
    <w:link w:val="CommentText"/>
    <w:uiPriority w:val="99"/>
    <w:semiHidden/>
    <w:rsid w:val="00550B6A"/>
    <w:rPr>
      <w:sz w:val="20"/>
      <w:szCs w:val="20"/>
    </w:rPr>
  </w:style>
  <w:style w:type="paragraph" w:styleId="CommentSubject">
    <w:name w:val="annotation subject"/>
    <w:basedOn w:val="CommentText"/>
    <w:next w:val="CommentText"/>
    <w:link w:val="CommentSubjectChar"/>
    <w:uiPriority w:val="99"/>
    <w:semiHidden/>
    <w:unhideWhenUsed/>
    <w:rsid w:val="00550B6A"/>
    <w:rPr>
      <w:b/>
      <w:bCs/>
    </w:rPr>
  </w:style>
  <w:style w:type="character" w:customStyle="1" w:styleId="CommentSubjectChar">
    <w:name w:val="Comment Subject Char"/>
    <w:basedOn w:val="CommentTextChar"/>
    <w:link w:val="CommentSubject"/>
    <w:uiPriority w:val="99"/>
    <w:semiHidden/>
    <w:rsid w:val="00550B6A"/>
    <w:rPr>
      <w:b/>
      <w:bCs/>
      <w:sz w:val="20"/>
      <w:szCs w:val="20"/>
    </w:rPr>
  </w:style>
  <w:style w:type="paragraph" w:styleId="Revision">
    <w:name w:val="Revision"/>
    <w:hidden/>
    <w:uiPriority w:val="99"/>
    <w:semiHidden/>
    <w:rsid w:val="00BC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Latisenko@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7A27-2100-4787-9605-B0877C23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9382</Words>
  <Characters>5349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Arnis Latišenko</cp:lastModifiedBy>
  <cp:revision>24</cp:revision>
  <cp:lastPrinted>2018-10-11T13:05:00Z</cp:lastPrinted>
  <dcterms:created xsi:type="dcterms:W3CDTF">2018-08-21T10:49:00Z</dcterms:created>
  <dcterms:modified xsi:type="dcterms:W3CDTF">2018-10-25T08:01:00Z</dcterms:modified>
</cp:coreProperties>
</file>