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3837413"/>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