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F048" w14:textId="77777777" w:rsidR="00E85BD0" w:rsidRPr="00B57F54" w:rsidRDefault="00962954" w:rsidP="00D51349">
      <w:pPr>
        <w:spacing w:before="120" w:after="120" w:line="240" w:lineRule="auto"/>
        <w:jc w:val="center"/>
        <w:rPr>
          <w:rFonts w:ascii="Times New Roman" w:hAnsi="Times New Roman"/>
          <w:b/>
          <w:sz w:val="28"/>
          <w:szCs w:val="28"/>
        </w:rPr>
      </w:pPr>
      <w:r w:rsidRPr="00B57F54">
        <w:rPr>
          <w:rFonts w:ascii="Times New Roman" w:hAnsi="Times New Roman"/>
          <w:b/>
          <w:sz w:val="28"/>
          <w:szCs w:val="28"/>
        </w:rPr>
        <w:t xml:space="preserve">Informatīvais ziņojums </w:t>
      </w:r>
      <w:r w:rsidR="00AF7949" w:rsidRPr="00B57F54">
        <w:rPr>
          <w:rFonts w:ascii="Times New Roman" w:hAnsi="Times New Roman"/>
          <w:b/>
          <w:sz w:val="28"/>
          <w:szCs w:val="28"/>
        </w:rPr>
        <w:br/>
      </w:r>
      <w:bookmarkStart w:id="0" w:name="_Hlk532340717"/>
      <w:bookmarkStart w:id="1" w:name="_Hlk531860692"/>
      <w:r w:rsidRPr="00B57F54">
        <w:rPr>
          <w:rFonts w:ascii="Times New Roman" w:hAnsi="Times New Roman"/>
          <w:b/>
          <w:sz w:val="28"/>
          <w:szCs w:val="28"/>
        </w:rPr>
        <w:t>par Nacionāl</w:t>
      </w:r>
      <w:r w:rsidR="00D16608" w:rsidRPr="00B57F54">
        <w:rPr>
          <w:rFonts w:ascii="Times New Roman" w:hAnsi="Times New Roman"/>
          <w:b/>
          <w:sz w:val="28"/>
          <w:szCs w:val="28"/>
        </w:rPr>
        <w:t>ā enerģētikas un klimata plāna 2021.-2030.gadam projektu un tā iesniegšanu Eiropas Komisijā izvērtēšanai</w:t>
      </w:r>
      <w:bookmarkEnd w:id="0"/>
    </w:p>
    <w:bookmarkEnd w:id="1"/>
    <w:p w14:paraId="6FF2AD7B" w14:textId="77777777" w:rsidR="00B63189" w:rsidRDefault="00C15D15" w:rsidP="00D51349">
      <w:pPr>
        <w:pStyle w:val="ListParagraph"/>
        <w:numPr>
          <w:ilvl w:val="0"/>
          <w:numId w:val="14"/>
        </w:numPr>
        <w:spacing w:before="120" w:after="120" w:line="240" w:lineRule="auto"/>
        <w:ind w:left="567" w:hanging="567"/>
        <w:contextualSpacing w:val="0"/>
        <w:rPr>
          <w:rFonts w:ascii="Times New Roman" w:hAnsi="Times New Roman"/>
          <w:b/>
          <w:sz w:val="28"/>
          <w:szCs w:val="28"/>
        </w:rPr>
      </w:pPr>
      <w:r>
        <w:rPr>
          <w:rFonts w:ascii="Times New Roman" w:hAnsi="Times New Roman"/>
          <w:b/>
          <w:sz w:val="28"/>
          <w:szCs w:val="28"/>
        </w:rPr>
        <w:t>Ievads</w:t>
      </w:r>
    </w:p>
    <w:p w14:paraId="4BF631C8" w14:textId="77777777" w:rsidR="00C15D15" w:rsidRPr="00C15D15" w:rsidRDefault="00C15D15" w:rsidP="00D51349">
      <w:pPr>
        <w:spacing w:before="120" w:after="120" w:line="240" w:lineRule="auto"/>
        <w:jc w:val="both"/>
        <w:rPr>
          <w:rFonts w:ascii="Times New Roman" w:hAnsi="Times New Roman"/>
          <w:sz w:val="28"/>
          <w:szCs w:val="28"/>
        </w:rPr>
      </w:pPr>
      <w:r>
        <w:rPr>
          <w:rFonts w:ascii="Times New Roman" w:hAnsi="Times New Roman"/>
          <w:sz w:val="28"/>
          <w:szCs w:val="28"/>
        </w:rPr>
        <w:t>Informatīvais ziņojums “P</w:t>
      </w:r>
      <w:r w:rsidRPr="00C15D15">
        <w:rPr>
          <w:rFonts w:ascii="Times New Roman" w:hAnsi="Times New Roman"/>
          <w:sz w:val="28"/>
          <w:szCs w:val="28"/>
        </w:rPr>
        <w:t>ar Nacionālā enerģētikas un klimata plāna 2021.-2030.gadam projektu un tā iesniegšanu Eiropas Komisijā izvērtēšanai</w:t>
      </w:r>
      <w:r>
        <w:rPr>
          <w:rFonts w:ascii="Times New Roman" w:hAnsi="Times New Roman"/>
          <w:sz w:val="28"/>
          <w:szCs w:val="28"/>
        </w:rPr>
        <w:t>” ir sagatavots</w:t>
      </w:r>
      <w:r w:rsidR="00522CC9">
        <w:rPr>
          <w:rFonts w:ascii="Times New Roman" w:hAnsi="Times New Roman"/>
          <w:sz w:val="28"/>
          <w:szCs w:val="28"/>
        </w:rPr>
        <w:t xml:space="preserve">, ņemot vērā </w:t>
      </w:r>
      <w:bookmarkStart w:id="2" w:name="_Hlk531860676"/>
      <w:r w:rsidR="00522CC9" w:rsidRPr="00B57F54">
        <w:rPr>
          <w:rFonts w:ascii="Times New Roman" w:hAnsi="Times New Roman"/>
          <w:sz w:val="28"/>
          <w:szCs w:val="28"/>
        </w:rPr>
        <w:t>Ministru kabineta 2018.gada 26.jūnija</w:t>
      </w:r>
      <w:r w:rsidR="00522CC9">
        <w:rPr>
          <w:rFonts w:ascii="Times New Roman" w:hAnsi="Times New Roman"/>
          <w:sz w:val="28"/>
          <w:szCs w:val="28"/>
        </w:rPr>
        <w:t xml:space="preserve"> sēdē apstiprināto i</w:t>
      </w:r>
      <w:r w:rsidR="00522CC9" w:rsidRPr="00B57F54">
        <w:rPr>
          <w:rFonts w:ascii="Times New Roman" w:hAnsi="Times New Roman"/>
          <w:sz w:val="28"/>
          <w:szCs w:val="28"/>
        </w:rPr>
        <w:t>nformatīv</w:t>
      </w:r>
      <w:r w:rsidR="00522CC9">
        <w:rPr>
          <w:rFonts w:ascii="Times New Roman" w:hAnsi="Times New Roman"/>
          <w:sz w:val="28"/>
          <w:szCs w:val="28"/>
        </w:rPr>
        <w:t>o ziņojumu</w:t>
      </w:r>
      <w:r w:rsidR="00522CC9" w:rsidRPr="00B57F54">
        <w:rPr>
          <w:rFonts w:ascii="Times New Roman" w:hAnsi="Times New Roman"/>
          <w:sz w:val="28"/>
          <w:szCs w:val="28"/>
        </w:rPr>
        <w:t xml:space="preserve"> “Par Nacionālā enerģēt</w:t>
      </w:r>
      <w:r w:rsidR="00522CC9">
        <w:rPr>
          <w:rFonts w:ascii="Times New Roman" w:hAnsi="Times New Roman"/>
          <w:sz w:val="28"/>
          <w:szCs w:val="28"/>
        </w:rPr>
        <w:t xml:space="preserve">ikas un klimata plāna izstrādi” (Ministru kabineta 2018.gada 26.jūnija sēdes </w:t>
      </w:r>
      <w:r w:rsidR="00522CC9" w:rsidRPr="00B57F54">
        <w:rPr>
          <w:rFonts w:ascii="Times New Roman" w:hAnsi="Times New Roman"/>
          <w:sz w:val="28"/>
          <w:szCs w:val="28"/>
        </w:rPr>
        <w:t>protokola Nr.30 50.§</w:t>
      </w:r>
      <w:r w:rsidR="00522CC9">
        <w:rPr>
          <w:rFonts w:ascii="Times New Roman" w:hAnsi="Times New Roman"/>
          <w:sz w:val="28"/>
          <w:szCs w:val="28"/>
        </w:rPr>
        <w:t>)</w:t>
      </w:r>
      <w:bookmarkEnd w:id="2"/>
      <w:r>
        <w:rPr>
          <w:rFonts w:ascii="Times New Roman" w:hAnsi="Times New Roman"/>
          <w:sz w:val="28"/>
          <w:szCs w:val="28"/>
        </w:rPr>
        <w:t>, lai saskaņā ar Ministru kabineta 20</w:t>
      </w:r>
      <w:r w:rsidR="005B30C8">
        <w:rPr>
          <w:rFonts w:ascii="Times New Roman" w:hAnsi="Times New Roman"/>
          <w:sz w:val="28"/>
          <w:szCs w:val="28"/>
        </w:rPr>
        <w:t xml:space="preserve">09.gada 7.aprīļa noteikumu Nr.300 “Ministru kabineta kārtības rullis” 58.punktu informētu Ministru kabinetu par Latvijas politikas plānošanas dokumenta “Nacionālais enerģētikas un klimata plāns 2021.-2030.gadam” (turpmāk – Plāns) projekta sagatavošanu, kā arī lai </w:t>
      </w:r>
      <w:r w:rsidR="00522CC9">
        <w:rPr>
          <w:rFonts w:ascii="Times New Roman" w:hAnsi="Times New Roman"/>
          <w:sz w:val="28"/>
          <w:szCs w:val="28"/>
        </w:rPr>
        <w:t xml:space="preserve">apstiprinātu </w:t>
      </w:r>
      <w:r w:rsidR="005B30C8">
        <w:rPr>
          <w:rFonts w:ascii="Times New Roman" w:hAnsi="Times New Roman"/>
          <w:sz w:val="28"/>
          <w:szCs w:val="28"/>
        </w:rPr>
        <w:t xml:space="preserve">Plāna projekta iesniegšanu Eiropas Komisijā (turpmāk – EK). </w:t>
      </w:r>
    </w:p>
    <w:p w14:paraId="3EE0A74A" w14:textId="77777777" w:rsidR="00B63189" w:rsidRDefault="00B63189" w:rsidP="00D51349">
      <w:pPr>
        <w:spacing w:before="120" w:after="120" w:line="240" w:lineRule="auto"/>
        <w:ind w:firstLine="720"/>
        <w:rPr>
          <w:rFonts w:ascii="Times New Roman" w:hAnsi="Times New Roman"/>
          <w:b/>
          <w:sz w:val="28"/>
          <w:szCs w:val="28"/>
        </w:rPr>
      </w:pPr>
    </w:p>
    <w:p w14:paraId="4B7E8F5C" w14:textId="77777777" w:rsidR="00AD5CA5" w:rsidRPr="005B30C8" w:rsidRDefault="002B32F1" w:rsidP="00D51349">
      <w:pPr>
        <w:pStyle w:val="ListParagraph"/>
        <w:numPr>
          <w:ilvl w:val="0"/>
          <w:numId w:val="14"/>
        </w:numPr>
        <w:spacing w:before="120" w:after="120" w:line="240" w:lineRule="auto"/>
        <w:ind w:left="567" w:hanging="567"/>
        <w:contextualSpacing w:val="0"/>
        <w:rPr>
          <w:rFonts w:ascii="Times New Roman" w:hAnsi="Times New Roman"/>
          <w:b/>
          <w:sz w:val="28"/>
          <w:szCs w:val="28"/>
        </w:rPr>
      </w:pPr>
      <w:r w:rsidRPr="005B30C8">
        <w:rPr>
          <w:rFonts w:ascii="Times New Roman" w:hAnsi="Times New Roman"/>
          <w:b/>
          <w:sz w:val="28"/>
          <w:szCs w:val="28"/>
        </w:rPr>
        <w:t xml:space="preserve">Tiesiskais ietvars </w:t>
      </w:r>
    </w:p>
    <w:p w14:paraId="514E8F38" w14:textId="77777777" w:rsidR="00230DCC" w:rsidRPr="00B57F54" w:rsidRDefault="00D16608" w:rsidP="00D51349">
      <w:pPr>
        <w:widowControl w:val="0"/>
        <w:spacing w:before="120" w:after="120" w:line="240" w:lineRule="auto"/>
        <w:jc w:val="both"/>
        <w:rPr>
          <w:rFonts w:ascii="Times New Roman" w:hAnsi="Times New Roman"/>
          <w:sz w:val="28"/>
          <w:szCs w:val="28"/>
        </w:rPr>
      </w:pPr>
      <w:r w:rsidRPr="00B57F54">
        <w:rPr>
          <w:rFonts w:ascii="Times New Roman" w:hAnsi="Times New Roman"/>
          <w:sz w:val="28"/>
          <w:szCs w:val="28"/>
        </w:rPr>
        <w:t>Eiropadome 2014.gada 24.oktobrī pieņēma secinājumus “Klimata un enerģētika politikas satvars 2030.gadam”</w:t>
      </w:r>
      <w:r w:rsidR="00F54118" w:rsidRPr="00B57F54">
        <w:rPr>
          <w:rFonts w:ascii="Times New Roman" w:hAnsi="Times New Roman"/>
          <w:sz w:val="28"/>
          <w:szCs w:val="28"/>
        </w:rPr>
        <w:t xml:space="preserve"> (turpmāk – KEPS2030)</w:t>
      </w:r>
      <w:r w:rsidRPr="00B57F54">
        <w:rPr>
          <w:rFonts w:ascii="Times New Roman" w:hAnsi="Times New Roman"/>
          <w:sz w:val="28"/>
          <w:szCs w:val="28"/>
        </w:rPr>
        <w:t>,</w:t>
      </w:r>
      <w:r w:rsidR="00230DCC" w:rsidRPr="00B57F54">
        <w:rPr>
          <w:rFonts w:ascii="Times New Roman" w:hAnsi="Times New Roman"/>
          <w:sz w:val="28"/>
          <w:szCs w:val="28"/>
        </w:rPr>
        <w:t xml:space="preserve"> kas noteica Eiropas Savienības (turpmāk – ES) kopējos mērķus enerģētikas un klimata pārmaiņu mazināšanas jomā, kā arī noteica Enerģētikas savienības izveidi.</w:t>
      </w:r>
    </w:p>
    <w:p w14:paraId="4DD9262B" w14:textId="77777777" w:rsidR="00D16608" w:rsidRPr="00B57F54" w:rsidRDefault="00230DCC" w:rsidP="00D51349">
      <w:pPr>
        <w:widowControl w:val="0"/>
        <w:spacing w:before="120" w:after="120" w:line="240" w:lineRule="auto"/>
        <w:jc w:val="both"/>
        <w:rPr>
          <w:rFonts w:ascii="Times New Roman" w:hAnsi="Times New Roman"/>
          <w:sz w:val="28"/>
          <w:szCs w:val="28"/>
        </w:rPr>
      </w:pPr>
      <w:r w:rsidRPr="00B57F54">
        <w:rPr>
          <w:rFonts w:ascii="Times New Roman" w:hAnsi="Times New Roman"/>
          <w:sz w:val="28"/>
          <w:szCs w:val="28"/>
        </w:rPr>
        <w:t>KEPS i</w:t>
      </w:r>
      <w:r w:rsidR="00D16608" w:rsidRPr="00B57F54">
        <w:rPr>
          <w:rFonts w:ascii="Times New Roman" w:hAnsi="Times New Roman"/>
          <w:sz w:val="28"/>
          <w:szCs w:val="28"/>
        </w:rPr>
        <w:t>etvaros šobrīd jau ir pieņemti un apstiprināti šādi galvenie klimata un enerģētikas politiku noteicošie Eiropas Savienības tiesību akti:</w:t>
      </w:r>
    </w:p>
    <w:p w14:paraId="1E9A1CC2" w14:textId="77777777" w:rsidR="00D16608" w:rsidRPr="00B57F54" w:rsidRDefault="00D16608" w:rsidP="00CD51CE">
      <w:pPr>
        <w:pStyle w:val="ListParagraph"/>
        <w:widowControl w:val="0"/>
        <w:numPr>
          <w:ilvl w:val="0"/>
          <w:numId w:val="8"/>
        </w:numPr>
        <w:spacing w:before="120" w:after="120" w:line="240" w:lineRule="auto"/>
        <w:ind w:left="397" w:hanging="397"/>
        <w:contextualSpacing w:val="0"/>
        <w:jc w:val="both"/>
        <w:rPr>
          <w:rFonts w:ascii="Times New Roman" w:hAnsi="Times New Roman"/>
          <w:sz w:val="28"/>
          <w:szCs w:val="28"/>
        </w:rPr>
      </w:pPr>
      <w:r w:rsidRPr="00B57F54">
        <w:rPr>
          <w:rFonts w:ascii="Times New Roman" w:hAnsi="Times New Roman"/>
          <w:sz w:val="28"/>
          <w:szCs w:val="28"/>
        </w:rPr>
        <w:t xml:space="preserve">Eiropas Parlamenta un Padomes 2018.gada 14.marta direktīva Nr.2018/410, ar ko groza Direktīvu 2003/87/EK, lai sekmētu emisiju </w:t>
      </w:r>
      <w:proofErr w:type="spellStart"/>
      <w:r w:rsidRPr="00B57F54">
        <w:rPr>
          <w:rFonts w:ascii="Times New Roman" w:hAnsi="Times New Roman"/>
          <w:sz w:val="28"/>
          <w:szCs w:val="28"/>
        </w:rPr>
        <w:t>izmaksefektīvu</w:t>
      </w:r>
      <w:proofErr w:type="spellEnd"/>
      <w:r w:rsidRPr="00B57F54">
        <w:rPr>
          <w:rFonts w:ascii="Times New Roman" w:hAnsi="Times New Roman"/>
          <w:sz w:val="28"/>
          <w:szCs w:val="28"/>
        </w:rPr>
        <w:t xml:space="preserve"> samazināšanu un investīcijas mazoglekļa risinājumos, un Lēmumu (ES) 2015/1814</w:t>
      </w:r>
      <w:r w:rsidR="002B32F1" w:rsidRPr="00B57F54">
        <w:rPr>
          <w:rFonts w:ascii="Times New Roman" w:hAnsi="Times New Roman"/>
          <w:sz w:val="28"/>
          <w:szCs w:val="28"/>
        </w:rPr>
        <w:t xml:space="preserve"> (turpmāk – Direktīva 2008/410);</w:t>
      </w:r>
    </w:p>
    <w:p w14:paraId="194E0FDA" w14:textId="77777777" w:rsidR="00D16608" w:rsidRPr="00B57F54" w:rsidRDefault="00D16608" w:rsidP="00CD51CE">
      <w:pPr>
        <w:pStyle w:val="ListParagraph"/>
        <w:widowControl w:val="0"/>
        <w:numPr>
          <w:ilvl w:val="0"/>
          <w:numId w:val="8"/>
        </w:numPr>
        <w:spacing w:before="120" w:after="120" w:line="240" w:lineRule="auto"/>
        <w:ind w:left="397" w:hanging="397"/>
        <w:contextualSpacing w:val="0"/>
        <w:jc w:val="both"/>
        <w:rPr>
          <w:rFonts w:ascii="Times New Roman" w:hAnsi="Times New Roman"/>
          <w:sz w:val="28"/>
          <w:szCs w:val="28"/>
        </w:rPr>
      </w:pPr>
      <w:r w:rsidRPr="00B57F54">
        <w:rPr>
          <w:rFonts w:ascii="Times New Roman" w:hAnsi="Times New Roman"/>
          <w:sz w:val="28"/>
          <w:szCs w:val="28"/>
        </w:rPr>
        <w:t>Eiropas Parlamenta un Padomes 2018.gada 30.maija regula Nr.</w:t>
      </w:r>
      <w:r w:rsidR="002B32F1" w:rsidRPr="00B57F54">
        <w:rPr>
          <w:rFonts w:ascii="Times New Roman" w:hAnsi="Times New Roman"/>
          <w:sz w:val="28"/>
          <w:szCs w:val="28"/>
        </w:rPr>
        <w:t xml:space="preserve"> </w:t>
      </w:r>
      <w:r w:rsidRPr="00B57F54">
        <w:rPr>
          <w:rFonts w:ascii="Times New Roman" w:hAnsi="Times New Roman"/>
          <w:sz w:val="28"/>
          <w:szCs w:val="28"/>
        </w:rPr>
        <w:t>2018/841 par zemes izmantošanā, zemes izmantošanas maiņā un mežsaimniecībā radušos siltumnīcefekta gāzu emisiju un piesaistes iekļaušanu klimata un enerģētikas politikas satvarā laikposmam līdz 2030. gadam un ar ko groza Regulu (ES) Nr. 525/2013 un Lēmumu Nr. 529/2013/ES</w:t>
      </w:r>
      <w:r w:rsidR="002B32F1" w:rsidRPr="00B57F54">
        <w:rPr>
          <w:rFonts w:ascii="Times New Roman" w:hAnsi="Times New Roman"/>
          <w:sz w:val="28"/>
          <w:szCs w:val="28"/>
        </w:rPr>
        <w:t xml:space="preserve"> (turpmāk – Regula 2018/841);</w:t>
      </w:r>
    </w:p>
    <w:p w14:paraId="62C2DBB6" w14:textId="77777777" w:rsidR="00264169" w:rsidRDefault="00D16608" w:rsidP="00CD51CE">
      <w:pPr>
        <w:pStyle w:val="ListParagraph"/>
        <w:widowControl w:val="0"/>
        <w:numPr>
          <w:ilvl w:val="0"/>
          <w:numId w:val="8"/>
        </w:numPr>
        <w:spacing w:before="120" w:after="120" w:line="240" w:lineRule="auto"/>
        <w:ind w:left="397" w:hanging="397"/>
        <w:contextualSpacing w:val="0"/>
        <w:jc w:val="both"/>
        <w:rPr>
          <w:rFonts w:ascii="Times New Roman" w:hAnsi="Times New Roman"/>
          <w:sz w:val="28"/>
          <w:szCs w:val="28"/>
        </w:rPr>
      </w:pPr>
      <w:r w:rsidRPr="00264169">
        <w:rPr>
          <w:rFonts w:ascii="Times New Roman" w:hAnsi="Times New Roman"/>
          <w:sz w:val="28"/>
          <w:szCs w:val="28"/>
        </w:rPr>
        <w:t>Eiropas Parlamenta un Padomes 2018.gada 30.maija regula N</w:t>
      </w:r>
      <w:r w:rsidR="002B32F1" w:rsidRPr="00264169">
        <w:rPr>
          <w:rFonts w:ascii="Times New Roman" w:hAnsi="Times New Roman"/>
          <w:sz w:val="28"/>
          <w:szCs w:val="28"/>
        </w:rPr>
        <w:t>r</w:t>
      </w:r>
      <w:r w:rsidRPr="00264169">
        <w:rPr>
          <w:rFonts w:ascii="Times New Roman" w:hAnsi="Times New Roman"/>
          <w:sz w:val="28"/>
          <w:szCs w:val="28"/>
        </w:rPr>
        <w:t>.</w:t>
      </w:r>
      <w:r w:rsidR="002B32F1" w:rsidRPr="00264169">
        <w:rPr>
          <w:rFonts w:ascii="Times New Roman" w:hAnsi="Times New Roman"/>
          <w:sz w:val="28"/>
          <w:szCs w:val="28"/>
        </w:rPr>
        <w:t xml:space="preserve"> </w:t>
      </w:r>
      <w:r w:rsidRPr="00264169">
        <w:rPr>
          <w:rFonts w:ascii="Times New Roman" w:hAnsi="Times New Roman"/>
          <w:sz w:val="28"/>
          <w:szCs w:val="28"/>
        </w:rPr>
        <w:t>2018/842 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w:t>
      </w:r>
      <w:r w:rsidR="002B32F1" w:rsidRPr="00264169">
        <w:rPr>
          <w:rFonts w:ascii="Times New Roman" w:hAnsi="Times New Roman"/>
          <w:sz w:val="28"/>
          <w:szCs w:val="28"/>
        </w:rPr>
        <w:t xml:space="preserve"> (turpmāk – Regula 2018/842);</w:t>
      </w:r>
    </w:p>
    <w:p w14:paraId="6873B3D3" w14:textId="77777777" w:rsidR="006D2954" w:rsidRPr="00264169" w:rsidRDefault="006D2954" w:rsidP="00CD51CE">
      <w:pPr>
        <w:pStyle w:val="ListParagraph"/>
        <w:widowControl w:val="0"/>
        <w:numPr>
          <w:ilvl w:val="0"/>
          <w:numId w:val="8"/>
        </w:numPr>
        <w:spacing w:before="120" w:after="120" w:line="240" w:lineRule="auto"/>
        <w:ind w:left="397" w:hanging="397"/>
        <w:contextualSpacing w:val="0"/>
        <w:jc w:val="both"/>
        <w:rPr>
          <w:rFonts w:ascii="Times New Roman" w:hAnsi="Times New Roman"/>
          <w:sz w:val="28"/>
          <w:szCs w:val="28"/>
        </w:rPr>
      </w:pPr>
      <w:r w:rsidRPr="00264169">
        <w:rPr>
          <w:rFonts w:ascii="Times New Roman" w:hAnsi="Times New Roman"/>
          <w:sz w:val="28"/>
          <w:szCs w:val="28"/>
        </w:rPr>
        <w:t>Eiropas Parlamenta un Padomes</w:t>
      </w:r>
      <w:r w:rsidR="00264169" w:rsidRPr="00264169">
        <w:rPr>
          <w:rFonts w:ascii="Times New Roman" w:hAnsi="Times New Roman"/>
          <w:sz w:val="28"/>
          <w:szCs w:val="28"/>
        </w:rPr>
        <w:t xml:space="preserve"> 30.maija direktīva Nr.2018/844, ar ko groza Direktīvu 2010/31/ES par ēku energoefektivitāti un Direktīvu 2012/27/ES par energoefektivitāti</w:t>
      </w:r>
      <w:r w:rsidR="00AE6A63">
        <w:rPr>
          <w:rFonts w:ascii="Times New Roman" w:hAnsi="Times New Roman"/>
          <w:sz w:val="28"/>
          <w:szCs w:val="28"/>
        </w:rPr>
        <w:t>;</w:t>
      </w:r>
    </w:p>
    <w:p w14:paraId="39C69645" w14:textId="77777777" w:rsidR="00D16608" w:rsidRPr="00B57F54" w:rsidRDefault="00D16608" w:rsidP="00CD51CE">
      <w:pPr>
        <w:pStyle w:val="ListParagraph"/>
        <w:widowControl w:val="0"/>
        <w:numPr>
          <w:ilvl w:val="0"/>
          <w:numId w:val="8"/>
        </w:numPr>
        <w:spacing w:before="120" w:after="120" w:line="240" w:lineRule="auto"/>
        <w:ind w:left="397" w:hanging="397"/>
        <w:contextualSpacing w:val="0"/>
        <w:jc w:val="both"/>
        <w:rPr>
          <w:rFonts w:ascii="Times New Roman" w:hAnsi="Times New Roman"/>
          <w:sz w:val="28"/>
          <w:szCs w:val="28"/>
        </w:rPr>
      </w:pPr>
      <w:r w:rsidRPr="00B57F54">
        <w:rPr>
          <w:rFonts w:ascii="Times New Roman" w:hAnsi="Times New Roman"/>
          <w:sz w:val="28"/>
          <w:szCs w:val="28"/>
        </w:rPr>
        <w:lastRenderedPageBreak/>
        <w:t xml:space="preserve">Eiropas Parlamenta un Padomes direktīva </w:t>
      </w:r>
      <w:r w:rsidR="002B32F1" w:rsidRPr="00B57F54">
        <w:rPr>
          <w:rFonts w:ascii="Times New Roman" w:hAnsi="Times New Roman"/>
          <w:sz w:val="28"/>
          <w:szCs w:val="28"/>
        </w:rPr>
        <w:t>par no atjaunojamajiem energoresursiem iegūtas enerģijas izmantošanas veicināšanu</w:t>
      </w:r>
      <w:r w:rsidR="002B32F1" w:rsidRPr="00B57F54">
        <w:rPr>
          <w:rStyle w:val="FootnoteReference"/>
          <w:rFonts w:ascii="Times New Roman" w:hAnsi="Times New Roman"/>
          <w:sz w:val="28"/>
          <w:szCs w:val="28"/>
        </w:rPr>
        <w:footnoteReference w:id="2"/>
      </w:r>
      <w:r w:rsidR="002B32F1" w:rsidRPr="00B57F54">
        <w:rPr>
          <w:rFonts w:ascii="Times New Roman" w:hAnsi="Times New Roman"/>
          <w:sz w:val="28"/>
          <w:szCs w:val="28"/>
        </w:rPr>
        <w:t xml:space="preserve"> (turpmāk – </w:t>
      </w:r>
      <w:r w:rsidR="00AA75F3" w:rsidRPr="00B57F54">
        <w:rPr>
          <w:rFonts w:ascii="Times New Roman" w:hAnsi="Times New Roman"/>
          <w:sz w:val="28"/>
          <w:szCs w:val="28"/>
        </w:rPr>
        <w:t xml:space="preserve">Direktīvas 2009/28/EK </w:t>
      </w:r>
      <w:r w:rsidR="00F54118" w:rsidRPr="00B57F54">
        <w:rPr>
          <w:rFonts w:ascii="Times New Roman" w:hAnsi="Times New Roman"/>
          <w:sz w:val="28"/>
          <w:szCs w:val="28"/>
        </w:rPr>
        <w:t>grozījumi</w:t>
      </w:r>
      <w:r w:rsidR="002B32F1" w:rsidRPr="00B57F54">
        <w:rPr>
          <w:rFonts w:ascii="Times New Roman" w:hAnsi="Times New Roman"/>
          <w:sz w:val="28"/>
          <w:szCs w:val="28"/>
        </w:rPr>
        <w:t>);</w:t>
      </w:r>
    </w:p>
    <w:p w14:paraId="127FAF22" w14:textId="77777777" w:rsidR="004C4AE9" w:rsidRPr="00B57F54" w:rsidRDefault="004C4AE9" w:rsidP="00CD51CE">
      <w:pPr>
        <w:pStyle w:val="ListParagraph"/>
        <w:widowControl w:val="0"/>
        <w:numPr>
          <w:ilvl w:val="0"/>
          <w:numId w:val="8"/>
        </w:numPr>
        <w:spacing w:before="120" w:after="120" w:line="240" w:lineRule="auto"/>
        <w:ind w:left="397" w:hanging="397"/>
        <w:contextualSpacing w:val="0"/>
        <w:jc w:val="both"/>
        <w:rPr>
          <w:rFonts w:ascii="Times New Roman" w:hAnsi="Times New Roman"/>
          <w:sz w:val="28"/>
          <w:szCs w:val="28"/>
        </w:rPr>
      </w:pPr>
      <w:r w:rsidRPr="00B57F54">
        <w:rPr>
          <w:rFonts w:ascii="Times New Roman" w:hAnsi="Times New Roman"/>
          <w:sz w:val="28"/>
          <w:szCs w:val="28"/>
        </w:rPr>
        <w:t>Eiropas Parlamenta un Padomes direktīva, ar ko groza Direktīvu 2012/27/ES par energoefektivitāti</w:t>
      </w:r>
      <w:r w:rsidRPr="00B57F54">
        <w:rPr>
          <w:rStyle w:val="FootnoteReference"/>
          <w:rFonts w:ascii="Times New Roman" w:hAnsi="Times New Roman"/>
          <w:sz w:val="28"/>
          <w:szCs w:val="28"/>
        </w:rPr>
        <w:footnoteReference w:id="3"/>
      </w:r>
      <w:r w:rsidRPr="00B57F54">
        <w:rPr>
          <w:rFonts w:ascii="Times New Roman" w:hAnsi="Times New Roman"/>
          <w:sz w:val="28"/>
          <w:szCs w:val="28"/>
        </w:rPr>
        <w:t xml:space="preserve"> (turpmāk – Direktīvas 2012/27/ES </w:t>
      </w:r>
      <w:r w:rsidR="00F54118" w:rsidRPr="00B57F54">
        <w:rPr>
          <w:rFonts w:ascii="Times New Roman" w:hAnsi="Times New Roman"/>
          <w:sz w:val="28"/>
          <w:szCs w:val="28"/>
        </w:rPr>
        <w:t>grozījumi</w:t>
      </w:r>
      <w:r w:rsidRPr="00B57F54">
        <w:rPr>
          <w:rFonts w:ascii="Times New Roman" w:hAnsi="Times New Roman"/>
          <w:sz w:val="28"/>
          <w:szCs w:val="28"/>
        </w:rPr>
        <w:t>)</w:t>
      </w:r>
      <w:r w:rsidR="0055168F">
        <w:rPr>
          <w:rFonts w:ascii="Times New Roman" w:hAnsi="Times New Roman"/>
          <w:sz w:val="28"/>
          <w:szCs w:val="28"/>
        </w:rPr>
        <w:t>;</w:t>
      </w:r>
    </w:p>
    <w:p w14:paraId="0DAB2C06" w14:textId="77777777" w:rsidR="009D6D77" w:rsidRDefault="00D16608" w:rsidP="00CD51CE">
      <w:pPr>
        <w:pStyle w:val="ListParagraph"/>
        <w:widowControl w:val="0"/>
        <w:numPr>
          <w:ilvl w:val="0"/>
          <w:numId w:val="8"/>
        </w:numPr>
        <w:spacing w:before="120" w:after="120" w:line="240" w:lineRule="auto"/>
        <w:ind w:left="397" w:hanging="397"/>
        <w:contextualSpacing w:val="0"/>
        <w:jc w:val="both"/>
        <w:rPr>
          <w:rFonts w:ascii="Times New Roman" w:hAnsi="Times New Roman"/>
          <w:sz w:val="28"/>
          <w:szCs w:val="28"/>
        </w:rPr>
      </w:pPr>
      <w:r w:rsidRPr="00CD51CE">
        <w:rPr>
          <w:rFonts w:ascii="Times New Roman" w:hAnsi="Times New Roman"/>
          <w:sz w:val="28"/>
          <w:szCs w:val="28"/>
        </w:rPr>
        <w:t xml:space="preserve">Eiropas Parlamenta un Padomes regula </w:t>
      </w:r>
      <w:bookmarkStart w:id="3" w:name="_Hlk532365533"/>
      <w:r w:rsidR="00CD51CE" w:rsidRPr="00CD51CE">
        <w:rPr>
          <w:rFonts w:ascii="Times New Roman" w:hAnsi="Times New Roman"/>
          <w:sz w:val="28"/>
          <w:szCs w:val="28"/>
        </w:rPr>
        <w:t>par enerģētikas savienības un rīcības klimata politikas jomā pārvaldību 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w:t>
      </w:r>
      <w:bookmarkEnd w:id="3"/>
      <w:r w:rsidRPr="00B57F54">
        <w:rPr>
          <w:rStyle w:val="FootnoteReference"/>
          <w:rFonts w:ascii="Times New Roman" w:hAnsi="Times New Roman"/>
          <w:sz w:val="28"/>
          <w:szCs w:val="28"/>
        </w:rPr>
        <w:footnoteReference w:id="4"/>
      </w:r>
      <w:r w:rsidR="004C4AE9" w:rsidRPr="00CD51CE">
        <w:rPr>
          <w:rFonts w:ascii="Times New Roman" w:hAnsi="Times New Roman"/>
          <w:sz w:val="28"/>
          <w:szCs w:val="28"/>
        </w:rPr>
        <w:t xml:space="preserve"> (turpmāk – Enerģētikas savienības pārvaldības regula)</w:t>
      </w:r>
    </w:p>
    <w:p w14:paraId="476E6B91" w14:textId="65753A81" w:rsidR="002B32F1" w:rsidRPr="00CD51CE" w:rsidRDefault="009D6D77" w:rsidP="00CD51CE">
      <w:pPr>
        <w:pStyle w:val="ListParagraph"/>
        <w:widowControl w:val="0"/>
        <w:numPr>
          <w:ilvl w:val="0"/>
          <w:numId w:val="8"/>
        </w:numPr>
        <w:spacing w:before="120" w:after="120" w:line="240" w:lineRule="auto"/>
        <w:ind w:left="397" w:hanging="397"/>
        <w:contextualSpacing w:val="0"/>
        <w:jc w:val="both"/>
        <w:rPr>
          <w:rFonts w:ascii="Times New Roman" w:hAnsi="Times New Roman"/>
          <w:sz w:val="28"/>
          <w:szCs w:val="28"/>
        </w:rPr>
      </w:pPr>
      <w:r>
        <w:rPr>
          <w:rFonts w:ascii="Times New Roman" w:hAnsi="Times New Roman"/>
          <w:sz w:val="28"/>
          <w:szCs w:val="28"/>
        </w:rPr>
        <w:t>Eiropas Parlamenta un Padomes 2014.gada 22.oktobra direktīva Nr.2014/94/ES par alternatīvo degvielu infrastruktūras ieviešanu</w:t>
      </w:r>
      <w:bookmarkStart w:id="4" w:name="_GoBack"/>
      <w:bookmarkEnd w:id="4"/>
      <w:r w:rsidR="00264169" w:rsidRPr="00CD51CE">
        <w:rPr>
          <w:rFonts w:ascii="Times New Roman" w:hAnsi="Times New Roman"/>
          <w:sz w:val="28"/>
          <w:szCs w:val="28"/>
        </w:rPr>
        <w:t>.</w:t>
      </w:r>
    </w:p>
    <w:p w14:paraId="722166B3" w14:textId="77777777" w:rsidR="00017BAC" w:rsidRPr="00B57F54" w:rsidRDefault="00017BAC" w:rsidP="00D51349">
      <w:pPr>
        <w:widowControl w:val="0"/>
        <w:spacing w:before="120" w:after="120" w:line="240" w:lineRule="auto"/>
        <w:jc w:val="both"/>
        <w:rPr>
          <w:rFonts w:ascii="Times New Roman" w:hAnsi="Times New Roman"/>
          <w:b/>
          <w:sz w:val="28"/>
          <w:szCs w:val="28"/>
        </w:rPr>
      </w:pPr>
    </w:p>
    <w:p w14:paraId="066DD6BE" w14:textId="77777777" w:rsidR="003B042A" w:rsidRPr="005B30C8" w:rsidRDefault="005B30C8" w:rsidP="00D51349">
      <w:pPr>
        <w:pStyle w:val="ListParagraph"/>
        <w:numPr>
          <w:ilvl w:val="0"/>
          <w:numId w:val="14"/>
        </w:numPr>
        <w:spacing w:before="120" w:after="120" w:line="240" w:lineRule="auto"/>
        <w:ind w:left="567" w:hanging="567"/>
        <w:contextualSpacing w:val="0"/>
        <w:rPr>
          <w:rFonts w:ascii="Times New Roman" w:hAnsi="Times New Roman"/>
          <w:b/>
          <w:sz w:val="28"/>
          <w:szCs w:val="28"/>
        </w:rPr>
      </w:pPr>
      <w:r>
        <w:rPr>
          <w:rFonts w:ascii="Times New Roman" w:hAnsi="Times New Roman"/>
          <w:b/>
          <w:sz w:val="28"/>
          <w:szCs w:val="28"/>
        </w:rPr>
        <w:t>Plāna aptvērums un saturs</w:t>
      </w:r>
    </w:p>
    <w:p w14:paraId="3ED3F849" w14:textId="1190D3EA" w:rsidR="003B042A" w:rsidRPr="00B57F54" w:rsidRDefault="003B042A" w:rsidP="00D51349">
      <w:pPr>
        <w:widowControl w:val="0"/>
        <w:spacing w:before="120" w:after="120" w:line="240" w:lineRule="auto"/>
        <w:jc w:val="both"/>
        <w:rPr>
          <w:rFonts w:ascii="Times New Roman" w:hAnsi="Times New Roman"/>
          <w:noProof/>
          <w:sz w:val="28"/>
          <w:szCs w:val="28"/>
        </w:rPr>
      </w:pPr>
      <w:r w:rsidRPr="00B57F54">
        <w:rPr>
          <w:rFonts w:ascii="Times New Roman" w:hAnsi="Times New Roman"/>
          <w:noProof/>
          <w:sz w:val="28"/>
          <w:szCs w:val="28"/>
        </w:rPr>
        <w:t>Enerģētikas savienības pārvaldības regula</w:t>
      </w:r>
      <w:r w:rsidRPr="00B57F54">
        <w:rPr>
          <w:rFonts w:ascii="Times New Roman" w:hAnsi="Times New Roman"/>
          <w:sz w:val="28"/>
          <w:szCs w:val="28"/>
        </w:rPr>
        <w:t xml:space="preserve"> aptver visas Enerģētikas savienības dimensijas – enerģētiskā drošība; enerģijas tirgus; energoefektivitāte; dekarbonizācija; pētniecība, inovācijas un konkurētspēja</w:t>
      </w:r>
      <w:r w:rsidR="0055168F">
        <w:rPr>
          <w:rFonts w:ascii="Times New Roman" w:hAnsi="Times New Roman"/>
          <w:sz w:val="28"/>
          <w:szCs w:val="28"/>
        </w:rPr>
        <w:t xml:space="preserve">. </w:t>
      </w:r>
      <w:r w:rsidR="0055168F" w:rsidRPr="0055168F">
        <w:rPr>
          <w:rFonts w:ascii="Times New Roman" w:hAnsi="Times New Roman"/>
          <w:sz w:val="28"/>
          <w:szCs w:val="28"/>
        </w:rPr>
        <w:t>Regula</w:t>
      </w:r>
      <w:r w:rsidRPr="00B57F54">
        <w:rPr>
          <w:rFonts w:ascii="Times New Roman" w:hAnsi="Times New Roman"/>
          <w:noProof/>
          <w:sz w:val="28"/>
          <w:szCs w:val="28"/>
        </w:rPr>
        <w:t xml:space="preserve"> paredz izveidot Enerģētikas savienības pārvaldības mehānismu, lai nodrošinātu tās mērķu sasniegšanu, kā arī mazinātu administratūvo slogu un veiktu pārredzamu un saskaņotu ES un dalībvalstu ziņošanu, tai skaitā ANO Vispārējās konvencijas par klimata pārmaiņām un Parīzes Nolīguma sekretariātam.</w:t>
      </w:r>
    </w:p>
    <w:p w14:paraId="64E8EA60" w14:textId="77777777" w:rsidR="00017BAC" w:rsidRDefault="005B30C8" w:rsidP="00D51349">
      <w:pPr>
        <w:widowControl w:val="0"/>
        <w:spacing w:before="120" w:after="120" w:line="240" w:lineRule="auto"/>
        <w:jc w:val="center"/>
        <w:rPr>
          <w:rFonts w:ascii="Times New Roman" w:hAnsi="Times New Roman"/>
          <w:noProof/>
          <w:sz w:val="28"/>
          <w:szCs w:val="28"/>
        </w:rPr>
      </w:pPr>
      <w:r>
        <w:rPr>
          <w:rFonts w:ascii="Times New Roman" w:hAnsi="Times New Roman"/>
          <w:noProof/>
          <w:sz w:val="28"/>
          <w:szCs w:val="28"/>
        </w:rPr>
        <w:drawing>
          <wp:inline distT="0" distB="0" distL="0" distR="0" wp14:anchorId="64436ABA" wp14:editId="67A5DD13">
            <wp:extent cx="4242482" cy="24253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0232" cy="2435525"/>
                    </a:xfrm>
                    <a:prstGeom prst="rect">
                      <a:avLst/>
                    </a:prstGeom>
                    <a:noFill/>
                  </pic:spPr>
                </pic:pic>
              </a:graphicData>
            </a:graphic>
          </wp:inline>
        </w:drawing>
      </w:r>
    </w:p>
    <w:p w14:paraId="56744741" w14:textId="77777777" w:rsidR="00017BAC" w:rsidRPr="00017BAC" w:rsidRDefault="00017BAC" w:rsidP="00D51349">
      <w:pPr>
        <w:widowControl w:val="0"/>
        <w:spacing w:before="120" w:after="120" w:line="240" w:lineRule="auto"/>
        <w:jc w:val="center"/>
        <w:rPr>
          <w:rFonts w:ascii="Times New Roman" w:hAnsi="Times New Roman"/>
          <w:b/>
          <w:noProof/>
          <w:sz w:val="24"/>
          <w:szCs w:val="24"/>
        </w:rPr>
      </w:pPr>
      <w:r w:rsidRPr="00017BAC">
        <w:rPr>
          <w:rFonts w:ascii="Times New Roman" w:hAnsi="Times New Roman"/>
          <w:b/>
          <w:noProof/>
          <w:sz w:val="24"/>
          <w:szCs w:val="24"/>
        </w:rPr>
        <w:t>1.attēls. Plānā iekļaujamie elementi saskaņā ar Enerģētikas savienības pārvaldības regulu</w:t>
      </w:r>
    </w:p>
    <w:p w14:paraId="45DE7569" w14:textId="7C1E7F56" w:rsidR="00B57F54" w:rsidRPr="00B57F54" w:rsidRDefault="003B042A" w:rsidP="00D51349">
      <w:pPr>
        <w:widowControl w:val="0"/>
        <w:spacing w:before="120" w:after="120" w:line="240" w:lineRule="auto"/>
        <w:jc w:val="both"/>
        <w:rPr>
          <w:rFonts w:ascii="Times New Roman" w:hAnsi="Times New Roman"/>
          <w:sz w:val="28"/>
          <w:szCs w:val="28"/>
        </w:rPr>
      </w:pPr>
      <w:r w:rsidRPr="00B57F54">
        <w:rPr>
          <w:rFonts w:ascii="Times New Roman" w:hAnsi="Times New Roman"/>
          <w:noProof/>
          <w:sz w:val="28"/>
          <w:szCs w:val="28"/>
        </w:rPr>
        <w:t>Enerģētikas savienības pārvaldības regulā ir iekļauti nosacījumi dalībvalstu Plān</w:t>
      </w:r>
      <w:r w:rsidR="005B30C8">
        <w:rPr>
          <w:rFonts w:ascii="Times New Roman" w:hAnsi="Times New Roman"/>
          <w:noProof/>
          <w:sz w:val="28"/>
          <w:szCs w:val="28"/>
        </w:rPr>
        <w:t>u</w:t>
      </w:r>
      <w:r w:rsidRPr="00B57F54">
        <w:rPr>
          <w:rFonts w:ascii="Times New Roman" w:hAnsi="Times New Roman"/>
          <w:sz w:val="28"/>
          <w:szCs w:val="28"/>
        </w:rPr>
        <w:t xml:space="preserve"> </w:t>
      </w:r>
      <w:r w:rsidRPr="00B57F54">
        <w:rPr>
          <w:rFonts w:ascii="Times New Roman" w:hAnsi="Times New Roman"/>
          <w:noProof/>
          <w:sz w:val="28"/>
          <w:szCs w:val="28"/>
        </w:rPr>
        <w:lastRenderedPageBreak/>
        <w:t xml:space="preserve">izveidei, tai skaitā obligāts Plāna saturs (iekļaujamie elementi), </w:t>
      </w:r>
      <w:r w:rsidR="0055168F">
        <w:rPr>
          <w:rFonts w:ascii="Times New Roman" w:hAnsi="Times New Roman"/>
          <w:noProof/>
          <w:sz w:val="28"/>
          <w:szCs w:val="28"/>
        </w:rPr>
        <w:t>P</w:t>
      </w:r>
      <w:r w:rsidRPr="00B57F54">
        <w:rPr>
          <w:rFonts w:ascii="Times New Roman" w:hAnsi="Times New Roman"/>
          <w:noProof/>
          <w:sz w:val="28"/>
          <w:szCs w:val="28"/>
        </w:rPr>
        <w:t>lāna izstrādes un aktualizēšanas termiņi, kā arī ziņošanas prasības.</w:t>
      </w:r>
      <w:r w:rsidR="005B30C8">
        <w:rPr>
          <w:rFonts w:ascii="Times New Roman" w:hAnsi="Times New Roman"/>
          <w:noProof/>
          <w:sz w:val="28"/>
          <w:szCs w:val="28"/>
        </w:rPr>
        <w:t xml:space="preserve"> </w:t>
      </w:r>
    </w:p>
    <w:p w14:paraId="1442244B" w14:textId="77777777" w:rsidR="00017BAC" w:rsidRPr="00D51349" w:rsidRDefault="005B30C8" w:rsidP="00D51349">
      <w:pPr>
        <w:pStyle w:val="ListParagraph"/>
        <w:numPr>
          <w:ilvl w:val="0"/>
          <w:numId w:val="14"/>
        </w:numPr>
        <w:spacing w:before="120" w:after="120" w:line="240" w:lineRule="auto"/>
        <w:ind w:left="567" w:hanging="567"/>
        <w:contextualSpacing w:val="0"/>
        <w:rPr>
          <w:rFonts w:ascii="Times New Roman" w:hAnsi="Times New Roman"/>
          <w:b/>
          <w:sz w:val="28"/>
          <w:szCs w:val="28"/>
        </w:rPr>
      </w:pPr>
      <w:r>
        <w:rPr>
          <w:rFonts w:ascii="Times New Roman" w:hAnsi="Times New Roman"/>
          <w:b/>
          <w:sz w:val="28"/>
          <w:szCs w:val="28"/>
        </w:rPr>
        <w:t xml:space="preserve">Plānā iekļaujamie </w:t>
      </w:r>
      <w:r w:rsidR="00017BAC" w:rsidRPr="005B30C8">
        <w:rPr>
          <w:rFonts w:ascii="Times New Roman" w:hAnsi="Times New Roman"/>
          <w:b/>
          <w:sz w:val="28"/>
          <w:szCs w:val="28"/>
        </w:rPr>
        <w:t xml:space="preserve">ES un Latvijas enerģētikas un klimata pārmaiņu mazināšanas 2030.gada mērķi </w:t>
      </w:r>
    </w:p>
    <w:p w14:paraId="48770B2B" w14:textId="78759619" w:rsidR="002B32F1" w:rsidRPr="00B57F54" w:rsidRDefault="00316396" w:rsidP="00D51349">
      <w:pPr>
        <w:widowControl w:val="0"/>
        <w:spacing w:before="120" w:after="120" w:line="240" w:lineRule="auto"/>
        <w:jc w:val="both"/>
        <w:rPr>
          <w:rFonts w:ascii="Times New Roman" w:hAnsi="Times New Roman"/>
          <w:sz w:val="28"/>
          <w:szCs w:val="28"/>
        </w:rPr>
      </w:pPr>
      <w:r w:rsidRPr="00B57F54">
        <w:rPr>
          <w:rFonts w:ascii="Times New Roman" w:hAnsi="Times New Roman"/>
          <w:sz w:val="28"/>
          <w:szCs w:val="28"/>
        </w:rPr>
        <w:t xml:space="preserve">Šobrīd </w:t>
      </w:r>
      <w:r w:rsidR="0055168F">
        <w:rPr>
          <w:rFonts w:ascii="Times New Roman" w:hAnsi="Times New Roman"/>
          <w:sz w:val="28"/>
          <w:szCs w:val="28"/>
        </w:rPr>
        <w:t>ir</w:t>
      </w:r>
      <w:r w:rsidR="002B32F1" w:rsidRPr="00B57F54">
        <w:rPr>
          <w:rFonts w:ascii="Times New Roman" w:hAnsi="Times New Roman"/>
          <w:sz w:val="28"/>
          <w:szCs w:val="28"/>
        </w:rPr>
        <w:t xml:space="preserve"> apstiprināti </w:t>
      </w:r>
      <w:r w:rsidR="0055168F">
        <w:rPr>
          <w:rFonts w:ascii="Times New Roman" w:hAnsi="Times New Roman"/>
          <w:sz w:val="28"/>
          <w:szCs w:val="28"/>
        </w:rPr>
        <w:t xml:space="preserve">šādi </w:t>
      </w:r>
      <w:r w:rsidR="009A11D2">
        <w:rPr>
          <w:rFonts w:ascii="Times New Roman" w:hAnsi="Times New Roman"/>
          <w:sz w:val="28"/>
          <w:szCs w:val="28"/>
        </w:rPr>
        <w:t>galvenie ES</w:t>
      </w:r>
      <w:r w:rsidR="002B32F1" w:rsidRPr="00B57F54">
        <w:rPr>
          <w:rFonts w:ascii="Times New Roman" w:hAnsi="Times New Roman"/>
          <w:sz w:val="28"/>
          <w:szCs w:val="28"/>
        </w:rPr>
        <w:t xml:space="preserve"> un katras ES dalībvalsts saistošie un indikatīvie</w:t>
      </w:r>
      <w:r w:rsidR="00E44D2F" w:rsidRPr="00B57F54">
        <w:rPr>
          <w:rFonts w:ascii="Times New Roman" w:hAnsi="Times New Roman"/>
          <w:sz w:val="28"/>
          <w:szCs w:val="28"/>
        </w:rPr>
        <w:t xml:space="preserve"> Enerģētikas savienības dimensiju </w:t>
      </w:r>
      <w:r w:rsidR="002B32F1" w:rsidRPr="00B57F54">
        <w:rPr>
          <w:rFonts w:ascii="Times New Roman" w:hAnsi="Times New Roman"/>
          <w:sz w:val="28"/>
          <w:szCs w:val="28"/>
        </w:rPr>
        <w:t>mērķi, mērķrādītāji vai nosacījumi enerģētikas un klimata jomā:</w:t>
      </w:r>
    </w:p>
    <w:p w14:paraId="19F44AC3" w14:textId="77777777" w:rsidR="002B32F1" w:rsidRPr="004477A2" w:rsidRDefault="002B32F1" w:rsidP="00D51349">
      <w:pPr>
        <w:pStyle w:val="ListParagraph"/>
        <w:numPr>
          <w:ilvl w:val="0"/>
          <w:numId w:val="10"/>
        </w:numPr>
        <w:spacing w:before="120" w:after="120" w:line="240" w:lineRule="auto"/>
        <w:contextualSpacing w:val="0"/>
        <w:jc w:val="both"/>
        <w:rPr>
          <w:rFonts w:ascii="Times New Roman" w:eastAsia="Times New Roman" w:hAnsi="Times New Roman"/>
          <w:b/>
          <w:sz w:val="28"/>
          <w:szCs w:val="28"/>
        </w:rPr>
      </w:pPr>
      <w:r w:rsidRPr="004477A2">
        <w:rPr>
          <w:rFonts w:ascii="Times New Roman" w:eastAsia="Times New Roman" w:hAnsi="Times New Roman"/>
          <w:b/>
          <w:sz w:val="28"/>
          <w:szCs w:val="28"/>
        </w:rPr>
        <w:t>Siltumnīcefekta gāzu emisiju samazināšana</w:t>
      </w:r>
    </w:p>
    <w:p w14:paraId="4BE4E205" w14:textId="77777777" w:rsidR="002B32F1" w:rsidRPr="00B57F54" w:rsidRDefault="002B32F1" w:rsidP="00D51349">
      <w:pPr>
        <w:spacing w:before="120" w:after="120" w:line="240" w:lineRule="auto"/>
        <w:jc w:val="both"/>
        <w:rPr>
          <w:rFonts w:ascii="Times New Roman" w:eastAsia="Times New Roman" w:hAnsi="Times New Roman"/>
          <w:sz w:val="28"/>
          <w:szCs w:val="28"/>
        </w:rPr>
      </w:pPr>
      <w:r w:rsidRPr="00B57F54">
        <w:rPr>
          <w:rFonts w:ascii="Times New Roman" w:eastAsia="Times New Roman" w:hAnsi="Times New Roman"/>
          <w:sz w:val="28"/>
          <w:szCs w:val="28"/>
        </w:rPr>
        <w:t xml:space="preserve">ES ietvaros ir noteikts kopējs ES siltumnīcefekta gāzu (turpmāk – SEG) emisiju samazināšanas mērķis, un tas ir sadalīts divās daļās – </w:t>
      </w:r>
      <w:r w:rsidR="0055168F">
        <w:rPr>
          <w:rFonts w:ascii="Times New Roman" w:eastAsia="Times New Roman" w:hAnsi="Times New Roman"/>
          <w:sz w:val="28"/>
          <w:szCs w:val="28"/>
        </w:rPr>
        <w:t>ES emisijas kvotu tirdzniecības sistēmā (</w:t>
      </w:r>
      <w:r w:rsidR="00404978">
        <w:rPr>
          <w:rFonts w:ascii="Times New Roman" w:eastAsia="Times New Roman" w:hAnsi="Times New Roman"/>
          <w:sz w:val="28"/>
          <w:szCs w:val="28"/>
        </w:rPr>
        <w:t xml:space="preserve">turpmāk – </w:t>
      </w:r>
      <w:r w:rsidRPr="00B57F54">
        <w:rPr>
          <w:rFonts w:ascii="Times New Roman" w:eastAsia="Times New Roman" w:hAnsi="Times New Roman"/>
          <w:sz w:val="28"/>
          <w:szCs w:val="28"/>
        </w:rPr>
        <w:t>ETS</w:t>
      </w:r>
      <w:r w:rsidR="00404978">
        <w:rPr>
          <w:rFonts w:ascii="Times New Roman" w:eastAsia="Times New Roman" w:hAnsi="Times New Roman"/>
          <w:sz w:val="28"/>
          <w:szCs w:val="28"/>
        </w:rPr>
        <w:t>)</w:t>
      </w:r>
      <w:r w:rsidRPr="00B57F54">
        <w:rPr>
          <w:rFonts w:ascii="Times New Roman" w:eastAsia="Times New Roman" w:hAnsi="Times New Roman"/>
          <w:sz w:val="28"/>
          <w:szCs w:val="28"/>
        </w:rPr>
        <w:t xml:space="preserve"> iekļautās darbības un ETS neiekļautās darbības (turpmāk – ne-ETS). ES noteiktie kopīgie mērķi periodam no 2021.gada līdz 2030.gadam:</w:t>
      </w:r>
    </w:p>
    <w:p w14:paraId="26BFC916" w14:textId="57F41AA0" w:rsidR="002B32F1" w:rsidRPr="00B57F54" w:rsidRDefault="002B32F1" w:rsidP="00D51349">
      <w:pPr>
        <w:pStyle w:val="ListParagraph"/>
        <w:numPr>
          <w:ilvl w:val="0"/>
          <w:numId w:val="16"/>
        </w:numPr>
        <w:spacing w:before="120" w:after="120" w:line="240" w:lineRule="auto"/>
        <w:ind w:left="397" w:hanging="397"/>
        <w:contextualSpacing w:val="0"/>
        <w:jc w:val="both"/>
        <w:rPr>
          <w:rFonts w:ascii="Times New Roman" w:eastAsia="Times New Roman" w:hAnsi="Times New Roman"/>
          <w:sz w:val="28"/>
          <w:szCs w:val="28"/>
        </w:rPr>
      </w:pPr>
      <w:r w:rsidRPr="00B57F54">
        <w:rPr>
          <w:rFonts w:ascii="Times New Roman" w:eastAsia="Times New Roman" w:hAnsi="Times New Roman"/>
          <w:sz w:val="28"/>
          <w:szCs w:val="28"/>
        </w:rPr>
        <w:t>ETS operatoriem kopīgi visā ES ir jāsamazina SEG emisiju apjoms par 43 % periodā (salīdzinot ar šo ETS operatoru SEG emisiju apjomu 2005. gadā)</w:t>
      </w:r>
      <w:r w:rsidR="00404978">
        <w:rPr>
          <w:rFonts w:ascii="Times New Roman" w:eastAsia="Times New Roman" w:hAnsi="Times New Roman"/>
          <w:sz w:val="28"/>
          <w:szCs w:val="28"/>
        </w:rPr>
        <w:t>;</w:t>
      </w:r>
      <w:r w:rsidRPr="00B57F54">
        <w:rPr>
          <w:rFonts w:ascii="Times New Roman" w:eastAsia="Times New Roman" w:hAnsi="Times New Roman"/>
          <w:sz w:val="28"/>
          <w:szCs w:val="28"/>
        </w:rPr>
        <w:t xml:space="preserve"> </w:t>
      </w:r>
    </w:p>
    <w:p w14:paraId="269220B8" w14:textId="4AAE4D9B" w:rsidR="002B32F1" w:rsidRPr="00B57F54" w:rsidRDefault="002B32F1" w:rsidP="00D51349">
      <w:pPr>
        <w:pStyle w:val="ListParagraph"/>
        <w:numPr>
          <w:ilvl w:val="0"/>
          <w:numId w:val="16"/>
        </w:numPr>
        <w:spacing w:before="120" w:after="120" w:line="240" w:lineRule="auto"/>
        <w:ind w:left="397" w:hanging="397"/>
        <w:contextualSpacing w:val="0"/>
        <w:jc w:val="both"/>
        <w:rPr>
          <w:rFonts w:ascii="Times New Roman" w:eastAsia="Times New Roman" w:hAnsi="Times New Roman"/>
          <w:sz w:val="28"/>
          <w:szCs w:val="28"/>
        </w:rPr>
      </w:pPr>
      <w:r w:rsidRPr="00B57F54">
        <w:rPr>
          <w:rFonts w:ascii="Times New Roman" w:eastAsia="Times New Roman" w:hAnsi="Times New Roman"/>
          <w:sz w:val="28"/>
          <w:szCs w:val="28"/>
        </w:rPr>
        <w:t xml:space="preserve">ne-ETS </w:t>
      </w:r>
      <w:r w:rsidR="00404978">
        <w:rPr>
          <w:rFonts w:ascii="Times New Roman" w:eastAsia="Times New Roman" w:hAnsi="Times New Roman"/>
          <w:sz w:val="28"/>
          <w:szCs w:val="28"/>
        </w:rPr>
        <w:t xml:space="preserve">darbību </w:t>
      </w:r>
      <w:r w:rsidR="00404978" w:rsidRPr="00404978">
        <w:rPr>
          <w:rFonts w:ascii="Times New Roman" w:eastAsia="Times New Roman" w:hAnsi="Times New Roman"/>
          <w:sz w:val="28"/>
          <w:szCs w:val="28"/>
        </w:rPr>
        <w:t xml:space="preserve">kopējais </w:t>
      </w:r>
      <w:r w:rsidRPr="00B57F54">
        <w:rPr>
          <w:rFonts w:ascii="Times New Roman" w:eastAsia="Times New Roman" w:hAnsi="Times New Roman"/>
          <w:sz w:val="28"/>
          <w:szCs w:val="28"/>
        </w:rPr>
        <w:t xml:space="preserve">SEG emisiju apjoms </w:t>
      </w:r>
      <w:r w:rsidR="00404978" w:rsidRPr="00404978">
        <w:rPr>
          <w:rFonts w:ascii="Times New Roman" w:eastAsia="Times New Roman" w:hAnsi="Times New Roman"/>
          <w:sz w:val="28"/>
          <w:szCs w:val="28"/>
        </w:rPr>
        <w:t xml:space="preserve">ES </w:t>
      </w:r>
      <w:r w:rsidRPr="00B57F54">
        <w:rPr>
          <w:rFonts w:ascii="Times New Roman" w:eastAsia="Times New Roman" w:hAnsi="Times New Roman"/>
          <w:sz w:val="28"/>
          <w:szCs w:val="28"/>
        </w:rPr>
        <w:t>ir jāsamazina par 30 % periodā (salīdzinot ar šo ne-ETS darbību SEG emisiju apjomu 2005. gadā).</w:t>
      </w:r>
    </w:p>
    <w:p w14:paraId="4EFDF082" w14:textId="77777777" w:rsidR="002B32F1" w:rsidRPr="00B57F54" w:rsidRDefault="002B32F1" w:rsidP="00D51349">
      <w:pPr>
        <w:spacing w:before="120" w:after="120" w:line="240" w:lineRule="auto"/>
        <w:jc w:val="both"/>
        <w:rPr>
          <w:rFonts w:ascii="Times New Roman" w:hAnsi="Times New Roman"/>
          <w:sz w:val="28"/>
          <w:szCs w:val="28"/>
        </w:rPr>
      </w:pPr>
      <w:r w:rsidRPr="00B57F54">
        <w:rPr>
          <w:rFonts w:ascii="Times New Roman" w:eastAsia="Times New Roman" w:hAnsi="Times New Roman"/>
          <w:sz w:val="28"/>
          <w:szCs w:val="28"/>
        </w:rPr>
        <w:t>ETS mērķa izpildes organizēšana ir EK atbildība. Šī mērķa izpildei ar ES normatīvo regulējumu</w:t>
      </w:r>
      <w:r w:rsidRPr="00B57F54" w:rsidDel="00CB5C99">
        <w:rPr>
          <w:rFonts w:ascii="Times New Roman" w:eastAsia="Times New Roman" w:hAnsi="Times New Roman"/>
          <w:sz w:val="28"/>
          <w:szCs w:val="28"/>
        </w:rPr>
        <w:t xml:space="preserve"> </w:t>
      </w:r>
      <w:r w:rsidRPr="00B57F54">
        <w:rPr>
          <w:rFonts w:ascii="Times New Roman" w:eastAsia="Times New Roman" w:hAnsi="Times New Roman"/>
          <w:sz w:val="28"/>
          <w:szCs w:val="28"/>
        </w:rPr>
        <w:t xml:space="preserve">ir apstiprināti ETS darbības nosacījumi un noteikta ETS operatoru atbildība. ETS operatoru SEG emisiju apjoma samazināšanas pasākumi ir harmonizētā veidā noteikti </w:t>
      </w:r>
      <w:r w:rsidRPr="00B57F54">
        <w:rPr>
          <w:rFonts w:ascii="Times New Roman" w:hAnsi="Times New Roman"/>
          <w:sz w:val="28"/>
          <w:szCs w:val="28"/>
        </w:rPr>
        <w:t>Direktīvā 2003/87/EK</w:t>
      </w:r>
      <w:r w:rsidRPr="00B57F54">
        <w:rPr>
          <w:rStyle w:val="FootnoteReference"/>
          <w:rFonts w:ascii="Times New Roman" w:eastAsia="Times New Roman" w:hAnsi="Times New Roman"/>
          <w:sz w:val="28"/>
          <w:szCs w:val="28"/>
        </w:rPr>
        <w:t xml:space="preserve"> </w:t>
      </w:r>
      <w:r w:rsidRPr="00B57F54">
        <w:rPr>
          <w:rStyle w:val="FootnoteReference"/>
          <w:rFonts w:ascii="Times New Roman" w:eastAsia="Times New Roman" w:hAnsi="Times New Roman"/>
          <w:sz w:val="28"/>
          <w:szCs w:val="28"/>
        </w:rPr>
        <w:footnoteReference w:id="5"/>
      </w:r>
      <w:r w:rsidRPr="00B57F54">
        <w:rPr>
          <w:rStyle w:val="FootnoteReference"/>
          <w:rFonts w:ascii="Times New Roman" w:eastAsia="Times New Roman" w:hAnsi="Times New Roman"/>
          <w:sz w:val="28"/>
          <w:szCs w:val="28"/>
          <w:vertAlign w:val="baseline"/>
        </w:rPr>
        <w:t xml:space="preserve"> un tās jaunākajos grozījumos – Direktīvā 2018/410</w:t>
      </w:r>
      <w:r w:rsidRPr="00B57F54">
        <w:rPr>
          <w:rFonts w:ascii="Times New Roman" w:eastAsia="Times New Roman" w:hAnsi="Times New Roman"/>
          <w:sz w:val="28"/>
          <w:szCs w:val="28"/>
        </w:rPr>
        <w:t xml:space="preserve">, un šo pasākumu izstrādi un īstenošanu nodrošina EK kopā ar ES dalībvalstīm, īstenojot </w:t>
      </w:r>
      <w:r w:rsidRPr="00B57F54">
        <w:rPr>
          <w:rFonts w:ascii="Times New Roman" w:hAnsi="Times New Roman"/>
          <w:sz w:val="28"/>
          <w:szCs w:val="28"/>
        </w:rPr>
        <w:t>Direktīvā 2003/87/EK</w:t>
      </w:r>
      <w:r w:rsidRPr="00B57F54">
        <w:rPr>
          <w:rFonts w:ascii="Times New Roman" w:eastAsia="Times New Roman" w:hAnsi="Times New Roman"/>
          <w:sz w:val="28"/>
          <w:szCs w:val="28"/>
        </w:rPr>
        <w:t xml:space="preserve"> noteiktās prasības un nosacījumus. ETS piedalās arī Latvijas komersanti.</w:t>
      </w:r>
    </w:p>
    <w:p w14:paraId="7F0097DE" w14:textId="18A807A8" w:rsidR="002B32F1" w:rsidRPr="00B57F54" w:rsidRDefault="002B32F1" w:rsidP="00D51349">
      <w:pPr>
        <w:spacing w:before="120" w:after="120" w:line="240" w:lineRule="auto"/>
        <w:jc w:val="both"/>
        <w:rPr>
          <w:rFonts w:ascii="Times New Roman" w:eastAsia="Times New Roman" w:hAnsi="Times New Roman"/>
          <w:sz w:val="28"/>
          <w:szCs w:val="28"/>
        </w:rPr>
      </w:pPr>
      <w:r w:rsidRPr="00B57F54">
        <w:rPr>
          <w:rFonts w:ascii="Times New Roman" w:eastAsia="Times New Roman" w:hAnsi="Times New Roman"/>
          <w:sz w:val="28"/>
          <w:szCs w:val="28"/>
        </w:rPr>
        <w:t>Ne-ETS SEG emisiju samazināšanas mērķa (turpmāk – ne-ETS mērķis) izpildes saistības ir pārdalītas katrai ES dalībvalstij, t.sk. Latvijai. Dalībvalstu ne-ETS mērķi un prasības atbilstības mērķiem nodrošināšanai ir noteikti Regulā 2018/842</w:t>
      </w:r>
      <w:r w:rsidRPr="00B57F54">
        <w:rPr>
          <w:rStyle w:val="FootnoteReference"/>
          <w:rFonts w:ascii="Times New Roman" w:eastAsia="Times New Roman" w:hAnsi="Times New Roman"/>
          <w:sz w:val="28"/>
          <w:szCs w:val="28"/>
        </w:rPr>
        <w:footnoteReference w:id="6"/>
      </w:r>
      <w:r w:rsidRPr="00B57F54">
        <w:rPr>
          <w:rFonts w:ascii="Times New Roman" w:eastAsia="Times New Roman" w:hAnsi="Times New Roman"/>
          <w:sz w:val="28"/>
          <w:szCs w:val="28"/>
        </w:rPr>
        <w:t>. Latvijai periodā no 2021. gada līdz 2030.gadam ir nepieciešams nodrošināt 6% ne-ETS darbību SEG emisiju samazinājumu salīdzinot ar Latvijas ne-ETS darbību SEG emisiju apjomu 2005. gadā. Perioda kopējais mērķis ir sadalīts arī ikgadējos saistošos mērķos.</w:t>
      </w:r>
    </w:p>
    <w:p w14:paraId="54CF2E63" w14:textId="77777777" w:rsidR="002B32F1" w:rsidRPr="00A93F31" w:rsidRDefault="002B32F1" w:rsidP="00D51349">
      <w:pPr>
        <w:pStyle w:val="ListParagraph"/>
        <w:numPr>
          <w:ilvl w:val="0"/>
          <w:numId w:val="10"/>
        </w:numPr>
        <w:spacing w:before="120" w:after="120" w:line="240" w:lineRule="auto"/>
        <w:contextualSpacing w:val="0"/>
        <w:jc w:val="both"/>
        <w:rPr>
          <w:rFonts w:ascii="Times New Roman" w:eastAsia="Times New Roman" w:hAnsi="Times New Roman"/>
          <w:b/>
          <w:sz w:val="28"/>
          <w:szCs w:val="28"/>
        </w:rPr>
      </w:pPr>
      <w:r w:rsidRPr="00A93F31">
        <w:rPr>
          <w:rFonts w:ascii="Times New Roman" w:eastAsia="Times New Roman" w:hAnsi="Times New Roman"/>
          <w:b/>
          <w:sz w:val="28"/>
          <w:szCs w:val="28"/>
        </w:rPr>
        <w:t>Zemes izmantošanas, zemes izmantošanas maiņas un mežsaimniecības darbību nosacījumi</w:t>
      </w:r>
    </w:p>
    <w:p w14:paraId="2B3366DB" w14:textId="77777777" w:rsidR="002B32F1" w:rsidRPr="00B57F54" w:rsidRDefault="002B32F1" w:rsidP="00D51349">
      <w:pPr>
        <w:spacing w:before="120" w:after="120" w:line="240" w:lineRule="auto"/>
        <w:jc w:val="both"/>
        <w:rPr>
          <w:rFonts w:ascii="Times New Roman" w:hAnsi="Times New Roman"/>
          <w:sz w:val="28"/>
          <w:szCs w:val="28"/>
        </w:rPr>
      </w:pPr>
      <w:r w:rsidRPr="00B57F54">
        <w:rPr>
          <w:rFonts w:ascii="Times New Roman" w:hAnsi="Times New Roman"/>
          <w:sz w:val="28"/>
          <w:szCs w:val="28"/>
        </w:rPr>
        <w:t>ES dalībvalstīm periodam pēc 2020. gada ar Regulu 2018/841 ir noteiktas saistības un SEG emisiju un CO</w:t>
      </w:r>
      <w:r w:rsidRPr="00B57F54">
        <w:rPr>
          <w:rFonts w:ascii="Times New Roman" w:hAnsi="Times New Roman"/>
          <w:sz w:val="28"/>
          <w:szCs w:val="28"/>
          <w:vertAlign w:val="subscript"/>
        </w:rPr>
        <w:t xml:space="preserve">2 </w:t>
      </w:r>
      <w:r w:rsidRPr="00B57F54">
        <w:rPr>
          <w:rFonts w:ascii="Times New Roman" w:hAnsi="Times New Roman"/>
          <w:sz w:val="28"/>
          <w:szCs w:val="28"/>
        </w:rPr>
        <w:t xml:space="preserve">uzskaites noteikumi zemes izmantošanas, zemes izmantošanas maiņas un mežsaimniecības (turpmāk – ZIZIMM) sektorā. Saskaņā ar Regulas 2018/841 4. pantā noteikto, Latvijai, ņemot vērā noteiktās elastības </w:t>
      </w:r>
      <w:r w:rsidRPr="00B57F54">
        <w:rPr>
          <w:rFonts w:ascii="Times New Roman" w:hAnsi="Times New Roman"/>
          <w:sz w:val="28"/>
          <w:szCs w:val="28"/>
        </w:rPr>
        <w:lastRenderedPageBreak/>
        <w:t>iespējas, ir jānodrošina, ka atbilstoši regulā noteiktajiem uzskaites noteikumiem uzskaitīto SEG emisiju summa nepārsniedz uzskaitītās CO</w:t>
      </w:r>
      <w:r w:rsidRPr="00B57F54">
        <w:rPr>
          <w:rFonts w:ascii="Times New Roman" w:hAnsi="Times New Roman"/>
          <w:sz w:val="28"/>
          <w:szCs w:val="28"/>
          <w:vertAlign w:val="subscript"/>
        </w:rPr>
        <w:t>2</w:t>
      </w:r>
      <w:r w:rsidRPr="00B57F54">
        <w:rPr>
          <w:rFonts w:ascii="Times New Roman" w:hAnsi="Times New Roman"/>
          <w:sz w:val="28"/>
          <w:szCs w:val="28"/>
        </w:rPr>
        <w:t xml:space="preserve"> piesaistes summu  Regulas 2018/841 2.pantā minētajās zemes uzskaites kategorijās</w:t>
      </w:r>
      <w:r w:rsidRPr="00B57F54">
        <w:rPr>
          <w:rFonts w:ascii="Times New Roman" w:hAnsi="Times New Roman"/>
          <w:b/>
          <w:sz w:val="28"/>
          <w:szCs w:val="28"/>
        </w:rPr>
        <w:t xml:space="preserve"> </w:t>
      </w:r>
      <w:r w:rsidRPr="00B57F54">
        <w:rPr>
          <w:rFonts w:ascii="Times New Roman" w:hAnsi="Times New Roman"/>
          <w:sz w:val="28"/>
          <w:szCs w:val="28"/>
        </w:rPr>
        <w:t>– “apmežota zeme”, “atmežota zeme”, “apsaimniekota aramzeme”, “apsaimniekoti zālāji”, “apsaimniekota meža zeme”, “apsaimniekoti mitrāji” (uzskaitē no 2026.gada) ”.</w:t>
      </w:r>
    </w:p>
    <w:p w14:paraId="6DFD9FB2" w14:textId="77777777" w:rsidR="002B32F1" w:rsidRPr="00A93F31" w:rsidRDefault="002B32F1" w:rsidP="00D51349">
      <w:pPr>
        <w:pStyle w:val="ListParagraph"/>
        <w:numPr>
          <w:ilvl w:val="0"/>
          <w:numId w:val="10"/>
        </w:numPr>
        <w:spacing w:before="120" w:after="120" w:line="240" w:lineRule="auto"/>
        <w:contextualSpacing w:val="0"/>
        <w:jc w:val="both"/>
        <w:rPr>
          <w:rFonts w:ascii="Times New Roman" w:eastAsia="Times New Roman" w:hAnsi="Times New Roman"/>
          <w:b/>
          <w:sz w:val="28"/>
          <w:szCs w:val="28"/>
        </w:rPr>
      </w:pPr>
      <w:r w:rsidRPr="00A93F31">
        <w:rPr>
          <w:rFonts w:ascii="Times New Roman" w:eastAsia="Times New Roman" w:hAnsi="Times New Roman"/>
          <w:b/>
          <w:sz w:val="28"/>
          <w:szCs w:val="28"/>
        </w:rPr>
        <w:t>Atjaunojamo energoresursu izmantošana</w:t>
      </w:r>
    </w:p>
    <w:p w14:paraId="35E45C16" w14:textId="7AFE17E9" w:rsidR="00C04A6A" w:rsidRDefault="00C04A6A" w:rsidP="00D51349">
      <w:pPr>
        <w:spacing w:before="120" w:after="120" w:line="240" w:lineRule="auto"/>
        <w:jc w:val="both"/>
        <w:rPr>
          <w:rFonts w:ascii="Times New Roman" w:hAnsi="Times New Roman"/>
          <w:sz w:val="28"/>
          <w:szCs w:val="28"/>
          <w:lang w:eastAsia="lv-LV"/>
        </w:rPr>
      </w:pPr>
      <w:r w:rsidRPr="00B57F54">
        <w:rPr>
          <w:rFonts w:ascii="Times New Roman" w:hAnsi="Times New Roman"/>
          <w:sz w:val="28"/>
          <w:szCs w:val="28"/>
          <w:lang w:eastAsia="lv-LV"/>
        </w:rPr>
        <w:t xml:space="preserve">ES ietvaros visām dalībvalstīm kopējs saistošs mērķis 2030.gadam </w:t>
      </w:r>
      <w:r w:rsidR="00B31AC0">
        <w:rPr>
          <w:rFonts w:ascii="Times New Roman" w:hAnsi="Times New Roman"/>
          <w:sz w:val="28"/>
          <w:szCs w:val="28"/>
          <w:lang w:eastAsia="lv-LV"/>
        </w:rPr>
        <w:t xml:space="preserve">AER </w:t>
      </w:r>
      <w:r w:rsidRPr="00B57F54">
        <w:rPr>
          <w:rFonts w:ascii="Times New Roman" w:hAnsi="Times New Roman"/>
          <w:sz w:val="28"/>
          <w:szCs w:val="28"/>
          <w:lang w:eastAsia="lv-LV"/>
        </w:rPr>
        <w:t xml:space="preserve">no ES </w:t>
      </w:r>
      <w:r w:rsidRPr="003374D5">
        <w:rPr>
          <w:rFonts w:ascii="Times New Roman" w:hAnsi="Times New Roman"/>
          <w:sz w:val="28"/>
          <w:szCs w:val="28"/>
          <w:lang w:eastAsia="lv-LV"/>
        </w:rPr>
        <w:t xml:space="preserve">kopējā enerģijas gala patēriņa ir noteikts </w:t>
      </w:r>
      <w:r w:rsidRPr="003374D5">
        <w:rPr>
          <w:rFonts w:ascii="Times New Roman" w:hAnsi="Times New Roman"/>
          <w:sz w:val="28"/>
          <w:szCs w:val="28"/>
        </w:rPr>
        <w:t xml:space="preserve">Direktīvas 2009/28/EK </w:t>
      </w:r>
      <w:r w:rsidR="00F54118" w:rsidRPr="003374D5">
        <w:rPr>
          <w:rFonts w:ascii="Times New Roman" w:hAnsi="Times New Roman"/>
          <w:sz w:val="28"/>
          <w:szCs w:val="28"/>
        </w:rPr>
        <w:t>grozījumos</w:t>
      </w:r>
      <w:r w:rsidRPr="003374D5">
        <w:rPr>
          <w:rStyle w:val="FootnoteReference"/>
          <w:rFonts w:ascii="Times New Roman" w:hAnsi="Times New Roman"/>
          <w:sz w:val="28"/>
          <w:szCs w:val="28"/>
        </w:rPr>
        <w:footnoteReference w:id="7"/>
      </w:r>
      <w:r w:rsidRPr="003374D5">
        <w:rPr>
          <w:rFonts w:ascii="Times New Roman" w:hAnsi="Times New Roman"/>
          <w:sz w:val="28"/>
          <w:szCs w:val="28"/>
          <w:vertAlign w:val="superscript"/>
          <w:lang w:eastAsia="lv-LV"/>
        </w:rPr>
        <w:t>,</w:t>
      </w:r>
      <w:r w:rsidRPr="003374D5">
        <w:rPr>
          <w:rStyle w:val="FootnoteReference"/>
          <w:rFonts w:ascii="Times New Roman" w:hAnsi="Times New Roman"/>
          <w:sz w:val="28"/>
          <w:szCs w:val="28"/>
        </w:rPr>
        <w:footnoteReference w:id="8"/>
      </w:r>
      <w:r w:rsidRPr="003374D5">
        <w:rPr>
          <w:rFonts w:ascii="Times New Roman" w:hAnsi="Times New Roman"/>
          <w:sz w:val="28"/>
          <w:szCs w:val="28"/>
          <w:lang w:eastAsia="lv-LV"/>
        </w:rPr>
        <w:t xml:space="preserve"> - 32% AER īpatsvars kopējā ES enerģijas gala patēriņā, kur 2020.gada nacionālie mērķi ir bāzes līnija (AER daļa enerģijas gala patēriņā dalībvalstīm no 2021.gada nevar būt mazāka par 2020.gada nacionālajiem mērķiem). Visām ES </w:t>
      </w:r>
      <w:r w:rsidR="000A4FBB" w:rsidRPr="003374D5">
        <w:rPr>
          <w:rFonts w:ascii="Times New Roman" w:hAnsi="Times New Roman"/>
          <w:sz w:val="28"/>
          <w:szCs w:val="28"/>
          <w:lang w:eastAsia="lv-LV"/>
        </w:rPr>
        <w:t>dalībvalstīm</w:t>
      </w:r>
      <w:r w:rsidRPr="003374D5">
        <w:rPr>
          <w:rFonts w:ascii="Times New Roman" w:hAnsi="Times New Roman"/>
          <w:sz w:val="28"/>
          <w:szCs w:val="28"/>
          <w:lang w:eastAsia="lv-LV"/>
        </w:rPr>
        <w:t xml:space="preserve"> ir jānosaka savi nacionālie devumi kopējā ES mērķa izpildei</w:t>
      </w:r>
      <w:r w:rsidR="00074154" w:rsidRPr="003374D5">
        <w:rPr>
          <w:rFonts w:ascii="Times New Roman" w:hAnsi="Times New Roman"/>
          <w:sz w:val="28"/>
          <w:szCs w:val="28"/>
          <w:lang w:eastAsia="lv-LV"/>
        </w:rPr>
        <w:t>, ievērojot to, ka 2030.gada mērķis nedrīkst būt zemāks nekā 2020.gada mērķis</w:t>
      </w:r>
      <w:r w:rsidRPr="003374D5">
        <w:rPr>
          <w:rFonts w:ascii="Times New Roman" w:hAnsi="Times New Roman"/>
          <w:sz w:val="28"/>
          <w:szCs w:val="28"/>
          <w:lang w:eastAsia="lv-LV"/>
        </w:rPr>
        <w:t>.</w:t>
      </w:r>
      <w:r w:rsidR="00CF7442">
        <w:rPr>
          <w:rFonts w:ascii="Times New Roman" w:hAnsi="Times New Roman"/>
          <w:sz w:val="28"/>
          <w:szCs w:val="28"/>
          <w:lang w:eastAsia="lv-LV"/>
        </w:rPr>
        <w:t xml:space="preserve"> Attiecīgi Latvijas noteiktais AER mērķis nevar būt mazāks par 40%.</w:t>
      </w:r>
      <w:r w:rsidR="002E0A25">
        <w:rPr>
          <w:rFonts w:ascii="Times New Roman" w:hAnsi="Times New Roman"/>
          <w:sz w:val="28"/>
          <w:szCs w:val="28"/>
          <w:lang w:eastAsia="lv-LV"/>
        </w:rPr>
        <w:t xml:space="preserve"> Vienlaikus, ņemot vērā ES mērķa būtisko pieaugu</w:t>
      </w:r>
      <w:r w:rsidR="00E14C97">
        <w:rPr>
          <w:rFonts w:ascii="Times New Roman" w:hAnsi="Times New Roman"/>
          <w:sz w:val="28"/>
          <w:szCs w:val="28"/>
          <w:lang w:eastAsia="lv-LV"/>
        </w:rPr>
        <w:t>mu 2030.gadam salīdzinājumā ar 2020.gadu (12 % punkti), visām ES dalībvalstīm savs ieguldījums AER veicināšanā būs jāpalielina.</w:t>
      </w:r>
    </w:p>
    <w:p w14:paraId="56FFCAA2" w14:textId="2696BB72" w:rsidR="00E14C97" w:rsidRPr="003374D5" w:rsidRDefault="00E14C97" w:rsidP="00D51349">
      <w:pPr>
        <w:spacing w:before="120" w:after="120" w:line="240" w:lineRule="auto"/>
        <w:jc w:val="both"/>
        <w:rPr>
          <w:rFonts w:ascii="Times New Roman" w:hAnsi="Times New Roman"/>
          <w:sz w:val="28"/>
          <w:szCs w:val="28"/>
          <w:lang w:eastAsia="lv-LV"/>
        </w:rPr>
      </w:pPr>
      <w:r w:rsidRPr="003374D5">
        <w:rPr>
          <w:rFonts w:ascii="Times New Roman" w:hAnsi="Times New Roman"/>
          <w:sz w:val="28"/>
          <w:szCs w:val="28"/>
          <w:lang w:eastAsia="lv-LV"/>
        </w:rPr>
        <w:t xml:space="preserve">Latvijā AER īpatsvars </w:t>
      </w:r>
      <w:r>
        <w:rPr>
          <w:rFonts w:ascii="Times New Roman" w:hAnsi="Times New Roman"/>
          <w:sz w:val="28"/>
          <w:szCs w:val="28"/>
          <w:lang w:eastAsia="lv-LV"/>
        </w:rPr>
        <w:t>kopējā enerģijas gala patēriņā 2016.gadā sasniedza 37,2%</w:t>
      </w:r>
      <w:r w:rsidR="00B31AC0">
        <w:rPr>
          <w:rFonts w:ascii="Times New Roman" w:hAnsi="Times New Roman"/>
          <w:sz w:val="28"/>
          <w:szCs w:val="28"/>
          <w:lang w:eastAsia="lv-LV"/>
        </w:rPr>
        <w:t>.</w:t>
      </w:r>
      <w:r>
        <w:rPr>
          <w:rFonts w:ascii="Times New Roman" w:hAnsi="Times New Roman"/>
          <w:sz w:val="28"/>
          <w:szCs w:val="28"/>
          <w:lang w:eastAsia="lv-LV"/>
        </w:rPr>
        <w:t xml:space="preserve"> </w:t>
      </w:r>
      <w:r w:rsidR="00B31AC0">
        <w:rPr>
          <w:rFonts w:ascii="Times New Roman" w:hAnsi="Times New Roman"/>
          <w:sz w:val="28"/>
          <w:szCs w:val="28"/>
          <w:lang w:eastAsia="lv-LV"/>
        </w:rPr>
        <w:t>S</w:t>
      </w:r>
      <w:r>
        <w:rPr>
          <w:rFonts w:ascii="Times New Roman" w:hAnsi="Times New Roman"/>
          <w:sz w:val="28"/>
          <w:szCs w:val="28"/>
          <w:lang w:eastAsia="lv-LV"/>
        </w:rPr>
        <w:t xml:space="preserve">avukārt </w:t>
      </w:r>
      <w:r w:rsidRPr="003374D5">
        <w:rPr>
          <w:rFonts w:ascii="Times New Roman" w:hAnsi="Times New Roman"/>
          <w:sz w:val="28"/>
          <w:szCs w:val="28"/>
          <w:lang w:eastAsia="lv-LV"/>
        </w:rPr>
        <w:t>elektroenerģij</w:t>
      </w:r>
      <w:r>
        <w:rPr>
          <w:rFonts w:ascii="Times New Roman" w:hAnsi="Times New Roman"/>
          <w:sz w:val="28"/>
          <w:szCs w:val="28"/>
          <w:lang w:eastAsia="lv-LV"/>
        </w:rPr>
        <w:t>as sektorā</w:t>
      </w:r>
      <w:r w:rsidRPr="003374D5">
        <w:rPr>
          <w:rFonts w:ascii="Times New Roman" w:hAnsi="Times New Roman"/>
          <w:sz w:val="28"/>
          <w:szCs w:val="28"/>
          <w:lang w:eastAsia="lv-LV"/>
        </w:rPr>
        <w:t xml:space="preserve"> un siltumapgādē pārsniedz 50% (šie abi rādītāji pārsniedz 50% vēl tikai Zviedrij</w:t>
      </w:r>
      <w:r>
        <w:rPr>
          <w:rFonts w:ascii="Times New Roman" w:hAnsi="Times New Roman"/>
          <w:sz w:val="28"/>
          <w:szCs w:val="28"/>
          <w:lang w:eastAsia="lv-LV"/>
        </w:rPr>
        <w:t>ā</w:t>
      </w:r>
      <w:r w:rsidRPr="003374D5">
        <w:rPr>
          <w:rFonts w:ascii="Times New Roman" w:hAnsi="Times New Roman"/>
          <w:sz w:val="28"/>
          <w:szCs w:val="28"/>
          <w:lang w:eastAsia="lv-LV"/>
        </w:rPr>
        <w:t xml:space="preserve">), bet ES 28 </w:t>
      </w:r>
      <w:r>
        <w:rPr>
          <w:rFonts w:ascii="Times New Roman" w:hAnsi="Times New Roman"/>
          <w:sz w:val="28"/>
          <w:szCs w:val="28"/>
          <w:lang w:eastAsia="lv-LV"/>
        </w:rPr>
        <w:t>dalībvalstu</w:t>
      </w:r>
      <w:r w:rsidRPr="003374D5">
        <w:rPr>
          <w:rFonts w:ascii="Times New Roman" w:hAnsi="Times New Roman"/>
          <w:sz w:val="28"/>
          <w:szCs w:val="28"/>
          <w:lang w:eastAsia="lv-LV"/>
        </w:rPr>
        <w:t xml:space="preserve"> vidējais rādītājs AER elektroenerģijā ir zem 30%, </w:t>
      </w:r>
      <w:r>
        <w:rPr>
          <w:rFonts w:ascii="Times New Roman" w:hAnsi="Times New Roman"/>
          <w:sz w:val="28"/>
          <w:szCs w:val="28"/>
          <w:lang w:eastAsia="lv-LV"/>
        </w:rPr>
        <w:t>savukārt</w:t>
      </w:r>
      <w:r w:rsidRPr="003374D5">
        <w:rPr>
          <w:rFonts w:ascii="Times New Roman" w:hAnsi="Times New Roman"/>
          <w:sz w:val="28"/>
          <w:szCs w:val="28"/>
          <w:lang w:eastAsia="lv-LV"/>
        </w:rPr>
        <w:t xml:space="preserve"> AER siltumapgādē </w:t>
      </w:r>
      <w:r>
        <w:rPr>
          <w:rFonts w:ascii="Times New Roman" w:hAnsi="Times New Roman"/>
          <w:sz w:val="28"/>
          <w:szCs w:val="28"/>
          <w:lang w:eastAsia="lv-LV"/>
        </w:rPr>
        <w:t>un</w:t>
      </w:r>
      <w:r w:rsidRPr="003374D5">
        <w:rPr>
          <w:rFonts w:ascii="Times New Roman" w:hAnsi="Times New Roman"/>
          <w:sz w:val="28"/>
          <w:szCs w:val="28"/>
          <w:lang w:eastAsia="lv-LV"/>
        </w:rPr>
        <w:t xml:space="preserve"> aukstumapgādē nepārsniedz 20%. </w:t>
      </w:r>
    </w:p>
    <w:p w14:paraId="05238C80" w14:textId="3FC3EE4B" w:rsidR="00074154" w:rsidRPr="003374D5" w:rsidRDefault="002E0A25" w:rsidP="00D51349">
      <w:pPr>
        <w:spacing w:before="120" w:after="120" w:line="240" w:lineRule="auto"/>
        <w:jc w:val="both"/>
        <w:rPr>
          <w:rFonts w:ascii="Times New Roman" w:hAnsi="Times New Roman"/>
          <w:sz w:val="28"/>
          <w:szCs w:val="28"/>
          <w:lang w:eastAsia="lv-LV"/>
        </w:rPr>
      </w:pPr>
      <w:r>
        <w:rPr>
          <w:rFonts w:ascii="Times New Roman" w:hAnsi="Times New Roman"/>
          <w:sz w:val="28"/>
          <w:szCs w:val="28"/>
          <w:lang w:eastAsia="lv-LV"/>
        </w:rPr>
        <w:t>Ņemot vērā nepieciešamo AER īpatsvara palielinājumu un vienlaikus līdzšinējo Latvijas pieredzi ar AER veicināšanas pasākumiem pēdējos 10 gados, Ekonomikas ministrija</w:t>
      </w:r>
      <w:r w:rsidR="00E14C97">
        <w:rPr>
          <w:rFonts w:ascii="Times New Roman" w:hAnsi="Times New Roman"/>
          <w:sz w:val="28"/>
          <w:szCs w:val="28"/>
          <w:lang w:eastAsia="lv-LV"/>
        </w:rPr>
        <w:t>s</w:t>
      </w:r>
      <w:r>
        <w:rPr>
          <w:rFonts w:ascii="Times New Roman" w:hAnsi="Times New Roman"/>
          <w:sz w:val="28"/>
          <w:szCs w:val="28"/>
          <w:lang w:eastAsia="lv-LV"/>
        </w:rPr>
        <w:t xml:space="preserve"> </w:t>
      </w:r>
      <w:r w:rsidR="00E14C97">
        <w:rPr>
          <w:rFonts w:ascii="Times New Roman" w:hAnsi="Times New Roman"/>
          <w:sz w:val="28"/>
          <w:szCs w:val="28"/>
          <w:lang w:eastAsia="lv-LV"/>
        </w:rPr>
        <w:t>ieskatā pašreizējā situācijā optimāli</w:t>
      </w:r>
      <w:r w:rsidR="00074154" w:rsidRPr="003374D5">
        <w:rPr>
          <w:rFonts w:ascii="Times New Roman" w:hAnsi="Times New Roman"/>
          <w:sz w:val="28"/>
          <w:szCs w:val="28"/>
          <w:lang w:eastAsia="lv-LV"/>
        </w:rPr>
        <w:t xml:space="preserve"> </w:t>
      </w:r>
      <w:r>
        <w:rPr>
          <w:rFonts w:ascii="Times New Roman" w:hAnsi="Times New Roman"/>
          <w:sz w:val="28"/>
          <w:szCs w:val="28"/>
          <w:lang w:eastAsia="lv-LV"/>
        </w:rPr>
        <w:t xml:space="preserve">Plānā noteikt </w:t>
      </w:r>
      <w:r w:rsidR="00074154" w:rsidRPr="003374D5">
        <w:rPr>
          <w:rFonts w:ascii="Times New Roman" w:hAnsi="Times New Roman"/>
          <w:sz w:val="28"/>
          <w:szCs w:val="28"/>
          <w:lang w:eastAsia="lv-LV"/>
        </w:rPr>
        <w:t xml:space="preserve">šādu nacionālo devumu kopējā ES saistošā AER mērķa izpildei – </w:t>
      </w:r>
      <w:r w:rsidR="00074154" w:rsidRPr="00D51349">
        <w:rPr>
          <w:rFonts w:ascii="Times New Roman" w:hAnsi="Times New Roman"/>
          <w:b/>
          <w:sz w:val="28"/>
          <w:szCs w:val="28"/>
          <w:lang w:eastAsia="lv-LV"/>
        </w:rPr>
        <w:t>2030.gadā nodrošināt vismaz 45% AER īpatsvaru Latvijas enerģijas galapatēriņā.</w:t>
      </w:r>
      <w:r w:rsidR="00074154" w:rsidRPr="003374D5">
        <w:rPr>
          <w:rFonts w:ascii="Times New Roman" w:hAnsi="Times New Roman"/>
          <w:sz w:val="28"/>
          <w:szCs w:val="28"/>
          <w:lang w:eastAsia="lv-LV"/>
        </w:rPr>
        <w:t xml:space="preserve"> </w:t>
      </w:r>
    </w:p>
    <w:p w14:paraId="240E953F" w14:textId="016B3617" w:rsidR="00E14C97" w:rsidRPr="003374D5" w:rsidRDefault="00E14C97" w:rsidP="00D51349">
      <w:pPr>
        <w:spacing w:before="120" w:after="120" w:line="240" w:lineRule="auto"/>
        <w:jc w:val="both"/>
        <w:rPr>
          <w:rFonts w:ascii="Times New Roman" w:hAnsi="Times New Roman"/>
          <w:sz w:val="28"/>
          <w:szCs w:val="28"/>
          <w:lang w:eastAsia="lv-LV"/>
        </w:rPr>
      </w:pPr>
      <w:r>
        <w:rPr>
          <w:rFonts w:ascii="Times New Roman" w:hAnsi="Times New Roman"/>
          <w:sz w:val="28"/>
          <w:szCs w:val="28"/>
          <w:lang w:eastAsia="lv-LV"/>
        </w:rPr>
        <w:t>Vienlaikus jāņem vērā, ka gadījumā, ja ES valstu devumi kopējā AER mērķī nenodrošin</w:t>
      </w:r>
      <w:r w:rsidR="00B31AC0">
        <w:rPr>
          <w:rFonts w:ascii="Times New Roman" w:hAnsi="Times New Roman"/>
          <w:sz w:val="28"/>
          <w:szCs w:val="28"/>
          <w:lang w:eastAsia="lv-LV"/>
        </w:rPr>
        <w:t>ās</w:t>
      </w:r>
      <w:r>
        <w:rPr>
          <w:rFonts w:ascii="Times New Roman" w:hAnsi="Times New Roman"/>
          <w:sz w:val="28"/>
          <w:szCs w:val="28"/>
          <w:lang w:eastAsia="lv-LV"/>
        </w:rPr>
        <w:t xml:space="preserve"> 32% īpatsvaru 2030.gadā, EK lūgs dalībvalstīm palielināt to ieguldījumu AER mērķī. </w:t>
      </w:r>
    </w:p>
    <w:p w14:paraId="2C122DE9" w14:textId="4E05EAD7" w:rsidR="003374D5" w:rsidRPr="003374D5" w:rsidRDefault="003374D5" w:rsidP="00D51349">
      <w:pPr>
        <w:spacing w:before="120" w:after="120" w:line="240" w:lineRule="auto"/>
        <w:jc w:val="both"/>
        <w:rPr>
          <w:rFonts w:ascii="Times New Roman" w:hAnsi="Times New Roman"/>
          <w:sz w:val="28"/>
          <w:szCs w:val="28"/>
          <w:lang w:eastAsia="lv-LV"/>
        </w:rPr>
      </w:pPr>
      <w:r w:rsidRPr="003374D5">
        <w:rPr>
          <w:rFonts w:ascii="Times New Roman" w:hAnsi="Times New Roman"/>
          <w:sz w:val="28"/>
          <w:szCs w:val="28"/>
          <w:lang w:eastAsia="lv-LV"/>
        </w:rPr>
        <w:t>Saskaņā ar izstrādātajām attīstības prognozēm 2030.gadam scenārijā ar šobrīd īstenotajām politikām un pasākumiem</w:t>
      </w:r>
      <w:r w:rsidRPr="003374D5">
        <w:rPr>
          <w:rStyle w:val="FootnoteReference"/>
          <w:rFonts w:ascii="Times New Roman" w:hAnsi="Times New Roman"/>
          <w:sz w:val="28"/>
          <w:szCs w:val="28"/>
          <w:lang w:eastAsia="lv-LV"/>
        </w:rPr>
        <w:footnoteReference w:id="9"/>
      </w:r>
      <w:r w:rsidRPr="003374D5">
        <w:rPr>
          <w:rFonts w:ascii="Times New Roman" w:hAnsi="Times New Roman"/>
          <w:sz w:val="28"/>
          <w:szCs w:val="28"/>
          <w:lang w:eastAsia="lv-LV"/>
        </w:rPr>
        <w:t xml:space="preserve"> Latvijas AER īpatsvars enerģijas galapatēriņā 2030.gadā būs apmēram 41</w:t>
      </w:r>
      <w:r w:rsidR="00CF7442">
        <w:rPr>
          <w:rFonts w:ascii="Times New Roman" w:hAnsi="Times New Roman"/>
          <w:sz w:val="28"/>
          <w:szCs w:val="28"/>
          <w:lang w:eastAsia="lv-LV"/>
        </w:rPr>
        <w:t>,</w:t>
      </w:r>
      <w:r w:rsidRPr="003374D5">
        <w:rPr>
          <w:rFonts w:ascii="Times New Roman" w:hAnsi="Times New Roman"/>
          <w:sz w:val="28"/>
          <w:szCs w:val="28"/>
          <w:lang w:eastAsia="lv-LV"/>
        </w:rPr>
        <w:t>2%, līdz ar to būs nepieciešams īstenot papildu pasākumus (Plāna projekta 4.pielikums) AER īpatsvara palielināšanai, lai būtu iespējams izpildīt Latvijas piedāvāto nacionālo devumu</w:t>
      </w:r>
      <w:r w:rsidR="00E14C97">
        <w:rPr>
          <w:rFonts w:ascii="Times New Roman" w:hAnsi="Times New Roman"/>
          <w:sz w:val="28"/>
          <w:szCs w:val="28"/>
          <w:lang w:eastAsia="lv-LV"/>
        </w:rPr>
        <w:t>, kas prasīs papildu finansiālus ieguldījumus. Saskaņā ar prognozēm, nosakot AER mērķi virs 45%</w:t>
      </w:r>
      <w:r w:rsidR="00B31AC0">
        <w:rPr>
          <w:rFonts w:ascii="Times New Roman" w:hAnsi="Times New Roman"/>
          <w:sz w:val="28"/>
          <w:szCs w:val="28"/>
          <w:lang w:eastAsia="lv-LV"/>
        </w:rPr>
        <w:t xml:space="preserve">, būtisks AER īpatsvara palielinājums būs nepieciešams tieši elektroenerģijas sektorā. </w:t>
      </w:r>
    </w:p>
    <w:p w14:paraId="2233BFDC" w14:textId="77777777" w:rsidR="00074154" w:rsidRDefault="00074154" w:rsidP="00D51349">
      <w:pPr>
        <w:spacing w:before="120" w:after="120" w:line="240" w:lineRule="auto"/>
        <w:jc w:val="both"/>
        <w:rPr>
          <w:rFonts w:ascii="Times New Roman" w:hAnsi="Times New Roman"/>
          <w:sz w:val="28"/>
          <w:szCs w:val="28"/>
          <w:lang w:eastAsia="lv-LV"/>
        </w:rPr>
      </w:pPr>
      <w:r w:rsidRPr="003374D5">
        <w:rPr>
          <w:rFonts w:ascii="Times New Roman" w:hAnsi="Times New Roman"/>
          <w:sz w:val="28"/>
          <w:szCs w:val="28"/>
          <w:lang w:eastAsia="lv-LV"/>
        </w:rPr>
        <w:lastRenderedPageBreak/>
        <w:t>Transporta sektorā Latvijai saskaņā ar Direktīvas 2009/28/EK grozījumiem jānodrošina 14% AER īpatsvars kopējā transporta enerģijas gala patēriņā, savukārt</w:t>
      </w:r>
      <w:r>
        <w:rPr>
          <w:rFonts w:ascii="Times New Roman" w:hAnsi="Times New Roman"/>
          <w:sz w:val="28"/>
          <w:szCs w:val="28"/>
          <w:lang w:eastAsia="lv-LV"/>
        </w:rPr>
        <w:t xml:space="preserve"> attiecībā uz modernajām biodegvielām (tostarp atjaunojamo elektroenerģiju) 2022.gadā būs jānodrošina 0,2% moderno biodegvielu īpatsvars, bet 2030.gadā 3,5%.</w:t>
      </w:r>
    </w:p>
    <w:p w14:paraId="60CEF4EA" w14:textId="77777777" w:rsidR="000A4FBB" w:rsidRPr="00A93F31" w:rsidRDefault="000A4FBB" w:rsidP="00D51349">
      <w:pPr>
        <w:pStyle w:val="ListParagraph"/>
        <w:numPr>
          <w:ilvl w:val="0"/>
          <w:numId w:val="10"/>
        </w:numPr>
        <w:spacing w:before="120" w:after="120" w:line="240" w:lineRule="auto"/>
        <w:contextualSpacing w:val="0"/>
        <w:jc w:val="both"/>
        <w:rPr>
          <w:rFonts w:ascii="Times New Roman" w:hAnsi="Times New Roman"/>
          <w:b/>
          <w:sz w:val="28"/>
          <w:szCs w:val="28"/>
          <w:lang w:eastAsia="lv-LV"/>
        </w:rPr>
      </w:pPr>
      <w:r w:rsidRPr="00A93F31">
        <w:rPr>
          <w:rFonts w:ascii="Times New Roman" w:hAnsi="Times New Roman"/>
          <w:b/>
          <w:sz w:val="28"/>
          <w:szCs w:val="28"/>
          <w:lang w:eastAsia="lv-LV"/>
        </w:rPr>
        <w:t>Energoefektivitātes uzlabošana</w:t>
      </w:r>
    </w:p>
    <w:p w14:paraId="7E968F4B" w14:textId="02DEE1F5" w:rsidR="00E44D2F" w:rsidRPr="00B57F54" w:rsidRDefault="000A4FBB" w:rsidP="00D51349">
      <w:pPr>
        <w:pBdr>
          <w:top w:val="nil"/>
          <w:left w:val="nil"/>
          <w:bottom w:val="nil"/>
          <w:right w:val="nil"/>
          <w:between w:val="nil"/>
          <w:bar w:val="nil"/>
        </w:pBdr>
        <w:spacing w:before="120" w:after="120" w:line="240" w:lineRule="auto"/>
        <w:jc w:val="both"/>
        <w:rPr>
          <w:rFonts w:ascii="Times New Roman" w:hAnsi="Times New Roman"/>
          <w:sz w:val="28"/>
          <w:szCs w:val="28"/>
        </w:rPr>
      </w:pPr>
      <w:r w:rsidRPr="00B57F54">
        <w:rPr>
          <w:rFonts w:ascii="Times New Roman" w:hAnsi="Times New Roman"/>
          <w:sz w:val="28"/>
          <w:szCs w:val="28"/>
        </w:rPr>
        <w:t xml:space="preserve">Direktīvas 2012/27/ES </w:t>
      </w:r>
      <w:r w:rsidR="00F54118" w:rsidRPr="00B57F54">
        <w:rPr>
          <w:rFonts w:ascii="Times New Roman" w:hAnsi="Times New Roman"/>
          <w:sz w:val="28"/>
          <w:szCs w:val="28"/>
        </w:rPr>
        <w:t>grozījumos</w:t>
      </w:r>
      <w:r w:rsidRPr="00B57F54">
        <w:rPr>
          <w:rFonts w:ascii="Times New Roman" w:hAnsi="Times New Roman"/>
          <w:sz w:val="28"/>
          <w:szCs w:val="28"/>
        </w:rPr>
        <w:t xml:space="preserve"> ir noteikts ES līmenī saistošs energoefektivitātes mērķi 2030. gadam – 32,5%, un katrai ES dalībvalstīm ir jāizstrādā savi nacionālie devumi</w:t>
      </w:r>
      <w:r w:rsidR="00CD4AB2">
        <w:rPr>
          <w:rFonts w:ascii="Times New Roman" w:hAnsi="Times New Roman"/>
          <w:sz w:val="28"/>
          <w:szCs w:val="28"/>
        </w:rPr>
        <w:t xml:space="preserve"> (indikatīvi mērķi)</w:t>
      </w:r>
      <w:r w:rsidRPr="00B57F54">
        <w:rPr>
          <w:rFonts w:ascii="Times New Roman" w:hAnsi="Times New Roman"/>
          <w:sz w:val="28"/>
          <w:szCs w:val="28"/>
        </w:rPr>
        <w:t xml:space="preserve"> ES kopējā mērķa izpildei. </w:t>
      </w:r>
      <w:r w:rsidR="00E8728E">
        <w:rPr>
          <w:rFonts w:ascii="Times New Roman" w:hAnsi="Times New Roman"/>
          <w:sz w:val="28"/>
          <w:szCs w:val="28"/>
        </w:rPr>
        <w:t xml:space="preserve">Papildus tam </w:t>
      </w:r>
      <w:r w:rsidRPr="00B57F54">
        <w:rPr>
          <w:rFonts w:ascii="Times New Roman" w:hAnsi="Times New Roman"/>
          <w:sz w:val="28"/>
          <w:szCs w:val="28"/>
        </w:rPr>
        <w:t xml:space="preserve">Direktīvas 2012/27/ES </w:t>
      </w:r>
      <w:r w:rsidR="00F54118" w:rsidRPr="00B57F54">
        <w:rPr>
          <w:rFonts w:ascii="Times New Roman" w:hAnsi="Times New Roman"/>
          <w:sz w:val="28"/>
          <w:szCs w:val="28"/>
        </w:rPr>
        <w:t>grozījumos</w:t>
      </w:r>
      <w:r w:rsidRPr="00B57F54">
        <w:rPr>
          <w:rFonts w:ascii="Times New Roman" w:hAnsi="Times New Roman"/>
          <w:sz w:val="28"/>
          <w:szCs w:val="28"/>
        </w:rPr>
        <w:t xml:space="preserve"> ir noteikts pienākums</w:t>
      </w:r>
      <w:r w:rsidR="00CD4AB2">
        <w:rPr>
          <w:rFonts w:ascii="Times New Roman" w:hAnsi="Times New Roman"/>
          <w:sz w:val="28"/>
          <w:szCs w:val="28"/>
        </w:rPr>
        <w:t xml:space="preserve"> (obligātais mērķis)</w:t>
      </w:r>
      <w:r w:rsidRPr="00B57F54">
        <w:rPr>
          <w:rFonts w:ascii="Times New Roman" w:hAnsi="Times New Roman"/>
          <w:sz w:val="28"/>
          <w:szCs w:val="28"/>
        </w:rPr>
        <w:t xml:space="preserve"> katrai dalībvalstij panākt jaunus enerģijas galapatēriņa ikgadējos ietaupījumus 0,8% apmērā</w:t>
      </w:r>
      <w:r w:rsidR="008F7063">
        <w:rPr>
          <w:rFonts w:ascii="Times New Roman" w:hAnsi="Times New Roman"/>
          <w:sz w:val="28"/>
          <w:szCs w:val="28"/>
        </w:rPr>
        <w:t xml:space="preserve"> no </w:t>
      </w:r>
      <w:r w:rsidR="00CD4AB2">
        <w:rPr>
          <w:rFonts w:ascii="Times New Roman" w:hAnsi="Times New Roman"/>
          <w:sz w:val="28"/>
          <w:szCs w:val="28"/>
        </w:rPr>
        <w:t xml:space="preserve">valsts </w:t>
      </w:r>
      <w:r w:rsidR="008F7063">
        <w:rPr>
          <w:rFonts w:ascii="Times New Roman" w:hAnsi="Times New Roman"/>
          <w:sz w:val="28"/>
          <w:szCs w:val="28"/>
        </w:rPr>
        <w:t xml:space="preserve">vidējā </w:t>
      </w:r>
      <w:r w:rsidR="00CD4AB2">
        <w:rPr>
          <w:rFonts w:ascii="Times New Roman" w:hAnsi="Times New Roman"/>
          <w:sz w:val="28"/>
          <w:szCs w:val="28"/>
        </w:rPr>
        <w:t xml:space="preserve">enerģijas </w:t>
      </w:r>
      <w:r w:rsidR="008F7063">
        <w:rPr>
          <w:rFonts w:ascii="Times New Roman" w:hAnsi="Times New Roman"/>
          <w:sz w:val="28"/>
          <w:szCs w:val="28"/>
        </w:rPr>
        <w:t>galapatēriņa</w:t>
      </w:r>
      <w:r w:rsidR="00CD4AB2">
        <w:rPr>
          <w:rStyle w:val="FootnoteReference"/>
          <w:rFonts w:ascii="Times New Roman" w:hAnsi="Times New Roman"/>
          <w:sz w:val="28"/>
          <w:szCs w:val="28"/>
        </w:rPr>
        <w:footnoteReference w:id="10"/>
      </w:r>
      <w:r w:rsidR="00CD4AB2">
        <w:rPr>
          <w:rFonts w:ascii="Times New Roman" w:hAnsi="Times New Roman"/>
          <w:sz w:val="28"/>
          <w:szCs w:val="28"/>
        </w:rPr>
        <w:t>. Ikgadējie ietaupījumi jānodrošina</w:t>
      </w:r>
      <w:r w:rsidR="00886D7F">
        <w:rPr>
          <w:rFonts w:ascii="Times New Roman" w:hAnsi="Times New Roman"/>
          <w:sz w:val="28"/>
          <w:szCs w:val="28"/>
        </w:rPr>
        <w:t xml:space="preserve"> un jāuzkrāj</w:t>
      </w:r>
      <w:r w:rsidR="00CD4AB2">
        <w:rPr>
          <w:rFonts w:ascii="Times New Roman" w:hAnsi="Times New Roman"/>
          <w:sz w:val="28"/>
          <w:szCs w:val="28"/>
        </w:rPr>
        <w:t xml:space="preserve"> </w:t>
      </w:r>
      <w:r w:rsidRPr="00B57F54">
        <w:rPr>
          <w:rFonts w:ascii="Times New Roman" w:hAnsi="Times New Roman"/>
          <w:sz w:val="28"/>
          <w:szCs w:val="28"/>
        </w:rPr>
        <w:t xml:space="preserve">2021.-2030.gada periodā un arī desmit gadu periodos pēc 2030. gada. </w:t>
      </w:r>
      <w:r w:rsidR="00D51349">
        <w:rPr>
          <w:rFonts w:ascii="Times New Roman" w:hAnsi="Times New Roman"/>
          <w:sz w:val="28"/>
          <w:szCs w:val="28"/>
          <w:lang w:eastAsia="lv-LV"/>
        </w:rPr>
        <w:t>Ekonomikas ministrijas ieskatā pašreizējā situācijā optimāli</w:t>
      </w:r>
      <w:r w:rsidR="00D51349" w:rsidRPr="003374D5">
        <w:rPr>
          <w:rFonts w:ascii="Times New Roman" w:hAnsi="Times New Roman"/>
          <w:sz w:val="28"/>
          <w:szCs w:val="28"/>
          <w:lang w:eastAsia="lv-LV"/>
        </w:rPr>
        <w:t xml:space="preserve"> </w:t>
      </w:r>
      <w:r w:rsidR="00D51349">
        <w:rPr>
          <w:rFonts w:ascii="Times New Roman" w:hAnsi="Times New Roman"/>
          <w:sz w:val="28"/>
          <w:szCs w:val="28"/>
          <w:lang w:eastAsia="lv-LV"/>
        </w:rPr>
        <w:t xml:space="preserve">Plānā noteikt </w:t>
      </w:r>
      <w:r w:rsidR="00E44D2F" w:rsidRPr="00B57F54">
        <w:rPr>
          <w:rFonts w:ascii="Times New Roman" w:hAnsi="Times New Roman"/>
          <w:sz w:val="28"/>
          <w:szCs w:val="28"/>
        </w:rPr>
        <w:t>šādu devumu ES energoefektivitātes mērķu sasniegšanā periodā no 2021.gada līdz 2030.gadam:</w:t>
      </w:r>
    </w:p>
    <w:p w14:paraId="480E6599" w14:textId="5ACD8DCC" w:rsidR="00E44D2F" w:rsidRPr="009135B1" w:rsidRDefault="00E44D2F" w:rsidP="00D51349">
      <w:pPr>
        <w:pStyle w:val="ListParagraph"/>
        <w:numPr>
          <w:ilvl w:val="0"/>
          <w:numId w:val="11"/>
        </w:numPr>
        <w:spacing w:before="120" w:after="120" w:line="240" w:lineRule="auto"/>
        <w:ind w:left="397" w:hanging="397"/>
        <w:contextualSpacing w:val="0"/>
        <w:jc w:val="both"/>
        <w:rPr>
          <w:rFonts w:ascii="Times New Roman" w:hAnsi="Times New Roman"/>
          <w:sz w:val="28"/>
          <w:szCs w:val="28"/>
        </w:rPr>
      </w:pPr>
      <w:r w:rsidRPr="009135B1">
        <w:rPr>
          <w:rFonts w:ascii="Times New Roman" w:hAnsi="Times New Roman"/>
          <w:sz w:val="28"/>
          <w:szCs w:val="28"/>
        </w:rPr>
        <w:t>Latvijas indikatīvais devums – primārās enerģijas patēriņš: 180,98 PJ (4,325 Mtoe, 49 950,5 GWh), kas ir par 44,02 PJ jeb 19,56% zemāks apjoms kā 2020.gada indikatīvais Latvijas mērķis</w:t>
      </w:r>
      <w:r w:rsidR="009135B1" w:rsidRPr="009135B1">
        <w:rPr>
          <w:rFonts w:ascii="Times New Roman" w:hAnsi="Times New Roman"/>
          <w:sz w:val="28"/>
          <w:szCs w:val="28"/>
        </w:rPr>
        <w:t xml:space="preserve">. </w:t>
      </w:r>
      <w:r w:rsidR="009135B1" w:rsidRPr="00886D7F">
        <w:rPr>
          <w:rFonts w:ascii="Times New Roman" w:hAnsi="Times New Roman"/>
          <w:sz w:val="28"/>
          <w:szCs w:val="28"/>
        </w:rPr>
        <w:t xml:space="preserve">Šis </w:t>
      </w:r>
      <w:r w:rsidRPr="009135B1">
        <w:rPr>
          <w:rFonts w:ascii="Times New Roman" w:hAnsi="Times New Roman"/>
          <w:sz w:val="28"/>
          <w:szCs w:val="28"/>
        </w:rPr>
        <w:t>Latvijas indikatīvais devums</w:t>
      </w:r>
      <w:r w:rsidR="00886D7F">
        <w:rPr>
          <w:rFonts w:ascii="Times New Roman" w:hAnsi="Times New Roman"/>
          <w:sz w:val="28"/>
          <w:szCs w:val="28"/>
        </w:rPr>
        <w:t xml:space="preserve">, izteikts kā </w:t>
      </w:r>
      <w:r w:rsidRPr="009135B1">
        <w:rPr>
          <w:rFonts w:ascii="Times New Roman" w:hAnsi="Times New Roman"/>
          <w:sz w:val="28"/>
          <w:szCs w:val="28"/>
        </w:rPr>
        <w:t>enerģijas galapatēriņš (neņemot vērā enerģijas patēriņu ne-enerģētiskajām vajadzībām)</w:t>
      </w:r>
      <w:r w:rsidR="00886D7F">
        <w:rPr>
          <w:rFonts w:ascii="Times New Roman" w:hAnsi="Times New Roman"/>
          <w:sz w:val="28"/>
          <w:szCs w:val="28"/>
        </w:rPr>
        <w:t xml:space="preserve"> ir</w:t>
      </w:r>
      <w:r w:rsidRPr="009135B1">
        <w:rPr>
          <w:rFonts w:ascii="Times New Roman" w:hAnsi="Times New Roman"/>
          <w:sz w:val="28"/>
          <w:szCs w:val="28"/>
        </w:rPr>
        <w:t xml:space="preserve"> 149,3 PJ (3,57 Mtoe), kas ir par 37,73 PJ jeb 20,2% zemāks apjoms kā 2020.gada indikatīvais Latvijas mērķis.</w:t>
      </w:r>
    </w:p>
    <w:p w14:paraId="6B5C6F21" w14:textId="5E8942CC" w:rsidR="00E44D2F" w:rsidRDefault="00E44D2F" w:rsidP="00D51349">
      <w:pPr>
        <w:pStyle w:val="paragraph"/>
        <w:numPr>
          <w:ilvl w:val="0"/>
          <w:numId w:val="11"/>
        </w:numPr>
        <w:spacing w:before="120" w:beforeAutospacing="0" w:after="120" w:afterAutospacing="0"/>
        <w:ind w:left="397" w:hanging="397"/>
        <w:jc w:val="both"/>
        <w:textAlignment w:val="baseline"/>
        <w:rPr>
          <w:rStyle w:val="normaltextrun"/>
          <w:rFonts w:eastAsiaTheme="majorEastAsia"/>
          <w:sz w:val="28"/>
          <w:szCs w:val="28"/>
        </w:rPr>
      </w:pPr>
      <w:r w:rsidRPr="00B57F54">
        <w:rPr>
          <w:sz w:val="28"/>
          <w:szCs w:val="28"/>
        </w:rPr>
        <w:t xml:space="preserve">Latvijai aprēķinātais obligātais mērķis – </w:t>
      </w:r>
      <w:r w:rsidR="00886D7F">
        <w:rPr>
          <w:sz w:val="28"/>
          <w:szCs w:val="28"/>
        </w:rPr>
        <w:t xml:space="preserve">2021.-2030. gada periodā uzkrātais </w:t>
      </w:r>
      <w:r w:rsidRPr="00B57F54">
        <w:rPr>
          <w:sz w:val="28"/>
          <w:szCs w:val="28"/>
        </w:rPr>
        <w:t xml:space="preserve">enerģijas galapatēriņa ietaupījums: </w:t>
      </w:r>
      <w:r w:rsidRPr="00B57F54">
        <w:rPr>
          <w:rStyle w:val="normaltextrun"/>
          <w:rFonts w:eastAsiaTheme="majorEastAsia"/>
          <w:sz w:val="28"/>
          <w:szCs w:val="28"/>
        </w:rPr>
        <w:t>19871 GWh (71,53 PJ, 1,71 Mtoe)</w:t>
      </w:r>
      <w:r w:rsidRPr="00B57F54">
        <w:rPr>
          <w:sz w:val="28"/>
          <w:szCs w:val="28"/>
        </w:rPr>
        <w:t xml:space="preserve">, kas ir par 35,93 PJ jeb </w:t>
      </w:r>
      <w:r w:rsidR="009135B1">
        <w:rPr>
          <w:sz w:val="28"/>
          <w:szCs w:val="28"/>
        </w:rPr>
        <w:t xml:space="preserve">par </w:t>
      </w:r>
      <w:r w:rsidRPr="00B57F54">
        <w:rPr>
          <w:sz w:val="28"/>
          <w:szCs w:val="28"/>
        </w:rPr>
        <w:t xml:space="preserve">100,9% </w:t>
      </w:r>
      <w:r w:rsidR="00886D7F">
        <w:rPr>
          <w:sz w:val="28"/>
          <w:szCs w:val="28"/>
        </w:rPr>
        <w:t>lielāks</w:t>
      </w:r>
      <w:r w:rsidRPr="00B57F54">
        <w:rPr>
          <w:sz w:val="28"/>
          <w:szCs w:val="28"/>
        </w:rPr>
        <w:t xml:space="preserve"> apjoms </w:t>
      </w:r>
      <w:r w:rsidR="00886D7F">
        <w:rPr>
          <w:sz w:val="28"/>
          <w:szCs w:val="28"/>
        </w:rPr>
        <w:t xml:space="preserve">nekā </w:t>
      </w:r>
      <w:r w:rsidRPr="00B57F54">
        <w:rPr>
          <w:sz w:val="28"/>
          <w:szCs w:val="28"/>
        </w:rPr>
        <w:t xml:space="preserve">2014.-2020.gada </w:t>
      </w:r>
      <w:r w:rsidR="00FB3338">
        <w:rPr>
          <w:sz w:val="28"/>
          <w:szCs w:val="28"/>
        </w:rPr>
        <w:t>periodā</w:t>
      </w:r>
      <w:r w:rsidRPr="00B57F54">
        <w:rPr>
          <w:sz w:val="28"/>
          <w:szCs w:val="28"/>
        </w:rPr>
        <w:t xml:space="preserve">. </w:t>
      </w:r>
      <w:r w:rsidRPr="00B57F54">
        <w:rPr>
          <w:rStyle w:val="normaltextrun"/>
          <w:rFonts w:eastAsiaTheme="majorEastAsia"/>
          <w:sz w:val="28"/>
          <w:szCs w:val="28"/>
        </w:rPr>
        <w:t xml:space="preserve">Ņemot vērā, ka šobrīd nav pieejami oficiālie statistikas dati par enerģijas galapatēriņu 2018.gadā, noteiktais ikgadējais jaunu ietaupījumu apjoms un </w:t>
      </w:r>
      <w:r w:rsidR="00FB3338">
        <w:rPr>
          <w:rStyle w:val="normaltextrun"/>
          <w:rFonts w:eastAsiaTheme="majorEastAsia"/>
          <w:sz w:val="28"/>
          <w:szCs w:val="28"/>
        </w:rPr>
        <w:t>uzkrātais</w:t>
      </w:r>
      <w:r w:rsidRPr="00B57F54">
        <w:rPr>
          <w:rStyle w:val="normaltextrun"/>
          <w:rFonts w:eastAsiaTheme="majorEastAsia"/>
          <w:sz w:val="28"/>
          <w:szCs w:val="28"/>
        </w:rPr>
        <w:t xml:space="preserve"> enerģijas ietaupījumu apjoms ir indikatīvs un tiks pārskatīts līdz 2019.gada 31.decembrim pirms Plāna galaversijas iesniegšanas </w:t>
      </w:r>
      <w:r w:rsidR="003B042A" w:rsidRPr="00B57F54">
        <w:rPr>
          <w:rStyle w:val="normaltextrun"/>
          <w:rFonts w:eastAsiaTheme="majorEastAsia"/>
          <w:sz w:val="28"/>
          <w:szCs w:val="28"/>
        </w:rPr>
        <w:t>EK</w:t>
      </w:r>
      <w:r w:rsidRPr="00B57F54">
        <w:rPr>
          <w:rStyle w:val="normaltextrun"/>
          <w:rFonts w:eastAsiaTheme="majorEastAsia"/>
          <w:sz w:val="28"/>
          <w:szCs w:val="28"/>
        </w:rPr>
        <w:t>.</w:t>
      </w:r>
    </w:p>
    <w:p w14:paraId="52D4832B" w14:textId="69853821" w:rsidR="003374D5" w:rsidRPr="00B57F54" w:rsidRDefault="003374D5" w:rsidP="00D51349">
      <w:pPr>
        <w:pStyle w:val="paragraph"/>
        <w:spacing w:before="120" w:beforeAutospacing="0" w:after="120" w:afterAutospacing="0"/>
        <w:jc w:val="both"/>
        <w:textAlignment w:val="baseline"/>
        <w:rPr>
          <w:rStyle w:val="normaltextrun"/>
          <w:rFonts w:eastAsiaTheme="majorEastAsia"/>
          <w:sz w:val="28"/>
          <w:szCs w:val="28"/>
        </w:rPr>
      </w:pPr>
      <w:r>
        <w:rPr>
          <w:rStyle w:val="normaltextrun"/>
          <w:rFonts w:eastAsiaTheme="majorEastAsia"/>
          <w:sz w:val="28"/>
          <w:szCs w:val="28"/>
        </w:rPr>
        <w:t>Līdz 2016.gadam Latvija ir nodrošinājusi 0,18 Mtoe uzkrāto</w:t>
      </w:r>
      <w:r w:rsidR="00C23A0A">
        <w:rPr>
          <w:rStyle w:val="normaltextrun"/>
          <w:rFonts w:eastAsiaTheme="majorEastAsia"/>
          <w:sz w:val="28"/>
          <w:szCs w:val="28"/>
        </w:rPr>
        <w:t xml:space="preserve"> enerģijas galapatēriņa ietaupījumu, līdz ar to ir paredzams, ka Latvijai būs jāīsteno būtiski pasākumi, lai nodrošinātu šī Latvijas obligātā mērķa izpildi.</w:t>
      </w:r>
      <w:r w:rsidR="008104F9">
        <w:rPr>
          <w:rStyle w:val="normaltextrun"/>
          <w:rFonts w:eastAsiaTheme="majorEastAsia"/>
          <w:sz w:val="28"/>
          <w:szCs w:val="28"/>
        </w:rPr>
        <w:t xml:space="preserve"> Ir būtiski nodrošināt, ka tiek ievērots </w:t>
      </w:r>
      <w:r w:rsidR="00C23A0A">
        <w:rPr>
          <w:rStyle w:val="normaltextrun"/>
          <w:rFonts w:eastAsiaTheme="majorEastAsia"/>
          <w:sz w:val="28"/>
          <w:szCs w:val="28"/>
        </w:rPr>
        <w:t xml:space="preserve"> </w:t>
      </w:r>
      <w:r w:rsidR="008104F9" w:rsidRPr="00B57F54">
        <w:rPr>
          <w:sz w:val="28"/>
          <w:szCs w:val="28"/>
        </w:rPr>
        <w:t>Enerģētikas savienības pārvaldības regul</w:t>
      </w:r>
      <w:r w:rsidR="008104F9">
        <w:rPr>
          <w:sz w:val="28"/>
          <w:szCs w:val="28"/>
        </w:rPr>
        <w:t>ā iekļautais nosacījums “</w:t>
      </w:r>
      <w:r w:rsidR="008104F9" w:rsidRPr="008104F9">
        <w:rPr>
          <w:i/>
          <w:sz w:val="28"/>
          <w:szCs w:val="28"/>
        </w:rPr>
        <w:t>energoefektivitāte pirmajā vietā</w:t>
      </w:r>
      <w:r w:rsidR="008104F9">
        <w:rPr>
          <w:sz w:val="28"/>
          <w:szCs w:val="28"/>
        </w:rPr>
        <w:t xml:space="preserve">”, un energoefektivitātes uzlabošana tiek noteikts kā horizontāls pasākums visos Latvijā veiktajos pasākumos un īpaši ES fondu atbalsta programmās. </w:t>
      </w:r>
      <w:r w:rsidR="00C23A0A" w:rsidRPr="008104F9">
        <w:rPr>
          <w:rStyle w:val="normaltextrun"/>
          <w:rFonts w:eastAsiaTheme="majorEastAsia"/>
          <w:sz w:val="28"/>
          <w:szCs w:val="28"/>
        </w:rPr>
        <w:t>Būtiski</w:t>
      </w:r>
      <w:r w:rsidR="00C23A0A">
        <w:rPr>
          <w:rStyle w:val="normaltextrun"/>
          <w:rFonts w:eastAsiaTheme="majorEastAsia"/>
          <w:sz w:val="28"/>
          <w:szCs w:val="28"/>
        </w:rPr>
        <w:t xml:space="preserve"> nodrošināt arī visu Latvijā veikto pasākumu monitoringu un uzskaiti.</w:t>
      </w:r>
    </w:p>
    <w:p w14:paraId="542028F1" w14:textId="77777777" w:rsidR="00E44D2F" w:rsidRPr="00A93F31" w:rsidRDefault="00605AEF" w:rsidP="00D51349">
      <w:pPr>
        <w:pStyle w:val="paragraph"/>
        <w:numPr>
          <w:ilvl w:val="0"/>
          <w:numId w:val="10"/>
        </w:numPr>
        <w:spacing w:before="120" w:beforeAutospacing="0" w:after="120" w:afterAutospacing="0"/>
        <w:jc w:val="both"/>
        <w:textAlignment w:val="baseline"/>
        <w:rPr>
          <w:rStyle w:val="normaltextrun"/>
          <w:rFonts w:eastAsiaTheme="majorEastAsia"/>
          <w:b/>
          <w:sz w:val="28"/>
          <w:szCs w:val="28"/>
        </w:rPr>
      </w:pPr>
      <w:r w:rsidRPr="00A93F31">
        <w:rPr>
          <w:rStyle w:val="normaltextrun"/>
          <w:rFonts w:eastAsiaTheme="majorEastAsia"/>
          <w:b/>
          <w:sz w:val="28"/>
          <w:szCs w:val="28"/>
        </w:rPr>
        <w:t>Enerģētiskā drošība</w:t>
      </w:r>
    </w:p>
    <w:p w14:paraId="70CF8B60" w14:textId="694811A2" w:rsidR="00F54118" w:rsidRPr="00B57F54" w:rsidRDefault="00F54118" w:rsidP="00D51349">
      <w:pPr>
        <w:spacing w:before="120" w:after="120" w:line="240" w:lineRule="auto"/>
        <w:jc w:val="both"/>
        <w:rPr>
          <w:rFonts w:ascii="Times New Roman" w:hAnsi="Times New Roman"/>
          <w:sz w:val="28"/>
          <w:szCs w:val="28"/>
        </w:rPr>
      </w:pPr>
      <w:r w:rsidRPr="00B57F54">
        <w:rPr>
          <w:rStyle w:val="normaltextrun"/>
          <w:rFonts w:ascii="Times New Roman" w:eastAsiaTheme="majorEastAsia" w:hAnsi="Times New Roman"/>
          <w:sz w:val="28"/>
          <w:szCs w:val="28"/>
        </w:rPr>
        <w:t xml:space="preserve">Enerģētiskās drošības dimensijā ES dalībvalstīm nav noteikti saistoši kvantitatīvi mērķi, tomēr dalībvalstīm ir jāizvērtē savi enerģētiskās drošības mērķrādītāji </w:t>
      </w:r>
      <w:r w:rsidRPr="00B57F54">
        <w:rPr>
          <w:rStyle w:val="normaltextrun"/>
          <w:rFonts w:ascii="Times New Roman" w:eastAsiaTheme="majorEastAsia" w:hAnsi="Times New Roman"/>
          <w:sz w:val="28"/>
          <w:szCs w:val="28"/>
        </w:rPr>
        <w:lastRenderedPageBreak/>
        <w:t xml:space="preserve">attiecībā uz enerģētisko atkarību un energoresursu diversifikāciju. </w:t>
      </w:r>
      <w:r w:rsidRPr="00B57F54">
        <w:rPr>
          <w:rFonts w:ascii="Times New Roman" w:hAnsi="Times New Roman"/>
          <w:sz w:val="28"/>
          <w:szCs w:val="28"/>
        </w:rPr>
        <w:t>Enerģētiskās drošības nosacījuma izpildi vislabāk raksturo tas, cik daudz energoresursu Latvija spēj saražot pati (valstī iekšienē) un cik daudz energoresursu Latvija spēj uzglabāt</w:t>
      </w:r>
      <w:r w:rsidR="00595194">
        <w:rPr>
          <w:rFonts w:ascii="Times New Roman" w:hAnsi="Times New Roman"/>
          <w:sz w:val="28"/>
          <w:szCs w:val="28"/>
        </w:rPr>
        <w:t>,</w:t>
      </w:r>
      <w:r w:rsidRPr="00B57F54">
        <w:rPr>
          <w:rFonts w:ascii="Times New Roman" w:hAnsi="Times New Roman"/>
          <w:sz w:val="28"/>
          <w:szCs w:val="28"/>
        </w:rPr>
        <w:t xml:space="preserve"> un cik daudz energoresursu ir nepieciešams importēt, kā arī tas, no cik  dažādiem avotiem energoresursi tiek importēti. </w:t>
      </w:r>
    </w:p>
    <w:p w14:paraId="6522DC4E" w14:textId="77777777" w:rsidR="00F54118" w:rsidRPr="00A93F31" w:rsidRDefault="00F54118" w:rsidP="00D51349">
      <w:pPr>
        <w:pStyle w:val="ListParagraph"/>
        <w:numPr>
          <w:ilvl w:val="0"/>
          <w:numId w:val="10"/>
        </w:numPr>
        <w:spacing w:before="120" w:after="120" w:line="240" w:lineRule="auto"/>
        <w:contextualSpacing w:val="0"/>
        <w:jc w:val="both"/>
        <w:rPr>
          <w:rFonts w:ascii="Times New Roman" w:hAnsi="Times New Roman"/>
          <w:b/>
          <w:sz w:val="28"/>
          <w:szCs w:val="28"/>
        </w:rPr>
      </w:pPr>
      <w:r w:rsidRPr="00A93F31">
        <w:rPr>
          <w:rFonts w:ascii="Times New Roman" w:hAnsi="Times New Roman"/>
          <w:b/>
          <w:sz w:val="28"/>
          <w:szCs w:val="28"/>
        </w:rPr>
        <w:t>Iekšējais enerģijas tirgus</w:t>
      </w:r>
    </w:p>
    <w:p w14:paraId="056A950D" w14:textId="32F7E49F" w:rsidR="00F54118" w:rsidRDefault="00D8589F" w:rsidP="00D51349">
      <w:pPr>
        <w:spacing w:before="120" w:after="120" w:line="240" w:lineRule="auto"/>
        <w:jc w:val="both"/>
        <w:rPr>
          <w:rFonts w:ascii="Times New Roman" w:hAnsi="Times New Roman"/>
          <w:sz w:val="28"/>
          <w:szCs w:val="28"/>
          <w:lang w:eastAsia="lv-LV"/>
        </w:rPr>
      </w:pPr>
      <w:r>
        <w:rPr>
          <w:rFonts w:ascii="Times New Roman" w:hAnsi="Times New Roman"/>
          <w:sz w:val="28"/>
          <w:szCs w:val="28"/>
        </w:rPr>
        <w:t>KEPS2030</w:t>
      </w:r>
      <w:r w:rsidR="00F54118" w:rsidRPr="00B57F54">
        <w:rPr>
          <w:rFonts w:ascii="Times New Roman" w:hAnsi="Times New Roman"/>
          <w:sz w:val="28"/>
          <w:szCs w:val="28"/>
        </w:rPr>
        <w:t xml:space="preserve"> nosaka katras ES dalībvalsts starpsavienojumu mērķi 2030.gadam – vismaz 15%. </w:t>
      </w:r>
      <w:r w:rsidR="00F54118" w:rsidRPr="00B57F54">
        <w:rPr>
          <w:rFonts w:ascii="Times New Roman" w:hAnsi="Times New Roman"/>
          <w:sz w:val="28"/>
          <w:szCs w:val="28"/>
          <w:lang w:eastAsia="lv-LV"/>
        </w:rPr>
        <w:t>Saskaņā ar esošos situāciju Latvijas starpsavienojumu līmenis 2017.gadā sasniedz 80% (starpsavienojumu jauda pret Latvijā uzstādīto elektroenerģijas jaudu), tāpēc ir uzskatāms, ka Latvija ir jau sasniegusi noteikto starpsavienojumu mērķi un papildus mērķi netiek noteikti, kā arī netiek noteiktas papildus rīcībpolitikas un pasākumi šo mērķu sasniegšanai.</w:t>
      </w:r>
    </w:p>
    <w:p w14:paraId="5204CEB8" w14:textId="77777777" w:rsidR="008104F9" w:rsidRPr="00B57F54" w:rsidRDefault="008104F9" w:rsidP="00D51349">
      <w:pPr>
        <w:spacing w:before="120" w:after="120" w:line="240" w:lineRule="auto"/>
        <w:jc w:val="both"/>
        <w:rPr>
          <w:rFonts w:ascii="Times New Roman" w:hAnsi="Times New Roman"/>
          <w:sz w:val="28"/>
          <w:szCs w:val="28"/>
          <w:lang w:eastAsia="lv-LV"/>
        </w:rPr>
      </w:pPr>
      <w:r>
        <w:rPr>
          <w:rFonts w:ascii="Times New Roman" w:hAnsi="Times New Roman"/>
          <w:sz w:val="28"/>
          <w:szCs w:val="28"/>
          <w:lang w:eastAsia="lv-LV"/>
        </w:rPr>
        <w:t xml:space="preserve">Attiecībā uz iekšējo enerģijas tirgu ir būtiski turpināt īstenot infrastruktūras projektus, sinhronizācijas un </w:t>
      </w:r>
      <w:proofErr w:type="spellStart"/>
      <w:r>
        <w:rPr>
          <w:rFonts w:ascii="Times New Roman" w:hAnsi="Times New Roman"/>
          <w:sz w:val="28"/>
          <w:szCs w:val="28"/>
          <w:lang w:eastAsia="lv-LV"/>
        </w:rPr>
        <w:t>desinhronizācijas</w:t>
      </w:r>
      <w:proofErr w:type="spellEnd"/>
      <w:r>
        <w:rPr>
          <w:rFonts w:ascii="Times New Roman" w:hAnsi="Times New Roman"/>
          <w:sz w:val="28"/>
          <w:szCs w:val="28"/>
          <w:lang w:eastAsia="lv-LV"/>
        </w:rPr>
        <w:t xml:space="preserve"> projektus, gāzes uzglabāšanas sistēmu modernizācijas projektus.</w:t>
      </w:r>
    </w:p>
    <w:p w14:paraId="64E4B8BC" w14:textId="6B0A845F" w:rsidR="00B521EE" w:rsidRDefault="00B521EE" w:rsidP="00D51349">
      <w:pPr>
        <w:spacing w:before="120" w:after="120" w:line="240" w:lineRule="auto"/>
        <w:jc w:val="both"/>
        <w:rPr>
          <w:rFonts w:ascii="Times New Roman" w:hAnsi="Times New Roman"/>
          <w:sz w:val="28"/>
          <w:szCs w:val="28"/>
          <w:lang w:eastAsia="lv-LV"/>
        </w:rPr>
      </w:pPr>
      <w:r>
        <w:rPr>
          <w:rFonts w:ascii="Times New Roman" w:hAnsi="Times New Roman"/>
          <w:sz w:val="28"/>
          <w:szCs w:val="28"/>
          <w:lang w:eastAsia="lv-LV"/>
        </w:rPr>
        <w:t>Šī dimensija ietver arī nosacījumus enerģētiskās nabadzības samazināšanai, kur Latvijā ir uzsākt</w:t>
      </w:r>
      <w:r w:rsidR="005D5A9A">
        <w:rPr>
          <w:rFonts w:ascii="Times New Roman" w:hAnsi="Times New Roman"/>
          <w:sz w:val="28"/>
          <w:szCs w:val="28"/>
          <w:lang w:eastAsia="lv-LV"/>
        </w:rPr>
        <w:t>a</w:t>
      </w:r>
      <w:r>
        <w:rPr>
          <w:rFonts w:ascii="Times New Roman" w:hAnsi="Times New Roman"/>
          <w:sz w:val="28"/>
          <w:szCs w:val="28"/>
          <w:lang w:eastAsia="lv-LV"/>
        </w:rPr>
        <w:t xml:space="preserve"> enerģētiskās nabadzības defin</w:t>
      </w:r>
      <w:r w:rsidR="005D5A9A">
        <w:rPr>
          <w:rFonts w:ascii="Times New Roman" w:hAnsi="Times New Roman"/>
          <w:sz w:val="28"/>
          <w:szCs w:val="28"/>
          <w:lang w:eastAsia="lv-LV"/>
        </w:rPr>
        <w:t>īcijas izstrāde. Attiecīgi plānots</w:t>
      </w:r>
      <w:r w:rsidR="00D8589F">
        <w:rPr>
          <w:rFonts w:ascii="Times New Roman" w:hAnsi="Times New Roman"/>
          <w:sz w:val="28"/>
          <w:szCs w:val="28"/>
          <w:lang w:eastAsia="lv-LV"/>
        </w:rPr>
        <w:t xml:space="preserve"> </w:t>
      </w:r>
      <w:r w:rsidR="005D5A9A">
        <w:rPr>
          <w:rFonts w:ascii="Times New Roman" w:hAnsi="Times New Roman"/>
          <w:sz w:val="28"/>
          <w:szCs w:val="28"/>
          <w:lang w:eastAsia="lv-LV"/>
        </w:rPr>
        <w:t xml:space="preserve">gan </w:t>
      </w:r>
      <w:r>
        <w:rPr>
          <w:rFonts w:ascii="Times New Roman" w:hAnsi="Times New Roman"/>
          <w:sz w:val="28"/>
          <w:szCs w:val="28"/>
          <w:lang w:eastAsia="lv-LV"/>
        </w:rPr>
        <w:t>izvērtēt esošo situāciju un pēc tam izstrādāt</w:t>
      </w:r>
      <w:r w:rsidRPr="00B521EE">
        <w:t xml:space="preserve"> </w:t>
      </w:r>
      <w:r w:rsidRPr="00B521EE">
        <w:rPr>
          <w:rFonts w:ascii="Times New Roman" w:hAnsi="Times New Roman"/>
          <w:sz w:val="28"/>
          <w:szCs w:val="28"/>
          <w:lang w:eastAsia="lv-LV"/>
        </w:rPr>
        <w:t>rīcībpolitika</w:t>
      </w:r>
      <w:r>
        <w:rPr>
          <w:rFonts w:ascii="Times New Roman" w:hAnsi="Times New Roman"/>
          <w:sz w:val="28"/>
          <w:szCs w:val="28"/>
          <w:lang w:eastAsia="lv-LV"/>
        </w:rPr>
        <w:t>s un to īstenošanai nepieciešamos</w:t>
      </w:r>
      <w:r w:rsidRPr="00B521EE">
        <w:rPr>
          <w:rFonts w:ascii="Times New Roman" w:hAnsi="Times New Roman"/>
          <w:sz w:val="28"/>
          <w:szCs w:val="28"/>
          <w:lang w:eastAsia="lv-LV"/>
        </w:rPr>
        <w:t xml:space="preserve"> pasākum</w:t>
      </w:r>
      <w:r>
        <w:rPr>
          <w:rFonts w:ascii="Times New Roman" w:hAnsi="Times New Roman"/>
          <w:sz w:val="28"/>
          <w:szCs w:val="28"/>
          <w:lang w:eastAsia="lv-LV"/>
        </w:rPr>
        <w:t>us</w:t>
      </w:r>
      <w:r w:rsidRPr="00B521EE">
        <w:rPr>
          <w:rFonts w:ascii="Times New Roman" w:hAnsi="Times New Roman"/>
          <w:sz w:val="28"/>
          <w:szCs w:val="28"/>
          <w:lang w:eastAsia="lv-LV"/>
        </w:rPr>
        <w:t xml:space="preserve"> šīs dimensijas ietvaros noteikto mērķu izpildei.</w:t>
      </w:r>
    </w:p>
    <w:p w14:paraId="358FFA29" w14:textId="77777777" w:rsidR="00F54118" w:rsidRPr="00A93F31" w:rsidRDefault="00F54118" w:rsidP="00D51349">
      <w:pPr>
        <w:pStyle w:val="ListParagraph"/>
        <w:numPr>
          <w:ilvl w:val="0"/>
          <w:numId w:val="10"/>
        </w:numPr>
        <w:spacing w:before="120" w:after="120" w:line="240" w:lineRule="auto"/>
        <w:contextualSpacing w:val="0"/>
        <w:jc w:val="both"/>
        <w:rPr>
          <w:rFonts w:ascii="Times New Roman" w:hAnsi="Times New Roman"/>
          <w:b/>
          <w:sz w:val="28"/>
          <w:szCs w:val="28"/>
        </w:rPr>
      </w:pPr>
      <w:r w:rsidRPr="00A93F31">
        <w:rPr>
          <w:rFonts w:ascii="Times New Roman" w:hAnsi="Times New Roman"/>
          <w:b/>
          <w:sz w:val="28"/>
          <w:szCs w:val="28"/>
        </w:rPr>
        <w:t>Inovācijas, pētniecība un konkurētspēja</w:t>
      </w:r>
    </w:p>
    <w:p w14:paraId="6F7CC604" w14:textId="1852883E" w:rsidR="00F54118" w:rsidRPr="00B57F54" w:rsidRDefault="00F54118" w:rsidP="00D51349">
      <w:pPr>
        <w:spacing w:before="120" w:after="120" w:line="240" w:lineRule="auto"/>
        <w:jc w:val="both"/>
        <w:rPr>
          <w:rFonts w:ascii="Times New Roman" w:hAnsi="Times New Roman"/>
          <w:sz w:val="28"/>
          <w:szCs w:val="28"/>
        </w:rPr>
      </w:pPr>
      <w:r w:rsidRPr="00B57F54">
        <w:rPr>
          <w:rFonts w:ascii="Times New Roman" w:hAnsi="Times New Roman"/>
          <w:sz w:val="28"/>
          <w:szCs w:val="28"/>
        </w:rPr>
        <w:t>Šajā Enerģētikas savienības dimensijā ES dalībvalstīm netiek noteikti kvantitatīvi saistošo mērķi vai mērķrādītāji, tomēr ES dalībvalstīm ir jānodrošina inovāciju īstenošanas un pieejamības uzlabošanu, pētniecības pietiekam</w:t>
      </w:r>
      <w:r w:rsidR="005D5A9A">
        <w:rPr>
          <w:rFonts w:ascii="Times New Roman" w:hAnsi="Times New Roman"/>
          <w:sz w:val="28"/>
          <w:szCs w:val="28"/>
        </w:rPr>
        <w:t>a</w:t>
      </w:r>
      <w:r w:rsidRPr="00B57F54">
        <w:rPr>
          <w:rFonts w:ascii="Times New Roman" w:hAnsi="Times New Roman"/>
          <w:sz w:val="28"/>
          <w:szCs w:val="28"/>
        </w:rPr>
        <w:t xml:space="preserve"> iesaist</w:t>
      </w:r>
      <w:r w:rsidR="005D5A9A">
        <w:rPr>
          <w:rFonts w:ascii="Times New Roman" w:hAnsi="Times New Roman"/>
          <w:sz w:val="28"/>
          <w:szCs w:val="28"/>
        </w:rPr>
        <w:t>e</w:t>
      </w:r>
      <w:r w:rsidRPr="00B57F54">
        <w:rPr>
          <w:rFonts w:ascii="Times New Roman" w:hAnsi="Times New Roman"/>
          <w:sz w:val="28"/>
          <w:szCs w:val="28"/>
        </w:rPr>
        <w:t xml:space="preserve"> un konkurētspējas pilnīg</w:t>
      </w:r>
      <w:r w:rsidR="005D5A9A">
        <w:rPr>
          <w:rFonts w:ascii="Times New Roman" w:hAnsi="Times New Roman"/>
          <w:sz w:val="28"/>
          <w:szCs w:val="28"/>
        </w:rPr>
        <w:t>a</w:t>
      </w:r>
      <w:r w:rsidRPr="00B57F54">
        <w:rPr>
          <w:rFonts w:ascii="Times New Roman" w:hAnsi="Times New Roman"/>
          <w:sz w:val="28"/>
          <w:szCs w:val="28"/>
        </w:rPr>
        <w:t xml:space="preserve"> ievērošan</w:t>
      </w:r>
      <w:r w:rsidR="005D5A9A">
        <w:rPr>
          <w:rFonts w:ascii="Times New Roman" w:hAnsi="Times New Roman"/>
          <w:sz w:val="28"/>
          <w:szCs w:val="28"/>
        </w:rPr>
        <w:t>a</w:t>
      </w:r>
      <w:r w:rsidRPr="00B57F54">
        <w:rPr>
          <w:rFonts w:ascii="Times New Roman" w:hAnsi="Times New Roman"/>
          <w:sz w:val="28"/>
          <w:szCs w:val="28"/>
        </w:rPr>
        <w:t xml:space="preserve"> Enerģētikas savienības nosacījumu īstenošanā.</w:t>
      </w:r>
    </w:p>
    <w:bookmarkStart w:id="5" w:name="_Hlk519784759"/>
    <w:p w14:paraId="20C58077" w14:textId="31416E64" w:rsidR="00F54118" w:rsidRPr="003B042A" w:rsidRDefault="00F54118" w:rsidP="00D51349">
      <w:pPr>
        <w:pStyle w:val="Caption"/>
        <w:rPr>
          <w:sz w:val="24"/>
          <w:szCs w:val="24"/>
        </w:rPr>
      </w:pPr>
      <w:r w:rsidRPr="003B042A">
        <w:rPr>
          <w:sz w:val="24"/>
          <w:szCs w:val="24"/>
        </w:rPr>
        <w:fldChar w:fldCharType="begin"/>
      </w:r>
      <w:r w:rsidRPr="003B042A">
        <w:rPr>
          <w:sz w:val="24"/>
          <w:szCs w:val="24"/>
        </w:rPr>
        <w:instrText xml:space="preserve"> SEQ Tabula \* ARABIC </w:instrText>
      </w:r>
      <w:r w:rsidRPr="003B042A">
        <w:rPr>
          <w:sz w:val="24"/>
          <w:szCs w:val="24"/>
        </w:rPr>
        <w:fldChar w:fldCharType="separate"/>
      </w:r>
      <w:bookmarkStart w:id="6" w:name="_Toc531333141"/>
      <w:r w:rsidR="000C5DA8">
        <w:rPr>
          <w:noProof/>
          <w:sz w:val="24"/>
          <w:szCs w:val="24"/>
        </w:rPr>
        <w:t>1</w:t>
      </w:r>
      <w:r w:rsidRPr="003B042A">
        <w:rPr>
          <w:sz w:val="24"/>
          <w:szCs w:val="24"/>
        </w:rPr>
        <w:fldChar w:fldCharType="end"/>
      </w:r>
      <w:r w:rsidRPr="003B042A">
        <w:rPr>
          <w:sz w:val="24"/>
          <w:szCs w:val="24"/>
        </w:rPr>
        <w:t xml:space="preserve">. tabula. ES un Latvijas </w:t>
      </w:r>
      <w:r w:rsidR="005D5A9A" w:rsidRPr="005D5A9A">
        <w:rPr>
          <w:sz w:val="24"/>
          <w:szCs w:val="24"/>
        </w:rPr>
        <w:t xml:space="preserve">Enerģētikas savienības </w:t>
      </w:r>
      <w:r w:rsidRPr="003B042A">
        <w:rPr>
          <w:sz w:val="24"/>
          <w:szCs w:val="24"/>
        </w:rPr>
        <w:t>dimensiju politikas rezultāti un to rezultatīvie radītāji</w:t>
      </w:r>
      <w:bookmarkEnd w:id="6"/>
    </w:p>
    <w:tbl>
      <w:tblPr>
        <w:tblW w:w="93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94"/>
        <w:gridCol w:w="1023"/>
        <w:gridCol w:w="1110"/>
        <w:gridCol w:w="1089"/>
      </w:tblGrid>
      <w:tr w:rsidR="00A26D8D" w:rsidRPr="002600BA" w14:paraId="0051ABE4" w14:textId="77777777" w:rsidTr="00A26D8D">
        <w:trPr>
          <w:tblHeader/>
          <w:jc w:val="center"/>
        </w:trPr>
        <w:tc>
          <w:tcPr>
            <w:tcW w:w="6165" w:type="dxa"/>
            <w:vMerge w:val="restart"/>
            <w:shd w:val="clear" w:color="auto" w:fill="F2F2F2" w:themeFill="background1" w:themeFillShade="F2"/>
            <w:vAlign w:val="center"/>
          </w:tcPr>
          <w:p w14:paraId="53DE1631" w14:textId="77777777" w:rsidR="00A26D8D" w:rsidRPr="002600BA" w:rsidRDefault="00A26D8D" w:rsidP="002600BA">
            <w:pPr>
              <w:spacing w:before="60" w:after="60" w:line="240" w:lineRule="auto"/>
              <w:rPr>
                <w:rFonts w:ascii="Times New Roman" w:hAnsi="Times New Roman"/>
                <w:b/>
                <w:color w:val="000000" w:themeColor="text1"/>
                <w:sz w:val="24"/>
                <w:szCs w:val="24"/>
              </w:rPr>
            </w:pPr>
            <w:bookmarkStart w:id="7" w:name="_Hlk522202425"/>
            <w:bookmarkEnd w:id="5"/>
            <w:r w:rsidRPr="002600BA">
              <w:rPr>
                <w:rFonts w:ascii="Times New Roman" w:hAnsi="Times New Roman"/>
                <w:b/>
                <w:color w:val="000000" w:themeColor="text1"/>
                <w:sz w:val="24"/>
                <w:szCs w:val="24"/>
              </w:rPr>
              <w:t>Politikas rezultāts katrā Plāna dimensijā</w:t>
            </w:r>
          </w:p>
        </w:tc>
        <w:tc>
          <w:tcPr>
            <w:tcW w:w="1025" w:type="dxa"/>
            <w:shd w:val="clear" w:color="auto" w:fill="F2F2F2" w:themeFill="background1" w:themeFillShade="F2"/>
          </w:tcPr>
          <w:p w14:paraId="0A064227"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ES mērķis</w:t>
            </w:r>
          </w:p>
        </w:tc>
        <w:tc>
          <w:tcPr>
            <w:tcW w:w="1036" w:type="dxa"/>
            <w:shd w:val="clear" w:color="auto" w:fill="F2F2F2" w:themeFill="background1" w:themeFillShade="F2"/>
            <w:vAlign w:val="center"/>
          </w:tcPr>
          <w:p w14:paraId="2D24784F"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Faktiskā vērtība</w:t>
            </w:r>
          </w:p>
        </w:tc>
        <w:tc>
          <w:tcPr>
            <w:tcW w:w="1090" w:type="dxa"/>
            <w:shd w:val="clear" w:color="auto" w:fill="F2F2F2" w:themeFill="background1" w:themeFillShade="F2"/>
            <w:vAlign w:val="center"/>
          </w:tcPr>
          <w:p w14:paraId="6B2833A2"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Latvijas mērķis</w:t>
            </w:r>
          </w:p>
        </w:tc>
      </w:tr>
      <w:tr w:rsidR="00A26D8D" w:rsidRPr="002600BA" w14:paraId="1D371502" w14:textId="77777777" w:rsidTr="00A26D8D">
        <w:trPr>
          <w:tblHeader/>
          <w:jc w:val="center"/>
        </w:trPr>
        <w:tc>
          <w:tcPr>
            <w:tcW w:w="6165" w:type="dxa"/>
            <w:vMerge/>
            <w:shd w:val="clear" w:color="auto" w:fill="F2F2F2" w:themeFill="background1" w:themeFillShade="F2"/>
            <w:vAlign w:val="center"/>
          </w:tcPr>
          <w:p w14:paraId="583BFBCE" w14:textId="77777777" w:rsidR="00A26D8D" w:rsidRPr="002600BA" w:rsidRDefault="00A26D8D" w:rsidP="002600BA">
            <w:pPr>
              <w:spacing w:before="60" w:after="60" w:line="240" w:lineRule="auto"/>
              <w:rPr>
                <w:rFonts w:ascii="Times New Roman" w:hAnsi="Times New Roman"/>
                <w:b/>
                <w:color w:val="000000" w:themeColor="text1"/>
                <w:sz w:val="24"/>
                <w:szCs w:val="24"/>
              </w:rPr>
            </w:pPr>
          </w:p>
        </w:tc>
        <w:tc>
          <w:tcPr>
            <w:tcW w:w="1025" w:type="dxa"/>
            <w:shd w:val="clear" w:color="auto" w:fill="F2F2F2" w:themeFill="background1" w:themeFillShade="F2"/>
            <w:vAlign w:val="center"/>
          </w:tcPr>
          <w:p w14:paraId="1037ED99"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2030</w:t>
            </w:r>
          </w:p>
        </w:tc>
        <w:tc>
          <w:tcPr>
            <w:tcW w:w="1036" w:type="dxa"/>
            <w:shd w:val="clear" w:color="auto" w:fill="F2F2F2" w:themeFill="background1" w:themeFillShade="F2"/>
            <w:vAlign w:val="center"/>
          </w:tcPr>
          <w:p w14:paraId="4CA2CDB0"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2016</w:t>
            </w:r>
          </w:p>
        </w:tc>
        <w:tc>
          <w:tcPr>
            <w:tcW w:w="1090" w:type="dxa"/>
            <w:shd w:val="clear" w:color="auto" w:fill="F2F2F2" w:themeFill="background1" w:themeFillShade="F2"/>
            <w:vAlign w:val="center"/>
          </w:tcPr>
          <w:p w14:paraId="1CB9C13D"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2030</w:t>
            </w:r>
          </w:p>
        </w:tc>
      </w:tr>
      <w:tr w:rsidR="00A26D8D" w:rsidRPr="002600BA" w14:paraId="1B3F0B7E" w14:textId="77777777" w:rsidTr="00A26D8D">
        <w:trPr>
          <w:jc w:val="center"/>
        </w:trPr>
        <w:tc>
          <w:tcPr>
            <w:tcW w:w="6165" w:type="dxa"/>
            <w:vAlign w:val="center"/>
          </w:tcPr>
          <w:p w14:paraId="652DAB04" w14:textId="77777777" w:rsidR="00A26D8D" w:rsidRPr="002600BA" w:rsidRDefault="00A26D8D" w:rsidP="002600BA">
            <w:pPr>
              <w:spacing w:before="60" w:after="60" w:line="240" w:lineRule="auto"/>
              <w:rPr>
                <w:rFonts w:ascii="Times New Roman" w:hAnsi="Times New Roman"/>
                <w:color w:val="000000" w:themeColor="text1"/>
                <w:sz w:val="24"/>
                <w:szCs w:val="24"/>
              </w:rPr>
            </w:pPr>
            <w:r w:rsidRPr="002600BA">
              <w:rPr>
                <w:rFonts w:ascii="Times New Roman" w:hAnsi="Times New Roman"/>
                <w:color w:val="000000" w:themeColor="text1"/>
                <w:sz w:val="24"/>
                <w:szCs w:val="24"/>
              </w:rPr>
              <w:t>1.1. SEG emisiju samazināšanas mērķis (% pret 1990.g.)</w:t>
            </w:r>
          </w:p>
        </w:tc>
        <w:tc>
          <w:tcPr>
            <w:tcW w:w="1025" w:type="dxa"/>
            <w:vAlign w:val="center"/>
          </w:tcPr>
          <w:p w14:paraId="2406A89F"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-40</w:t>
            </w:r>
            <w:r w:rsidRPr="00A93F31">
              <w:rPr>
                <w:rStyle w:val="FootnoteReference"/>
                <w:rFonts w:ascii="Times New Roman" w:hAnsi="Times New Roman"/>
                <w:color w:val="000000" w:themeColor="text1"/>
                <w:sz w:val="24"/>
                <w:szCs w:val="24"/>
              </w:rPr>
              <w:footnoteReference w:id="11"/>
            </w:r>
          </w:p>
        </w:tc>
        <w:tc>
          <w:tcPr>
            <w:tcW w:w="1036" w:type="dxa"/>
            <w:vAlign w:val="center"/>
          </w:tcPr>
          <w:p w14:paraId="2E7FB261"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-57</w:t>
            </w:r>
          </w:p>
        </w:tc>
        <w:tc>
          <w:tcPr>
            <w:tcW w:w="1090" w:type="dxa"/>
            <w:vAlign w:val="center"/>
          </w:tcPr>
          <w:p w14:paraId="73EB0C2D"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-55</w:t>
            </w:r>
            <w:r w:rsidRPr="00A93F31">
              <w:rPr>
                <w:rStyle w:val="FootnoteReference"/>
                <w:rFonts w:ascii="Times New Roman" w:hAnsi="Times New Roman"/>
                <w:color w:val="000000" w:themeColor="text1"/>
                <w:sz w:val="24"/>
                <w:szCs w:val="24"/>
              </w:rPr>
              <w:footnoteReference w:id="12"/>
            </w:r>
          </w:p>
        </w:tc>
      </w:tr>
      <w:tr w:rsidR="00A26D8D" w:rsidRPr="002600BA" w14:paraId="7C143C14" w14:textId="77777777" w:rsidTr="00A26D8D">
        <w:trPr>
          <w:jc w:val="center"/>
        </w:trPr>
        <w:tc>
          <w:tcPr>
            <w:tcW w:w="6165" w:type="dxa"/>
            <w:vAlign w:val="center"/>
          </w:tcPr>
          <w:p w14:paraId="5CA89F0A" w14:textId="77777777" w:rsidR="00A26D8D" w:rsidRPr="002600BA" w:rsidRDefault="00A26D8D" w:rsidP="002600BA">
            <w:pPr>
              <w:spacing w:before="60" w:after="60" w:line="240" w:lineRule="auto"/>
              <w:rPr>
                <w:rFonts w:ascii="Times New Roman" w:hAnsi="Times New Roman"/>
                <w:color w:val="000000" w:themeColor="text1"/>
                <w:sz w:val="24"/>
                <w:szCs w:val="24"/>
              </w:rPr>
            </w:pPr>
            <w:r w:rsidRPr="002600BA">
              <w:rPr>
                <w:rFonts w:ascii="Times New Roman" w:hAnsi="Times New Roman"/>
                <w:color w:val="000000" w:themeColor="text1"/>
                <w:sz w:val="24"/>
                <w:szCs w:val="24"/>
              </w:rPr>
              <w:t>1.1.1. Ne-ETS darbības (% pret 2005.g.)</w:t>
            </w:r>
          </w:p>
        </w:tc>
        <w:tc>
          <w:tcPr>
            <w:tcW w:w="1025" w:type="dxa"/>
            <w:vAlign w:val="center"/>
          </w:tcPr>
          <w:p w14:paraId="4BEA1A4C"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-30</w:t>
            </w:r>
            <w:r w:rsidRPr="00A93F31">
              <w:rPr>
                <w:rStyle w:val="FootnoteReference"/>
                <w:rFonts w:ascii="Times New Roman" w:hAnsi="Times New Roman"/>
                <w:color w:val="000000" w:themeColor="text1"/>
                <w:sz w:val="24"/>
                <w:szCs w:val="24"/>
              </w:rPr>
              <w:footnoteReference w:id="13"/>
            </w:r>
          </w:p>
        </w:tc>
        <w:tc>
          <w:tcPr>
            <w:tcW w:w="1036" w:type="dxa"/>
            <w:vAlign w:val="center"/>
          </w:tcPr>
          <w:p w14:paraId="6EFFC360"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+6</w:t>
            </w:r>
          </w:p>
        </w:tc>
        <w:tc>
          <w:tcPr>
            <w:tcW w:w="1090" w:type="dxa"/>
            <w:vAlign w:val="center"/>
          </w:tcPr>
          <w:p w14:paraId="64F73E0C"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-6</w:t>
            </w:r>
            <w:r w:rsidRPr="00A93F31">
              <w:rPr>
                <w:rStyle w:val="FootnoteReference"/>
                <w:rFonts w:ascii="Times New Roman" w:hAnsi="Times New Roman"/>
                <w:color w:val="000000" w:themeColor="text1"/>
                <w:sz w:val="24"/>
                <w:szCs w:val="24"/>
              </w:rPr>
              <w:footnoteReference w:id="14"/>
            </w:r>
          </w:p>
        </w:tc>
      </w:tr>
      <w:tr w:rsidR="00A26D8D" w:rsidRPr="002600BA" w14:paraId="05761C89" w14:textId="77777777" w:rsidTr="00A26D8D">
        <w:trPr>
          <w:jc w:val="center"/>
        </w:trPr>
        <w:tc>
          <w:tcPr>
            <w:tcW w:w="6165" w:type="dxa"/>
            <w:vAlign w:val="center"/>
          </w:tcPr>
          <w:p w14:paraId="2F51D6C9" w14:textId="77777777" w:rsidR="00A26D8D" w:rsidRPr="002600BA" w:rsidRDefault="00A26D8D" w:rsidP="002600BA">
            <w:pPr>
              <w:spacing w:before="60" w:after="60" w:line="240" w:lineRule="auto"/>
              <w:rPr>
                <w:rFonts w:ascii="Times New Roman" w:hAnsi="Times New Roman"/>
                <w:color w:val="000000" w:themeColor="text1"/>
                <w:sz w:val="24"/>
                <w:szCs w:val="24"/>
              </w:rPr>
            </w:pPr>
            <w:r w:rsidRPr="002600BA">
              <w:rPr>
                <w:rFonts w:ascii="Times New Roman" w:hAnsi="Times New Roman"/>
                <w:color w:val="000000" w:themeColor="text1"/>
                <w:sz w:val="24"/>
                <w:szCs w:val="24"/>
              </w:rPr>
              <w:t>1.1.2. ETS darbības (% pret 2005.g.)</w:t>
            </w:r>
          </w:p>
        </w:tc>
        <w:tc>
          <w:tcPr>
            <w:tcW w:w="1025" w:type="dxa"/>
            <w:vAlign w:val="center"/>
          </w:tcPr>
          <w:p w14:paraId="71A998E2"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-43</w:t>
            </w:r>
            <w:r w:rsidRPr="00A93F31">
              <w:rPr>
                <w:rStyle w:val="FootnoteReference"/>
                <w:rFonts w:ascii="Times New Roman" w:hAnsi="Times New Roman"/>
                <w:color w:val="000000" w:themeColor="text1"/>
                <w:sz w:val="24"/>
                <w:szCs w:val="24"/>
              </w:rPr>
              <w:footnoteReference w:id="15"/>
            </w:r>
          </w:p>
        </w:tc>
        <w:tc>
          <w:tcPr>
            <w:tcW w:w="1036" w:type="dxa"/>
            <w:vAlign w:val="center"/>
          </w:tcPr>
          <w:p w14:paraId="125B1B54"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-23</w:t>
            </w:r>
          </w:p>
        </w:tc>
        <w:tc>
          <w:tcPr>
            <w:tcW w:w="1090" w:type="dxa"/>
            <w:vAlign w:val="center"/>
          </w:tcPr>
          <w:p w14:paraId="4C34177E"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r>
      <w:tr w:rsidR="00A26D8D" w:rsidRPr="002600BA" w14:paraId="378ED5F6" w14:textId="77777777" w:rsidTr="00A26D8D">
        <w:trPr>
          <w:jc w:val="center"/>
        </w:trPr>
        <w:tc>
          <w:tcPr>
            <w:tcW w:w="6165" w:type="dxa"/>
            <w:vAlign w:val="center"/>
          </w:tcPr>
          <w:p w14:paraId="1F316C7E" w14:textId="77777777" w:rsidR="00A26D8D" w:rsidRPr="002600BA" w:rsidRDefault="00A26D8D" w:rsidP="002600BA">
            <w:pPr>
              <w:spacing w:before="60" w:after="60" w:line="240" w:lineRule="auto"/>
              <w:rPr>
                <w:rFonts w:ascii="Times New Roman" w:hAnsi="Times New Roman"/>
                <w:color w:val="000000" w:themeColor="text1"/>
                <w:sz w:val="24"/>
                <w:szCs w:val="24"/>
              </w:rPr>
            </w:pPr>
            <w:r w:rsidRPr="002600BA">
              <w:rPr>
                <w:rFonts w:ascii="Times New Roman" w:hAnsi="Times New Roman"/>
                <w:color w:val="000000" w:themeColor="text1"/>
                <w:sz w:val="24"/>
                <w:szCs w:val="24"/>
              </w:rPr>
              <w:t>1.1.3. ZIZIMM uzskaites kategorijas (milj.t.)</w:t>
            </w:r>
          </w:p>
        </w:tc>
        <w:tc>
          <w:tcPr>
            <w:tcW w:w="1025" w:type="dxa"/>
            <w:vAlign w:val="center"/>
          </w:tcPr>
          <w:p w14:paraId="461BE481"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0</w:t>
            </w:r>
          </w:p>
        </w:tc>
        <w:tc>
          <w:tcPr>
            <w:tcW w:w="1036" w:type="dxa"/>
            <w:vAlign w:val="center"/>
          </w:tcPr>
          <w:p w14:paraId="371A14B0"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90" w:type="dxa"/>
            <w:vAlign w:val="center"/>
          </w:tcPr>
          <w:p w14:paraId="7E986605"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-3,1</w:t>
            </w:r>
            <w:r w:rsidRPr="00A93F31">
              <w:rPr>
                <w:rStyle w:val="FootnoteReference"/>
                <w:rFonts w:ascii="Times New Roman" w:hAnsi="Times New Roman"/>
                <w:color w:val="000000" w:themeColor="text1"/>
                <w:sz w:val="24"/>
                <w:szCs w:val="24"/>
              </w:rPr>
              <w:footnoteReference w:id="16"/>
            </w:r>
          </w:p>
        </w:tc>
      </w:tr>
      <w:tr w:rsidR="00A26D8D" w:rsidRPr="002600BA" w14:paraId="793AE715" w14:textId="77777777" w:rsidTr="00A26D8D">
        <w:trPr>
          <w:jc w:val="center"/>
        </w:trPr>
        <w:tc>
          <w:tcPr>
            <w:tcW w:w="6165" w:type="dxa"/>
            <w:vAlign w:val="center"/>
          </w:tcPr>
          <w:p w14:paraId="7DB319DA" w14:textId="77777777" w:rsidR="00A26D8D" w:rsidRPr="002600BA" w:rsidRDefault="00A26D8D" w:rsidP="002600BA">
            <w:pPr>
              <w:pStyle w:val="ListParagraph"/>
              <w:spacing w:before="60" w:after="60" w:line="240" w:lineRule="auto"/>
              <w:ind w:left="0"/>
              <w:contextualSpacing w:val="0"/>
              <w:rPr>
                <w:rFonts w:ascii="Times New Roman" w:hAnsi="Times New Roman"/>
                <w:bCs/>
                <w:color w:val="000000" w:themeColor="text1"/>
                <w:sz w:val="24"/>
                <w:szCs w:val="24"/>
              </w:rPr>
            </w:pPr>
            <w:r w:rsidRPr="002600BA">
              <w:rPr>
                <w:rFonts w:ascii="Times New Roman" w:hAnsi="Times New Roman"/>
                <w:bCs/>
                <w:color w:val="000000" w:themeColor="text1"/>
                <w:sz w:val="24"/>
                <w:szCs w:val="24"/>
              </w:rPr>
              <w:lastRenderedPageBreak/>
              <w:t xml:space="preserve">1.2. Enerģijas, kas ražota no AER īpatsvars </w:t>
            </w:r>
            <w:r w:rsidRPr="002600BA">
              <w:rPr>
                <w:rFonts w:ascii="Times New Roman" w:hAnsi="Times New Roman"/>
                <w:color w:val="000000" w:themeColor="text1"/>
                <w:sz w:val="24"/>
                <w:szCs w:val="24"/>
              </w:rPr>
              <w:t xml:space="preserve">enerģijas </w:t>
            </w:r>
            <w:r w:rsidRPr="002600BA">
              <w:rPr>
                <w:rFonts w:ascii="Times New Roman" w:hAnsi="Times New Roman"/>
                <w:bCs/>
                <w:color w:val="000000" w:themeColor="text1"/>
                <w:sz w:val="24"/>
                <w:szCs w:val="24"/>
              </w:rPr>
              <w:t xml:space="preserve">bruto </w:t>
            </w:r>
            <w:r w:rsidRPr="002600BA">
              <w:rPr>
                <w:rFonts w:ascii="Times New Roman" w:hAnsi="Times New Roman"/>
                <w:color w:val="000000" w:themeColor="text1"/>
                <w:sz w:val="24"/>
                <w:szCs w:val="24"/>
              </w:rPr>
              <w:t>gala patēriņā (%)</w:t>
            </w:r>
          </w:p>
        </w:tc>
        <w:tc>
          <w:tcPr>
            <w:tcW w:w="1025" w:type="dxa"/>
            <w:vAlign w:val="center"/>
          </w:tcPr>
          <w:p w14:paraId="5AF3B814"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32</w:t>
            </w:r>
            <w:r w:rsidRPr="00A93F31">
              <w:rPr>
                <w:rStyle w:val="FootnoteReference"/>
                <w:rFonts w:ascii="Times New Roman" w:hAnsi="Times New Roman"/>
                <w:color w:val="000000" w:themeColor="text1"/>
                <w:sz w:val="24"/>
                <w:szCs w:val="24"/>
              </w:rPr>
              <w:footnoteReference w:id="17"/>
            </w:r>
          </w:p>
        </w:tc>
        <w:tc>
          <w:tcPr>
            <w:tcW w:w="1036" w:type="dxa"/>
            <w:vAlign w:val="center"/>
          </w:tcPr>
          <w:p w14:paraId="52E9C915"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37,2</w:t>
            </w:r>
          </w:p>
        </w:tc>
        <w:tc>
          <w:tcPr>
            <w:tcW w:w="1090" w:type="dxa"/>
            <w:vAlign w:val="center"/>
          </w:tcPr>
          <w:p w14:paraId="6DD40118"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45</w:t>
            </w:r>
          </w:p>
        </w:tc>
      </w:tr>
      <w:tr w:rsidR="00A26D8D" w:rsidRPr="002600BA" w14:paraId="02C85897" w14:textId="77777777" w:rsidTr="00A26D8D">
        <w:trPr>
          <w:jc w:val="center"/>
        </w:trPr>
        <w:tc>
          <w:tcPr>
            <w:tcW w:w="6165" w:type="dxa"/>
            <w:vAlign w:val="center"/>
          </w:tcPr>
          <w:p w14:paraId="63C00A16" w14:textId="77777777" w:rsidR="00A26D8D" w:rsidRPr="002600BA" w:rsidRDefault="00A26D8D" w:rsidP="002600BA">
            <w:pPr>
              <w:pStyle w:val="ListParagraph"/>
              <w:spacing w:before="60" w:after="60" w:line="240" w:lineRule="auto"/>
              <w:ind w:left="0"/>
              <w:contextualSpacing w:val="0"/>
              <w:rPr>
                <w:rFonts w:ascii="Times New Roman" w:hAnsi="Times New Roman"/>
                <w:bCs/>
                <w:color w:val="000000" w:themeColor="text1"/>
                <w:sz w:val="24"/>
                <w:szCs w:val="24"/>
              </w:rPr>
            </w:pPr>
            <w:r w:rsidRPr="002600BA">
              <w:rPr>
                <w:rFonts w:ascii="Times New Roman" w:hAnsi="Times New Roman"/>
                <w:bCs/>
                <w:color w:val="000000" w:themeColor="text1"/>
                <w:sz w:val="24"/>
                <w:szCs w:val="24"/>
              </w:rPr>
              <w:t xml:space="preserve">1.3. Enerģijas, kas ražota no AER, īpatsvars </w:t>
            </w:r>
            <w:r w:rsidRPr="002600BA">
              <w:rPr>
                <w:rFonts w:ascii="Times New Roman" w:hAnsi="Times New Roman"/>
                <w:color w:val="000000" w:themeColor="text1"/>
                <w:sz w:val="24"/>
                <w:szCs w:val="24"/>
              </w:rPr>
              <w:t xml:space="preserve">enerģijas </w:t>
            </w:r>
            <w:r w:rsidRPr="002600BA">
              <w:rPr>
                <w:rFonts w:ascii="Times New Roman" w:hAnsi="Times New Roman"/>
                <w:bCs/>
                <w:color w:val="000000" w:themeColor="text1"/>
                <w:sz w:val="24"/>
                <w:szCs w:val="24"/>
              </w:rPr>
              <w:t xml:space="preserve">bruto </w:t>
            </w:r>
            <w:r w:rsidRPr="002600BA">
              <w:rPr>
                <w:rFonts w:ascii="Times New Roman" w:hAnsi="Times New Roman"/>
                <w:color w:val="000000" w:themeColor="text1"/>
                <w:sz w:val="24"/>
                <w:szCs w:val="24"/>
              </w:rPr>
              <w:t>galapatēriņā transportā (%)</w:t>
            </w:r>
          </w:p>
        </w:tc>
        <w:tc>
          <w:tcPr>
            <w:tcW w:w="1025" w:type="dxa"/>
            <w:vAlign w:val="center"/>
          </w:tcPr>
          <w:p w14:paraId="594FD8C4"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14</w:t>
            </w:r>
            <w:r w:rsidRPr="00A93F31">
              <w:rPr>
                <w:rStyle w:val="FootnoteReference"/>
                <w:rFonts w:ascii="Times New Roman" w:hAnsi="Times New Roman"/>
                <w:color w:val="000000" w:themeColor="text1"/>
                <w:sz w:val="24"/>
                <w:szCs w:val="24"/>
              </w:rPr>
              <w:footnoteReference w:id="18"/>
            </w:r>
          </w:p>
        </w:tc>
        <w:tc>
          <w:tcPr>
            <w:tcW w:w="1036" w:type="dxa"/>
            <w:vAlign w:val="center"/>
          </w:tcPr>
          <w:p w14:paraId="673BAAD2"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2,8</w:t>
            </w:r>
          </w:p>
        </w:tc>
        <w:tc>
          <w:tcPr>
            <w:tcW w:w="1090" w:type="dxa"/>
            <w:vAlign w:val="center"/>
          </w:tcPr>
          <w:p w14:paraId="77152F66"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14</w:t>
            </w:r>
            <w:r w:rsidRPr="00A93F31">
              <w:rPr>
                <w:rStyle w:val="FootnoteReference"/>
                <w:rFonts w:ascii="Times New Roman" w:hAnsi="Times New Roman"/>
                <w:color w:val="000000" w:themeColor="text1"/>
                <w:sz w:val="24"/>
                <w:szCs w:val="24"/>
              </w:rPr>
              <w:footnoteReference w:id="19"/>
            </w:r>
          </w:p>
        </w:tc>
      </w:tr>
      <w:tr w:rsidR="00A26D8D" w:rsidRPr="002600BA" w14:paraId="7B95B2DC" w14:textId="77777777" w:rsidTr="00A26D8D">
        <w:trPr>
          <w:jc w:val="center"/>
        </w:trPr>
        <w:tc>
          <w:tcPr>
            <w:tcW w:w="6165" w:type="dxa"/>
            <w:vAlign w:val="center"/>
          </w:tcPr>
          <w:p w14:paraId="5AFB4822" w14:textId="77777777" w:rsidR="00A26D8D" w:rsidRPr="002600BA" w:rsidRDefault="00A26D8D" w:rsidP="002600BA">
            <w:pPr>
              <w:pStyle w:val="ListParagraph"/>
              <w:spacing w:before="60" w:after="60" w:line="240" w:lineRule="auto"/>
              <w:ind w:left="0"/>
              <w:contextualSpacing w:val="0"/>
              <w:rPr>
                <w:rFonts w:ascii="Times New Roman" w:hAnsi="Times New Roman"/>
                <w:bCs/>
                <w:color w:val="000000" w:themeColor="text1"/>
                <w:sz w:val="24"/>
                <w:szCs w:val="24"/>
              </w:rPr>
            </w:pPr>
            <w:r w:rsidRPr="002600BA">
              <w:rPr>
                <w:rFonts w:ascii="Times New Roman" w:hAnsi="Times New Roman"/>
                <w:bCs/>
                <w:color w:val="000000" w:themeColor="text1"/>
                <w:sz w:val="24"/>
                <w:szCs w:val="24"/>
              </w:rPr>
              <w:t>1.4. Moderno biodegvielu īpatsvars enerģijas bruto galapatēriņā transportā (%)</w:t>
            </w:r>
          </w:p>
        </w:tc>
        <w:tc>
          <w:tcPr>
            <w:tcW w:w="1025" w:type="dxa"/>
            <w:vAlign w:val="center"/>
          </w:tcPr>
          <w:p w14:paraId="750B31CB"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3,5</w:t>
            </w:r>
            <w:r w:rsidRPr="00A93F31">
              <w:rPr>
                <w:rStyle w:val="FootnoteReference"/>
                <w:rFonts w:ascii="Times New Roman" w:hAnsi="Times New Roman"/>
                <w:color w:val="000000" w:themeColor="text1"/>
                <w:sz w:val="24"/>
                <w:szCs w:val="24"/>
              </w:rPr>
              <w:footnoteReference w:id="20"/>
            </w:r>
          </w:p>
        </w:tc>
        <w:tc>
          <w:tcPr>
            <w:tcW w:w="1036" w:type="dxa"/>
            <w:vAlign w:val="center"/>
          </w:tcPr>
          <w:p w14:paraId="498229BD"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0</w:t>
            </w:r>
          </w:p>
        </w:tc>
        <w:tc>
          <w:tcPr>
            <w:tcW w:w="1090" w:type="dxa"/>
            <w:vAlign w:val="center"/>
          </w:tcPr>
          <w:p w14:paraId="21880E34"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3,5</w:t>
            </w:r>
            <w:r w:rsidRPr="00A93F31">
              <w:rPr>
                <w:rStyle w:val="FootnoteReference"/>
                <w:rFonts w:ascii="Times New Roman" w:hAnsi="Times New Roman"/>
                <w:color w:val="000000" w:themeColor="text1"/>
                <w:sz w:val="24"/>
                <w:szCs w:val="24"/>
              </w:rPr>
              <w:footnoteReference w:id="21"/>
            </w:r>
          </w:p>
        </w:tc>
      </w:tr>
      <w:tr w:rsidR="00A26D8D" w:rsidRPr="002600BA" w14:paraId="73900726" w14:textId="77777777" w:rsidTr="00A26D8D">
        <w:trPr>
          <w:jc w:val="center"/>
        </w:trPr>
        <w:tc>
          <w:tcPr>
            <w:tcW w:w="6165" w:type="dxa"/>
            <w:vAlign w:val="center"/>
          </w:tcPr>
          <w:p w14:paraId="38FB972F" w14:textId="77777777" w:rsidR="00A26D8D" w:rsidRPr="002600BA" w:rsidRDefault="00A26D8D" w:rsidP="002600BA">
            <w:pPr>
              <w:pStyle w:val="ListParagraph"/>
              <w:spacing w:before="60" w:after="60" w:line="240" w:lineRule="auto"/>
              <w:ind w:left="0"/>
              <w:contextualSpacing w:val="0"/>
              <w:rPr>
                <w:rFonts w:ascii="Times New Roman" w:hAnsi="Times New Roman"/>
                <w:bCs/>
                <w:color w:val="000000" w:themeColor="text1"/>
                <w:sz w:val="24"/>
                <w:szCs w:val="24"/>
              </w:rPr>
            </w:pPr>
            <w:r w:rsidRPr="002600BA">
              <w:rPr>
                <w:rFonts w:ascii="Times New Roman" w:hAnsi="Times New Roman"/>
                <w:bCs/>
                <w:color w:val="000000" w:themeColor="text1"/>
                <w:sz w:val="24"/>
                <w:szCs w:val="24"/>
              </w:rPr>
              <w:t xml:space="preserve">1.5. Enerģijas, kas ražota no AER, īpatsvars </w:t>
            </w:r>
            <w:r w:rsidRPr="002600BA">
              <w:rPr>
                <w:rFonts w:ascii="Times New Roman" w:hAnsi="Times New Roman"/>
                <w:color w:val="000000" w:themeColor="text1"/>
                <w:sz w:val="24"/>
                <w:szCs w:val="24"/>
              </w:rPr>
              <w:t xml:space="preserve">enerģijas </w:t>
            </w:r>
            <w:r w:rsidRPr="002600BA">
              <w:rPr>
                <w:rFonts w:ascii="Times New Roman" w:hAnsi="Times New Roman"/>
                <w:bCs/>
                <w:color w:val="000000" w:themeColor="text1"/>
                <w:sz w:val="24"/>
                <w:szCs w:val="24"/>
              </w:rPr>
              <w:t xml:space="preserve">bruto </w:t>
            </w:r>
            <w:r w:rsidRPr="002600BA">
              <w:rPr>
                <w:rFonts w:ascii="Times New Roman" w:hAnsi="Times New Roman"/>
                <w:color w:val="000000" w:themeColor="text1"/>
                <w:sz w:val="24"/>
                <w:szCs w:val="24"/>
              </w:rPr>
              <w:t>gala patēriņā elektroenerģijas ražošanā (%)</w:t>
            </w:r>
          </w:p>
        </w:tc>
        <w:tc>
          <w:tcPr>
            <w:tcW w:w="1025" w:type="dxa"/>
            <w:vAlign w:val="center"/>
          </w:tcPr>
          <w:p w14:paraId="26E3CA41"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0BD2F3D6"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52</w:t>
            </w:r>
          </w:p>
        </w:tc>
        <w:tc>
          <w:tcPr>
            <w:tcW w:w="1090" w:type="dxa"/>
            <w:vAlign w:val="center"/>
          </w:tcPr>
          <w:p w14:paraId="36E11283"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r>
      <w:tr w:rsidR="00A26D8D" w:rsidRPr="002600BA" w14:paraId="2F348C49" w14:textId="77777777" w:rsidTr="00A26D8D">
        <w:trPr>
          <w:jc w:val="center"/>
        </w:trPr>
        <w:tc>
          <w:tcPr>
            <w:tcW w:w="6165" w:type="dxa"/>
            <w:vAlign w:val="center"/>
          </w:tcPr>
          <w:p w14:paraId="776F3BA8" w14:textId="77777777" w:rsidR="00A26D8D" w:rsidRPr="002600BA" w:rsidRDefault="00A26D8D" w:rsidP="002600BA">
            <w:pPr>
              <w:pStyle w:val="ListParagraph"/>
              <w:spacing w:before="60" w:after="60" w:line="240" w:lineRule="auto"/>
              <w:ind w:left="0"/>
              <w:contextualSpacing w:val="0"/>
              <w:rPr>
                <w:rFonts w:ascii="Times New Roman" w:hAnsi="Times New Roman"/>
                <w:bCs/>
                <w:color w:val="000000" w:themeColor="text1"/>
                <w:sz w:val="24"/>
                <w:szCs w:val="24"/>
              </w:rPr>
            </w:pPr>
            <w:r w:rsidRPr="002600BA">
              <w:rPr>
                <w:rFonts w:ascii="Times New Roman" w:hAnsi="Times New Roman"/>
                <w:bCs/>
                <w:color w:val="000000" w:themeColor="text1"/>
                <w:sz w:val="24"/>
                <w:szCs w:val="24"/>
              </w:rPr>
              <w:t xml:space="preserve">1.6. Enerģijas, kas ražota no AER, īpatsvars </w:t>
            </w:r>
            <w:r w:rsidRPr="002600BA">
              <w:rPr>
                <w:rFonts w:ascii="Times New Roman" w:hAnsi="Times New Roman"/>
                <w:color w:val="000000" w:themeColor="text1"/>
                <w:sz w:val="24"/>
                <w:szCs w:val="24"/>
              </w:rPr>
              <w:t xml:space="preserve">enerģijas </w:t>
            </w:r>
            <w:r w:rsidRPr="002600BA">
              <w:rPr>
                <w:rFonts w:ascii="Times New Roman" w:hAnsi="Times New Roman"/>
                <w:bCs/>
                <w:color w:val="000000" w:themeColor="text1"/>
                <w:sz w:val="24"/>
                <w:szCs w:val="24"/>
              </w:rPr>
              <w:t xml:space="preserve">bruto </w:t>
            </w:r>
            <w:r w:rsidRPr="002600BA">
              <w:rPr>
                <w:rFonts w:ascii="Times New Roman" w:hAnsi="Times New Roman"/>
                <w:color w:val="000000" w:themeColor="text1"/>
                <w:sz w:val="24"/>
                <w:szCs w:val="24"/>
              </w:rPr>
              <w:t>gala patēriņā siltumapgādē un aukstumapgādē ražošanā (%)</w:t>
            </w:r>
          </w:p>
        </w:tc>
        <w:tc>
          <w:tcPr>
            <w:tcW w:w="1025" w:type="dxa"/>
            <w:vAlign w:val="center"/>
          </w:tcPr>
          <w:p w14:paraId="015089CE"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09C35B5D"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51</w:t>
            </w:r>
          </w:p>
        </w:tc>
        <w:tc>
          <w:tcPr>
            <w:tcW w:w="1090" w:type="dxa"/>
            <w:vAlign w:val="center"/>
          </w:tcPr>
          <w:p w14:paraId="2694A2C1" w14:textId="77777777" w:rsidR="00A26D8D" w:rsidRPr="002600BA" w:rsidRDefault="00A26D8D" w:rsidP="002600BA">
            <w:pPr>
              <w:spacing w:before="60" w:after="60" w:line="240" w:lineRule="auto"/>
              <w:jc w:val="center"/>
              <w:rPr>
                <w:rFonts w:ascii="Times New Roman" w:hAnsi="Times New Roman"/>
                <w:b/>
                <w:i/>
                <w:color w:val="000000" w:themeColor="text1"/>
                <w:sz w:val="24"/>
                <w:szCs w:val="24"/>
              </w:rPr>
            </w:pPr>
            <w:r w:rsidRPr="002600BA">
              <w:rPr>
                <w:rFonts w:ascii="Times New Roman" w:hAnsi="Times New Roman"/>
                <w:b/>
                <w:i/>
                <w:color w:val="000000" w:themeColor="text1"/>
                <w:sz w:val="24"/>
                <w:szCs w:val="24"/>
              </w:rPr>
              <w:t>54,9</w:t>
            </w:r>
            <w:r w:rsidRPr="00A93F31">
              <w:rPr>
                <w:rStyle w:val="FootnoteReference"/>
                <w:rFonts w:ascii="Times New Roman" w:hAnsi="Times New Roman"/>
                <w:i/>
                <w:color w:val="000000" w:themeColor="text1"/>
                <w:sz w:val="24"/>
                <w:szCs w:val="24"/>
              </w:rPr>
              <w:footnoteReference w:id="22"/>
            </w:r>
          </w:p>
        </w:tc>
      </w:tr>
      <w:tr w:rsidR="00A26D8D" w:rsidRPr="002600BA" w14:paraId="25862F05" w14:textId="77777777" w:rsidTr="00A26D8D">
        <w:trPr>
          <w:jc w:val="center"/>
        </w:trPr>
        <w:tc>
          <w:tcPr>
            <w:tcW w:w="6165" w:type="dxa"/>
            <w:vAlign w:val="center"/>
          </w:tcPr>
          <w:p w14:paraId="0DF69744" w14:textId="77777777" w:rsidR="00A26D8D" w:rsidRPr="002600BA" w:rsidRDefault="00A26D8D" w:rsidP="002600BA">
            <w:pPr>
              <w:pStyle w:val="ListParagraph"/>
              <w:spacing w:before="60" w:after="60" w:line="240" w:lineRule="auto"/>
              <w:ind w:left="0"/>
              <w:contextualSpacing w:val="0"/>
              <w:rPr>
                <w:rFonts w:ascii="Times New Roman" w:hAnsi="Times New Roman"/>
                <w:bCs/>
                <w:color w:val="000000" w:themeColor="text1"/>
                <w:sz w:val="24"/>
                <w:szCs w:val="24"/>
              </w:rPr>
            </w:pPr>
            <w:r w:rsidRPr="002600BA">
              <w:rPr>
                <w:rFonts w:ascii="Times New Roman" w:hAnsi="Times New Roman"/>
                <w:bCs/>
                <w:color w:val="000000" w:themeColor="text1"/>
                <w:sz w:val="24"/>
                <w:szCs w:val="24"/>
              </w:rPr>
              <w:t>2. Energoefektivitātes pieaugums (%)</w:t>
            </w:r>
          </w:p>
        </w:tc>
        <w:tc>
          <w:tcPr>
            <w:tcW w:w="1025" w:type="dxa"/>
            <w:vAlign w:val="center"/>
          </w:tcPr>
          <w:p w14:paraId="4815B327"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32,5</w:t>
            </w:r>
            <w:r w:rsidRPr="00A93F31">
              <w:rPr>
                <w:rStyle w:val="FootnoteReference"/>
                <w:rFonts w:ascii="Times New Roman" w:hAnsi="Times New Roman"/>
                <w:color w:val="000000" w:themeColor="text1"/>
                <w:sz w:val="24"/>
                <w:szCs w:val="24"/>
              </w:rPr>
              <w:footnoteReference w:id="23"/>
            </w:r>
          </w:p>
        </w:tc>
        <w:tc>
          <w:tcPr>
            <w:tcW w:w="1036" w:type="dxa"/>
            <w:vAlign w:val="center"/>
          </w:tcPr>
          <w:p w14:paraId="0386BE25"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90" w:type="dxa"/>
            <w:vAlign w:val="center"/>
          </w:tcPr>
          <w:p w14:paraId="63393A80"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r>
      <w:tr w:rsidR="00A26D8D" w:rsidRPr="002600BA" w14:paraId="223C5DBA" w14:textId="77777777" w:rsidTr="00A26D8D">
        <w:trPr>
          <w:jc w:val="center"/>
        </w:trPr>
        <w:tc>
          <w:tcPr>
            <w:tcW w:w="6165" w:type="dxa"/>
            <w:vAlign w:val="center"/>
          </w:tcPr>
          <w:p w14:paraId="27C6A996" w14:textId="77777777" w:rsidR="00A26D8D" w:rsidRPr="002600BA" w:rsidRDefault="00A26D8D" w:rsidP="002600BA">
            <w:pPr>
              <w:pStyle w:val="ListParagraph"/>
              <w:spacing w:before="60" w:after="60" w:line="240" w:lineRule="auto"/>
              <w:ind w:left="0"/>
              <w:contextualSpacing w:val="0"/>
              <w:rPr>
                <w:rFonts w:ascii="Times New Roman" w:hAnsi="Times New Roman"/>
                <w:bCs/>
                <w:color w:val="000000" w:themeColor="text1"/>
                <w:sz w:val="24"/>
                <w:szCs w:val="24"/>
              </w:rPr>
            </w:pPr>
            <w:r w:rsidRPr="002600BA">
              <w:rPr>
                <w:rFonts w:ascii="Times New Roman" w:hAnsi="Times New Roman"/>
                <w:bCs/>
                <w:color w:val="000000" w:themeColor="text1"/>
                <w:sz w:val="24"/>
                <w:szCs w:val="24"/>
              </w:rPr>
              <w:t>2.1. Indikatīvais mērķis – primārās enerģijas patēriņš (Mtoe)</w:t>
            </w:r>
          </w:p>
        </w:tc>
        <w:tc>
          <w:tcPr>
            <w:tcW w:w="1025" w:type="dxa"/>
            <w:vAlign w:val="center"/>
          </w:tcPr>
          <w:p w14:paraId="0B64A002"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1273</w:t>
            </w:r>
            <w:r w:rsidRPr="002600BA">
              <w:rPr>
                <w:rStyle w:val="FootnoteReference"/>
                <w:rFonts w:ascii="Times New Roman" w:hAnsi="Times New Roman"/>
                <w:color w:val="000000" w:themeColor="text1"/>
                <w:sz w:val="24"/>
                <w:szCs w:val="24"/>
              </w:rPr>
              <w:footnoteReference w:id="24"/>
            </w:r>
          </w:p>
        </w:tc>
        <w:tc>
          <w:tcPr>
            <w:tcW w:w="1036" w:type="dxa"/>
            <w:vAlign w:val="center"/>
          </w:tcPr>
          <w:p w14:paraId="2E5B2F44"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sz w:val="24"/>
                <w:szCs w:val="24"/>
              </w:rPr>
              <w:t>4,39</w:t>
            </w:r>
          </w:p>
        </w:tc>
        <w:tc>
          <w:tcPr>
            <w:tcW w:w="1090" w:type="dxa"/>
            <w:vAlign w:val="center"/>
          </w:tcPr>
          <w:p w14:paraId="7B310291"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4,33</w:t>
            </w:r>
          </w:p>
        </w:tc>
      </w:tr>
      <w:tr w:rsidR="00A26D8D" w:rsidRPr="002600BA" w14:paraId="32A21E3E" w14:textId="77777777" w:rsidTr="00A26D8D">
        <w:trPr>
          <w:jc w:val="center"/>
        </w:trPr>
        <w:tc>
          <w:tcPr>
            <w:tcW w:w="6165" w:type="dxa"/>
            <w:vAlign w:val="center"/>
          </w:tcPr>
          <w:p w14:paraId="00E47587" w14:textId="77777777" w:rsidR="00A26D8D" w:rsidRPr="002600BA" w:rsidRDefault="00A26D8D" w:rsidP="002600BA">
            <w:pPr>
              <w:pStyle w:val="ListParagraph"/>
              <w:spacing w:before="60" w:after="60" w:line="240" w:lineRule="auto"/>
              <w:ind w:left="0"/>
              <w:contextualSpacing w:val="0"/>
              <w:rPr>
                <w:rFonts w:ascii="Times New Roman" w:hAnsi="Times New Roman"/>
                <w:bCs/>
                <w:color w:val="000000" w:themeColor="text1"/>
                <w:sz w:val="24"/>
                <w:szCs w:val="24"/>
              </w:rPr>
            </w:pPr>
            <w:r w:rsidRPr="002600BA">
              <w:rPr>
                <w:rFonts w:ascii="Times New Roman" w:hAnsi="Times New Roman"/>
                <w:bCs/>
                <w:color w:val="000000" w:themeColor="text1"/>
                <w:sz w:val="24"/>
                <w:szCs w:val="24"/>
              </w:rPr>
              <w:t>2.2. Indikatīvais mērķis – enerģijas galapatēriņš (Mtoe)</w:t>
            </w:r>
          </w:p>
        </w:tc>
        <w:tc>
          <w:tcPr>
            <w:tcW w:w="1025" w:type="dxa"/>
            <w:vAlign w:val="center"/>
          </w:tcPr>
          <w:p w14:paraId="577D5E0F"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956</w:t>
            </w:r>
            <w:r w:rsidRPr="002600BA">
              <w:rPr>
                <w:rStyle w:val="FootnoteReference"/>
                <w:rFonts w:ascii="Times New Roman" w:hAnsi="Times New Roman"/>
                <w:color w:val="000000" w:themeColor="text1"/>
                <w:sz w:val="24"/>
                <w:szCs w:val="24"/>
              </w:rPr>
              <w:footnoteReference w:id="25"/>
            </w:r>
          </w:p>
        </w:tc>
        <w:tc>
          <w:tcPr>
            <w:tcW w:w="1036" w:type="dxa"/>
            <w:vAlign w:val="center"/>
          </w:tcPr>
          <w:p w14:paraId="7F8E511E"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sz w:val="24"/>
                <w:szCs w:val="24"/>
              </w:rPr>
              <w:t>3,92</w:t>
            </w:r>
          </w:p>
        </w:tc>
        <w:tc>
          <w:tcPr>
            <w:tcW w:w="1090" w:type="dxa"/>
            <w:vAlign w:val="center"/>
          </w:tcPr>
          <w:p w14:paraId="11CAF83E"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3,57</w:t>
            </w:r>
          </w:p>
        </w:tc>
      </w:tr>
      <w:tr w:rsidR="00A26D8D" w:rsidRPr="002600BA" w14:paraId="558312B7" w14:textId="77777777" w:rsidTr="00A26D8D">
        <w:trPr>
          <w:jc w:val="center"/>
        </w:trPr>
        <w:tc>
          <w:tcPr>
            <w:tcW w:w="6165" w:type="dxa"/>
            <w:vAlign w:val="center"/>
          </w:tcPr>
          <w:p w14:paraId="106F0173" w14:textId="77777777" w:rsidR="00A26D8D" w:rsidRPr="002600BA" w:rsidRDefault="00A26D8D" w:rsidP="002600BA">
            <w:pPr>
              <w:pStyle w:val="ListParagraph"/>
              <w:spacing w:before="60" w:after="60" w:line="240" w:lineRule="auto"/>
              <w:ind w:left="0"/>
              <w:contextualSpacing w:val="0"/>
              <w:rPr>
                <w:rFonts w:ascii="Times New Roman" w:hAnsi="Times New Roman"/>
                <w:color w:val="000000" w:themeColor="text1"/>
                <w:sz w:val="24"/>
                <w:szCs w:val="24"/>
              </w:rPr>
            </w:pPr>
            <w:r w:rsidRPr="002600BA">
              <w:rPr>
                <w:rFonts w:ascii="Times New Roman" w:hAnsi="Times New Roman"/>
                <w:color w:val="000000" w:themeColor="text1"/>
                <w:sz w:val="24"/>
                <w:szCs w:val="24"/>
              </w:rPr>
              <w:t>2.3. Valsts obligātais mērķis – uzkrātais gala enerģijas ietaupījums (Mtoe)</w:t>
            </w:r>
          </w:p>
        </w:tc>
        <w:tc>
          <w:tcPr>
            <w:tcW w:w="1025" w:type="dxa"/>
            <w:vAlign w:val="center"/>
          </w:tcPr>
          <w:p w14:paraId="0D9752DA"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01521FE9" w14:textId="5C0C8E51" w:rsidR="00A26D8D" w:rsidRPr="002600BA" w:rsidRDefault="00A93F31" w:rsidP="002600BA">
            <w:pPr>
              <w:spacing w:before="60" w:after="6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0,18</w:t>
            </w:r>
          </w:p>
        </w:tc>
        <w:tc>
          <w:tcPr>
            <w:tcW w:w="1090" w:type="dxa"/>
            <w:vAlign w:val="center"/>
          </w:tcPr>
          <w:p w14:paraId="469ECF4A" w14:textId="77777777" w:rsidR="00A26D8D" w:rsidRPr="002600BA" w:rsidRDefault="00A26D8D" w:rsidP="002600BA">
            <w:pPr>
              <w:spacing w:before="60" w:after="60" w:line="240" w:lineRule="auto"/>
              <w:jc w:val="center"/>
              <w:rPr>
                <w:rFonts w:ascii="Times New Roman" w:hAnsi="Times New Roman"/>
                <w:b/>
                <w:i/>
                <w:color w:val="000000" w:themeColor="text1"/>
                <w:sz w:val="24"/>
                <w:szCs w:val="24"/>
              </w:rPr>
            </w:pPr>
            <w:r w:rsidRPr="002600BA">
              <w:rPr>
                <w:rFonts w:ascii="Times New Roman" w:hAnsi="Times New Roman"/>
                <w:b/>
                <w:i/>
                <w:color w:val="000000" w:themeColor="text1"/>
                <w:sz w:val="24"/>
                <w:szCs w:val="24"/>
              </w:rPr>
              <w:t>1,7</w:t>
            </w:r>
            <w:r w:rsidRPr="002600BA">
              <w:rPr>
                <w:rStyle w:val="FootnoteReference"/>
                <w:rFonts w:ascii="Times New Roman" w:hAnsi="Times New Roman"/>
                <w:b/>
                <w:i/>
                <w:color w:val="000000" w:themeColor="text1"/>
                <w:sz w:val="24"/>
                <w:szCs w:val="24"/>
              </w:rPr>
              <w:footnoteReference w:id="26"/>
            </w:r>
          </w:p>
        </w:tc>
      </w:tr>
      <w:tr w:rsidR="00A26D8D" w:rsidRPr="002600BA" w14:paraId="5A3146F8" w14:textId="77777777" w:rsidTr="00A26D8D">
        <w:trPr>
          <w:jc w:val="center"/>
        </w:trPr>
        <w:tc>
          <w:tcPr>
            <w:tcW w:w="6165" w:type="dxa"/>
            <w:vAlign w:val="center"/>
          </w:tcPr>
          <w:p w14:paraId="2071CAB4" w14:textId="77777777" w:rsidR="00A26D8D" w:rsidRPr="002600BA" w:rsidRDefault="00A26D8D" w:rsidP="002600BA">
            <w:pPr>
              <w:pStyle w:val="ListParagraph"/>
              <w:spacing w:before="60" w:after="60" w:line="240" w:lineRule="auto"/>
              <w:ind w:left="0"/>
              <w:contextualSpacing w:val="0"/>
              <w:rPr>
                <w:rFonts w:ascii="Times New Roman" w:hAnsi="Times New Roman"/>
                <w:color w:val="000000" w:themeColor="text1"/>
                <w:sz w:val="24"/>
                <w:szCs w:val="24"/>
              </w:rPr>
            </w:pPr>
            <w:r w:rsidRPr="002600BA">
              <w:rPr>
                <w:rFonts w:ascii="Times New Roman" w:hAnsi="Times New Roman"/>
                <w:color w:val="000000" w:themeColor="text1"/>
                <w:sz w:val="24"/>
                <w:szCs w:val="24"/>
              </w:rPr>
              <w:t>2.4. Ēku atjaunošanas mērķis (kopā renovēti, m</w:t>
            </w:r>
            <w:r w:rsidRPr="002600BA">
              <w:rPr>
                <w:rFonts w:ascii="Times New Roman" w:hAnsi="Times New Roman"/>
                <w:color w:val="000000" w:themeColor="text1"/>
                <w:sz w:val="24"/>
                <w:szCs w:val="24"/>
                <w:vertAlign w:val="superscript"/>
              </w:rPr>
              <w:t>2</w:t>
            </w:r>
            <w:r w:rsidRPr="002600BA">
              <w:rPr>
                <w:rFonts w:ascii="Times New Roman" w:hAnsi="Times New Roman"/>
                <w:color w:val="000000" w:themeColor="text1"/>
                <w:sz w:val="24"/>
                <w:szCs w:val="24"/>
              </w:rPr>
              <w:t>)</w:t>
            </w:r>
          </w:p>
        </w:tc>
        <w:tc>
          <w:tcPr>
            <w:tcW w:w="1025" w:type="dxa"/>
            <w:vAlign w:val="center"/>
          </w:tcPr>
          <w:p w14:paraId="487A1529"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0E8AA176" w14:textId="3634D130" w:rsidR="00A26D8D" w:rsidRPr="008D16AE" w:rsidRDefault="00A93F31" w:rsidP="002600BA">
            <w:pPr>
              <w:spacing w:before="60" w:after="60" w:line="240" w:lineRule="auto"/>
              <w:jc w:val="center"/>
              <w:rPr>
                <w:rFonts w:ascii="Times New Roman" w:hAnsi="Times New Roman"/>
                <w:b/>
                <w:color w:val="000000" w:themeColor="text1"/>
                <w:sz w:val="24"/>
                <w:szCs w:val="24"/>
              </w:rPr>
            </w:pPr>
            <w:r w:rsidRPr="008D16AE">
              <w:rPr>
                <w:rFonts w:ascii="Times New Roman" w:hAnsi="Times New Roman"/>
                <w:b/>
                <w:color w:val="000000" w:themeColor="text1"/>
                <w:sz w:val="24"/>
                <w:szCs w:val="24"/>
              </w:rPr>
              <w:t>232 635</w:t>
            </w:r>
          </w:p>
        </w:tc>
        <w:tc>
          <w:tcPr>
            <w:tcW w:w="1090" w:type="dxa"/>
            <w:vAlign w:val="center"/>
          </w:tcPr>
          <w:p w14:paraId="7760DDFE" w14:textId="77777777" w:rsidR="00A26D8D" w:rsidRPr="00A93F31" w:rsidRDefault="00A26D8D" w:rsidP="002600BA">
            <w:pPr>
              <w:spacing w:before="60" w:after="60" w:line="240" w:lineRule="auto"/>
              <w:jc w:val="center"/>
              <w:rPr>
                <w:rFonts w:ascii="Times New Roman" w:hAnsi="Times New Roman"/>
                <w:i/>
                <w:color w:val="000000" w:themeColor="text1"/>
                <w:sz w:val="24"/>
                <w:szCs w:val="24"/>
              </w:rPr>
            </w:pPr>
            <w:r w:rsidRPr="00A93F31">
              <w:rPr>
                <w:rFonts w:ascii="Times New Roman" w:hAnsi="Times New Roman"/>
                <w:i/>
                <w:color w:val="000000" w:themeColor="text1"/>
                <w:sz w:val="24"/>
                <w:szCs w:val="24"/>
              </w:rPr>
              <w:t>tbu</w:t>
            </w:r>
          </w:p>
        </w:tc>
      </w:tr>
      <w:tr w:rsidR="00A26D8D" w:rsidRPr="002600BA" w14:paraId="0B02D510" w14:textId="77777777" w:rsidTr="00A26D8D">
        <w:trPr>
          <w:jc w:val="center"/>
        </w:trPr>
        <w:tc>
          <w:tcPr>
            <w:tcW w:w="6165" w:type="dxa"/>
            <w:vAlign w:val="center"/>
          </w:tcPr>
          <w:p w14:paraId="2F7C6EF0" w14:textId="77777777" w:rsidR="00A26D8D" w:rsidRPr="002600BA" w:rsidRDefault="00A26D8D" w:rsidP="002600BA">
            <w:pPr>
              <w:pStyle w:val="ListParagraph"/>
              <w:spacing w:before="60" w:after="60" w:line="240" w:lineRule="auto"/>
              <w:ind w:left="0"/>
              <w:contextualSpacing w:val="0"/>
              <w:rPr>
                <w:rFonts w:ascii="Times New Roman" w:hAnsi="Times New Roman"/>
                <w:color w:val="000000" w:themeColor="text1"/>
                <w:sz w:val="24"/>
                <w:szCs w:val="24"/>
              </w:rPr>
            </w:pPr>
            <w:r w:rsidRPr="002600BA">
              <w:rPr>
                <w:rFonts w:ascii="Times New Roman" w:hAnsi="Times New Roman"/>
                <w:color w:val="000000" w:themeColor="text1"/>
                <w:sz w:val="24"/>
                <w:szCs w:val="24"/>
              </w:rPr>
              <w:t>2.5. Īpatnējais siltumenerģijas patēriņš ēkās (kWh/m</w:t>
            </w:r>
            <w:r w:rsidRPr="002600BA">
              <w:rPr>
                <w:rFonts w:ascii="Times New Roman" w:hAnsi="Times New Roman"/>
                <w:color w:val="000000" w:themeColor="text1"/>
                <w:sz w:val="24"/>
                <w:szCs w:val="24"/>
                <w:vertAlign w:val="superscript"/>
              </w:rPr>
              <w:t>2</w:t>
            </w:r>
            <w:r w:rsidRPr="002600BA">
              <w:rPr>
                <w:rFonts w:ascii="Times New Roman" w:hAnsi="Times New Roman"/>
                <w:color w:val="000000" w:themeColor="text1"/>
                <w:sz w:val="24"/>
                <w:szCs w:val="24"/>
              </w:rPr>
              <w:t>/gadā)</w:t>
            </w:r>
          </w:p>
        </w:tc>
        <w:tc>
          <w:tcPr>
            <w:tcW w:w="1025" w:type="dxa"/>
            <w:vAlign w:val="center"/>
          </w:tcPr>
          <w:p w14:paraId="53B8B4AB"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6FF7E8E6"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90" w:type="dxa"/>
            <w:vAlign w:val="center"/>
          </w:tcPr>
          <w:p w14:paraId="14AEA529"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100</w:t>
            </w:r>
            <w:r w:rsidRPr="00A93F31">
              <w:rPr>
                <w:rStyle w:val="FootnoteReference"/>
                <w:rFonts w:ascii="Times New Roman" w:hAnsi="Times New Roman"/>
                <w:color w:val="000000" w:themeColor="text1"/>
                <w:sz w:val="24"/>
                <w:szCs w:val="24"/>
              </w:rPr>
              <w:footnoteReference w:id="27"/>
            </w:r>
          </w:p>
        </w:tc>
      </w:tr>
      <w:tr w:rsidR="00A26D8D" w:rsidRPr="002600BA" w14:paraId="36B4EB5C" w14:textId="77777777" w:rsidTr="00A26D8D">
        <w:trPr>
          <w:jc w:val="center"/>
        </w:trPr>
        <w:tc>
          <w:tcPr>
            <w:tcW w:w="6165" w:type="dxa"/>
            <w:vAlign w:val="center"/>
          </w:tcPr>
          <w:p w14:paraId="06B47F03" w14:textId="77777777" w:rsidR="00A26D8D" w:rsidRPr="002600BA" w:rsidRDefault="00A26D8D" w:rsidP="002600BA">
            <w:pPr>
              <w:pStyle w:val="ListParagraph"/>
              <w:spacing w:before="60" w:after="60" w:line="240" w:lineRule="auto"/>
              <w:ind w:left="0"/>
              <w:contextualSpacing w:val="0"/>
              <w:rPr>
                <w:rFonts w:ascii="Times New Roman" w:hAnsi="Times New Roman"/>
                <w:b/>
                <w:color w:val="000000" w:themeColor="text1"/>
                <w:sz w:val="24"/>
                <w:szCs w:val="24"/>
              </w:rPr>
            </w:pPr>
            <w:r w:rsidRPr="002600BA">
              <w:rPr>
                <w:rFonts w:ascii="Times New Roman" w:hAnsi="Times New Roman"/>
                <w:color w:val="000000" w:themeColor="text1"/>
                <w:sz w:val="24"/>
                <w:szCs w:val="24"/>
              </w:rPr>
              <w:t>3.1. Importa īpatsvars bruto iekšzemes enerģijas patēriņā (t.sk. bunkurēšana) (%)</w:t>
            </w:r>
          </w:p>
        </w:tc>
        <w:tc>
          <w:tcPr>
            <w:tcW w:w="1025" w:type="dxa"/>
            <w:vAlign w:val="center"/>
          </w:tcPr>
          <w:p w14:paraId="55795268"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2A5B4217"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47,2</w:t>
            </w:r>
          </w:p>
        </w:tc>
        <w:tc>
          <w:tcPr>
            <w:tcW w:w="1090" w:type="dxa"/>
            <w:vAlign w:val="center"/>
          </w:tcPr>
          <w:p w14:paraId="0A032BD3"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30</w:t>
            </w:r>
            <w:r w:rsidRPr="00A93F31">
              <w:rPr>
                <w:rStyle w:val="FootnoteReference"/>
                <w:rFonts w:ascii="Times New Roman" w:hAnsi="Times New Roman"/>
                <w:color w:val="000000" w:themeColor="text1"/>
                <w:sz w:val="24"/>
                <w:szCs w:val="24"/>
              </w:rPr>
              <w:footnoteReference w:id="28"/>
            </w:r>
          </w:p>
        </w:tc>
      </w:tr>
      <w:tr w:rsidR="00A26D8D" w:rsidRPr="002600BA" w14:paraId="629F4CC2" w14:textId="77777777" w:rsidTr="00A26D8D">
        <w:trPr>
          <w:jc w:val="center"/>
        </w:trPr>
        <w:tc>
          <w:tcPr>
            <w:tcW w:w="6165" w:type="dxa"/>
            <w:vAlign w:val="center"/>
          </w:tcPr>
          <w:p w14:paraId="55B5FA9E" w14:textId="77777777" w:rsidR="00A26D8D" w:rsidRPr="002600BA" w:rsidRDefault="00A26D8D" w:rsidP="002600BA">
            <w:pPr>
              <w:pStyle w:val="ListParagraph"/>
              <w:spacing w:before="60" w:after="60" w:line="240" w:lineRule="auto"/>
              <w:ind w:left="0"/>
              <w:contextualSpacing w:val="0"/>
              <w:rPr>
                <w:rFonts w:ascii="Times New Roman" w:hAnsi="Times New Roman"/>
                <w:color w:val="000000" w:themeColor="text1"/>
                <w:sz w:val="24"/>
                <w:szCs w:val="24"/>
              </w:rPr>
            </w:pPr>
            <w:r w:rsidRPr="002600BA">
              <w:rPr>
                <w:rFonts w:ascii="Times New Roman" w:hAnsi="Times New Roman"/>
                <w:color w:val="000000" w:themeColor="text1"/>
                <w:sz w:val="24"/>
                <w:szCs w:val="24"/>
              </w:rPr>
              <w:t>4.1. Starpsavienojumu jauda (% pret uzstādīto ģenerējošo jaudu)</w:t>
            </w:r>
          </w:p>
        </w:tc>
        <w:tc>
          <w:tcPr>
            <w:tcW w:w="1025" w:type="dxa"/>
            <w:vAlign w:val="center"/>
          </w:tcPr>
          <w:p w14:paraId="415C6334"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15</w:t>
            </w:r>
            <w:r w:rsidRPr="00A93F31">
              <w:rPr>
                <w:rStyle w:val="FootnoteReference"/>
                <w:rFonts w:ascii="Times New Roman" w:hAnsi="Times New Roman"/>
                <w:color w:val="000000" w:themeColor="text1"/>
                <w:sz w:val="24"/>
                <w:szCs w:val="24"/>
              </w:rPr>
              <w:footnoteReference w:id="29"/>
            </w:r>
          </w:p>
        </w:tc>
        <w:tc>
          <w:tcPr>
            <w:tcW w:w="1036" w:type="dxa"/>
            <w:vAlign w:val="center"/>
          </w:tcPr>
          <w:p w14:paraId="105699A3" w14:textId="5F5271FD" w:rsidR="00A26D8D" w:rsidRPr="002600BA" w:rsidRDefault="00096C02" w:rsidP="002600BA">
            <w:pPr>
              <w:spacing w:before="60" w:after="6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80</w:t>
            </w:r>
          </w:p>
        </w:tc>
        <w:tc>
          <w:tcPr>
            <w:tcW w:w="1090" w:type="dxa"/>
            <w:vAlign w:val="center"/>
          </w:tcPr>
          <w:p w14:paraId="6550AA39"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15</w:t>
            </w:r>
            <w:r w:rsidRPr="00A93F31">
              <w:rPr>
                <w:rStyle w:val="FootnoteReference"/>
                <w:rFonts w:ascii="Times New Roman" w:hAnsi="Times New Roman"/>
                <w:color w:val="000000" w:themeColor="text1"/>
                <w:sz w:val="24"/>
                <w:szCs w:val="24"/>
              </w:rPr>
              <w:footnoteReference w:id="30"/>
            </w:r>
          </w:p>
        </w:tc>
      </w:tr>
      <w:tr w:rsidR="00A26D8D" w:rsidRPr="002600BA" w14:paraId="05E87EA5" w14:textId="77777777" w:rsidTr="00A26D8D">
        <w:trPr>
          <w:jc w:val="center"/>
        </w:trPr>
        <w:tc>
          <w:tcPr>
            <w:tcW w:w="6165" w:type="dxa"/>
            <w:vAlign w:val="center"/>
          </w:tcPr>
          <w:p w14:paraId="14509894" w14:textId="77777777" w:rsidR="00A26D8D" w:rsidRPr="002600BA" w:rsidRDefault="00A26D8D" w:rsidP="002600BA">
            <w:pPr>
              <w:pStyle w:val="ListParagraph"/>
              <w:spacing w:before="60" w:after="60" w:line="240" w:lineRule="auto"/>
              <w:ind w:left="0"/>
              <w:contextualSpacing w:val="0"/>
              <w:rPr>
                <w:rFonts w:ascii="Times New Roman" w:hAnsi="Times New Roman"/>
                <w:color w:val="000000" w:themeColor="text1"/>
                <w:sz w:val="24"/>
                <w:szCs w:val="24"/>
              </w:rPr>
            </w:pPr>
            <w:r w:rsidRPr="002600BA">
              <w:rPr>
                <w:rFonts w:ascii="Times New Roman" w:hAnsi="Times New Roman"/>
                <w:color w:val="000000" w:themeColor="text1"/>
                <w:sz w:val="24"/>
                <w:szCs w:val="24"/>
              </w:rPr>
              <w:t>4.2. Iespējas pirkt dabasgāzi no dažādiem avotiem (</w:t>
            </w:r>
            <w:r w:rsidRPr="002600BA">
              <w:rPr>
                <w:rFonts w:ascii="Times New Roman" w:hAnsi="Times New Roman"/>
                <w:i/>
                <w:color w:val="000000" w:themeColor="text1"/>
                <w:sz w:val="24"/>
                <w:szCs w:val="24"/>
              </w:rPr>
              <w:t>avotu skaits</w:t>
            </w:r>
            <w:r w:rsidRPr="002600BA">
              <w:rPr>
                <w:rFonts w:ascii="Times New Roman" w:hAnsi="Times New Roman"/>
                <w:color w:val="000000" w:themeColor="text1"/>
                <w:sz w:val="24"/>
                <w:szCs w:val="24"/>
              </w:rPr>
              <w:t>)</w:t>
            </w:r>
          </w:p>
        </w:tc>
        <w:tc>
          <w:tcPr>
            <w:tcW w:w="1025" w:type="dxa"/>
            <w:vAlign w:val="center"/>
          </w:tcPr>
          <w:p w14:paraId="72FA2108"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1</w:t>
            </w:r>
          </w:p>
        </w:tc>
        <w:tc>
          <w:tcPr>
            <w:tcW w:w="1036" w:type="dxa"/>
            <w:vAlign w:val="center"/>
          </w:tcPr>
          <w:p w14:paraId="00D223C0"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1</w:t>
            </w:r>
          </w:p>
        </w:tc>
        <w:tc>
          <w:tcPr>
            <w:tcW w:w="1090" w:type="dxa"/>
            <w:vAlign w:val="center"/>
          </w:tcPr>
          <w:p w14:paraId="18B22956"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&gt;1</w:t>
            </w:r>
          </w:p>
        </w:tc>
      </w:tr>
      <w:tr w:rsidR="00A26D8D" w:rsidRPr="002600BA" w14:paraId="2963BDE6" w14:textId="77777777" w:rsidTr="00A26D8D">
        <w:trPr>
          <w:jc w:val="center"/>
        </w:trPr>
        <w:tc>
          <w:tcPr>
            <w:tcW w:w="6165" w:type="dxa"/>
            <w:vAlign w:val="center"/>
          </w:tcPr>
          <w:p w14:paraId="434F39F9" w14:textId="77777777" w:rsidR="00A26D8D" w:rsidRPr="002600BA" w:rsidRDefault="00A26D8D" w:rsidP="002600BA">
            <w:pPr>
              <w:pStyle w:val="ListParagraph"/>
              <w:spacing w:before="60" w:after="60" w:line="240" w:lineRule="auto"/>
              <w:ind w:left="0"/>
              <w:contextualSpacing w:val="0"/>
              <w:rPr>
                <w:rFonts w:ascii="Times New Roman" w:hAnsi="Times New Roman"/>
                <w:color w:val="000000" w:themeColor="text1"/>
                <w:sz w:val="24"/>
                <w:szCs w:val="24"/>
              </w:rPr>
            </w:pPr>
            <w:r w:rsidRPr="002600BA">
              <w:rPr>
                <w:rFonts w:ascii="Times New Roman" w:hAnsi="Times New Roman"/>
                <w:color w:val="000000" w:themeColor="text1"/>
                <w:sz w:val="24"/>
                <w:szCs w:val="24"/>
              </w:rPr>
              <w:t>5.1. Inovatīvu produktu apgrozījums (% no kopējā apgrozījuma)</w:t>
            </w:r>
          </w:p>
        </w:tc>
        <w:tc>
          <w:tcPr>
            <w:tcW w:w="1025" w:type="dxa"/>
            <w:vAlign w:val="center"/>
          </w:tcPr>
          <w:p w14:paraId="516FE63A"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4CE01C48" w14:textId="77777777" w:rsidR="00A26D8D" w:rsidRPr="00A93F31" w:rsidRDefault="00A26D8D" w:rsidP="002600BA">
            <w:pPr>
              <w:spacing w:before="60" w:after="60" w:line="240" w:lineRule="auto"/>
              <w:jc w:val="center"/>
              <w:rPr>
                <w:rFonts w:ascii="Times New Roman" w:hAnsi="Times New Roman"/>
                <w:i/>
                <w:color w:val="000000" w:themeColor="text1"/>
                <w:sz w:val="24"/>
                <w:szCs w:val="24"/>
              </w:rPr>
            </w:pPr>
            <w:r w:rsidRPr="00A93F31">
              <w:rPr>
                <w:rFonts w:ascii="Times New Roman" w:hAnsi="Times New Roman"/>
                <w:i/>
                <w:color w:val="000000" w:themeColor="text1"/>
                <w:sz w:val="24"/>
                <w:szCs w:val="24"/>
              </w:rPr>
              <w:t>tbu</w:t>
            </w:r>
          </w:p>
        </w:tc>
        <w:tc>
          <w:tcPr>
            <w:tcW w:w="1090" w:type="dxa"/>
            <w:vAlign w:val="center"/>
          </w:tcPr>
          <w:p w14:paraId="4CA9CE7F"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&gt;14</w:t>
            </w:r>
            <w:r w:rsidRPr="00A93F31">
              <w:rPr>
                <w:rStyle w:val="FootnoteReference"/>
                <w:rFonts w:ascii="Times New Roman" w:hAnsi="Times New Roman"/>
                <w:color w:val="000000" w:themeColor="text1"/>
                <w:sz w:val="24"/>
                <w:szCs w:val="24"/>
              </w:rPr>
              <w:footnoteReference w:id="31"/>
            </w:r>
          </w:p>
        </w:tc>
      </w:tr>
      <w:tr w:rsidR="00A26D8D" w:rsidRPr="002600BA" w14:paraId="47438535" w14:textId="77777777" w:rsidTr="00A26D8D">
        <w:trPr>
          <w:jc w:val="center"/>
        </w:trPr>
        <w:tc>
          <w:tcPr>
            <w:tcW w:w="6165" w:type="dxa"/>
            <w:vAlign w:val="center"/>
          </w:tcPr>
          <w:p w14:paraId="7278D946" w14:textId="77777777" w:rsidR="00A26D8D" w:rsidRPr="002600BA" w:rsidRDefault="00A26D8D" w:rsidP="002600BA">
            <w:pPr>
              <w:pStyle w:val="ListParagraph"/>
              <w:spacing w:before="60" w:after="60" w:line="240" w:lineRule="auto"/>
              <w:ind w:left="0"/>
              <w:contextualSpacing w:val="0"/>
              <w:rPr>
                <w:rFonts w:ascii="Times New Roman" w:hAnsi="Times New Roman"/>
                <w:color w:val="000000" w:themeColor="text1"/>
                <w:sz w:val="24"/>
                <w:szCs w:val="24"/>
              </w:rPr>
            </w:pPr>
            <w:r w:rsidRPr="002600BA">
              <w:rPr>
                <w:rFonts w:ascii="Times New Roman" w:hAnsi="Times New Roman"/>
                <w:color w:val="000000" w:themeColor="text1"/>
                <w:sz w:val="24"/>
                <w:szCs w:val="24"/>
              </w:rPr>
              <w:lastRenderedPageBreak/>
              <w:t>5.2. Inovatīvu uzņēmumu īpatsvars (%) no visiem uzņēmumiem)</w:t>
            </w:r>
          </w:p>
        </w:tc>
        <w:tc>
          <w:tcPr>
            <w:tcW w:w="1025" w:type="dxa"/>
            <w:vAlign w:val="center"/>
          </w:tcPr>
          <w:p w14:paraId="21343F87"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6C75E380" w14:textId="77777777" w:rsidR="00A26D8D" w:rsidRPr="00A93F31" w:rsidRDefault="00A26D8D" w:rsidP="002600BA">
            <w:pPr>
              <w:spacing w:before="60" w:after="60" w:line="240" w:lineRule="auto"/>
              <w:jc w:val="center"/>
              <w:rPr>
                <w:rFonts w:ascii="Times New Roman" w:hAnsi="Times New Roman"/>
                <w:color w:val="000000" w:themeColor="text1"/>
                <w:sz w:val="24"/>
                <w:szCs w:val="24"/>
              </w:rPr>
            </w:pPr>
            <w:r w:rsidRPr="00A93F31">
              <w:rPr>
                <w:rFonts w:ascii="Times New Roman" w:hAnsi="Times New Roman"/>
                <w:i/>
                <w:color w:val="000000" w:themeColor="text1"/>
                <w:sz w:val="24"/>
                <w:szCs w:val="24"/>
              </w:rPr>
              <w:t>tbu</w:t>
            </w:r>
          </w:p>
        </w:tc>
        <w:tc>
          <w:tcPr>
            <w:tcW w:w="1090" w:type="dxa"/>
            <w:vAlign w:val="center"/>
          </w:tcPr>
          <w:p w14:paraId="01A58DF4"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&gt;40</w:t>
            </w:r>
            <w:r w:rsidRPr="00A93F31">
              <w:rPr>
                <w:rStyle w:val="FootnoteReference"/>
                <w:rFonts w:ascii="Times New Roman" w:hAnsi="Times New Roman"/>
                <w:color w:val="000000" w:themeColor="text1"/>
                <w:sz w:val="24"/>
                <w:szCs w:val="24"/>
              </w:rPr>
              <w:footnoteReference w:id="32"/>
            </w:r>
          </w:p>
        </w:tc>
      </w:tr>
      <w:tr w:rsidR="00A26D8D" w:rsidRPr="002600BA" w14:paraId="12DCFAB3" w14:textId="77777777" w:rsidTr="00A26D8D">
        <w:trPr>
          <w:jc w:val="center"/>
        </w:trPr>
        <w:tc>
          <w:tcPr>
            <w:tcW w:w="6165" w:type="dxa"/>
            <w:vAlign w:val="center"/>
          </w:tcPr>
          <w:p w14:paraId="045A2B9C" w14:textId="77777777" w:rsidR="00A26D8D" w:rsidRPr="002600BA" w:rsidRDefault="00A26D8D" w:rsidP="002600BA">
            <w:pPr>
              <w:pStyle w:val="ListParagraph"/>
              <w:spacing w:before="60" w:after="60" w:line="240" w:lineRule="auto"/>
              <w:ind w:left="0"/>
              <w:contextualSpacing w:val="0"/>
              <w:rPr>
                <w:rFonts w:ascii="Times New Roman" w:hAnsi="Times New Roman"/>
                <w:color w:val="000000" w:themeColor="text1"/>
                <w:sz w:val="24"/>
                <w:szCs w:val="24"/>
              </w:rPr>
            </w:pPr>
            <w:r w:rsidRPr="002600BA">
              <w:rPr>
                <w:rFonts w:ascii="Times New Roman" w:hAnsi="Times New Roman"/>
                <w:color w:val="000000" w:themeColor="text1"/>
                <w:sz w:val="24"/>
                <w:szCs w:val="24"/>
              </w:rPr>
              <w:t>5.3. Augsto tehnoloģiju nozaru eksporta īpatsvars (% no visa eksporta gadā)</w:t>
            </w:r>
          </w:p>
        </w:tc>
        <w:tc>
          <w:tcPr>
            <w:tcW w:w="1025" w:type="dxa"/>
            <w:vAlign w:val="center"/>
          </w:tcPr>
          <w:p w14:paraId="1247A716" w14:textId="77777777" w:rsidR="00A26D8D" w:rsidRPr="002600BA" w:rsidRDefault="00A26D8D" w:rsidP="002600BA">
            <w:pPr>
              <w:pStyle w:val="ListParagraph"/>
              <w:spacing w:before="60" w:after="60" w:line="240" w:lineRule="auto"/>
              <w:ind w:left="0"/>
              <w:contextualSpacing w:val="0"/>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w:t>
            </w:r>
          </w:p>
        </w:tc>
        <w:tc>
          <w:tcPr>
            <w:tcW w:w="1036" w:type="dxa"/>
            <w:vAlign w:val="center"/>
          </w:tcPr>
          <w:p w14:paraId="61E1BF4C" w14:textId="77777777" w:rsidR="00A26D8D" w:rsidRPr="00A93F31" w:rsidRDefault="00A26D8D" w:rsidP="002600BA">
            <w:pPr>
              <w:spacing w:before="60" w:after="60" w:line="240" w:lineRule="auto"/>
              <w:jc w:val="center"/>
              <w:rPr>
                <w:rFonts w:ascii="Times New Roman" w:hAnsi="Times New Roman"/>
                <w:color w:val="000000" w:themeColor="text1"/>
                <w:sz w:val="24"/>
                <w:szCs w:val="24"/>
              </w:rPr>
            </w:pPr>
            <w:r w:rsidRPr="00A93F31">
              <w:rPr>
                <w:rFonts w:ascii="Times New Roman" w:hAnsi="Times New Roman"/>
                <w:i/>
                <w:color w:val="000000" w:themeColor="text1"/>
                <w:sz w:val="24"/>
                <w:szCs w:val="24"/>
              </w:rPr>
              <w:t>tbu</w:t>
            </w:r>
          </w:p>
        </w:tc>
        <w:tc>
          <w:tcPr>
            <w:tcW w:w="1090" w:type="dxa"/>
            <w:vAlign w:val="center"/>
          </w:tcPr>
          <w:p w14:paraId="2C74AB51" w14:textId="77777777" w:rsidR="00A26D8D" w:rsidRPr="002600BA" w:rsidRDefault="00A26D8D" w:rsidP="002600BA">
            <w:pPr>
              <w:spacing w:before="60" w:after="60" w:line="240" w:lineRule="auto"/>
              <w:jc w:val="center"/>
              <w:rPr>
                <w:rFonts w:ascii="Times New Roman" w:hAnsi="Times New Roman"/>
                <w:b/>
                <w:color w:val="000000" w:themeColor="text1"/>
                <w:sz w:val="24"/>
                <w:szCs w:val="24"/>
              </w:rPr>
            </w:pPr>
            <w:r w:rsidRPr="002600BA">
              <w:rPr>
                <w:rFonts w:ascii="Times New Roman" w:hAnsi="Times New Roman"/>
                <w:b/>
                <w:color w:val="000000" w:themeColor="text1"/>
                <w:sz w:val="24"/>
                <w:szCs w:val="24"/>
              </w:rPr>
              <w:t>&gt;15</w:t>
            </w:r>
            <w:r w:rsidRPr="00A93F31">
              <w:rPr>
                <w:rStyle w:val="FootnoteReference"/>
                <w:rFonts w:ascii="Times New Roman" w:hAnsi="Times New Roman"/>
                <w:color w:val="000000" w:themeColor="text1"/>
                <w:sz w:val="24"/>
                <w:szCs w:val="24"/>
              </w:rPr>
              <w:footnoteReference w:id="33"/>
            </w:r>
          </w:p>
        </w:tc>
      </w:tr>
    </w:tbl>
    <w:bookmarkEnd w:id="7"/>
    <w:p w14:paraId="52D0A33F" w14:textId="06146B92" w:rsidR="002B32F1" w:rsidRDefault="00B57F54" w:rsidP="00D51349">
      <w:pPr>
        <w:widowControl w:val="0"/>
        <w:spacing w:before="120" w:after="120" w:line="240" w:lineRule="auto"/>
        <w:jc w:val="both"/>
        <w:rPr>
          <w:rFonts w:ascii="Times New Roman" w:hAnsi="Times New Roman"/>
          <w:sz w:val="28"/>
          <w:szCs w:val="28"/>
        </w:rPr>
      </w:pPr>
      <w:r>
        <w:rPr>
          <w:rFonts w:ascii="Times New Roman" w:hAnsi="Times New Roman"/>
          <w:sz w:val="28"/>
          <w:szCs w:val="28"/>
        </w:rPr>
        <w:t>Plāna projektā ir iekļauta informācija par pašreizējo stāvokli</w:t>
      </w:r>
      <w:r w:rsidR="00A93F31">
        <w:rPr>
          <w:rFonts w:ascii="Times New Roman" w:hAnsi="Times New Roman"/>
          <w:sz w:val="28"/>
          <w:szCs w:val="28"/>
        </w:rPr>
        <w:t xml:space="preserve"> – vēsturiskā informācija par periodu līdz 2016.-2017.gadam,</w:t>
      </w:r>
      <w:r>
        <w:rPr>
          <w:rFonts w:ascii="Times New Roman" w:hAnsi="Times New Roman"/>
          <w:sz w:val="28"/>
          <w:szCs w:val="28"/>
        </w:rPr>
        <w:t xml:space="preserve"> visās Plānā iekļaujamās Enerģētikas savienības dimensijās</w:t>
      </w:r>
      <w:r w:rsidR="00B63189">
        <w:rPr>
          <w:rFonts w:ascii="Times New Roman" w:hAnsi="Times New Roman"/>
          <w:sz w:val="28"/>
          <w:szCs w:val="28"/>
        </w:rPr>
        <w:t>, tādējādi ir sniegts pārskats par šā brīža situāciju Enerģētikas savienības dimensi</w:t>
      </w:r>
      <w:r w:rsidR="00B521EE">
        <w:rPr>
          <w:rFonts w:ascii="Times New Roman" w:hAnsi="Times New Roman"/>
          <w:sz w:val="28"/>
          <w:szCs w:val="28"/>
        </w:rPr>
        <w:t>jās noteikto mērķu sasniegšanā.</w:t>
      </w:r>
      <w:r w:rsidR="00A93F31">
        <w:rPr>
          <w:rFonts w:ascii="Times New Roman" w:hAnsi="Times New Roman"/>
          <w:sz w:val="28"/>
          <w:szCs w:val="28"/>
        </w:rPr>
        <w:t xml:space="preserve"> Plāna projektā ir iekļautas arī prognozes esošo pasākumu scenārijā</w:t>
      </w:r>
      <w:r w:rsidR="00A93F31">
        <w:rPr>
          <w:rStyle w:val="FootnoteReference"/>
          <w:rFonts w:ascii="Times New Roman" w:hAnsi="Times New Roman"/>
          <w:sz w:val="28"/>
          <w:szCs w:val="28"/>
        </w:rPr>
        <w:footnoteReference w:id="34"/>
      </w:r>
      <w:r w:rsidR="00A93F31">
        <w:rPr>
          <w:rFonts w:ascii="Times New Roman" w:hAnsi="Times New Roman"/>
          <w:sz w:val="28"/>
          <w:szCs w:val="28"/>
        </w:rPr>
        <w:t xml:space="preserve"> laika periodam līdz 2030.gadam Plānā iekļaujamās dimensijās. </w:t>
      </w:r>
      <w:bookmarkStart w:id="9" w:name="_Hlk531877774"/>
      <w:r w:rsidR="00074154" w:rsidRPr="00074154">
        <w:rPr>
          <w:rFonts w:ascii="Times New Roman" w:hAnsi="Times New Roman"/>
          <w:sz w:val="28"/>
          <w:szCs w:val="28"/>
        </w:rPr>
        <w:t>Plāna projekta 4.pielikumā ir piedāvāti iespējamie pasākumi, kas veicinātu 2030.ga</w:t>
      </w:r>
      <w:r w:rsidR="008D16AE">
        <w:rPr>
          <w:rFonts w:ascii="Times New Roman" w:hAnsi="Times New Roman"/>
          <w:sz w:val="28"/>
          <w:szCs w:val="28"/>
        </w:rPr>
        <w:t>dam noteikto mērķu sasniegšanu</w:t>
      </w:r>
      <w:r w:rsidR="00BF122F">
        <w:rPr>
          <w:rFonts w:ascii="Times New Roman" w:hAnsi="Times New Roman"/>
          <w:sz w:val="28"/>
          <w:szCs w:val="28"/>
        </w:rPr>
        <w:t>. P</w:t>
      </w:r>
      <w:r w:rsidR="00B521EE">
        <w:rPr>
          <w:rFonts w:ascii="Times New Roman" w:hAnsi="Times New Roman"/>
          <w:sz w:val="28"/>
          <w:szCs w:val="28"/>
        </w:rPr>
        <w:t>iedāvātie pasākumi ir sadalīti vairākās grupās:</w:t>
      </w:r>
    </w:p>
    <w:p w14:paraId="29138E17" w14:textId="23319151" w:rsidR="00B521EE" w:rsidRDefault="00B521EE" w:rsidP="00D51349">
      <w:pPr>
        <w:pStyle w:val="ListParagraph"/>
        <w:widowControl w:val="0"/>
        <w:numPr>
          <w:ilvl w:val="0"/>
          <w:numId w:val="15"/>
        </w:numPr>
        <w:spacing w:before="120" w:after="120" w:line="240" w:lineRule="auto"/>
        <w:contextualSpacing w:val="0"/>
        <w:jc w:val="both"/>
        <w:rPr>
          <w:rFonts w:ascii="Times New Roman" w:hAnsi="Times New Roman"/>
          <w:sz w:val="28"/>
          <w:szCs w:val="28"/>
        </w:rPr>
      </w:pPr>
      <w:r>
        <w:rPr>
          <w:rFonts w:ascii="Times New Roman" w:hAnsi="Times New Roman"/>
          <w:sz w:val="28"/>
          <w:szCs w:val="28"/>
        </w:rPr>
        <w:t>E</w:t>
      </w:r>
      <w:r w:rsidR="00491DA5">
        <w:rPr>
          <w:rFonts w:ascii="Times New Roman" w:hAnsi="Times New Roman"/>
          <w:sz w:val="28"/>
          <w:szCs w:val="28"/>
        </w:rPr>
        <w:t>S</w:t>
      </w:r>
      <w:r>
        <w:rPr>
          <w:rFonts w:ascii="Times New Roman" w:hAnsi="Times New Roman"/>
          <w:sz w:val="28"/>
          <w:szCs w:val="28"/>
        </w:rPr>
        <w:t xml:space="preserve"> fondu atbalsta programmas;</w:t>
      </w:r>
    </w:p>
    <w:p w14:paraId="6E3ED8E7" w14:textId="5C8EF40C" w:rsidR="00B521EE" w:rsidRDefault="00D35CB3" w:rsidP="00D51349">
      <w:pPr>
        <w:pStyle w:val="ListParagraph"/>
        <w:widowControl w:val="0"/>
        <w:numPr>
          <w:ilvl w:val="0"/>
          <w:numId w:val="15"/>
        </w:numPr>
        <w:spacing w:before="120" w:after="120" w:line="240" w:lineRule="auto"/>
        <w:contextualSpacing w:val="0"/>
        <w:jc w:val="both"/>
        <w:rPr>
          <w:rFonts w:ascii="Times New Roman" w:hAnsi="Times New Roman"/>
          <w:sz w:val="28"/>
          <w:szCs w:val="28"/>
        </w:rPr>
      </w:pPr>
      <w:r>
        <w:rPr>
          <w:rFonts w:ascii="Times New Roman" w:hAnsi="Times New Roman"/>
          <w:sz w:val="28"/>
          <w:szCs w:val="28"/>
        </w:rPr>
        <w:t>n</w:t>
      </w:r>
      <w:r w:rsidR="00B521EE">
        <w:rPr>
          <w:rFonts w:ascii="Times New Roman" w:hAnsi="Times New Roman"/>
          <w:sz w:val="28"/>
          <w:szCs w:val="28"/>
        </w:rPr>
        <w:t>odokļu politikas pasākumi</w:t>
      </w:r>
      <w:r>
        <w:rPr>
          <w:rFonts w:ascii="Times New Roman" w:hAnsi="Times New Roman"/>
          <w:sz w:val="28"/>
          <w:szCs w:val="28"/>
        </w:rPr>
        <w:t>;</w:t>
      </w:r>
    </w:p>
    <w:p w14:paraId="7C13F9DE" w14:textId="73354ED7" w:rsidR="00B521EE" w:rsidRDefault="00D35CB3" w:rsidP="00D51349">
      <w:pPr>
        <w:pStyle w:val="ListParagraph"/>
        <w:widowControl w:val="0"/>
        <w:numPr>
          <w:ilvl w:val="0"/>
          <w:numId w:val="15"/>
        </w:numPr>
        <w:spacing w:before="120" w:after="120" w:line="240" w:lineRule="auto"/>
        <w:contextualSpacing w:val="0"/>
        <w:jc w:val="both"/>
        <w:rPr>
          <w:rFonts w:ascii="Times New Roman" w:hAnsi="Times New Roman"/>
          <w:sz w:val="28"/>
          <w:szCs w:val="28"/>
        </w:rPr>
      </w:pPr>
      <w:r>
        <w:rPr>
          <w:rFonts w:ascii="Times New Roman" w:hAnsi="Times New Roman"/>
          <w:sz w:val="28"/>
          <w:szCs w:val="28"/>
        </w:rPr>
        <w:t>v</w:t>
      </w:r>
      <w:r w:rsidR="00B521EE">
        <w:rPr>
          <w:rFonts w:ascii="Times New Roman" w:hAnsi="Times New Roman"/>
          <w:sz w:val="28"/>
          <w:szCs w:val="28"/>
        </w:rPr>
        <w:t>eicināšanas pasākumi</w:t>
      </w:r>
      <w:r>
        <w:rPr>
          <w:rFonts w:ascii="Times New Roman" w:hAnsi="Times New Roman"/>
          <w:sz w:val="28"/>
          <w:szCs w:val="28"/>
        </w:rPr>
        <w:t>;</w:t>
      </w:r>
    </w:p>
    <w:p w14:paraId="2565C5D7" w14:textId="2AC9F75F" w:rsidR="00B521EE" w:rsidRDefault="00491DA5" w:rsidP="00D51349">
      <w:pPr>
        <w:pStyle w:val="ListParagraph"/>
        <w:widowControl w:val="0"/>
        <w:numPr>
          <w:ilvl w:val="0"/>
          <w:numId w:val="15"/>
        </w:numPr>
        <w:spacing w:before="120" w:after="120" w:line="240" w:lineRule="auto"/>
        <w:contextualSpacing w:val="0"/>
        <w:jc w:val="both"/>
        <w:rPr>
          <w:rFonts w:ascii="Times New Roman" w:hAnsi="Times New Roman"/>
          <w:sz w:val="28"/>
          <w:szCs w:val="28"/>
        </w:rPr>
      </w:pPr>
      <w:r>
        <w:rPr>
          <w:rFonts w:ascii="Times New Roman" w:hAnsi="Times New Roman"/>
          <w:sz w:val="28"/>
          <w:szCs w:val="28"/>
        </w:rPr>
        <w:t>l</w:t>
      </w:r>
      <w:r w:rsidR="00B521EE">
        <w:rPr>
          <w:rFonts w:ascii="Times New Roman" w:hAnsi="Times New Roman"/>
          <w:sz w:val="28"/>
          <w:szCs w:val="28"/>
        </w:rPr>
        <w:t xml:space="preserve">ikumdošanas </w:t>
      </w:r>
      <w:r w:rsidR="00D35CB3">
        <w:rPr>
          <w:rFonts w:ascii="Times New Roman" w:hAnsi="Times New Roman"/>
          <w:sz w:val="28"/>
          <w:szCs w:val="28"/>
        </w:rPr>
        <w:t>pasākumi;</w:t>
      </w:r>
    </w:p>
    <w:p w14:paraId="4C639D40" w14:textId="328E1B24" w:rsidR="00B521EE" w:rsidRPr="00B521EE" w:rsidRDefault="00D35CB3" w:rsidP="00D51349">
      <w:pPr>
        <w:pStyle w:val="ListParagraph"/>
        <w:widowControl w:val="0"/>
        <w:numPr>
          <w:ilvl w:val="0"/>
          <w:numId w:val="15"/>
        </w:numPr>
        <w:spacing w:before="120" w:after="120" w:line="240" w:lineRule="auto"/>
        <w:contextualSpacing w:val="0"/>
        <w:jc w:val="both"/>
        <w:rPr>
          <w:rFonts w:ascii="Times New Roman" w:hAnsi="Times New Roman"/>
          <w:sz w:val="28"/>
          <w:szCs w:val="28"/>
        </w:rPr>
      </w:pPr>
      <w:r>
        <w:rPr>
          <w:rFonts w:ascii="Times New Roman" w:hAnsi="Times New Roman"/>
          <w:sz w:val="28"/>
          <w:szCs w:val="28"/>
        </w:rPr>
        <w:t>p</w:t>
      </w:r>
      <w:r w:rsidR="00B521EE">
        <w:rPr>
          <w:rFonts w:ascii="Times New Roman" w:hAnsi="Times New Roman"/>
          <w:sz w:val="28"/>
          <w:szCs w:val="28"/>
        </w:rPr>
        <w:t>ienākumi.</w:t>
      </w:r>
    </w:p>
    <w:bookmarkEnd w:id="9"/>
    <w:p w14:paraId="2494796B" w14:textId="77777777" w:rsidR="00316396" w:rsidRDefault="00316396" w:rsidP="00D51349">
      <w:pPr>
        <w:spacing w:before="120" w:after="120" w:line="240" w:lineRule="auto"/>
        <w:jc w:val="both"/>
        <w:rPr>
          <w:rFonts w:ascii="Times New Roman" w:hAnsi="Times New Roman"/>
          <w:sz w:val="28"/>
          <w:szCs w:val="28"/>
        </w:rPr>
      </w:pPr>
    </w:p>
    <w:p w14:paraId="6F02B730" w14:textId="0FB232A4" w:rsidR="00B521EE" w:rsidRPr="00B521EE" w:rsidRDefault="00B521EE" w:rsidP="00D51349">
      <w:pPr>
        <w:pStyle w:val="ListParagraph"/>
        <w:numPr>
          <w:ilvl w:val="0"/>
          <w:numId w:val="14"/>
        </w:numPr>
        <w:spacing w:before="120" w:after="120" w:line="240" w:lineRule="auto"/>
        <w:ind w:left="567" w:hanging="567"/>
        <w:contextualSpacing w:val="0"/>
        <w:rPr>
          <w:rFonts w:ascii="Times New Roman" w:hAnsi="Times New Roman"/>
          <w:b/>
          <w:sz w:val="28"/>
          <w:szCs w:val="28"/>
        </w:rPr>
      </w:pPr>
      <w:r w:rsidRPr="00B521EE">
        <w:rPr>
          <w:rFonts w:ascii="Times New Roman" w:hAnsi="Times New Roman"/>
          <w:b/>
          <w:sz w:val="28"/>
          <w:szCs w:val="28"/>
        </w:rPr>
        <w:t xml:space="preserve">Plāna </w:t>
      </w:r>
      <w:r w:rsidR="006867C3">
        <w:rPr>
          <w:rFonts w:ascii="Times New Roman" w:hAnsi="Times New Roman"/>
          <w:b/>
          <w:sz w:val="28"/>
          <w:szCs w:val="28"/>
        </w:rPr>
        <w:t xml:space="preserve">projekta un Plāna </w:t>
      </w:r>
      <w:r w:rsidRPr="00B521EE">
        <w:rPr>
          <w:rFonts w:ascii="Times New Roman" w:hAnsi="Times New Roman"/>
          <w:b/>
          <w:sz w:val="28"/>
          <w:szCs w:val="28"/>
        </w:rPr>
        <w:t>virzība</w:t>
      </w:r>
    </w:p>
    <w:p w14:paraId="563AAAEA" w14:textId="37434618" w:rsidR="00B521EE" w:rsidRPr="00B521EE" w:rsidRDefault="00B521EE" w:rsidP="00D51349">
      <w:pPr>
        <w:spacing w:before="120" w:after="120" w:line="240" w:lineRule="auto"/>
        <w:jc w:val="both"/>
        <w:rPr>
          <w:rFonts w:ascii="Times New Roman" w:hAnsi="Times New Roman"/>
          <w:sz w:val="28"/>
          <w:szCs w:val="28"/>
        </w:rPr>
      </w:pPr>
      <w:r w:rsidRPr="00B521EE">
        <w:rPr>
          <w:rFonts w:ascii="Times New Roman" w:hAnsi="Times New Roman"/>
          <w:noProof/>
          <w:sz w:val="28"/>
          <w:szCs w:val="28"/>
        </w:rPr>
        <w:t>Enerģētikas savienības pārvaldības regulā ir noteikts, ka dalībvalstīm līdz 2018. </w:t>
      </w:r>
      <w:r w:rsidRPr="00B521EE">
        <w:rPr>
          <w:rFonts w:ascii="Times New Roman" w:hAnsi="Times New Roman"/>
          <w:sz w:val="28"/>
          <w:szCs w:val="28"/>
        </w:rPr>
        <w:t>gada 31.</w:t>
      </w:r>
      <w:r w:rsidRPr="00B521EE">
        <w:rPr>
          <w:rFonts w:ascii="Times New Roman" w:hAnsi="Times New Roman"/>
          <w:noProof/>
          <w:sz w:val="28"/>
          <w:szCs w:val="28"/>
        </w:rPr>
        <w:t> decembrim ir jāiesniedz EK sākotnējais Plāna projekts un pēc EK rekomendāciju saņemšanas (par saturu un mērķu sasniegšanu) – līdz 2019. gada 31. decembrim Plāna gala redakcija</w:t>
      </w:r>
      <w:r w:rsidR="00D35CB3">
        <w:rPr>
          <w:rFonts w:ascii="Times New Roman" w:hAnsi="Times New Roman"/>
          <w:noProof/>
          <w:sz w:val="28"/>
          <w:szCs w:val="28"/>
        </w:rPr>
        <w:t xml:space="preserve">. </w:t>
      </w:r>
    </w:p>
    <w:p w14:paraId="23BBC43A" w14:textId="0906C3AF" w:rsidR="00B521EE" w:rsidRPr="00B521EE" w:rsidRDefault="00B521EE" w:rsidP="00D51349">
      <w:pPr>
        <w:spacing w:before="120" w:after="120" w:line="240" w:lineRule="auto"/>
        <w:jc w:val="both"/>
        <w:rPr>
          <w:rFonts w:ascii="Times New Roman" w:hAnsi="Times New Roman"/>
          <w:sz w:val="28"/>
          <w:szCs w:val="28"/>
        </w:rPr>
      </w:pPr>
      <w:r w:rsidRPr="00B521EE">
        <w:rPr>
          <w:rFonts w:ascii="Times New Roman" w:hAnsi="Times New Roman"/>
          <w:sz w:val="28"/>
          <w:szCs w:val="28"/>
        </w:rPr>
        <w:t>Plāna izstrādes laika grafiks un iesaistītas institūcijas (atbildību sadalījums) tika noteikt</w:t>
      </w:r>
      <w:r w:rsidR="00B31AC0">
        <w:rPr>
          <w:rFonts w:ascii="Times New Roman" w:hAnsi="Times New Roman"/>
          <w:sz w:val="28"/>
          <w:szCs w:val="28"/>
        </w:rPr>
        <w:t>a</w:t>
      </w:r>
      <w:r w:rsidRPr="00B521EE">
        <w:rPr>
          <w:rFonts w:ascii="Times New Roman" w:hAnsi="Times New Roman"/>
          <w:sz w:val="28"/>
          <w:szCs w:val="28"/>
        </w:rPr>
        <w:t>s Informatīvajā ziņojumā “Par Nacionālā enerģētikas un klimata plāna izstrādi”, kas tika apstiprināts Ministru kabineta 2018.gada 26.jūnijā, un Ministru kabineta 2018.gada 26.jūnija protokola Nr.30 50.§ “Informatīvais ziņojums “Par Nacionālā enerģētikas un klimata plāna izstrādi””.</w:t>
      </w:r>
    </w:p>
    <w:p w14:paraId="0B838625" w14:textId="28B8A8EF" w:rsidR="00B63189" w:rsidRDefault="00B63189" w:rsidP="00D51349">
      <w:pPr>
        <w:spacing w:before="120" w:after="120" w:line="240" w:lineRule="auto"/>
        <w:jc w:val="both"/>
        <w:rPr>
          <w:rFonts w:ascii="Times New Roman" w:hAnsi="Times New Roman"/>
          <w:sz w:val="28"/>
          <w:szCs w:val="28"/>
        </w:rPr>
      </w:pPr>
      <w:r>
        <w:rPr>
          <w:rFonts w:ascii="Times New Roman" w:hAnsi="Times New Roman"/>
          <w:sz w:val="28"/>
          <w:szCs w:val="28"/>
        </w:rPr>
        <w:t xml:space="preserve">Ņemot vērā iepriekšminēto un saskaņā ar </w:t>
      </w:r>
      <w:r w:rsidRPr="00B57F54">
        <w:rPr>
          <w:rFonts w:ascii="Times New Roman" w:hAnsi="Times New Roman"/>
          <w:sz w:val="28"/>
          <w:szCs w:val="28"/>
        </w:rPr>
        <w:t>Ministru kabineta 2018.gada 26.jūnija protokola Nr.30 50.§ “Informatīvais ziņojums “Par Nacionālā enerģētikas un klimata plāna izstrādi””</w:t>
      </w:r>
      <w:r>
        <w:rPr>
          <w:rFonts w:ascii="Times New Roman" w:hAnsi="Times New Roman"/>
          <w:sz w:val="28"/>
          <w:szCs w:val="28"/>
        </w:rPr>
        <w:t xml:space="preserve"> 9.punktu Ekonomikas ministrija</w:t>
      </w:r>
      <w:r w:rsidR="001B371D">
        <w:rPr>
          <w:rFonts w:ascii="Times New Roman" w:hAnsi="Times New Roman"/>
          <w:sz w:val="28"/>
          <w:szCs w:val="28"/>
        </w:rPr>
        <w:t>i</w:t>
      </w:r>
      <w:r>
        <w:rPr>
          <w:rFonts w:ascii="Times New Roman" w:hAnsi="Times New Roman"/>
          <w:sz w:val="28"/>
          <w:szCs w:val="28"/>
        </w:rPr>
        <w:t xml:space="preserve"> līdz 2018.gada </w:t>
      </w:r>
      <w:r>
        <w:rPr>
          <w:rFonts w:ascii="Times New Roman" w:hAnsi="Times New Roman"/>
          <w:sz w:val="28"/>
          <w:szCs w:val="28"/>
        </w:rPr>
        <w:lastRenderedPageBreak/>
        <w:t xml:space="preserve">31.decembrim </w:t>
      </w:r>
      <w:r w:rsidR="001B371D">
        <w:rPr>
          <w:rFonts w:ascii="Times New Roman" w:hAnsi="Times New Roman"/>
          <w:sz w:val="28"/>
          <w:szCs w:val="28"/>
        </w:rPr>
        <w:t xml:space="preserve">ir jāiesniedz </w:t>
      </w:r>
      <w:r>
        <w:rPr>
          <w:rFonts w:ascii="Times New Roman" w:hAnsi="Times New Roman"/>
          <w:sz w:val="28"/>
          <w:szCs w:val="28"/>
        </w:rPr>
        <w:t>EK Plāna projekt</w:t>
      </w:r>
      <w:r w:rsidR="00D35CB3">
        <w:rPr>
          <w:rFonts w:ascii="Times New Roman" w:hAnsi="Times New Roman"/>
          <w:sz w:val="28"/>
          <w:szCs w:val="28"/>
        </w:rPr>
        <w:t>s</w:t>
      </w:r>
      <w:r w:rsidR="005B30C8">
        <w:rPr>
          <w:rFonts w:ascii="Times New Roman" w:hAnsi="Times New Roman"/>
          <w:sz w:val="28"/>
          <w:szCs w:val="28"/>
        </w:rPr>
        <w:t xml:space="preserve"> un tā pielikum</w:t>
      </w:r>
      <w:r w:rsidR="00D35CB3">
        <w:rPr>
          <w:rFonts w:ascii="Times New Roman" w:hAnsi="Times New Roman"/>
          <w:sz w:val="28"/>
          <w:szCs w:val="28"/>
        </w:rPr>
        <w:t>i</w:t>
      </w:r>
      <w:r>
        <w:rPr>
          <w:rFonts w:ascii="Times New Roman" w:hAnsi="Times New Roman"/>
          <w:sz w:val="28"/>
          <w:szCs w:val="28"/>
        </w:rPr>
        <w:t>, kas ir pievienot</w:t>
      </w:r>
      <w:r w:rsidR="005B30C8">
        <w:rPr>
          <w:rFonts w:ascii="Times New Roman" w:hAnsi="Times New Roman"/>
          <w:sz w:val="28"/>
          <w:szCs w:val="28"/>
        </w:rPr>
        <w:t>i</w:t>
      </w:r>
      <w:r>
        <w:rPr>
          <w:rFonts w:ascii="Times New Roman" w:hAnsi="Times New Roman"/>
          <w:sz w:val="28"/>
          <w:szCs w:val="28"/>
        </w:rPr>
        <w:t xml:space="preserve"> šī ziņojuma </w:t>
      </w:r>
      <w:r w:rsidR="005B30C8">
        <w:rPr>
          <w:rFonts w:ascii="Times New Roman" w:hAnsi="Times New Roman"/>
          <w:sz w:val="28"/>
          <w:szCs w:val="28"/>
        </w:rPr>
        <w:t>pielikumā</w:t>
      </w:r>
      <w:r w:rsidR="00366728">
        <w:rPr>
          <w:rFonts w:ascii="Times New Roman" w:hAnsi="Times New Roman"/>
          <w:sz w:val="28"/>
          <w:szCs w:val="28"/>
        </w:rPr>
        <w:t>.</w:t>
      </w:r>
    </w:p>
    <w:p w14:paraId="4FBDE32D" w14:textId="77777777" w:rsidR="00366728" w:rsidRPr="00B57F54" w:rsidRDefault="00366728" w:rsidP="00B57F54">
      <w:pPr>
        <w:spacing w:before="120" w:after="120" w:line="240" w:lineRule="auto"/>
        <w:jc w:val="both"/>
        <w:rPr>
          <w:rFonts w:ascii="Times New Roman" w:hAnsi="Times New Roman"/>
          <w:sz w:val="28"/>
          <w:szCs w:val="28"/>
        </w:rPr>
      </w:pPr>
    </w:p>
    <w:p w14:paraId="42C115DB" w14:textId="77777777" w:rsidR="00280894" w:rsidRDefault="00962954" w:rsidP="00FB5BC8">
      <w:pPr>
        <w:tabs>
          <w:tab w:val="center" w:pos="9072"/>
        </w:tabs>
        <w:spacing w:after="0" w:line="240" w:lineRule="auto"/>
        <w:jc w:val="both"/>
        <w:rPr>
          <w:rFonts w:ascii="Times New Roman" w:hAnsi="Times New Roman"/>
          <w:sz w:val="28"/>
          <w:szCs w:val="28"/>
        </w:rPr>
      </w:pPr>
      <w:r w:rsidRPr="00366728">
        <w:rPr>
          <w:rFonts w:ascii="Times New Roman" w:hAnsi="Times New Roman"/>
          <w:sz w:val="28"/>
          <w:szCs w:val="28"/>
        </w:rPr>
        <w:t>Ministru prezidents</w:t>
      </w:r>
      <w:r w:rsidRPr="00366728">
        <w:rPr>
          <w:rFonts w:ascii="Times New Roman" w:hAnsi="Times New Roman"/>
          <w:sz w:val="28"/>
          <w:szCs w:val="28"/>
        </w:rPr>
        <w:tab/>
      </w:r>
      <w:proofErr w:type="spellStart"/>
      <w:r w:rsidRPr="00366728">
        <w:rPr>
          <w:rFonts w:ascii="Times New Roman" w:hAnsi="Times New Roman"/>
          <w:sz w:val="28"/>
          <w:szCs w:val="28"/>
        </w:rPr>
        <w:t>M</w:t>
      </w:r>
      <w:r w:rsidR="004955CA" w:rsidRPr="00366728">
        <w:rPr>
          <w:rFonts w:ascii="Times New Roman" w:hAnsi="Times New Roman"/>
          <w:sz w:val="28"/>
          <w:szCs w:val="28"/>
        </w:rPr>
        <w:t>.</w:t>
      </w:r>
      <w:r w:rsidRPr="00366728">
        <w:rPr>
          <w:rFonts w:ascii="Times New Roman" w:hAnsi="Times New Roman"/>
          <w:sz w:val="28"/>
          <w:szCs w:val="28"/>
        </w:rPr>
        <w:t>Kučinskis</w:t>
      </w:r>
      <w:proofErr w:type="spellEnd"/>
    </w:p>
    <w:p w14:paraId="04704A9A" w14:textId="7593787B" w:rsidR="00366728" w:rsidRDefault="00366728" w:rsidP="00FB5BC8">
      <w:pPr>
        <w:tabs>
          <w:tab w:val="center" w:pos="9072"/>
        </w:tabs>
        <w:spacing w:after="0" w:line="240" w:lineRule="auto"/>
        <w:jc w:val="both"/>
        <w:rPr>
          <w:rFonts w:ascii="Times New Roman" w:hAnsi="Times New Roman"/>
          <w:sz w:val="20"/>
          <w:szCs w:val="20"/>
        </w:rPr>
      </w:pPr>
    </w:p>
    <w:p w14:paraId="3581ECBD" w14:textId="5463D16C" w:rsidR="00D51349" w:rsidRDefault="00D51349" w:rsidP="00FB5BC8">
      <w:pPr>
        <w:tabs>
          <w:tab w:val="center" w:pos="9072"/>
        </w:tabs>
        <w:spacing w:after="0" w:line="240" w:lineRule="auto"/>
        <w:jc w:val="both"/>
        <w:rPr>
          <w:rFonts w:ascii="Times New Roman" w:hAnsi="Times New Roman"/>
          <w:sz w:val="20"/>
          <w:szCs w:val="20"/>
        </w:rPr>
      </w:pPr>
    </w:p>
    <w:p w14:paraId="1465F002" w14:textId="77777777" w:rsidR="00D51349" w:rsidRPr="00FB5BC8" w:rsidRDefault="00D51349" w:rsidP="00FB5BC8">
      <w:pPr>
        <w:tabs>
          <w:tab w:val="center" w:pos="9072"/>
        </w:tabs>
        <w:spacing w:after="0" w:line="240" w:lineRule="auto"/>
        <w:jc w:val="both"/>
        <w:rPr>
          <w:rFonts w:ascii="Times New Roman" w:hAnsi="Times New Roman"/>
          <w:sz w:val="20"/>
          <w:szCs w:val="20"/>
        </w:rPr>
      </w:pPr>
    </w:p>
    <w:p w14:paraId="62EAB9D4" w14:textId="77777777" w:rsidR="00FB5BC8" w:rsidRPr="00FB5BC8" w:rsidRDefault="00FB5BC8" w:rsidP="00FB5BC8">
      <w:pPr>
        <w:tabs>
          <w:tab w:val="center" w:pos="9072"/>
        </w:tabs>
        <w:spacing w:after="0" w:line="240" w:lineRule="auto"/>
        <w:jc w:val="both"/>
        <w:rPr>
          <w:rFonts w:ascii="Times New Roman" w:hAnsi="Times New Roman"/>
          <w:sz w:val="20"/>
          <w:szCs w:val="20"/>
        </w:rPr>
      </w:pPr>
    </w:p>
    <w:p w14:paraId="61E7E995" w14:textId="77777777" w:rsidR="00280894" w:rsidRPr="00366728" w:rsidRDefault="00962954" w:rsidP="00FB5BC8">
      <w:pPr>
        <w:spacing w:after="0" w:line="240" w:lineRule="auto"/>
        <w:jc w:val="both"/>
        <w:rPr>
          <w:rFonts w:ascii="Times New Roman" w:hAnsi="Times New Roman"/>
          <w:sz w:val="28"/>
          <w:szCs w:val="28"/>
        </w:rPr>
      </w:pPr>
      <w:r w:rsidRPr="00366728">
        <w:rPr>
          <w:rFonts w:ascii="Times New Roman" w:hAnsi="Times New Roman"/>
          <w:sz w:val="28"/>
          <w:szCs w:val="28"/>
        </w:rPr>
        <w:t>Ministru prezidenta biedrs,</w:t>
      </w:r>
    </w:p>
    <w:p w14:paraId="18F8E4BB" w14:textId="77777777" w:rsidR="00280894" w:rsidRDefault="00962954" w:rsidP="00FB5BC8">
      <w:pPr>
        <w:tabs>
          <w:tab w:val="center" w:pos="9072"/>
        </w:tabs>
        <w:spacing w:after="0" w:line="240" w:lineRule="auto"/>
        <w:jc w:val="both"/>
        <w:rPr>
          <w:rFonts w:ascii="Times New Roman" w:hAnsi="Times New Roman"/>
          <w:sz w:val="28"/>
          <w:szCs w:val="28"/>
        </w:rPr>
      </w:pPr>
      <w:r w:rsidRPr="00366728">
        <w:rPr>
          <w:rFonts w:ascii="Times New Roman" w:hAnsi="Times New Roman"/>
          <w:sz w:val="28"/>
          <w:szCs w:val="28"/>
        </w:rPr>
        <w:t xml:space="preserve">ekonomikas ministrs </w:t>
      </w:r>
      <w:r w:rsidRPr="00366728">
        <w:rPr>
          <w:rFonts w:ascii="Times New Roman" w:hAnsi="Times New Roman"/>
          <w:sz w:val="28"/>
          <w:szCs w:val="28"/>
        </w:rPr>
        <w:tab/>
      </w:r>
      <w:proofErr w:type="spellStart"/>
      <w:r w:rsidRPr="00366728">
        <w:rPr>
          <w:rFonts w:ascii="Times New Roman" w:hAnsi="Times New Roman"/>
          <w:sz w:val="28"/>
          <w:szCs w:val="28"/>
        </w:rPr>
        <w:t>A</w:t>
      </w:r>
      <w:r w:rsidR="004955CA" w:rsidRPr="00366728">
        <w:rPr>
          <w:rFonts w:ascii="Times New Roman" w:hAnsi="Times New Roman"/>
          <w:sz w:val="28"/>
          <w:szCs w:val="28"/>
        </w:rPr>
        <w:t>.</w:t>
      </w:r>
      <w:r w:rsidRPr="00366728">
        <w:rPr>
          <w:rFonts w:ascii="Times New Roman" w:hAnsi="Times New Roman"/>
          <w:sz w:val="28"/>
          <w:szCs w:val="28"/>
        </w:rPr>
        <w:t>Ašeradens</w:t>
      </w:r>
      <w:proofErr w:type="spellEnd"/>
    </w:p>
    <w:p w14:paraId="1F6B871E" w14:textId="77777777" w:rsidR="00366728" w:rsidRPr="00FB5BC8" w:rsidRDefault="00366728" w:rsidP="00FB5BC8">
      <w:pPr>
        <w:tabs>
          <w:tab w:val="center" w:pos="9072"/>
        </w:tabs>
        <w:spacing w:after="0" w:line="240" w:lineRule="auto"/>
        <w:jc w:val="both"/>
        <w:rPr>
          <w:rFonts w:ascii="Times New Roman" w:hAnsi="Times New Roman"/>
          <w:sz w:val="20"/>
          <w:szCs w:val="20"/>
        </w:rPr>
      </w:pPr>
    </w:p>
    <w:p w14:paraId="7B2B51AD" w14:textId="25B5330D" w:rsidR="00FB5BC8" w:rsidRDefault="00FB5BC8" w:rsidP="00FB5BC8">
      <w:pPr>
        <w:tabs>
          <w:tab w:val="center" w:pos="9072"/>
        </w:tabs>
        <w:spacing w:after="0" w:line="240" w:lineRule="auto"/>
        <w:jc w:val="both"/>
        <w:rPr>
          <w:rFonts w:ascii="Times New Roman" w:hAnsi="Times New Roman"/>
          <w:sz w:val="20"/>
          <w:szCs w:val="20"/>
        </w:rPr>
      </w:pPr>
    </w:p>
    <w:p w14:paraId="337447A6" w14:textId="0EED818D" w:rsidR="00D51349" w:rsidRDefault="00D51349" w:rsidP="00FB5BC8">
      <w:pPr>
        <w:tabs>
          <w:tab w:val="center" w:pos="9072"/>
        </w:tabs>
        <w:spacing w:after="0" w:line="240" w:lineRule="auto"/>
        <w:jc w:val="both"/>
        <w:rPr>
          <w:rFonts w:ascii="Times New Roman" w:hAnsi="Times New Roman"/>
          <w:sz w:val="20"/>
          <w:szCs w:val="20"/>
        </w:rPr>
      </w:pPr>
    </w:p>
    <w:p w14:paraId="488FB452" w14:textId="77777777" w:rsidR="00D51349" w:rsidRPr="00FB5BC8" w:rsidRDefault="00D51349" w:rsidP="00FB5BC8">
      <w:pPr>
        <w:tabs>
          <w:tab w:val="center" w:pos="9072"/>
        </w:tabs>
        <w:spacing w:after="0" w:line="240" w:lineRule="auto"/>
        <w:jc w:val="both"/>
        <w:rPr>
          <w:rFonts w:ascii="Times New Roman" w:hAnsi="Times New Roman"/>
          <w:sz w:val="20"/>
          <w:szCs w:val="20"/>
        </w:rPr>
      </w:pPr>
    </w:p>
    <w:p w14:paraId="47E95A80" w14:textId="77777777" w:rsidR="00280894" w:rsidRDefault="00962954" w:rsidP="00FB5BC8">
      <w:pPr>
        <w:tabs>
          <w:tab w:val="center" w:pos="9072"/>
        </w:tabs>
        <w:spacing w:after="0" w:line="240" w:lineRule="auto"/>
        <w:jc w:val="both"/>
        <w:rPr>
          <w:rFonts w:ascii="Times New Roman" w:hAnsi="Times New Roman"/>
          <w:sz w:val="28"/>
          <w:szCs w:val="28"/>
        </w:rPr>
      </w:pPr>
      <w:r w:rsidRPr="00366728">
        <w:rPr>
          <w:rFonts w:ascii="Times New Roman" w:hAnsi="Times New Roman"/>
          <w:sz w:val="28"/>
          <w:szCs w:val="28"/>
        </w:rPr>
        <w:t>Valsts kancelejas direktors</w:t>
      </w:r>
      <w:r w:rsidRPr="00366728">
        <w:rPr>
          <w:rFonts w:ascii="Times New Roman" w:hAnsi="Times New Roman"/>
          <w:sz w:val="28"/>
          <w:szCs w:val="28"/>
        </w:rPr>
        <w:tab/>
      </w:r>
      <w:proofErr w:type="spellStart"/>
      <w:r w:rsidRPr="00366728">
        <w:rPr>
          <w:rFonts w:ascii="Times New Roman" w:hAnsi="Times New Roman"/>
          <w:sz w:val="28"/>
          <w:szCs w:val="28"/>
        </w:rPr>
        <w:t>J</w:t>
      </w:r>
      <w:r w:rsidR="004955CA" w:rsidRPr="00366728">
        <w:rPr>
          <w:rFonts w:ascii="Times New Roman" w:hAnsi="Times New Roman"/>
          <w:sz w:val="28"/>
          <w:szCs w:val="28"/>
        </w:rPr>
        <w:t>.</w:t>
      </w:r>
      <w:r w:rsidRPr="00366728">
        <w:rPr>
          <w:rFonts w:ascii="Times New Roman" w:hAnsi="Times New Roman"/>
          <w:sz w:val="28"/>
          <w:szCs w:val="28"/>
        </w:rPr>
        <w:t>Citskovskis</w:t>
      </w:r>
      <w:proofErr w:type="spellEnd"/>
    </w:p>
    <w:p w14:paraId="5E41B5B1" w14:textId="77777777" w:rsidR="00366728" w:rsidRPr="00FB5BC8" w:rsidRDefault="00366728" w:rsidP="00FB5BC8">
      <w:pPr>
        <w:tabs>
          <w:tab w:val="center" w:pos="9072"/>
        </w:tabs>
        <w:spacing w:after="0" w:line="240" w:lineRule="auto"/>
        <w:jc w:val="both"/>
        <w:rPr>
          <w:rFonts w:ascii="Times New Roman" w:hAnsi="Times New Roman"/>
          <w:sz w:val="20"/>
          <w:szCs w:val="20"/>
        </w:rPr>
      </w:pPr>
    </w:p>
    <w:p w14:paraId="19E4354C" w14:textId="4C058D2C" w:rsidR="00FB5BC8" w:rsidRDefault="00FB5BC8" w:rsidP="00FB5BC8">
      <w:pPr>
        <w:tabs>
          <w:tab w:val="center" w:pos="9072"/>
        </w:tabs>
        <w:spacing w:after="0" w:line="240" w:lineRule="auto"/>
        <w:jc w:val="both"/>
        <w:rPr>
          <w:rFonts w:ascii="Times New Roman" w:hAnsi="Times New Roman"/>
          <w:sz w:val="20"/>
          <w:szCs w:val="20"/>
        </w:rPr>
      </w:pPr>
    </w:p>
    <w:p w14:paraId="0C05B398" w14:textId="51C78331" w:rsidR="00D51349" w:rsidRDefault="00D51349" w:rsidP="00FB5BC8">
      <w:pPr>
        <w:tabs>
          <w:tab w:val="center" w:pos="9072"/>
        </w:tabs>
        <w:spacing w:after="0" w:line="240" w:lineRule="auto"/>
        <w:jc w:val="both"/>
        <w:rPr>
          <w:rFonts w:ascii="Times New Roman" w:hAnsi="Times New Roman"/>
          <w:sz w:val="20"/>
          <w:szCs w:val="20"/>
        </w:rPr>
      </w:pPr>
    </w:p>
    <w:p w14:paraId="6E00D8BF" w14:textId="31881172" w:rsidR="00D51349" w:rsidRDefault="00D51349" w:rsidP="00FB5BC8">
      <w:pPr>
        <w:tabs>
          <w:tab w:val="center" w:pos="9072"/>
        </w:tabs>
        <w:spacing w:after="0" w:line="240" w:lineRule="auto"/>
        <w:jc w:val="both"/>
        <w:rPr>
          <w:rFonts w:ascii="Times New Roman" w:hAnsi="Times New Roman"/>
          <w:sz w:val="20"/>
          <w:szCs w:val="20"/>
        </w:rPr>
      </w:pPr>
    </w:p>
    <w:p w14:paraId="4C121835" w14:textId="77777777" w:rsidR="00D51349" w:rsidRPr="00FB5BC8" w:rsidRDefault="00D51349" w:rsidP="00FB5BC8">
      <w:pPr>
        <w:tabs>
          <w:tab w:val="center" w:pos="9072"/>
        </w:tabs>
        <w:spacing w:after="0" w:line="240" w:lineRule="auto"/>
        <w:jc w:val="both"/>
        <w:rPr>
          <w:rFonts w:ascii="Times New Roman" w:hAnsi="Times New Roman"/>
          <w:sz w:val="20"/>
          <w:szCs w:val="20"/>
        </w:rPr>
      </w:pPr>
    </w:p>
    <w:p w14:paraId="62DD70F6" w14:textId="77777777" w:rsidR="0053013E" w:rsidRPr="00366728" w:rsidRDefault="00962954" w:rsidP="00FB5BC8">
      <w:pPr>
        <w:tabs>
          <w:tab w:val="center" w:pos="9072"/>
        </w:tabs>
        <w:spacing w:after="0" w:line="240" w:lineRule="auto"/>
        <w:jc w:val="both"/>
        <w:rPr>
          <w:rFonts w:ascii="Times New Roman" w:hAnsi="Times New Roman"/>
          <w:sz w:val="28"/>
          <w:szCs w:val="28"/>
        </w:rPr>
      </w:pPr>
      <w:r w:rsidRPr="00366728">
        <w:rPr>
          <w:rFonts w:ascii="Times New Roman" w:hAnsi="Times New Roman"/>
          <w:sz w:val="28"/>
          <w:szCs w:val="28"/>
        </w:rPr>
        <w:t>Vīza: valsts sekretārs</w:t>
      </w:r>
      <w:r w:rsidRPr="00366728">
        <w:rPr>
          <w:rFonts w:ascii="Times New Roman" w:hAnsi="Times New Roman"/>
          <w:sz w:val="28"/>
          <w:szCs w:val="28"/>
        </w:rPr>
        <w:tab/>
        <w:t xml:space="preserve">   </w:t>
      </w:r>
      <w:proofErr w:type="spellStart"/>
      <w:r w:rsidRPr="00366728">
        <w:rPr>
          <w:rFonts w:ascii="Times New Roman" w:hAnsi="Times New Roman"/>
          <w:sz w:val="28"/>
          <w:szCs w:val="28"/>
        </w:rPr>
        <w:t>Ē.Eglītis</w:t>
      </w:r>
      <w:proofErr w:type="spellEnd"/>
    </w:p>
    <w:sectPr w:rsidR="0053013E" w:rsidRPr="00366728" w:rsidSect="00D51349">
      <w:headerReference w:type="default" r:id="rId9"/>
      <w:footerReference w:type="default" r:id="rId10"/>
      <w:footerReference w:type="first" r:id="rId11"/>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7C2F" w14:textId="77777777" w:rsidR="001727E6" w:rsidRDefault="001727E6">
      <w:pPr>
        <w:spacing w:after="0" w:line="240" w:lineRule="auto"/>
      </w:pPr>
      <w:r>
        <w:separator/>
      </w:r>
    </w:p>
  </w:endnote>
  <w:endnote w:type="continuationSeparator" w:id="0">
    <w:p w14:paraId="63BEF9D9" w14:textId="77777777" w:rsidR="001727E6" w:rsidRDefault="0017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imes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F4B6" w14:textId="22B2F067" w:rsidR="00E85BD0" w:rsidRPr="007B61E0" w:rsidRDefault="00E44D2F" w:rsidP="007B61E0">
    <w:pPr>
      <w:pStyle w:val="Footer"/>
    </w:pPr>
    <w:r>
      <w:rPr>
        <w:rFonts w:ascii="Times New Roman" w:hAnsi="Times New Roman"/>
        <w:sz w:val="20"/>
      </w:rPr>
      <w:fldChar w:fldCharType="begin"/>
    </w:r>
    <w:r>
      <w:rPr>
        <w:rFonts w:ascii="Times New Roman" w:hAnsi="Times New Roman"/>
        <w:sz w:val="20"/>
      </w:rPr>
      <w:instrText xml:space="preserve"> FILENAME   \* MERGEFORMAT </w:instrText>
    </w:r>
    <w:r>
      <w:rPr>
        <w:rFonts w:ascii="Times New Roman" w:hAnsi="Times New Roman"/>
        <w:sz w:val="20"/>
      </w:rPr>
      <w:fldChar w:fldCharType="separate"/>
    </w:r>
    <w:r w:rsidR="00687F8A">
      <w:rPr>
        <w:rFonts w:ascii="Times New Roman" w:hAnsi="Times New Roman"/>
        <w:noProof/>
        <w:sz w:val="20"/>
      </w:rPr>
      <w:t>EMIz_121218_NEKP2021-2030.docx</w:t>
    </w:r>
    <w:r>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2497" w14:textId="307CD4E0" w:rsidR="007C7639" w:rsidRPr="00F75303" w:rsidRDefault="00E44D2F" w:rsidP="00F75303">
    <w:pPr>
      <w:pStyle w:val="Footer"/>
    </w:pPr>
    <w:r>
      <w:rPr>
        <w:rFonts w:ascii="Times New Roman" w:hAnsi="Times New Roman"/>
        <w:sz w:val="20"/>
      </w:rPr>
      <w:fldChar w:fldCharType="begin"/>
    </w:r>
    <w:r>
      <w:rPr>
        <w:rFonts w:ascii="Times New Roman" w:hAnsi="Times New Roman"/>
        <w:sz w:val="20"/>
      </w:rPr>
      <w:instrText xml:space="preserve"> FILENAME   \* MERGEFORMAT </w:instrText>
    </w:r>
    <w:r>
      <w:rPr>
        <w:rFonts w:ascii="Times New Roman" w:hAnsi="Times New Roman"/>
        <w:sz w:val="20"/>
      </w:rPr>
      <w:fldChar w:fldCharType="separate"/>
    </w:r>
    <w:r w:rsidR="00687F8A">
      <w:rPr>
        <w:rFonts w:ascii="Times New Roman" w:hAnsi="Times New Roman"/>
        <w:noProof/>
        <w:sz w:val="20"/>
      </w:rPr>
      <w:t>EMIz_121218_NEKP2021-2030.docx</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6F76F" w14:textId="77777777" w:rsidR="001727E6" w:rsidRDefault="001727E6" w:rsidP="00E85BD0">
      <w:pPr>
        <w:spacing w:after="0" w:line="240" w:lineRule="auto"/>
      </w:pPr>
      <w:r>
        <w:separator/>
      </w:r>
    </w:p>
  </w:footnote>
  <w:footnote w:type="continuationSeparator" w:id="0">
    <w:p w14:paraId="04B3E205" w14:textId="77777777" w:rsidR="001727E6" w:rsidRDefault="001727E6" w:rsidP="00E85BD0">
      <w:pPr>
        <w:spacing w:after="0" w:line="240" w:lineRule="auto"/>
      </w:pPr>
      <w:r>
        <w:continuationSeparator/>
      </w:r>
    </w:p>
  </w:footnote>
  <w:footnote w:type="continuationNotice" w:id="1">
    <w:p w14:paraId="0D3FAF9C" w14:textId="77777777" w:rsidR="001727E6" w:rsidRDefault="001727E6">
      <w:pPr>
        <w:spacing w:after="0" w:line="240" w:lineRule="auto"/>
      </w:pPr>
    </w:p>
  </w:footnote>
  <w:footnote w:id="2">
    <w:p w14:paraId="6BF1E4B1" w14:textId="77777777" w:rsidR="002B32F1" w:rsidRPr="00D51349" w:rsidRDefault="002B32F1">
      <w:pPr>
        <w:pStyle w:val="FootnoteText"/>
      </w:pPr>
      <w:r w:rsidRPr="00D51349">
        <w:rPr>
          <w:rStyle w:val="FootnoteReference"/>
        </w:rPr>
        <w:footnoteRef/>
      </w:r>
      <w:r w:rsidRPr="00D51349">
        <w:t xml:space="preserve"> </w:t>
      </w:r>
      <w:proofErr w:type="spellStart"/>
      <w:r w:rsidRPr="00D51349">
        <w:t>stājas</w:t>
      </w:r>
      <w:proofErr w:type="spellEnd"/>
      <w:r w:rsidRPr="00D51349">
        <w:t xml:space="preserve"> </w:t>
      </w:r>
      <w:proofErr w:type="spellStart"/>
      <w:r w:rsidRPr="00D51349">
        <w:t>spēkā</w:t>
      </w:r>
      <w:proofErr w:type="spellEnd"/>
      <w:r w:rsidRPr="00D51349">
        <w:t xml:space="preserve"> 2018.gada </w:t>
      </w:r>
      <w:proofErr w:type="spellStart"/>
      <w:r w:rsidRPr="00D51349">
        <w:t>decembra</w:t>
      </w:r>
      <w:proofErr w:type="spellEnd"/>
      <w:r w:rsidRPr="00D51349">
        <w:t xml:space="preserve"> </w:t>
      </w:r>
      <w:proofErr w:type="spellStart"/>
      <w:r w:rsidRPr="00D51349">
        <w:t>trešajā</w:t>
      </w:r>
      <w:proofErr w:type="spellEnd"/>
      <w:r w:rsidRPr="00D51349">
        <w:t xml:space="preserve"> </w:t>
      </w:r>
      <w:proofErr w:type="spellStart"/>
      <w:r w:rsidRPr="00D51349">
        <w:t>dekādē</w:t>
      </w:r>
      <w:proofErr w:type="spellEnd"/>
      <w:r w:rsidRPr="00D51349">
        <w:t xml:space="preserve">, </w:t>
      </w:r>
      <w:proofErr w:type="spellStart"/>
      <w:r w:rsidRPr="00D51349">
        <w:t>paredzams</w:t>
      </w:r>
      <w:proofErr w:type="spellEnd"/>
      <w:r w:rsidRPr="00D51349">
        <w:t xml:space="preserve"> 2018.gada </w:t>
      </w:r>
      <w:proofErr w:type="gramStart"/>
      <w:r w:rsidRPr="00D51349">
        <w:t>24.decembrī</w:t>
      </w:r>
      <w:proofErr w:type="gramEnd"/>
    </w:p>
  </w:footnote>
  <w:footnote w:id="3">
    <w:p w14:paraId="39DF5C61" w14:textId="77777777" w:rsidR="004C4AE9" w:rsidRPr="00D51349" w:rsidRDefault="004C4AE9" w:rsidP="004C4AE9">
      <w:pPr>
        <w:pStyle w:val="FootnoteText"/>
      </w:pPr>
      <w:r w:rsidRPr="00D51349">
        <w:rPr>
          <w:rStyle w:val="FootnoteReference"/>
        </w:rPr>
        <w:footnoteRef/>
      </w:r>
      <w:r w:rsidRPr="00D51349">
        <w:t xml:space="preserve"> </w:t>
      </w:r>
      <w:proofErr w:type="spellStart"/>
      <w:r w:rsidRPr="00D51349">
        <w:t>stājas</w:t>
      </w:r>
      <w:proofErr w:type="spellEnd"/>
      <w:r w:rsidRPr="00D51349">
        <w:t xml:space="preserve"> </w:t>
      </w:r>
      <w:proofErr w:type="spellStart"/>
      <w:r w:rsidRPr="00D51349">
        <w:t>spēkā</w:t>
      </w:r>
      <w:proofErr w:type="spellEnd"/>
      <w:r w:rsidRPr="00D51349">
        <w:t xml:space="preserve"> 2018.gada </w:t>
      </w:r>
      <w:proofErr w:type="spellStart"/>
      <w:r w:rsidRPr="00D51349">
        <w:t>decembra</w:t>
      </w:r>
      <w:proofErr w:type="spellEnd"/>
      <w:r w:rsidRPr="00D51349">
        <w:t xml:space="preserve"> </w:t>
      </w:r>
      <w:proofErr w:type="spellStart"/>
      <w:r w:rsidRPr="00D51349">
        <w:t>trešajā</w:t>
      </w:r>
      <w:proofErr w:type="spellEnd"/>
      <w:r w:rsidRPr="00D51349">
        <w:t xml:space="preserve"> </w:t>
      </w:r>
      <w:proofErr w:type="spellStart"/>
      <w:r w:rsidRPr="00D51349">
        <w:t>dekādē</w:t>
      </w:r>
      <w:proofErr w:type="spellEnd"/>
      <w:r w:rsidRPr="00D51349">
        <w:t xml:space="preserve">, </w:t>
      </w:r>
      <w:proofErr w:type="spellStart"/>
      <w:r w:rsidRPr="00D51349">
        <w:t>paredzams</w:t>
      </w:r>
      <w:proofErr w:type="spellEnd"/>
      <w:r w:rsidRPr="00D51349">
        <w:t xml:space="preserve"> 2018.gada </w:t>
      </w:r>
      <w:proofErr w:type="gramStart"/>
      <w:r w:rsidRPr="00D51349">
        <w:t>24.decembrī</w:t>
      </w:r>
      <w:proofErr w:type="gramEnd"/>
    </w:p>
  </w:footnote>
  <w:footnote w:id="4">
    <w:p w14:paraId="48E7B54D" w14:textId="77777777" w:rsidR="00D16608" w:rsidRPr="00D51349" w:rsidRDefault="00D16608" w:rsidP="00D16608">
      <w:pPr>
        <w:pStyle w:val="FootnoteText"/>
      </w:pPr>
      <w:r w:rsidRPr="00D51349">
        <w:rPr>
          <w:rStyle w:val="FootnoteReference"/>
        </w:rPr>
        <w:footnoteRef/>
      </w:r>
      <w:r w:rsidRPr="00D51349">
        <w:t xml:space="preserve"> </w:t>
      </w:r>
      <w:proofErr w:type="spellStart"/>
      <w:r w:rsidRPr="00D51349">
        <w:t>stājas</w:t>
      </w:r>
      <w:proofErr w:type="spellEnd"/>
      <w:r w:rsidRPr="00D51349">
        <w:t xml:space="preserve"> </w:t>
      </w:r>
      <w:proofErr w:type="spellStart"/>
      <w:r w:rsidRPr="00D51349">
        <w:t>spēkā</w:t>
      </w:r>
      <w:proofErr w:type="spellEnd"/>
      <w:r w:rsidRPr="00D51349">
        <w:t xml:space="preserve"> 2018.gada </w:t>
      </w:r>
      <w:proofErr w:type="spellStart"/>
      <w:r w:rsidRPr="00D51349">
        <w:t>decembra</w:t>
      </w:r>
      <w:proofErr w:type="spellEnd"/>
      <w:r w:rsidRPr="00D51349">
        <w:t xml:space="preserve"> </w:t>
      </w:r>
      <w:proofErr w:type="spellStart"/>
      <w:r w:rsidRPr="00D51349">
        <w:t>trešajā</w:t>
      </w:r>
      <w:proofErr w:type="spellEnd"/>
      <w:r w:rsidRPr="00D51349">
        <w:t xml:space="preserve"> </w:t>
      </w:r>
      <w:proofErr w:type="spellStart"/>
      <w:r w:rsidRPr="00D51349">
        <w:t>dekādē</w:t>
      </w:r>
      <w:proofErr w:type="spellEnd"/>
      <w:r w:rsidRPr="00D51349">
        <w:t xml:space="preserve">, </w:t>
      </w:r>
      <w:proofErr w:type="spellStart"/>
      <w:r w:rsidRPr="00D51349">
        <w:t>paredzams</w:t>
      </w:r>
      <w:proofErr w:type="spellEnd"/>
      <w:r w:rsidRPr="00D51349">
        <w:t xml:space="preserve"> 2018.gada </w:t>
      </w:r>
      <w:proofErr w:type="gramStart"/>
      <w:r w:rsidRPr="00D51349">
        <w:t>24.decembrī</w:t>
      </w:r>
      <w:proofErr w:type="gramEnd"/>
    </w:p>
  </w:footnote>
  <w:footnote w:id="5">
    <w:p w14:paraId="7C23306C" w14:textId="77777777" w:rsidR="002B32F1" w:rsidRPr="00D51349" w:rsidRDefault="002B32F1" w:rsidP="002B32F1">
      <w:pPr>
        <w:pStyle w:val="FootnoteText"/>
      </w:pPr>
      <w:r w:rsidRPr="00A26D8D">
        <w:rPr>
          <w:sz w:val="18"/>
          <w:szCs w:val="18"/>
          <w:vertAlign w:val="superscript"/>
        </w:rPr>
        <w:footnoteRef/>
      </w:r>
      <w:r w:rsidRPr="00A26D8D">
        <w:rPr>
          <w:sz w:val="18"/>
          <w:szCs w:val="18"/>
        </w:rPr>
        <w:t xml:space="preserve"> </w:t>
      </w:r>
      <w:hyperlink r:id="rId1" w:history="1">
        <w:r w:rsidRPr="00D51349">
          <w:rPr>
            <w:rStyle w:val="Hyperlink"/>
          </w:rPr>
          <w:t>https://eur-lex.europa.eu/legal-content/LV/TXT/PDF/?uri=CELEX:02003L0087-20180408&amp;qid=1533277840239&amp;from=LV</w:t>
        </w:r>
      </w:hyperlink>
      <w:r w:rsidRPr="00D51349">
        <w:t xml:space="preserve"> </w:t>
      </w:r>
    </w:p>
  </w:footnote>
  <w:footnote w:id="6">
    <w:p w14:paraId="6D059D30" w14:textId="77777777" w:rsidR="002B32F1" w:rsidRPr="00D51349" w:rsidRDefault="002B32F1" w:rsidP="002B32F1">
      <w:pPr>
        <w:pStyle w:val="FootnoteText"/>
      </w:pPr>
      <w:r w:rsidRPr="00D51349">
        <w:rPr>
          <w:rStyle w:val="FootnoteReference"/>
        </w:rPr>
        <w:footnoteRef/>
      </w:r>
      <w:r w:rsidRPr="00D51349">
        <w:t xml:space="preserve"> </w:t>
      </w:r>
      <w:hyperlink r:id="rId2" w:history="1">
        <w:r w:rsidRPr="00D51349">
          <w:rPr>
            <w:rStyle w:val="Hyperlink"/>
          </w:rPr>
          <w:t>https://eur-lex.europa.eu/legal-content/LV/TXT/PDF/?uri=CELEX:32018R0841&amp;from=lv</w:t>
        </w:r>
      </w:hyperlink>
      <w:r w:rsidRPr="00D51349">
        <w:t xml:space="preserve"> </w:t>
      </w:r>
    </w:p>
  </w:footnote>
  <w:footnote w:id="7">
    <w:p w14:paraId="0B6C2151" w14:textId="77777777" w:rsidR="00C04A6A" w:rsidRPr="00D51349" w:rsidRDefault="00C04A6A" w:rsidP="00C04A6A">
      <w:pPr>
        <w:pStyle w:val="FootnoteText"/>
      </w:pPr>
      <w:r w:rsidRPr="00D51349">
        <w:rPr>
          <w:rStyle w:val="FootnoteReference"/>
        </w:rPr>
        <w:footnoteRef/>
      </w:r>
      <w:r w:rsidRPr="00D51349">
        <w:t xml:space="preserve"> </w:t>
      </w:r>
      <w:hyperlink r:id="rId3" w:history="1">
        <w:r w:rsidRPr="00D51349">
          <w:rPr>
            <w:rStyle w:val="Hyperlink"/>
          </w:rPr>
          <w:t>https://eur-lex.europa.eu/legal-content/EN/TXT/PDF/?uri=CONSIL:ST_10308_2018_INIT&amp;from=LV</w:t>
        </w:r>
      </w:hyperlink>
      <w:r w:rsidRPr="00D51349">
        <w:t xml:space="preserve"> </w:t>
      </w:r>
    </w:p>
  </w:footnote>
  <w:footnote w:id="8">
    <w:p w14:paraId="4E46E309" w14:textId="77777777" w:rsidR="00C04A6A" w:rsidRPr="00D51349" w:rsidRDefault="00C04A6A" w:rsidP="00C04A6A">
      <w:pPr>
        <w:pStyle w:val="FootnoteText"/>
      </w:pPr>
      <w:r w:rsidRPr="00D51349">
        <w:rPr>
          <w:rStyle w:val="FootnoteReference"/>
        </w:rPr>
        <w:footnoteRef/>
      </w:r>
      <w:r w:rsidRPr="00D51349">
        <w:t xml:space="preserve"> </w:t>
      </w:r>
      <w:hyperlink r:id="rId4" w:history="1">
        <w:r w:rsidRPr="00D51349">
          <w:rPr>
            <w:rStyle w:val="Hyperlink"/>
          </w:rPr>
          <w:t>https://eur-lex.europa.eu/legal-content/EN/TXT/PDF/?uri=CONSIL:ST_10308_2018_COR_1&amp;from=LV</w:t>
        </w:r>
      </w:hyperlink>
      <w:r w:rsidRPr="00D51349">
        <w:t xml:space="preserve"> </w:t>
      </w:r>
    </w:p>
  </w:footnote>
  <w:footnote w:id="9">
    <w:p w14:paraId="440A17C4" w14:textId="324DE198" w:rsidR="003374D5" w:rsidRPr="00D51349" w:rsidRDefault="003374D5">
      <w:pPr>
        <w:pStyle w:val="FootnoteText"/>
        <w:rPr>
          <w:lang w:val="lv-LV"/>
        </w:rPr>
      </w:pPr>
      <w:r w:rsidRPr="00D51349">
        <w:rPr>
          <w:rStyle w:val="FootnoteReference"/>
        </w:rPr>
        <w:footnoteRef/>
      </w:r>
      <w:r w:rsidRPr="00D51349">
        <w:t xml:space="preserve"> </w:t>
      </w:r>
      <w:r w:rsidRPr="00D51349">
        <w:rPr>
          <w:lang w:val="lv-LV"/>
        </w:rPr>
        <w:t>Bāzes scenārijs prognozējot situāciju uz 2030.gadu, bāzes scenārijā modelēšanā ņemot vērā spēkā esošās un atbalstītās politikas un pasākumu, pieņemot, ka tās tiks turpinātas arī periodā pēc 2020.gada (ja minētās politikas ir spēkā tikai šajā ES fondu atbalsta programmu plānošanas periodā)</w:t>
      </w:r>
    </w:p>
  </w:footnote>
  <w:footnote w:id="10">
    <w:p w14:paraId="2AEDCC3B" w14:textId="405E042B" w:rsidR="00CD4AB2" w:rsidRPr="00CD4AB2" w:rsidRDefault="00CD4AB2">
      <w:pPr>
        <w:pStyle w:val="FootnoteText"/>
        <w:rPr>
          <w:lang w:val="lv-LV"/>
        </w:rPr>
      </w:pPr>
      <w:r>
        <w:rPr>
          <w:rStyle w:val="FootnoteReference"/>
        </w:rPr>
        <w:footnoteRef/>
      </w:r>
      <w:r w:rsidRPr="00CF7442">
        <w:rPr>
          <w:lang w:val="lv-LV"/>
        </w:rPr>
        <w:t xml:space="preserve"> Vidējais gada patēriņš, ko rēķina no trīs gadi</w:t>
      </w:r>
      <w:r w:rsidR="00C72B99">
        <w:rPr>
          <w:lang w:val="lv-LV"/>
        </w:rPr>
        <w:t>em pirms 2019.gada 1.janvāra.</w:t>
      </w:r>
      <w:r w:rsidRPr="00CF7442">
        <w:rPr>
          <w:lang w:val="lv-LV"/>
        </w:rPr>
        <w:t xml:space="preserve"> </w:t>
      </w:r>
    </w:p>
  </w:footnote>
  <w:footnote w:id="11">
    <w:p w14:paraId="1080BC78"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KEPS2030</w:t>
      </w:r>
    </w:p>
  </w:footnote>
  <w:footnote w:id="12">
    <w:p w14:paraId="35CB0629"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r w:rsidR="00FB5BC8" w:rsidRPr="00FB5BC8">
        <w:rPr>
          <w:sz w:val="18"/>
          <w:szCs w:val="18"/>
        </w:rPr>
        <w:t xml:space="preserve">Latvijas </w:t>
      </w:r>
      <w:proofErr w:type="spellStart"/>
      <w:r w:rsidR="00FB5BC8" w:rsidRPr="00FB5BC8">
        <w:rPr>
          <w:sz w:val="18"/>
          <w:szCs w:val="18"/>
        </w:rPr>
        <w:t>ilgtspējīgas</w:t>
      </w:r>
      <w:proofErr w:type="spellEnd"/>
      <w:r w:rsidR="00FB5BC8" w:rsidRPr="00FB5BC8">
        <w:rPr>
          <w:sz w:val="18"/>
          <w:szCs w:val="18"/>
        </w:rPr>
        <w:t xml:space="preserve"> attīstības </w:t>
      </w:r>
      <w:proofErr w:type="spellStart"/>
      <w:r w:rsidR="00FB5BC8" w:rsidRPr="00FB5BC8">
        <w:rPr>
          <w:sz w:val="18"/>
          <w:szCs w:val="18"/>
        </w:rPr>
        <w:t>stratēģija</w:t>
      </w:r>
      <w:proofErr w:type="spellEnd"/>
      <w:r w:rsidR="00FB5BC8" w:rsidRPr="00FB5BC8">
        <w:rPr>
          <w:sz w:val="18"/>
          <w:szCs w:val="18"/>
        </w:rPr>
        <w:t xml:space="preserve"> 2030.gadam</w:t>
      </w:r>
    </w:p>
  </w:footnote>
  <w:footnote w:id="13">
    <w:p w14:paraId="48B82012"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KEPS2030</w:t>
      </w:r>
    </w:p>
  </w:footnote>
  <w:footnote w:id="14">
    <w:p w14:paraId="5AB32FD3"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r w:rsidRPr="00A26D8D">
        <w:rPr>
          <w:rFonts w:eastAsia="Calibri"/>
          <w:sz w:val="18"/>
          <w:szCs w:val="18"/>
        </w:rPr>
        <w:t>Regula 2018/842</w:t>
      </w:r>
    </w:p>
  </w:footnote>
  <w:footnote w:id="15">
    <w:p w14:paraId="273E90F7"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KEPS2030</w:t>
      </w:r>
    </w:p>
  </w:footnote>
  <w:footnote w:id="16">
    <w:p w14:paraId="264C0902"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r w:rsidRPr="00A26D8D">
        <w:rPr>
          <w:rFonts w:eastAsia="Calibri"/>
          <w:sz w:val="18"/>
          <w:szCs w:val="18"/>
        </w:rPr>
        <w:t>Regula 2018/842</w:t>
      </w:r>
    </w:p>
  </w:footnote>
  <w:footnote w:id="17">
    <w:p w14:paraId="4E024AD2"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Pr="00A26D8D">
        <w:rPr>
          <w:rFonts w:eastAsia="Calibri"/>
          <w:sz w:val="18"/>
          <w:szCs w:val="18"/>
        </w:rPr>
        <w:t>D</w:t>
      </w:r>
      <w:r w:rsidR="00FB5BC8">
        <w:rPr>
          <w:rFonts w:eastAsia="Calibri"/>
          <w:sz w:val="18"/>
          <w:szCs w:val="18"/>
        </w:rPr>
        <w:t>irektīvas</w:t>
      </w:r>
      <w:proofErr w:type="spellEnd"/>
      <w:r w:rsidR="00FB5BC8">
        <w:rPr>
          <w:rFonts w:eastAsia="Calibri"/>
          <w:sz w:val="18"/>
          <w:szCs w:val="18"/>
        </w:rPr>
        <w:t xml:space="preserve"> 2009/28/EK </w:t>
      </w:r>
      <w:proofErr w:type="spellStart"/>
      <w:r w:rsidR="00FB5BC8">
        <w:rPr>
          <w:rFonts w:eastAsia="Calibri"/>
          <w:sz w:val="18"/>
          <w:szCs w:val="18"/>
        </w:rPr>
        <w:t>grozījumi</w:t>
      </w:r>
      <w:proofErr w:type="spellEnd"/>
    </w:p>
  </w:footnote>
  <w:footnote w:id="18">
    <w:p w14:paraId="48FD43DD"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00FB5BC8" w:rsidRPr="00A26D8D">
        <w:rPr>
          <w:rFonts w:eastAsia="Calibri"/>
          <w:sz w:val="18"/>
          <w:szCs w:val="18"/>
        </w:rPr>
        <w:t>D</w:t>
      </w:r>
      <w:r w:rsidR="00FB5BC8">
        <w:rPr>
          <w:rFonts w:eastAsia="Calibri"/>
          <w:sz w:val="18"/>
          <w:szCs w:val="18"/>
        </w:rPr>
        <w:t>irektīvas</w:t>
      </w:r>
      <w:proofErr w:type="spellEnd"/>
      <w:r w:rsidR="00FB5BC8">
        <w:rPr>
          <w:rFonts w:eastAsia="Calibri"/>
          <w:sz w:val="18"/>
          <w:szCs w:val="18"/>
        </w:rPr>
        <w:t xml:space="preserve"> 2009/28/EK </w:t>
      </w:r>
      <w:proofErr w:type="spellStart"/>
      <w:r w:rsidR="00FB5BC8">
        <w:rPr>
          <w:rFonts w:eastAsia="Calibri"/>
          <w:sz w:val="18"/>
          <w:szCs w:val="18"/>
        </w:rPr>
        <w:t>grozījumi</w:t>
      </w:r>
      <w:proofErr w:type="spellEnd"/>
    </w:p>
  </w:footnote>
  <w:footnote w:id="19">
    <w:p w14:paraId="37214C81"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00FB5BC8" w:rsidRPr="00A26D8D">
        <w:rPr>
          <w:rFonts w:eastAsia="Calibri"/>
          <w:sz w:val="18"/>
          <w:szCs w:val="18"/>
        </w:rPr>
        <w:t>D</w:t>
      </w:r>
      <w:r w:rsidR="00FB5BC8">
        <w:rPr>
          <w:rFonts w:eastAsia="Calibri"/>
          <w:sz w:val="18"/>
          <w:szCs w:val="18"/>
        </w:rPr>
        <w:t>irektīvas</w:t>
      </w:r>
      <w:proofErr w:type="spellEnd"/>
      <w:r w:rsidR="00FB5BC8">
        <w:rPr>
          <w:rFonts w:eastAsia="Calibri"/>
          <w:sz w:val="18"/>
          <w:szCs w:val="18"/>
        </w:rPr>
        <w:t xml:space="preserve"> 2009/28/EK </w:t>
      </w:r>
      <w:proofErr w:type="spellStart"/>
      <w:r w:rsidR="00FB5BC8">
        <w:rPr>
          <w:rFonts w:eastAsia="Calibri"/>
          <w:sz w:val="18"/>
          <w:szCs w:val="18"/>
        </w:rPr>
        <w:t>grozījumi</w:t>
      </w:r>
      <w:proofErr w:type="spellEnd"/>
    </w:p>
  </w:footnote>
  <w:footnote w:id="20">
    <w:p w14:paraId="1380B4D4"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00FB5BC8" w:rsidRPr="00A26D8D">
        <w:rPr>
          <w:rFonts w:eastAsia="Calibri"/>
          <w:sz w:val="18"/>
          <w:szCs w:val="18"/>
        </w:rPr>
        <w:t>D</w:t>
      </w:r>
      <w:r w:rsidR="00FB5BC8">
        <w:rPr>
          <w:rFonts w:eastAsia="Calibri"/>
          <w:sz w:val="18"/>
          <w:szCs w:val="18"/>
        </w:rPr>
        <w:t>irektīvas</w:t>
      </w:r>
      <w:proofErr w:type="spellEnd"/>
      <w:r w:rsidR="00FB5BC8">
        <w:rPr>
          <w:rFonts w:eastAsia="Calibri"/>
          <w:sz w:val="18"/>
          <w:szCs w:val="18"/>
        </w:rPr>
        <w:t xml:space="preserve"> 2009/28/EK </w:t>
      </w:r>
      <w:proofErr w:type="spellStart"/>
      <w:r w:rsidR="00FB5BC8">
        <w:rPr>
          <w:rFonts w:eastAsia="Calibri"/>
          <w:sz w:val="18"/>
          <w:szCs w:val="18"/>
        </w:rPr>
        <w:t>grozījumi</w:t>
      </w:r>
      <w:proofErr w:type="spellEnd"/>
    </w:p>
  </w:footnote>
  <w:footnote w:id="21">
    <w:p w14:paraId="4BA5D2D3"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00FB5BC8" w:rsidRPr="00A26D8D">
        <w:rPr>
          <w:rFonts w:eastAsia="Calibri"/>
          <w:sz w:val="18"/>
          <w:szCs w:val="18"/>
        </w:rPr>
        <w:t>D</w:t>
      </w:r>
      <w:r w:rsidR="00FB5BC8">
        <w:rPr>
          <w:rFonts w:eastAsia="Calibri"/>
          <w:sz w:val="18"/>
          <w:szCs w:val="18"/>
        </w:rPr>
        <w:t>irektīvas</w:t>
      </w:r>
      <w:proofErr w:type="spellEnd"/>
      <w:r w:rsidR="00FB5BC8">
        <w:rPr>
          <w:rFonts w:eastAsia="Calibri"/>
          <w:sz w:val="18"/>
          <w:szCs w:val="18"/>
        </w:rPr>
        <w:t xml:space="preserve"> 2009/28/EK </w:t>
      </w:r>
      <w:proofErr w:type="spellStart"/>
      <w:r w:rsidR="00FB5BC8">
        <w:rPr>
          <w:rFonts w:eastAsia="Calibri"/>
          <w:sz w:val="18"/>
          <w:szCs w:val="18"/>
        </w:rPr>
        <w:t>grozījumi</w:t>
      </w:r>
      <w:proofErr w:type="spellEnd"/>
    </w:p>
  </w:footnote>
  <w:footnote w:id="22">
    <w:p w14:paraId="3395D021"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Pr="00A26D8D">
        <w:rPr>
          <w:sz w:val="18"/>
          <w:szCs w:val="18"/>
        </w:rPr>
        <w:t>Tiks</w:t>
      </w:r>
      <w:proofErr w:type="spellEnd"/>
      <w:r w:rsidRPr="00A26D8D">
        <w:rPr>
          <w:sz w:val="18"/>
          <w:szCs w:val="18"/>
        </w:rPr>
        <w:t xml:space="preserve"> </w:t>
      </w:r>
      <w:proofErr w:type="spellStart"/>
      <w:r w:rsidRPr="00A26D8D">
        <w:rPr>
          <w:sz w:val="18"/>
          <w:szCs w:val="18"/>
        </w:rPr>
        <w:t>noteikts</w:t>
      </w:r>
      <w:proofErr w:type="spellEnd"/>
      <w:r w:rsidRPr="00A26D8D">
        <w:rPr>
          <w:sz w:val="18"/>
          <w:szCs w:val="18"/>
        </w:rPr>
        <w:t xml:space="preserve"> </w:t>
      </w:r>
      <w:proofErr w:type="spellStart"/>
      <w:r w:rsidRPr="00A26D8D">
        <w:rPr>
          <w:sz w:val="18"/>
          <w:szCs w:val="18"/>
        </w:rPr>
        <w:t>pēc</w:t>
      </w:r>
      <w:proofErr w:type="spellEnd"/>
      <w:r w:rsidRPr="00A26D8D">
        <w:rPr>
          <w:sz w:val="18"/>
          <w:szCs w:val="18"/>
        </w:rPr>
        <w:t xml:space="preserve"> 2020.gada, </w:t>
      </w:r>
      <w:proofErr w:type="spellStart"/>
      <w:r w:rsidRPr="00A26D8D">
        <w:rPr>
          <w:sz w:val="18"/>
          <w:szCs w:val="18"/>
        </w:rPr>
        <w:t>balstoties</w:t>
      </w:r>
      <w:proofErr w:type="spellEnd"/>
      <w:r w:rsidRPr="00A26D8D">
        <w:rPr>
          <w:sz w:val="18"/>
          <w:szCs w:val="18"/>
        </w:rPr>
        <w:t xml:space="preserve"> </w:t>
      </w:r>
      <w:proofErr w:type="spellStart"/>
      <w:r w:rsidRPr="00A26D8D">
        <w:rPr>
          <w:sz w:val="18"/>
          <w:szCs w:val="18"/>
        </w:rPr>
        <w:t>uz</w:t>
      </w:r>
      <w:proofErr w:type="spellEnd"/>
      <w:r w:rsidRPr="00A26D8D">
        <w:rPr>
          <w:sz w:val="18"/>
          <w:szCs w:val="18"/>
        </w:rPr>
        <w:t xml:space="preserve"> </w:t>
      </w:r>
      <w:proofErr w:type="spellStart"/>
      <w:r w:rsidRPr="00A26D8D">
        <w:rPr>
          <w:sz w:val="18"/>
          <w:szCs w:val="18"/>
        </w:rPr>
        <w:t>aktuālo</w:t>
      </w:r>
      <w:proofErr w:type="spellEnd"/>
      <w:r w:rsidRPr="00A26D8D">
        <w:rPr>
          <w:sz w:val="18"/>
          <w:szCs w:val="18"/>
        </w:rPr>
        <w:t xml:space="preserve"> 2020.gada AER </w:t>
      </w:r>
      <w:proofErr w:type="spellStart"/>
      <w:r w:rsidRPr="00A26D8D">
        <w:rPr>
          <w:sz w:val="18"/>
          <w:szCs w:val="18"/>
        </w:rPr>
        <w:t>īpatsvara</w:t>
      </w:r>
      <w:proofErr w:type="spellEnd"/>
      <w:r w:rsidRPr="00A26D8D">
        <w:rPr>
          <w:sz w:val="18"/>
          <w:szCs w:val="18"/>
        </w:rPr>
        <w:t xml:space="preserve"> </w:t>
      </w:r>
      <w:proofErr w:type="spellStart"/>
      <w:r w:rsidRPr="00A26D8D">
        <w:rPr>
          <w:sz w:val="18"/>
          <w:szCs w:val="18"/>
        </w:rPr>
        <w:t>siltumapgādē</w:t>
      </w:r>
      <w:proofErr w:type="spellEnd"/>
      <w:r w:rsidRPr="00A26D8D">
        <w:rPr>
          <w:sz w:val="18"/>
          <w:szCs w:val="18"/>
        </w:rPr>
        <w:t xml:space="preserve"> un </w:t>
      </w:r>
      <w:proofErr w:type="spellStart"/>
      <w:r w:rsidRPr="00A26D8D">
        <w:rPr>
          <w:sz w:val="18"/>
          <w:szCs w:val="18"/>
        </w:rPr>
        <w:t>aukstumapgādē</w:t>
      </w:r>
      <w:proofErr w:type="spellEnd"/>
      <w:r w:rsidRPr="00A26D8D">
        <w:rPr>
          <w:sz w:val="18"/>
          <w:szCs w:val="18"/>
        </w:rPr>
        <w:t xml:space="preserve"> </w:t>
      </w:r>
      <w:proofErr w:type="spellStart"/>
      <w:r w:rsidRPr="00A26D8D">
        <w:rPr>
          <w:sz w:val="18"/>
          <w:szCs w:val="18"/>
        </w:rPr>
        <w:t>lielumu</w:t>
      </w:r>
      <w:proofErr w:type="spellEnd"/>
    </w:p>
  </w:footnote>
  <w:footnote w:id="23">
    <w:p w14:paraId="155E55E9"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Pr="00A26D8D">
        <w:rPr>
          <w:rFonts w:eastAsia="Calibri"/>
          <w:sz w:val="18"/>
          <w:szCs w:val="18"/>
        </w:rPr>
        <w:t>Dire</w:t>
      </w:r>
      <w:r w:rsidR="00FB5BC8">
        <w:rPr>
          <w:rFonts w:eastAsia="Calibri"/>
          <w:sz w:val="18"/>
          <w:szCs w:val="18"/>
        </w:rPr>
        <w:t>ktīvas</w:t>
      </w:r>
      <w:proofErr w:type="spellEnd"/>
      <w:r w:rsidR="00FB5BC8">
        <w:rPr>
          <w:rFonts w:eastAsia="Calibri"/>
          <w:sz w:val="18"/>
          <w:szCs w:val="18"/>
        </w:rPr>
        <w:t xml:space="preserve"> 2012/27/ES </w:t>
      </w:r>
      <w:proofErr w:type="spellStart"/>
      <w:r w:rsidR="00FB5BC8">
        <w:rPr>
          <w:rFonts w:eastAsia="Calibri"/>
          <w:sz w:val="18"/>
          <w:szCs w:val="18"/>
        </w:rPr>
        <w:t>grozījumi</w:t>
      </w:r>
      <w:proofErr w:type="spellEnd"/>
    </w:p>
  </w:footnote>
  <w:footnote w:id="24">
    <w:p w14:paraId="5F128FE7"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00FB5BC8" w:rsidRPr="00A26D8D">
        <w:rPr>
          <w:rFonts w:eastAsia="Calibri"/>
          <w:sz w:val="18"/>
          <w:szCs w:val="18"/>
        </w:rPr>
        <w:t>Dire</w:t>
      </w:r>
      <w:r w:rsidR="00FB5BC8">
        <w:rPr>
          <w:rFonts w:eastAsia="Calibri"/>
          <w:sz w:val="18"/>
          <w:szCs w:val="18"/>
        </w:rPr>
        <w:t>ktīvas</w:t>
      </w:r>
      <w:proofErr w:type="spellEnd"/>
      <w:r w:rsidR="00FB5BC8">
        <w:rPr>
          <w:rFonts w:eastAsia="Calibri"/>
          <w:sz w:val="18"/>
          <w:szCs w:val="18"/>
        </w:rPr>
        <w:t xml:space="preserve"> 2012/27/ES </w:t>
      </w:r>
      <w:proofErr w:type="spellStart"/>
      <w:r w:rsidR="00FB5BC8">
        <w:rPr>
          <w:rFonts w:eastAsia="Calibri"/>
          <w:sz w:val="18"/>
          <w:szCs w:val="18"/>
        </w:rPr>
        <w:t>grozījumi</w:t>
      </w:r>
      <w:proofErr w:type="spellEnd"/>
    </w:p>
  </w:footnote>
  <w:footnote w:id="25">
    <w:p w14:paraId="66277CF6"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00FB5BC8" w:rsidRPr="00A26D8D">
        <w:rPr>
          <w:rFonts w:eastAsia="Calibri"/>
          <w:sz w:val="18"/>
          <w:szCs w:val="18"/>
        </w:rPr>
        <w:t>Dire</w:t>
      </w:r>
      <w:r w:rsidR="00FB5BC8">
        <w:rPr>
          <w:rFonts w:eastAsia="Calibri"/>
          <w:sz w:val="18"/>
          <w:szCs w:val="18"/>
        </w:rPr>
        <w:t>ktīvas</w:t>
      </w:r>
      <w:proofErr w:type="spellEnd"/>
      <w:r w:rsidR="00FB5BC8">
        <w:rPr>
          <w:rFonts w:eastAsia="Calibri"/>
          <w:sz w:val="18"/>
          <w:szCs w:val="18"/>
        </w:rPr>
        <w:t xml:space="preserve"> 2012/27/ES </w:t>
      </w:r>
      <w:proofErr w:type="spellStart"/>
      <w:r w:rsidR="00FB5BC8">
        <w:rPr>
          <w:rFonts w:eastAsia="Calibri"/>
          <w:sz w:val="18"/>
          <w:szCs w:val="18"/>
        </w:rPr>
        <w:t>grozījumi</w:t>
      </w:r>
      <w:proofErr w:type="spellEnd"/>
    </w:p>
  </w:footnote>
  <w:footnote w:id="26">
    <w:p w14:paraId="13F1E6BA"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Pr="00A26D8D">
        <w:rPr>
          <w:sz w:val="18"/>
          <w:szCs w:val="18"/>
        </w:rPr>
        <w:t>Indikatīvs</w:t>
      </w:r>
      <w:proofErr w:type="spellEnd"/>
      <w:r w:rsidRPr="00A26D8D">
        <w:rPr>
          <w:sz w:val="18"/>
          <w:szCs w:val="18"/>
        </w:rPr>
        <w:t xml:space="preserve"> </w:t>
      </w:r>
      <w:proofErr w:type="spellStart"/>
      <w:r w:rsidRPr="00A26D8D">
        <w:rPr>
          <w:sz w:val="18"/>
          <w:szCs w:val="18"/>
        </w:rPr>
        <w:t>rādītājs</w:t>
      </w:r>
      <w:proofErr w:type="spellEnd"/>
      <w:r w:rsidRPr="00A26D8D">
        <w:rPr>
          <w:sz w:val="18"/>
          <w:szCs w:val="18"/>
        </w:rPr>
        <w:t xml:space="preserve">. </w:t>
      </w:r>
      <w:proofErr w:type="spellStart"/>
      <w:r w:rsidRPr="00A26D8D">
        <w:rPr>
          <w:sz w:val="18"/>
          <w:szCs w:val="18"/>
        </w:rPr>
        <w:t>Mērķis</w:t>
      </w:r>
      <w:proofErr w:type="spellEnd"/>
      <w:r w:rsidRPr="00A26D8D">
        <w:rPr>
          <w:sz w:val="18"/>
          <w:szCs w:val="18"/>
        </w:rPr>
        <w:t xml:space="preserve"> </w:t>
      </w:r>
      <w:proofErr w:type="spellStart"/>
      <w:r w:rsidRPr="00A26D8D">
        <w:rPr>
          <w:sz w:val="18"/>
          <w:szCs w:val="18"/>
        </w:rPr>
        <w:t>tiks</w:t>
      </w:r>
      <w:proofErr w:type="spellEnd"/>
      <w:r w:rsidRPr="00A26D8D">
        <w:rPr>
          <w:sz w:val="18"/>
          <w:szCs w:val="18"/>
        </w:rPr>
        <w:t xml:space="preserve"> </w:t>
      </w:r>
      <w:proofErr w:type="spellStart"/>
      <w:r w:rsidRPr="00A26D8D">
        <w:rPr>
          <w:sz w:val="18"/>
          <w:szCs w:val="18"/>
        </w:rPr>
        <w:t>noteikts</w:t>
      </w:r>
      <w:proofErr w:type="spellEnd"/>
      <w:r w:rsidRPr="00A26D8D">
        <w:rPr>
          <w:sz w:val="18"/>
          <w:szCs w:val="18"/>
        </w:rPr>
        <w:t xml:space="preserve"> 2019.gada </w:t>
      </w:r>
      <w:proofErr w:type="spellStart"/>
      <w:r w:rsidRPr="00A26D8D">
        <w:rPr>
          <w:sz w:val="18"/>
          <w:szCs w:val="18"/>
        </w:rPr>
        <w:t>beigās</w:t>
      </w:r>
      <w:proofErr w:type="spellEnd"/>
      <w:r w:rsidRPr="00A26D8D">
        <w:rPr>
          <w:sz w:val="18"/>
          <w:szCs w:val="18"/>
        </w:rPr>
        <w:t xml:space="preserve">, </w:t>
      </w:r>
      <w:proofErr w:type="spellStart"/>
      <w:r w:rsidRPr="00A26D8D">
        <w:rPr>
          <w:sz w:val="18"/>
          <w:szCs w:val="18"/>
        </w:rPr>
        <w:t>kad</w:t>
      </w:r>
      <w:proofErr w:type="spellEnd"/>
      <w:r w:rsidRPr="00A26D8D">
        <w:rPr>
          <w:sz w:val="18"/>
          <w:szCs w:val="18"/>
        </w:rPr>
        <w:t xml:space="preserve"> </w:t>
      </w:r>
      <w:proofErr w:type="spellStart"/>
      <w:r w:rsidRPr="00A26D8D">
        <w:rPr>
          <w:sz w:val="18"/>
          <w:szCs w:val="18"/>
        </w:rPr>
        <w:t>būs</w:t>
      </w:r>
      <w:proofErr w:type="spellEnd"/>
      <w:r w:rsidRPr="00A26D8D">
        <w:rPr>
          <w:sz w:val="18"/>
          <w:szCs w:val="18"/>
        </w:rPr>
        <w:t xml:space="preserve"> </w:t>
      </w:r>
      <w:proofErr w:type="spellStart"/>
      <w:r w:rsidRPr="00A26D8D">
        <w:rPr>
          <w:sz w:val="18"/>
          <w:szCs w:val="18"/>
        </w:rPr>
        <w:t>pieejama</w:t>
      </w:r>
      <w:proofErr w:type="spellEnd"/>
      <w:r w:rsidRPr="00A26D8D">
        <w:rPr>
          <w:sz w:val="18"/>
          <w:szCs w:val="18"/>
        </w:rPr>
        <w:t xml:space="preserve"> </w:t>
      </w:r>
      <w:proofErr w:type="spellStart"/>
      <w:r w:rsidRPr="00A26D8D">
        <w:rPr>
          <w:sz w:val="18"/>
          <w:szCs w:val="18"/>
        </w:rPr>
        <w:t>oficiālā</w:t>
      </w:r>
      <w:proofErr w:type="spellEnd"/>
      <w:r w:rsidRPr="00A26D8D">
        <w:rPr>
          <w:sz w:val="18"/>
          <w:szCs w:val="18"/>
        </w:rPr>
        <w:t xml:space="preserve"> </w:t>
      </w:r>
      <w:proofErr w:type="spellStart"/>
      <w:r w:rsidRPr="00A26D8D">
        <w:rPr>
          <w:sz w:val="18"/>
          <w:szCs w:val="18"/>
        </w:rPr>
        <w:t>statistika</w:t>
      </w:r>
      <w:proofErr w:type="spellEnd"/>
      <w:r w:rsidRPr="00A26D8D">
        <w:rPr>
          <w:sz w:val="18"/>
          <w:szCs w:val="18"/>
        </w:rPr>
        <w:t xml:space="preserve"> par </w:t>
      </w:r>
      <w:proofErr w:type="spellStart"/>
      <w:r w:rsidRPr="00A26D8D">
        <w:rPr>
          <w:sz w:val="18"/>
          <w:szCs w:val="18"/>
        </w:rPr>
        <w:t>enerģijas</w:t>
      </w:r>
      <w:proofErr w:type="spellEnd"/>
      <w:r w:rsidRPr="00A26D8D">
        <w:rPr>
          <w:sz w:val="18"/>
          <w:szCs w:val="18"/>
        </w:rPr>
        <w:t xml:space="preserve"> </w:t>
      </w:r>
      <w:proofErr w:type="spellStart"/>
      <w:r w:rsidRPr="00A26D8D">
        <w:rPr>
          <w:sz w:val="18"/>
          <w:szCs w:val="18"/>
        </w:rPr>
        <w:t>galapatēriņu</w:t>
      </w:r>
      <w:proofErr w:type="spellEnd"/>
      <w:r w:rsidRPr="00A26D8D">
        <w:rPr>
          <w:sz w:val="18"/>
          <w:szCs w:val="18"/>
        </w:rPr>
        <w:t xml:space="preserve"> </w:t>
      </w:r>
      <w:proofErr w:type="spellStart"/>
      <w:r w:rsidRPr="00A26D8D">
        <w:rPr>
          <w:sz w:val="18"/>
          <w:szCs w:val="18"/>
        </w:rPr>
        <w:t>Latvijā</w:t>
      </w:r>
      <w:proofErr w:type="spellEnd"/>
      <w:r w:rsidRPr="00A26D8D">
        <w:rPr>
          <w:sz w:val="18"/>
          <w:szCs w:val="18"/>
        </w:rPr>
        <w:t xml:space="preserve"> 2018.gadā</w:t>
      </w:r>
    </w:p>
  </w:footnote>
  <w:footnote w:id="27">
    <w:p w14:paraId="422D1CA0"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00FB5BC8" w:rsidRPr="00FB5BC8">
        <w:rPr>
          <w:sz w:val="18"/>
          <w:szCs w:val="18"/>
        </w:rPr>
        <w:t>Informatīvais</w:t>
      </w:r>
      <w:proofErr w:type="spellEnd"/>
      <w:r w:rsidR="00FB5BC8" w:rsidRPr="00FB5BC8">
        <w:rPr>
          <w:sz w:val="18"/>
          <w:szCs w:val="18"/>
        </w:rPr>
        <w:t xml:space="preserve"> </w:t>
      </w:r>
      <w:proofErr w:type="spellStart"/>
      <w:r w:rsidR="00FB5BC8" w:rsidRPr="00FB5BC8">
        <w:rPr>
          <w:sz w:val="18"/>
          <w:szCs w:val="18"/>
        </w:rPr>
        <w:t>ziņojums</w:t>
      </w:r>
      <w:proofErr w:type="spellEnd"/>
      <w:r w:rsidR="00FB5BC8" w:rsidRPr="00FB5BC8">
        <w:rPr>
          <w:sz w:val="18"/>
          <w:szCs w:val="18"/>
        </w:rPr>
        <w:t xml:space="preserve"> "Latvijas </w:t>
      </w:r>
      <w:proofErr w:type="spellStart"/>
      <w:r w:rsidR="00FB5BC8" w:rsidRPr="00FB5BC8">
        <w:rPr>
          <w:sz w:val="18"/>
          <w:szCs w:val="18"/>
        </w:rPr>
        <w:t>Enerģētikas</w:t>
      </w:r>
      <w:proofErr w:type="spellEnd"/>
      <w:r w:rsidR="00FB5BC8" w:rsidRPr="00FB5BC8">
        <w:rPr>
          <w:sz w:val="18"/>
          <w:szCs w:val="18"/>
        </w:rPr>
        <w:t xml:space="preserve"> </w:t>
      </w:r>
      <w:proofErr w:type="spellStart"/>
      <w:r w:rsidR="00FB5BC8" w:rsidRPr="00FB5BC8">
        <w:rPr>
          <w:sz w:val="18"/>
          <w:szCs w:val="18"/>
        </w:rPr>
        <w:t>ilgtermiņa</w:t>
      </w:r>
      <w:proofErr w:type="spellEnd"/>
      <w:r w:rsidR="00FB5BC8" w:rsidRPr="00FB5BC8">
        <w:rPr>
          <w:sz w:val="18"/>
          <w:szCs w:val="18"/>
        </w:rPr>
        <w:t xml:space="preserve"> </w:t>
      </w:r>
      <w:proofErr w:type="spellStart"/>
      <w:r w:rsidR="00FB5BC8" w:rsidRPr="00FB5BC8">
        <w:rPr>
          <w:sz w:val="18"/>
          <w:szCs w:val="18"/>
        </w:rPr>
        <w:t>stratēģija</w:t>
      </w:r>
      <w:proofErr w:type="spellEnd"/>
      <w:r w:rsidR="00FB5BC8" w:rsidRPr="00FB5BC8">
        <w:rPr>
          <w:sz w:val="18"/>
          <w:szCs w:val="18"/>
        </w:rPr>
        <w:t xml:space="preserve"> 2030 – </w:t>
      </w:r>
      <w:proofErr w:type="spellStart"/>
      <w:r w:rsidR="00FB5BC8" w:rsidRPr="00FB5BC8">
        <w:rPr>
          <w:sz w:val="18"/>
          <w:szCs w:val="18"/>
        </w:rPr>
        <w:t>konkurētspējīga</w:t>
      </w:r>
      <w:proofErr w:type="spellEnd"/>
      <w:r w:rsidR="00FB5BC8" w:rsidRPr="00FB5BC8">
        <w:rPr>
          <w:sz w:val="18"/>
          <w:szCs w:val="18"/>
        </w:rPr>
        <w:t xml:space="preserve"> </w:t>
      </w:r>
      <w:proofErr w:type="spellStart"/>
      <w:r w:rsidR="00FB5BC8" w:rsidRPr="00FB5BC8">
        <w:rPr>
          <w:sz w:val="18"/>
          <w:szCs w:val="18"/>
        </w:rPr>
        <w:t>enerģētika</w:t>
      </w:r>
      <w:proofErr w:type="spellEnd"/>
      <w:r w:rsidR="00FB5BC8" w:rsidRPr="00FB5BC8">
        <w:rPr>
          <w:sz w:val="18"/>
          <w:szCs w:val="18"/>
        </w:rPr>
        <w:t xml:space="preserve"> </w:t>
      </w:r>
      <w:proofErr w:type="spellStart"/>
      <w:r w:rsidR="00FB5BC8" w:rsidRPr="00FB5BC8">
        <w:rPr>
          <w:sz w:val="18"/>
          <w:szCs w:val="18"/>
        </w:rPr>
        <w:t>sabiedrībai</w:t>
      </w:r>
      <w:proofErr w:type="spellEnd"/>
      <w:r w:rsidR="00FB5BC8" w:rsidRPr="00FB5BC8">
        <w:rPr>
          <w:sz w:val="18"/>
          <w:szCs w:val="18"/>
        </w:rPr>
        <w:t>"</w:t>
      </w:r>
      <w:r w:rsidR="00FB5BC8">
        <w:rPr>
          <w:sz w:val="18"/>
          <w:szCs w:val="18"/>
        </w:rPr>
        <w:t xml:space="preserve"> (</w:t>
      </w:r>
      <w:proofErr w:type="spellStart"/>
      <w:r w:rsidR="00FB5BC8">
        <w:rPr>
          <w:sz w:val="18"/>
          <w:szCs w:val="18"/>
        </w:rPr>
        <w:t>indikatīvais</w:t>
      </w:r>
      <w:proofErr w:type="spellEnd"/>
      <w:r w:rsidR="00FB5BC8">
        <w:rPr>
          <w:sz w:val="18"/>
          <w:szCs w:val="18"/>
        </w:rPr>
        <w:t xml:space="preserve"> </w:t>
      </w:r>
      <w:proofErr w:type="spellStart"/>
      <w:r w:rsidR="00FB5BC8">
        <w:rPr>
          <w:sz w:val="18"/>
          <w:szCs w:val="18"/>
        </w:rPr>
        <w:t>mērķis</w:t>
      </w:r>
      <w:proofErr w:type="spellEnd"/>
      <w:r w:rsidR="00FB5BC8">
        <w:rPr>
          <w:sz w:val="18"/>
          <w:szCs w:val="18"/>
        </w:rPr>
        <w:t>)</w:t>
      </w:r>
    </w:p>
  </w:footnote>
  <w:footnote w:id="28">
    <w:p w14:paraId="57B002A9"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proofErr w:type="spellStart"/>
      <w:r w:rsidR="00FB5BC8" w:rsidRPr="00FB5BC8">
        <w:rPr>
          <w:sz w:val="18"/>
          <w:szCs w:val="18"/>
        </w:rPr>
        <w:t>Informatīvais</w:t>
      </w:r>
      <w:proofErr w:type="spellEnd"/>
      <w:r w:rsidR="00FB5BC8" w:rsidRPr="00FB5BC8">
        <w:rPr>
          <w:sz w:val="18"/>
          <w:szCs w:val="18"/>
        </w:rPr>
        <w:t xml:space="preserve"> </w:t>
      </w:r>
      <w:proofErr w:type="spellStart"/>
      <w:r w:rsidR="00FB5BC8" w:rsidRPr="00FB5BC8">
        <w:rPr>
          <w:sz w:val="18"/>
          <w:szCs w:val="18"/>
        </w:rPr>
        <w:t>ziņojums</w:t>
      </w:r>
      <w:proofErr w:type="spellEnd"/>
      <w:r w:rsidR="00FB5BC8" w:rsidRPr="00FB5BC8">
        <w:rPr>
          <w:sz w:val="18"/>
          <w:szCs w:val="18"/>
        </w:rPr>
        <w:t xml:space="preserve"> "Latvijas </w:t>
      </w:r>
      <w:proofErr w:type="spellStart"/>
      <w:r w:rsidR="00FB5BC8" w:rsidRPr="00FB5BC8">
        <w:rPr>
          <w:sz w:val="18"/>
          <w:szCs w:val="18"/>
        </w:rPr>
        <w:t>Enerģētikas</w:t>
      </w:r>
      <w:proofErr w:type="spellEnd"/>
      <w:r w:rsidR="00FB5BC8" w:rsidRPr="00FB5BC8">
        <w:rPr>
          <w:sz w:val="18"/>
          <w:szCs w:val="18"/>
        </w:rPr>
        <w:t xml:space="preserve"> </w:t>
      </w:r>
      <w:proofErr w:type="spellStart"/>
      <w:r w:rsidR="00FB5BC8" w:rsidRPr="00FB5BC8">
        <w:rPr>
          <w:sz w:val="18"/>
          <w:szCs w:val="18"/>
        </w:rPr>
        <w:t>ilgtermiņa</w:t>
      </w:r>
      <w:proofErr w:type="spellEnd"/>
      <w:r w:rsidR="00FB5BC8" w:rsidRPr="00FB5BC8">
        <w:rPr>
          <w:sz w:val="18"/>
          <w:szCs w:val="18"/>
        </w:rPr>
        <w:t xml:space="preserve"> </w:t>
      </w:r>
      <w:proofErr w:type="spellStart"/>
      <w:r w:rsidR="00FB5BC8" w:rsidRPr="00FB5BC8">
        <w:rPr>
          <w:sz w:val="18"/>
          <w:szCs w:val="18"/>
        </w:rPr>
        <w:t>stratēģija</w:t>
      </w:r>
      <w:proofErr w:type="spellEnd"/>
      <w:r w:rsidR="00FB5BC8" w:rsidRPr="00FB5BC8">
        <w:rPr>
          <w:sz w:val="18"/>
          <w:szCs w:val="18"/>
        </w:rPr>
        <w:t xml:space="preserve"> 2030 – </w:t>
      </w:r>
      <w:proofErr w:type="spellStart"/>
      <w:r w:rsidR="00FB5BC8" w:rsidRPr="00FB5BC8">
        <w:rPr>
          <w:sz w:val="18"/>
          <w:szCs w:val="18"/>
        </w:rPr>
        <w:t>konkurētspējīga</w:t>
      </w:r>
      <w:proofErr w:type="spellEnd"/>
      <w:r w:rsidR="00FB5BC8" w:rsidRPr="00FB5BC8">
        <w:rPr>
          <w:sz w:val="18"/>
          <w:szCs w:val="18"/>
        </w:rPr>
        <w:t xml:space="preserve"> </w:t>
      </w:r>
      <w:proofErr w:type="spellStart"/>
      <w:r w:rsidR="00FB5BC8" w:rsidRPr="00FB5BC8">
        <w:rPr>
          <w:sz w:val="18"/>
          <w:szCs w:val="18"/>
        </w:rPr>
        <w:t>enerģētika</w:t>
      </w:r>
      <w:proofErr w:type="spellEnd"/>
      <w:r w:rsidR="00FB5BC8" w:rsidRPr="00FB5BC8">
        <w:rPr>
          <w:sz w:val="18"/>
          <w:szCs w:val="18"/>
        </w:rPr>
        <w:t xml:space="preserve"> </w:t>
      </w:r>
      <w:proofErr w:type="spellStart"/>
      <w:r w:rsidR="00FB5BC8" w:rsidRPr="00FB5BC8">
        <w:rPr>
          <w:sz w:val="18"/>
          <w:szCs w:val="18"/>
        </w:rPr>
        <w:t>sabiedrībai</w:t>
      </w:r>
      <w:proofErr w:type="spellEnd"/>
      <w:r w:rsidR="00FB5BC8" w:rsidRPr="00FB5BC8">
        <w:rPr>
          <w:sz w:val="18"/>
          <w:szCs w:val="18"/>
        </w:rPr>
        <w:t>"</w:t>
      </w:r>
      <w:r w:rsidRPr="00A26D8D">
        <w:rPr>
          <w:sz w:val="18"/>
          <w:szCs w:val="18"/>
        </w:rPr>
        <w:t xml:space="preserve"> (</w:t>
      </w:r>
      <w:proofErr w:type="spellStart"/>
      <w:r w:rsidRPr="00A26D8D">
        <w:rPr>
          <w:sz w:val="18"/>
          <w:szCs w:val="18"/>
        </w:rPr>
        <w:t>indikatīvais</w:t>
      </w:r>
      <w:proofErr w:type="spellEnd"/>
      <w:r w:rsidRPr="00A26D8D">
        <w:rPr>
          <w:sz w:val="18"/>
          <w:szCs w:val="18"/>
        </w:rPr>
        <w:t xml:space="preserve"> </w:t>
      </w:r>
      <w:proofErr w:type="spellStart"/>
      <w:r w:rsidRPr="00A26D8D">
        <w:rPr>
          <w:sz w:val="18"/>
          <w:szCs w:val="18"/>
        </w:rPr>
        <w:t>mērķis</w:t>
      </w:r>
      <w:proofErr w:type="spellEnd"/>
      <w:r w:rsidRPr="00A26D8D">
        <w:rPr>
          <w:sz w:val="18"/>
          <w:szCs w:val="18"/>
        </w:rPr>
        <w:t>)</w:t>
      </w:r>
    </w:p>
  </w:footnote>
  <w:footnote w:id="29">
    <w:p w14:paraId="1662F3C0"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KEPS2030</w:t>
      </w:r>
    </w:p>
  </w:footnote>
  <w:footnote w:id="30">
    <w:p w14:paraId="6D2DC4DE"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KEPS2030, </w:t>
      </w:r>
      <w:proofErr w:type="spellStart"/>
      <w:r w:rsidR="00FB5BC8" w:rsidRPr="00FB5BC8">
        <w:rPr>
          <w:sz w:val="18"/>
          <w:szCs w:val="18"/>
        </w:rPr>
        <w:t>Enerģētikas</w:t>
      </w:r>
      <w:proofErr w:type="spellEnd"/>
      <w:r w:rsidR="00FB5BC8" w:rsidRPr="00FB5BC8">
        <w:rPr>
          <w:sz w:val="18"/>
          <w:szCs w:val="18"/>
        </w:rPr>
        <w:t xml:space="preserve"> attīstības </w:t>
      </w:r>
      <w:proofErr w:type="spellStart"/>
      <w:r w:rsidR="00FB5BC8" w:rsidRPr="00FB5BC8">
        <w:rPr>
          <w:sz w:val="18"/>
          <w:szCs w:val="18"/>
        </w:rPr>
        <w:t>pamatnostādnes</w:t>
      </w:r>
      <w:proofErr w:type="spellEnd"/>
      <w:r w:rsidR="00FB5BC8" w:rsidRPr="00FB5BC8">
        <w:rPr>
          <w:sz w:val="18"/>
          <w:szCs w:val="18"/>
        </w:rPr>
        <w:t xml:space="preserve"> </w:t>
      </w:r>
      <w:proofErr w:type="gramStart"/>
      <w:r w:rsidR="00FB5BC8" w:rsidRPr="00FB5BC8">
        <w:rPr>
          <w:sz w:val="18"/>
          <w:szCs w:val="18"/>
        </w:rPr>
        <w:t>2016.–</w:t>
      </w:r>
      <w:proofErr w:type="gramEnd"/>
      <w:r w:rsidR="00FB5BC8" w:rsidRPr="00FB5BC8">
        <w:rPr>
          <w:sz w:val="18"/>
          <w:szCs w:val="18"/>
        </w:rPr>
        <w:t>2020.gadam</w:t>
      </w:r>
    </w:p>
  </w:footnote>
  <w:footnote w:id="31">
    <w:p w14:paraId="0FE67ABA"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r w:rsidR="00FB5BC8" w:rsidRPr="00FB5BC8">
        <w:rPr>
          <w:sz w:val="18"/>
          <w:szCs w:val="18"/>
        </w:rPr>
        <w:t xml:space="preserve">Latvijas </w:t>
      </w:r>
      <w:proofErr w:type="spellStart"/>
      <w:r w:rsidR="00FB5BC8" w:rsidRPr="00FB5BC8">
        <w:rPr>
          <w:sz w:val="18"/>
          <w:szCs w:val="18"/>
        </w:rPr>
        <w:t>ilgtspējīgas</w:t>
      </w:r>
      <w:proofErr w:type="spellEnd"/>
      <w:r w:rsidR="00FB5BC8" w:rsidRPr="00FB5BC8">
        <w:rPr>
          <w:sz w:val="18"/>
          <w:szCs w:val="18"/>
        </w:rPr>
        <w:t xml:space="preserve"> attīstības </w:t>
      </w:r>
      <w:proofErr w:type="spellStart"/>
      <w:r w:rsidR="00FB5BC8" w:rsidRPr="00FB5BC8">
        <w:rPr>
          <w:sz w:val="18"/>
          <w:szCs w:val="18"/>
        </w:rPr>
        <w:t>stratēģija</w:t>
      </w:r>
      <w:proofErr w:type="spellEnd"/>
      <w:r w:rsidR="00FB5BC8" w:rsidRPr="00FB5BC8">
        <w:rPr>
          <w:sz w:val="18"/>
          <w:szCs w:val="18"/>
        </w:rPr>
        <w:t xml:space="preserve"> 2030.gadam</w:t>
      </w:r>
    </w:p>
  </w:footnote>
  <w:footnote w:id="32">
    <w:p w14:paraId="17FEF1A3" w14:textId="77777777" w:rsidR="00A26D8D" w:rsidRPr="00A26D8D" w:rsidRDefault="00A26D8D" w:rsidP="00A26D8D">
      <w:pPr>
        <w:pStyle w:val="FootnoteText"/>
        <w:rPr>
          <w:sz w:val="18"/>
          <w:szCs w:val="18"/>
        </w:rPr>
      </w:pPr>
      <w:r w:rsidRPr="00A26D8D">
        <w:rPr>
          <w:rStyle w:val="FootnoteReference"/>
          <w:sz w:val="18"/>
          <w:szCs w:val="18"/>
        </w:rPr>
        <w:footnoteRef/>
      </w:r>
      <w:r w:rsidRPr="00A26D8D">
        <w:rPr>
          <w:sz w:val="18"/>
          <w:szCs w:val="18"/>
        </w:rPr>
        <w:t xml:space="preserve"> </w:t>
      </w:r>
      <w:r w:rsidR="00FB5BC8" w:rsidRPr="00FB5BC8">
        <w:rPr>
          <w:sz w:val="18"/>
          <w:szCs w:val="18"/>
        </w:rPr>
        <w:t xml:space="preserve">Latvijas </w:t>
      </w:r>
      <w:proofErr w:type="spellStart"/>
      <w:r w:rsidR="00FB5BC8" w:rsidRPr="00FB5BC8">
        <w:rPr>
          <w:sz w:val="18"/>
          <w:szCs w:val="18"/>
        </w:rPr>
        <w:t>ilgtspējīgas</w:t>
      </w:r>
      <w:proofErr w:type="spellEnd"/>
      <w:r w:rsidR="00FB5BC8" w:rsidRPr="00FB5BC8">
        <w:rPr>
          <w:sz w:val="18"/>
          <w:szCs w:val="18"/>
        </w:rPr>
        <w:t xml:space="preserve"> attīstības </w:t>
      </w:r>
      <w:proofErr w:type="spellStart"/>
      <w:r w:rsidR="00FB5BC8" w:rsidRPr="00FB5BC8">
        <w:rPr>
          <w:sz w:val="18"/>
          <w:szCs w:val="18"/>
        </w:rPr>
        <w:t>stratēģija</w:t>
      </w:r>
      <w:proofErr w:type="spellEnd"/>
      <w:r w:rsidR="00FB5BC8" w:rsidRPr="00FB5BC8">
        <w:rPr>
          <w:sz w:val="18"/>
          <w:szCs w:val="18"/>
        </w:rPr>
        <w:t xml:space="preserve"> 2030.gadam</w:t>
      </w:r>
    </w:p>
  </w:footnote>
  <w:footnote w:id="33">
    <w:p w14:paraId="2A88B94E" w14:textId="77777777" w:rsidR="00A26D8D" w:rsidRPr="00D51349" w:rsidRDefault="00A26D8D" w:rsidP="00A26D8D">
      <w:pPr>
        <w:pStyle w:val="FootnoteText"/>
      </w:pPr>
      <w:r w:rsidRPr="00D51349">
        <w:rPr>
          <w:rStyle w:val="FootnoteReference"/>
        </w:rPr>
        <w:footnoteRef/>
      </w:r>
      <w:r w:rsidRPr="00D51349">
        <w:t xml:space="preserve"> </w:t>
      </w:r>
      <w:r w:rsidR="00FB5BC8" w:rsidRPr="00D51349">
        <w:t xml:space="preserve">Latvijas </w:t>
      </w:r>
      <w:proofErr w:type="spellStart"/>
      <w:r w:rsidR="00FB5BC8" w:rsidRPr="00D51349">
        <w:t>ilgtspējīgas</w:t>
      </w:r>
      <w:proofErr w:type="spellEnd"/>
      <w:r w:rsidR="00FB5BC8" w:rsidRPr="00D51349">
        <w:t xml:space="preserve"> attīstības </w:t>
      </w:r>
      <w:proofErr w:type="spellStart"/>
      <w:r w:rsidR="00FB5BC8" w:rsidRPr="00D51349">
        <w:t>stratēģija</w:t>
      </w:r>
      <w:proofErr w:type="spellEnd"/>
      <w:r w:rsidR="00FB5BC8" w:rsidRPr="00D51349">
        <w:t xml:space="preserve"> 2030.gadam</w:t>
      </w:r>
    </w:p>
  </w:footnote>
  <w:footnote w:id="34">
    <w:p w14:paraId="14689262" w14:textId="76ECC21E" w:rsidR="00A93F31" w:rsidRPr="00D51349" w:rsidRDefault="00A93F31">
      <w:pPr>
        <w:pStyle w:val="FootnoteText"/>
        <w:rPr>
          <w:lang w:val="lv-LV"/>
        </w:rPr>
      </w:pPr>
      <w:r w:rsidRPr="00D51349">
        <w:rPr>
          <w:rStyle w:val="FootnoteReference"/>
        </w:rPr>
        <w:footnoteRef/>
      </w:r>
      <w:r w:rsidRPr="00D51349">
        <w:t xml:space="preserve"> </w:t>
      </w:r>
      <w:r w:rsidRPr="00D51349">
        <w:rPr>
          <w:lang w:val="lv-LV"/>
        </w:rPr>
        <w:t xml:space="preserve">Bāzes scenārijs prognozējot situāciju uz 2030.gadu, bāzes scenārijā modelēšanā ņemot vērā spēkā esošās un atbalstītās politikas un pasākumu, </w:t>
      </w:r>
      <w:bookmarkStart w:id="8" w:name="_Hlk531877699"/>
      <w:r w:rsidRPr="00D51349">
        <w:rPr>
          <w:lang w:val="lv-LV"/>
        </w:rPr>
        <w:t>pieņemot, ka tās tiks turpinātas arī periodā pēc 2020.gada (ja minētās politikas ir spēkā tikai šajā ES fondu atbalsta programmu plānošanas periodā)</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F015" w14:textId="77777777" w:rsidR="00696AB3" w:rsidRPr="00366728" w:rsidRDefault="00962954">
    <w:pPr>
      <w:pStyle w:val="Header"/>
      <w:jc w:val="center"/>
      <w:rPr>
        <w:rFonts w:ascii="Times New Roman" w:hAnsi="Times New Roman"/>
        <w:sz w:val="24"/>
        <w:szCs w:val="24"/>
      </w:rPr>
    </w:pPr>
    <w:r w:rsidRPr="00366728">
      <w:rPr>
        <w:rFonts w:ascii="Times New Roman" w:hAnsi="Times New Roman"/>
        <w:sz w:val="24"/>
        <w:szCs w:val="24"/>
      </w:rPr>
      <w:fldChar w:fldCharType="begin"/>
    </w:r>
    <w:r w:rsidRPr="00366728">
      <w:rPr>
        <w:rFonts w:ascii="Times New Roman" w:hAnsi="Times New Roman"/>
        <w:sz w:val="24"/>
        <w:szCs w:val="24"/>
      </w:rPr>
      <w:instrText xml:space="preserve"> PAGE   \* MERGEFORMAT </w:instrText>
    </w:r>
    <w:r w:rsidRPr="00366728">
      <w:rPr>
        <w:rFonts w:ascii="Times New Roman" w:hAnsi="Times New Roman"/>
        <w:sz w:val="24"/>
        <w:szCs w:val="24"/>
      </w:rPr>
      <w:fldChar w:fldCharType="separate"/>
    </w:r>
    <w:r w:rsidR="009A36A2" w:rsidRPr="00366728">
      <w:rPr>
        <w:rFonts w:ascii="Times New Roman" w:hAnsi="Times New Roman"/>
        <w:noProof/>
        <w:sz w:val="24"/>
        <w:szCs w:val="24"/>
      </w:rPr>
      <w:t>2</w:t>
    </w:r>
    <w:r w:rsidRPr="00366728">
      <w:rPr>
        <w:rFonts w:ascii="Times New Roman" w:hAnsi="Times New Roman"/>
        <w:noProof/>
        <w:sz w:val="24"/>
        <w:szCs w:val="24"/>
      </w:rPr>
      <w:fldChar w:fldCharType="end"/>
    </w:r>
  </w:p>
  <w:p w14:paraId="5868032F" w14:textId="77777777" w:rsidR="00696AB3" w:rsidRPr="00391FF4" w:rsidRDefault="00696AB3">
    <w:pPr>
      <w:pStyle w:val="Header"/>
      <w:rPr>
        <w:rFonts w:ascii="Calibri (imesBody)" w:hAnsi="Calibri (imesBod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24C8B"/>
    <w:multiLevelType w:val="hybridMultilevel"/>
    <w:tmpl w:val="8B8AAD3C"/>
    <w:lvl w:ilvl="0" w:tplc="1BC4A822">
      <w:start w:val="1"/>
      <w:numFmt w:val="bullet"/>
      <w:lvlText w:val=""/>
      <w:lvlJc w:val="left"/>
      <w:pPr>
        <w:ind w:left="360" w:hanging="360"/>
      </w:pPr>
      <w:rPr>
        <w:rFonts w:ascii="Symbol" w:hAnsi="Symbol" w:hint="default"/>
      </w:rPr>
    </w:lvl>
    <w:lvl w:ilvl="1" w:tplc="AF969B26" w:tentative="1">
      <w:start w:val="1"/>
      <w:numFmt w:val="bullet"/>
      <w:lvlText w:val="o"/>
      <w:lvlJc w:val="left"/>
      <w:pPr>
        <w:ind w:left="1080" w:hanging="360"/>
      </w:pPr>
      <w:rPr>
        <w:rFonts w:ascii="Courier New" w:hAnsi="Courier New" w:cs="Courier New" w:hint="default"/>
      </w:rPr>
    </w:lvl>
    <w:lvl w:ilvl="2" w:tplc="AAF29414" w:tentative="1">
      <w:start w:val="1"/>
      <w:numFmt w:val="bullet"/>
      <w:lvlText w:val=""/>
      <w:lvlJc w:val="left"/>
      <w:pPr>
        <w:ind w:left="1800" w:hanging="360"/>
      </w:pPr>
      <w:rPr>
        <w:rFonts w:ascii="Wingdings" w:hAnsi="Wingdings" w:hint="default"/>
      </w:rPr>
    </w:lvl>
    <w:lvl w:ilvl="3" w:tplc="4034789E" w:tentative="1">
      <w:start w:val="1"/>
      <w:numFmt w:val="bullet"/>
      <w:lvlText w:val=""/>
      <w:lvlJc w:val="left"/>
      <w:pPr>
        <w:ind w:left="2520" w:hanging="360"/>
      </w:pPr>
      <w:rPr>
        <w:rFonts w:ascii="Symbol" w:hAnsi="Symbol" w:hint="default"/>
      </w:rPr>
    </w:lvl>
    <w:lvl w:ilvl="4" w:tplc="C92085AE" w:tentative="1">
      <w:start w:val="1"/>
      <w:numFmt w:val="bullet"/>
      <w:lvlText w:val="o"/>
      <w:lvlJc w:val="left"/>
      <w:pPr>
        <w:ind w:left="3240" w:hanging="360"/>
      </w:pPr>
      <w:rPr>
        <w:rFonts w:ascii="Courier New" w:hAnsi="Courier New" w:cs="Courier New" w:hint="default"/>
      </w:rPr>
    </w:lvl>
    <w:lvl w:ilvl="5" w:tplc="FB8A9006" w:tentative="1">
      <w:start w:val="1"/>
      <w:numFmt w:val="bullet"/>
      <w:lvlText w:val=""/>
      <w:lvlJc w:val="left"/>
      <w:pPr>
        <w:ind w:left="3960" w:hanging="360"/>
      </w:pPr>
      <w:rPr>
        <w:rFonts w:ascii="Wingdings" w:hAnsi="Wingdings" w:hint="default"/>
      </w:rPr>
    </w:lvl>
    <w:lvl w:ilvl="6" w:tplc="E2B82FB0" w:tentative="1">
      <w:start w:val="1"/>
      <w:numFmt w:val="bullet"/>
      <w:lvlText w:val=""/>
      <w:lvlJc w:val="left"/>
      <w:pPr>
        <w:ind w:left="4680" w:hanging="360"/>
      </w:pPr>
      <w:rPr>
        <w:rFonts w:ascii="Symbol" w:hAnsi="Symbol" w:hint="default"/>
      </w:rPr>
    </w:lvl>
    <w:lvl w:ilvl="7" w:tplc="BFDCCC52" w:tentative="1">
      <w:start w:val="1"/>
      <w:numFmt w:val="bullet"/>
      <w:lvlText w:val="o"/>
      <w:lvlJc w:val="left"/>
      <w:pPr>
        <w:ind w:left="5400" w:hanging="360"/>
      </w:pPr>
      <w:rPr>
        <w:rFonts w:ascii="Courier New" w:hAnsi="Courier New" w:cs="Courier New" w:hint="default"/>
      </w:rPr>
    </w:lvl>
    <w:lvl w:ilvl="8" w:tplc="1A34C6C0" w:tentative="1">
      <w:start w:val="1"/>
      <w:numFmt w:val="bullet"/>
      <w:lvlText w:val=""/>
      <w:lvlJc w:val="left"/>
      <w:pPr>
        <w:ind w:left="6120" w:hanging="360"/>
      </w:pPr>
      <w:rPr>
        <w:rFonts w:ascii="Wingdings" w:hAnsi="Wingdings" w:hint="default"/>
      </w:rPr>
    </w:lvl>
  </w:abstractNum>
  <w:abstractNum w:abstractNumId="1" w15:restartNumberingAfterBreak="0">
    <w:nsid w:val="07404F8B"/>
    <w:multiLevelType w:val="hybridMultilevel"/>
    <w:tmpl w:val="B75E3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88B5CEA"/>
    <w:multiLevelType w:val="hybridMultilevel"/>
    <w:tmpl w:val="34249BE6"/>
    <w:lvl w:ilvl="0" w:tplc="146A6F0E">
      <w:start w:val="1"/>
      <w:numFmt w:val="bullet"/>
      <w:lvlText w:val=""/>
      <w:lvlJc w:val="left"/>
      <w:pPr>
        <w:ind w:left="1440" w:hanging="360"/>
      </w:pPr>
      <w:rPr>
        <w:rFonts w:ascii="Wingdings" w:hAnsi="Wingdings" w:hint="default"/>
      </w:rPr>
    </w:lvl>
    <w:lvl w:ilvl="1" w:tplc="EC10DE3C">
      <w:start w:val="1"/>
      <w:numFmt w:val="bullet"/>
      <w:lvlText w:val="o"/>
      <w:lvlJc w:val="left"/>
      <w:pPr>
        <w:ind w:left="2160" w:hanging="360"/>
      </w:pPr>
      <w:rPr>
        <w:rFonts w:ascii="Courier New" w:hAnsi="Courier New" w:cs="Courier New" w:hint="default"/>
      </w:rPr>
    </w:lvl>
    <w:lvl w:ilvl="2" w:tplc="53123416" w:tentative="1">
      <w:start w:val="1"/>
      <w:numFmt w:val="bullet"/>
      <w:lvlText w:val=""/>
      <w:lvlJc w:val="left"/>
      <w:pPr>
        <w:ind w:left="2880" w:hanging="360"/>
      </w:pPr>
      <w:rPr>
        <w:rFonts w:ascii="Wingdings" w:hAnsi="Wingdings" w:hint="default"/>
      </w:rPr>
    </w:lvl>
    <w:lvl w:ilvl="3" w:tplc="BAEEBA62" w:tentative="1">
      <w:start w:val="1"/>
      <w:numFmt w:val="bullet"/>
      <w:lvlText w:val=""/>
      <w:lvlJc w:val="left"/>
      <w:pPr>
        <w:ind w:left="3600" w:hanging="360"/>
      </w:pPr>
      <w:rPr>
        <w:rFonts w:ascii="Symbol" w:hAnsi="Symbol" w:hint="default"/>
      </w:rPr>
    </w:lvl>
    <w:lvl w:ilvl="4" w:tplc="C7688990" w:tentative="1">
      <w:start w:val="1"/>
      <w:numFmt w:val="bullet"/>
      <w:lvlText w:val="o"/>
      <w:lvlJc w:val="left"/>
      <w:pPr>
        <w:ind w:left="4320" w:hanging="360"/>
      </w:pPr>
      <w:rPr>
        <w:rFonts w:ascii="Courier New" w:hAnsi="Courier New" w:cs="Courier New" w:hint="default"/>
      </w:rPr>
    </w:lvl>
    <w:lvl w:ilvl="5" w:tplc="CD14EED6" w:tentative="1">
      <w:start w:val="1"/>
      <w:numFmt w:val="bullet"/>
      <w:lvlText w:val=""/>
      <w:lvlJc w:val="left"/>
      <w:pPr>
        <w:ind w:left="5040" w:hanging="360"/>
      </w:pPr>
      <w:rPr>
        <w:rFonts w:ascii="Wingdings" w:hAnsi="Wingdings" w:hint="default"/>
      </w:rPr>
    </w:lvl>
    <w:lvl w:ilvl="6" w:tplc="0B10AB34" w:tentative="1">
      <w:start w:val="1"/>
      <w:numFmt w:val="bullet"/>
      <w:lvlText w:val=""/>
      <w:lvlJc w:val="left"/>
      <w:pPr>
        <w:ind w:left="5760" w:hanging="360"/>
      </w:pPr>
      <w:rPr>
        <w:rFonts w:ascii="Symbol" w:hAnsi="Symbol" w:hint="default"/>
      </w:rPr>
    </w:lvl>
    <w:lvl w:ilvl="7" w:tplc="8A22E56E" w:tentative="1">
      <w:start w:val="1"/>
      <w:numFmt w:val="bullet"/>
      <w:lvlText w:val="o"/>
      <w:lvlJc w:val="left"/>
      <w:pPr>
        <w:ind w:left="6480" w:hanging="360"/>
      </w:pPr>
      <w:rPr>
        <w:rFonts w:ascii="Courier New" w:hAnsi="Courier New" w:cs="Courier New" w:hint="default"/>
      </w:rPr>
    </w:lvl>
    <w:lvl w:ilvl="8" w:tplc="41BAF820" w:tentative="1">
      <w:start w:val="1"/>
      <w:numFmt w:val="bullet"/>
      <w:lvlText w:val=""/>
      <w:lvlJc w:val="left"/>
      <w:pPr>
        <w:ind w:left="7200" w:hanging="360"/>
      </w:pPr>
      <w:rPr>
        <w:rFonts w:ascii="Wingdings" w:hAnsi="Wingdings" w:hint="default"/>
      </w:rPr>
    </w:lvl>
  </w:abstractNum>
  <w:abstractNum w:abstractNumId="3" w15:restartNumberingAfterBreak="0">
    <w:nsid w:val="0A756282"/>
    <w:multiLevelType w:val="hybridMultilevel"/>
    <w:tmpl w:val="CC904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E039A0"/>
    <w:multiLevelType w:val="hybridMultilevel"/>
    <w:tmpl w:val="C2583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2FBD2BDF"/>
    <w:multiLevelType w:val="hybridMultilevel"/>
    <w:tmpl w:val="78B40DE6"/>
    <w:lvl w:ilvl="0" w:tplc="FCB8B5E4">
      <w:start w:val="1"/>
      <w:numFmt w:val="bullet"/>
      <w:lvlText w:val=""/>
      <w:lvlJc w:val="left"/>
      <w:pPr>
        <w:ind w:left="1080" w:hanging="360"/>
      </w:pPr>
      <w:rPr>
        <w:rFonts w:ascii="Wingdings" w:hAnsi="Wingdings" w:hint="default"/>
      </w:rPr>
    </w:lvl>
    <w:lvl w:ilvl="1" w:tplc="88B404D6" w:tentative="1">
      <w:start w:val="1"/>
      <w:numFmt w:val="bullet"/>
      <w:lvlText w:val="o"/>
      <w:lvlJc w:val="left"/>
      <w:pPr>
        <w:ind w:left="1800" w:hanging="360"/>
      </w:pPr>
      <w:rPr>
        <w:rFonts w:ascii="Courier New" w:hAnsi="Courier New" w:cs="Courier New" w:hint="default"/>
      </w:rPr>
    </w:lvl>
    <w:lvl w:ilvl="2" w:tplc="CA024F5C" w:tentative="1">
      <w:start w:val="1"/>
      <w:numFmt w:val="bullet"/>
      <w:lvlText w:val=""/>
      <w:lvlJc w:val="left"/>
      <w:pPr>
        <w:ind w:left="2520" w:hanging="360"/>
      </w:pPr>
      <w:rPr>
        <w:rFonts w:ascii="Wingdings" w:hAnsi="Wingdings" w:hint="default"/>
      </w:rPr>
    </w:lvl>
    <w:lvl w:ilvl="3" w:tplc="1168340A" w:tentative="1">
      <w:start w:val="1"/>
      <w:numFmt w:val="bullet"/>
      <w:lvlText w:val=""/>
      <w:lvlJc w:val="left"/>
      <w:pPr>
        <w:ind w:left="3240" w:hanging="360"/>
      </w:pPr>
      <w:rPr>
        <w:rFonts w:ascii="Symbol" w:hAnsi="Symbol" w:hint="default"/>
      </w:rPr>
    </w:lvl>
    <w:lvl w:ilvl="4" w:tplc="CEF87D70" w:tentative="1">
      <w:start w:val="1"/>
      <w:numFmt w:val="bullet"/>
      <w:lvlText w:val="o"/>
      <w:lvlJc w:val="left"/>
      <w:pPr>
        <w:ind w:left="3960" w:hanging="360"/>
      </w:pPr>
      <w:rPr>
        <w:rFonts w:ascii="Courier New" w:hAnsi="Courier New" w:cs="Courier New" w:hint="default"/>
      </w:rPr>
    </w:lvl>
    <w:lvl w:ilvl="5" w:tplc="D7429546" w:tentative="1">
      <w:start w:val="1"/>
      <w:numFmt w:val="bullet"/>
      <w:lvlText w:val=""/>
      <w:lvlJc w:val="left"/>
      <w:pPr>
        <w:ind w:left="4680" w:hanging="360"/>
      </w:pPr>
      <w:rPr>
        <w:rFonts w:ascii="Wingdings" w:hAnsi="Wingdings" w:hint="default"/>
      </w:rPr>
    </w:lvl>
    <w:lvl w:ilvl="6" w:tplc="26D2BC30" w:tentative="1">
      <w:start w:val="1"/>
      <w:numFmt w:val="bullet"/>
      <w:lvlText w:val=""/>
      <w:lvlJc w:val="left"/>
      <w:pPr>
        <w:ind w:left="5400" w:hanging="360"/>
      </w:pPr>
      <w:rPr>
        <w:rFonts w:ascii="Symbol" w:hAnsi="Symbol" w:hint="default"/>
      </w:rPr>
    </w:lvl>
    <w:lvl w:ilvl="7" w:tplc="01B612E0" w:tentative="1">
      <w:start w:val="1"/>
      <w:numFmt w:val="bullet"/>
      <w:lvlText w:val="o"/>
      <w:lvlJc w:val="left"/>
      <w:pPr>
        <w:ind w:left="6120" w:hanging="360"/>
      </w:pPr>
      <w:rPr>
        <w:rFonts w:ascii="Courier New" w:hAnsi="Courier New" w:cs="Courier New" w:hint="default"/>
      </w:rPr>
    </w:lvl>
    <w:lvl w:ilvl="8" w:tplc="78584C2C" w:tentative="1">
      <w:start w:val="1"/>
      <w:numFmt w:val="bullet"/>
      <w:lvlText w:val=""/>
      <w:lvlJc w:val="left"/>
      <w:pPr>
        <w:ind w:left="6840" w:hanging="360"/>
      </w:pPr>
      <w:rPr>
        <w:rFonts w:ascii="Wingdings" w:hAnsi="Wingdings" w:hint="default"/>
      </w:rPr>
    </w:lvl>
  </w:abstractNum>
  <w:abstractNum w:abstractNumId="6"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0302D6"/>
    <w:multiLevelType w:val="hybridMultilevel"/>
    <w:tmpl w:val="F51E04C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36B03698"/>
    <w:multiLevelType w:val="hybridMultilevel"/>
    <w:tmpl w:val="F69077DE"/>
    <w:lvl w:ilvl="0" w:tplc="3C5C1B54">
      <w:start w:val="1"/>
      <w:numFmt w:val="decimal"/>
      <w:lvlText w:val="%1)"/>
      <w:lvlJc w:val="left"/>
      <w:pPr>
        <w:ind w:left="720" w:hanging="360"/>
      </w:pPr>
      <w:rPr>
        <w:rFonts w:hint="default"/>
      </w:rPr>
    </w:lvl>
    <w:lvl w:ilvl="1" w:tplc="E716E000" w:tentative="1">
      <w:start w:val="1"/>
      <w:numFmt w:val="lowerLetter"/>
      <w:lvlText w:val="%2."/>
      <w:lvlJc w:val="left"/>
      <w:pPr>
        <w:ind w:left="1440" w:hanging="360"/>
      </w:pPr>
    </w:lvl>
    <w:lvl w:ilvl="2" w:tplc="15B29174" w:tentative="1">
      <w:start w:val="1"/>
      <w:numFmt w:val="lowerRoman"/>
      <w:lvlText w:val="%3."/>
      <w:lvlJc w:val="right"/>
      <w:pPr>
        <w:ind w:left="2160" w:hanging="180"/>
      </w:pPr>
    </w:lvl>
    <w:lvl w:ilvl="3" w:tplc="866C6F9A" w:tentative="1">
      <w:start w:val="1"/>
      <w:numFmt w:val="decimal"/>
      <w:lvlText w:val="%4."/>
      <w:lvlJc w:val="left"/>
      <w:pPr>
        <w:ind w:left="2880" w:hanging="360"/>
      </w:pPr>
    </w:lvl>
    <w:lvl w:ilvl="4" w:tplc="F7D2CE5A" w:tentative="1">
      <w:start w:val="1"/>
      <w:numFmt w:val="lowerLetter"/>
      <w:lvlText w:val="%5."/>
      <w:lvlJc w:val="left"/>
      <w:pPr>
        <w:ind w:left="3600" w:hanging="360"/>
      </w:pPr>
    </w:lvl>
    <w:lvl w:ilvl="5" w:tplc="F26E1E6E" w:tentative="1">
      <w:start w:val="1"/>
      <w:numFmt w:val="lowerRoman"/>
      <w:lvlText w:val="%6."/>
      <w:lvlJc w:val="right"/>
      <w:pPr>
        <w:ind w:left="4320" w:hanging="180"/>
      </w:pPr>
    </w:lvl>
    <w:lvl w:ilvl="6" w:tplc="BE382292" w:tentative="1">
      <w:start w:val="1"/>
      <w:numFmt w:val="decimal"/>
      <w:lvlText w:val="%7."/>
      <w:lvlJc w:val="left"/>
      <w:pPr>
        <w:ind w:left="5040" w:hanging="360"/>
      </w:pPr>
    </w:lvl>
    <w:lvl w:ilvl="7" w:tplc="91B41BF6" w:tentative="1">
      <w:start w:val="1"/>
      <w:numFmt w:val="lowerLetter"/>
      <w:lvlText w:val="%8."/>
      <w:lvlJc w:val="left"/>
      <w:pPr>
        <w:ind w:left="5760" w:hanging="360"/>
      </w:pPr>
    </w:lvl>
    <w:lvl w:ilvl="8" w:tplc="07CC8602" w:tentative="1">
      <w:start w:val="1"/>
      <w:numFmt w:val="lowerRoman"/>
      <w:lvlText w:val="%9."/>
      <w:lvlJc w:val="right"/>
      <w:pPr>
        <w:ind w:left="6480" w:hanging="180"/>
      </w:pPr>
    </w:lvl>
  </w:abstractNum>
  <w:abstractNum w:abstractNumId="9" w15:restartNumberingAfterBreak="1">
    <w:nsid w:val="473B5F26"/>
    <w:multiLevelType w:val="hybridMultilevel"/>
    <w:tmpl w:val="41E68D4C"/>
    <w:lvl w:ilvl="0" w:tplc="D02CCACC">
      <w:start w:val="1"/>
      <w:numFmt w:val="bullet"/>
      <w:lvlText w:val=""/>
      <w:lvlJc w:val="left"/>
      <w:pPr>
        <w:ind w:left="1080" w:hanging="360"/>
      </w:pPr>
      <w:rPr>
        <w:rFonts w:ascii="Wingdings" w:hAnsi="Wingdings" w:hint="default"/>
      </w:rPr>
    </w:lvl>
    <w:lvl w:ilvl="1" w:tplc="6C22D978">
      <w:start w:val="1"/>
      <w:numFmt w:val="bullet"/>
      <w:lvlText w:val=""/>
      <w:lvlJc w:val="left"/>
      <w:pPr>
        <w:ind w:left="1080" w:hanging="360"/>
      </w:pPr>
      <w:rPr>
        <w:rFonts w:ascii="Symbol" w:hAnsi="Symbol" w:hint="default"/>
      </w:rPr>
    </w:lvl>
    <w:lvl w:ilvl="2" w:tplc="5DE80178" w:tentative="1">
      <w:start w:val="1"/>
      <w:numFmt w:val="bullet"/>
      <w:lvlText w:val=""/>
      <w:lvlJc w:val="left"/>
      <w:pPr>
        <w:ind w:left="1800" w:hanging="360"/>
      </w:pPr>
      <w:rPr>
        <w:rFonts w:ascii="Wingdings" w:hAnsi="Wingdings" w:hint="default"/>
      </w:rPr>
    </w:lvl>
    <w:lvl w:ilvl="3" w:tplc="D618DB36" w:tentative="1">
      <w:start w:val="1"/>
      <w:numFmt w:val="bullet"/>
      <w:lvlText w:val=""/>
      <w:lvlJc w:val="left"/>
      <w:pPr>
        <w:ind w:left="2520" w:hanging="360"/>
      </w:pPr>
      <w:rPr>
        <w:rFonts w:ascii="Symbol" w:hAnsi="Symbol" w:hint="default"/>
      </w:rPr>
    </w:lvl>
    <w:lvl w:ilvl="4" w:tplc="315A9BFA" w:tentative="1">
      <w:start w:val="1"/>
      <w:numFmt w:val="bullet"/>
      <w:lvlText w:val="o"/>
      <w:lvlJc w:val="left"/>
      <w:pPr>
        <w:ind w:left="3240" w:hanging="360"/>
      </w:pPr>
      <w:rPr>
        <w:rFonts w:ascii="Courier New" w:hAnsi="Courier New" w:cs="Courier New" w:hint="default"/>
      </w:rPr>
    </w:lvl>
    <w:lvl w:ilvl="5" w:tplc="3724C566" w:tentative="1">
      <w:start w:val="1"/>
      <w:numFmt w:val="bullet"/>
      <w:lvlText w:val=""/>
      <w:lvlJc w:val="left"/>
      <w:pPr>
        <w:ind w:left="3960" w:hanging="360"/>
      </w:pPr>
      <w:rPr>
        <w:rFonts w:ascii="Wingdings" w:hAnsi="Wingdings" w:hint="default"/>
      </w:rPr>
    </w:lvl>
    <w:lvl w:ilvl="6" w:tplc="66EE148C" w:tentative="1">
      <w:start w:val="1"/>
      <w:numFmt w:val="bullet"/>
      <w:lvlText w:val=""/>
      <w:lvlJc w:val="left"/>
      <w:pPr>
        <w:ind w:left="4680" w:hanging="360"/>
      </w:pPr>
      <w:rPr>
        <w:rFonts w:ascii="Symbol" w:hAnsi="Symbol" w:hint="default"/>
      </w:rPr>
    </w:lvl>
    <w:lvl w:ilvl="7" w:tplc="9B92D5C2" w:tentative="1">
      <w:start w:val="1"/>
      <w:numFmt w:val="bullet"/>
      <w:lvlText w:val="o"/>
      <w:lvlJc w:val="left"/>
      <w:pPr>
        <w:ind w:left="5400" w:hanging="360"/>
      </w:pPr>
      <w:rPr>
        <w:rFonts w:ascii="Courier New" w:hAnsi="Courier New" w:cs="Courier New" w:hint="default"/>
      </w:rPr>
    </w:lvl>
    <w:lvl w:ilvl="8" w:tplc="11C4D37C" w:tentative="1">
      <w:start w:val="1"/>
      <w:numFmt w:val="bullet"/>
      <w:lvlText w:val=""/>
      <w:lvlJc w:val="left"/>
      <w:pPr>
        <w:ind w:left="6120" w:hanging="360"/>
      </w:pPr>
      <w:rPr>
        <w:rFonts w:ascii="Wingdings" w:hAnsi="Wingdings" w:hint="default"/>
      </w:rPr>
    </w:lvl>
  </w:abstractNum>
  <w:abstractNum w:abstractNumId="10" w15:restartNumberingAfterBreak="0">
    <w:nsid w:val="4AC10FAF"/>
    <w:multiLevelType w:val="hybridMultilevel"/>
    <w:tmpl w:val="A4747B1A"/>
    <w:lvl w:ilvl="0" w:tplc="2B70D648">
      <w:start w:val="1"/>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4850B4"/>
    <w:multiLevelType w:val="hybridMultilevel"/>
    <w:tmpl w:val="449C73FC"/>
    <w:lvl w:ilvl="0" w:tplc="D226A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CBA4441"/>
    <w:multiLevelType w:val="hybridMultilevel"/>
    <w:tmpl w:val="4CFCBB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420576"/>
    <w:multiLevelType w:val="hybridMultilevel"/>
    <w:tmpl w:val="931049E0"/>
    <w:lvl w:ilvl="0" w:tplc="92E296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030432"/>
    <w:multiLevelType w:val="hybridMultilevel"/>
    <w:tmpl w:val="2012D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68246C38"/>
    <w:multiLevelType w:val="hybridMultilevel"/>
    <w:tmpl w:val="9D0A0888"/>
    <w:lvl w:ilvl="0" w:tplc="C718870A">
      <w:start w:val="2"/>
      <w:numFmt w:val="bullet"/>
      <w:lvlText w:val="-"/>
      <w:lvlJc w:val="left"/>
      <w:pPr>
        <w:ind w:left="1080" w:hanging="360"/>
      </w:pPr>
      <w:rPr>
        <w:rFonts w:ascii="Times New Roman" w:eastAsia="Calibri" w:hAnsi="Times New Roman" w:cs="Times New Roman" w:hint="default"/>
      </w:rPr>
    </w:lvl>
    <w:lvl w:ilvl="1" w:tplc="F2E49D02" w:tentative="1">
      <w:start w:val="1"/>
      <w:numFmt w:val="bullet"/>
      <w:lvlText w:val="o"/>
      <w:lvlJc w:val="left"/>
      <w:pPr>
        <w:ind w:left="1800" w:hanging="360"/>
      </w:pPr>
      <w:rPr>
        <w:rFonts w:ascii="Courier New" w:hAnsi="Courier New" w:cs="Courier New" w:hint="default"/>
      </w:rPr>
    </w:lvl>
    <w:lvl w:ilvl="2" w:tplc="FF02963C" w:tentative="1">
      <w:start w:val="1"/>
      <w:numFmt w:val="bullet"/>
      <w:lvlText w:val=""/>
      <w:lvlJc w:val="left"/>
      <w:pPr>
        <w:ind w:left="2520" w:hanging="360"/>
      </w:pPr>
      <w:rPr>
        <w:rFonts w:ascii="Wingdings" w:hAnsi="Wingdings" w:hint="default"/>
      </w:rPr>
    </w:lvl>
    <w:lvl w:ilvl="3" w:tplc="FD7AC0F2" w:tentative="1">
      <w:start w:val="1"/>
      <w:numFmt w:val="bullet"/>
      <w:lvlText w:val=""/>
      <w:lvlJc w:val="left"/>
      <w:pPr>
        <w:ind w:left="3240" w:hanging="360"/>
      </w:pPr>
      <w:rPr>
        <w:rFonts w:ascii="Symbol" w:hAnsi="Symbol" w:hint="default"/>
      </w:rPr>
    </w:lvl>
    <w:lvl w:ilvl="4" w:tplc="9F4C9886" w:tentative="1">
      <w:start w:val="1"/>
      <w:numFmt w:val="bullet"/>
      <w:lvlText w:val="o"/>
      <w:lvlJc w:val="left"/>
      <w:pPr>
        <w:ind w:left="3960" w:hanging="360"/>
      </w:pPr>
      <w:rPr>
        <w:rFonts w:ascii="Courier New" w:hAnsi="Courier New" w:cs="Courier New" w:hint="default"/>
      </w:rPr>
    </w:lvl>
    <w:lvl w:ilvl="5" w:tplc="CCBCBFEA" w:tentative="1">
      <w:start w:val="1"/>
      <w:numFmt w:val="bullet"/>
      <w:lvlText w:val=""/>
      <w:lvlJc w:val="left"/>
      <w:pPr>
        <w:ind w:left="4680" w:hanging="360"/>
      </w:pPr>
      <w:rPr>
        <w:rFonts w:ascii="Wingdings" w:hAnsi="Wingdings" w:hint="default"/>
      </w:rPr>
    </w:lvl>
    <w:lvl w:ilvl="6" w:tplc="FFD2B9F2" w:tentative="1">
      <w:start w:val="1"/>
      <w:numFmt w:val="bullet"/>
      <w:lvlText w:val=""/>
      <w:lvlJc w:val="left"/>
      <w:pPr>
        <w:ind w:left="5400" w:hanging="360"/>
      </w:pPr>
      <w:rPr>
        <w:rFonts w:ascii="Symbol" w:hAnsi="Symbol" w:hint="default"/>
      </w:rPr>
    </w:lvl>
    <w:lvl w:ilvl="7" w:tplc="17D24D52" w:tentative="1">
      <w:start w:val="1"/>
      <w:numFmt w:val="bullet"/>
      <w:lvlText w:val="o"/>
      <w:lvlJc w:val="left"/>
      <w:pPr>
        <w:ind w:left="6120" w:hanging="360"/>
      </w:pPr>
      <w:rPr>
        <w:rFonts w:ascii="Courier New" w:hAnsi="Courier New" w:cs="Courier New" w:hint="default"/>
      </w:rPr>
    </w:lvl>
    <w:lvl w:ilvl="8" w:tplc="94527144" w:tentative="1">
      <w:start w:val="1"/>
      <w:numFmt w:val="bullet"/>
      <w:lvlText w:val=""/>
      <w:lvlJc w:val="left"/>
      <w:pPr>
        <w:ind w:left="6840" w:hanging="360"/>
      </w:pPr>
      <w:rPr>
        <w:rFonts w:ascii="Wingdings" w:hAnsi="Wingdings" w:hint="default"/>
      </w:rPr>
    </w:lvl>
  </w:abstractNum>
  <w:abstractNum w:abstractNumId="16" w15:restartNumberingAfterBreak="1">
    <w:nsid w:val="75C43875"/>
    <w:multiLevelType w:val="hybridMultilevel"/>
    <w:tmpl w:val="347E0C2C"/>
    <w:lvl w:ilvl="0" w:tplc="86D632BC">
      <w:start w:val="1"/>
      <w:numFmt w:val="bullet"/>
      <w:lvlText w:val=""/>
      <w:lvlJc w:val="left"/>
      <w:pPr>
        <w:ind w:left="1440" w:hanging="360"/>
      </w:pPr>
      <w:rPr>
        <w:rFonts w:ascii="Wingdings" w:hAnsi="Wingdings" w:hint="default"/>
      </w:rPr>
    </w:lvl>
    <w:lvl w:ilvl="1" w:tplc="E4D0A628" w:tentative="1">
      <w:start w:val="1"/>
      <w:numFmt w:val="bullet"/>
      <w:lvlText w:val="o"/>
      <w:lvlJc w:val="left"/>
      <w:pPr>
        <w:ind w:left="2160" w:hanging="360"/>
      </w:pPr>
      <w:rPr>
        <w:rFonts w:ascii="Courier New" w:hAnsi="Courier New" w:cs="Courier New" w:hint="default"/>
      </w:rPr>
    </w:lvl>
    <w:lvl w:ilvl="2" w:tplc="C53C389C" w:tentative="1">
      <w:start w:val="1"/>
      <w:numFmt w:val="bullet"/>
      <w:lvlText w:val=""/>
      <w:lvlJc w:val="left"/>
      <w:pPr>
        <w:ind w:left="2880" w:hanging="360"/>
      </w:pPr>
      <w:rPr>
        <w:rFonts w:ascii="Wingdings" w:hAnsi="Wingdings" w:hint="default"/>
      </w:rPr>
    </w:lvl>
    <w:lvl w:ilvl="3" w:tplc="0D721DEC" w:tentative="1">
      <w:start w:val="1"/>
      <w:numFmt w:val="bullet"/>
      <w:lvlText w:val=""/>
      <w:lvlJc w:val="left"/>
      <w:pPr>
        <w:ind w:left="3600" w:hanging="360"/>
      </w:pPr>
      <w:rPr>
        <w:rFonts w:ascii="Symbol" w:hAnsi="Symbol" w:hint="default"/>
      </w:rPr>
    </w:lvl>
    <w:lvl w:ilvl="4" w:tplc="6C22C54E" w:tentative="1">
      <w:start w:val="1"/>
      <w:numFmt w:val="bullet"/>
      <w:lvlText w:val="o"/>
      <w:lvlJc w:val="left"/>
      <w:pPr>
        <w:ind w:left="4320" w:hanging="360"/>
      </w:pPr>
      <w:rPr>
        <w:rFonts w:ascii="Courier New" w:hAnsi="Courier New" w:cs="Courier New" w:hint="default"/>
      </w:rPr>
    </w:lvl>
    <w:lvl w:ilvl="5" w:tplc="E5A0EE18" w:tentative="1">
      <w:start w:val="1"/>
      <w:numFmt w:val="bullet"/>
      <w:lvlText w:val=""/>
      <w:lvlJc w:val="left"/>
      <w:pPr>
        <w:ind w:left="5040" w:hanging="360"/>
      </w:pPr>
      <w:rPr>
        <w:rFonts w:ascii="Wingdings" w:hAnsi="Wingdings" w:hint="default"/>
      </w:rPr>
    </w:lvl>
    <w:lvl w:ilvl="6" w:tplc="CB867F9E" w:tentative="1">
      <w:start w:val="1"/>
      <w:numFmt w:val="bullet"/>
      <w:lvlText w:val=""/>
      <w:lvlJc w:val="left"/>
      <w:pPr>
        <w:ind w:left="5760" w:hanging="360"/>
      </w:pPr>
      <w:rPr>
        <w:rFonts w:ascii="Symbol" w:hAnsi="Symbol" w:hint="default"/>
      </w:rPr>
    </w:lvl>
    <w:lvl w:ilvl="7" w:tplc="47CA8FE0" w:tentative="1">
      <w:start w:val="1"/>
      <w:numFmt w:val="bullet"/>
      <w:lvlText w:val="o"/>
      <w:lvlJc w:val="left"/>
      <w:pPr>
        <w:ind w:left="6480" w:hanging="360"/>
      </w:pPr>
      <w:rPr>
        <w:rFonts w:ascii="Courier New" w:hAnsi="Courier New" w:cs="Courier New" w:hint="default"/>
      </w:rPr>
    </w:lvl>
    <w:lvl w:ilvl="8" w:tplc="2940F528"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15"/>
  </w:num>
  <w:num w:numId="6">
    <w:abstractNumId w:val="16"/>
  </w:num>
  <w:num w:numId="7">
    <w:abstractNumId w:val="5"/>
  </w:num>
  <w:num w:numId="8">
    <w:abstractNumId w:val="11"/>
  </w:num>
  <w:num w:numId="9">
    <w:abstractNumId w:val="7"/>
  </w:num>
  <w:num w:numId="10">
    <w:abstractNumId w:val="13"/>
  </w:num>
  <w:num w:numId="11">
    <w:abstractNumId w:val="3"/>
  </w:num>
  <w:num w:numId="12">
    <w:abstractNumId w:val="6"/>
  </w:num>
  <w:num w:numId="13">
    <w:abstractNumId w:val="4"/>
  </w:num>
  <w:num w:numId="14">
    <w:abstractNumId w:val="10"/>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0D"/>
    <w:rsid w:val="00002EFE"/>
    <w:rsid w:val="00010ADB"/>
    <w:rsid w:val="00017BAC"/>
    <w:rsid w:val="00024837"/>
    <w:rsid w:val="00025BBE"/>
    <w:rsid w:val="00030784"/>
    <w:rsid w:val="0003172F"/>
    <w:rsid w:val="00034912"/>
    <w:rsid w:val="00040153"/>
    <w:rsid w:val="000403A9"/>
    <w:rsid w:val="000430DC"/>
    <w:rsid w:val="00043FF0"/>
    <w:rsid w:val="00047502"/>
    <w:rsid w:val="00057B12"/>
    <w:rsid w:val="00062A69"/>
    <w:rsid w:val="00062FDA"/>
    <w:rsid w:val="00065470"/>
    <w:rsid w:val="00066FF4"/>
    <w:rsid w:val="00070357"/>
    <w:rsid w:val="00072855"/>
    <w:rsid w:val="00073B99"/>
    <w:rsid w:val="00074154"/>
    <w:rsid w:val="000857A7"/>
    <w:rsid w:val="000858A5"/>
    <w:rsid w:val="00090425"/>
    <w:rsid w:val="000961C3"/>
    <w:rsid w:val="00096C02"/>
    <w:rsid w:val="000A0B8A"/>
    <w:rsid w:val="000A0D70"/>
    <w:rsid w:val="000A178B"/>
    <w:rsid w:val="000A2416"/>
    <w:rsid w:val="000A3011"/>
    <w:rsid w:val="000A3536"/>
    <w:rsid w:val="000A4FBB"/>
    <w:rsid w:val="000A7800"/>
    <w:rsid w:val="000B0C09"/>
    <w:rsid w:val="000B29AF"/>
    <w:rsid w:val="000B6F83"/>
    <w:rsid w:val="000C09BD"/>
    <w:rsid w:val="000C1646"/>
    <w:rsid w:val="000C5DA8"/>
    <w:rsid w:val="000D017D"/>
    <w:rsid w:val="000D345B"/>
    <w:rsid w:val="000E0461"/>
    <w:rsid w:val="000E49DF"/>
    <w:rsid w:val="000E7287"/>
    <w:rsid w:val="000F0C34"/>
    <w:rsid w:val="000F4848"/>
    <w:rsid w:val="000F5DED"/>
    <w:rsid w:val="000F601D"/>
    <w:rsid w:val="000F7A99"/>
    <w:rsid w:val="000F7E44"/>
    <w:rsid w:val="00100748"/>
    <w:rsid w:val="00100DF3"/>
    <w:rsid w:val="00111083"/>
    <w:rsid w:val="001133CB"/>
    <w:rsid w:val="00114EF4"/>
    <w:rsid w:val="00116605"/>
    <w:rsid w:val="00123604"/>
    <w:rsid w:val="001239C2"/>
    <w:rsid w:val="00123F89"/>
    <w:rsid w:val="00130D85"/>
    <w:rsid w:val="00136A26"/>
    <w:rsid w:val="00141203"/>
    <w:rsid w:val="00142E9A"/>
    <w:rsid w:val="00156597"/>
    <w:rsid w:val="00162FE3"/>
    <w:rsid w:val="00164B5C"/>
    <w:rsid w:val="001674BF"/>
    <w:rsid w:val="00171AA0"/>
    <w:rsid w:val="001727E6"/>
    <w:rsid w:val="00174C38"/>
    <w:rsid w:val="00183962"/>
    <w:rsid w:val="00185E79"/>
    <w:rsid w:val="00186518"/>
    <w:rsid w:val="001870E4"/>
    <w:rsid w:val="001902FB"/>
    <w:rsid w:val="001932B4"/>
    <w:rsid w:val="00193E62"/>
    <w:rsid w:val="001A211E"/>
    <w:rsid w:val="001B20FF"/>
    <w:rsid w:val="001B3019"/>
    <w:rsid w:val="001B371D"/>
    <w:rsid w:val="001B4922"/>
    <w:rsid w:val="001B4FBA"/>
    <w:rsid w:val="001B7C4D"/>
    <w:rsid w:val="001C211F"/>
    <w:rsid w:val="001C6947"/>
    <w:rsid w:val="001D2814"/>
    <w:rsid w:val="001D3645"/>
    <w:rsid w:val="001D6692"/>
    <w:rsid w:val="001D6A99"/>
    <w:rsid w:val="001E1B2A"/>
    <w:rsid w:val="001E22B8"/>
    <w:rsid w:val="001E49C4"/>
    <w:rsid w:val="001E76D7"/>
    <w:rsid w:val="001E7918"/>
    <w:rsid w:val="001F56C1"/>
    <w:rsid w:val="00200AE1"/>
    <w:rsid w:val="00201F4F"/>
    <w:rsid w:val="00203041"/>
    <w:rsid w:val="00204CAA"/>
    <w:rsid w:val="00206DC9"/>
    <w:rsid w:val="00210B56"/>
    <w:rsid w:val="0021399A"/>
    <w:rsid w:val="00214BB5"/>
    <w:rsid w:val="0022099D"/>
    <w:rsid w:val="002248FF"/>
    <w:rsid w:val="00230DCC"/>
    <w:rsid w:val="00237174"/>
    <w:rsid w:val="00242E9F"/>
    <w:rsid w:val="00247B42"/>
    <w:rsid w:val="00250DCD"/>
    <w:rsid w:val="00251107"/>
    <w:rsid w:val="00251DFB"/>
    <w:rsid w:val="00256E48"/>
    <w:rsid w:val="002600BA"/>
    <w:rsid w:val="0026079E"/>
    <w:rsid w:val="00262185"/>
    <w:rsid w:val="00264169"/>
    <w:rsid w:val="00277A0C"/>
    <w:rsid w:val="00280894"/>
    <w:rsid w:val="0028251D"/>
    <w:rsid w:val="002852ED"/>
    <w:rsid w:val="00286A11"/>
    <w:rsid w:val="002901F3"/>
    <w:rsid w:val="00291EA6"/>
    <w:rsid w:val="0029438C"/>
    <w:rsid w:val="00296AD0"/>
    <w:rsid w:val="002A2DDC"/>
    <w:rsid w:val="002A3A5D"/>
    <w:rsid w:val="002A7BE3"/>
    <w:rsid w:val="002B0B88"/>
    <w:rsid w:val="002B11F5"/>
    <w:rsid w:val="002B1ADF"/>
    <w:rsid w:val="002B32F1"/>
    <w:rsid w:val="002B47F8"/>
    <w:rsid w:val="002B6D47"/>
    <w:rsid w:val="002C06B4"/>
    <w:rsid w:val="002C12CB"/>
    <w:rsid w:val="002C2973"/>
    <w:rsid w:val="002C2DB3"/>
    <w:rsid w:val="002C3406"/>
    <w:rsid w:val="002C7BAA"/>
    <w:rsid w:val="002C7C5B"/>
    <w:rsid w:val="002D0322"/>
    <w:rsid w:val="002D2169"/>
    <w:rsid w:val="002D319D"/>
    <w:rsid w:val="002D3A0B"/>
    <w:rsid w:val="002D3C3B"/>
    <w:rsid w:val="002E0A25"/>
    <w:rsid w:val="002E48DF"/>
    <w:rsid w:val="002F0CE1"/>
    <w:rsid w:val="002F2286"/>
    <w:rsid w:val="002F4C43"/>
    <w:rsid w:val="002F72C3"/>
    <w:rsid w:val="00304672"/>
    <w:rsid w:val="00316396"/>
    <w:rsid w:val="00327309"/>
    <w:rsid w:val="00327897"/>
    <w:rsid w:val="003304E2"/>
    <w:rsid w:val="00330AC9"/>
    <w:rsid w:val="00334F49"/>
    <w:rsid w:val="00335AB4"/>
    <w:rsid w:val="003374D5"/>
    <w:rsid w:val="00337868"/>
    <w:rsid w:val="0034115C"/>
    <w:rsid w:val="003411CE"/>
    <w:rsid w:val="003431DE"/>
    <w:rsid w:val="00343BE3"/>
    <w:rsid w:val="00351419"/>
    <w:rsid w:val="0035400D"/>
    <w:rsid w:val="00354A0C"/>
    <w:rsid w:val="00363317"/>
    <w:rsid w:val="00366728"/>
    <w:rsid w:val="0036696A"/>
    <w:rsid w:val="0037000D"/>
    <w:rsid w:val="00372F79"/>
    <w:rsid w:val="00377AAA"/>
    <w:rsid w:val="00377C28"/>
    <w:rsid w:val="00384594"/>
    <w:rsid w:val="003900D6"/>
    <w:rsid w:val="00391FF4"/>
    <w:rsid w:val="003938C8"/>
    <w:rsid w:val="00393EF8"/>
    <w:rsid w:val="00396EC0"/>
    <w:rsid w:val="003B042A"/>
    <w:rsid w:val="003B341E"/>
    <w:rsid w:val="003B3D97"/>
    <w:rsid w:val="003B617A"/>
    <w:rsid w:val="003B66E9"/>
    <w:rsid w:val="003C36BF"/>
    <w:rsid w:val="003C4B76"/>
    <w:rsid w:val="003D426B"/>
    <w:rsid w:val="003D5B21"/>
    <w:rsid w:val="003E0D1A"/>
    <w:rsid w:val="003E2347"/>
    <w:rsid w:val="003E72A4"/>
    <w:rsid w:val="003F081C"/>
    <w:rsid w:val="003F1E74"/>
    <w:rsid w:val="003F220F"/>
    <w:rsid w:val="003F3E13"/>
    <w:rsid w:val="00400426"/>
    <w:rsid w:val="00404978"/>
    <w:rsid w:val="00404CA6"/>
    <w:rsid w:val="00413F67"/>
    <w:rsid w:val="00415B30"/>
    <w:rsid w:val="00417F8B"/>
    <w:rsid w:val="00426808"/>
    <w:rsid w:val="00431256"/>
    <w:rsid w:val="00431F4B"/>
    <w:rsid w:val="00432663"/>
    <w:rsid w:val="00433864"/>
    <w:rsid w:val="00434A08"/>
    <w:rsid w:val="00445B2F"/>
    <w:rsid w:val="00446515"/>
    <w:rsid w:val="00447225"/>
    <w:rsid w:val="004477A2"/>
    <w:rsid w:val="00452DD1"/>
    <w:rsid w:val="00463D62"/>
    <w:rsid w:val="00464BCA"/>
    <w:rsid w:val="004677AA"/>
    <w:rsid w:val="00467E2A"/>
    <w:rsid w:val="00470346"/>
    <w:rsid w:val="004720D5"/>
    <w:rsid w:val="0048606B"/>
    <w:rsid w:val="00491DA5"/>
    <w:rsid w:val="004955CA"/>
    <w:rsid w:val="00497B58"/>
    <w:rsid w:val="004A0444"/>
    <w:rsid w:val="004A70C7"/>
    <w:rsid w:val="004A7160"/>
    <w:rsid w:val="004C098C"/>
    <w:rsid w:val="004C4AE9"/>
    <w:rsid w:val="004C4B9B"/>
    <w:rsid w:val="004C7970"/>
    <w:rsid w:val="004D2EA8"/>
    <w:rsid w:val="004D70C4"/>
    <w:rsid w:val="004E0661"/>
    <w:rsid w:val="004E247B"/>
    <w:rsid w:val="004E58F9"/>
    <w:rsid w:val="004F03C4"/>
    <w:rsid w:val="004F7139"/>
    <w:rsid w:val="00501A57"/>
    <w:rsid w:val="00503D9B"/>
    <w:rsid w:val="00507B60"/>
    <w:rsid w:val="00520DB5"/>
    <w:rsid w:val="00521C94"/>
    <w:rsid w:val="00522CC9"/>
    <w:rsid w:val="00526D2B"/>
    <w:rsid w:val="0053013E"/>
    <w:rsid w:val="0053108E"/>
    <w:rsid w:val="00536A41"/>
    <w:rsid w:val="0054122D"/>
    <w:rsid w:val="005414ED"/>
    <w:rsid w:val="0054461D"/>
    <w:rsid w:val="0055084A"/>
    <w:rsid w:val="0055168F"/>
    <w:rsid w:val="005518EF"/>
    <w:rsid w:val="005615DA"/>
    <w:rsid w:val="005777A6"/>
    <w:rsid w:val="00584C05"/>
    <w:rsid w:val="005871A6"/>
    <w:rsid w:val="005900EE"/>
    <w:rsid w:val="00592D6F"/>
    <w:rsid w:val="00593618"/>
    <w:rsid w:val="00595194"/>
    <w:rsid w:val="005A3CFB"/>
    <w:rsid w:val="005A42F5"/>
    <w:rsid w:val="005A57A2"/>
    <w:rsid w:val="005A599D"/>
    <w:rsid w:val="005B0DA0"/>
    <w:rsid w:val="005B30C8"/>
    <w:rsid w:val="005B3BC4"/>
    <w:rsid w:val="005C06C0"/>
    <w:rsid w:val="005D5163"/>
    <w:rsid w:val="005D54A3"/>
    <w:rsid w:val="005D5A9A"/>
    <w:rsid w:val="005E08C3"/>
    <w:rsid w:val="005E2121"/>
    <w:rsid w:val="005E4CFE"/>
    <w:rsid w:val="005E76C9"/>
    <w:rsid w:val="005F0045"/>
    <w:rsid w:val="005F1079"/>
    <w:rsid w:val="005F6245"/>
    <w:rsid w:val="00605AEF"/>
    <w:rsid w:val="006113AA"/>
    <w:rsid w:val="00611C2F"/>
    <w:rsid w:val="0061670D"/>
    <w:rsid w:val="00620E13"/>
    <w:rsid w:val="00621BD3"/>
    <w:rsid w:val="006273FD"/>
    <w:rsid w:val="00630933"/>
    <w:rsid w:val="00635190"/>
    <w:rsid w:val="006355B7"/>
    <w:rsid w:val="006416E2"/>
    <w:rsid w:val="00641E44"/>
    <w:rsid w:val="00642A3A"/>
    <w:rsid w:val="0064549A"/>
    <w:rsid w:val="0067269E"/>
    <w:rsid w:val="006727FF"/>
    <w:rsid w:val="006775E7"/>
    <w:rsid w:val="00683644"/>
    <w:rsid w:val="006867C3"/>
    <w:rsid w:val="00687F8A"/>
    <w:rsid w:val="00690073"/>
    <w:rsid w:val="006918AF"/>
    <w:rsid w:val="00695482"/>
    <w:rsid w:val="0069576F"/>
    <w:rsid w:val="00696648"/>
    <w:rsid w:val="00696AB3"/>
    <w:rsid w:val="006A0A4C"/>
    <w:rsid w:val="006A276F"/>
    <w:rsid w:val="006B12CD"/>
    <w:rsid w:val="006B2D27"/>
    <w:rsid w:val="006B51B2"/>
    <w:rsid w:val="006B5B51"/>
    <w:rsid w:val="006C5BFB"/>
    <w:rsid w:val="006C5ED6"/>
    <w:rsid w:val="006C61FA"/>
    <w:rsid w:val="006D2954"/>
    <w:rsid w:val="006D3892"/>
    <w:rsid w:val="006E1626"/>
    <w:rsid w:val="006F0F5C"/>
    <w:rsid w:val="006F3E3C"/>
    <w:rsid w:val="006F72F4"/>
    <w:rsid w:val="0070335D"/>
    <w:rsid w:val="00706791"/>
    <w:rsid w:val="007071D3"/>
    <w:rsid w:val="00715F84"/>
    <w:rsid w:val="007246F7"/>
    <w:rsid w:val="007325A2"/>
    <w:rsid w:val="007325F4"/>
    <w:rsid w:val="00735770"/>
    <w:rsid w:val="007436E8"/>
    <w:rsid w:val="007462F3"/>
    <w:rsid w:val="0074792C"/>
    <w:rsid w:val="0075035B"/>
    <w:rsid w:val="007517F4"/>
    <w:rsid w:val="00751940"/>
    <w:rsid w:val="00751EB4"/>
    <w:rsid w:val="00757D83"/>
    <w:rsid w:val="00763DEB"/>
    <w:rsid w:val="00764AED"/>
    <w:rsid w:val="00764FD5"/>
    <w:rsid w:val="00766193"/>
    <w:rsid w:val="007735D3"/>
    <w:rsid w:val="00773E07"/>
    <w:rsid w:val="0078059E"/>
    <w:rsid w:val="00785264"/>
    <w:rsid w:val="00794CCC"/>
    <w:rsid w:val="007A118B"/>
    <w:rsid w:val="007A183E"/>
    <w:rsid w:val="007A5C9A"/>
    <w:rsid w:val="007A657D"/>
    <w:rsid w:val="007A7B47"/>
    <w:rsid w:val="007B0161"/>
    <w:rsid w:val="007B4CEB"/>
    <w:rsid w:val="007B61E0"/>
    <w:rsid w:val="007B6974"/>
    <w:rsid w:val="007B735A"/>
    <w:rsid w:val="007C4D43"/>
    <w:rsid w:val="007C50F6"/>
    <w:rsid w:val="007C7639"/>
    <w:rsid w:val="007C7D6C"/>
    <w:rsid w:val="007C7F56"/>
    <w:rsid w:val="007D2411"/>
    <w:rsid w:val="007D4CAA"/>
    <w:rsid w:val="007D7487"/>
    <w:rsid w:val="007E5BF0"/>
    <w:rsid w:val="007F34B7"/>
    <w:rsid w:val="007F3643"/>
    <w:rsid w:val="007F43D6"/>
    <w:rsid w:val="00802D3C"/>
    <w:rsid w:val="0080534B"/>
    <w:rsid w:val="00807797"/>
    <w:rsid w:val="008103E4"/>
    <w:rsid w:val="008104F9"/>
    <w:rsid w:val="00811DFF"/>
    <w:rsid w:val="008137B1"/>
    <w:rsid w:val="00813A76"/>
    <w:rsid w:val="00813EC1"/>
    <w:rsid w:val="00814B88"/>
    <w:rsid w:val="00815707"/>
    <w:rsid w:val="00815A46"/>
    <w:rsid w:val="00834264"/>
    <w:rsid w:val="008369F9"/>
    <w:rsid w:val="00840F46"/>
    <w:rsid w:val="00842DCE"/>
    <w:rsid w:val="00845BDD"/>
    <w:rsid w:val="00846AA8"/>
    <w:rsid w:val="008539DA"/>
    <w:rsid w:val="00855A03"/>
    <w:rsid w:val="00855B6C"/>
    <w:rsid w:val="00857343"/>
    <w:rsid w:val="008617BD"/>
    <w:rsid w:val="0086256E"/>
    <w:rsid w:val="00865238"/>
    <w:rsid w:val="0087184D"/>
    <w:rsid w:val="00874B06"/>
    <w:rsid w:val="008824CB"/>
    <w:rsid w:val="00885FBD"/>
    <w:rsid w:val="00886D7F"/>
    <w:rsid w:val="0089017A"/>
    <w:rsid w:val="008968A1"/>
    <w:rsid w:val="008A0058"/>
    <w:rsid w:val="008A5988"/>
    <w:rsid w:val="008A5ADB"/>
    <w:rsid w:val="008B0266"/>
    <w:rsid w:val="008B1F69"/>
    <w:rsid w:val="008B385F"/>
    <w:rsid w:val="008B3D87"/>
    <w:rsid w:val="008B3ECB"/>
    <w:rsid w:val="008B413A"/>
    <w:rsid w:val="008C0DFB"/>
    <w:rsid w:val="008C1BF5"/>
    <w:rsid w:val="008C1E1E"/>
    <w:rsid w:val="008C67E7"/>
    <w:rsid w:val="008C79F0"/>
    <w:rsid w:val="008D16AE"/>
    <w:rsid w:val="008D2A2F"/>
    <w:rsid w:val="008D3CCE"/>
    <w:rsid w:val="008D7823"/>
    <w:rsid w:val="008E0831"/>
    <w:rsid w:val="008E08BA"/>
    <w:rsid w:val="008E4C61"/>
    <w:rsid w:val="008F0BF5"/>
    <w:rsid w:val="008F1D9F"/>
    <w:rsid w:val="008F203F"/>
    <w:rsid w:val="008F6C92"/>
    <w:rsid w:val="008F6E8C"/>
    <w:rsid w:val="008F7063"/>
    <w:rsid w:val="00906AAC"/>
    <w:rsid w:val="00910E1B"/>
    <w:rsid w:val="009115A0"/>
    <w:rsid w:val="009135B1"/>
    <w:rsid w:val="009141AF"/>
    <w:rsid w:val="0091619F"/>
    <w:rsid w:val="0092322C"/>
    <w:rsid w:val="00924D72"/>
    <w:rsid w:val="00927437"/>
    <w:rsid w:val="009304CB"/>
    <w:rsid w:val="00931FFC"/>
    <w:rsid w:val="00934138"/>
    <w:rsid w:val="00934182"/>
    <w:rsid w:val="00945161"/>
    <w:rsid w:val="0095099E"/>
    <w:rsid w:val="00953A97"/>
    <w:rsid w:val="00957E57"/>
    <w:rsid w:val="009627CF"/>
    <w:rsid w:val="00962954"/>
    <w:rsid w:val="009629E8"/>
    <w:rsid w:val="00963561"/>
    <w:rsid w:val="00967182"/>
    <w:rsid w:val="009710D0"/>
    <w:rsid w:val="00984EBF"/>
    <w:rsid w:val="009852C4"/>
    <w:rsid w:val="00993109"/>
    <w:rsid w:val="0099363F"/>
    <w:rsid w:val="00993C5E"/>
    <w:rsid w:val="00996049"/>
    <w:rsid w:val="009A11D2"/>
    <w:rsid w:val="009A24CC"/>
    <w:rsid w:val="009A36A2"/>
    <w:rsid w:val="009A76D4"/>
    <w:rsid w:val="009C002D"/>
    <w:rsid w:val="009C18AB"/>
    <w:rsid w:val="009C7144"/>
    <w:rsid w:val="009D2102"/>
    <w:rsid w:val="009D29D3"/>
    <w:rsid w:val="009D32AB"/>
    <w:rsid w:val="009D6D77"/>
    <w:rsid w:val="009D6EA8"/>
    <w:rsid w:val="009E1BE9"/>
    <w:rsid w:val="009E2D89"/>
    <w:rsid w:val="009E5128"/>
    <w:rsid w:val="009E67E6"/>
    <w:rsid w:val="009F3A47"/>
    <w:rsid w:val="009F7E30"/>
    <w:rsid w:val="00A034F1"/>
    <w:rsid w:val="00A04076"/>
    <w:rsid w:val="00A04AC1"/>
    <w:rsid w:val="00A133D0"/>
    <w:rsid w:val="00A14B26"/>
    <w:rsid w:val="00A1602B"/>
    <w:rsid w:val="00A26D8D"/>
    <w:rsid w:val="00A300EA"/>
    <w:rsid w:val="00A30612"/>
    <w:rsid w:val="00A3061D"/>
    <w:rsid w:val="00A30CBD"/>
    <w:rsid w:val="00A345F0"/>
    <w:rsid w:val="00A34600"/>
    <w:rsid w:val="00A51A81"/>
    <w:rsid w:val="00A52BBD"/>
    <w:rsid w:val="00A54637"/>
    <w:rsid w:val="00A55D80"/>
    <w:rsid w:val="00A634C9"/>
    <w:rsid w:val="00A653C4"/>
    <w:rsid w:val="00A740CA"/>
    <w:rsid w:val="00A74B41"/>
    <w:rsid w:val="00A750F5"/>
    <w:rsid w:val="00A75F8A"/>
    <w:rsid w:val="00A836FE"/>
    <w:rsid w:val="00A8440A"/>
    <w:rsid w:val="00A8447E"/>
    <w:rsid w:val="00A84827"/>
    <w:rsid w:val="00A84971"/>
    <w:rsid w:val="00A84F86"/>
    <w:rsid w:val="00A8504F"/>
    <w:rsid w:val="00A8507D"/>
    <w:rsid w:val="00A87D74"/>
    <w:rsid w:val="00A93F31"/>
    <w:rsid w:val="00A94F63"/>
    <w:rsid w:val="00AA1339"/>
    <w:rsid w:val="00AA66AF"/>
    <w:rsid w:val="00AA75F3"/>
    <w:rsid w:val="00AB14EF"/>
    <w:rsid w:val="00AB54B0"/>
    <w:rsid w:val="00AC0C15"/>
    <w:rsid w:val="00AC0FA4"/>
    <w:rsid w:val="00AD11C5"/>
    <w:rsid w:val="00AD3101"/>
    <w:rsid w:val="00AD3195"/>
    <w:rsid w:val="00AD31E3"/>
    <w:rsid w:val="00AD4413"/>
    <w:rsid w:val="00AD5CA5"/>
    <w:rsid w:val="00AD6A49"/>
    <w:rsid w:val="00AE53D4"/>
    <w:rsid w:val="00AE6A63"/>
    <w:rsid w:val="00AE7437"/>
    <w:rsid w:val="00AF7949"/>
    <w:rsid w:val="00B00687"/>
    <w:rsid w:val="00B015CB"/>
    <w:rsid w:val="00B02C7B"/>
    <w:rsid w:val="00B03214"/>
    <w:rsid w:val="00B10017"/>
    <w:rsid w:val="00B116EA"/>
    <w:rsid w:val="00B13CB7"/>
    <w:rsid w:val="00B1652B"/>
    <w:rsid w:val="00B23D9B"/>
    <w:rsid w:val="00B31AC0"/>
    <w:rsid w:val="00B3380C"/>
    <w:rsid w:val="00B3536F"/>
    <w:rsid w:val="00B372F1"/>
    <w:rsid w:val="00B4218C"/>
    <w:rsid w:val="00B4654C"/>
    <w:rsid w:val="00B508D3"/>
    <w:rsid w:val="00B521EE"/>
    <w:rsid w:val="00B53CE1"/>
    <w:rsid w:val="00B568A8"/>
    <w:rsid w:val="00B57F54"/>
    <w:rsid w:val="00B6274C"/>
    <w:rsid w:val="00B63189"/>
    <w:rsid w:val="00B63E37"/>
    <w:rsid w:val="00B64F21"/>
    <w:rsid w:val="00B66D1A"/>
    <w:rsid w:val="00B746C1"/>
    <w:rsid w:val="00B7688E"/>
    <w:rsid w:val="00B84FA5"/>
    <w:rsid w:val="00BA6E02"/>
    <w:rsid w:val="00BB195E"/>
    <w:rsid w:val="00BB7DB4"/>
    <w:rsid w:val="00BB7DEE"/>
    <w:rsid w:val="00BC2A7B"/>
    <w:rsid w:val="00BC2F40"/>
    <w:rsid w:val="00BC40E6"/>
    <w:rsid w:val="00BC5135"/>
    <w:rsid w:val="00BC75D2"/>
    <w:rsid w:val="00BD085D"/>
    <w:rsid w:val="00BD57BC"/>
    <w:rsid w:val="00BD6321"/>
    <w:rsid w:val="00BE38FB"/>
    <w:rsid w:val="00BF122F"/>
    <w:rsid w:val="00BF1645"/>
    <w:rsid w:val="00BF183D"/>
    <w:rsid w:val="00BF4048"/>
    <w:rsid w:val="00BF62F3"/>
    <w:rsid w:val="00C04A6A"/>
    <w:rsid w:val="00C05102"/>
    <w:rsid w:val="00C068D0"/>
    <w:rsid w:val="00C14731"/>
    <w:rsid w:val="00C15D15"/>
    <w:rsid w:val="00C2265C"/>
    <w:rsid w:val="00C22B71"/>
    <w:rsid w:val="00C23A0A"/>
    <w:rsid w:val="00C24B15"/>
    <w:rsid w:val="00C26F73"/>
    <w:rsid w:val="00C308D1"/>
    <w:rsid w:val="00C315DE"/>
    <w:rsid w:val="00C33E3C"/>
    <w:rsid w:val="00C34674"/>
    <w:rsid w:val="00C363B6"/>
    <w:rsid w:val="00C43C53"/>
    <w:rsid w:val="00C473E7"/>
    <w:rsid w:val="00C50CD9"/>
    <w:rsid w:val="00C52BCF"/>
    <w:rsid w:val="00C56F68"/>
    <w:rsid w:val="00C57254"/>
    <w:rsid w:val="00C609AF"/>
    <w:rsid w:val="00C64B57"/>
    <w:rsid w:val="00C70A7A"/>
    <w:rsid w:val="00C70FE7"/>
    <w:rsid w:val="00C713F1"/>
    <w:rsid w:val="00C71DD9"/>
    <w:rsid w:val="00C72B99"/>
    <w:rsid w:val="00C77BBD"/>
    <w:rsid w:val="00C8570C"/>
    <w:rsid w:val="00C90B43"/>
    <w:rsid w:val="00C9393A"/>
    <w:rsid w:val="00C945BC"/>
    <w:rsid w:val="00CA68D5"/>
    <w:rsid w:val="00CB5985"/>
    <w:rsid w:val="00CC30F4"/>
    <w:rsid w:val="00CC629B"/>
    <w:rsid w:val="00CD4AB2"/>
    <w:rsid w:val="00CD51CE"/>
    <w:rsid w:val="00CD590C"/>
    <w:rsid w:val="00CE0E91"/>
    <w:rsid w:val="00CF327E"/>
    <w:rsid w:val="00CF4548"/>
    <w:rsid w:val="00CF7442"/>
    <w:rsid w:val="00D01842"/>
    <w:rsid w:val="00D03BC7"/>
    <w:rsid w:val="00D13DD4"/>
    <w:rsid w:val="00D162C7"/>
    <w:rsid w:val="00D16608"/>
    <w:rsid w:val="00D212F4"/>
    <w:rsid w:val="00D229DE"/>
    <w:rsid w:val="00D25416"/>
    <w:rsid w:val="00D268FF"/>
    <w:rsid w:val="00D30ED3"/>
    <w:rsid w:val="00D3183D"/>
    <w:rsid w:val="00D35CB3"/>
    <w:rsid w:val="00D43BED"/>
    <w:rsid w:val="00D465FD"/>
    <w:rsid w:val="00D51349"/>
    <w:rsid w:val="00D51765"/>
    <w:rsid w:val="00D52A6E"/>
    <w:rsid w:val="00D64A36"/>
    <w:rsid w:val="00D71A2D"/>
    <w:rsid w:val="00D844CF"/>
    <w:rsid w:val="00D8589F"/>
    <w:rsid w:val="00D87C8B"/>
    <w:rsid w:val="00D901F0"/>
    <w:rsid w:val="00D9068C"/>
    <w:rsid w:val="00D95F07"/>
    <w:rsid w:val="00DA49EA"/>
    <w:rsid w:val="00DA4DCD"/>
    <w:rsid w:val="00DB2A14"/>
    <w:rsid w:val="00DB2CAE"/>
    <w:rsid w:val="00DC4DEC"/>
    <w:rsid w:val="00DC5808"/>
    <w:rsid w:val="00DC7504"/>
    <w:rsid w:val="00DC7FBA"/>
    <w:rsid w:val="00DD42F5"/>
    <w:rsid w:val="00DD5086"/>
    <w:rsid w:val="00DD6DBC"/>
    <w:rsid w:val="00DE24F3"/>
    <w:rsid w:val="00DE3A5B"/>
    <w:rsid w:val="00DE40BB"/>
    <w:rsid w:val="00DE6772"/>
    <w:rsid w:val="00DF06B4"/>
    <w:rsid w:val="00DF1A2D"/>
    <w:rsid w:val="00DF2D32"/>
    <w:rsid w:val="00E014ED"/>
    <w:rsid w:val="00E0172E"/>
    <w:rsid w:val="00E069EE"/>
    <w:rsid w:val="00E1114C"/>
    <w:rsid w:val="00E123F7"/>
    <w:rsid w:val="00E14C97"/>
    <w:rsid w:val="00E14F84"/>
    <w:rsid w:val="00E16BA0"/>
    <w:rsid w:val="00E16C50"/>
    <w:rsid w:val="00E23A11"/>
    <w:rsid w:val="00E263D5"/>
    <w:rsid w:val="00E27BAF"/>
    <w:rsid w:val="00E27FE1"/>
    <w:rsid w:val="00E30D10"/>
    <w:rsid w:val="00E312B4"/>
    <w:rsid w:val="00E324E6"/>
    <w:rsid w:val="00E32F77"/>
    <w:rsid w:val="00E3380E"/>
    <w:rsid w:val="00E3705F"/>
    <w:rsid w:val="00E43E19"/>
    <w:rsid w:val="00E44D2F"/>
    <w:rsid w:val="00E45B60"/>
    <w:rsid w:val="00E5045E"/>
    <w:rsid w:val="00E52BB3"/>
    <w:rsid w:val="00E52D3F"/>
    <w:rsid w:val="00E53509"/>
    <w:rsid w:val="00E54233"/>
    <w:rsid w:val="00E5674D"/>
    <w:rsid w:val="00E7015F"/>
    <w:rsid w:val="00E7271C"/>
    <w:rsid w:val="00E7697C"/>
    <w:rsid w:val="00E77F59"/>
    <w:rsid w:val="00E808E5"/>
    <w:rsid w:val="00E81329"/>
    <w:rsid w:val="00E85696"/>
    <w:rsid w:val="00E85BD0"/>
    <w:rsid w:val="00E86877"/>
    <w:rsid w:val="00E8728E"/>
    <w:rsid w:val="00E8749E"/>
    <w:rsid w:val="00E912C0"/>
    <w:rsid w:val="00E91680"/>
    <w:rsid w:val="00E930E8"/>
    <w:rsid w:val="00E95D91"/>
    <w:rsid w:val="00EA5DD7"/>
    <w:rsid w:val="00EC569C"/>
    <w:rsid w:val="00EC70AC"/>
    <w:rsid w:val="00ED220E"/>
    <w:rsid w:val="00ED4CC8"/>
    <w:rsid w:val="00EE1E14"/>
    <w:rsid w:val="00EF00CE"/>
    <w:rsid w:val="00EF25AC"/>
    <w:rsid w:val="00EF3548"/>
    <w:rsid w:val="00EF5A86"/>
    <w:rsid w:val="00EF65D5"/>
    <w:rsid w:val="00EF75A1"/>
    <w:rsid w:val="00F022C6"/>
    <w:rsid w:val="00F05D52"/>
    <w:rsid w:val="00F07325"/>
    <w:rsid w:val="00F07C55"/>
    <w:rsid w:val="00F1014B"/>
    <w:rsid w:val="00F12679"/>
    <w:rsid w:val="00F145DF"/>
    <w:rsid w:val="00F16559"/>
    <w:rsid w:val="00F22D76"/>
    <w:rsid w:val="00F375C9"/>
    <w:rsid w:val="00F42057"/>
    <w:rsid w:val="00F43522"/>
    <w:rsid w:val="00F512E1"/>
    <w:rsid w:val="00F52BA3"/>
    <w:rsid w:val="00F54118"/>
    <w:rsid w:val="00F62042"/>
    <w:rsid w:val="00F62C0C"/>
    <w:rsid w:val="00F640CE"/>
    <w:rsid w:val="00F75303"/>
    <w:rsid w:val="00F80703"/>
    <w:rsid w:val="00F81A94"/>
    <w:rsid w:val="00F86677"/>
    <w:rsid w:val="00F86C0D"/>
    <w:rsid w:val="00F91FC7"/>
    <w:rsid w:val="00F957FA"/>
    <w:rsid w:val="00F97191"/>
    <w:rsid w:val="00FA6005"/>
    <w:rsid w:val="00FB16EF"/>
    <w:rsid w:val="00FB3338"/>
    <w:rsid w:val="00FB5BC8"/>
    <w:rsid w:val="00FB6606"/>
    <w:rsid w:val="00FC2887"/>
    <w:rsid w:val="00FC4079"/>
    <w:rsid w:val="00FD1D7F"/>
    <w:rsid w:val="00FD4BE7"/>
    <w:rsid w:val="00FD565B"/>
    <w:rsid w:val="00FD6B49"/>
    <w:rsid w:val="00FD7518"/>
    <w:rsid w:val="00FE18E8"/>
    <w:rsid w:val="00FE36D9"/>
    <w:rsid w:val="00FE3CFA"/>
    <w:rsid w:val="00FE5B20"/>
    <w:rsid w:val="00FE7088"/>
    <w:rsid w:val="00FF1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77C"/>
  <w15:chartTrackingRefBased/>
  <w15:docId w15:val="{2C652337-61C4-4283-BD0A-F912A93C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16396"/>
    <w:pPr>
      <w:keepNext/>
      <w:keepLines/>
      <w:numPr>
        <w:numId w:val="1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316396"/>
    <w:pPr>
      <w:keepNext/>
      <w:keepLines/>
      <w:numPr>
        <w:ilvl w:val="1"/>
        <w:numId w:val="12"/>
      </w:numPr>
      <w:spacing w:before="40" w:after="0"/>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316396"/>
    <w:pPr>
      <w:keepNext/>
      <w:keepLines/>
      <w:numPr>
        <w:ilvl w:val="2"/>
        <w:numId w:val="1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316396"/>
    <w:pPr>
      <w:keepNext/>
      <w:keepLines/>
      <w:numPr>
        <w:ilvl w:val="3"/>
        <w:numId w:val="1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BD0"/>
  </w:style>
  <w:style w:type="paragraph" w:styleId="Footer">
    <w:name w:val="footer"/>
    <w:basedOn w:val="Normal"/>
    <w:link w:val="FooterChar"/>
    <w:uiPriority w:val="99"/>
    <w:unhideWhenUsed/>
    <w:rsid w:val="00E85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BD0"/>
  </w:style>
  <w:style w:type="character" w:styleId="CommentReference">
    <w:name w:val="annotation reference"/>
    <w:uiPriority w:val="99"/>
    <w:semiHidden/>
    <w:unhideWhenUsed/>
    <w:rsid w:val="00DA49EA"/>
    <w:rPr>
      <w:sz w:val="16"/>
      <w:szCs w:val="16"/>
    </w:rPr>
  </w:style>
  <w:style w:type="paragraph" w:styleId="CommentText">
    <w:name w:val="annotation text"/>
    <w:basedOn w:val="Normal"/>
    <w:link w:val="CommentTextChar"/>
    <w:uiPriority w:val="99"/>
    <w:semiHidden/>
    <w:unhideWhenUsed/>
    <w:rsid w:val="00DA49EA"/>
    <w:pPr>
      <w:spacing w:line="240" w:lineRule="auto"/>
    </w:pPr>
    <w:rPr>
      <w:sz w:val="20"/>
      <w:szCs w:val="20"/>
    </w:rPr>
  </w:style>
  <w:style w:type="character" w:customStyle="1" w:styleId="CommentTextChar">
    <w:name w:val="Comment Text Char"/>
    <w:link w:val="CommentText"/>
    <w:uiPriority w:val="99"/>
    <w:semiHidden/>
    <w:rsid w:val="00DA49EA"/>
    <w:rPr>
      <w:sz w:val="20"/>
      <w:szCs w:val="20"/>
    </w:rPr>
  </w:style>
  <w:style w:type="paragraph" w:styleId="CommentSubject">
    <w:name w:val="annotation subject"/>
    <w:basedOn w:val="CommentText"/>
    <w:next w:val="CommentText"/>
    <w:link w:val="CommentSubjectChar"/>
    <w:uiPriority w:val="99"/>
    <w:semiHidden/>
    <w:unhideWhenUsed/>
    <w:rsid w:val="00DA49EA"/>
    <w:rPr>
      <w:b/>
      <w:bCs/>
    </w:rPr>
  </w:style>
  <w:style w:type="character" w:customStyle="1" w:styleId="CommentSubjectChar">
    <w:name w:val="Comment Subject Char"/>
    <w:link w:val="CommentSubject"/>
    <w:uiPriority w:val="99"/>
    <w:semiHidden/>
    <w:rsid w:val="00DA49EA"/>
    <w:rPr>
      <w:b/>
      <w:bCs/>
      <w:sz w:val="20"/>
      <w:szCs w:val="20"/>
    </w:rPr>
  </w:style>
  <w:style w:type="paragraph" w:styleId="BalloonText">
    <w:name w:val="Balloon Text"/>
    <w:basedOn w:val="Normal"/>
    <w:link w:val="BalloonTextChar"/>
    <w:uiPriority w:val="99"/>
    <w:semiHidden/>
    <w:unhideWhenUsed/>
    <w:rsid w:val="00DA49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49EA"/>
    <w:rPr>
      <w:rFonts w:ascii="Segoe UI" w:hAnsi="Segoe UI" w:cs="Segoe UI"/>
      <w:sz w:val="18"/>
      <w:szCs w:val="18"/>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FC4079"/>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FC4079"/>
    <w:pPr>
      <w:spacing w:line="240" w:lineRule="exact"/>
      <w:jc w:val="both"/>
    </w:pPr>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1"/>
    <w:uiPriority w:val="99"/>
    <w:qFormat/>
    <w:rsid w:val="00A75F8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ußnotentext Char Char1,Fußnotentext Char1 Char1 Char,Fußnotentext Char Char Char Char Char,Fußnotentext Char1 Char Char Char Char1,Fußnotentext Char1 Char Char Char Char Char"/>
    <w:uiPriority w:val="99"/>
    <w:qFormat/>
    <w:rsid w:val="00A75F8A"/>
    <w:rPr>
      <w:sz w:val="20"/>
      <w:szCs w:val="20"/>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link w:val="FootnoteText"/>
    <w:locked/>
    <w:rsid w:val="00A75F8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A75F8A"/>
    <w:pPr>
      <w:spacing w:line="240" w:lineRule="exact"/>
      <w:jc w:val="both"/>
      <w:textAlignment w:val="baseline"/>
    </w:pPr>
    <w:rPr>
      <w:vertAlign w:val="superscript"/>
      <w:lang w:eastAsia="lv-LV"/>
    </w:rPr>
  </w:style>
  <w:style w:type="character" w:styleId="Hyperlink">
    <w:name w:val="Hyperlink"/>
    <w:uiPriority w:val="99"/>
    <w:unhideWhenUsed/>
    <w:rsid w:val="00062FDA"/>
    <w:rPr>
      <w:color w:val="0563C1"/>
      <w:u w:val="single"/>
    </w:rPr>
  </w:style>
  <w:style w:type="character" w:styleId="FollowedHyperlink">
    <w:name w:val="FollowedHyperlink"/>
    <w:uiPriority w:val="99"/>
    <w:semiHidden/>
    <w:unhideWhenUsed/>
    <w:rsid w:val="007735D3"/>
    <w:rPr>
      <w:color w:val="954F72"/>
      <w:u w:val="single"/>
    </w:rPr>
  </w:style>
  <w:style w:type="table" w:styleId="TableGrid">
    <w:name w:val="Table Grid"/>
    <w:basedOn w:val="TableNormal"/>
    <w:uiPriority w:val="39"/>
    <w:rsid w:val="00C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23A11"/>
    <w:pPr>
      <w:ind w:left="720"/>
      <w:contextualSpacing/>
    </w:pPr>
  </w:style>
  <w:style w:type="paragraph" w:styleId="BodyText">
    <w:name w:val="Body Text"/>
    <w:basedOn w:val="Normal"/>
    <w:link w:val="BodyTextChar"/>
    <w:semiHidden/>
    <w:unhideWhenUsed/>
    <w:rsid w:val="00280894"/>
    <w:pPr>
      <w:spacing w:after="0" w:line="240" w:lineRule="auto"/>
      <w:jc w:val="center"/>
    </w:pPr>
    <w:rPr>
      <w:rFonts w:ascii="Times New Roman" w:eastAsia="Times New Roman" w:hAnsi="Times New Roman"/>
      <w:b/>
      <w:bCs/>
      <w:sz w:val="28"/>
      <w:szCs w:val="28"/>
      <w:lang w:eastAsia="lv-LV"/>
    </w:rPr>
  </w:style>
  <w:style w:type="character" w:customStyle="1" w:styleId="BodyTextChar">
    <w:name w:val="Body Text Char"/>
    <w:link w:val="BodyText"/>
    <w:semiHidden/>
    <w:rsid w:val="00280894"/>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29D3"/>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2B32F1"/>
    <w:rPr>
      <w:sz w:val="22"/>
      <w:szCs w:val="22"/>
      <w:lang w:eastAsia="en-US"/>
    </w:rPr>
  </w:style>
  <w:style w:type="paragraph" w:customStyle="1" w:styleId="Default">
    <w:name w:val="Default"/>
    <w:link w:val="DefaultChar"/>
    <w:rsid w:val="000A4FBB"/>
    <w:pPr>
      <w:autoSpaceDE w:val="0"/>
      <w:autoSpaceDN w:val="0"/>
      <w:adjustRightInd w:val="0"/>
    </w:pPr>
    <w:rPr>
      <w:rFonts w:ascii="Times New Roman" w:eastAsiaTheme="minorHAnsi" w:hAnsi="Times New Roman"/>
      <w:color w:val="000000"/>
      <w:sz w:val="24"/>
      <w:szCs w:val="24"/>
      <w:lang w:eastAsia="en-US"/>
    </w:rPr>
  </w:style>
  <w:style w:type="character" w:customStyle="1" w:styleId="DefaultChar">
    <w:name w:val="Default Char"/>
    <w:link w:val="Default"/>
    <w:rsid w:val="000A4FBB"/>
    <w:rPr>
      <w:rFonts w:ascii="Times New Roman" w:eastAsiaTheme="minorHAnsi" w:hAnsi="Times New Roman"/>
      <w:color w:val="000000"/>
      <w:sz w:val="24"/>
      <w:szCs w:val="24"/>
      <w:lang w:eastAsia="en-US"/>
    </w:rPr>
  </w:style>
  <w:style w:type="character" w:customStyle="1" w:styleId="normaltextrun">
    <w:name w:val="normaltextrun"/>
    <w:basedOn w:val="DefaultParagraphFont"/>
    <w:rsid w:val="00E44D2F"/>
  </w:style>
  <w:style w:type="paragraph" w:customStyle="1" w:styleId="paragraph">
    <w:name w:val="paragraph"/>
    <w:basedOn w:val="Normal"/>
    <w:rsid w:val="00E44D2F"/>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aliases w:val="Beschriftung Char"/>
    <w:basedOn w:val="Normal"/>
    <w:next w:val="Normal"/>
    <w:link w:val="CaptionChar"/>
    <w:uiPriority w:val="35"/>
    <w:unhideWhenUsed/>
    <w:qFormat/>
    <w:rsid w:val="00F54118"/>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F54118"/>
    <w:rPr>
      <w:rFonts w:ascii="Times New Roman" w:eastAsiaTheme="majorEastAsia" w:hAnsi="Times New Roman"/>
      <w:b/>
      <w:iCs/>
      <w:lang w:eastAsia="en-US"/>
    </w:rPr>
  </w:style>
  <w:style w:type="character" w:customStyle="1" w:styleId="Heading1Char">
    <w:name w:val="Heading 1 Char"/>
    <w:basedOn w:val="DefaultParagraphFont"/>
    <w:link w:val="Heading1"/>
    <w:uiPriority w:val="9"/>
    <w:rsid w:val="00316396"/>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316396"/>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316396"/>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316396"/>
    <w:rPr>
      <w:rFonts w:ascii="Times New Roman" w:eastAsiaTheme="majorEastAsia" w:hAnsi="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29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ONSIL:ST_10308_2018_INIT&amp;from=LV" TargetMode="External"/><Relationship Id="rId2" Type="http://schemas.openxmlformats.org/officeDocument/2006/relationships/hyperlink" Target="https://eur-lex.europa.eu/legal-content/LV/TXT/PDF/?uri=CELEX:32018R0841&amp;from=lv" TargetMode="External"/><Relationship Id="rId1" Type="http://schemas.openxmlformats.org/officeDocument/2006/relationships/hyperlink" Target="https://eur-lex.europa.eu/legal-content/LV/TXT/PDF/?uri=CELEX:02003L0087-20180408&amp;qid=1533277840239&amp;from=LV" TargetMode="External"/><Relationship Id="rId4" Type="http://schemas.openxmlformats.org/officeDocument/2006/relationships/hyperlink" Target="https://eur-lex.europa.eu/legal-content/EN/TXT/PDF/?uri=CONSIL:ST_10308_2018_COR_1&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8388-9B1E-4F7F-AFC2-ADBC7A26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11117</Words>
  <Characters>6337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Manager>Helena.Rimsa@em.gov.lv;Helena.Rimsa@em.gov.lv</Manager>
  <Company>Ekonomikas ministrija</Company>
  <LinksUpToDate>false</LinksUpToDate>
  <CharactersWithSpaces>17420</CharactersWithSpaces>
  <SharedDoc>false</SharedDoc>
  <HLinks>
    <vt:vector size="6" baseType="variant">
      <vt:variant>
        <vt:i4>2097271</vt:i4>
      </vt:variant>
      <vt:variant>
        <vt:i4>0</vt:i4>
      </vt:variant>
      <vt:variant>
        <vt:i4>0</vt:i4>
      </vt:variant>
      <vt:variant>
        <vt:i4>5</vt:i4>
      </vt:variant>
      <vt:variant>
        <vt:lpwstr>http://www.consilium.europa.eu/en/meetings/tte/2017/12/18/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 enerģētikas un klimata plāna 2021.-2030.gadam projektu un tā iesniegšanu Eiropas Komisijā izvērtēšanai</dc:title>
  <dc:subject>Informatīvā ziņojuma projekts</dc:subject>
  <dc:creator/>
  <cp:keywords/>
  <dc:description>H.Rimša, 67013244, Helena.Rimsa@em.gov.lv</dc:description>
  <cp:lastModifiedBy>Helēna Rimša</cp:lastModifiedBy>
  <cp:revision>7</cp:revision>
  <cp:lastPrinted>2018-12-05T14:02:00Z</cp:lastPrinted>
  <dcterms:created xsi:type="dcterms:W3CDTF">2018-12-11T08:43:00Z</dcterms:created>
  <dcterms:modified xsi:type="dcterms:W3CDTF">2018-12-12T08:16:00Z</dcterms:modified>
  <cp:category>enerģētikas politika</cp:category>
</cp:coreProperties>
</file>