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473D" w14:textId="77777777" w:rsidR="003E6556" w:rsidRPr="005335C7" w:rsidRDefault="003E6556" w:rsidP="003E6556">
      <w:pPr>
        <w:spacing w:after="120"/>
        <w:ind w:firstLine="737"/>
        <w:jc w:val="center"/>
        <w:rPr>
          <w:rFonts w:ascii="Times New Roman" w:hAnsi="Times New Roman"/>
          <w:b/>
          <w:smallCaps/>
          <w:sz w:val="26"/>
          <w:szCs w:val="26"/>
        </w:rPr>
      </w:pPr>
      <w:r w:rsidRPr="005335C7">
        <w:rPr>
          <w:rFonts w:ascii="Times New Roman" w:hAnsi="Times New Roman"/>
          <w:b/>
          <w:smallCaps/>
          <w:sz w:val="26"/>
          <w:szCs w:val="26"/>
        </w:rPr>
        <w:t>Informatīvais ziņojums</w:t>
      </w:r>
    </w:p>
    <w:p w14:paraId="5A44C7B9" w14:textId="77777777" w:rsidR="003E6556" w:rsidRPr="006A3310" w:rsidRDefault="003E6556" w:rsidP="003E6556">
      <w:pPr>
        <w:spacing w:after="0"/>
        <w:jc w:val="center"/>
        <w:rPr>
          <w:rFonts w:ascii="Times New Roman" w:hAnsi="Times New Roman"/>
          <w:b/>
          <w:sz w:val="24"/>
          <w:szCs w:val="24"/>
        </w:rPr>
      </w:pPr>
      <w:r w:rsidRPr="006A3310">
        <w:rPr>
          <w:rFonts w:ascii="Times New Roman" w:hAnsi="Times New Roman"/>
          <w:b/>
          <w:sz w:val="24"/>
          <w:szCs w:val="24"/>
        </w:rPr>
        <w:t>par Eiropas Savienības Transporta, telekomunikāciju un enerģētikas</w:t>
      </w:r>
    </w:p>
    <w:p w14:paraId="1BAEF8DF" w14:textId="0035267A" w:rsidR="00646D92" w:rsidRPr="003E6556" w:rsidRDefault="003E6556" w:rsidP="003E6556">
      <w:pPr>
        <w:spacing w:after="0"/>
        <w:ind w:left="-142"/>
        <w:jc w:val="center"/>
        <w:rPr>
          <w:rFonts w:ascii="Times New Roman" w:hAnsi="Times New Roman"/>
          <w:b/>
          <w:sz w:val="24"/>
          <w:szCs w:val="24"/>
        </w:rPr>
      </w:pPr>
      <w:r>
        <w:rPr>
          <w:rFonts w:ascii="Times New Roman" w:hAnsi="Times New Roman"/>
          <w:b/>
          <w:sz w:val="24"/>
          <w:szCs w:val="24"/>
        </w:rPr>
        <w:t>ministru padomes 2018</w:t>
      </w:r>
      <w:r w:rsidRPr="006A3310">
        <w:rPr>
          <w:rFonts w:ascii="Times New Roman" w:hAnsi="Times New Roman"/>
          <w:b/>
          <w:sz w:val="24"/>
          <w:szCs w:val="24"/>
        </w:rPr>
        <w:t>.</w:t>
      </w:r>
      <w:r w:rsidR="00141E83">
        <w:rPr>
          <w:rFonts w:ascii="Times New Roman" w:hAnsi="Times New Roman"/>
          <w:b/>
          <w:sz w:val="24"/>
          <w:szCs w:val="24"/>
        </w:rPr>
        <w:t xml:space="preserve"> gada 19</w:t>
      </w:r>
      <w:r w:rsidRPr="006A3310">
        <w:rPr>
          <w:rFonts w:ascii="Times New Roman" w:hAnsi="Times New Roman"/>
          <w:b/>
          <w:sz w:val="24"/>
          <w:szCs w:val="24"/>
        </w:rPr>
        <w:t>.</w:t>
      </w:r>
      <w:r>
        <w:rPr>
          <w:rFonts w:ascii="Times New Roman" w:hAnsi="Times New Roman"/>
          <w:b/>
          <w:sz w:val="24"/>
          <w:szCs w:val="24"/>
        </w:rPr>
        <w:t xml:space="preserve"> </w:t>
      </w:r>
      <w:r w:rsidR="00141E83">
        <w:rPr>
          <w:rFonts w:ascii="Times New Roman" w:hAnsi="Times New Roman"/>
          <w:b/>
          <w:sz w:val="24"/>
          <w:szCs w:val="24"/>
        </w:rPr>
        <w:t>decembra</w:t>
      </w:r>
      <w:r w:rsidRPr="006A3310">
        <w:rPr>
          <w:rFonts w:ascii="Times New Roman" w:hAnsi="Times New Roman"/>
          <w:b/>
          <w:sz w:val="24"/>
          <w:szCs w:val="24"/>
        </w:rPr>
        <w:t xml:space="preserve"> sanāksmē izskatāmajiem jautājumiem</w:t>
      </w:r>
    </w:p>
    <w:p w14:paraId="228E55BC" w14:textId="77777777" w:rsidR="003E6556" w:rsidRDefault="003E6556"/>
    <w:p w14:paraId="497BD527" w14:textId="77777777" w:rsidR="003E6556" w:rsidRPr="0026228F" w:rsidRDefault="003E6556" w:rsidP="003E6556">
      <w:pPr>
        <w:spacing w:before="120" w:line="264" w:lineRule="auto"/>
        <w:ind w:firstLine="567"/>
        <w:jc w:val="center"/>
        <w:rPr>
          <w:rFonts w:ascii="Times New Roman" w:hAnsi="Times New Roman" w:cs="Times New Roman"/>
          <w:b/>
          <w:sz w:val="24"/>
          <w:szCs w:val="24"/>
        </w:rPr>
      </w:pPr>
      <w:r>
        <w:rPr>
          <w:rFonts w:ascii="Times New Roman" w:hAnsi="Times New Roman" w:cs="Times New Roman"/>
          <w:b/>
          <w:sz w:val="24"/>
          <w:szCs w:val="24"/>
        </w:rPr>
        <w:t>I</w:t>
      </w:r>
      <w:r w:rsidRPr="0026228F">
        <w:rPr>
          <w:rFonts w:ascii="Times New Roman" w:hAnsi="Times New Roman" w:cs="Times New Roman"/>
          <w:b/>
          <w:sz w:val="24"/>
          <w:szCs w:val="24"/>
        </w:rPr>
        <w:t xml:space="preserve"> Sanāksmē izskatāmie jautājumi</w:t>
      </w:r>
    </w:p>
    <w:p w14:paraId="41DB9898" w14:textId="174F385D" w:rsidR="003E6556" w:rsidRPr="003E6556" w:rsidRDefault="00141E83" w:rsidP="0077258E">
      <w:pPr>
        <w:spacing w:before="120" w:after="120" w:line="252" w:lineRule="auto"/>
        <w:ind w:firstLine="567"/>
        <w:jc w:val="both"/>
        <w:rPr>
          <w:rFonts w:ascii="Times New Roman" w:hAnsi="Times New Roman" w:cs="Times New Roman"/>
          <w:sz w:val="24"/>
          <w:szCs w:val="24"/>
        </w:rPr>
      </w:pPr>
      <w:r>
        <w:rPr>
          <w:rFonts w:ascii="Times New Roman" w:hAnsi="Times New Roman" w:cs="Times New Roman"/>
          <w:sz w:val="24"/>
          <w:szCs w:val="24"/>
        </w:rPr>
        <w:t>2018. gada 19</w:t>
      </w:r>
      <w:r w:rsidR="003E6556" w:rsidRPr="0026228F">
        <w:rPr>
          <w:rFonts w:ascii="Times New Roman" w:hAnsi="Times New Roman" w:cs="Times New Roman"/>
          <w:sz w:val="24"/>
          <w:szCs w:val="24"/>
        </w:rPr>
        <w:t xml:space="preserve">. </w:t>
      </w:r>
      <w:r>
        <w:rPr>
          <w:rFonts w:ascii="Times New Roman" w:hAnsi="Times New Roman" w:cs="Times New Roman"/>
          <w:sz w:val="24"/>
          <w:szCs w:val="24"/>
        </w:rPr>
        <w:t>decembrī</w:t>
      </w:r>
      <w:r w:rsidR="003E6556" w:rsidRPr="0026228F">
        <w:rPr>
          <w:rFonts w:ascii="Times New Roman" w:hAnsi="Times New Roman" w:cs="Times New Roman"/>
          <w:sz w:val="24"/>
          <w:szCs w:val="24"/>
        </w:rPr>
        <w:t xml:space="preserve"> </w:t>
      </w:r>
      <w:r>
        <w:rPr>
          <w:rFonts w:ascii="Times New Roman" w:hAnsi="Times New Roman" w:cs="Times New Roman"/>
          <w:sz w:val="24"/>
          <w:szCs w:val="24"/>
        </w:rPr>
        <w:t>Briselē</w:t>
      </w:r>
      <w:r w:rsidR="003E6556" w:rsidRPr="0026228F">
        <w:rPr>
          <w:rFonts w:ascii="Times New Roman" w:hAnsi="Times New Roman" w:cs="Times New Roman"/>
          <w:sz w:val="24"/>
          <w:szCs w:val="24"/>
        </w:rPr>
        <w:t xml:space="preserve"> notiks Eiropas Savienības (turpmāk – ES) Transporta, telekomunikāciju un enerģētikas ministru padomes sanāksme. Sanāksmē tiks izskatīti šādi Ekonomikas ministrijas kompetencē esoši jautājumi:</w:t>
      </w:r>
    </w:p>
    <w:p w14:paraId="2079E69F" w14:textId="4069C64D" w:rsidR="003E6556" w:rsidRPr="00115F35" w:rsidRDefault="0077258E" w:rsidP="0077258E">
      <w:pPr>
        <w:pStyle w:val="ListParagraph"/>
        <w:numPr>
          <w:ilvl w:val="0"/>
          <w:numId w:val="1"/>
        </w:numPr>
        <w:spacing w:before="120" w:after="120"/>
        <w:rPr>
          <w:rFonts w:ascii="Times New Roman" w:hAnsi="Times New Roman" w:cs="Times New Roman"/>
          <w:i/>
          <w:sz w:val="24"/>
          <w:szCs w:val="24"/>
        </w:rPr>
      </w:pPr>
      <w:proofErr w:type="spellStart"/>
      <w:r>
        <w:rPr>
          <w:rFonts w:ascii="Times New Roman" w:hAnsi="Times New Roman" w:cs="Times New Roman"/>
          <w:b/>
          <w:sz w:val="24"/>
          <w:szCs w:val="24"/>
        </w:rPr>
        <w:t>Pakotne</w:t>
      </w:r>
      <w:proofErr w:type="spellEnd"/>
      <w:r>
        <w:rPr>
          <w:rFonts w:ascii="Times New Roman" w:hAnsi="Times New Roman" w:cs="Times New Roman"/>
          <w:b/>
          <w:sz w:val="24"/>
          <w:szCs w:val="24"/>
        </w:rPr>
        <w:t xml:space="preserve"> “Tīra enerģija visiem Eiropas iedzīvotājiem”</w:t>
      </w:r>
    </w:p>
    <w:p w14:paraId="34E94DFE" w14:textId="360CA756" w:rsidR="00115F35" w:rsidRDefault="005614AE" w:rsidP="00816B37">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2016</w:t>
      </w:r>
      <w:r w:rsidR="00816B37" w:rsidRPr="00816B37">
        <w:rPr>
          <w:rFonts w:ascii="Times New Roman" w:hAnsi="Times New Roman" w:cs="Times New Roman"/>
          <w:sz w:val="24"/>
          <w:szCs w:val="24"/>
        </w:rPr>
        <w:t xml:space="preserve">. gada 30. novembrī Eiropas Komisija (turpmāk – EK) </w:t>
      </w:r>
      <w:r w:rsidR="00BF2CDE">
        <w:rPr>
          <w:rFonts w:ascii="Times New Roman" w:hAnsi="Times New Roman" w:cs="Times New Roman"/>
          <w:sz w:val="24"/>
          <w:szCs w:val="24"/>
        </w:rPr>
        <w:t>prezentēja</w:t>
      </w:r>
      <w:r w:rsidR="00816B37" w:rsidRPr="00816B37">
        <w:rPr>
          <w:rFonts w:ascii="Times New Roman" w:hAnsi="Times New Roman" w:cs="Times New Roman"/>
          <w:sz w:val="24"/>
          <w:szCs w:val="24"/>
        </w:rPr>
        <w:t xml:space="preserve"> jaunu pasākumu </w:t>
      </w:r>
      <w:proofErr w:type="spellStart"/>
      <w:r w:rsidR="00816B37" w:rsidRPr="00816B37">
        <w:rPr>
          <w:rFonts w:ascii="Times New Roman" w:hAnsi="Times New Roman" w:cs="Times New Roman"/>
          <w:sz w:val="24"/>
          <w:szCs w:val="24"/>
        </w:rPr>
        <w:t>pakotni</w:t>
      </w:r>
      <w:proofErr w:type="spellEnd"/>
      <w:r w:rsidR="001941FD">
        <w:rPr>
          <w:rFonts w:ascii="Times New Roman" w:hAnsi="Times New Roman" w:cs="Times New Roman"/>
          <w:sz w:val="24"/>
          <w:szCs w:val="24"/>
        </w:rPr>
        <w:t xml:space="preserve"> “Tīra enerģija visiem Eiropas iedzīvotājiem”</w:t>
      </w:r>
      <w:r w:rsidR="00816B37">
        <w:rPr>
          <w:rFonts w:ascii="Times New Roman" w:hAnsi="Times New Roman" w:cs="Times New Roman"/>
          <w:sz w:val="24"/>
          <w:szCs w:val="24"/>
        </w:rPr>
        <w:t>, kuras mērķis ir nodrošināt stabilu tiesisko regulējumu,</w:t>
      </w:r>
      <w:r w:rsidR="00CC4C06">
        <w:rPr>
          <w:rFonts w:ascii="Times New Roman" w:hAnsi="Times New Roman" w:cs="Times New Roman"/>
          <w:sz w:val="24"/>
          <w:szCs w:val="24"/>
        </w:rPr>
        <w:t xml:space="preserve"> palielināt energoefektivitāti, kā arī atjaunojamo energoresur</w:t>
      </w:r>
      <w:bookmarkStart w:id="0" w:name="_GoBack"/>
      <w:bookmarkEnd w:id="0"/>
      <w:r w:rsidR="00CC4C06">
        <w:rPr>
          <w:rFonts w:ascii="Times New Roman" w:hAnsi="Times New Roman" w:cs="Times New Roman"/>
          <w:sz w:val="24"/>
          <w:szCs w:val="24"/>
        </w:rPr>
        <w:t xml:space="preserve">su (turpmāk – AER) patēriņu, reformēt Eiropas enerģētikas tirgu, ieviest jaunus pārvaldības pasākumus Enerģētikas savienībā un atbalstīt </w:t>
      </w:r>
      <w:r w:rsidR="00CC4C06" w:rsidRPr="00CC4C06">
        <w:rPr>
          <w:rFonts w:ascii="Times New Roman" w:hAnsi="Times New Roman" w:cs="Times New Roman"/>
          <w:i/>
          <w:sz w:val="24"/>
          <w:szCs w:val="24"/>
        </w:rPr>
        <w:t>tīras</w:t>
      </w:r>
      <w:r w:rsidR="00CC4C06">
        <w:rPr>
          <w:rFonts w:ascii="Times New Roman" w:hAnsi="Times New Roman" w:cs="Times New Roman"/>
          <w:sz w:val="24"/>
          <w:szCs w:val="24"/>
        </w:rPr>
        <w:t xml:space="preserve"> enerģijas inovācijas</w:t>
      </w:r>
      <w:r w:rsidR="00816B37">
        <w:rPr>
          <w:rFonts w:ascii="Times New Roman" w:hAnsi="Times New Roman" w:cs="Times New Roman"/>
          <w:sz w:val="24"/>
          <w:szCs w:val="24"/>
        </w:rPr>
        <w:t xml:space="preserve">. </w:t>
      </w:r>
    </w:p>
    <w:p w14:paraId="2C76CF9B" w14:textId="152F7DD0" w:rsidR="0077258E" w:rsidRDefault="0077258E" w:rsidP="0077258E">
      <w:pPr>
        <w:pStyle w:val="ListParagraph"/>
        <w:numPr>
          <w:ilvl w:val="0"/>
          <w:numId w:val="10"/>
        </w:numPr>
        <w:spacing w:before="120" w:after="120"/>
        <w:rPr>
          <w:rFonts w:ascii="Times New Roman" w:hAnsi="Times New Roman" w:cs="Times New Roman"/>
          <w:b/>
          <w:sz w:val="24"/>
          <w:szCs w:val="24"/>
        </w:rPr>
      </w:pPr>
      <w:r w:rsidRPr="0077258E">
        <w:rPr>
          <w:rFonts w:ascii="Times New Roman" w:hAnsi="Times New Roman" w:cs="Times New Roman"/>
          <w:b/>
          <w:sz w:val="24"/>
          <w:szCs w:val="24"/>
        </w:rPr>
        <w:t>Enerģētikas savienības pārvaldības regula</w:t>
      </w:r>
    </w:p>
    <w:p w14:paraId="59FA4EDB" w14:textId="299AB2F6" w:rsidR="006D6D1A" w:rsidRDefault="00BF2CDE" w:rsidP="00BF2CDE">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Enerģētikas savienības pārvaldības r</w:t>
      </w:r>
      <w:r w:rsidRPr="00BF2CDE">
        <w:rPr>
          <w:rFonts w:ascii="Times New Roman" w:hAnsi="Times New Roman" w:cs="Times New Roman"/>
          <w:sz w:val="24"/>
          <w:szCs w:val="24"/>
        </w:rPr>
        <w:t>egulas priekšlikuma nolūks ir</w:t>
      </w:r>
      <w:r>
        <w:rPr>
          <w:rFonts w:ascii="Times New Roman" w:hAnsi="Times New Roman" w:cs="Times New Roman"/>
          <w:sz w:val="24"/>
          <w:szCs w:val="24"/>
        </w:rPr>
        <w:t xml:space="preserve"> </w:t>
      </w:r>
      <w:r w:rsidRPr="00BF2CDE">
        <w:rPr>
          <w:rFonts w:ascii="Times New Roman" w:hAnsi="Times New Roman" w:cs="Times New Roman"/>
          <w:sz w:val="24"/>
          <w:szCs w:val="24"/>
        </w:rPr>
        <w:t>sekmēt klimata un enerģētikas politikas saskaņotību un caurspīdību  dalībvalstīs  (turpmāk –</w:t>
      </w:r>
      <w:r w:rsidR="00A84AD0">
        <w:rPr>
          <w:rFonts w:ascii="Times New Roman" w:hAnsi="Times New Roman" w:cs="Times New Roman"/>
          <w:sz w:val="24"/>
          <w:szCs w:val="24"/>
        </w:rPr>
        <w:t xml:space="preserve"> </w:t>
      </w:r>
      <w:r w:rsidRPr="00BF2CDE">
        <w:rPr>
          <w:rFonts w:ascii="Times New Roman" w:hAnsi="Times New Roman" w:cs="Times New Roman"/>
          <w:sz w:val="24"/>
          <w:szCs w:val="24"/>
        </w:rPr>
        <w:t xml:space="preserve">DV),  investīciju  vides  </w:t>
      </w:r>
      <w:proofErr w:type="spellStart"/>
      <w:r w:rsidRPr="00BF2CDE">
        <w:rPr>
          <w:rFonts w:ascii="Times New Roman" w:hAnsi="Times New Roman" w:cs="Times New Roman"/>
          <w:sz w:val="24"/>
          <w:szCs w:val="24"/>
        </w:rPr>
        <w:t>paredzamību</w:t>
      </w:r>
      <w:proofErr w:type="spellEnd"/>
      <w:r w:rsidRPr="00BF2CDE">
        <w:rPr>
          <w:rFonts w:ascii="Times New Roman" w:hAnsi="Times New Roman" w:cs="Times New Roman"/>
          <w:sz w:val="24"/>
          <w:szCs w:val="24"/>
        </w:rPr>
        <w:t>,  kā  arī  DV  aktivitāšu savstarpēju  koordinēšanu  un  administratīvā  sloga  mazināšanu.  Regulas  priekšlikuma  pamatā  ir līdzšinējās  ES plānošanas,  ziņošanas  un  monitoringa  prasības  klimata  un  enerģētikas  politikas jautājumos, vienlaikus paredzot integrētu nacionālo enerģētikas un klimata plānu izstrādi 2030.</w:t>
      </w:r>
      <w:r>
        <w:rPr>
          <w:rFonts w:ascii="Times New Roman" w:hAnsi="Times New Roman" w:cs="Times New Roman"/>
          <w:sz w:val="24"/>
          <w:szCs w:val="24"/>
        </w:rPr>
        <w:t xml:space="preserve"> </w:t>
      </w:r>
      <w:r w:rsidRPr="00BF2CDE">
        <w:rPr>
          <w:rFonts w:ascii="Times New Roman" w:hAnsi="Times New Roman" w:cs="Times New Roman"/>
          <w:sz w:val="24"/>
          <w:szCs w:val="24"/>
        </w:rPr>
        <w:t>gadam.</w:t>
      </w:r>
      <w:r>
        <w:rPr>
          <w:rFonts w:ascii="Times New Roman" w:hAnsi="Times New Roman" w:cs="Times New Roman"/>
          <w:sz w:val="24"/>
          <w:szCs w:val="24"/>
        </w:rPr>
        <w:t xml:space="preserve"> </w:t>
      </w:r>
      <w:r w:rsidRPr="00BF2CDE">
        <w:rPr>
          <w:rFonts w:ascii="Times New Roman" w:hAnsi="Times New Roman" w:cs="Times New Roman"/>
          <w:sz w:val="24"/>
          <w:szCs w:val="24"/>
        </w:rPr>
        <w:t>EK ieskatā ar Pārvaldības Regulas priekšlikumu tiks samazināts līdzšinējo</w:t>
      </w:r>
      <w:r>
        <w:rPr>
          <w:rFonts w:ascii="Times New Roman" w:hAnsi="Times New Roman" w:cs="Times New Roman"/>
          <w:sz w:val="24"/>
          <w:szCs w:val="24"/>
        </w:rPr>
        <w:t xml:space="preserve"> </w:t>
      </w:r>
      <w:r w:rsidRPr="00BF2CDE">
        <w:rPr>
          <w:rFonts w:ascii="Times New Roman" w:hAnsi="Times New Roman" w:cs="Times New Roman"/>
          <w:sz w:val="24"/>
          <w:szCs w:val="24"/>
        </w:rPr>
        <w:t>plānošanas, ziņošanas un monitoringa pienākumu apjoms un mazināts administratīvais slogs DV un EK.</w:t>
      </w:r>
    </w:p>
    <w:p w14:paraId="126BE922" w14:textId="550DE154" w:rsidR="002F0F76" w:rsidRPr="00A84AD0" w:rsidRDefault="002F0F76" w:rsidP="00BF2CDE">
      <w:pPr>
        <w:spacing w:before="120" w:after="120"/>
        <w:ind w:firstLine="720"/>
        <w:jc w:val="both"/>
        <w:rPr>
          <w:rFonts w:ascii="Times New Roman" w:hAnsi="Times New Roman" w:cs="Times New Roman"/>
          <w:b/>
          <w:sz w:val="24"/>
          <w:szCs w:val="24"/>
        </w:rPr>
      </w:pPr>
      <w:r w:rsidRPr="00A84AD0">
        <w:rPr>
          <w:rFonts w:ascii="Times New Roman" w:hAnsi="Times New Roman" w:cs="Times New Roman"/>
          <w:b/>
          <w:sz w:val="24"/>
          <w:szCs w:val="24"/>
        </w:rPr>
        <w:t>Latvijas nostāja:</w:t>
      </w:r>
    </w:p>
    <w:p w14:paraId="108A30A8" w14:textId="39DFA939" w:rsidR="006636C0" w:rsidRDefault="000B6D19" w:rsidP="000B6D19">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Priekšlikums ir apstiprināts </w:t>
      </w:r>
      <w:r w:rsidR="00A84AD0">
        <w:rPr>
          <w:rFonts w:ascii="Times New Roman" w:hAnsi="Times New Roman" w:cs="Times New Roman"/>
          <w:sz w:val="24"/>
          <w:szCs w:val="24"/>
        </w:rPr>
        <w:t>ES</w:t>
      </w:r>
      <w:r w:rsidRPr="000B6D19">
        <w:rPr>
          <w:rFonts w:ascii="Times New Roman" w:hAnsi="Times New Roman" w:cs="Times New Roman"/>
          <w:sz w:val="24"/>
          <w:szCs w:val="24"/>
        </w:rPr>
        <w:t xml:space="preserve"> Transporta, telekomunikāciju un enerģētikas</w:t>
      </w:r>
      <w:r>
        <w:rPr>
          <w:rFonts w:ascii="Times New Roman" w:hAnsi="Times New Roman" w:cs="Times New Roman"/>
          <w:sz w:val="24"/>
          <w:szCs w:val="24"/>
        </w:rPr>
        <w:t xml:space="preserve"> </w:t>
      </w:r>
      <w:r w:rsidRPr="000B6D19">
        <w:rPr>
          <w:rFonts w:ascii="Times New Roman" w:hAnsi="Times New Roman" w:cs="Times New Roman"/>
          <w:sz w:val="24"/>
          <w:szCs w:val="24"/>
        </w:rPr>
        <w:t>ministru padom</w:t>
      </w:r>
      <w:r>
        <w:rPr>
          <w:rFonts w:ascii="Times New Roman" w:hAnsi="Times New Roman" w:cs="Times New Roman"/>
          <w:sz w:val="24"/>
          <w:szCs w:val="24"/>
        </w:rPr>
        <w:t>ē</w:t>
      </w:r>
      <w:r w:rsidRPr="000B6D19">
        <w:rPr>
          <w:rFonts w:ascii="Times New Roman" w:hAnsi="Times New Roman" w:cs="Times New Roman"/>
          <w:sz w:val="24"/>
          <w:szCs w:val="24"/>
        </w:rPr>
        <w:t xml:space="preserve">, kas notika </w:t>
      </w:r>
      <w:r w:rsidR="00C31F7E">
        <w:rPr>
          <w:rFonts w:ascii="Times New Roman" w:hAnsi="Times New Roman" w:cs="Times New Roman"/>
          <w:sz w:val="24"/>
          <w:szCs w:val="24"/>
        </w:rPr>
        <w:t xml:space="preserve">2018.gada </w:t>
      </w:r>
      <w:r w:rsidRPr="000B6D19">
        <w:rPr>
          <w:rFonts w:ascii="Times New Roman" w:hAnsi="Times New Roman" w:cs="Times New Roman"/>
          <w:sz w:val="24"/>
          <w:szCs w:val="24"/>
        </w:rPr>
        <w:t>4. decembrī</w:t>
      </w:r>
      <w:r>
        <w:rPr>
          <w:rFonts w:ascii="Times New Roman" w:hAnsi="Times New Roman" w:cs="Times New Roman"/>
          <w:sz w:val="24"/>
          <w:szCs w:val="24"/>
        </w:rPr>
        <w:t>.</w:t>
      </w:r>
      <w:r w:rsidRPr="000B6D19">
        <w:rPr>
          <w:rFonts w:ascii="Times New Roman" w:hAnsi="Times New Roman" w:cs="Times New Roman"/>
          <w:sz w:val="24"/>
          <w:szCs w:val="24"/>
        </w:rPr>
        <w:t xml:space="preserve"> </w:t>
      </w:r>
      <w:r>
        <w:rPr>
          <w:rFonts w:ascii="Times New Roman" w:hAnsi="Times New Roman" w:cs="Times New Roman"/>
          <w:sz w:val="24"/>
          <w:szCs w:val="24"/>
        </w:rPr>
        <w:t xml:space="preserve">Latvija atzinīgi vērtē panākto Enerģētikas savienības pārvaldības jomā. </w:t>
      </w:r>
    </w:p>
    <w:p w14:paraId="449540C3" w14:textId="586542B9" w:rsidR="00115F35" w:rsidRDefault="0077258E" w:rsidP="00115F35">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Direktīva par energoefektivitāti</w:t>
      </w:r>
    </w:p>
    <w:p w14:paraId="45665614" w14:textId="748C2F36" w:rsidR="008D69E6" w:rsidRPr="008D69E6" w:rsidRDefault="00254A18" w:rsidP="0043297F">
      <w:pPr>
        <w:spacing w:after="120"/>
        <w:rPr>
          <w:rFonts w:ascii="Times New Roman" w:hAnsi="Times New Roman" w:cs="Times New Roman"/>
          <w:sz w:val="24"/>
          <w:szCs w:val="24"/>
        </w:rPr>
      </w:pPr>
      <w:r>
        <w:rPr>
          <w:rFonts w:ascii="Times New Roman" w:hAnsi="Times New Roman" w:cs="Times New Roman"/>
          <w:sz w:val="24"/>
          <w:szCs w:val="24"/>
        </w:rPr>
        <w:t xml:space="preserve">Pārskatītā </w:t>
      </w:r>
      <w:r w:rsidR="008D69E6" w:rsidRPr="008D69E6">
        <w:rPr>
          <w:rFonts w:ascii="Times New Roman" w:hAnsi="Times New Roman" w:cs="Times New Roman"/>
          <w:sz w:val="24"/>
          <w:szCs w:val="24"/>
        </w:rPr>
        <w:t>Energoefektivitātes direktīva</w:t>
      </w:r>
      <w:r w:rsidR="005B30B3">
        <w:rPr>
          <w:rFonts w:ascii="Times New Roman" w:hAnsi="Times New Roman" w:cs="Times New Roman"/>
          <w:sz w:val="24"/>
          <w:szCs w:val="24"/>
        </w:rPr>
        <w:t xml:space="preserve"> nosaka</w:t>
      </w:r>
      <w:r w:rsidR="008D69E6" w:rsidRPr="008D69E6">
        <w:rPr>
          <w:rFonts w:ascii="Times New Roman" w:hAnsi="Times New Roman" w:cs="Times New Roman"/>
          <w:sz w:val="24"/>
          <w:szCs w:val="24"/>
        </w:rPr>
        <w:t>:</w:t>
      </w:r>
    </w:p>
    <w:p w14:paraId="020109EC" w14:textId="6F3752E2" w:rsidR="008D69E6" w:rsidRPr="008D69E6" w:rsidRDefault="008D69E6" w:rsidP="0043297F">
      <w:pPr>
        <w:pStyle w:val="ListParagraph"/>
        <w:numPr>
          <w:ilvl w:val="0"/>
          <w:numId w:val="16"/>
        </w:numPr>
        <w:spacing w:after="120"/>
        <w:rPr>
          <w:rFonts w:ascii="Times New Roman" w:hAnsi="Times New Roman" w:cs="Times New Roman"/>
          <w:sz w:val="24"/>
          <w:szCs w:val="24"/>
        </w:rPr>
      </w:pPr>
      <w:r w:rsidRPr="008D69E6">
        <w:rPr>
          <w:rFonts w:ascii="Times New Roman" w:hAnsi="Times New Roman" w:cs="Times New Roman"/>
          <w:sz w:val="24"/>
          <w:szCs w:val="24"/>
        </w:rPr>
        <w:t>Eiropas Savienības līmenī saistošu 32,5 % energoefektivitātes mērķi 2030. gadam;</w:t>
      </w:r>
    </w:p>
    <w:p w14:paraId="7CE64F3D" w14:textId="6342D3F0" w:rsidR="008D69E6" w:rsidRPr="008D69E6" w:rsidRDefault="008D69E6" w:rsidP="008D69E6">
      <w:pPr>
        <w:pStyle w:val="ListParagraph"/>
        <w:numPr>
          <w:ilvl w:val="0"/>
          <w:numId w:val="16"/>
        </w:numPr>
        <w:rPr>
          <w:rFonts w:ascii="Times New Roman" w:hAnsi="Times New Roman" w:cs="Times New Roman"/>
          <w:sz w:val="24"/>
          <w:szCs w:val="24"/>
        </w:rPr>
      </w:pPr>
      <w:r w:rsidRPr="008D69E6">
        <w:rPr>
          <w:rFonts w:ascii="Times New Roman" w:hAnsi="Times New Roman" w:cs="Times New Roman"/>
          <w:sz w:val="24"/>
          <w:szCs w:val="24"/>
        </w:rPr>
        <w:t xml:space="preserve">dalībvalstīm saistības nodrošināt ikgadēju 0,8 % enerģijas ietaupījumu </w:t>
      </w:r>
      <w:proofErr w:type="spellStart"/>
      <w:r w:rsidRPr="008D69E6">
        <w:rPr>
          <w:rFonts w:ascii="Times New Roman" w:hAnsi="Times New Roman" w:cs="Times New Roman"/>
          <w:sz w:val="24"/>
          <w:szCs w:val="24"/>
        </w:rPr>
        <w:t>galapatēriņā</w:t>
      </w:r>
      <w:proofErr w:type="spellEnd"/>
      <w:r w:rsidRPr="008D69E6">
        <w:rPr>
          <w:rFonts w:ascii="Times New Roman" w:hAnsi="Times New Roman" w:cs="Times New Roman"/>
          <w:sz w:val="24"/>
          <w:szCs w:val="24"/>
        </w:rPr>
        <w:t xml:space="preserve"> pēc 2021.-2030.</w:t>
      </w:r>
      <w:r w:rsidR="0071780C">
        <w:rPr>
          <w:rFonts w:ascii="Times New Roman" w:hAnsi="Times New Roman" w:cs="Times New Roman"/>
          <w:sz w:val="24"/>
          <w:szCs w:val="24"/>
        </w:rPr>
        <w:t xml:space="preserve"> </w:t>
      </w:r>
      <w:r w:rsidRPr="008D69E6">
        <w:rPr>
          <w:rFonts w:ascii="Times New Roman" w:hAnsi="Times New Roman" w:cs="Times New Roman"/>
          <w:sz w:val="24"/>
          <w:szCs w:val="24"/>
        </w:rPr>
        <w:t>gada periodā,  kā arī turpināt panākt jaunus ikgadējus ietaupījumus  desmit gadu periodos arī pēc 2030. gada;</w:t>
      </w:r>
    </w:p>
    <w:p w14:paraId="2A7AD352" w14:textId="7EC50737" w:rsidR="008D69E6" w:rsidRPr="008D69E6" w:rsidRDefault="008D69E6" w:rsidP="008D69E6">
      <w:pPr>
        <w:pStyle w:val="ListParagraph"/>
        <w:numPr>
          <w:ilvl w:val="0"/>
          <w:numId w:val="16"/>
        </w:numPr>
        <w:rPr>
          <w:rFonts w:ascii="Times New Roman" w:hAnsi="Times New Roman" w:cs="Times New Roman"/>
          <w:sz w:val="24"/>
          <w:szCs w:val="24"/>
        </w:rPr>
      </w:pPr>
      <w:r w:rsidRPr="008D69E6">
        <w:rPr>
          <w:rFonts w:ascii="Times New Roman" w:hAnsi="Times New Roman" w:cs="Times New Roman"/>
          <w:sz w:val="24"/>
          <w:szCs w:val="24"/>
        </w:rPr>
        <w:t xml:space="preserve">uzlabot  informācijas  sniegšanu  par  enerģiju,  ko  lietotāji  patērējuši  siltumapgādei un </w:t>
      </w:r>
      <w:proofErr w:type="spellStart"/>
      <w:r w:rsidRPr="008D69E6">
        <w:rPr>
          <w:rFonts w:ascii="Times New Roman" w:hAnsi="Times New Roman" w:cs="Times New Roman"/>
          <w:sz w:val="24"/>
          <w:szCs w:val="24"/>
        </w:rPr>
        <w:t>aukstumapgādei</w:t>
      </w:r>
      <w:proofErr w:type="spellEnd"/>
      <w:r w:rsidRPr="008D69E6">
        <w:rPr>
          <w:rFonts w:ascii="Times New Roman" w:hAnsi="Times New Roman" w:cs="Times New Roman"/>
          <w:sz w:val="24"/>
          <w:szCs w:val="24"/>
        </w:rPr>
        <w:t>, un nostiprināt patērētāju tiesības siltumenerģijas uzskaites un rēķinu jomā, jo īpaši daudzdzīvokļu ēkās. Lai uzlabotu informācijas sniegšanas biežumu, tiek ieviesta prasība izmantot attālināti nolasāmus siltumenerģijas skaitītājus;</w:t>
      </w:r>
    </w:p>
    <w:p w14:paraId="6A399EE2" w14:textId="718042CB" w:rsidR="008D69E6" w:rsidRPr="0071780C" w:rsidRDefault="008D69E6" w:rsidP="008D69E6">
      <w:pPr>
        <w:pStyle w:val="ListParagraph"/>
        <w:numPr>
          <w:ilvl w:val="0"/>
          <w:numId w:val="16"/>
        </w:numPr>
        <w:rPr>
          <w:rFonts w:ascii="Times New Roman" w:hAnsi="Times New Roman" w:cs="Times New Roman"/>
          <w:sz w:val="24"/>
          <w:szCs w:val="24"/>
        </w:rPr>
      </w:pPr>
      <w:r w:rsidRPr="008D69E6">
        <w:rPr>
          <w:rFonts w:ascii="Times New Roman" w:hAnsi="Times New Roman" w:cs="Times New Roman"/>
          <w:sz w:val="24"/>
          <w:szCs w:val="24"/>
        </w:rPr>
        <w:t>pastiprināt ziņošanas prasības par ietaupījumu aprēķina metodikām, obligātā mērķa izpildes pierādīšanu un energoefektivitātes pienākumu shēmas darbību.</w:t>
      </w:r>
    </w:p>
    <w:p w14:paraId="73A98219" w14:textId="77777777" w:rsidR="0071780C" w:rsidRDefault="0071780C" w:rsidP="001941FD">
      <w:pPr>
        <w:ind w:firstLine="720"/>
        <w:jc w:val="both"/>
        <w:rPr>
          <w:rFonts w:ascii="Times New Roman" w:hAnsi="Times New Roman" w:cs="Times New Roman"/>
          <w:b/>
          <w:sz w:val="24"/>
          <w:szCs w:val="24"/>
        </w:rPr>
      </w:pPr>
    </w:p>
    <w:p w14:paraId="60644E28" w14:textId="77777777" w:rsidR="0071780C" w:rsidRDefault="0071780C" w:rsidP="001941FD">
      <w:pPr>
        <w:ind w:firstLine="720"/>
        <w:jc w:val="both"/>
        <w:rPr>
          <w:rFonts w:ascii="Times New Roman" w:hAnsi="Times New Roman" w:cs="Times New Roman"/>
          <w:b/>
          <w:sz w:val="24"/>
          <w:szCs w:val="24"/>
        </w:rPr>
      </w:pPr>
    </w:p>
    <w:p w14:paraId="631269F4" w14:textId="48F0FE9B" w:rsidR="001941FD" w:rsidRPr="001941FD" w:rsidRDefault="001941FD" w:rsidP="001941FD">
      <w:pPr>
        <w:ind w:firstLine="720"/>
        <w:jc w:val="both"/>
        <w:rPr>
          <w:rFonts w:ascii="Times New Roman" w:hAnsi="Times New Roman" w:cs="Times New Roman"/>
          <w:b/>
          <w:sz w:val="24"/>
          <w:szCs w:val="24"/>
        </w:rPr>
      </w:pPr>
      <w:r w:rsidRPr="001941FD">
        <w:rPr>
          <w:rFonts w:ascii="Times New Roman" w:hAnsi="Times New Roman" w:cs="Times New Roman"/>
          <w:b/>
          <w:sz w:val="24"/>
          <w:szCs w:val="24"/>
        </w:rPr>
        <w:lastRenderedPageBreak/>
        <w:t>Latvijas nostāja:</w:t>
      </w:r>
    </w:p>
    <w:p w14:paraId="4FDEFF94" w14:textId="24308DE7" w:rsidR="00A84AD0" w:rsidRPr="00A84AD0" w:rsidRDefault="000B6D19" w:rsidP="00A84AD0">
      <w:pPr>
        <w:ind w:firstLine="720"/>
        <w:jc w:val="both"/>
        <w:rPr>
          <w:rFonts w:ascii="Times New Roman" w:hAnsi="Times New Roman" w:cs="Times New Roman"/>
          <w:b/>
          <w:sz w:val="24"/>
          <w:szCs w:val="24"/>
        </w:rPr>
      </w:pPr>
      <w:r w:rsidRPr="00A84AD0">
        <w:rPr>
          <w:rFonts w:ascii="Times New Roman" w:hAnsi="Times New Roman" w:cs="Times New Roman"/>
          <w:sz w:val="24"/>
          <w:szCs w:val="24"/>
        </w:rPr>
        <w:t xml:space="preserve">Priekšlikums ir apstiprināts </w:t>
      </w:r>
      <w:r w:rsidR="00A84AD0">
        <w:rPr>
          <w:rFonts w:ascii="Times New Roman" w:hAnsi="Times New Roman" w:cs="Times New Roman"/>
          <w:sz w:val="24"/>
          <w:szCs w:val="24"/>
        </w:rPr>
        <w:t>ES</w:t>
      </w:r>
      <w:r w:rsidRPr="00A84AD0">
        <w:rPr>
          <w:rFonts w:ascii="Times New Roman" w:hAnsi="Times New Roman" w:cs="Times New Roman"/>
          <w:sz w:val="24"/>
          <w:szCs w:val="24"/>
        </w:rPr>
        <w:t xml:space="preserve"> Transporta, telekomunikāciju un enerģētikas ministru padomē, kas notika </w:t>
      </w:r>
      <w:r w:rsidR="005E33F8" w:rsidRPr="00A84AD0">
        <w:rPr>
          <w:rFonts w:ascii="Times New Roman" w:hAnsi="Times New Roman" w:cs="Times New Roman"/>
          <w:sz w:val="24"/>
          <w:szCs w:val="24"/>
        </w:rPr>
        <w:t>2018.</w:t>
      </w:r>
      <w:r w:rsidR="00A84AD0">
        <w:rPr>
          <w:rFonts w:ascii="Times New Roman" w:hAnsi="Times New Roman" w:cs="Times New Roman"/>
          <w:sz w:val="24"/>
          <w:szCs w:val="24"/>
        </w:rPr>
        <w:t xml:space="preserve"> </w:t>
      </w:r>
      <w:r w:rsidR="005E33F8" w:rsidRPr="00A84AD0">
        <w:rPr>
          <w:rFonts w:ascii="Times New Roman" w:hAnsi="Times New Roman" w:cs="Times New Roman"/>
          <w:sz w:val="24"/>
          <w:szCs w:val="24"/>
        </w:rPr>
        <w:t xml:space="preserve">gada </w:t>
      </w:r>
      <w:r w:rsidRPr="00A84AD0">
        <w:rPr>
          <w:rFonts w:ascii="Times New Roman" w:hAnsi="Times New Roman" w:cs="Times New Roman"/>
          <w:sz w:val="24"/>
          <w:szCs w:val="24"/>
        </w:rPr>
        <w:t xml:space="preserve">4. decembrī.  </w:t>
      </w:r>
      <w:r w:rsidR="001941FD" w:rsidRPr="00A84AD0">
        <w:rPr>
          <w:rFonts w:ascii="Times New Roman" w:hAnsi="Times New Roman" w:cs="Times New Roman"/>
          <w:sz w:val="24"/>
          <w:szCs w:val="24"/>
        </w:rPr>
        <w:t xml:space="preserve">Latvija </w:t>
      </w:r>
      <w:r w:rsidR="00110673" w:rsidRPr="00A84AD0">
        <w:rPr>
          <w:rFonts w:ascii="Times New Roman" w:hAnsi="Times New Roman" w:cs="Times New Roman"/>
          <w:sz w:val="24"/>
          <w:szCs w:val="24"/>
        </w:rPr>
        <w:t xml:space="preserve">aktīvi strādā, lai </w:t>
      </w:r>
      <w:r w:rsidR="00DF614E" w:rsidRPr="00A84AD0">
        <w:rPr>
          <w:rFonts w:ascii="Times New Roman" w:hAnsi="Times New Roman" w:cs="Times New Roman"/>
          <w:sz w:val="24"/>
          <w:szCs w:val="24"/>
        </w:rPr>
        <w:t xml:space="preserve"> </w:t>
      </w:r>
      <w:r w:rsidR="00254A18" w:rsidRPr="00A84AD0">
        <w:rPr>
          <w:rFonts w:ascii="Times New Roman" w:hAnsi="Times New Roman" w:cs="Times New Roman"/>
          <w:sz w:val="24"/>
          <w:szCs w:val="24"/>
        </w:rPr>
        <w:t xml:space="preserve">sasniegtu 2020. energoefektivitātes mērķus un jau uzsākusi 2030. mērķu plānošanu. </w:t>
      </w:r>
      <w:r w:rsidR="005B30B3" w:rsidRPr="00A84AD0">
        <w:rPr>
          <w:rFonts w:ascii="Times New Roman" w:hAnsi="Times New Roman" w:cs="Times New Roman"/>
          <w:sz w:val="24"/>
          <w:szCs w:val="24"/>
        </w:rPr>
        <w:t>Vienlaikus Latvija apzinās, ka 2021.-2030.</w:t>
      </w:r>
      <w:r w:rsidR="0071780C">
        <w:rPr>
          <w:rFonts w:ascii="Times New Roman" w:hAnsi="Times New Roman" w:cs="Times New Roman"/>
          <w:sz w:val="24"/>
          <w:szCs w:val="24"/>
        </w:rPr>
        <w:t xml:space="preserve"> </w:t>
      </w:r>
      <w:r w:rsidR="005B30B3" w:rsidRPr="00A84AD0">
        <w:rPr>
          <w:rFonts w:ascii="Times New Roman" w:hAnsi="Times New Roman" w:cs="Times New Roman"/>
          <w:sz w:val="24"/>
          <w:szCs w:val="24"/>
        </w:rPr>
        <w:t xml:space="preserve">gada periodā uzstādītās kumulatīvā enerģijas ietaupījuma prasības ir ļoti ambiciozas un to sasniegšana Latvijai būs liels izaicinājums. </w:t>
      </w:r>
      <w:r w:rsidR="003F44A0">
        <w:rPr>
          <w:rFonts w:ascii="Times New Roman" w:hAnsi="Times New Roman" w:cs="Times New Roman"/>
          <w:sz w:val="24"/>
          <w:szCs w:val="24"/>
        </w:rPr>
        <w:t xml:space="preserve">Latvijas </w:t>
      </w:r>
      <w:r w:rsidR="005B30B3" w:rsidRPr="00A84AD0">
        <w:rPr>
          <w:rFonts w:ascii="Times New Roman" w:hAnsi="Times New Roman" w:cs="Times New Roman"/>
          <w:sz w:val="24"/>
          <w:szCs w:val="24"/>
        </w:rPr>
        <w:t>Nacionālajā enerģētikas un klimata plān</w:t>
      </w:r>
      <w:r w:rsidR="003F44A0">
        <w:rPr>
          <w:rFonts w:ascii="Times New Roman" w:hAnsi="Times New Roman" w:cs="Times New Roman"/>
          <w:sz w:val="24"/>
          <w:szCs w:val="24"/>
        </w:rPr>
        <w:t>a 2021.-2030. gadam projektā</w:t>
      </w:r>
      <w:r w:rsidR="005B30B3" w:rsidRPr="00A84AD0">
        <w:rPr>
          <w:rFonts w:ascii="Times New Roman" w:hAnsi="Times New Roman" w:cs="Times New Roman"/>
          <w:sz w:val="24"/>
          <w:szCs w:val="24"/>
        </w:rPr>
        <w:t xml:space="preserve"> veiktais sākotnējais novērtējums rāda, ka mērķu sasniegšana prasīs vēl nebijušu piepūli un investīcijas. Līdz ar to mērķu sasniegšanas iespējas būs lielā mērā atkarīgas no </w:t>
      </w:r>
      <w:r w:rsidR="00E60205" w:rsidRPr="00A84AD0">
        <w:rPr>
          <w:rFonts w:ascii="Times New Roman" w:hAnsi="Times New Roman" w:cs="Times New Roman"/>
          <w:sz w:val="24"/>
          <w:szCs w:val="24"/>
        </w:rPr>
        <w:t xml:space="preserve">sabiedrības spējas maksāt par vērienīgiem energoefektivitātes pasākumiem. </w:t>
      </w:r>
    </w:p>
    <w:p w14:paraId="7D79E44B" w14:textId="38452667" w:rsidR="0077258E" w:rsidRDefault="0077258E" w:rsidP="0077258E">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Direktīva par atjaunojamajiem energoresursiem (AER) (pārstrādāta redakcija)</w:t>
      </w:r>
    </w:p>
    <w:p w14:paraId="340C6244" w14:textId="77777777" w:rsidR="007E3D60" w:rsidRDefault="00115F35" w:rsidP="007E3D60">
      <w:pPr>
        <w:pStyle w:val="ListParagraph"/>
        <w:numPr>
          <w:ilvl w:val="0"/>
          <w:numId w:val="14"/>
        </w:numPr>
        <w:rPr>
          <w:rFonts w:ascii="Times New Roman" w:hAnsi="Times New Roman" w:cs="Times New Roman"/>
          <w:i/>
          <w:sz w:val="24"/>
          <w:szCs w:val="24"/>
        </w:rPr>
      </w:pPr>
      <w:r w:rsidRPr="00115F35">
        <w:rPr>
          <w:rFonts w:ascii="Times New Roman" w:hAnsi="Times New Roman" w:cs="Times New Roman"/>
          <w:i/>
          <w:sz w:val="24"/>
          <w:szCs w:val="24"/>
        </w:rPr>
        <w:t>Austrijas prezidentūras (AT PRES) ziņojums</w:t>
      </w:r>
    </w:p>
    <w:p w14:paraId="491AC86F" w14:textId="7BA64C6D" w:rsidR="00115F35" w:rsidRDefault="007E3D60" w:rsidP="007E3D6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Direktīvas  priekšlikums </w:t>
      </w:r>
      <w:r w:rsidR="00491023" w:rsidRPr="007E3D60">
        <w:rPr>
          <w:rFonts w:ascii="Times New Roman" w:hAnsi="Times New Roman" w:cs="Times New Roman"/>
          <w:sz w:val="24"/>
          <w:szCs w:val="24"/>
        </w:rPr>
        <w:t>ir  vērsts  uz  plašāku  atjaunojamo  energoresursu izmantošanu</w:t>
      </w:r>
      <w:r w:rsidRPr="007E3D60">
        <w:rPr>
          <w:rFonts w:ascii="Times New Roman" w:hAnsi="Times New Roman" w:cs="Times New Roman"/>
          <w:sz w:val="24"/>
          <w:szCs w:val="24"/>
        </w:rPr>
        <w:t xml:space="preserve"> </w:t>
      </w:r>
      <w:r w:rsidR="00491023" w:rsidRPr="007E3D60">
        <w:rPr>
          <w:rFonts w:ascii="Times New Roman" w:hAnsi="Times New Roman" w:cs="Times New Roman"/>
          <w:sz w:val="24"/>
          <w:szCs w:val="24"/>
        </w:rPr>
        <w:t>enerģijas  ražošanā,  to  efektīvāku  integrēšanu  ES  enerģētikas  tirgū,  kā  arī uz  2030.</w:t>
      </w:r>
      <w:r w:rsidRPr="007E3D60">
        <w:rPr>
          <w:rFonts w:ascii="Times New Roman" w:hAnsi="Times New Roman" w:cs="Times New Roman"/>
          <w:sz w:val="24"/>
          <w:szCs w:val="24"/>
        </w:rPr>
        <w:t xml:space="preserve"> </w:t>
      </w:r>
      <w:r w:rsidR="00491023" w:rsidRPr="007E3D60">
        <w:rPr>
          <w:rFonts w:ascii="Times New Roman" w:hAnsi="Times New Roman" w:cs="Times New Roman"/>
          <w:sz w:val="24"/>
          <w:szCs w:val="24"/>
        </w:rPr>
        <w:t xml:space="preserve">gada enerģētikas  un  klimata  mērķu  sasniegšanu.  </w:t>
      </w:r>
      <w:r>
        <w:rPr>
          <w:rFonts w:ascii="Times New Roman" w:hAnsi="Times New Roman" w:cs="Times New Roman"/>
          <w:sz w:val="24"/>
          <w:szCs w:val="24"/>
        </w:rPr>
        <w:t>Tiek paredzēts, ka direktīvas  priekšlikums uzlabo  esošo  regulējumu</w:t>
      </w:r>
      <w:r w:rsidR="00491023" w:rsidRPr="007E3D60">
        <w:rPr>
          <w:rFonts w:ascii="Times New Roman" w:hAnsi="Times New Roman" w:cs="Times New Roman"/>
          <w:sz w:val="24"/>
          <w:szCs w:val="24"/>
        </w:rPr>
        <w:t xml:space="preserve">, nodrošinot,  ka  tas  ir  īstenojams  un  ieviešams  visām  dalībvalstīm  un  </w:t>
      </w:r>
      <w:r>
        <w:rPr>
          <w:rFonts w:ascii="Times New Roman" w:hAnsi="Times New Roman" w:cs="Times New Roman"/>
          <w:sz w:val="24"/>
          <w:szCs w:val="24"/>
        </w:rPr>
        <w:t xml:space="preserve">tiek vērsts </w:t>
      </w:r>
      <w:r w:rsidR="0071780C">
        <w:rPr>
          <w:rFonts w:ascii="Times New Roman" w:hAnsi="Times New Roman" w:cs="Times New Roman"/>
          <w:sz w:val="24"/>
          <w:szCs w:val="24"/>
        </w:rPr>
        <w:t xml:space="preserve">uz AER </w:t>
      </w:r>
      <w:r w:rsidR="00491023" w:rsidRPr="007E3D60">
        <w:rPr>
          <w:rFonts w:ascii="Times New Roman" w:hAnsi="Times New Roman" w:cs="Times New Roman"/>
          <w:sz w:val="24"/>
          <w:szCs w:val="24"/>
        </w:rPr>
        <w:t>izmantošanas  veicināšanu  izmaksu</w:t>
      </w:r>
      <w:r>
        <w:rPr>
          <w:rFonts w:ascii="Times New Roman" w:hAnsi="Times New Roman" w:cs="Times New Roman"/>
          <w:sz w:val="24"/>
          <w:szCs w:val="24"/>
        </w:rPr>
        <w:t xml:space="preserve"> </w:t>
      </w:r>
      <w:r w:rsidR="00491023" w:rsidRPr="007E3D60">
        <w:rPr>
          <w:rFonts w:ascii="Times New Roman" w:hAnsi="Times New Roman" w:cs="Times New Roman"/>
          <w:sz w:val="24"/>
          <w:szCs w:val="24"/>
        </w:rPr>
        <w:t>ziņā  efektīvākajā  veidā,  lai  sniegtu  pozitīvu  efektu ekonomikas  izaugsmei  un  veicinātu  pāreju  uz  oglekļa  mazietilpīgu  attīstību. Priekšlikums  ir  būtiska sastāvdaļa,  dalībvalstīm  izstrādājot  nacionālos  ene</w:t>
      </w:r>
      <w:r w:rsidR="00BF2CDE">
        <w:rPr>
          <w:rFonts w:ascii="Times New Roman" w:hAnsi="Times New Roman" w:cs="Times New Roman"/>
          <w:sz w:val="24"/>
          <w:szCs w:val="24"/>
        </w:rPr>
        <w:t xml:space="preserve">rģētikas  un  klimata  plānus. </w:t>
      </w:r>
    </w:p>
    <w:p w14:paraId="3918022D" w14:textId="0CCE1A00" w:rsidR="00AE4E3E" w:rsidRPr="00AE4E3E" w:rsidRDefault="00AE4E3E" w:rsidP="007E3D60">
      <w:pPr>
        <w:spacing w:line="240" w:lineRule="auto"/>
        <w:ind w:firstLine="720"/>
        <w:jc w:val="both"/>
        <w:rPr>
          <w:rFonts w:ascii="Times New Roman" w:hAnsi="Times New Roman" w:cs="Times New Roman"/>
          <w:b/>
          <w:sz w:val="24"/>
          <w:szCs w:val="24"/>
        </w:rPr>
      </w:pPr>
      <w:r w:rsidRPr="00AE4E3E">
        <w:rPr>
          <w:rFonts w:ascii="Times New Roman" w:hAnsi="Times New Roman" w:cs="Times New Roman"/>
          <w:b/>
          <w:sz w:val="24"/>
          <w:szCs w:val="24"/>
        </w:rPr>
        <w:t>Latvijas nostāja:</w:t>
      </w:r>
    </w:p>
    <w:p w14:paraId="59C822A1" w14:textId="15B5BC3C" w:rsidR="00AE4E3E" w:rsidRPr="007E3D60" w:rsidRDefault="00C31F7E" w:rsidP="007E3D60">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Priekšlikums ir apstiprināts </w:t>
      </w:r>
      <w:r w:rsidR="00A84AD0">
        <w:rPr>
          <w:rFonts w:ascii="Times New Roman" w:hAnsi="Times New Roman" w:cs="Times New Roman"/>
          <w:sz w:val="24"/>
          <w:szCs w:val="24"/>
        </w:rPr>
        <w:t>ES</w:t>
      </w:r>
      <w:r w:rsidRPr="000B6D19">
        <w:rPr>
          <w:rFonts w:ascii="Times New Roman" w:hAnsi="Times New Roman" w:cs="Times New Roman"/>
          <w:sz w:val="24"/>
          <w:szCs w:val="24"/>
        </w:rPr>
        <w:t xml:space="preserve"> Transporta, telekomunikāciju un enerģētikas</w:t>
      </w:r>
      <w:r>
        <w:rPr>
          <w:rFonts w:ascii="Times New Roman" w:hAnsi="Times New Roman" w:cs="Times New Roman"/>
          <w:sz w:val="24"/>
          <w:szCs w:val="24"/>
        </w:rPr>
        <w:t xml:space="preserve"> </w:t>
      </w:r>
      <w:r w:rsidRPr="000B6D19">
        <w:rPr>
          <w:rFonts w:ascii="Times New Roman" w:hAnsi="Times New Roman" w:cs="Times New Roman"/>
          <w:sz w:val="24"/>
          <w:szCs w:val="24"/>
        </w:rPr>
        <w:t>ministru padom</w:t>
      </w:r>
      <w:r>
        <w:rPr>
          <w:rFonts w:ascii="Times New Roman" w:hAnsi="Times New Roman" w:cs="Times New Roman"/>
          <w:sz w:val="24"/>
          <w:szCs w:val="24"/>
        </w:rPr>
        <w:t>ē</w:t>
      </w:r>
      <w:r w:rsidRPr="000B6D19">
        <w:rPr>
          <w:rFonts w:ascii="Times New Roman" w:hAnsi="Times New Roman" w:cs="Times New Roman"/>
          <w:sz w:val="24"/>
          <w:szCs w:val="24"/>
        </w:rPr>
        <w:t xml:space="preserve">, kas notika </w:t>
      </w:r>
      <w:r>
        <w:rPr>
          <w:rFonts w:ascii="Times New Roman" w:hAnsi="Times New Roman" w:cs="Times New Roman"/>
          <w:sz w:val="24"/>
          <w:szCs w:val="24"/>
        </w:rPr>
        <w:t>2018.</w:t>
      </w:r>
      <w:r w:rsidR="00A84AD0">
        <w:rPr>
          <w:rFonts w:ascii="Times New Roman" w:hAnsi="Times New Roman" w:cs="Times New Roman"/>
          <w:sz w:val="24"/>
          <w:szCs w:val="24"/>
        </w:rPr>
        <w:t xml:space="preserve"> </w:t>
      </w:r>
      <w:r>
        <w:rPr>
          <w:rFonts w:ascii="Times New Roman" w:hAnsi="Times New Roman" w:cs="Times New Roman"/>
          <w:sz w:val="24"/>
          <w:szCs w:val="24"/>
        </w:rPr>
        <w:t xml:space="preserve">gada </w:t>
      </w:r>
      <w:r w:rsidRPr="000B6D19">
        <w:rPr>
          <w:rFonts w:ascii="Times New Roman" w:hAnsi="Times New Roman" w:cs="Times New Roman"/>
          <w:sz w:val="24"/>
          <w:szCs w:val="24"/>
        </w:rPr>
        <w:t>4. decembrī</w:t>
      </w:r>
      <w:r>
        <w:rPr>
          <w:rFonts w:ascii="Times New Roman" w:hAnsi="Times New Roman" w:cs="Times New Roman"/>
          <w:sz w:val="24"/>
          <w:szCs w:val="24"/>
        </w:rPr>
        <w:t xml:space="preserve">. </w:t>
      </w:r>
      <w:r w:rsidR="004E0CD5">
        <w:rPr>
          <w:rFonts w:ascii="Times New Roman" w:hAnsi="Times New Roman" w:cs="Times New Roman"/>
          <w:sz w:val="24"/>
          <w:szCs w:val="24"/>
        </w:rPr>
        <w:t xml:space="preserve">Latvija atzinīgi novērtē paveikto attiecībā uz </w:t>
      </w:r>
      <w:r w:rsidR="00AA6CB1">
        <w:rPr>
          <w:rFonts w:ascii="Times New Roman" w:hAnsi="Times New Roman" w:cs="Times New Roman"/>
          <w:sz w:val="24"/>
          <w:szCs w:val="24"/>
        </w:rPr>
        <w:t xml:space="preserve">AER direktīvas pārskatu un kopumā uzskata, ka </w:t>
      </w:r>
      <w:r w:rsidR="00AA6CB1" w:rsidRPr="00AA6CB1">
        <w:rPr>
          <w:rFonts w:ascii="Times New Roman" w:hAnsi="Times New Roman" w:cs="Times New Roman"/>
          <w:sz w:val="24"/>
          <w:szCs w:val="24"/>
        </w:rPr>
        <w:t>daudzos jautājumos direktīvas pārskata priekšlikumā ir panākts sabalansēts kompromiss</w:t>
      </w:r>
      <w:r w:rsidR="00AA6CB1">
        <w:rPr>
          <w:rFonts w:ascii="Times New Roman" w:hAnsi="Times New Roman" w:cs="Times New Roman"/>
          <w:sz w:val="24"/>
          <w:szCs w:val="24"/>
        </w:rPr>
        <w:t xml:space="preserve">, kas nodrošinās straujāku pāreju uz atjaunojamo enerģiju ES līmenī. </w:t>
      </w:r>
    </w:p>
    <w:p w14:paraId="7CE66E62" w14:textId="11620BF2" w:rsidR="0077258E" w:rsidRPr="002E6E8C" w:rsidRDefault="0077258E" w:rsidP="002E6E8C">
      <w:pPr>
        <w:pStyle w:val="ListParagraph"/>
        <w:numPr>
          <w:ilvl w:val="0"/>
          <w:numId w:val="10"/>
        </w:numPr>
        <w:spacing w:before="120" w:after="120"/>
        <w:rPr>
          <w:rFonts w:ascii="Times New Roman" w:hAnsi="Times New Roman" w:cs="Times New Roman"/>
          <w:b/>
          <w:sz w:val="24"/>
          <w:szCs w:val="24"/>
        </w:rPr>
      </w:pPr>
      <w:r>
        <w:rPr>
          <w:rFonts w:ascii="Times New Roman" w:hAnsi="Times New Roman" w:cs="Times New Roman"/>
          <w:b/>
          <w:sz w:val="24"/>
          <w:szCs w:val="24"/>
        </w:rPr>
        <w:t>Elektroenerģijas regula</w:t>
      </w:r>
      <w:r w:rsidR="002E6E8C">
        <w:rPr>
          <w:rFonts w:ascii="Times New Roman" w:hAnsi="Times New Roman" w:cs="Times New Roman"/>
          <w:b/>
          <w:sz w:val="24"/>
          <w:szCs w:val="24"/>
        </w:rPr>
        <w:t xml:space="preserve"> un </w:t>
      </w:r>
      <w:r w:rsidRPr="002E6E8C">
        <w:rPr>
          <w:rFonts w:ascii="Times New Roman" w:hAnsi="Times New Roman" w:cs="Times New Roman"/>
          <w:b/>
          <w:sz w:val="24"/>
          <w:szCs w:val="24"/>
        </w:rPr>
        <w:t>Elektroenerģijas direktīva</w:t>
      </w:r>
    </w:p>
    <w:p w14:paraId="7F07B54B" w14:textId="5F69D3DB" w:rsidR="005606DD" w:rsidRDefault="005606DD" w:rsidP="00491023">
      <w:pPr>
        <w:spacing w:after="120"/>
        <w:ind w:firstLine="720"/>
        <w:jc w:val="both"/>
        <w:rPr>
          <w:rFonts w:ascii="Times New Roman" w:hAnsi="Times New Roman" w:cs="Times New Roman"/>
          <w:sz w:val="24"/>
          <w:szCs w:val="24"/>
        </w:rPr>
      </w:pPr>
      <w:r w:rsidRPr="005606DD">
        <w:rPr>
          <w:rFonts w:ascii="Times New Roman" w:hAnsi="Times New Roman" w:cs="Times New Roman"/>
          <w:sz w:val="24"/>
          <w:szCs w:val="24"/>
        </w:rPr>
        <w:t>Minētās regulas un direktīvas priekšlikumi ir pārstrādātas tiesību aktu redakcijas –regulas priekšlikums</w:t>
      </w:r>
      <w:r>
        <w:rPr>
          <w:rFonts w:ascii="Times New Roman" w:hAnsi="Times New Roman" w:cs="Times New Roman"/>
          <w:sz w:val="24"/>
          <w:szCs w:val="24"/>
        </w:rPr>
        <w:t xml:space="preserve"> </w:t>
      </w:r>
      <w:r w:rsidRPr="005606DD">
        <w:rPr>
          <w:rFonts w:ascii="Times New Roman" w:hAnsi="Times New Roman" w:cs="Times New Roman"/>
          <w:sz w:val="24"/>
          <w:szCs w:val="24"/>
        </w:rPr>
        <w:t xml:space="preserve">par elektroenerģijas iekšējo tirgu (pārstrādātā redakcija) (turpmāk – regulas priekšlikums) </w:t>
      </w:r>
      <w:r>
        <w:rPr>
          <w:rFonts w:ascii="Times New Roman" w:hAnsi="Times New Roman" w:cs="Times New Roman"/>
          <w:sz w:val="24"/>
          <w:szCs w:val="24"/>
        </w:rPr>
        <w:t>ir</w:t>
      </w:r>
      <w:r w:rsidRPr="005606DD">
        <w:rPr>
          <w:rFonts w:ascii="Times New Roman" w:hAnsi="Times New Roman" w:cs="Times New Roman"/>
          <w:sz w:val="24"/>
          <w:szCs w:val="24"/>
        </w:rPr>
        <w:t xml:space="preserve"> balstīts</w:t>
      </w:r>
      <w:r>
        <w:rPr>
          <w:rFonts w:ascii="Times New Roman" w:hAnsi="Times New Roman" w:cs="Times New Roman"/>
          <w:sz w:val="24"/>
          <w:szCs w:val="24"/>
        </w:rPr>
        <w:t xml:space="preserve"> uz Regulu Nr. 714/2009 par nosacījumiem attiecībā</w:t>
      </w:r>
      <w:r w:rsidRPr="005606DD">
        <w:rPr>
          <w:rFonts w:ascii="Times New Roman" w:hAnsi="Times New Roman" w:cs="Times New Roman"/>
          <w:sz w:val="24"/>
          <w:szCs w:val="24"/>
        </w:rPr>
        <w:t xml:space="preserve"> uz  piekļuvi  tīklam elektroenerģijas pārrobe</w:t>
      </w:r>
      <w:r>
        <w:rPr>
          <w:rFonts w:ascii="Times New Roman" w:hAnsi="Times New Roman" w:cs="Times New Roman"/>
          <w:sz w:val="24"/>
          <w:szCs w:val="24"/>
        </w:rPr>
        <w:t xml:space="preserve">žu tirdzniecībā, savukārt priekšlikums direktīvai </w:t>
      </w:r>
      <w:r w:rsidRPr="005606DD">
        <w:rPr>
          <w:rFonts w:ascii="Times New Roman" w:hAnsi="Times New Roman" w:cs="Times New Roman"/>
          <w:sz w:val="24"/>
          <w:szCs w:val="24"/>
        </w:rPr>
        <w:t>par kopīgiem noteikumiem attiecībā uz elektroenerģijas iekšējo tirgu (pārstrādātā redakcija) (turp</w:t>
      </w:r>
      <w:r>
        <w:rPr>
          <w:rFonts w:ascii="Times New Roman" w:hAnsi="Times New Roman" w:cs="Times New Roman"/>
          <w:sz w:val="24"/>
          <w:szCs w:val="24"/>
        </w:rPr>
        <w:t>māk – direktīvas priekšlikums) ir balstīts</w:t>
      </w:r>
      <w:r w:rsidRPr="005606DD">
        <w:rPr>
          <w:rFonts w:ascii="Times New Roman" w:hAnsi="Times New Roman" w:cs="Times New Roman"/>
          <w:sz w:val="24"/>
          <w:szCs w:val="24"/>
        </w:rPr>
        <w:t xml:space="preserve"> uz Direktīvu 2009/72/EK par kopīgiem noteikumiem attiecībā uz elektroenerģijas iekšējo tirgu.</w:t>
      </w:r>
      <w:r w:rsidR="008730AE">
        <w:rPr>
          <w:rFonts w:ascii="Times New Roman" w:hAnsi="Times New Roman" w:cs="Times New Roman"/>
          <w:sz w:val="24"/>
          <w:szCs w:val="24"/>
        </w:rPr>
        <w:t xml:space="preserve"> </w:t>
      </w:r>
      <w:r w:rsidR="008730AE" w:rsidRPr="008730AE">
        <w:rPr>
          <w:rFonts w:ascii="Times New Roman" w:hAnsi="Times New Roman" w:cs="Times New Roman"/>
          <w:sz w:val="24"/>
          <w:szCs w:val="24"/>
        </w:rPr>
        <w:t>Abi priekšlikumi  savā  starpā  ir  cieši  saistīti. To  primārais mērķis</w:t>
      </w:r>
      <w:r w:rsidR="008730AE">
        <w:rPr>
          <w:rFonts w:ascii="Times New Roman" w:hAnsi="Times New Roman" w:cs="Times New Roman"/>
          <w:sz w:val="24"/>
          <w:szCs w:val="24"/>
        </w:rPr>
        <w:t xml:space="preserve"> </w:t>
      </w:r>
      <w:r w:rsidR="008730AE" w:rsidRPr="008730AE">
        <w:rPr>
          <w:rFonts w:ascii="Times New Roman" w:hAnsi="Times New Roman" w:cs="Times New Roman"/>
          <w:sz w:val="24"/>
          <w:szCs w:val="24"/>
        </w:rPr>
        <w:t>ir,</w:t>
      </w:r>
      <w:r w:rsidR="008730AE">
        <w:rPr>
          <w:rFonts w:ascii="Times New Roman" w:hAnsi="Times New Roman" w:cs="Times New Roman"/>
          <w:sz w:val="24"/>
          <w:szCs w:val="24"/>
        </w:rPr>
        <w:t xml:space="preserve"> </w:t>
      </w:r>
      <w:r w:rsidR="008730AE" w:rsidRPr="008730AE">
        <w:rPr>
          <w:rFonts w:ascii="Times New Roman" w:hAnsi="Times New Roman" w:cs="Times New Roman"/>
          <w:sz w:val="24"/>
          <w:szCs w:val="24"/>
        </w:rPr>
        <w:t>palielinot elastīgumu,</w:t>
      </w:r>
      <w:r w:rsidR="008730AE">
        <w:rPr>
          <w:rFonts w:ascii="Times New Roman" w:hAnsi="Times New Roman" w:cs="Times New Roman"/>
          <w:sz w:val="24"/>
          <w:szCs w:val="24"/>
        </w:rPr>
        <w:t xml:space="preserve"> </w:t>
      </w:r>
      <w:r w:rsidR="008730AE" w:rsidRPr="008730AE">
        <w:rPr>
          <w:rFonts w:ascii="Times New Roman" w:hAnsi="Times New Roman" w:cs="Times New Roman"/>
          <w:sz w:val="24"/>
          <w:szCs w:val="24"/>
        </w:rPr>
        <w:t>pielāgot  pašreizējos  tirgus  noteikumus  jaunajiem  tirgus  apstākļiem,  ļaujot elektroenerģijai  brīvi  pārvietoties  uz  vietām,  kur  un  kad  tā  ir  visvairāk  nepieciešama, izmantojot nekropļotus cenu signālus un vienlaicīgi sniedzot lielākas iespējas patērētājam, gūstot  maksimālu  labumu  sabiedrībai  no  pārrobežu  konkurences  un  nodrošinot  pareizos signālus  un  stimulus,  lai  virzītu  investīcijas  u</w:t>
      </w:r>
      <w:r w:rsidR="0071780C">
        <w:rPr>
          <w:rFonts w:ascii="Times New Roman" w:hAnsi="Times New Roman" w:cs="Times New Roman"/>
          <w:sz w:val="24"/>
          <w:szCs w:val="24"/>
        </w:rPr>
        <w:t>n  padarītu  Eiropas  enerģijas</w:t>
      </w:r>
      <w:r w:rsidR="008730AE" w:rsidRPr="008730AE">
        <w:rPr>
          <w:rFonts w:ascii="Times New Roman" w:hAnsi="Times New Roman" w:cs="Times New Roman"/>
          <w:sz w:val="24"/>
          <w:szCs w:val="24"/>
        </w:rPr>
        <w:t xml:space="preserve"> sistēmu konkurētspējīgāku un ar zemām oglekļa emisijām</w:t>
      </w:r>
      <w:r w:rsidR="008730AE">
        <w:rPr>
          <w:rFonts w:ascii="Times New Roman" w:hAnsi="Times New Roman" w:cs="Times New Roman"/>
          <w:sz w:val="24"/>
          <w:szCs w:val="24"/>
        </w:rPr>
        <w:t>.</w:t>
      </w:r>
    </w:p>
    <w:p w14:paraId="2F5F18B6" w14:textId="54D2FEEB" w:rsidR="00115F35" w:rsidRDefault="00CB2C62" w:rsidP="00491023">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2018. gada </w:t>
      </w:r>
      <w:r w:rsidR="001F36BC">
        <w:rPr>
          <w:rFonts w:ascii="Times New Roman" w:hAnsi="Times New Roman" w:cs="Times New Roman"/>
          <w:sz w:val="24"/>
          <w:szCs w:val="24"/>
        </w:rPr>
        <w:t xml:space="preserve">5.decembra </w:t>
      </w:r>
      <w:r w:rsidR="002E6E8C" w:rsidRPr="002E6E8C">
        <w:rPr>
          <w:rFonts w:ascii="Times New Roman" w:hAnsi="Times New Roman" w:cs="Times New Roman"/>
          <w:sz w:val="24"/>
          <w:szCs w:val="24"/>
        </w:rPr>
        <w:t xml:space="preserve">COREPER I sanāksmē </w:t>
      </w:r>
      <w:r w:rsidR="002E6E8C">
        <w:rPr>
          <w:rFonts w:ascii="Times New Roman" w:hAnsi="Times New Roman" w:cs="Times New Roman"/>
          <w:sz w:val="24"/>
          <w:szCs w:val="24"/>
        </w:rPr>
        <w:t xml:space="preserve">tika apstiprināts mandāts piektajam </w:t>
      </w:r>
      <w:proofErr w:type="spellStart"/>
      <w:r w:rsidR="002E6E8C" w:rsidRPr="002E6E8C">
        <w:rPr>
          <w:rFonts w:ascii="Times New Roman" w:hAnsi="Times New Roman" w:cs="Times New Roman"/>
          <w:sz w:val="24"/>
          <w:szCs w:val="24"/>
        </w:rPr>
        <w:t>trialogam</w:t>
      </w:r>
      <w:proofErr w:type="spellEnd"/>
      <w:r w:rsidR="002E6E8C" w:rsidRPr="002E6E8C">
        <w:rPr>
          <w:rFonts w:ascii="Times New Roman" w:hAnsi="Times New Roman" w:cs="Times New Roman"/>
          <w:sz w:val="24"/>
          <w:szCs w:val="24"/>
        </w:rPr>
        <w:t xml:space="preserve"> par </w:t>
      </w:r>
      <w:r w:rsidR="0071780C">
        <w:rPr>
          <w:rFonts w:ascii="Times New Roman" w:hAnsi="Times New Roman" w:cs="Times New Roman"/>
          <w:sz w:val="24"/>
          <w:szCs w:val="24"/>
        </w:rPr>
        <w:t>regulas priekšlikumu</w:t>
      </w:r>
      <w:r w:rsidR="002E6E8C" w:rsidRPr="002E6E8C">
        <w:rPr>
          <w:rFonts w:ascii="Times New Roman" w:hAnsi="Times New Roman" w:cs="Times New Roman"/>
          <w:sz w:val="24"/>
          <w:szCs w:val="24"/>
        </w:rPr>
        <w:t xml:space="preserve"> un par </w:t>
      </w:r>
      <w:r w:rsidR="0071780C">
        <w:rPr>
          <w:rFonts w:ascii="Times New Roman" w:hAnsi="Times New Roman" w:cs="Times New Roman"/>
          <w:sz w:val="24"/>
          <w:szCs w:val="24"/>
        </w:rPr>
        <w:t xml:space="preserve">direktīvas priekšlikumu. </w:t>
      </w:r>
      <w:r w:rsidR="002E6E8C">
        <w:rPr>
          <w:rFonts w:ascii="Times New Roman" w:hAnsi="Times New Roman" w:cs="Times New Roman"/>
          <w:sz w:val="24"/>
          <w:szCs w:val="24"/>
        </w:rPr>
        <w:t xml:space="preserve"> </w:t>
      </w:r>
    </w:p>
    <w:p w14:paraId="7753DAB4" w14:textId="59CAC861" w:rsidR="00CB2C62" w:rsidRDefault="00CB2C62" w:rsidP="00CB2C62">
      <w:pPr>
        <w:spacing w:after="0"/>
        <w:ind w:firstLine="720"/>
        <w:jc w:val="both"/>
        <w:rPr>
          <w:rFonts w:ascii="Times New Roman" w:hAnsi="Times New Roman" w:cs="Times New Roman"/>
          <w:sz w:val="24"/>
          <w:szCs w:val="24"/>
        </w:rPr>
      </w:pPr>
      <w:r w:rsidRPr="00CB2C62">
        <w:rPr>
          <w:rFonts w:ascii="Times New Roman" w:hAnsi="Times New Roman" w:cs="Times New Roman"/>
          <w:sz w:val="24"/>
          <w:szCs w:val="24"/>
        </w:rPr>
        <w:t>ES Padomes vispārējā nostāja par abiem priekšlikumiem tika apstiprināta 2017.</w:t>
      </w:r>
      <w:r>
        <w:rPr>
          <w:rFonts w:ascii="Times New Roman" w:hAnsi="Times New Roman" w:cs="Times New Roman"/>
          <w:sz w:val="24"/>
          <w:szCs w:val="24"/>
        </w:rPr>
        <w:t xml:space="preserve"> </w:t>
      </w:r>
      <w:r w:rsidRPr="00CB2C62">
        <w:rPr>
          <w:rFonts w:ascii="Times New Roman" w:hAnsi="Times New Roman" w:cs="Times New Roman"/>
          <w:sz w:val="24"/>
          <w:szCs w:val="24"/>
        </w:rPr>
        <w:t>gada 18.</w:t>
      </w:r>
      <w:r>
        <w:rPr>
          <w:rFonts w:ascii="Times New Roman" w:hAnsi="Times New Roman" w:cs="Times New Roman"/>
          <w:sz w:val="24"/>
          <w:szCs w:val="24"/>
        </w:rPr>
        <w:t xml:space="preserve"> </w:t>
      </w:r>
      <w:r w:rsidRPr="00CB2C62">
        <w:rPr>
          <w:rFonts w:ascii="Times New Roman" w:hAnsi="Times New Roman" w:cs="Times New Roman"/>
          <w:sz w:val="24"/>
          <w:szCs w:val="24"/>
        </w:rPr>
        <w:t xml:space="preserve">decembrī. </w:t>
      </w:r>
      <w:r w:rsidR="0071780C">
        <w:rPr>
          <w:rFonts w:ascii="Times New Roman" w:hAnsi="Times New Roman" w:cs="Times New Roman"/>
          <w:sz w:val="24"/>
          <w:szCs w:val="24"/>
        </w:rPr>
        <w:t>Eiropas Parlamenta (turpmāk – EP)</w:t>
      </w:r>
      <w:r w:rsidRPr="00CB2C62">
        <w:rPr>
          <w:rFonts w:ascii="Times New Roman" w:hAnsi="Times New Roman" w:cs="Times New Roman"/>
          <w:sz w:val="24"/>
          <w:szCs w:val="24"/>
        </w:rPr>
        <w:t xml:space="preserve"> ziņojumi par abiem priekšlikumiem tika apstiprināti 2018.</w:t>
      </w:r>
      <w:r>
        <w:rPr>
          <w:rFonts w:ascii="Times New Roman" w:hAnsi="Times New Roman" w:cs="Times New Roman"/>
          <w:sz w:val="24"/>
          <w:szCs w:val="24"/>
        </w:rPr>
        <w:t xml:space="preserve"> </w:t>
      </w:r>
      <w:r w:rsidRPr="00CB2C62">
        <w:rPr>
          <w:rFonts w:ascii="Times New Roman" w:hAnsi="Times New Roman" w:cs="Times New Roman"/>
          <w:sz w:val="24"/>
          <w:szCs w:val="24"/>
        </w:rPr>
        <w:t>gada 21.</w:t>
      </w:r>
      <w:r>
        <w:rPr>
          <w:rFonts w:ascii="Times New Roman" w:hAnsi="Times New Roman" w:cs="Times New Roman"/>
          <w:sz w:val="24"/>
          <w:szCs w:val="24"/>
        </w:rPr>
        <w:t xml:space="preserve"> </w:t>
      </w:r>
      <w:r w:rsidRPr="00CB2C62">
        <w:rPr>
          <w:rFonts w:ascii="Times New Roman" w:hAnsi="Times New Roman" w:cs="Times New Roman"/>
          <w:sz w:val="24"/>
          <w:szCs w:val="24"/>
        </w:rPr>
        <w:t>februārī, bet 2018.</w:t>
      </w:r>
      <w:r>
        <w:rPr>
          <w:rFonts w:ascii="Times New Roman" w:hAnsi="Times New Roman" w:cs="Times New Roman"/>
          <w:sz w:val="24"/>
          <w:szCs w:val="24"/>
        </w:rPr>
        <w:t xml:space="preserve"> </w:t>
      </w:r>
      <w:r w:rsidRPr="00CB2C62">
        <w:rPr>
          <w:rFonts w:ascii="Times New Roman" w:hAnsi="Times New Roman" w:cs="Times New Roman"/>
          <w:sz w:val="24"/>
          <w:szCs w:val="24"/>
        </w:rPr>
        <w:t>gada 27.</w:t>
      </w:r>
      <w:r>
        <w:rPr>
          <w:rFonts w:ascii="Times New Roman" w:hAnsi="Times New Roman" w:cs="Times New Roman"/>
          <w:sz w:val="24"/>
          <w:szCs w:val="24"/>
        </w:rPr>
        <w:t xml:space="preserve"> </w:t>
      </w:r>
      <w:r w:rsidRPr="00CB2C62">
        <w:rPr>
          <w:rFonts w:ascii="Times New Roman" w:hAnsi="Times New Roman" w:cs="Times New Roman"/>
          <w:sz w:val="24"/>
          <w:szCs w:val="24"/>
        </w:rPr>
        <w:t>jūnijā, 11.</w:t>
      </w:r>
      <w:r>
        <w:rPr>
          <w:rFonts w:ascii="Times New Roman" w:hAnsi="Times New Roman" w:cs="Times New Roman"/>
          <w:sz w:val="24"/>
          <w:szCs w:val="24"/>
        </w:rPr>
        <w:t xml:space="preserve"> </w:t>
      </w:r>
      <w:r w:rsidRPr="00CB2C62">
        <w:rPr>
          <w:rFonts w:ascii="Times New Roman" w:hAnsi="Times New Roman" w:cs="Times New Roman"/>
          <w:sz w:val="24"/>
          <w:szCs w:val="24"/>
        </w:rPr>
        <w:t>septembrī, 18.</w:t>
      </w:r>
      <w:r>
        <w:rPr>
          <w:rFonts w:ascii="Times New Roman" w:hAnsi="Times New Roman" w:cs="Times New Roman"/>
          <w:sz w:val="24"/>
          <w:szCs w:val="24"/>
        </w:rPr>
        <w:t xml:space="preserve"> </w:t>
      </w:r>
      <w:r w:rsidRPr="00CB2C62">
        <w:rPr>
          <w:rFonts w:ascii="Times New Roman" w:hAnsi="Times New Roman" w:cs="Times New Roman"/>
          <w:sz w:val="24"/>
          <w:szCs w:val="24"/>
        </w:rPr>
        <w:t>oktobrī un 13.</w:t>
      </w:r>
      <w:r>
        <w:rPr>
          <w:rFonts w:ascii="Times New Roman" w:hAnsi="Times New Roman" w:cs="Times New Roman"/>
          <w:sz w:val="24"/>
          <w:szCs w:val="24"/>
        </w:rPr>
        <w:t xml:space="preserve"> </w:t>
      </w:r>
      <w:r w:rsidRPr="00CB2C62">
        <w:rPr>
          <w:rFonts w:ascii="Times New Roman" w:hAnsi="Times New Roman" w:cs="Times New Roman"/>
          <w:sz w:val="24"/>
          <w:szCs w:val="24"/>
        </w:rPr>
        <w:lastRenderedPageBreak/>
        <w:t xml:space="preserve">novembrī līdz šim ir notikuši četri </w:t>
      </w:r>
      <w:proofErr w:type="spellStart"/>
      <w:r w:rsidRPr="00CB2C62">
        <w:rPr>
          <w:rFonts w:ascii="Times New Roman" w:hAnsi="Times New Roman" w:cs="Times New Roman"/>
          <w:sz w:val="24"/>
          <w:szCs w:val="24"/>
        </w:rPr>
        <w:t>trialogi</w:t>
      </w:r>
      <w:proofErr w:type="spellEnd"/>
      <w:r w:rsidRPr="00CB2C62">
        <w:rPr>
          <w:rFonts w:ascii="Times New Roman" w:hAnsi="Times New Roman" w:cs="Times New Roman"/>
          <w:sz w:val="24"/>
          <w:szCs w:val="24"/>
        </w:rPr>
        <w:t>.</w:t>
      </w:r>
      <w:r>
        <w:rPr>
          <w:rFonts w:ascii="Times New Roman" w:hAnsi="Times New Roman" w:cs="Times New Roman"/>
          <w:sz w:val="24"/>
          <w:szCs w:val="24"/>
        </w:rPr>
        <w:t xml:space="preserve"> </w:t>
      </w:r>
      <w:r w:rsidRPr="00CB2C62">
        <w:rPr>
          <w:rFonts w:ascii="Times New Roman" w:hAnsi="Times New Roman" w:cs="Times New Roman"/>
          <w:sz w:val="24"/>
          <w:szCs w:val="24"/>
        </w:rPr>
        <w:t xml:space="preserve">Tiek plānots, ka piektais </w:t>
      </w:r>
      <w:proofErr w:type="spellStart"/>
      <w:r w:rsidRPr="00CB2C62">
        <w:rPr>
          <w:rFonts w:ascii="Times New Roman" w:hAnsi="Times New Roman" w:cs="Times New Roman"/>
          <w:sz w:val="24"/>
          <w:szCs w:val="24"/>
        </w:rPr>
        <w:t>trialogs</w:t>
      </w:r>
      <w:proofErr w:type="spellEnd"/>
      <w:r w:rsidRPr="00CB2C62">
        <w:rPr>
          <w:rFonts w:ascii="Times New Roman" w:hAnsi="Times New Roman" w:cs="Times New Roman"/>
          <w:sz w:val="24"/>
          <w:szCs w:val="24"/>
        </w:rPr>
        <w:t xml:space="preserve"> </w:t>
      </w:r>
      <w:r w:rsidR="00F91B40">
        <w:rPr>
          <w:rFonts w:ascii="Times New Roman" w:hAnsi="Times New Roman" w:cs="Times New Roman"/>
          <w:sz w:val="24"/>
          <w:szCs w:val="24"/>
        </w:rPr>
        <w:t xml:space="preserve">18. decembrī </w:t>
      </w:r>
      <w:r w:rsidRPr="00CB2C62">
        <w:rPr>
          <w:rFonts w:ascii="Times New Roman" w:hAnsi="Times New Roman" w:cs="Times New Roman"/>
          <w:sz w:val="24"/>
          <w:szCs w:val="24"/>
        </w:rPr>
        <w:t>varētu būt noslēdzošais.</w:t>
      </w:r>
    </w:p>
    <w:p w14:paraId="07ADBE02" w14:textId="0A5C0878" w:rsidR="00115F35" w:rsidRDefault="008730AE" w:rsidP="00115F35">
      <w:pPr>
        <w:pStyle w:val="ListParagraph"/>
        <w:spacing w:before="120" w:after="120"/>
        <w:rPr>
          <w:rFonts w:ascii="Times New Roman" w:hAnsi="Times New Roman" w:cs="Times New Roman"/>
          <w:b/>
          <w:sz w:val="24"/>
          <w:szCs w:val="24"/>
        </w:rPr>
      </w:pPr>
      <w:r>
        <w:rPr>
          <w:rFonts w:ascii="Times New Roman" w:hAnsi="Times New Roman" w:cs="Times New Roman"/>
          <w:b/>
          <w:sz w:val="24"/>
          <w:szCs w:val="24"/>
        </w:rPr>
        <w:t>Latvijas nostāja:</w:t>
      </w:r>
    </w:p>
    <w:p w14:paraId="6FACC85C" w14:textId="77777777" w:rsidR="008730AE" w:rsidRDefault="008730AE" w:rsidP="008730AE">
      <w:pPr>
        <w:spacing w:before="120" w:after="120"/>
        <w:ind w:firstLine="720"/>
        <w:jc w:val="both"/>
        <w:rPr>
          <w:rFonts w:ascii="Times New Roman" w:hAnsi="Times New Roman" w:cs="Times New Roman"/>
          <w:sz w:val="24"/>
          <w:szCs w:val="24"/>
        </w:rPr>
      </w:pPr>
      <w:r w:rsidRPr="008730AE">
        <w:rPr>
          <w:rFonts w:ascii="Times New Roman" w:hAnsi="Times New Roman" w:cs="Times New Roman"/>
          <w:sz w:val="24"/>
          <w:szCs w:val="24"/>
        </w:rPr>
        <w:t>Latvijai ir svarīgi, lai turpinās darbs pie Enerģētikas savienības ieviešanas, nodrošinot tam līdzsvarotu un visaptverošu pieeju.</w:t>
      </w:r>
      <w:r>
        <w:rPr>
          <w:rFonts w:ascii="Times New Roman" w:hAnsi="Times New Roman" w:cs="Times New Roman"/>
          <w:sz w:val="24"/>
          <w:szCs w:val="24"/>
        </w:rPr>
        <w:t xml:space="preserve"> </w:t>
      </w:r>
      <w:r w:rsidRPr="008730AE">
        <w:rPr>
          <w:rFonts w:ascii="Times New Roman" w:hAnsi="Times New Roman" w:cs="Times New Roman"/>
          <w:sz w:val="24"/>
          <w:szCs w:val="24"/>
        </w:rPr>
        <w:t>Enerģētikas savienības kontekstā ir būtiski veicināt iekšējā enerģijas tirgus izveides pabeigšanu.</w:t>
      </w:r>
    </w:p>
    <w:p w14:paraId="007324E3" w14:textId="61749690" w:rsidR="008730AE" w:rsidRDefault="008730AE" w:rsidP="008730AE">
      <w:pPr>
        <w:spacing w:before="120" w:after="120"/>
        <w:ind w:firstLine="720"/>
        <w:jc w:val="both"/>
        <w:rPr>
          <w:rFonts w:ascii="Times New Roman" w:hAnsi="Times New Roman" w:cs="Times New Roman"/>
          <w:sz w:val="24"/>
          <w:szCs w:val="24"/>
        </w:rPr>
      </w:pPr>
      <w:r w:rsidRPr="008730AE">
        <w:rPr>
          <w:rFonts w:ascii="Times New Roman" w:hAnsi="Times New Roman" w:cs="Times New Roman"/>
          <w:sz w:val="24"/>
          <w:szCs w:val="24"/>
        </w:rPr>
        <w:t>Latvija piekrīt, ka iekšējais tirgus būtu jāstiprina ne tikai ar infrastruktūras palīdzību, kas neapšaubāmi ir priekšnosacījums brīvas elektroenerģijas plūsmai, bet arī attīstot tiesisko ietvaru un stiprinot reģionālo sadarbību. Latvija atbalsta elektroenerģijas tirgus modeļa pārskatīšanu un kopumā pozitīvi vērtē jauno regulas un direktīvas</w:t>
      </w:r>
      <w:r>
        <w:rPr>
          <w:rFonts w:ascii="Times New Roman" w:hAnsi="Times New Roman" w:cs="Times New Roman"/>
          <w:sz w:val="24"/>
          <w:szCs w:val="24"/>
        </w:rPr>
        <w:t xml:space="preserve"> </w:t>
      </w:r>
      <w:r w:rsidRPr="008730AE">
        <w:rPr>
          <w:rFonts w:ascii="Times New Roman" w:hAnsi="Times New Roman" w:cs="Times New Roman"/>
          <w:sz w:val="24"/>
          <w:szCs w:val="24"/>
        </w:rPr>
        <w:t>priekšlikumu mērķi.</w:t>
      </w:r>
    </w:p>
    <w:p w14:paraId="50C0EA47" w14:textId="055501B4" w:rsidR="008730AE" w:rsidRDefault="008730AE" w:rsidP="008730AE">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Latvija uzskata, ka</w:t>
      </w:r>
      <w:r w:rsidRPr="008730AE">
        <w:rPr>
          <w:rFonts w:ascii="Times New Roman" w:hAnsi="Times New Roman" w:cs="Times New Roman"/>
          <w:sz w:val="24"/>
          <w:szCs w:val="24"/>
        </w:rPr>
        <w:t xml:space="preserve"> b</w:t>
      </w:r>
      <w:r>
        <w:rPr>
          <w:rFonts w:ascii="Times New Roman" w:hAnsi="Times New Roman" w:cs="Times New Roman"/>
          <w:sz w:val="24"/>
          <w:szCs w:val="24"/>
        </w:rPr>
        <w:t>ūtisks jaunā elektroenerģijas</w:t>
      </w:r>
      <w:r w:rsidRPr="008730AE">
        <w:rPr>
          <w:rFonts w:ascii="Times New Roman" w:hAnsi="Times New Roman" w:cs="Times New Roman"/>
          <w:sz w:val="24"/>
          <w:szCs w:val="24"/>
        </w:rPr>
        <w:t xml:space="preserve"> tirgus modeļa</w:t>
      </w:r>
      <w:r>
        <w:rPr>
          <w:rFonts w:ascii="Times New Roman" w:hAnsi="Times New Roman" w:cs="Times New Roman"/>
          <w:sz w:val="24"/>
          <w:szCs w:val="24"/>
        </w:rPr>
        <w:t xml:space="preserve"> elements ir kā vairumtirdzniecības, tā mazumtirdzniecības nosacījumu </w:t>
      </w:r>
      <w:r w:rsidRPr="008730AE">
        <w:rPr>
          <w:rFonts w:ascii="Times New Roman" w:hAnsi="Times New Roman" w:cs="Times New Roman"/>
          <w:sz w:val="24"/>
          <w:szCs w:val="24"/>
        </w:rPr>
        <w:t>uzlabošana.</w:t>
      </w:r>
      <w:r>
        <w:rPr>
          <w:rFonts w:ascii="Times New Roman" w:hAnsi="Times New Roman" w:cs="Times New Roman"/>
          <w:sz w:val="24"/>
          <w:szCs w:val="24"/>
        </w:rPr>
        <w:t xml:space="preserve"> E</w:t>
      </w:r>
      <w:r w:rsidRPr="008730AE">
        <w:rPr>
          <w:rFonts w:ascii="Times New Roman" w:hAnsi="Times New Roman" w:cs="Times New Roman"/>
          <w:sz w:val="24"/>
          <w:szCs w:val="24"/>
        </w:rPr>
        <w:t>lektroenerģijas tirgus modeļa</w:t>
      </w:r>
      <w:r>
        <w:rPr>
          <w:rFonts w:ascii="Times New Roman" w:hAnsi="Times New Roman" w:cs="Times New Roman"/>
          <w:sz w:val="24"/>
          <w:szCs w:val="24"/>
        </w:rPr>
        <w:t xml:space="preserve"> </w:t>
      </w:r>
      <w:r w:rsidRPr="008730AE">
        <w:rPr>
          <w:rFonts w:ascii="Times New Roman" w:hAnsi="Times New Roman" w:cs="Times New Roman"/>
          <w:sz w:val="24"/>
          <w:szCs w:val="24"/>
        </w:rPr>
        <w:t>priekšlikumiem ir jānodrošina, lai tirgus sniedz skaidrus cenu signālus</w:t>
      </w:r>
      <w:r>
        <w:rPr>
          <w:rFonts w:ascii="Times New Roman" w:hAnsi="Times New Roman" w:cs="Times New Roman"/>
          <w:sz w:val="24"/>
          <w:szCs w:val="24"/>
        </w:rPr>
        <w:t xml:space="preserve"> </w:t>
      </w:r>
      <w:r w:rsidRPr="008730AE">
        <w:rPr>
          <w:rFonts w:ascii="Times New Roman" w:hAnsi="Times New Roman" w:cs="Times New Roman"/>
          <w:sz w:val="24"/>
          <w:szCs w:val="24"/>
        </w:rPr>
        <w:t>gan investoriem, gan patērētājiem. Latvija atbalsta pēc iespējas ātrāku virzību uz sistēmu, kurā pastāvētu uz tirgu pamatota cenu veidošana. Latvija uzsver, ka situācijā, kad</w:t>
      </w:r>
      <w:r>
        <w:rPr>
          <w:rFonts w:ascii="Times New Roman" w:hAnsi="Times New Roman" w:cs="Times New Roman"/>
          <w:sz w:val="24"/>
          <w:szCs w:val="24"/>
        </w:rPr>
        <w:t xml:space="preserve"> </w:t>
      </w:r>
      <w:r w:rsidRPr="008730AE">
        <w:rPr>
          <w:rFonts w:ascii="Times New Roman" w:hAnsi="Times New Roman" w:cs="Times New Roman"/>
          <w:sz w:val="24"/>
          <w:szCs w:val="24"/>
        </w:rPr>
        <w:t>vienā reģionā ir gan valstis ar regulētām cenām, gan valstis ar neregulētām cenām, tiek kropļots tirgus.</w:t>
      </w:r>
    </w:p>
    <w:p w14:paraId="292EFF27" w14:textId="399B00FF" w:rsidR="008730AE" w:rsidRDefault="008730AE" w:rsidP="008730AE">
      <w:pPr>
        <w:spacing w:before="120" w:after="120"/>
        <w:ind w:firstLine="720"/>
        <w:jc w:val="both"/>
        <w:rPr>
          <w:rFonts w:ascii="Times New Roman" w:hAnsi="Times New Roman" w:cs="Times New Roman"/>
          <w:sz w:val="24"/>
          <w:szCs w:val="24"/>
        </w:rPr>
      </w:pPr>
      <w:r w:rsidRPr="008730AE">
        <w:rPr>
          <w:rFonts w:ascii="Times New Roman" w:hAnsi="Times New Roman" w:cs="Times New Roman"/>
          <w:sz w:val="24"/>
          <w:szCs w:val="24"/>
        </w:rPr>
        <w:t>Latvija atzinīgi vērtē patērētāju interešu aizsardzības stiprināšanu jaunajos priekšlikumos.</w:t>
      </w:r>
    </w:p>
    <w:p w14:paraId="0A82192C" w14:textId="73FB6871" w:rsidR="008730AE" w:rsidRDefault="008730AE" w:rsidP="008730AE">
      <w:pPr>
        <w:spacing w:before="120" w:after="120"/>
        <w:ind w:firstLine="720"/>
        <w:jc w:val="both"/>
        <w:rPr>
          <w:rFonts w:ascii="Times New Roman" w:hAnsi="Times New Roman" w:cs="Times New Roman"/>
          <w:sz w:val="24"/>
          <w:szCs w:val="24"/>
        </w:rPr>
      </w:pPr>
      <w:r w:rsidRPr="008730AE">
        <w:rPr>
          <w:rFonts w:ascii="Times New Roman" w:hAnsi="Times New Roman" w:cs="Times New Roman"/>
          <w:sz w:val="24"/>
          <w:szCs w:val="24"/>
        </w:rPr>
        <w:t>Latvija  atbalsta informācijas sniegšanas patērētājiem</w:t>
      </w:r>
      <w:r>
        <w:rPr>
          <w:rFonts w:ascii="Times New Roman" w:hAnsi="Times New Roman" w:cs="Times New Roman"/>
          <w:sz w:val="24"/>
          <w:szCs w:val="24"/>
        </w:rPr>
        <w:t xml:space="preserve"> </w:t>
      </w:r>
      <w:r w:rsidRPr="008730AE">
        <w:rPr>
          <w:rFonts w:ascii="Times New Roman" w:hAnsi="Times New Roman" w:cs="Times New Roman"/>
          <w:sz w:val="24"/>
          <w:szCs w:val="24"/>
        </w:rPr>
        <w:t>nepieciešamību tādā veidā, lai tie varētu izvērtēt savu patēriņu, efektīvi salīdzināt cenas, kā arī balstīt savu izvēli uz informāciju par  enerģijas  ražošanā  izmantotajiem  resursiem</w:t>
      </w:r>
      <w:r w:rsidR="001F36BC">
        <w:rPr>
          <w:rFonts w:ascii="Times New Roman" w:hAnsi="Times New Roman" w:cs="Times New Roman"/>
          <w:sz w:val="24"/>
          <w:szCs w:val="24"/>
        </w:rPr>
        <w:t xml:space="preserve"> </w:t>
      </w:r>
      <w:r w:rsidRPr="008730AE">
        <w:rPr>
          <w:rFonts w:ascii="Times New Roman" w:hAnsi="Times New Roman" w:cs="Times New Roman"/>
          <w:sz w:val="24"/>
          <w:szCs w:val="24"/>
        </w:rPr>
        <w:t>(AER  vai  fosilajiem)  kā  arī  citiem parametriem, kas ļautu spriest par izdevīgāko piedāvājumu</w:t>
      </w:r>
      <w:r w:rsidR="001F36BC">
        <w:rPr>
          <w:rFonts w:ascii="Times New Roman" w:hAnsi="Times New Roman" w:cs="Times New Roman"/>
          <w:sz w:val="24"/>
          <w:szCs w:val="24"/>
        </w:rPr>
        <w:t>.</w:t>
      </w:r>
    </w:p>
    <w:p w14:paraId="6E928D83" w14:textId="3F4C5603" w:rsidR="0043297F" w:rsidRPr="008730AE" w:rsidRDefault="001F36BC" w:rsidP="0043297F">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Vienlaikus, Latvijai svarīgi, lai priekšlikumi neradītu negatīvas sekas Baltijas valstu sinhronizācijas projektam ar Centrāleiropas tīkliem, tādējādi īpaši būtiski Latvijai ir priekšlikumos noteikt tādu regulējumu, kas neierobežos pārvades sistēmas operatora tiesības turēt īpašumā tādas uzglabāšanas iekārtas kā sinhronie kondensatori.</w:t>
      </w:r>
    </w:p>
    <w:p w14:paraId="5D5F88EA" w14:textId="6B2E4979" w:rsidR="0077258E" w:rsidRDefault="0077258E" w:rsidP="0077258E">
      <w:pPr>
        <w:pStyle w:val="ListParagraph"/>
        <w:numPr>
          <w:ilvl w:val="0"/>
          <w:numId w:val="10"/>
        </w:numPr>
        <w:spacing w:before="120" w:after="120"/>
        <w:rPr>
          <w:rFonts w:ascii="Times New Roman" w:hAnsi="Times New Roman" w:cs="Times New Roman"/>
          <w:b/>
          <w:sz w:val="24"/>
          <w:szCs w:val="24"/>
        </w:rPr>
      </w:pPr>
      <w:r>
        <w:rPr>
          <w:rFonts w:ascii="Times New Roman" w:hAnsi="Times New Roman" w:cs="Times New Roman"/>
          <w:b/>
          <w:sz w:val="24"/>
          <w:szCs w:val="24"/>
        </w:rPr>
        <w:t xml:space="preserve">Regula par </w:t>
      </w:r>
      <w:proofErr w:type="spellStart"/>
      <w:r>
        <w:rPr>
          <w:rFonts w:ascii="Times New Roman" w:hAnsi="Times New Roman" w:cs="Times New Roman"/>
          <w:b/>
          <w:sz w:val="24"/>
          <w:szCs w:val="24"/>
        </w:rPr>
        <w:t>riskgatavību</w:t>
      </w:r>
      <w:proofErr w:type="spellEnd"/>
      <w:r>
        <w:rPr>
          <w:rFonts w:ascii="Times New Roman" w:hAnsi="Times New Roman" w:cs="Times New Roman"/>
          <w:b/>
          <w:sz w:val="24"/>
          <w:szCs w:val="24"/>
        </w:rPr>
        <w:t xml:space="preserve"> elektroenerģijas sektorā</w:t>
      </w:r>
    </w:p>
    <w:p w14:paraId="5C43582D" w14:textId="6AA43A8E" w:rsidR="00A31042" w:rsidRDefault="002E6E8C" w:rsidP="0043297F">
      <w:pPr>
        <w:spacing w:after="120"/>
        <w:ind w:firstLine="720"/>
        <w:jc w:val="both"/>
        <w:rPr>
          <w:rFonts w:ascii="Times New Roman" w:hAnsi="Times New Roman" w:cs="Times New Roman"/>
          <w:sz w:val="24"/>
          <w:szCs w:val="24"/>
        </w:rPr>
      </w:pPr>
      <w:r w:rsidRPr="00A31042">
        <w:rPr>
          <w:rFonts w:ascii="Times New Roman" w:hAnsi="Times New Roman" w:cs="Times New Roman"/>
          <w:sz w:val="24"/>
          <w:szCs w:val="24"/>
        </w:rPr>
        <w:t>Ierosinātā regula nosaka vienotu noteikumu sistēmu par to, kā novērst, sagatavoties elektroenerģijas krīzes situācijām un pārvaldīt tās, kā arī nodrošina ietvaru sistemātiskākai piegādes drošības jautājumu uzraudzībai.</w:t>
      </w:r>
      <w:r>
        <w:rPr>
          <w:rFonts w:ascii="Times New Roman" w:hAnsi="Times New Roman" w:cs="Times New Roman"/>
          <w:sz w:val="24"/>
          <w:szCs w:val="24"/>
        </w:rPr>
        <w:t xml:space="preserve"> </w:t>
      </w:r>
      <w:r w:rsidR="00A31042">
        <w:rPr>
          <w:rFonts w:ascii="Times New Roman" w:hAnsi="Times New Roman" w:cs="Times New Roman"/>
          <w:sz w:val="24"/>
          <w:szCs w:val="24"/>
        </w:rPr>
        <w:t>ES</w:t>
      </w:r>
      <w:r w:rsidR="00A31042" w:rsidRPr="00A31042">
        <w:rPr>
          <w:rFonts w:ascii="Times New Roman" w:hAnsi="Times New Roman" w:cs="Times New Roman"/>
          <w:sz w:val="24"/>
          <w:szCs w:val="24"/>
        </w:rPr>
        <w:t xml:space="preserve"> Padomes vispārējā nostāja par priekšlikumu </w:t>
      </w:r>
      <w:r w:rsidR="00A31042">
        <w:rPr>
          <w:rFonts w:ascii="Times New Roman" w:hAnsi="Times New Roman" w:cs="Times New Roman"/>
          <w:sz w:val="24"/>
          <w:szCs w:val="24"/>
        </w:rPr>
        <w:t xml:space="preserve">par gatavību riskiem elektroenerģijas sektorā </w:t>
      </w:r>
      <w:r w:rsidR="00A31042" w:rsidRPr="00A31042">
        <w:rPr>
          <w:rFonts w:ascii="Times New Roman" w:hAnsi="Times New Roman" w:cs="Times New Roman"/>
          <w:sz w:val="24"/>
          <w:szCs w:val="24"/>
        </w:rPr>
        <w:t xml:space="preserve">tika apstiprināta 2017. gada 16. novembrī. </w:t>
      </w:r>
      <w:r w:rsidR="0043297F">
        <w:rPr>
          <w:rFonts w:ascii="Times New Roman" w:hAnsi="Times New Roman" w:cs="Times New Roman"/>
          <w:sz w:val="24"/>
          <w:szCs w:val="24"/>
        </w:rPr>
        <w:t>EP</w:t>
      </w:r>
      <w:r w:rsidR="00A31042" w:rsidRPr="00A31042">
        <w:rPr>
          <w:rFonts w:ascii="Times New Roman" w:hAnsi="Times New Roman" w:cs="Times New Roman"/>
          <w:sz w:val="24"/>
          <w:szCs w:val="24"/>
        </w:rPr>
        <w:t xml:space="preserve"> ziņojums par priekšlikumu tika apstiprināts 2018. gada 21. februārī.</w:t>
      </w:r>
      <w:r w:rsidR="00A31042">
        <w:rPr>
          <w:rFonts w:ascii="Times New Roman" w:hAnsi="Times New Roman" w:cs="Times New Roman"/>
          <w:sz w:val="24"/>
          <w:szCs w:val="24"/>
        </w:rPr>
        <w:t xml:space="preserve"> </w:t>
      </w:r>
    </w:p>
    <w:p w14:paraId="2489D2D1" w14:textId="4F66B2FD" w:rsidR="00D74DEF" w:rsidRPr="00A31042" w:rsidRDefault="00A31042" w:rsidP="0043297F">
      <w:pPr>
        <w:spacing w:after="120"/>
        <w:ind w:firstLine="720"/>
        <w:jc w:val="both"/>
        <w:rPr>
          <w:rFonts w:ascii="Times New Roman" w:hAnsi="Times New Roman" w:cs="Times New Roman"/>
          <w:sz w:val="24"/>
          <w:szCs w:val="24"/>
        </w:rPr>
      </w:pPr>
      <w:r w:rsidRPr="00A31042">
        <w:rPr>
          <w:rFonts w:ascii="Times New Roman" w:hAnsi="Times New Roman" w:cs="Times New Roman"/>
          <w:sz w:val="24"/>
          <w:szCs w:val="24"/>
        </w:rPr>
        <w:t xml:space="preserve">Trešais un gala </w:t>
      </w:r>
      <w:proofErr w:type="spellStart"/>
      <w:r w:rsidRPr="00A31042">
        <w:rPr>
          <w:rFonts w:ascii="Times New Roman" w:hAnsi="Times New Roman" w:cs="Times New Roman"/>
          <w:sz w:val="24"/>
          <w:szCs w:val="24"/>
        </w:rPr>
        <w:t>trialogs</w:t>
      </w:r>
      <w:proofErr w:type="spellEnd"/>
      <w:r w:rsidRPr="00A31042">
        <w:rPr>
          <w:rFonts w:ascii="Times New Roman" w:hAnsi="Times New Roman" w:cs="Times New Roman"/>
          <w:sz w:val="24"/>
          <w:szCs w:val="24"/>
        </w:rPr>
        <w:t xml:space="preserve"> par regulu  par </w:t>
      </w:r>
      <w:proofErr w:type="spellStart"/>
      <w:r w:rsidRPr="00A31042">
        <w:rPr>
          <w:rFonts w:ascii="Times New Roman" w:hAnsi="Times New Roman" w:cs="Times New Roman"/>
          <w:sz w:val="24"/>
          <w:szCs w:val="24"/>
        </w:rPr>
        <w:t>riskgatavību</w:t>
      </w:r>
      <w:proofErr w:type="spellEnd"/>
      <w:r w:rsidRPr="00A31042">
        <w:rPr>
          <w:rFonts w:ascii="Times New Roman" w:hAnsi="Times New Roman" w:cs="Times New Roman"/>
          <w:sz w:val="24"/>
          <w:szCs w:val="24"/>
        </w:rPr>
        <w:t xml:space="preserve"> elektroenerģijas sektorā norisinājās 2018. gada 22. novembr</w:t>
      </w:r>
      <w:r w:rsidR="002E6E8C">
        <w:rPr>
          <w:rFonts w:ascii="Times New Roman" w:hAnsi="Times New Roman" w:cs="Times New Roman"/>
          <w:sz w:val="24"/>
          <w:szCs w:val="24"/>
        </w:rPr>
        <w:t>ī, kurā AT PRES</w:t>
      </w:r>
      <w:r w:rsidRPr="00A31042">
        <w:rPr>
          <w:rFonts w:ascii="Times New Roman" w:hAnsi="Times New Roman" w:cs="Times New Roman"/>
          <w:sz w:val="24"/>
          <w:szCs w:val="24"/>
        </w:rPr>
        <w:t xml:space="preserve"> un Eiropas Parlaments (EP) vienojās par priekšlikuma gala teksta redakciju.</w:t>
      </w:r>
      <w:r>
        <w:rPr>
          <w:rFonts w:ascii="Times New Roman" w:hAnsi="Times New Roman" w:cs="Times New Roman"/>
          <w:sz w:val="24"/>
          <w:szCs w:val="24"/>
        </w:rPr>
        <w:t xml:space="preserve"> </w:t>
      </w:r>
      <w:r w:rsidRPr="00A31042">
        <w:rPr>
          <w:rFonts w:ascii="Times New Roman" w:hAnsi="Times New Roman" w:cs="Times New Roman"/>
          <w:sz w:val="24"/>
          <w:szCs w:val="24"/>
        </w:rPr>
        <w:t>Pastāvīgo pārstāvju komiteja (COREPER I) 5. decembrī</w:t>
      </w:r>
      <w:r>
        <w:rPr>
          <w:rFonts w:ascii="Times New Roman" w:hAnsi="Times New Roman" w:cs="Times New Roman"/>
          <w:sz w:val="24"/>
          <w:szCs w:val="24"/>
        </w:rPr>
        <w:t xml:space="preserve"> atbalstīja gala kompromisa tekstu. </w:t>
      </w:r>
    </w:p>
    <w:p w14:paraId="69C593AD" w14:textId="2040427C" w:rsidR="00115F35" w:rsidRPr="00A31042" w:rsidRDefault="00A31042" w:rsidP="00A31042">
      <w:pPr>
        <w:spacing w:before="120" w:after="120"/>
        <w:ind w:firstLine="720"/>
        <w:rPr>
          <w:rFonts w:ascii="Times New Roman" w:hAnsi="Times New Roman" w:cs="Times New Roman"/>
          <w:b/>
          <w:sz w:val="24"/>
          <w:szCs w:val="24"/>
        </w:rPr>
      </w:pPr>
      <w:r w:rsidRPr="00A31042">
        <w:rPr>
          <w:rFonts w:ascii="Times New Roman" w:hAnsi="Times New Roman" w:cs="Times New Roman"/>
          <w:b/>
          <w:sz w:val="24"/>
          <w:szCs w:val="24"/>
        </w:rPr>
        <w:t xml:space="preserve">Latvijas nostāja: </w:t>
      </w:r>
    </w:p>
    <w:p w14:paraId="715A4BDC" w14:textId="5295DAE3" w:rsidR="00A31042" w:rsidRDefault="00A31042" w:rsidP="00A31042">
      <w:pPr>
        <w:spacing w:before="120" w:after="120"/>
        <w:ind w:firstLine="720"/>
        <w:jc w:val="both"/>
        <w:rPr>
          <w:rFonts w:ascii="Times New Roman" w:hAnsi="Times New Roman" w:cs="Times New Roman"/>
          <w:sz w:val="24"/>
          <w:szCs w:val="24"/>
        </w:rPr>
      </w:pPr>
      <w:r w:rsidRPr="00A31042">
        <w:rPr>
          <w:rFonts w:ascii="Times New Roman" w:hAnsi="Times New Roman" w:cs="Times New Roman"/>
          <w:sz w:val="24"/>
          <w:szCs w:val="24"/>
        </w:rPr>
        <w:t>Latvija atbalsta Regulas priekšlikuma</w:t>
      </w:r>
      <w:r>
        <w:rPr>
          <w:rFonts w:ascii="Times New Roman" w:hAnsi="Times New Roman" w:cs="Times New Roman"/>
          <w:sz w:val="24"/>
          <w:szCs w:val="24"/>
        </w:rPr>
        <w:t xml:space="preserve"> </w:t>
      </w:r>
      <w:r w:rsidRPr="00A31042">
        <w:rPr>
          <w:rFonts w:ascii="Times New Roman" w:hAnsi="Times New Roman" w:cs="Times New Roman"/>
          <w:sz w:val="24"/>
          <w:szCs w:val="24"/>
        </w:rPr>
        <w:t xml:space="preserve">ieceri nodrošināt, ka ES dalībvalstis ievieš atbilstošus, savstarpēji koordinētus instrumentus, lai būtu sagatavotas un spētu pārvaldīt elektroenerģijas krīzes situācijas. Latvija piekrīt EK </w:t>
      </w:r>
      <w:proofErr w:type="spellStart"/>
      <w:r w:rsidRPr="00A31042">
        <w:rPr>
          <w:rFonts w:ascii="Times New Roman" w:hAnsi="Times New Roman" w:cs="Times New Roman"/>
          <w:sz w:val="24"/>
          <w:szCs w:val="24"/>
        </w:rPr>
        <w:t>nostājai</w:t>
      </w:r>
      <w:proofErr w:type="spellEnd"/>
      <w:r w:rsidRPr="00A31042">
        <w:rPr>
          <w:rFonts w:ascii="Times New Roman" w:hAnsi="Times New Roman" w:cs="Times New Roman"/>
          <w:sz w:val="24"/>
          <w:szCs w:val="24"/>
        </w:rPr>
        <w:t>, ka nekoordinētas dalībvalstu darbības krīzes situācijās var graut tirgus  darbību  un  apdraudēt  energoapgādes  drošumu.</w:t>
      </w:r>
    </w:p>
    <w:p w14:paraId="59FB15B3" w14:textId="42920BB9" w:rsidR="001F36BC" w:rsidRDefault="001F36BC" w:rsidP="00A31042">
      <w:pPr>
        <w:spacing w:before="120" w:after="120"/>
        <w:ind w:firstLine="720"/>
        <w:jc w:val="both"/>
        <w:rPr>
          <w:rFonts w:ascii="Times New Roman" w:hAnsi="Times New Roman" w:cs="Times New Roman"/>
          <w:sz w:val="24"/>
          <w:szCs w:val="24"/>
        </w:rPr>
      </w:pPr>
      <w:r w:rsidRPr="00606F2A">
        <w:rPr>
          <w:rFonts w:ascii="Times New Roman" w:hAnsi="Times New Roman" w:cs="Times New Roman"/>
          <w:sz w:val="24"/>
          <w:szCs w:val="24"/>
        </w:rPr>
        <w:t xml:space="preserve">Latvija atzinīgi vērtē un atbalsta Prezidentūras sagatavoto gala kompromisa teksta redakciju </w:t>
      </w:r>
      <w:proofErr w:type="spellStart"/>
      <w:r w:rsidRPr="00606F2A">
        <w:rPr>
          <w:rFonts w:ascii="Times New Roman" w:hAnsi="Times New Roman" w:cs="Times New Roman"/>
          <w:sz w:val="24"/>
          <w:szCs w:val="24"/>
        </w:rPr>
        <w:t>Riskgatavības</w:t>
      </w:r>
      <w:proofErr w:type="spellEnd"/>
      <w:r w:rsidRPr="00606F2A">
        <w:rPr>
          <w:rFonts w:ascii="Times New Roman" w:hAnsi="Times New Roman" w:cs="Times New Roman"/>
          <w:sz w:val="24"/>
          <w:szCs w:val="24"/>
        </w:rPr>
        <w:t xml:space="preserve"> regulas priekšlikumam.</w:t>
      </w:r>
    </w:p>
    <w:p w14:paraId="417A80D4" w14:textId="0DA3F175" w:rsidR="0077258E" w:rsidRDefault="00617FFD" w:rsidP="0077258E">
      <w:pPr>
        <w:pStyle w:val="ListParagraph"/>
        <w:numPr>
          <w:ilvl w:val="0"/>
          <w:numId w:val="10"/>
        </w:numPr>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 xml:space="preserve">Regula par </w:t>
      </w:r>
      <w:r w:rsidR="0077258E" w:rsidRPr="0077258E">
        <w:rPr>
          <w:rFonts w:ascii="Times New Roman" w:hAnsi="Times New Roman" w:cs="Times New Roman"/>
          <w:b/>
          <w:sz w:val="24"/>
          <w:szCs w:val="24"/>
        </w:rPr>
        <w:t xml:space="preserve">Eiropas Savienības </w:t>
      </w:r>
      <w:proofErr w:type="spellStart"/>
      <w:r w:rsidR="0077258E" w:rsidRPr="0077258E">
        <w:rPr>
          <w:rFonts w:ascii="Times New Roman" w:hAnsi="Times New Roman" w:cs="Times New Roman"/>
          <w:b/>
          <w:sz w:val="24"/>
          <w:szCs w:val="24"/>
        </w:rPr>
        <w:t>Energoregulatoru</w:t>
      </w:r>
      <w:proofErr w:type="spellEnd"/>
      <w:r w:rsidR="0077258E" w:rsidRPr="0077258E">
        <w:rPr>
          <w:rFonts w:ascii="Times New Roman" w:hAnsi="Times New Roman" w:cs="Times New Roman"/>
          <w:b/>
          <w:sz w:val="24"/>
          <w:szCs w:val="24"/>
        </w:rPr>
        <w:t xml:space="preserve"> sadarbības aģentūru (ACER)</w:t>
      </w:r>
    </w:p>
    <w:p w14:paraId="12317F74" w14:textId="0746C114" w:rsidR="00115F35" w:rsidRPr="00115F35" w:rsidRDefault="00115F35" w:rsidP="00115F35">
      <w:pPr>
        <w:pStyle w:val="ListParagraph"/>
        <w:numPr>
          <w:ilvl w:val="0"/>
          <w:numId w:val="14"/>
        </w:numPr>
        <w:rPr>
          <w:rFonts w:ascii="Times New Roman" w:hAnsi="Times New Roman" w:cs="Times New Roman"/>
          <w:i/>
          <w:sz w:val="24"/>
          <w:szCs w:val="24"/>
        </w:rPr>
      </w:pPr>
      <w:r>
        <w:rPr>
          <w:rFonts w:ascii="Times New Roman" w:hAnsi="Times New Roman" w:cs="Times New Roman"/>
          <w:i/>
          <w:sz w:val="24"/>
          <w:szCs w:val="24"/>
        </w:rPr>
        <w:t>AT PRES</w:t>
      </w:r>
      <w:r w:rsidRPr="00115F35">
        <w:rPr>
          <w:rFonts w:ascii="Times New Roman" w:hAnsi="Times New Roman" w:cs="Times New Roman"/>
          <w:i/>
          <w:sz w:val="24"/>
          <w:szCs w:val="24"/>
        </w:rPr>
        <w:t xml:space="preserve"> ziņojums </w:t>
      </w:r>
    </w:p>
    <w:p w14:paraId="00223289" w14:textId="30DBA028" w:rsidR="00115F35" w:rsidRDefault="00115F35" w:rsidP="00115F35">
      <w:pPr>
        <w:spacing w:after="120" w:line="240" w:lineRule="auto"/>
        <w:ind w:firstLine="720"/>
        <w:jc w:val="both"/>
        <w:rPr>
          <w:rFonts w:ascii="Times New Roman" w:hAnsi="Times New Roman" w:cs="Times New Roman"/>
          <w:sz w:val="24"/>
          <w:szCs w:val="24"/>
        </w:rPr>
      </w:pPr>
      <w:r w:rsidRPr="00115F35">
        <w:rPr>
          <w:rFonts w:ascii="Times New Roman" w:hAnsi="Times New Roman" w:cs="Times New Roman"/>
          <w:sz w:val="24"/>
          <w:szCs w:val="24"/>
        </w:rPr>
        <w:t xml:space="preserve">2016. gada 30. novembrī </w:t>
      </w:r>
      <w:r w:rsidR="007B2145">
        <w:rPr>
          <w:rFonts w:ascii="Times New Roman" w:hAnsi="Times New Roman" w:cs="Times New Roman"/>
          <w:sz w:val="24"/>
          <w:szCs w:val="24"/>
        </w:rPr>
        <w:t>EK</w:t>
      </w:r>
      <w:r w:rsidRPr="00115F35">
        <w:rPr>
          <w:rFonts w:ascii="Times New Roman" w:hAnsi="Times New Roman" w:cs="Times New Roman"/>
          <w:sz w:val="24"/>
          <w:szCs w:val="24"/>
        </w:rPr>
        <w:t xml:space="preserve"> nāca klajā ar “Priekšlikumu – Eiropas Parlamenta un Padomes regula, ar ko izveido Eiropas Savienības </w:t>
      </w:r>
      <w:proofErr w:type="spellStart"/>
      <w:r w:rsidRPr="00115F35">
        <w:rPr>
          <w:rFonts w:ascii="Times New Roman" w:hAnsi="Times New Roman" w:cs="Times New Roman"/>
          <w:sz w:val="24"/>
          <w:szCs w:val="24"/>
        </w:rPr>
        <w:t>Energoregulatoru</w:t>
      </w:r>
      <w:proofErr w:type="spellEnd"/>
      <w:r w:rsidRPr="00115F35">
        <w:rPr>
          <w:rFonts w:ascii="Times New Roman" w:hAnsi="Times New Roman" w:cs="Times New Roman"/>
          <w:sz w:val="24"/>
          <w:szCs w:val="24"/>
        </w:rPr>
        <w:t xml:space="preserve"> sadarbības aģentūru (pārstrādāta redakcija)”, kas atjaunoja jau piešķirtos ACER pienākumus vairumtirdzniecības tirgus uzraudzībā un pārrobežu jautājumos. Precīzāk, tika ierosināts, ka ACER uzņemas lielāku atbildību attiecībā uz tādu elektroenerģijas tīklu kodeksu un pamatnostādņu izstrādi un ieviešanu, dažu no reģionālajiem drošības koordinatoriem saistīto funkciju koordinēšanu un uzdevumiem uz metožu un priekšlikumu apstiprināšanu, kas attiecas uz ražošanas pietiekamību un </w:t>
      </w:r>
      <w:proofErr w:type="spellStart"/>
      <w:r w:rsidRPr="00115F35">
        <w:rPr>
          <w:rFonts w:ascii="Times New Roman" w:hAnsi="Times New Roman" w:cs="Times New Roman"/>
          <w:sz w:val="24"/>
          <w:szCs w:val="24"/>
        </w:rPr>
        <w:t>riskgatavību</w:t>
      </w:r>
      <w:proofErr w:type="spellEnd"/>
      <w:r w:rsidRPr="00115F35">
        <w:rPr>
          <w:rFonts w:ascii="Times New Roman" w:hAnsi="Times New Roman" w:cs="Times New Roman"/>
          <w:sz w:val="24"/>
          <w:szCs w:val="24"/>
        </w:rPr>
        <w:t xml:space="preserve">. </w:t>
      </w:r>
    </w:p>
    <w:p w14:paraId="75BCB5A7" w14:textId="26AAC3B1" w:rsidR="00115F35" w:rsidRPr="00115F35" w:rsidRDefault="00115F35" w:rsidP="00115F35">
      <w:pPr>
        <w:spacing w:after="120" w:line="240" w:lineRule="auto"/>
        <w:ind w:firstLine="720"/>
        <w:jc w:val="both"/>
        <w:rPr>
          <w:rFonts w:ascii="Times New Roman" w:hAnsi="Times New Roman" w:cs="Times New Roman"/>
          <w:sz w:val="24"/>
          <w:szCs w:val="24"/>
        </w:rPr>
      </w:pPr>
      <w:r w:rsidRPr="00115F35">
        <w:rPr>
          <w:rFonts w:ascii="Times New Roman" w:hAnsi="Times New Roman" w:cs="Times New Roman"/>
          <w:sz w:val="24"/>
          <w:szCs w:val="24"/>
        </w:rPr>
        <w:t xml:space="preserve">Tiek paredzēts, ka tuvākajos gados nepieciešamība koordinēt valstu regulatīvās darbības arvien palielināsies. Eiropas energosistēmā šobrīd notiek dažādas izmaiņas – lielāka tirgus integrācija un centieni dažādot elektroenerģijas ražošanu prasa lielākas pūles valsts enerģētikas nozares </w:t>
      </w:r>
      <w:proofErr w:type="spellStart"/>
      <w:r w:rsidRPr="00115F35">
        <w:rPr>
          <w:rFonts w:ascii="Times New Roman" w:hAnsi="Times New Roman" w:cs="Times New Roman"/>
          <w:sz w:val="24"/>
          <w:szCs w:val="24"/>
        </w:rPr>
        <w:t>rīcībpolitiku</w:t>
      </w:r>
      <w:proofErr w:type="spellEnd"/>
      <w:r w:rsidRPr="00115F35">
        <w:rPr>
          <w:rFonts w:ascii="Times New Roman" w:hAnsi="Times New Roman" w:cs="Times New Roman"/>
          <w:sz w:val="24"/>
          <w:szCs w:val="24"/>
        </w:rPr>
        <w:t xml:space="preserve"> koordinācijai ar kaimiņvalstīm un elektroenerģijas pārrobežu tirdzniecības iespēju izmantošanai. </w:t>
      </w:r>
    </w:p>
    <w:p w14:paraId="6572CCB9" w14:textId="07F59DA3" w:rsidR="00115F35" w:rsidRDefault="00115F35" w:rsidP="00B325FE">
      <w:pPr>
        <w:spacing w:after="120" w:line="240" w:lineRule="auto"/>
        <w:ind w:firstLine="720"/>
        <w:jc w:val="both"/>
        <w:rPr>
          <w:rFonts w:ascii="Times New Roman" w:hAnsi="Times New Roman" w:cs="Times New Roman"/>
          <w:sz w:val="24"/>
          <w:szCs w:val="24"/>
        </w:rPr>
      </w:pPr>
      <w:r w:rsidRPr="00115F35">
        <w:rPr>
          <w:rFonts w:ascii="Times New Roman" w:hAnsi="Times New Roman" w:cs="Times New Roman"/>
          <w:sz w:val="24"/>
          <w:szCs w:val="24"/>
        </w:rPr>
        <w:t xml:space="preserve">Lai iekšējais elektroenerģijas tirgus labvēlīgi ietekmētu patērētāju labklājību, piegādes drošību un dekarbonizāciju, ir nepieciešama dalībvalstu, un jo īpaši neatkarīgo valsts regulatoru sadarbība, kam ir pārrobežu ietekme. Tāpat arī dalībvalstīm ir ciešāk jāsadarbojas, lai likvidētu šķēršļus elektroenerģijas un gāzes pārrobežu tirdzniecībai, lai sasniegtu Savienības enerģētikas politikas mērķus. Aģentūra dod iespējas valstu regulatīvajām iestādēm uzlabot sadarbību Savienības līmenī un piedalīties ar Savienību saistītu funkciju īstenošanā.  </w:t>
      </w:r>
    </w:p>
    <w:p w14:paraId="74AD1B3A" w14:textId="20B1B8AF" w:rsidR="001F36BC" w:rsidRPr="00D91CA2" w:rsidRDefault="001F36BC" w:rsidP="00B325FE">
      <w:pPr>
        <w:spacing w:after="120" w:line="240" w:lineRule="auto"/>
        <w:ind w:firstLine="720"/>
        <w:jc w:val="both"/>
        <w:rPr>
          <w:rFonts w:ascii="Times New Roman" w:hAnsi="Times New Roman" w:cs="Times New Roman"/>
          <w:sz w:val="24"/>
          <w:szCs w:val="24"/>
        </w:rPr>
      </w:pPr>
      <w:r w:rsidRPr="00E5605E">
        <w:rPr>
          <w:rFonts w:ascii="Times New Roman" w:hAnsi="Times New Roman" w:cs="Times New Roman"/>
          <w:sz w:val="24"/>
          <w:szCs w:val="24"/>
        </w:rPr>
        <w:t xml:space="preserve">ES Padomes vispārējā nostāja par priekšlikumu par </w:t>
      </w:r>
      <w:r>
        <w:rPr>
          <w:rFonts w:ascii="Times New Roman" w:hAnsi="Times New Roman" w:cs="Times New Roman"/>
          <w:sz w:val="24"/>
          <w:szCs w:val="24"/>
        </w:rPr>
        <w:t>ACER tika apstiprināta 2018</w:t>
      </w:r>
      <w:r w:rsidRPr="00E5605E">
        <w:rPr>
          <w:rFonts w:ascii="Times New Roman" w:hAnsi="Times New Roman" w:cs="Times New Roman"/>
          <w:sz w:val="24"/>
          <w:szCs w:val="24"/>
        </w:rPr>
        <w:t xml:space="preserve">. gada </w:t>
      </w:r>
      <w:r>
        <w:rPr>
          <w:rFonts w:ascii="Times New Roman" w:hAnsi="Times New Roman" w:cs="Times New Roman"/>
          <w:sz w:val="24"/>
          <w:szCs w:val="24"/>
        </w:rPr>
        <w:t>11.</w:t>
      </w:r>
      <w:r w:rsidR="0043297F">
        <w:rPr>
          <w:rFonts w:ascii="Times New Roman" w:hAnsi="Times New Roman" w:cs="Times New Roman"/>
          <w:sz w:val="24"/>
          <w:szCs w:val="24"/>
        </w:rPr>
        <w:t xml:space="preserve"> </w:t>
      </w:r>
      <w:r>
        <w:rPr>
          <w:rFonts w:ascii="Times New Roman" w:hAnsi="Times New Roman" w:cs="Times New Roman"/>
          <w:sz w:val="24"/>
          <w:szCs w:val="24"/>
        </w:rPr>
        <w:t>jūnijā.</w:t>
      </w:r>
      <w:r w:rsidRPr="00E5605E">
        <w:rPr>
          <w:rFonts w:ascii="Times New Roman" w:hAnsi="Times New Roman" w:cs="Times New Roman"/>
          <w:sz w:val="24"/>
          <w:szCs w:val="24"/>
        </w:rPr>
        <w:t xml:space="preserve"> </w:t>
      </w:r>
      <w:r w:rsidR="0043297F">
        <w:rPr>
          <w:rFonts w:ascii="Times New Roman" w:hAnsi="Times New Roman" w:cs="Times New Roman"/>
          <w:sz w:val="24"/>
          <w:szCs w:val="24"/>
        </w:rPr>
        <w:t>EP</w:t>
      </w:r>
      <w:r w:rsidRPr="00E5605E">
        <w:rPr>
          <w:rFonts w:ascii="Times New Roman" w:hAnsi="Times New Roman" w:cs="Times New Roman"/>
          <w:sz w:val="24"/>
          <w:szCs w:val="24"/>
        </w:rPr>
        <w:t xml:space="preserve"> ziņojums par priekšlikumu tika apstiprināts 2018. gada </w:t>
      </w:r>
      <w:r>
        <w:rPr>
          <w:rFonts w:ascii="Times New Roman" w:hAnsi="Times New Roman" w:cs="Times New Roman"/>
          <w:sz w:val="24"/>
          <w:szCs w:val="24"/>
        </w:rPr>
        <w:t>1.martā.</w:t>
      </w:r>
      <w:r w:rsidRPr="00E5605E">
        <w:t xml:space="preserve"> </w:t>
      </w:r>
      <w:r w:rsidRPr="00E5605E">
        <w:rPr>
          <w:rFonts w:ascii="Times New Roman" w:hAnsi="Times New Roman" w:cs="Times New Roman"/>
          <w:sz w:val="24"/>
          <w:szCs w:val="24"/>
        </w:rPr>
        <w:t>2018.</w:t>
      </w:r>
      <w:r w:rsidR="0043297F">
        <w:rPr>
          <w:rFonts w:ascii="Times New Roman" w:hAnsi="Times New Roman" w:cs="Times New Roman"/>
          <w:sz w:val="24"/>
          <w:szCs w:val="24"/>
        </w:rPr>
        <w:t xml:space="preserve"> </w:t>
      </w:r>
      <w:r w:rsidRPr="00E5605E">
        <w:rPr>
          <w:rFonts w:ascii="Times New Roman" w:hAnsi="Times New Roman" w:cs="Times New Roman"/>
          <w:sz w:val="24"/>
          <w:szCs w:val="24"/>
        </w:rPr>
        <w:t>gada 21.</w:t>
      </w:r>
      <w:r w:rsidR="0043297F">
        <w:rPr>
          <w:rFonts w:ascii="Times New Roman" w:hAnsi="Times New Roman" w:cs="Times New Roman"/>
          <w:sz w:val="24"/>
          <w:szCs w:val="24"/>
        </w:rPr>
        <w:t xml:space="preserve"> </w:t>
      </w:r>
      <w:r w:rsidRPr="00E5605E">
        <w:rPr>
          <w:rFonts w:ascii="Times New Roman" w:hAnsi="Times New Roman" w:cs="Times New Roman"/>
          <w:sz w:val="24"/>
          <w:szCs w:val="24"/>
        </w:rPr>
        <w:t xml:space="preserve">novembrī notika trešais </w:t>
      </w:r>
      <w:proofErr w:type="spellStart"/>
      <w:r w:rsidRPr="00E5605E">
        <w:rPr>
          <w:rFonts w:ascii="Times New Roman" w:hAnsi="Times New Roman" w:cs="Times New Roman"/>
          <w:sz w:val="24"/>
          <w:szCs w:val="24"/>
        </w:rPr>
        <w:t>trialogs</w:t>
      </w:r>
      <w:proofErr w:type="spellEnd"/>
      <w:r w:rsidRPr="00E5605E">
        <w:rPr>
          <w:rFonts w:ascii="Times New Roman" w:hAnsi="Times New Roman" w:cs="Times New Roman"/>
          <w:sz w:val="24"/>
          <w:szCs w:val="24"/>
        </w:rPr>
        <w:t xml:space="preserve"> par ACER priekšlikumu</w:t>
      </w:r>
      <w:r>
        <w:rPr>
          <w:rFonts w:ascii="Times New Roman" w:hAnsi="Times New Roman" w:cs="Times New Roman"/>
          <w:sz w:val="24"/>
          <w:szCs w:val="24"/>
        </w:rPr>
        <w:t>, bet 11.</w:t>
      </w:r>
      <w:r w:rsidR="0043297F">
        <w:rPr>
          <w:rFonts w:ascii="Times New Roman" w:hAnsi="Times New Roman" w:cs="Times New Roman"/>
          <w:sz w:val="24"/>
          <w:szCs w:val="24"/>
        </w:rPr>
        <w:t xml:space="preserve"> decembrī ir plānots ceturtais </w:t>
      </w:r>
      <w:proofErr w:type="spellStart"/>
      <w:r>
        <w:rPr>
          <w:rFonts w:ascii="Times New Roman" w:hAnsi="Times New Roman" w:cs="Times New Roman"/>
          <w:sz w:val="24"/>
          <w:szCs w:val="24"/>
        </w:rPr>
        <w:t>trialogs</w:t>
      </w:r>
      <w:proofErr w:type="spellEnd"/>
      <w:r>
        <w:rPr>
          <w:rFonts w:ascii="Times New Roman" w:hAnsi="Times New Roman" w:cs="Times New Roman"/>
          <w:sz w:val="24"/>
          <w:szCs w:val="24"/>
        </w:rPr>
        <w:t>, kurš varētu būs noslēdzošais.</w:t>
      </w:r>
    </w:p>
    <w:p w14:paraId="3F171CAC" w14:textId="77777777" w:rsidR="001F36BC" w:rsidRPr="00A31042" w:rsidRDefault="001F36BC" w:rsidP="001F36BC">
      <w:pPr>
        <w:spacing w:before="120" w:after="120"/>
        <w:ind w:firstLine="720"/>
        <w:rPr>
          <w:rFonts w:ascii="Times New Roman" w:hAnsi="Times New Roman" w:cs="Times New Roman"/>
          <w:b/>
          <w:sz w:val="24"/>
          <w:szCs w:val="24"/>
        </w:rPr>
      </w:pPr>
      <w:r w:rsidRPr="00A31042">
        <w:rPr>
          <w:rFonts w:ascii="Times New Roman" w:hAnsi="Times New Roman" w:cs="Times New Roman"/>
          <w:b/>
          <w:sz w:val="24"/>
          <w:szCs w:val="24"/>
        </w:rPr>
        <w:t xml:space="preserve">Latvijas nostāja: </w:t>
      </w:r>
    </w:p>
    <w:p w14:paraId="74B3D5E9" w14:textId="77777777" w:rsidR="001F36BC" w:rsidRDefault="001F36BC" w:rsidP="0074714D">
      <w:pPr>
        <w:pStyle w:val="ListParagraph"/>
        <w:spacing w:before="120" w:after="120"/>
        <w:ind w:left="0"/>
        <w:jc w:val="both"/>
        <w:rPr>
          <w:rFonts w:ascii="Times New Roman" w:hAnsi="Times New Roman" w:cs="Times New Roman"/>
          <w:sz w:val="24"/>
          <w:szCs w:val="24"/>
        </w:rPr>
      </w:pPr>
      <w:r>
        <w:rPr>
          <w:rFonts w:ascii="Times New Roman" w:hAnsi="Times New Roman" w:cs="Times New Roman"/>
          <w:sz w:val="24"/>
          <w:szCs w:val="24"/>
        </w:rPr>
        <w:tab/>
      </w:r>
      <w:r w:rsidRPr="001F738E">
        <w:rPr>
          <w:rFonts w:ascii="Times New Roman" w:hAnsi="Times New Roman" w:cs="Times New Roman"/>
          <w:sz w:val="24"/>
          <w:szCs w:val="24"/>
        </w:rPr>
        <w:t>Latvija atbalsta ES elektroenerģijas tirgus reformu procesu, kura uzdevums veicina pārrobežu tirdzniecību, konkurenci, reģionālo sadarbību regulējošo institūciju un elektropārvades sadales sistēmas operatoru darbību, kā arī uz tirgus principiem balstītu atjaunojamās enerģijas ražošanas attīstību, tāpēc pozitīvi vērtē Regulas priekšlikuma ieceri šo mērķu sasniegšanai uzlabot arī ES dalībvalstu regulatīvo iestāžu sadarbību un koordināciju</w:t>
      </w:r>
      <w:r>
        <w:rPr>
          <w:rFonts w:ascii="Times New Roman" w:hAnsi="Times New Roman" w:cs="Times New Roman"/>
          <w:sz w:val="24"/>
          <w:szCs w:val="24"/>
        </w:rPr>
        <w:t>.</w:t>
      </w:r>
    </w:p>
    <w:p w14:paraId="2BEE9D6E" w14:textId="6D9ED2A4" w:rsidR="006D6D1A" w:rsidRDefault="001F36BC" w:rsidP="0074714D">
      <w:pPr>
        <w:spacing w:before="120" w:after="120" w:line="240" w:lineRule="auto"/>
        <w:ind w:firstLine="720"/>
        <w:jc w:val="both"/>
        <w:rPr>
          <w:rFonts w:ascii="Times New Roman" w:hAnsi="Times New Roman" w:cs="Times New Roman"/>
          <w:sz w:val="24"/>
          <w:szCs w:val="24"/>
        </w:rPr>
      </w:pPr>
      <w:r w:rsidRPr="0074714D">
        <w:rPr>
          <w:rFonts w:ascii="Times New Roman" w:hAnsi="Times New Roman" w:cs="Times New Roman"/>
          <w:sz w:val="24"/>
          <w:szCs w:val="24"/>
        </w:rPr>
        <w:t xml:space="preserve">Latvija kopumā atbalsta priekšlikuma saturu un ir elastīga attiecībā uz atlikušajiem atvērtajiem jautājumiem, par kuriem vēl jāvienojas Prezidentūrai un Parlamentam. </w:t>
      </w:r>
      <w:r w:rsidR="00285BA7" w:rsidRPr="0074714D">
        <w:rPr>
          <w:rFonts w:ascii="Times New Roman" w:hAnsi="Times New Roman" w:cs="Times New Roman"/>
          <w:sz w:val="24"/>
          <w:szCs w:val="24"/>
        </w:rPr>
        <w:t>Latvijai ir svarīgi nodrošināt stipru un neatkarīgu Aģentūru, kas veicina Enerģētikas Savienības ieviešanu un spēj nodrošināt efektīvu enerģijas iekšējā tirgus darbību. Svarīgi ir nodrošināt pietiekamu elastību Aģentūrai, lai tā var pielāgoties mainīgajām enerģijas tirgus vajadzībām.</w:t>
      </w:r>
    </w:p>
    <w:p w14:paraId="0103BC5E" w14:textId="77777777" w:rsidR="0074714D" w:rsidRPr="0074714D" w:rsidRDefault="0074714D" w:rsidP="0074714D">
      <w:pPr>
        <w:spacing w:before="120" w:after="120" w:line="240" w:lineRule="auto"/>
        <w:ind w:firstLine="720"/>
        <w:jc w:val="both"/>
        <w:rPr>
          <w:rFonts w:ascii="Times New Roman" w:hAnsi="Times New Roman" w:cs="Times New Roman"/>
          <w:sz w:val="24"/>
          <w:szCs w:val="24"/>
        </w:rPr>
      </w:pPr>
    </w:p>
    <w:p w14:paraId="26C9318B" w14:textId="0F7E61DD" w:rsidR="006D6D1A" w:rsidRPr="006D6D1A" w:rsidRDefault="00617FFD" w:rsidP="006D6D1A">
      <w:pPr>
        <w:pStyle w:val="ListParagraph"/>
        <w:numPr>
          <w:ilvl w:val="0"/>
          <w:numId w:val="1"/>
        </w:numPr>
        <w:spacing w:before="120" w:after="120"/>
        <w:rPr>
          <w:rFonts w:ascii="Times New Roman" w:hAnsi="Times New Roman" w:cs="Times New Roman"/>
          <w:b/>
          <w:sz w:val="24"/>
          <w:szCs w:val="24"/>
        </w:rPr>
      </w:pPr>
      <w:r w:rsidRPr="006D6D1A">
        <w:rPr>
          <w:rFonts w:ascii="Times New Roman" w:hAnsi="Times New Roman" w:cs="Times New Roman"/>
          <w:b/>
          <w:sz w:val="24"/>
          <w:szCs w:val="24"/>
        </w:rPr>
        <w:t xml:space="preserve">Regula par Eiropas infrastruktūras </w:t>
      </w:r>
      <w:r w:rsidR="006D6D1A" w:rsidRPr="006D6D1A">
        <w:rPr>
          <w:rFonts w:ascii="Times New Roman" w:hAnsi="Times New Roman" w:cs="Times New Roman"/>
          <w:b/>
          <w:sz w:val="24"/>
          <w:szCs w:val="24"/>
        </w:rPr>
        <w:t xml:space="preserve">savienošanas instrumentu </w:t>
      </w:r>
    </w:p>
    <w:p w14:paraId="6BF5A0DF" w14:textId="0974BFB2" w:rsidR="006D6D1A" w:rsidRDefault="006D6D1A" w:rsidP="006D6D1A">
      <w:pPr>
        <w:pStyle w:val="ListParagraph"/>
        <w:spacing w:before="120" w:after="120"/>
        <w:rPr>
          <w:rFonts w:ascii="Times New Roman" w:hAnsi="Times New Roman" w:cs="Times New Roman"/>
          <w:i/>
          <w:sz w:val="24"/>
          <w:szCs w:val="24"/>
        </w:rPr>
      </w:pPr>
      <w:r w:rsidRPr="006D6D1A">
        <w:rPr>
          <w:rFonts w:ascii="Times New Roman" w:hAnsi="Times New Roman" w:cs="Times New Roman"/>
          <w:i/>
          <w:sz w:val="24"/>
          <w:szCs w:val="24"/>
        </w:rPr>
        <w:t>- AT PRES sniegs ziņojumu</w:t>
      </w:r>
      <w:r w:rsidR="00617FFD" w:rsidRPr="006D6D1A">
        <w:rPr>
          <w:rFonts w:ascii="Times New Roman" w:hAnsi="Times New Roman" w:cs="Times New Roman"/>
          <w:i/>
          <w:sz w:val="24"/>
          <w:szCs w:val="24"/>
        </w:rPr>
        <w:t xml:space="preserve"> </w:t>
      </w:r>
      <w:r>
        <w:rPr>
          <w:rFonts w:ascii="Times New Roman" w:hAnsi="Times New Roman" w:cs="Times New Roman"/>
          <w:i/>
          <w:sz w:val="24"/>
          <w:szCs w:val="24"/>
        </w:rPr>
        <w:t xml:space="preserve">pašreizējo stāvokli </w:t>
      </w:r>
    </w:p>
    <w:p w14:paraId="275C68A5" w14:textId="5F5F5933" w:rsidR="005F0D1C" w:rsidRDefault="005F0D1C" w:rsidP="0034193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EK</w:t>
      </w:r>
      <w:r w:rsidRPr="005F0D1C">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5F0D1C">
        <w:rPr>
          <w:rFonts w:ascii="Times New Roman" w:hAnsi="Times New Roman" w:cs="Times New Roman"/>
          <w:sz w:val="24"/>
          <w:szCs w:val="24"/>
        </w:rPr>
        <w:t>gada 6.</w:t>
      </w:r>
      <w:r>
        <w:rPr>
          <w:rFonts w:ascii="Times New Roman" w:hAnsi="Times New Roman" w:cs="Times New Roman"/>
          <w:sz w:val="24"/>
          <w:szCs w:val="24"/>
        </w:rPr>
        <w:t xml:space="preserve"> jūnijā </w:t>
      </w:r>
      <w:r w:rsidRPr="005F0D1C">
        <w:rPr>
          <w:rFonts w:ascii="Times New Roman" w:hAnsi="Times New Roman" w:cs="Times New Roman"/>
          <w:sz w:val="24"/>
          <w:szCs w:val="24"/>
        </w:rPr>
        <w:t>publicēja Regulas priekšlikumu, ar ko pamato Eiropas infrastruktūras savienošanas instrumenta darbības turpināšanu pēc 2020.</w:t>
      </w:r>
      <w:r>
        <w:rPr>
          <w:rFonts w:ascii="Times New Roman" w:hAnsi="Times New Roman" w:cs="Times New Roman"/>
          <w:sz w:val="24"/>
          <w:szCs w:val="24"/>
        </w:rPr>
        <w:t xml:space="preserve"> gada</w:t>
      </w:r>
      <w:r w:rsidRPr="005F0D1C">
        <w:rPr>
          <w:rFonts w:ascii="Times New Roman" w:hAnsi="Times New Roman" w:cs="Times New Roman"/>
          <w:sz w:val="24"/>
          <w:szCs w:val="24"/>
        </w:rPr>
        <w:t xml:space="preserve"> un atceļ Regulu (ES) Nr. 1316/2013 un (ES) Nr. 283/2014. Regulas priekšlikums nosaka Eiropas infrastruktūras savienoša</w:t>
      </w:r>
      <w:r>
        <w:rPr>
          <w:rFonts w:ascii="Times New Roman" w:hAnsi="Times New Roman" w:cs="Times New Roman"/>
          <w:sz w:val="24"/>
          <w:szCs w:val="24"/>
        </w:rPr>
        <w:t xml:space="preserve">nas instrumenta (turpmāk – CEF) </w:t>
      </w:r>
      <w:r w:rsidRPr="005F0D1C">
        <w:rPr>
          <w:rFonts w:ascii="Times New Roman" w:hAnsi="Times New Roman" w:cs="Times New Roman"/>
          <w:sz w:val="24"/>
          <w:szCs w:val="24"/>
        </w:rPr>
        <w:t>mērķus, finansējuma veidus un noteikumus finansējuma apgūšanai, kā arī budžetu  laika posmam no 2021.-2027.</w:t>
      </w:r>
      <w:r>
        <w:rPr>
          <w:rFonts w:ascii="Times New Roman" w:hAnsi="Times New Roman" w:cs="Times New Roman"/>
          <w:sz w:val="24"/>
          <w:szCs w:val="24"/>
        </w:rPr>
        <w:t xml:space="preserve"> </w:t>
      </w:r>
      <w:r w:rsidRPr="005F0D1C">
        <w:rPr>
          <w:rFonts w:ascii="Times New Roman" w:hAnsi="Times New Roman" w:cs="Times New Roman"/>
          <w:sz w:val="24"/>
          <w:szCs w:val="24"/>
        </w:rPr>
        <w:t>gadam.</w:t>
      </w:r>
      <w:r>
        <w:rPr>
          <w:rFonts w:ascii="Times New Roman" w:hAnsi="Times New Roman" w:cs="Times New Roman"/>
          <w:sz w:val="24"/>
          <w:szCs w:val="24"/>
        </w:rPr>
        <w:t xml:space="preserve"> </w:t>
      </w:r>
      <w:r w:rsidR="00F91B40">
        <w:rPr>
          <w:rFonts w:ascii="Times New Roman" w:hAnsi="Times New Roman" w:cs="Times New Roman"/>
          <w:sz w:val="24"/>
          <w:szCs w:val="24"/>
        </w:rPr>
        <w:t xml:space="preserve">Daļēja vispārējā pieeja par priekšlikumu tika apstiprināta 3. decembra Transporta padomē. </w:t>
      </w:r>
      <w:r w:rsidRPr="005F0D1C">
        <w:rPr>
          <w:rFonts w:ascii="Times New Roman" w:hAnsi="Times New Roman" w:cs="Times New Roman"/>
          <w:sz w:val="24"/>
          <w:szCs w:val="24"/>
        </w:rPr>
        <w:t xml:space="preserve">Attiecībā uz CEF enerģētikas priekšlikumu pārrobežu atjaunojamās enerģijas projektiem, </w:t>
      </w:r>
      <w:r>
        <w:rPr>
          <w:rFonts w:ascii="Times New Roman" w:hAnsi="Times New Roman" w:cs="Times New Roman"/>
          <w:sz w:val="24"/>
          <w:szCs w:val="24"/>
        </w:rPr>
        <w:t xml:space="preserve">AT </w:t>
      </w:r>
      <w:r w:rsidRPr="005F0D1C">
        <w:rPr>
          <w:rFonts w:ascii="Times New Roman" w:hAnsi="Times New Roman" w:cs="Times New Roman"/>
          <w:sz w:val="24"/>
          <w:szCs w:val="24"/>
        </w:rPr>
        <w:t xml:space="preserve">PRES ņēma vērā </w:t>
      </w:r>
      <w:r w:rsidRPr="005F0D1C">
        <w:rPr>
          <w:rFonts w:ascii="Times New Roman" w:hAnsi="Times New Roman" w:cs="Times New Roman"/>
          <w:sz w:val="24"/>
          <w:szCs w:val="24"/>
        </w:rPr>
        <w:lastRenderedPageBreak/>
        <w:t>lielāko daļu dalībvalstu viedokli, tai skaitā Latvija</w:t>
      </w:r>
      <w:r>
        <w:rPr>
          <w:rFonts w:ascii="Times New Roman" w:hAnsi="Times New Roman" w:cs="Times New Roman"/>
          <w:sz w:val="24"/>
          <w:szCs w:val="24"/>
        </w:rPr>
        <w:t>s,</w:t>
      </w:r>
      <w:r w:rsidRPr="005F0D1C">
        <w:rPr>
          <w:rFonts w:ascii="Times New Roman" w:hAnsi="Times New Roman" w:cs="Times New Roman"/>
          <w:sz w:val="24"/>
          <w:szCs w:val="24"/>
        </w:rPr>
        <w:t xml:space="preserve"> par atbalstu, kas izteikts līdz 15% apmērā no kopējā plānotā CEF budžeta enerģētikā.</w:t>
      </w:r>
    </w:p>
    <w:p w14:paraId="5EEAC217" w14:textId="0A262EDD" w:rsidR="006D6D1A" w:rsidRDefault="00775CEE" w:rsidP="00341938">
      <w:pPr>
        <w:spacing w:after="120" w:line="240" w:lineRule="auto"/>
        <w:ind w:firstLine="720"/>
        <w:jc w:val="both"/>
        <w:rPr>
          <w:rFonts w:ascii="Times New Roman" w:hAnsi="Times New Roman" w:cs="Times New Roman"/>
          <w:sz w:val="24"/>
          <w:szCs w:val="24"/>
        </w:rPr>
      </w:pPr>
      <w:r w:rsidRPr="00775CEE">
        <w:rPr>
          <w:rFonts w:ascii="Times New Roman" w:hAnsi="Times New Roman" w:cs="Times New Roman"/>
          <w:sz w:val="24"/>
          <w:szCs w:val="24"/>
        </w:rPr>
        <w:t xml:space="preserve">Enerģētikas nozarē paredzēts veicināt tādu kopīgu interešu projektu attīstību, kas ir saistīti ar iekšējā enerģijas tirgus turpmāku integrāciju, tīklu pārrobežu un starpnozaru </w:t>
      </w:r>
      <w:proofErr w:type="spellStart"/>
      <w:r w:rsidRPr="00775CEE">
        <w:rPr>
          <w:rFonts w:ascii="Times New Roman" w:hAnsi="Times New Roman" w:cs="Times New Roman"/>
          <w:sz w:val="24"/>
          <w:szCs w:val="24"/>
        </w:rPr>
        <w:t>sadarbspēju</w:t>
      </w:r>
      <w:proofErr w:type="spellEnd"/>
      <w:r w:rsidRPr="00775CEE">
        <w:rPr>
          <w:rFonts w:ascii="Times New Roman" w:hAnsi="Times New Roman" w:cs="Times New Roman"/>
          <w:sz w:val="24"/>
          <w:szCs w:val="24"/>
        </w:rPr>
        <w:t>, dekarbonizācijas veicināšanu un apgādes drošības panākšanu, un veicināt pārrobežu sadarbību atjaunojamās enerģijas jomā.</w:t>
      </w:r>
    </w:p>
    <w:p w14:paraId="41FBB30E" w14:textId="77777777" w:rsidR="001F36BC" w:rsidRDefault="001F36BC" w:rsidP="001F36BC">
      <w:pPr>
        <w:spacing w:before="120" w:after="120"/>
        <w:ind w:firstLine="720"/>
        <w:rPr>
          <w:rFonts w:ascii="Times New Roman" w:hAnsi="Times New Roman" w:cs="Times New Roman"/>
          <w:b/>
          <w:sz w:val="24"/>
          <w:szCs w:val="24"/>
        </w:rPr>
      </w:pPr>
      <w:r w:rsidRPr="00A31042">
        <w:rPr>
          <w:rFonts w:ascii="Times New Roman" w:hAnsi="Times New Roman" w:cs="Times New Roman"/>
          <w:b/>
          <w:sz w:val="24"/>
          <w:szCs w:val="24"/>
        </w:rPr>
        <w:t xml:space="preserve">Latvijas nostāja: </w:t>
      </w:r>
    </w:p>
    <w:p w14:paraId="7010F7F9" w14:textId="72B9BCE2" w:rsidR="001F36BC" w:rsidRPr="00285BA7" w:rsidRDefault="001F36BC" w:rsidP="00285BA7">
      <w:pPr>
        <w:spacing w:before="120" w:after="120"/>
        <w:ind w:firstLine="720"/>
        <w:jc w:val="both"/>
        <w:rPr>
          <w:rFonts w:ascii="Times New Roman" w:hAnsi="Times New Roman" w:cs="Times New Roman"/>
          <w:sz w:val="24"/>
          <w:szCs w:val="24"/>
        </w:rPr>
      </w:pPr>
      <w:r w:rsidRPr="003E5FBE">
        <w:rPr>
          <w:rFonts w:ascii="Times New Roman" w:hAnsi="Times New Roman" w:cs="Times New Roman"/>
          <w:sz w:val="24"/>
          <w:szCs w:val="24"/>
        </w:rPr>
        <w:t xml:space="preserve">Latvija atzinīgi novērtē Regulas projekta jauninājumu </w:t>
      </w:r>
      <w:r w:rsidR="00B77176">
        <w:rPr>
          <w:rFonts w:ascii="Times New Roman" w:hAnsi="Times New Roman" w:cs="Times New Roman"/>
          <w:sz w:val="24"/>
          <w:szCs w:val="24"/>
        </w:rPr>
        <w:t xml:space="preserve">enerģētikas daļā </w:t>
      </w:r>
      <w:r w:rsidRPr="003E5FBE">
        <w:rPr>
          <w:rFonts w:ascii="Times New Roman" w:hAnsi="Times New Roman" w:cs="Times New Roman"/>
          <w:sz w:val="24"/>
          <w:szCs w:val="24"/>
        </w:rPr>
        <w:t>attiecībā uz atbalstu atjaunojamajiem energoresursiem, kā arī pauž atbalstu apstāklim, ka tiek saglabāts atbalsts tik svarīgajai enerģētiskajai drošībai.</w:t>
      </w:r>
      <w:r w:rsidR="00285BA7" w:rsidRPr="00285BA7">
        <w:t xml:space="preserve"> </w:t>
      </w:r>
      <w:r w:rsidR="00285BA7" w:rsidRPr="00285BA7">
        <w:rPr>
          <w:rFonts w:ascii="Times New Roman" w:hAnsi="Times New Roman" w:cs="Times New Roman"/>
          <w:sz w:val="24"/>
          <w:szCs w:val="24"/>
        </w:rPr>
        <w:t>Atzinīgi vērtējam a</w:t>
      </w:r>
      <w:r w:rsidR="00285BA7">
        <w:rPr>
          <w:rFonts w:ascii="Times New Roman" w:hAnsi="Times New Roman" w:cs="Times New Roman"/>
          <w:sz w:val="24"/>
          <w:szCs w:val="24"/>
        </w:rPr>
        <w:t>rī finansējuma sadalījuma proporciju</w:t>
      </w:r>
      <w:r w:rsidR="00285BA7" w:rsidRPr="00285BA7">
        <w:rPr>
          <w:rFonts w:ascii="Times New Roman" w:hAnsi="Times New Roman" w:cs="Times New Roman"/>
          <w:sz w:val="24"/>
          <w:szCs w:val="24"/>
        </w:rPr>
        <w:t xml:space="preserve"> starp šo tipu projektiem</w:t>
      </w:r>
      <w:r w:rsidR="00B77176">
        <w:rPr>
          <w:rFonts w:ascii="Times New Roman" w:hAnsi="Times New Roman" w:cs="Times New Roman"/>
          <w:sz w:val="24"/>
          <w:szCs w:val="24"/>
        </w:rPr>
        <w:t xml:space="preserve"> (līdz 15% novirzīšana </w:t>
      </w:r>
      <w:r w:rsidR="00B77176" w:rsidRPr="003E5FBE">
        <w:rPr>
          <w:rFonts w:ascii="Times New Roman" w:hAnsi="Times New Roman" w:cs="Times New Roman"/>
          <w:sz w:val="24"/>
          <w:szCs w:val="24"/>
        </w:rPr>
        <w:t>atjaunojam</w:t>
      </w:r>
      <w:r w:rsidR="00B77176">
        <w:rPr>
          <w:rFonts w:ascii="Times New Roman" w:hAnsi="Times New Roman" w:cs="Times New Roman"/>
          <w:sz w:val="24"/>
          <w:szCs w:val="24"/>
        </w:rPr>
        <w:t>o</w:t>
      </w:r>
      <w:r w:rsidR="00B77176" w:rsidRPr="003E5FBE">
        <w:rPr>
          <w:rFonts w:ascii="Times New Roman" w:hAnsi="Times New Roman" w:cs="Times New Roman"/>
          <w:sz w:val="24"/>
          <w:szCs w:val="24"/>
        </w:rPr>
        <w:t xml:space="preserve"> energoresurs</w:t>
      </w:r>
      <w:r w:rsidR="00B77176">
        <w:rPr>
          <w:rFonts w:ascii="Times New Roman" w:hAnsi="Times New Roman" w:cs="Times New Roman"/>
          <w:sz w:val="24"/>
          <w:szCs w:val="24"/>
        </w:rPr>
        <w:t>u pārrobežu projektiem)</w:t>
      </w:r>
      <w:r w:rsidR="00285BA7" w:rsidRPr="00285BA7">
        <w:rPr>
          <w:rFonts w:ascii="Times New Roman" w:hAnsi="Times New Roman" w:cs="Times New Roman"/>
          <w:sz w:val="24"/>
          <w:szCs w:val="24"/>
        </w:rPr>
        <w:t>.</w:t>
      </w:r>
    </w:p>
    <w:p w14:paraId="56060E22" w14:textId="77777777" w:rsidR="001F36BC" w:rsidRDefault="001F36BC" w:rsidP="0043297F">
      <w:pPr>
        <w:spacing w:after="120" w:line="240" w:lineRule="auto"/>
        <w:ind w:firstLine="720"/>
        <w:jc w:val="both"/>
        <w:rPr>
          <w:rFonts w:ascii="Times New Roman" w:hAnsi="Times New Roman" w:cs="Times New Roman"/>
          <w:sz w:val="24"/>
          <w:szCs w:val="24"/>
        </w:rPr>
      </w:pPr>
      <w:r w:rsidRPr="00465BC9">
        <w:rPr>
          <w:rFonts w:ascii="Times New Roman" w:hAnsi="Times New Roman" w:cs="Times New Roman"/>
          <w:sz w:val="24"/>
          <w:szCs w:val="24"/>
        </w:rPr>
        <w:t>Latvija atzinīgi vērtē un atbalsta līdzšinējo dotāciju likmju saglabāšanu projektiem enerģētikā - līdz 50% darbiem kopīgo interešu projektos un līdz 75% projektiem, kas veicina kopīgu interešu projektu izstrādi, lai nodrošinātu augstas pakāpes energoapgādes drošību reģionālā vai Savienības mērogā, stiprina Savienības solidaritāti vai ietver ļoti inovatīvus risinājumus.</w:t>
      </w:r>
    </w:p>
    <w:p w14:paraId="4158FFCD" w14:textId="77777777" w:rsidR="001F36BC" w:rsidRPr="00465BC9" w:rsidRDefault="001F36BC" w:rsidP="0043297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Latvijai īpaši būtisks ir CEF finansējums sinhronizācijas kontekstā. </w:t>
      </w:r>
      <w:r w:rsidRPr="00465BC9">
        <w:rPr>
          <w:rFonts w:ascii="Times New Roman" w:hAnsi="Times New Roman" w:cs="Times New Roman"/>
          <w:sz w:val="24"/>
          <w:szCs w:val="24"/>
        </w:rPr>
        <w:t>Ņemot vērā, ka Baltijas valstu sinhronizācijas ar Eiropas tīkliem projekta mērķis ir drošuma paaugstināšana un tas nevar atmaksāties balstoties uz tirgus darbības principiem, šī stratēģiski svarīgā projekta realizēšanas priekšnoteikums ir ES līdzfinansējums, kurš atkarībā no projekta ieviešanas virzības, var būt nepieciešams arī nākamajā finanšu plānošanas periodā.</w:t>
      </w:r>
    </w:p>
    <w:p w14:paraId="75E0892E" w14:textId="77777777" w:rsidR="001F36BC" w:rsidRPr="00775CEE" w:rsidRDefault="001F36BC" w:rsidP="005F0D1C">
      <w:pPr>
        <w:spacing w:after="0" w:line="240" w:lineRule="auto"/>
        <w:ind w:firstLine="720"/>
        <w:jc w:val="both"/>
        <w:rPr>
          <w:rFonts w:ascii="Times New Roman" w:hAnsi="Times New Roman" w:cs="Times New Roman"/>
          <w:sz w:val="24"/>
          <w:szCs w:val="24"/>
        </w:rPr>
      </w:pPr>
    </w:p>
    <w:p w14:paraId="012AFA48" w14:textId="39C48AD4" w:rsidR="0084756A" w:rsidRPr="0084756A" w:rsidRDefault="006D6D1A" w:rsidP="0084756A">
      <w:pPr>
        <w:pStyle w:val="ListParagraph"/>
        <w:numPr>
          <w:ilvl w:val="0"/>
          <w:numId w:val="1"/>
        </w:numPr>
        <w:spacing w:before="120" w:after="120"/>
        <w:rPr>
          <w:rFonts w:ascii="Times New Roman" w:hAnsi="Times New Roman" w:cs="Times New Roman"/>
          <w:b/>
          <w:sz w:val="24"/>
          <w:szCs w:val="24"/>
        </w:rPr>
      </w:pPr>
      <w:r w:rsidRPr="006D6D1A">
        <w:rPr>
          <w:rFonts w:ascii="Times New Roman" w:hAnsi="Times New Roman" w:cs="Times New Roman"/>
          <w:b/>
          <w:sz w:val="24"/>
          <w:szCs w:val="24"/>
        </w:rPr>
        <w:t xml:space="preserve">Stratēģija ilgtermiņa ES siltumnīcefekta gāzu emisiju samazināšanai saskaņā ar Parīzes nolīgumu </w:t>
      </w:r>
      <w:r w:rsidR="0084756A" w:rsidRPr="0084756A">
        <w:rPr>
          <w:rFonts w:ascii="Times New Roman" w:hAnsi="Times New Roman" w:cs="Times New Roman"/>
          <w:b/>
          <w:sz w:val="24"/>
          <w:szCs w:val="24"/>
        </w:rPr>
        <w:t xml:space="preserve"> </w:t>
      </w:r>
    </w:p>
    <w:p w14:paraId="4113CF7E" w14:textId="7975D3A4" w:rsidR="00B73F10" w:rsidRPr="00A84AD0" w:rsidRDefault="006D6D1A" w:rsidP="00A84AD0">
      <w:pPr>
        <w:pStyle w:val="ListParagraph"/>
        <w:spacing w:before="120" w:after="120"/>
        <w:rPr>
          <w:rFonts w:ascii="Times New Roman" w:hAnsi="Times New Roman" w:cs="Times New Roman"/>
          <w:i/>
          <w:sz w:val="24"/>
          <w:szCs w:val="24"/>
        </w:rPr>
      </w:pPr>
      <w:r w:rsidRPr="002067DA">
        <w:rPr>
          <w:rFonts w:ascii="Times New Roman" w:hAnsi="Times New Roman" w:cs="Times New Roman"/>
          <w:i/>
          <w:sz w:val="24"/>
          <w:szCs w:val="24"/>
        </w:rPr>
        <w:t>-</w:t>
      </w:r>
      <w:r w:rsidRPr="002067DA">
        <w:rPr>
          <w:rFonts w:ascii="Times New Roman" w:hAnsi="Times New Roman" w:cs="Times New Roman"/>
          <w:b/>
          <w:i/>
          <w:sz w:val="24"/>
          <w:szCs w:val="24"/>
        </w:rPr>
        <w:t xml:space="preserve"> </w:t>
      </w:r>
      <w:r w:rsidR="002067DA" w:rsidRPr="002067DA">
        <w:rPr>
          <w:rFonts w:ascii="Times New Roman" w:hAnsi="Times New Roman" w:cs="Times New Roman"/>
          <w:i/>
          <w:sz w:val="24"/>
          <w:szCs w:val="24"/>
        </w:rPr>
        <w:t xml:space="preserve">Eiropas Komisijas sniegtā prezentācija un viedokļu apmaiņa </w:t>
      </w:r>
    </w:p>
    <w:p w14:paraId="3140BF0C" w14:textId="64E27DF2" w:rsidR="002067DA" w:rsidRDefault="00B73F10" w:rsidP="00B73F10">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2018. gada martā ES līderi lūdza EK 12 mēnešu laikā prezentēt “priekšlikumu par stratēģiju </w:t>
      </w:r>
      <w:r w:rsidRPr="00B73F10">
        <w:rPr>
          <w:rFonts w:ascii="Times New Roman" w:hAnsi="Times New Roman" w:cs="Times New Roman"/>
          <w:sz w:val="24"/>
          <w:szCs w:val="24"/>
        </w:rPr>
        <w:t>ilgtermiņa ES siltumnīcefekta gāzu emisiju samazināšan</w:t>
      </w:r>
      <w:r>
        <w:rPr>
          <w:rFonts w:ascii="Times New Roman" w:hAnsi="Times New Roman" w:cs="Times New Roman"/>
          <w:sz w:val="24"/>
          <w:szCs w:val="24"/>
        </w:rPr>
        <w:t xml:space="preserve">ai saskaņā ar Parīzes nolīgumu”. Līdzīgs aicinājums izskanēja arī no EP. </w:t>
      </w:r>
      <w:r w:rsidR="0084756A" w:rsidRPr="001D2337">
        <w:rPr>
          <w:rFonts w:ascii="Times New Roman" w:hAnsi="Times New Roman" w:cs="Times New Roman"/>
          <w:sz w:val="24"/>
          <w:szCs w:val="24"/>
        </w:rPr>
        <w:t xml:space="preserve">2018. gada 19. jūlijā EK </w:t>
      </w:r>
      <w:r w:rsidR="001D2337" w:rsidRPr="001D2337">
        <w:rPr>
          <w:rFonts w:ascii="Times New Roman" w:hAnsi="Times New Roman" w:cs="Times New Roman"/>
          <w:sz w:val="24"/>
          <w:szCs w:val="24"/>
        </w:rPr>
        <w:t xml:space="preserve">uzsāka sabiedrisko apspriedi par stratēģiju ilgtermiņa ES siltumnīcefekta gāzu emisiju samazināšanai, kur līdz 2018. gada </w:t>
      </w:r>
      <w:r>
        <w:rPr>
          <w:rFonts w:ascii="Times New Roman" w:hAnsi="Times New Roman" w:cs="Times New Roman"/>
          <w:sz w:val="24"/>
          <w:szCs w:val="24"/>
        </w:rPr>
        <w:t>9. oktobrim iedzīvotāji un ieinteresētās puses varēja sniegt savu viedokli. Šī sabiedriskā apspriede aptvēra viedokļus par mērķu līmeni un galvenajiem pasākumiem to sasniegšanai, tostarp mijiedarbību ar citām notiekošajām pārmaiņām, sociālajām un ekonomiskajām ies</w:t>
      </w:r>
      <w:r w:rsidR="009359AC">
        <w:rPr>
          <w:rFonts w:ascii="Times New Roman" w:hAnsi="Times New Roman" w:cs="Times New Roman"/>
          <w:sz w:val="24"/>
          <w:szCs w:val="24"/>
        </w:rPr>
        <w:t xml:space="preserve">pējām un izaicinājumiem, kā arī patērētāju lomu un nepieciešamajiem ieguldījumiem un inovācijām. Tajā tika aplūkoti arī tehniskie jautājumi par potenciālo risku mazināšanas iespējām. </w:t>
      </w:r>
    </w:p>
    <w:p w14:paraId="11E7EC45" w14:textId="19B34569" w:rsidR="00877E9F" w:rsidRPr="00877E9F" w:rsidRDefault="00877E9F" w:rsidP="00877E9F">
      <w:pPr>
        <w:widowControl w:val="0"/>
        <w:autoSpaceDE w:val="0"/>
        <w:autoSpaceDN w:val="0"/>
        <w:adjustRightInd w:val="0"/>
        <w:ind w:firstLine="720"/>
        <w:jc w:val="both"/>
        <w:rPr>
          <w:rFonts w:ascii="Times New Roman" w:hAnsi="Times New Roman" w:cs="Times New Roman"/>
          <w:bCs/>
          <w:sz w:val="24"/>
          <w:szCs w:val="24"/>
        </w:rPr>
      </w:pPr>
      <w:r w:rsidRPr="00877E9F">
        <w:rPr>
          <w:rFonts w:ascii="Times New Roman" w:hAnsi="Times New Roman" w:cs="Times New Roman"/>
          <w:bCs/>
          <w:sz w:val="24"/>
          <w:szCs w:val="24"/>
        </w:rPr>
        <w:t xml:space="preserve">2018. gada 28. novembrī </w:t>
      </w:r>
      <w:r w:rsidR="0043297F">
        <w:rPr>
          <w:rFonts w:ascii="Times New Roman" w:hAnsi="Times New Roman" w:cs="Times New Roman"/>
          <w:bCs/>
          <w:sz w:val="24"/>
          <w:szCs w:val="24"/>
        </w:rPr>
        <w:t>EK</w:t>
      </w:r>
      <w:r w:rsidRPr="00877E9F">
        <w:rPr>
          <w:rFonts w:ascii="Times New Roman" w:hAnsi="Times New Roman" w:cs="Times New Roman"/>
          <w:bCs/>
          <w:sz w:val="24"/>
          <w:szCs w:val="24"/>
        </w:rPr>
        <w:t xml:space="preserve"> publicēja ziņojumu “Tīra planēta visiem. Eiropas stratēģiskā ilgtermiņa vīzija pārtikušai, modernai, konkurētspējīgai un klimata neitrālai ekonomikai”</w:t>
      </w:r>
      <w:r w:rsidRPr="00877E9F">
        <w:rPr>
          <w:rStyle w:val="FootnoteReference"/>
          <w:rFonts w:ascii="Times New Roman" w:hAnsi="Times New Roman" w:cs="Times New Roman"/>
          <w:bCs/>
          <w:sz w:val="24"/>
          <w:szCs w:val="24"/>
        </w:rPr>
        <w:footnoteReference w:id="1"/>
      </w:r>
      <w:r w:rsidRPr="00877E9F">
        <w:rPr>
          <w:rFonts w:ascii="Times New Roman" w:hAnsi="Times New Roman" w:cs="Times New Roman"/>
          <w:bCs/>
          <w:sz w:val="24"/>
          <w:szCs w:val="24"/>
        </w:rPr>
        <w:t xml:space="preserve"> (turpmāk – stratēģija). 2019.</w:t>
      </w:r>
      <w:r w:rsidR="005D288E">
        <w:rPr>
          <w:rFonts w:ascii="Times New Roman" w:hAnsi="Times New Roman" w:cs="Times New Roman"/>
          <w:bCs/>
          <w:sz w:val="24"/>
          <w:szCs w:val="24"/>
        </w:rPr>
        <w:t xml:space="preserve"> </w:t>
      </w:r>
      <w:r w:rsidRPr="00877E9F">
        <w:rPr>
          <w:rFonts w:ascii="Times New Roman" w:hAnsi="Times New Roman" w:cs="Times New Roman"/>
          <w:bCs/>
          <w:sz w:val="24"/>
          <w:szCs w:val="24"/>
        </w:rPr>
        <w:t>gadā, balstoties uz šo stratēģiju, plānotas plašas diskusij</w:t>
      </w:r>
      <w:r w:rsidR="0043297F">
        <w:rPr>
          <w:rFonts w:ascii="Times New Roman" w:hAnsi="Times New Roman" w:cs="Times New Roman"/>
          <w:bCs/>
          <w:sz w:val="24"/>
          <w:szCs w:val="24"/>
        </w:rPr>
        <w:t>as un politiskās debates par ES</w:t>
      </w:r>
      <w:r w:rsidRPr="00877E9F">
        <w:rPr>
          <w:rFonts w:ascii="Times New Roman" w:hAnsi="Times New Roman" w:cs="Times New Roman"/>
          <w:bCs/>
          <w:sz w:val="24"/>
          <w:szCs w:val="24"/>
        </w:rPr>
        <w:t xml:space="preserve"> ilgtermiņa attīstību. To rezultātā ES plānots apstiprināt  un Apvienoto Nāciju Organizācijas Vispārējās konvencijas par klimata pārmaiņām (UNFCCC)   sekretariātā atbilstoši Parīzes nolīgumam iesniegt ES oglekļa mazietilpīgas attīstības (OMA) stratēģiju.</w:t>
      </w:r>
    </w:p>
    <w:p w14:paraId="095FCE0A" w14:textId="5ABDF898" w:rsidR="00877E9F" w:rsidRPr="00877E9F" w:rsidRDefault="00877E9F" w:rsidP="00877E9F">
      <w:pPr>
        <w:widowControl w:val="0"/>
        <w:autoSpaceDE w:val="0"/>
        <w:autoSpaceDN w:val="0"/>
        <w:adjustRightInd w:val="0"/>
        <w:ind w:firstLine="720"/>
        <w:jc w:val="both"/>
        <w:rPr>
          <w:rFonts w:ascii="Times New Roman" w:hAnsi="Times New Roman" w:cs="Times New Roman"/>
          <w:bCs/>
          <w:sz w:val="24"/>
          <w:szCs w:val="24"/>
        </w:rPr>
      </w:pPr>
      <w:r w:rsidRPr="00877E9F">
        <w:rPr>
          <w:rFonts w:ascii="Times New Roman" w:hAnsi="Times New Roman" w:cs="Times New Roman"/>
          <w:bCs/>
          <w:sz w:val="24"/>
          <w:szCs w:val="24"/>
        </w:rPr>
        <w:t xml:space="preserve">Stratēģijas pamatā ir visaptveroša padziļināta analīze par ES spēkā esošo politiku, to </w:t>
      </w:r>
      <w:r w:rsidRPr="00877E9F">
        <w:rPr>
          <w:rFonts w:ascii="Times New Roman" w:hAnsi="Times New Roman" w:cs="Times New Roman"/>
          <w:bCs/>
          <w:sz w:val="24"/>
          <w:szCs w:val="24"/>
        </w:rPr>
        <w:lastRenderedPageBreak/>
        <w:t>ietekmi uz siltumnīcefekta gāzu (SEG) emisijām, scenārijiem enerģētikas piegādes, transporta, ēku, rūpniecības un zemes izmantošanas sektoros</w:t>
      </w:r>
      <w:r w:rsidR="0043297F">
        <w:rPr>
          <w:rFonts w:ascii="Times New Roman" w:hAnsi="Times New Roman" w:cs="Times New Roman"/>
          <w:bCs/>
          <w:sz w:val="24"/>
          <w:szCs w:val="24"/>
        </w:rPr>
        <w:t>, kā arī dažādi citi apsvērumi.</w:t>
      </w:r>
      <w:r w:rsidRPr="00877E9F">
        <w:rPr>
          <w:rFonts w:ascii="Times New Roman" w:hAnsi="Times New Roman" w:cs="Times New Roman"/>
          <w:bCs/>
          <w:sz w:val="24"/>
          <w:szCs w:val="24"/>
        </w:rPr>
        <w:t xml:space="preserve"> Stratēģija apliecina ES līderību klimata pārmaiņu ierobežošanā un izklāsta vīziju, lai līdz 2050. gadam ES sasniegtu SEG neitralitāti (</w:t>
      </w:r>
      <w:r w:rsidRPr="00877E9F">
        <w:rPr>
          <w:rFonts w:ascii="Times New Roman" w:hAnsi="Times New Roman" w:cs="Times New Roman"/>
          <w:bCs/>
          <w:i/>
          <w:sz w:val="24"/>
          <w:szCs w:val="24"/>
        </w:rPr>
        <w:t>net-</w:t>
      </w:r>
      <w:proofErr w:type="spellStart"/>
      <w:r w:rsidRPr="00877E9F">
        <w:rPr>
          <w:rFonts w:ascii="Times New Roman" w:hAnsi="Times New Roman" w:cs="Times New Roman"/>
          <w:bCs/>
          <w:i/>
          <w:sz w:val="24"/>
          <w:szCs w:val="24"/>
        </w:rPr>
        <w:t>zero</w:t>
      </w:r>
      <w:proofErr w:type="spellEnd"/>
      <w:r w:rsidRPr="00877E9F">
        <w:rPr>
          <w:rFonts w:ascii="Times New Roman" w:hAnsi="Times New Roman" w:cs="Times New Roman"/>
          <w:bCs/>
          <w:i/>
          <w:sz w:val="24"/>
          <w:szCs w:val="24"/>
        </w:rPr>
        <w:t xml:space="preserve"> GHG </w:t>
      </w:r>
      <w:proofErr w:type="spellStart"/>
      <w:r w:rsidRPr="00877E9F">
        <w:rPr>
          <w:rFonts w:ascii="Times New Roman" w:hAnsi="Times New Roman" w:cs="Times New Roman"/>
          <w:bCs/>
          <w:i/>
          <w:sz w:val="24"/>
          <w:szCs w:val="24"/>
        </w:rPr>
        <w:t>emissions</w:t>
      </w:r>
      <w:proofErr w:type="spellEnd"/>
      <w:r w:rsidRPr="00877E9F">
        <w:rPr>
          <w:rFonts w:ascii="Times New Roman" w:hAnsi="Times New Roman" w:cs="Times New Roman"/>
          <w:bCs/>
          <w:sz w:val="24"/>
          <w:szCs w:val="24"/>
        </w:rPr>
        <w:t>) sociāli taisnīgā un izmaksu efektīvā veidā. Stratēģija akcentē šādas pārejas sniegtās iespējas Eiropas pilsoņiem un ekonomikai, kā arī identificē izaicinājumus. Stratēģijā skaidrots, ka šobrīd ES apstiprinātās likumdošanas prasību pilnīga ieviešana līdz 2030.gadam nodrošinās SEG samazinājumu par aptuveni 45% un līdz 2050.</w:t>
      </w:r>
      <w:r w:rsidR="0043297F">
        <w:rPr>
          <w:rFonts w:ascii="Times New Roman" w:hAnsi="Times New Roman" w:cs="Times New Roman"/>
          <w:bCs/>
          <w:sz w:val="24"/>
          <w:szCs w:val="24"/>
        </w:rPr>
        <w:t xml:space="preserve"> </w:t>
      </w:r>
      <w:r w:rsidRPr="00877E9F">
        <w:rPr>
          <w:rFonts w:ascii="Times New Roman" w:hAnsi="Times New Roman" w:cs="Times New Roman"/>
          <w:bCs/>
          <w:sz w:val="24"/>
          <w:szCs w:val="24"/>
        </w:rPr>
        <w:t>gadam – par aptu</w:t>
      </w:r>
      <w:r w:rsidR="0043297F">
        <w:rPr>
          <w:rFonts w:ascii="Times New Roman" w:hAnsi="Times New Roman" w:cs="Times New Roman"/>
          <w:bCs/>
          <w:sz w:val="24"/>
          <w:szCs w:val="24"/>
        </w:rPr>
        <w:t>veni 60%.  Stratēģijā aplūkoti astoņi</w:t>
      </w:r>
      <w:r w:rsidRPr="00877E9F">
        <w:rPr>
          <w:rFonts w:ascii="Times New Roman" w:hAnsi="Times New Roman" w:cs="Times New Roman"/>
          <w:bCs/>
          <w:sz w:val="24"/>
          <w:szCs w:val="24"/>
        </w:rPr>
        <w:t xml:space="preserve"> scenāriji, kas 2050. gadā nodrošina, sākot no 80% SEG emisiju samazinājumam līdz pat SEG neitralitātei. Stratēģijā secināts, ka, ņemot vērā aktuālāko Klimata pārmaiņu starpvaldību padomes (IPCC) īpašo ziņojumu par 1,5°C</w:t>
      </w:r>
      <w:r w:rsidRPr="00877E9F">
        <w:rPr>
          <w:rStyle w:val="FootnoteReference"/>
          <w:rFonts w:ascii="Times New Roman" w:hAnsi="Times New Roman" w:cs="Times New Roman"/>
          <w:bCs/>
          <w:sz w:val="24"/>
          <w:szCs w:val="24"/>
        </w:rPr>
        <w:footnoteReference w:id="2"/>
      </w:r>
      <w:r w:rsidRPr="00877E9F">
        <w:rPr>
          <w:rFonts w:ascii="Times New Roman" w:hAnsi="Times New Roman" w:cs="Times New Roman"/>
          <w:bCs/>
          <w:sz w:val="24"/>
          <w:szCs w:val="24"/>
        </w:rPr>
        <w:t xml:space="preserve"> (turpmāk – IPCC ziņojums), ES mērķim būtu jābūt līdz 2050. gadam kļūt par vienu no pirmajiem, kas sasniedz SEG neitralitāti. Lai to panāktu, ES ir nepieciešams intensificēt un paplašināt rīcību klimata pārmaiņu ierobežošanā. Stratēģijā aplūkotie scenāriji ir ar izaicinājumiem, bet tajā pašā laikā – iespējami no tehnoloģiskās, ekonomiskās, vides un sociālās perspektīvas. Stratēģijā izceltie oglekļa mazietilpīgas attīstības pamatprincipi:</w:t>
      </w:r>
    </w:p>
    <w:p w14:paraId="3B70073C" w14:textId="44F6C38C" w:rsidR="00877E9F" w:rsidRPr="00877E9F" w:rsidRDefault="00877E9F" w:rsidP="00877E9F">
      <w:pPr>
        <w:widowControl w:val="0"/>
        <w:numPr>
          <w:ilvl w:val="0"/>
          <w:numId w:val="19"/>
        </w:numPr>
        <w:suppressAutoHyphens/>
        <w:autoSpaceDE w:val="0"/>
        <w:autoSpaceDN w:val="0"/>
        <w:adjustRightInd w:val="0"/>
        <w:spacing w:after="0" w:line="100" w:lineRule="atLeast"/>
        <w:jc w:val="both"/>
        <w:rPr>
          <w:rFonts w:ascii="Times New Roman" w:hAnsi="Times New Roman" w:cs="Times New Roman"/>
          <w:bCs/>
          <w:sz w:val="24"/>
          <w:szCs w:val="24"/>
        </w:rPr>
      </w:pPr>
      <w:r w:rsidRPr="00877E9F">
        <w:rPr>
          <w:rFonts w:ascii="Times New Roman" w:hAnsi="Times New Roman" w:cs="Times New Roman"/>
          <w:bCs/>
          <w:sz w:val="24"/>
          <w:szCs w:val="24"/>
        </w:rPr>
        <w:t>Maksimizēt ieguvumus no energoefektivitātes, tai skaitā nu</w:t>
      </w:r>
      <w:r w:rsidR="0043297F">
        <w:rPr>
          <w:rFonts w:ascii="Times New Roman" w:hAnsi="Times New Roman" w:cs="Times New Roman"/>
          <w:bCs/>
          <w:sz w:val="24"/>
          <w:szCs w:val="24"/>
        </w:rPr>
        <w:t>l</w:t>
      </w:r>
      <w:r w:rsidRPr="00877E9F">
        <w:rPr>
          <w:rFonts w:ascii="Times New Roman" w:hAnsi="Times New Roman" w:cs="Times New Roman"/>
          <w:bCs/>
          <w:sz w:val="24"/>
          <w:szCs w:val="24"/>
        </w:rPr>
        <w:t>les emisiju ēkas;</w:t>
      </w:r>
    </w:p>
    <w:p w14:paraId="53D26C13" w14:textId="638C349A" w:rsidR="00877E9F" w:rsidRPr="00877E9F" w:rsidRDefault="00877E9F" w:rsidP="00877E9F">
      <w:pPr>
        <w:widowControl w:val="0"/>
        <w:numPr>
          <w:ilvl w:val="0"/>
          <w:numId w:val="19"/>
        </w:numPr>
        <w:suppressAutoHyphens/>
        <w:autoSpaceDE w:val="0"/>
        <w:autoSpaceDN w:val="0"/>
        <w:adjustRightInd w:val="0"/>
        <w:spacing w:after="0" w:line="100" w:lineRule="atLeast"/>
        <w:jc w:val="both"/>
        <w:rPr>
          <w:rFonts w:ascii="Times New Roman" w:hAnsi="Times New Roman" w:cs="Times New Roman"/>
          <w:bCs/>
          <w:sz w:val="24"/>
          <w:szCs w:val="24"/>
        </w:rPr>
      </w:pPr>
      <w:r w:rsidRPr="00877E9F">
        <w:rPr>
          <w:rFonts w:ascii="Times New Roman" w:hAnsi="Times New Roman" w:cs="Times New Roman"/>
          <w:bCs/>
          <w:sz w:val="24"/>
          <w:szCs w:val="24"/>
        </w:rPr>
        <w:t xml:space="preserve">Maksimizēt </w:t>
      </w:r>
      <w:r w:rsidR="0043297F">
        <w:rPr>
          <w:rFonts w:ascii="Times New Roman" w:hAnsi="Times New Roman" w:cs="Times New Roman"/>
          <w:bCs/>
          <w:sz w:val="24"/>
          <w:szCs w:val="24"/>
        </w:rPr>
        <w:t>AER</w:t>
      </w:r>
      <w:r w:rsidRPr="00877E9F">
        <w:rPr>
          <w:rFonts w:ascii="Times New Roman" w:hAnsi="Times New Roman" w:cs="Times New Roman"/>
          <w:bCs/>
          <w:sz w:val="24"/>
          <w:szCs w:val="24"/>
        </w:rPr>
        <w:t xml:space="preserve"> un elektrības izmantošanu, lai pilnībā </w:t>
      </w:r>
      <w:proofErr w:type="spellStart"/>
      <w:r w:rsidRPr="00877E9F">
        <w:rPr>
          <w:rFonts w:ascii="Times New Roman" w:hAnsi="Times New Roman" w:cs="Times New Roman"/>
          <w:bCs/>
          <w:sz w:val="24"/>
          <w:szCs w:val="24"/>
        </w:rPr>
        <w:t>dekarbonizētu</w:t>
      </w:r>
      <w:proofErr w:type="spellEnd"/>
      <w:r w:rsidRPr="00877E9F">
        <w:rPr>
          <w:rFonts w:ascii="Times New Roman" w:hAnsi="Times New Roman" w:cs="Times New Roman"/>
          <w:bCs/>
          <w:sz w:val="24"/>
          <w:szCs w:val="24"/>
        </w:rPr>
        <w:t xml:space="preserve"> Eiropas </w:t>
      </w:r>
      <w:proofErr w:type="spellStart"/>
      <w:r w:rsidRPr="00877E9F">
        <w:rPr>
          <w:rFonts w:ascii="Times New Roman" w:hAnsi="Times New Roman" w:cs="Times New Roman"/>
          <w:bCs/>
          <w:sz w:val="24"/>
          <w:szCs w:val="24"/>
        </w:rPr>
        <w:t>energopiegādes</w:t>
      </w:r>
      <w:proofErr w:type="spellEnd"/>
      <w:r w:rsidRPr="00877E9F">
        <w:rPr>
          <w:rFonts w:ascii="Times New Roman" w:hAnsi="Times New Roman" w:cs="Times New Roman"/>
          <w:bCs/>
          <w:sz w:val="24"/>
          <w:szCs w:val="24"/>
        </w:rPr>
        <w:t>;</w:t>
      </w:r>
    </w:p>
    <w:p w14:paraId="4A890897" w14:textId="77777777" w:rsidR="00877E9F" w:rsidRPr="00877E9F" w:rsidRDefault="00877E9F" w:rsidP="00877E9F">
      <w:pPr>
        <w:widowControl w:val="0"/>
        <w:numPr>
          <w:ilvl w:val="0"/>
          <w:numId w:val="19"/>
        </w:numPr>
        <w:suppressAutoHyphens/>
        <w:autoSpaceDE w:val="0"/>
        <w:autoSpaceDN w:val="0"/>
        <w:adjustRightInd w:val="0"/>
        <w:spacing w:after="0" w:line="100" w:lineRule="atLeast"/>
        <w:jc w:val="both"/>
        <w:rPr>
          <w:rFonts w:ascii="Times New Roman" w:hAnsi="Times New Roman" w:cs="Times New Roman"/>
          <w:bCs/>
          <w:sz w:val="24"/>
          <w:szCs w:val="24"/>
        </w:rPr>
      </w:pPr>
      <w:r w:rsidRPr="00877E9F">
        <w:rPr>
          <w:rFonts w:ascii="Times New Roman" w:hAnsi="Times New Roman" w:cs="Times New Roman"/>
          <w:bCs/>
          <w:sz w:val="24"/>
          <w:szCs w:val="24"/>
        </w:rPr>
        <w:t>Īstenot tīru, drošu un savienotu mobilitāti;</w:t>
      </w:r>
    </w:p>
    <w:p w14:paraId="061B7415" w14:textId="77777777" w:rsidR="00877E9F" w:rsidRPr="00877E9F" w:rsidRDefault="00877E9F" w:rsidP="00877E9F">
      <w:pPr>
        <w:widowControl w:val="0"/>
        <w:numPr>
          <w:ilvl w:val="0"/>
          <w:numId w:val="19"/>
        </w:numPr>
        <w:suppressAutoHyphens/>
        <w:autoSpaceDE w:val="0"/>
        <w:autoSpaceDN w:val="0"/>
        <w:adjustRightInd w:val="0"/>
        <w:spacing w:after="0" w:line="100" w:lineRule="atLeast"/>
        <w:jc w:val="both"/>
        <w:rPr>
          <w:rFonts w:ascii="Times New Roman" w:hAnsi="Times New Roman" w:cs="Times New Roman"/>
          <w:bCs/>
          <w:sz w:val="24"/>
          <w:szCs w:val="24"/>
        </w:rPr>
      </w:pPr>
      <w:r w:rsidRPr="00877E9F">
        <w:rPr>
          <w:rFonts w:ascii="Times New Roman" w:hAnsi="Times New Roman" w:cs="Times New Roman"/>
          <w:bCs/>
          <w:sz w:val="24"/>
          <w:szCs w:val="24"/>
        </w:rPr>
        <w:t>Konkurētspējīga ES rūpniecība un aprites ekonomika kā galvenais SEG emisiju samazināšanas veicinātājs;</w:t>
      </w:r>
    </w:p>
    <w:p w14:paraId="6640FA55" w14:textId="77777777" w:rsidR="00877E9F" w:rsidRPr="00877E9F" w:rsidRDefault="00877E9F" w:rsidP="00877E9F">
      <w:pPr>
        <w:widowControl w:val="0"/>
        <w:numPr>
          <w:ilvl w:val="0"/>
          <w:numId w:val="19"/>
        </w:numPr>
        <w:suppressAutoHyphens/>
        <w:autoSpaceDE w:val="0"/>
        <w:autoSpaceDN w:val="0"/>
        <w:adjustRightInd w:val="0"/>
        <w:spacing w:after="0" w:line="100" w:lineRule="atLeast"/>
        <w:jc w:val="both"/>
        <w:rPr>
          <w:rFonts w:ascii="Times New Roman" w:hAnsi="Times New Roman" w:cs="Times New Roman"/>
          <w:bCs/>
          <w:sz w:val="24"/>
          <w:szCs w:val="24"/>
        </w:rPr>
      </w:pPr>
      <w:r w:rsidRPr="00877E9F">
        <w:rPr>
          <w:rFonts w:ascii="Times New Roman" w:hAnsi="Times New Roman" w:cs="Times New Roman"/>
          <w:bCs/>
          <w:sz w:val="24"/>
          <w:szCs w:val="24"/>
        </w:rPr>
        <w:t xml:space="preserve">Attīstīt adekvātu viedā tīkla infrastruktūru un </w:t>
      </w:r>
      <w:proofErr w:type="spellStart"/>
      <w:r w:rsidRPr="00877E9F">
        <w:rPr>
          <w:rFonts w:ascii="Times New Roman" w:hAnsi="Times New Roman" w:cs="Times New Roman"/>
          <w:bCs/>
          <w:sz w:val="24"/>
          <w:szCs w:val="24"/>
        </w:rPr>
        <w:t>starpsavienojumus</w:t>
      </w:r>
      <w:proofErr w:type="spellEnd"/>
      <w:r w:rsidRPr="00877E9F">
        <w:rPr>
          <w:rFonts w:ascii="Times New Roman" w:hAnsi="Times New Roman" w:cs="Times New Roman"/>
          <w:bCs/>
          <w:sz w:val="24"/>
          <w:szCs w:val="24"/>
        </w:rPr>
        <w:t>;</w:t>
      </w:r>
    </w:p>
    <w:p w14:paraId="65D06B43" w14:textId="77777777" w:rsidR="00877E9F" w:rsidRPr="00877E9F" w:rsidRDefault="00877E9F" w:rsidP="00877E9F">
      <w:pPr>
        <w:widowControl w:val="0"/>
        <w:numPr>
          <w:ilvl w:val="0"/>
          <w:numId w:val="19"/>
        </w:numPr>
        <w:suppressAutoHyphens/>
        <w:autoSpaceDE w:val="0"/>
        <w:autoSpaceDN w:val="0"/>
        <w:adjustRightInd w:val="0"/>
        <w:spacing w:after="0" w:line="100" w:lineRule="atLeast"/>
        <w:jc w:val="both"/>
        <w:rPr>
          <w:rFonts w:ascii="Times New Roman" w:hAnsi="Times New Roman" w:cs="Times New Roman"/>
          <w:bCs/>
          <w:sz w:val="24"/>
          <w:szCs w:val="24"/>
        </w:rPr>
      </w:pPr>
      <w:r w:rsidRPr="00877E9F">
        <w:rPr>
          <w:rFonts w:ascii="Times New Roman" w:hAnsi="Times New Roman" w:cs="Times New Roman"/>
          <w:bCs/>
          <w:sz w:val="24"/>
          <w:szCs w:val="24"/>
        </w:rPr>
        <w:t xml:space="preserve">Gūt pilnīgus labumus no </w:t>
      </w:r>
      <w:proofErr w:type="spellStart"/>
      <w:r w:rsidRPr="00877E9F">
        <w:rPr>
          <w:rFonts w:ascii="Times New Roman" w:hAnsi="Times New Roman" w:cs="Times New Roman"/>
          <w:bCs/>
          <w:sz w:val="24"/>
          <w:szCs w:val="24"/>
        </w:rPr>
        <w:t>bioekonomikas</w:t>
      </w:r>
      <w:proofErr w:type="spellEnd"/>
      <w:r w:rsidRPr="00877E9F">
        <w:rPr>
          <w:rFonts w:ascii="Times New Roman" w:hAnsi="Times New Roman" w:cs="Times New Roman"/>
          <w:bCs/>
          <w:sz w:val="24"/>
          <w:szCs w:val="24"/>
        </w:rPr>
        <w:t xml:space="preserve"> un radīt būtiskas oglekļa piesaistes;</w:t>
      </w:r>
    </w:p>
    <w:p w14:paraId="07AFE81F" w14:textId="77777777" w:rsidR="00877E9F" w:rsidRPr="00877E9F" w:rsidRDefault="00877E9F" w:rsidP="00877E9F">
      <w:pPr>
        <w:widowControl w:val="0"/>
        <w:numPr>
          <w:ilvl w:val="0"/>
          <w:numId w:val="19"/>
        </w:numPr>
        <w:suppressAutoHyphens/>
        <w:autoSpaceDE w:val="0"/>
        <w:autoSpaceDN w:val="0"/>
        <w:adjustRightInd w:val="0"/>
        <w:spacing w:after="0" w:line="100" w:lineRule="atLeast"/>
        <w:jc w:val="both"/>
        <w:rPr>
          <w:rFonts w:ascii="Times New Roman" w:hAnsi="Times New Roman" w:cs="Times New Roman"/>
          <w:bCs/>
          <w:sz w:val="24"/>
          <w:szCs w:val="24"/>
        </w:rPr>
      </w:pPr>
      <w:r w:rsidRPr="00877E9F">
        <w:rPr>
          <w:rFonts w:ascii="Times New Roman" w:hAnsi="Times New Roman" w:cs="Times New Roman"/>
          <w:bCs/>
          <w:sz w:val="24"/>
          <w:szCs w:val="24"/>
        </w:rPr>
        <w:t>Pārējās oglekļa dioksīda emisijas aptvert ar oglekļa uztveršanu un uzglabāšanu.</w:t>
      </w:r>
    </w:p>
    <w:p w14:paraId="04D9AE18" w14:textId="5B973AD8" w:rsidR="00877E9F" w:rsidRPr="005D288E" w:rsidRDefault="00877E9F" w:rsidP="005D288E">
      <w:pPr>
        <w:widowControl w:val="0"/>
        <w:autoSpaceDE w:val="0"/>
        <w:autoSpaceDN w:val="0"/>
        <w:adjustRightInd w:val="0"/>
        <w:ind w:firstLine="720"/>
        <w:jc w:val="both"/>
        <w:rPr>
          <w:rFonts w:ascii="Times New Roman" w:hAnsi="Times New Roman" w:cs="Times New Roman"/>
          <w:bCs/>
          <w:sz w:val="24"/>
          <w:szCs w:val="24"/>
        </w:rPr>
      </w:pPr>
      <w:r w:rsidRPr="00877E9F">
        <w:rPr>
          <w:rFonts w:ascii="Times New Roman" w:hAnsi="Times New Roman" w:cs="Times New Roman"/>
          <w:bCs/>
          <w:sz w:val="24"/>
          <w:szCs w:val="24"/>
        </w:rPr>
        <w:t>Latvijas pozīcija par stratēģiju tiks izstrādāta 2019.</w:t>
      </w:r>
      <w:r w:rsidR="005D288E">
        <w:rPr>
          <w:rFonts w:ascii="Times New Roman" w:hAnsi="Times New Roman" w:cs="Times New Roman"/>
          <w:bCs/>
          <w:sz w:val="24"/>
          <w:szCs w:val="24"/>
        </w:rPr>
        <w:t xml:space="preserve"> </w:t>
      </w:r>
      <w:r w:rsidRPr="00877E9F">
        <w:rPr>
          <w:rFonts w:ascii="Times New Roman" w:hAnsi="Times New Roman" w:cs="Times New Roman"/>
          <w:bCs/>
          <w:sz w:val="24"/>
          <w:szCs w:val="24"/>
        </w:rPr>
        <w:t>gada sākumā, taču zemāk formulēts Latvijas sākotnējais viedoklis.</w:t>
      </w:r>
    </w:p>
    <w:p w14:paraId="2DF86F77" w14:textId="77777777" w:rsidR="00877E9F" w:rsidRPr="00877E9F" w:rsidRDefault="00877E9F" w:rsidP="00877E9F">
      <w:pPr>
        <w:spacing w:before="120" w:after="120" w:line="240" w:lineRule="auto"/>
        <w:ind w:firstLine="720"/>
        <w:jc w:val="both"/>
        <w:rPr>
          <w:rFonts w:ascii="Times New Roman" w:hAnsi="Times New Roman" w:cs="Times New Roman"/>
          <w:b/>
          <w:sz w:val="24"/>
          <w:szCs w:val="24"/>
        </w:rPr>
      </w:pPr>
      <w:r w:rsidRPr="00877E9F">
        <w:rPr>
          <w:rFonts w:ascii="Times New Roman" w:hAnsi="Times New Roman" w:cs="Times New Roman"/>
          <w:b/>
          <w:sz w:val="24"/>
          <w:szCs w:val="24"/>
        </w:rPr>
        <w:t>Latvijas nostāja:</w:t>
      </w:r>
    </w:p>
    <w:p w14:paraId="2ED9012A" w14:textId="77777777" w:rsidR="00877E9F" w:rsidRPr="00877E9F" w:rsidRDefault="00877E9F" w:rsidP="005D288E">
      <w:pPr>
        <w:widowControl w:val="0"/>
        <w:suppressAutoHyphens/>
        <w:autoSpaceDE w:val="0"/>
        <w:autoSpaceDN w:val="0"/>
        <w:adjustRightInd w:val="0"/>
        <w:spacing w:after="120" w:line="240" w:lineRule="auto"/>
        <w:ind w:firstLine="720"/>
        <w:jc w:val="both"/>
        <w:rPr>
          <w:rFonts w:ascii="Times New Roman" w:hAnsi="Times New Roman" w:cs="Times New Roman"/>
          <w:bCs/>
          <w:sz w:val="24"/>
          <w:szCs w:val="24"/>
        </w:rPr>
      </w:pPr>
      <w:r w:rsidRPr="00877E9F">
        <w:rPr>
          <w:rFonts w:ascii="Times New Roman" w:hAnsi="Times New Roman" w:cs="Times New Roman"/>
          <w:bCs/>
          <w:sz w:val="24"/>
          <w:szCs w:val="24"/>
        </w:rPr>
        <w:t xml:space="preserve">Latvija šobrīd vērtē stratēģijā iekļauto vēlamo virzību uz ES SEG neitralitāti 2050. gadā un šobrīd var sniegt vienīgi sākotnējo viedokli. </w:t>
      </w:r>
    </w:p>
    <w:p w14:paraId="560E63CA" w14:textId="77777777" w:rsidR="00877E9F" w:rsidRPr="00877E9F" w:rsidRDefault="00877E9F" w:rsidP="005D288E">
      <w:pPr>
        <w:widowControl w:val="0"/>
        <w:suppressAutoHyphens/>
        <w:autoSpaceDE w:val="0"/>
        <w:autoSpaceDN w:val="0"/>
        <w:adjustRightInd w:val="0"/>
        <w:spacing w:after="120" w:line="240" w:lineRule="auto"/>
        <w:ind w:firstLine="720"/>
        <w:jc w:val="both"/>
        <w:rPr>
          <w:rFonts w:ascii="Times New Roman" w:hAnsi="Times New Roman" w:cs="Times New Roman"/>
          <w:bCs/>
          <w:sz w:val="24"/>
          <w:szCs w:val="24"/>
        </w:rPr>
      </w:pPr>
      <w:r w:rsidRPr="00877E9F">
        <w:rPr>
          <w:rFonts w:ascii="Times New Roman" w:hAnsi="Times New Roman" w:cs="Times New Roman"/>
          <w:bCs/>
          <w:sz w:val="24"/>
          <w:szCs w:val="24"/>
        </w:rPr>
        <w:t xml:space="preserve">Latvija apzinās klimata pārmaiņu ierobežošanas nepieciešamību un steidzamību, kā arī ilgtermiņa plānošanas svarīgumu pārejas uz OMA optimālai nodrošināšanai, ņemot vērā UNFCCC Parīzes nolīgumu, kā arī IPCC ziņojumu. </w:t>
      </w:r>
    </w:p>
    <w:p w14:paraId="01170F12" w14:textId="7BA68EA7" w:rsidR="00877E9F" w:rsidRPr="00877E9F" w:rsidRDefault="00877E9F" w:rsidP="005D288E">
      <w:pPr>
        <w:widowControl w:val="0"/>
        <w:suppressAutoHyphens/>
        <w:autoSpaceDE w:val="0"/>
        <w:autoSpaceDN w:val="0"/>
        <w:adjustRightInd w:val="0"/>
        <w:spacing w:after="120" w:line="240" w:lineRule="auto"/>
        <w:ind w:firstLine="720"/>
        <w:jc w:val="both"/>
        <w:rPr>
          <w:rFonts w:ascii="Times New Roman" w:hAnsi="Times New Roman" w:cs="Times New Roman"/>
          <w:bCs/>
          <w:sz w:val="24"/>
          <w:szCs w:val="24"/>
        </w:rPr>
      </w:pPr>
      <w:r w:rsidRPr="00877E9F">
        <w:rPr>
          <w:rFonts w:ascii="Times New Roman" w:hAnsi="Times New Roman" w:cs="Times New Roman"/>
          <w:bCs/>
          <w:sz w:val="24"/>
          <w:szCs w:val="24"/>
        </w:rPr>
        <w:t xml:space="preserve">Latvija tādējādi ir pateicīga </w:t>
      </w:r>
      <w:r w:rsidR="00234D1E">
        <w:rPr>
          <w:rFonts w:ascii="Times New Roman" w:hAnsi="Times New Roman" w:cs="Times New Roman"/>
          <w:bCs/>
          <w:sz w:val="24"/>
          <w:szCs w:val="24"/>
        </w:rPr>
        <w:t>EK</w:t>
      </w:r>
      <w:r w:rsidRPr="00877E9F">
        <w:rPr>
          <w:rFonts w:ascii="Times New Roman" w:hAnsi="Times New Roman" w:cs="Times New Roman"/>
          <w:bCs/>
          <w:sz w:val="24"/>
          <w:szCs w:val="24"/>
        </w:rPr>
        <w:t xml:space="preserve"> par sagatavoto stratēģiju un ieceri 2019.</w:t>
      </w:r>
      <w:r w:rsidR="0043297F">
        <w:rPr>
          <w:rFonts w:ascii="Times New Roman" w:hAnsi="Times New Roman" w:cs="Times New Roman"/>
          <w:bCs/>
          <w:sz w:val="24"/>
          <w:szCs w:val="24"/>
        </w:rPr>
        <w:t xml:space="preserve"> </w:t>
      </w:r>
      <w:r w:rsidRPr="00877E9F">
        <w:rPr>
          <w:rFonts w:ascii="Times New Roman" w:hAnsi="Times New Roman" w:cs="Times New Roman"/>
          <w:bCs/>
          <w:sz w:val="24"/>
          <w:szCs w:val="24"/>
        </w:rPr>
        <w:t xml:space="preserve">gadā nodrošināt plašas diskusijas par to. </w:t>
      </w:r>
    </w:p>
    <w:p w14:paraId="6CA9D6B1" w14:textId="45FFD7F6" w:rsidR="00877E9F" w:rsidRPr="00877E9F" w:rsidRDefault="00877E9F" w:rsidP="005D288E">
      <w:pPr>
        <w:widowControl w:val="0"/>
        <w:suppressAutoHyphens/>
        <w:autoSpaceDE w:val="0"/>
        <w:autoSpaceDN w:val="0"/>
        <w:adjustRightInd w:val="0"/>
        <w:spacing w:after="120" w:line="240" w:lineRule="auto"/>
        <w:ind w:firstLine="720"/>
        <w:jc w:val="both"/>
        <w:rPr>
          <w:rFonts w:ascii="Times New Roman" w:hAnsi="Times New Roman" w:cs="Times New Roman"/>
          <w:bCs/>
          <w:sz w:val="24"/>
          <w:szCs w:val="24"/>
        </w:rPr>
      </w:pPr>
      <w:r w:rsidRPr="00877E9F">
        <w:rPr>
          <w:rFonts w:ascii="Times New Roman" w:hAnsi="Times New Roman" w:cs="Times New Roman"/>
          <w:bCs/>
          <w:sz w:val="24"/>
          <w:szCs w:val="24"/>
        </w:rPr>
        <w:t xml:space="preserve">Latvija uzskata, ka OMA sasniegšanai prioritāri jāstrādā pie energoefektivitātes paaugstināšanas, </w:t>
      </w:r>
      <w:r w:rsidR="0043297F">
        <w:rPr>
          <w:rFonts w:ascii="Times New Roman" w:hAnsi="Times New Roman" w:cs="Times New Roman"/>
          <w:bCs/>
          <w:sz w:val="24"/>
          <w:szCs w:val="24"/>
        </w:rPr>
        <w:t>AER</w:t>
      </w:r>
      <w:r w:rsidRPr="00877E9F">
        <w:rPr>
          <w:rFonts w:ascii="Times New Roman" w:hAnsi="Times New Roman" w:cs="Times New Roman"/>
          <w:bCs/>
          <w:sz w:val="24"/>
          <w:szCs w:val="24"/>
        </w:rPr>
        <w:t xml:space="preserve"> īpatsvara palielināšanas, SEG emisiju samazināšanas transporta un lauksaimniecības sektoros. Ļoti būtiska, sevišķi, SEG neitralitātes mērķa sasniegšanā, ir arī zemes izmantošanas, zemes izmantošanas maiņas un mežsaimniecības sektora loma, īpaši, šī sektora nodrošinātais oglekļa dioksīda piesaistes apjoms. </w:t>
      </w:r>
    </w:p>
    <w:p w14:paraId="4A9E2423" w14:textId="77777777" w:rsidR="00877E9F" w:rsidRPr="00877E9F" w:rsidRDefault="00877E9F" w:rsidP="005D288E">
      <w:pPr>
        <w:widowControl w:val="0"/>
        <w:suppressAutoHyphens/>
        <w:autoSpaceDE w:val="0"/>
        <w:autoSpaceDN w:val="0"/>
        <w:adjustRightInd w:val="0"/>
        <w:spacing w:after="120" w:line="240" w:lineRule="auto"/>
        <w:ind w:firstLine="720"/>
        <w:jc w:val="both"/>
        <w:rPr>
          <w:rFonts w:ascii="Times New Roman" w:hAnsi="Times New Roman" w:cs="Times New Roman"/>
          <w:bCs/>
          <w:sz w:val="24"/>
          <w:szCs w:val="24"/>
        </w:rPr>
      </w:pPr>
      <w:r w:rsidRPr="00877E9F">
        <w:rPr>
          <w:rFonts w:ascii="Times New Roman" w:hAnsi="Times New Roman" w:cs="Times New Roman"/>
          <w:bCs/>
          <w:sz w:val="24"/>
          <w:szCs w:val="24"/>
        </w:rPr>
        <w:t xml:space="preserve">ES ilgtermiņa stratēģijai SEG emisiju samazināšanai būtu jāveicina visu reģionu attīstība, konkurētspēja un jānodrošina izmaksu efektīvāko risinājumu ieviešana, ņemot vērā ne vien ES kopējo, bet arī reģionālās un nacionālās situācijas. </w:t>
      </w:r>
    </w:p>
    <w:p w14:paraId="6006A193" w14:textId="202524DC" w:rsidR="00877E9F" w:rsidRPr="0043297F" w:rsidRDefault="00877E9F" w:rsidP="0043297F">
      <w:pPr>
        <w:widowControl w:val="0"/>
        <w:suppressAutoHyphens/>
        <w:autoSpaceDE w:val="0"/>
        <w:autoSpaceDN w:val="0"/>
        <w:adjustRightInd w:val="0"/>
        <w:spacing w:after="120" w:line="240" w:lineRule="auto"/>
        <w:ind w:firstLine="720"/>
        <w:jc w:val="both"/>
        <w:rPr>
          <w:rFonts w:ascii="Times New Roman" w:hAnsi="Times New Roman" w:cs="Times New Roman"/>
          <w:bCs/>
          <w:sz w:val="24"/>
          <w:szCs w:val="24"/>
        </w:rPr>
      </w:pPr>
      <w:r w:rsidRPr="00877E9F">
        <w:rPr>
          <w:rFonts w:ascii="Times New Roman" w:hAnsi="Times New Roman" w:cs="Times New Roman"/>
          <w:bCs/>
          <w:sz w:val="24"/>
          <w:szCs w:val="24"/>
        </w:rPr>
        <w:t>Informēta lēmuma pieņemšanai par ES ilgtermiņa stratēģiju SEG emisiju samazināšanai, būtu nepieciešama analīze ne tikai ES līmenī, bet arī dalībvalstu vai vismaz reģionu līmenī.</w:t>
      </w:r>
    </w:p>
    <w:p w14:paraId="2F68039A" w14:textId="62FD36EC" w:rsidR="002067DA" w:rsidRDefault="002067DA" w:rsidP="002067DA">
      <w:pPr>
        <w:pStyle w:val="ListParagraph"/>
        <w:numPr>
          <w:ilvl w:val="0"/>
          <w:numId w:val="1"/>
        </w:numPr>
        <w:spacing w:before="120" w:after="120"/>
        <w:rPr>
          <w:rFonts w:ascii="Times New Roman" w:hAnsi="Times New Roman" w:cs="Times New Roman"/>
          <w:b/>
          <w:sz w:val="24"/>
          <w:szCs w:val="24"/>
        </w:rPr>
      </w:pPr>
      <w:r w:rsidRPr="002067DA">
        <w:rPr>
          <w:rFonts w:ascii="Times New Roman" w:hAnsi="Times New Roman" w:cs="Times New Roman"/>
          <w:b/>
          <w:sz w:val="24"/>
          <w:szCs w:val="24"/>
        </w:rPr>
        <w:lastRenderedPageBreak/>
        <w:t>Citi jautājumi</w:t>
      </w:r>
    </w:p>
    <w:p w14:paraId="2730F44C" w14:textId="77777777" w:rsidR="00D91CA2" w:rsidRDefault="00D91CA2" w:rsidP="00D91CA2">
      <w:pPr>
        <w:pStyle w:val="ListParagraph"/>
        <w:spacing w:before="120" w:after="120"/>
        <w:rPr>
          <w:rFonts w:ascii="Times New Roman" w:hAnsi="Times New Roman" w:cs="Times New Roman"/>
          <w:b/>
          <w:sz w:val="24"/>
          <w:szCs w:val="24"/>
        </w:rPr>
      </w:pPr>
    </w:p>
    <w:p w14:paraId="0C646686" w14:textId="71627979" w:rsidR="0069375A" w:rsidRDefault="0069375A" w:rsidP="002067DA">
      <w:pPr>
        <w:pStyle w:val="ListParagraph"/>
        <w:numPr>
          <w:ilvl w:val="0"/>
          <w:numId w:val="12"/>
        </w:numPr>
        <w:spacing w:before="120" w:after="120"/>
        <w:rPr>
          <w:rFonts w:ascii="Times New Roman" w:hAnsi="Times New Roman" w:cs="Times New Roman"/>
          <w:b/>
          <w:sz w:val="24"/>
          <w:szCs w:val="24"/>
        </w:rPr>
      </w:pPr>
      <w:r>
        <w:rPr>
          <w:rFonts w:ascii="Times New Roman" w:hAnsi="Times New Roman" w:cs="Times New Roman"/>
          <w:b/>
          <w:sz w:val="24"/>
          <w:szCs w:val="24"/>
        </w:rPr>
        <w:t xml:space="preserve">Gāzes direktīvas pārskatīšana </w:t>
      </w:r>
    </w:p>
    <w:p w14:paraId="69DAFAFC" w14:textId="4AEE9CF9" w:rsidR="0069375A" w:rsidRDefault="0069375A" w:rsidP="0069375A">
      <w:pPr>
        <w:pStyle w:val="ListParagraph"/>
        <w:numPr>
          <w:ilvl w:val="0"/>
          <w:numId w:val="14"/>
        </w:numPr>
        <w:spacing w:before="120" w:after="120"/>
        <w:rPr>
          <w:rFonts w:ascii="Times New Roman" w:hAnsi="Times New Roman" w:cs="Times New Roman"/>
          <w:i/>
          <w:sz w:val="24"/>
          <w:szCs w:val="24"/>
        </w:rPr>
      </w:pPr>
      <w:r w:rsidRPr="0069375A">
        <w:rPr>
          <w:rFonts w:ascii="Times New Roman" w:hAnsi="Times New Roman" w:cs="Times New Roman"/>
          <w:i/>
          <w:sz w:val="24"/>
          <w:szCs w:val="24"/>
        </w:rPr>
        <w:t>AT PRES sniegtā informācija</w:t>
      </w:r>
    </w:p>
    <w:p w14:paraId="0DC28907" w14:textId="01736A62" w:rsidR="00FF1CF3" w:rsidRDefault="00FF1CF3" w:rsidP="00FF1CF3">
      <w:pPr>
        <w:spacing w:before="120" w:after="120" w:line="240" w:lineRule="auto"/>
        <w:ind w:firstLine="720"/>
        <w:jc w:val="both"/>
        <w:rPr>
          <w:rFonts w:ascii="Times New Roman" w:hAnsi="Times New Roman" w:cs="Times New Roman"/>
          <w:sz w:val="24"/>
          <w:szCs w:val="24"/>
        </w:rPr>
      </w:pPr>
      <w:r w:rsidRPr="00FF1CF3">
        <w:rPr>
          <w:rFonts w:ascii="Times New Roman" w:hAnsi="Times New Roman" w:cs="Times New Roman"/>
          <w:sz w:val="24"/>
          <w:szCs w:val="24"/>
        </w:rPr>
        <w:t xml:space="preserve">Tiesiskais regulējums, kas nosaka gāzes cauruļvadu ekspluatāciju </w:t>
      </w:r>
      <w:r>
        <w:rPr>
          <w:rFonts w:ascii="Times New Roman" w:hAnsi="Times New Roman" w:cs="Times New Roman"/>
          <w:sz w:val="24"/>
          <w:szCs w:val="24"/>
        </w:rPr>
        <w:t>ES</w:t>
      </w:r>
      <w:r w:rsidRPr="00FF1CF3">
        <w:rPr>
          <w:rFonts w:ascii="Times New Roman" w:hAnsi="Times New Roman" w:cs="Times New Roman"/>
          <w:sz w:val="24"/>
          <w:szCs w:val="24"/>
        </w:rPr>
        <w:t>, ir noteikts Trešajā enerģētikas tiesību aktu kopumā</w:t>
      </w:r>
      <w:r w:rsidR="00BA4E83">
        <w:rPr>
          <w:rFonts w:ascii="Times New Roman" w:hAnsi="Times New Roman" w:cs="Times New Roman"/>
          <w:sz w:val="24"/>
          <w:szCs w:val="24"/>
        </w:rPr>
        <w:t>, precīzāk ar Direktīva 2009/73/</w:t>
      </w:r>
      <w:r w:rsidRPr="00FF1CF3">
        <w:rPr>
          <w:rFonts w:ascii="Times New Roman" w:hAnsi="Times New Roman" w:cs="Times New Roman"/>
          <w:sz w:val="24"/>
          <w:szCs w:val="24"/>
        </w:rPr>
        <w:t xml:space="preserve">EK2 (turpmāk “Gāzes direktīva”), kurā noteikti kopīgi dabasgāzes pārvades, sadales, piegādes un uzglabāšanas noteikumi. 2017. gadā </w:t>
      </w:r>
      <w:r>
        <w:rPr>
          <w:rFonts w:ascii="Times New Roman" w:hAnsi="Times New Roman" w:cs="Times New Roman"/>
          <w:sz w:val="24"/>
          <w:szCs w:val="24"/>
        </w:rPr>
        <w:t>EK</w:t>
      </w:r>
      <w:r w:rsidRPr="00FF1CF3">
        <w:rPr>
          <w:rFonts w:ascii="Times New Roman" w:hAnsi="Times New Roman" w:cs="Times New Roman"/>
          <w:sz w:val="24"/>
          <w:szCs w:val="24"/>
        </w:rPr>
        <w:t xml:space="preserve"> nāca klajā ar priekšlikumu veikt grozījumus Gāzes direktīvā, lai precizētu tās piemērošanas jomu un lai skaidri ietvertu gāzes cauruļvadus, kas savieno dalībvalstis ar trešajām valstīm.</w:t>
      </w:r>
    </w:p>
    <w:p w14:paraId="4E5FD498" w14:textId="4E27DD68" w:rsidR="00FF1CF3" w:rsidRPr="00FF1CF3" w:rsidRDefault="00FF1CF3" w:rsidP="00FF1CF3">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Grozījumi pamatojami ar to</w:t>
      </w:r>
      <w:r w:rsidRPr="00FF1CF3">
        <w:rPr>
          <w:rFonts w:ascii="Times New Roman" w:hAnsi="Times New Roman" w:cs="Times New Roman"/>
          <w:sz w:val="24"/>
          <w:szCs w:val="24"/>
        </w:rPr>
        <w:t>, ka Gāzes direktīvā pārvades līnijas, “</w:t>
      </w:r>
      <w:r w:rsidRPr="00FF1CF3">
        <w:rPr>
          <w:rFonts w:ascii="Times New Roman" w:hAnsi="Times New Roman" w:cs="Times New Roman"/>
          <w:i/>
          <w:sz w:val="24"/>
          <w:szCs w:val="24"/>
        </w:rPr>
        <w:t>kas šķērso vai pārsniedz robežu starp dalībvalstīm tikai ar mērķi savienot šo dalībvalstu pārvades sistēmas</w:t>
      </w:r>
      <w:r w:rsidRPr="00FF1CF3">
        <w:rPr>
          <w:rFonts w:ascii="Times New Roman" w:hAnsi="Times New Roman" w:cs="Times New Roman"/>
          <w:sz w:val="24"/>
          <w:szCs w:val="24"/>
        </w:rPr>
        <w:t>”, ir definētas kā “</w:t>
      </w:r>
      <w:proofErr w:type="spellStart"/>
      <w:r w:rsidRPr="00FF1CF3">
        <w:rPr>
          <w:rFonts w:ascii="Times New Roman" w:hAnsi="Times New Roman" w:cs="Times New Roman"/>
          <w:sz w:val="24"/>
          <w:szCs w:val="24"/>
        </w:rPr>
        <w:t>starpsavienojumi</w:t>
      </w:r>
      <w:proofErr w:type="spellEnd"/>
      <w:r w:rsidRPr="00FF1CF3">
        <w:rPr>
          <w:rFonts w:ascii="Times New Roman" w:hAnsi="Times New Roman" w:cs="Times New Roman"/>
          <w:sz w:val="24"/>
          <w:szCs w:val="24"/>
        </w:rPr>
        <w:t xml:space="preserve">”. Cauruļvadi, kas savieno dalībvalstis ar trešajām valstīm, pašlaik spēkā esošajā Gāzes direktīvas redakcijā neatbilst šai definīcijai. Šī iemesla dēļ šādi cauruļvadi (kā piemēram </w:t>
      </w:r>
      <w:r w:rsidRPr="00FF1CF3">
        <w:rPr>
          <w:rFonts w:ascii="Times New Roman" w:hAnsi="Times New Roman" w:cs="Times New Roman"/>
          <w:i/>
          <w:sz w:val="24"/>
          <w:szCs w:val="24"/>
        </w:rPr>
        <w:t xml:space="preserve">Nord </w:t>
      </w:r>
      <w:proofErr w:type="spellStart"/>
      <w:r w:rsidRPr="00FF1CF3">
        <w:rPr>
          <w:rFonts w:ascii="Times New Roman" w:hAnsi="Times New Roman" w:cs="Times New Roman"/>
          <w:i/>
          <w:sz w:val="24"/>
          <w:szCs w:val="24"/>
        </w:rPr>
        <w:t>Stream</w:t>
      </w:r>
      <w:proofErr w:type="spellEnd"/>
      <w:r w:rsidRPr="00FF1CF3">
        <w:rPr>
          <w:rFonts w:ascii="Times New Roman" w:hAnsi="Times New Roman" w:cs="Times New Roman"/>
          <w:i/>
          <w:sz w:val="24"/>
          <w:szCs w:val="24"/>
        </w:rPr>
        <w:t xml:space="preserve"> 2</w:t>
      </w:r>
      <w:r w:rsidRPr="00FF1CF3">
        <w:rPr>
          <w:rFonts w:ascii="Times New Roman" w:hAnsi="Times New Roman" w:cs="Times New Roman"/>
          <w:sz w:val="24"/>
          <w:szCs w:val="24"/>
        </w:rPr>
        <w:t xml:space="preserve">) tieši neietilpst Trešās enerģētikas </w:t>
      </w:r>
      <w:proofErr w:type="spellStart"/>
      <w:r w:rsidRPr="00FF1CF3">
        <w:rPr>
          <w:rFonts w:ascii="Times New Roman" w:hAnsi="Times New Roman" w:cs="Times New Roman"/>
          <w:sz w:val="24"/>
          <w:szCs w:val="24"/>
        </w:rPr>
        <w:t>pakotnes</w:t>
      </w:r>
      <w:proofErr w:type="spellEnd"/>
      <w:r w:rsidRPr="00FF1CF3">
        <w:rPr>
          <w:rFonts w:ascii="Times New Roman" w:hAnsi="Times New Roman" w:cs="Times New Roman"/>
          <w:sz w:val="24"/>
          <w:szCs w:val="24"/>
        </w:rPr>
        <w:t xml:space="preserve"> darbības jomā. Gāzes direktīvā nav skaidri noteikts tiesiskais regulējums gāzes cauruļvadiem uz trešajām valstīm un no tām. </w:t>
      </w:r>
    </w:p>
    <w:p w14:paraId="4D6BB192" w14:textId="1F6FEF49" w:rsidR="00FF1CF3" w:rsidRPr="00FF1CF3" w:rsidRDefault="00FF1CF3" w:rsidP="00FF1CF3">
      <w:pPr>
        <w:spacing w:before="120" w:after="120" w:line="240" w:lineRule="auto"/>
        <w:ind w:firstLine="720"/>
        <w:jc w:val="both"/>
        <w:rPr>
          <w:rFonts w:ascii="Times New Roman" w:hAnsi="Times New Roman" w:cs="Times New Roman"/>
          <w:sz w:val="24"/>
          <w:szCs w:val="24"/>
        </w:rPr>
      </w:pPr>
      <w:r w:rsidRPr="00FF1CF3">
        <w:rPr>
          <w:rFonts w:ascii="Times New Roman" w:hAnsi="Times New Roman" w:cs="Times New Roman"/>
          <w:sz w:val="24"/>
          <w:szCs w:val="24"/>
        </w:rPr>
        <w:t xml:space="preserve">Ierosinātie grozījumi nosaka, ka Gāzes direktīva, kā arī Gāzes regula attiecas uz gāzes cauruļvadiem, kas savieno trešās valstis ar ES. Tam jo īpaši ir šādas tiesiskās sekas </w:t>
      </w:r>
      <w:r>
        <w:rPr>
          <w:rFonts w:ascii="Times New Roman" w:hAnsi="Times New Roman" w:cs="Times New Roman"/>
          <w:sz w:val="24"/>
          <w:szCs w:val="24"/>
        </w:rPr>
        <w:t>–</w:t>
      </w:r>
      <w:r w:rsidRPr="00FF1CF3">
        <w:rPr>
          <w:rFonts w:ascii="Times New Roman" w:hAnsi="Times New Roman" w:cs="Times New Roman"/>
          <w:sz w:val="24"/>
          <w:szCs w:val="24"/>
        </w:rPr>
        <w:t xml:space="preserve"> attiecīgajiem cauruļvadiem ir jānodrošina nediskriminējoša trešo pušu piekļuve. Tīkla tarifi jānosaka nediskriminējošā veidā, un, ja to apstiprina kompetentā valsts pārvaldes iestāde (vai iestādes, ja infrastruktūra šķērso vairākas dalībvalstis).</w:t>
      </w:r>
    </w:p>
    <w:p w14:paraId="37880C86" w14:textId="25EF1166" w:rsidR="00FF1CF3" w:rsidRPr="00FF1CF3" w:rsidRDefault="00FF1CF3" w:rsidP="00FF1CF3">
      <w:pPr>
        <w:spacing w:before="120" w:after="120" w:line="240" w:lineRule="auto"/>
        <w:ind w:firstLine="720"/>
        <w:jc w:val="both"/>
        <w:rPr>
          <w:rFonts w:ascii="Times New Roman" w:hAnsi="Times New Roman" w:cs="Times New Roman"/>
          <w:sz w:val="24"/>
          <w:szCs w:val="24"/>
        </w:rPr>
      </w:pPr>
      <w:r w:rsidRPr="00FF1CF3">
        <w:rPr>
          <w:rFonts w:ascii="Times New Roman" w:hAnsi="Times New Roman" w:cs="Times New Roman"/>
          <w:sz w:val="24"/>
          <w:szCs w:val="24"/>
        </w:rPr>
        <w:t>Latvija 2017. gada novembrī sagatavoja Sākotnējo pozīciju</w:t>
      </w:r>
      <w:r>
        <w:rPr>
          <w:rFonts w:ascii="Times New Roman" w:hAnsi="Times New Roman" w:cs="Times New Roman"/>
          <w:sz w:val="24"/>
          <w:szCs w:val="24"/>
        </w:rPr>
        <w:t xml:space="preserve"> Nr. </w:t>
      </w:r>
      <w:r w:rsidRPr="00FF1CF3">
        <w:rPr>
          <w:rFonts w:ascii="Times New Roman" w:hAnsi="Times New Roman" w:cs="Times New Roman"/>
          <w:sz w:val="24"/>
          <w:szCs w:val="24"/>
        </w:rPr>
        <w:t>1 “Par grozījumiem Gāzes direktīvā (Direktīva 2009/73/EK)”, kur</w:t>
      </w:r>
      <w:r>
        <w:rPr>
          <w:rFonts w:ascii="Times New Roman" w:hAnsi="Times New Roman" w:cs="Times New Roman"/>
          <w:sz w:val="24"/>
          <w:szCs w:val="24"/>
        </w:rPr>
        <w:t>ā</w:t>
      </w:r>
      <w:r w:rsidRPr="00FF1CF3">
        <w:rPr>
          <w:rFonts w:ascii="Times New Roman" w:hAnsi="Times New Roman" w:cs="Times New Roman"/>
          <w:sz w:val="24"/>
          <w:szCs w:val="24"/>
        </w:rPr>
        <w:t xml:space="preserve"> atbalstīja grozījumus. Gāzes direktīvas grozījumi ir skatīti vairākkārt Enerģētikas d</w:t>
      </w:r>
      <w:r w:rsidR="005D288E">
        <w:rPr>
          <w:rFonts w:ascii="Times New Roman" w:hAnsi="Times New Roman" w:cs="Times New Roman"/>
          <w:sz w:val="24"/>
          <w:szCs w:val="24"/>
        </w:rPr>
        <w:t xml:space="preserve">arba grupu un COREPER sanāksmēs, un diskusijas joprojām turpinās. </w:t>
      </w:r>
    </w:p>
    <w:p w14:paraId="6D03C9C6" w14:textId="67EDD430" w:rsidR="00EF2EF1" w:rsidRPr="00A84AD0" w:rsidRDefault="00EF2EF1" w:rsidP="00FF1CF3">
      <w:pPr>
        <w:spacing w:before="120" w:after="120" w:line="240" w:lineRule="auto"/>
        <w:ind w:firstLine="720"/>
        <w:jc w:val="both"/>
        <w:rPr>
          <w:rFonts w:ascii="Times New Roman" w:hAnsi="Times New Roman" w:cs="Times New Roman"/>
          <w:b/>
          <w:sz w:val="24"/>
          <w:szCs w:val="24"/>
        </w:rPr>
      </w:pPr>
      <w:r w:rsidRPr="00A84AD0">
        <w:rPr>
          <w:rFonts w:ascii="Times New Roman" w:hAnsi="Times New Roman" w:cs="Times New Roman"/>
          <w:b/>
          <w:sz w:val="24"/>
          <w:szCs w:val="24"/>
        </w:rPr>
        <w:t>Latvijas nostāja:</w:t>
      </w:r>
    </w:p>
    <w:p w14:paraId="3F08D4A6" w14:textId="09605342" w:rsidR="00EF2EF1" w:rsidRPr="00A84AD0" w:rsidRDefault="00EF2EF1" w:rsidP="00D74DEF">
      <w:pPr>
        <w:spacing w:before="120" w:after="120" w:line="240" w:lineRule="auto"/>
        <w:ind w:firstLine="720"/>
        <w:jc w:val="both"/>
        <w:rPr>
          <w:rFonts w:ascii="Times New Roman" w:hAnsi="Times New Roman" w:cs="Times New Roman"/>
          <w:sz w:val="24"/>
          <w:szCs w:val="24"/>
        </w:rPr>
      </w:pPr>
      <w:r w:rsidRPr="00A84AD0">
        <w:rPr>
          <w:rFonts w:ascii="Times New Roman" w:hAnsi="Times New Roman" w:cs="Times New Roman"/>
          <w:sz w:val="24"/>
          <w:szCs w:val="24"/>
        </w:rPr>
        <w:t xml:space="preserve">Latvija atbalsta </w:t>
      </w:r>
      <w:r>
        <w:rPr>
          <w:rFonts w:ascii="Times New Roman" w:hAnsi="Times New Roman" w:cs="Times New Roman"/>
          <w:sz w:val="24"/>
          <w:szCs w:val="24"/>
        </w:rPr>
        <w:t xml:space="preserve">iespējami </w:t>
      </w:r>
      <w:r w:rsidRPr="00A84AD0">
        <w:rPr>
          <w:rFonts w:ascii="Times New Roman" w:hAnsi="Times New Roman" w:cs="Times New Roman"/>
          <w:sz w:val="24"/>
          <w:szCs w:val="24"/>
        </w:rPr>
        <w:t xml:space="preserve">ātru </w:t>
      </w:r>
      <w:r>
        <w:rPr>
          <w:rFonts w:ascii="Times New Roman" w:hAnsi="Times New Roman" w:cs="Times New Roman"/>
          <w:sz w:val="24"/>
          <w:szCs w:val="24"/>
        </w:rPr>
        <w:t>vienošanos par Padomes vispārējo nostāju par grozījumiem</w:t>
      </w:r>
      <w:r w:rsidRPr="002E2CD2">
        <w:rPr>
          <w:rFonts w:ascii="Times New Roman" w:hAnsi="Times New Roman" w:cs="Times New Roman"/>
          <w:sz w:val="24"/>
          <w:szCs w:val="24"/>
        </w:rPr>
        <w:t xml:space="preserve"> Gāzes direktīvā</w:t>
      </w:r>
      <w:r w:rsidRPr="00A84AD0">
        <w:rPr>
          <w:rFonts w:ascii="Times New Roman" w:hAnsi="Times New Roman" w:cs="Times New Roman"/>
          <w:sz w:val="24"/>
          <w:szCs w:val="24"/>
        </w:rPr>
        <w:t xml:space="preserve">, lai nodrošinātu pēc iespējas ātrāku ES Enerģētikas savienības stratēģisko mērķu sasniegšanu, uzlabotu ES iekšējā dabasgāzes tirgus darbību, kā arī radītu lielāku tiesisko skaidrību jautājumos, kas attiecas uz jau esošiem vai nākotnē plānotiem dabasgāzes cauruļvadu projektiem ar trešajām valstīm. </w:t>
      </w:r>
      <w:r>
        <w:rPr>
          <w:rFonts w:ascii="Times New Roman" w:hAnsi="Times New Roman" w:cs="Times New Roman"/>
          <w:sz w:val="24"/>
          <w:szCs w:val="24"/>
        </w:rPr>
        <w:t>Uzskatām, ka EK priekšlikums Gāzes direktīvas pārskatīšanai ir pamatots, un atbalstām tekstu, kas ir iespējami tuvu EK viedoklim. Latvijai i</w:t>
      </w:r>
      <w:r w:rsidRPr="00A84AD0">
        <w:rPr>
          <w:rFonts w:ascii="Times New Roman" w:hAnsi="Times New Roman" w:cs="Times New Roman"/>
          <w:sz w:val="24"/>
          <w:szCs w:val="24"/>
        </w:rPr>
        <w:t xml:space="preserve">r svarīgi iespējami drīz panākt vienošanos, </w:t>
      </w:r>
      <w:r>
        <w:rPr>
          <w:rFonts w:ascii="Times New Roman" w:hAnsi="Times New Roman" w:cs="Times New Roman"/>
          <w:sz w:val="24"/>
          <w:szCs w:val="24"/>
        </w:rPr>
        <w:t>un</w:t>
      </w:r>
      <w:r w:rsidRPr="00A84AD0">
        <w:rPr>
          <w:rFonts w:ascii="Times New Roman" w:hAnsi="Times New Roman" w:cs="Times New Roman"/>
          <w:sz w:val="24"/>
          <w:szCs w:val="24"/>
        </w:rPr>
        <w:t xml:space="preserve"> tikpat operatīvi uzsākt diskusijas par grozījumiem arī </w:t>
      </w:r>
      <w:proofErr w:type="spellStart"/>
      <w:r w:rsidRPr="00A84AD0">
        <w:rPr>
          <w:rFonts w:ascii="Times New Roman" w:hAnsi="Times New Roman" w:cs="Times New Roman"/>
          <w:sz w:val="24"/>
          <w:szCs w:val="24"/>
        </w:rPr>
        <w:t>trialogos</w:t>
      </w:r>
      <w:proofErr w:type="spellEnd"/>
      <w:r w:rsidRPr="00A84AD0">
        <w:rPr>
          <w:rFonts w:ascii="Times New Roman" w:hAnsi="Times New Roman" w:cs="Times New Roman"/>
          <w:sz w:val="24"/>
          <w:szCs w:val="24"/>
        </w:rPr>
        <w:t xml:space="preserve"> ar Eiropas Parlamentu</w:t>
      </w:r>
      <w:r>
        <w:rPr>
          <w:rFonts w:ascii="Times New Roman" w:hAnsi="Times New Roman" w:cs="Times New Roman"/>
          <w:sz w:val="24"/>
          <w:szCs w:val="24"/>
        </w:rPr>
        <w:t xml:space="preserve">. </w:t>
      </w:r>
    </w:p>
    <w:p w14:paraId="725FD7E5" w14:textId="2195D6F6" w:rsidR="002067DA" w:rsidRDefault="002067DA" w:rsidP="002067DA">
      <w:pPr>
        <w:pStyle w:val="ListParagraph"/>
        <w:numPr>
          <w:ilvl w:val="0"/>
          <w:numId w:val="12"/>
        </w:numPr>
        <w:spacing w:before="120" w:after="120"/>
        <w:rPr>
          <w:rFonts w:ascii="Times New Roman" w:hAnsi="Times New Roman" w:cs="Times New Roman"/>
          <w:b/>
          <w:sz w:val="24"/>
          <w:szCs w:val="24"/>
        </w:rPr>
      </w:pPr>
      <w:r w:rsidRPr="002067DA">
        <w:rPr>
          <w:rFonts w:ascii="Times New Roman" w:hAnsi="Times New Roman" w:cs="Times New Roman"/>
          <w:b/>
          <w:sz w:val="24"/>
          <w:szCs w:val="24"/>
        </w:rPr>
        <w:t xml:space="preserve">Turpmākie pasākumi saistībā ar “Ūdeņraža iniciatīvu”, kas aizsākta neformālajā enerģētikas ministru padomē </w:t>
      </w:r>
    </w:p>
    <w:p w14:paraId="2181EAEE" w14:textId="2D331C42" w:rsidR="002067DA" w:rsidRPr="002067DA" w:rsidRDefault="002067DA" w:rsidP="002067DA">
      <w:pPr>
        <w:pStyle w:val="ListParagraph"/>
        <w:numPr>
          <w:ilvl w:val="0"/>
          <w:numId w:val="13"/>
        </w:numPr>
        <w:spacing w:before="120" w:after="120"/>
        <w:rPr>
          <w:rFonts w:ascii="Times New Roman" w:hAnsi="Times New Roman" w:cs="Times New Roman"/>
          <w:i/>
          <w:sz w:val="24"/>
          <w:szCs w:val="24"/>
        </w:rPr>
      </w:pPr>
      <w:r w:rsidRPr="002067DA">
        <w:rPr>
          <w:rFonts w:ascii="Times New Roman" w:hAnsi="Times New Roman" w:cs="Times New Roman"/>
          <w:i/>
          <w:sz w:val="24"/>
          <w:szCs w:val="24"/>
        </w:rPr>
        <w:t>AT PRES un Komisijas sniegtā informācija</w:t>
      </w:r>
    </w:p>
    <w:p w14:paraId="58EA5D96" w14:textId="53D1C11C" w:rsidR="002067DA" w:rsidRDefault="002067DA" w:rsidP="002067DA">
      <w:pPr>
        <w:pStyle w:val="ListParagraph"/>
        <w:numPr>
          <w:ilvl w:val="0"/>
          <w:numId w:val="12"/>
        </w:numPr>
        <w:spacing w:before="120" w:after="120"/>
        <w:rPr>
          <w:rFonts w:ascii="Times New Roman" w:hAnsi="Times New Roman" w:cs="Times New Roman"/>
          <w:b/>
          <w:sz w:val="24"/>
          <w:szCs w:val="24"/>
        </w:rPr>
      </w:pPr>
      <w:r>
        <w:rPr>
          <w:rFonts w:ascii="Times New Roman" w:hAnsi="Times New Roman" w:cs="Times New Roman"/>
          <w:b/>
          <w:sz w:val="24"/>
          <w:szCs w:val="24"/>
        </w:rPr>
        <w:t xml:space="preserve">Eiropas līderība AER, koncentrējoties uz </w:t>
      </w:r>
      <w:r w:rsidR="0069375A">
        <w:rPr>
          <w:rFonts w:ascii="Times New Roman" w:hAnsi="Times New Roman" w:cs="Times New Roman"/>
          <w:b/>
          <w:sz w:val="24"/>
          <w:szCs w:val="24"/>
        </w:rPr>
        <w:t>jūras</w:t>
      </w:r>
      <w:r>
        <w:rPr>
          <w:rFonts w:ascii="Times New Roman" w:hAnsi="Times New Roman" w:cs="Times New Roman"/>
          <w:b/>
          <w:sz w:val="24"/>
          <w:szCs w:val="24"/>
        </w:rPr>
        <w:t xml:space="preserve"> enerģiju</w:t>
      </w:r>
    </w:p>
    <w:p w14:paraId="3F2D8078" w14:textId="614A718B" w:rsidR="002067DA" w:rsidRPr="00F207CC" w:rsidRDefault="002067DA" w:rsidP="00F207CC">
      <w:pPr>
        <w:pStyle w:val="ListParagraph"/>
        <w:numPr>
          <w:ilvl w:val="0"/>
          <w:numId w:val="13"/>
        </w:numPr>
        <w:spacing w:before="120" w:after="120"/>
        <w:rPr>
          <w:rFonts w:ascii="Times New Roman" w:hAnsi="Times New Roman" w:cs="Times New Roman"/>
          <w:i/>
          <w:sz w:val="24"/>
          <w:szCs w:val="24"/>
        </w:rPr>
      </w:pPr>
      <w:r w:rsidRPr="002067DA">
        <w:rPr>
          <w:rFonts w:ascii="Times New Roman" w:hAnsi="Times New Roman" w:cs="Times New Roman"/>
          <w:i/>
          <w:sz w:val="24"/>
          <w:szCs w:val="24"/>
        </w:rPr>
        <w:t xml:space="preserve"> </w:t>
      </w:r>
      <w:r w:rsidR="00F207CC" w:rsidRPr="00F207CC">
        <w:rPr>
          <w:rFonts w:ascii="Times New Roman" w:hAnsi="Times New Roman" w:cs="Times New Roman"/>
          <w:i/>
          <w:sz w:val="24"/>
          <w:szCs w:val="24"/>
        </w:rPr>
        <w:t xml:space="preserve">Komisijas sniegtā informācija </w:t>
      </w:r>
    </w:p>
    <w:p w14:paraId="1214A671" w14:textId="1CA4510B" w:rsidR="002067DA" w:rsidRDefault="00F207CC" w:rsidP="002067DA">
      <w:pPr>
        <w:pStyle w:val="ListParagraph"/>
        <w:numPr>
          <w:ilvl w:val="0"/>
          <w:numId w:val="12"/>
        </w:numPr>
        <w:spacing w:before="120" w:after="120"/>
        <w:rPr>
          <w:rFonts w:ascii="Times New Roman" w:hAnsi="Times New Roman" w:cs="Times New Roman"/>
          <w:b/>
          <w:sz w:val="24"/>
          <w:szCs w:val="24"/>
        </w:rPr>
      </w:pPr>
      <w:r>
        <w:rPr>
          <w:rFonts w:ascii="Times New Roman" w:hAnsi="Times New Roman" w:cs="Times New Roman"/>
          <w:b/>
          <w:sz w:val="24"/>
          <w:szCs w:val="24"/>
        </w:rPr>
        <w:t>Notikumu attīstība ārējo enerģētikas attiecību jomā</w:t>
      </w:r>
    </w:p>
    <w:p w14:paraId="66C5E245" w14:textId="51348F78" w:rsidR="0069375A" w:rsidRPr="0069375A" w:rsidRDefault="0069375A" w:rsidP="0069375A">
      <w:pPr>
        <w:pStyle w:val="ListParagraph"/>
        <w:numPr>
          <w:ilvl w:val="0"/>
          <w:numId w:val="13"/>
        </w:numPr>
        <w:spacing w:before="120" w:after="120"/>
        <w:rPr>
          <w:rFonts w:ascii="Times New Roman" w:hAnsi="Times New Roman" w:cs="Times New Roman"/>
          <w:i/>
          <w:sz w:val="24"/>
          <w:szCs w:val="24"/>
        </w:rPr>
      </w:pPr>
      <w:r w:rsidRPr="00F207CC">
        <w:rPr>
          <w:rFonts w:ascii="Times New Roman" w:hAnsi="Times New Roman" w:cs="Times New Roman"/>
          <w:i/>
          <w:sz w:val="24"/>
          <w:szCs w:val="24"/>
        </w:rPr>
        <w:t xml:space="preserve">Komisijas sniegtā informācija </w:t>
      </w:r>
    </w:p>
    <w:p w14:paraId="2575C442" w14:textId="0D6A1029" w:rsidR="0069375A" w:rsidRDefault="0069375A" w:rsidP="002067DA">
      <w:pPr>
        <w:pStyle w:val="ListParagraph"/>
        <w:numPr>
          <w:ilvl w:val="0"/>
          <w:numId w:val="12"/>
        </w:numPr>
        <w:spacing w:before="120" w:after="120"/>
        <w:rPr>
          <w:rFonts w:ascii="Times New Roman" w:hAnsi="Times New Roman" w:cs="Times New Roman"/>
          <w:b/>
          <w:sz w:val="24"/>
          <w:szCs w:val="24"/>
        </w:rPr>
      </w:pPr>
      <w:r>
        <w:rPr>
          <w:rFonts w:ascii="Times New Roman" w:hAnsi="Times New Roman" w:cs="Times New Roman"/>
          <w:b/>
          <w:sz w:val="24"/>
          <w:szCs w:val="24"/>
        </w:rPr>
        <w:t>Starptautiskās Atjaunojamo energoresursu aģentūras (IRENA) ģenerāldirektora vēlēšanas 2019. gadā</w:t>
      </w:r>
    </w:p>
    <w:p w14:paraId="38FAA620" w14:textId="2FDB18CA" w:rsidR="0069375A" w:rsidRPr="0069375A" w:rsidRDefault="0069375A" w:rsidP="0069375A">
      <w:pPr>
        <w:pStyle w:val="ListParagraph"/>
        <w:numPr>
          <w:ilvl w:val="0"/>
          <w:numId w:val="13"/>
        </w:numPr>
        <w:spacing w:before="120" w:after="120"/>
        <w:rPr>
          <w:rFonts w:ascii="Times New Roman" w:hAnsi="Times New Roman" w:cs="Times New Roman"/>
          <w:i/>
          <w:sz w:val="24"/>
          <w:szCs w:val="24"/>
        </w:rPr>
      </w:pPr>
      <w:r w:rsidRPr="0069375A">
        <w:rPr>
          <w:rFonts w:ascii="Times New Roman" w:hAnsi="Times New Roman" w:cs="Times New Roman"/>
          <w:i/>
          <w:sz w:val="24"/>
          <w:szCs w:val="24"/>
        </w:rPr>
        <w:t>Itālijas delegācijas sniegtā informācija</w:t>
      </w:r>
    </w:p>
    <w:p w14:paraId="54638D58" w14:textId="77777777" w:rsidR="00F207CC" w:rsidRPr="00F207CC" w:rsidRDefault="00F207CC" w:rsidP="00F207CC">
      <w:pPr>
        <w:pStyle w:val="ListParagraph"/>
        <w:numPr>
          <w:ilvl w:val="0"/>
          <w:numId w:val="12"/>
        </w:numPr>
        <w:spacing w:before="120" w:after="120"/>
        <w:rPr>
          <w:rFonts w:ascii="Times New Roman" w:hAnsi="Times New Roman" w:cs="Times New Roman"/>
          <w:b/>
          <w:i/>
          <w:sz w:val="24"/>
          <w:szCs w:val="24"/>
        </w:rPr>
      </w:pPr>
      <w:r w:rsidRPr="00F207CC">
        <w:rPr>
          <w:rFonts w:ascii="Times New Roman" w:hAnsi="Times New Roman" w:cs="Times New Roman"/>
          <w:b/>
          <w:sz w:val="24"/>
          <w:szCs w:val="24"/>
        </w:rPr>
        <w:t>Ienākošās prezidentūras darba programma</w:t>
      </w:r>
    </w:p>
    <w:p w14:paraId="2FB83D17" w14:textId="59C9ED5E" w:rsidR="00F207CC" w:rsidRDefault="00F207CC" w:rsidP="00F207CC">
      <w:pPr>
        <w:pStyle w:val="ListParagraph"/>
        <w:numPr>
          <w:ilvl w:val="0"/>
          <w:numId w:val="13"/>
        </w:numPr>
        <w:spacing w:before="120" w:after="120"/>
        <w:rPr>
          <w:rFonts w:ascii="Times New Roman" w:hAnsi="Times New Roman" w:cs="Times New Roman"/>
          <w:i/>
          <w:sz w:val="24"/>
          <w:szCs w:val="24"/>
        </w:rPr>
      </w:pPr>
      <w:r w:rsidRPr="00F207CC">
        <w:rPr>
          <w:rFonts w:ascii="Times New Roman" w:hAnsi="Times New Roman" w:cs="Times New Roman"/>
          <w:i/>
          <w:sz w:val="24"/>
          <w:szCs w:val="24"/>
        </w:rPr>
        <w:t>Rumānijas delegācijas sniegtā informācija</w:t>
      </w:r>
    </w:p>
    <w:p w14:paraId="7CBF70EC" w14:textId="77777777" w:rsidR="00374874" w:rsidRDefault="00374874" w:rsidP="00374874">
      <w:pPr>
        <w:pStyle w:val="ListParagraph"/>
        <w:spacing w:before="120" w:after="120" w:line="360" w:lineRule="auto"/>
        <w:jc w:val="both"/>
        <w:rPr>
          <w:rFonts w:ascii="Times New Roman" w:hAnsi="Times New Roman"/>
          <w:i/>
          <w:sz w:val="24"/>
          <w:szCs w:val="24"/>
        </w:rPr>
      </w:pPr>
    </w:p>
    <w:p w14:paraId="575C0C5D" w14:textId="77777777" w:rsidR="00374874" w:rsidRDefault="00374874" w:rsidP="00374874">
      <w:pPr>
        <w:pStyle w:val="ListParagraph"/>
        <w:spacing w:after="120"/>
        <w:ind w:left="360"/>
        <w:jc w:val="center"/>
        <w:rPr>
          <w:rFonts w:ascii="Times New Roman" w:hAnsi="Times New Roman"/>
          <w:b/>
          <w:sz w:val="24"/>
          <w:szCs w:val="24"/>
        </w:rPr>
      </w:pPr>
      <w:r>
        <w:rPr>
          <w:rFonts w:ascii="Times New Roman" w:hAnsi="Times New Roman"/>
          <w:b/>
          <w:sz w:val="24"/>
          <w:szCs w:val="24"/>
        </w:rPr>
        <w:lastRenderedPageBreak/>
        <w:t>II</w:t>
      </w:r>
      <w:r w:rsidRPr="006A3310">
        <w:rPr>
          <w:rFonts w:ascii="Times New Roman" w:hAnsi="Times New Roman"/>
          <w:b/>
          <w:sz w:val="24"/>
          <w:szCs w:val="24"/>
        </w:rPr>
        <w:t xml:space="preserve"> Latvijas delegācija</w:t>
      </w:r>
    </w:p>
    <w:p w14:paraId="015324BB" w14:textId="77777777" w:rsidR="007320E0" w:rsidRPr="006A3310" w:rsidRDefault="007320E0" w:rsidP="00374874">
      <w:pPr>
        <w:pStyle w:val="ListParagraph"/>
        <w:spacing w:after="120"/>
        <w:ind w:left="360"/>
        <w:jc w:val="center"/>
        <w:rPr>
          <w:rFonts w:ascii="Times New Roman" w:hAnsi="Times New Roman"/>
          <w:b/>
          <w:sz w:val="24"/>
          <w:szCs w:val="24"/>
        </w:rPr>
      </w:pPr>
    </w:p>
    <w:p w14:paraId="038F252A" w14:textId="06D0AD47" w:rsidR="006E523F" w:rsidRDefault="00374874" w:rsidP="006E523F">
      <w:pPr>
        <w:tabs>
          <w:tab w:val="left" w:pos="1985"/>
          <w:tab w:val="left" w:pos="2552"/>
        </w:tabs>
        <w:spacing w:after="120"/>
        <w:ind w:left="2880" w:hanging="2880"/>
        <w:jc w:val="both"/>
        <w:rPr>
          <w:rFonts w:ascii="Times New Roman" w:hAnsi="Times New Roman"/>
          <w:sz w:val="24"/>
          <w:szCs w:val="24"/>
        </w:rPr>
      </w:pPr>
      <w:r w:rsidRPr="006A3310">
        <w:rPr>
          <w:rFonts w:ascii="Times New Roman" w:hAnsi="Times New Roman"/>
          <w:sz w:val="24"/>
          <w:szCs w:val="24"/>
        </w:rPr>
        <w:t xml:space="preserve">Delegācijas vadītājs: </w:t>
      </w:r>
      <w:r w:rsidRPr="006A3310">
        <w:rPr>
          <w:rFonts w:ascii="Times New Roman" w:hAnsi="Times New Roman"/>
          <w:sz w:val="24"/>
          <w:szCs w:val="24"/>
        </w:rPr>
        <w:tab/>
      </w:r>
      <w:r w:rsidRPr="006A3310">
        <w:rPr>
          <w:rFonts w:ascii="Times New Roman" w:hAnsi="Times New Roman"/>
          <w:sz w:val="24"/>
          <w:szCs w:val="24"/>
        </w:rPr>
        <w:tab/>
      </w:r>
      <w:r w:rsidR="00692B78">
        <w:rPr>
          <w:rFonts w:ascii="Times New Roman" w:hAnsi="Times New Roman"/>
          <w:b/>
          <w:sz w:val="24"/>
          <w:szCs w:val="24"/>
        </w:rPr>
        <w:t>J</w:t>
      </w:r>
      <w:r w:rsidR="00A84AD0">
        <w:rPr>
          <w:rFonts w:ascii="Times New Roman" w:hAnsi="Times New Roman"/>
          <w:b/>
          <w:sz w:val="24"/>
          <w:szCs w:val="24"/>
        </w:rPr>
        <w:t xml:space="preserve">. </w:t>
      </w:r>
      <w:r w:rsidR="001A0C9A">
        <w:rPr>
          <w:rFonts w:ascii="Times New Roman" w:hAnsi="Times New Roman"/>
          <w:b/>
          <w:sz w:val="24"/>
          <w:szCs w:val="24"/>
        </w:rPr>
        <w:t>Upenieks</w:t>
      </w:r>
      <w:r w:rsidR="006E523F">
        <w:rPr>
          <w:rFonts w:ascii="Times New Roman" w:hAnsi="Times New Roman"/>
          <w:sz w:val="24"/>
          <w:szCs w:val="24"/>
        </w:rPr>
        <w:t xml:space="preserve">, </w:t>
      </w:r>
      <w:r w:rsidR="00A84AD0">
        <w:rPr>
          <w:rFonts w:ascii="Times New Roman" w:hAnsi="Times New Roman"/>
          <w:sz w:val="24"/>
          <w:szCs w:val="24"/>
        </w:rPr>
        <w:t xml:space="preserve">Ekonomikas ministrijas </w:t>
      </w:r>
      <w:r w:rsidR="001A0C9A">
        <w:rPr>
          <w:rFonts w:ascii="Times New Roman" w:hAnsi="Times New Roman"/>
          <w:sz w:val="24"/>
          <w:szCs w:val="24"/>
        </w:rPr>
        <w:t>parlamentārais</w:t>
      </w:r>
      <w:r w:rsidR="00A84AD0">
        <w:rPr>
          <w:rFonts w:ascii="Times New Roman" w:hAnsi="Times New Roman"/>
          <w:sz w:val="24"/>
          <w:szCs w:val="24"/>
        </w:rPr>
        <w:t xml:space="preserve"> sekretārs</w:t>
      </w:r>
      <w:r w:rsidR="006E523F">
        <w:rPr>
          <w:rFonts w:ascii="Times New Roman" w:hAnsi="Times New Roman"/>
          <w:sz w:val="24"/>
          <w:szCs w:val="24"/>
        </w:rPr>
        <w:t xml:space="preserve"> </w:t>
      </w:r>
    </w:p>
    <w:p w14:paraId="49F740D0" w14:textId="79298647" w:rsidR="00206B2C" w:rsidRPr="00AC0FB6" w:rsidRDefault="00206B2C" w:rsidP="00206B2C">
      <w:pPr>
        <w:tabs>
          <w:tab w:val="left" w:pos="3060"/>
        </w:tabs>
        <w:spacing w:after="120"/>
        <w:ind w:left="2880" w:hanging="2880"/>
        <w:jc w:val="both"/>
        <w:rPr>
          <w:rFonts w:ascii="Times New Roman" w:hAnsi="Times New Roman"/>
          <w:sz w:val="24"/>
          <w:szCs w:val="24"/>
        </w:rPr>
      </w:pPr>
      <w:r>
        <w:rPr>
          <w:rFonts w:ascii="Times New Roman" w:hAnsi="Times New Roman"/>
          <w:sz w:val="24"/>
          <w:szCs w:val="24"/>
        </w:rPr>
        <w:tab/>
      </w:r>
    </w:p>
    <w:p w14:paraId="2D7E40E8" w14:textId="17EF5FF0" w:rsidR="00374874" w:rsidRPr="00AC0FB6" w:rsidRDefault="00374874" w:rsidP="00374874">
      <w:pPr>
        <w:spacing w:after="120"/>
        <w:ind w:left="2880" w:hanging="2880"/>
        <w:rPr>
          <w:rFonts w:ascii="Times New Roman" w:hAnsi="Times New Roman"/>
          <w:sz w:val="24"/>
          <w:szCs w:val="24"/>
        </w:rPr>
      </w:pPr>
      <w:r w:rsidRPr="00AC0FB6">
        <w:rPr>
          <w:rFonts w:ascii="Times New Roman" w:hAnsi="Times New Roman"/>
          <w:sz w:val="24"/>
          <w:szCs w:val="24"/>
        </w:rPr>
        <w:t>Delegācijas dalībnieki:</w:t>
      </w:r>
      <w:r w:rsidRPr="00AC0FB6">
        <w:rPr>
          <w:rFonts w:ascii="Times New Roman" w:hAnsi="Times New Roman"/>
          <w:b/>
          <w:sz w:val="24"/>
          <w:szCs w:val="24"/>
        </w:rPr>
        <w:t xml:space="preserve">           </w:t>
      </w:r>
      <w:r w:rsidR="001F36BC">
        <w:rPr>
          <w:rFonts w:ascii="Times New Roman" w:hAnsi="Times New Roman"/>
          <w:b/>
          <w:sz w:val="24"/>
          <w:szCs w:val="24"/>
        </w:rPr>
        <w:t>J.</w:t>
      </w:r>
      <w:r w:rsidR="004250B6">
        <w:rPr>
          <w:rFonts w:ascii="Times New Roman" w:hAnsi="Times New Roman"/>
          <w:b/>
          <w:sz w:val="24"/>
          <w:szCs w:val="24"/>
        </w:rPr>
        <w:t xml:space="preserve"> </w:t>
      </w:r>
      <w:r w:rsidR="001F36BC">
        <w:rPr>
          <w:rFonts w:ascii="Times New Roman" w:hAnsi="Times New Roman"/>
          <w:b/>
          <w:sz w:val="24"/>
          <w:szCs w:val="24"/>
        </w:rPr>
        <w:t xml:space="preserve">Patmalnieks, </w:t>
      </w:r>
      <w:r w:rsidR="001F36BC" w:rsidRPr="001F36BC">
        <w:rPr>
          <w:rFonts w:ascii="Times New Roman" w:hAnsi="Times New Roman"/>
          <w:sz w:val="24"/>
          <w:szCs w:val="24"/>
        </w:rPr>
        <w:t>Ekonomikas ministrijas valsts sekretāra vietnieks</w:t>
      </w:r>
    </w:p>
    <w:p w14:paraId="5F8CD9D9" w14:textId="55402FD6" w:rsidR="00EB428F" w:rsidRPr="00EB428F" w:rsidRDefault="00EB428F" w:rsidP="00EB428F">
      <w:pPr>
        <w:spacing w:after="0"/>
        <w:jc w:val="both"/>
        <w:rPr>
          <w:rFonts w:ascii="Times New Roman" w:hAnsi="Times New Roman"/>
          <w:sz w:val="24"/>
          <w:szCs w:val="24"/>
        </w:rPr>
      </w:pPr>
      <w:r>
        <w:rPr>
          <w:rFonts w:ascii="Times New Roman" w:hAnsi="Times New Roman"/>
          <w:b/>
          <w:sz w:val="24"/>
          <w:szCs w:val="24"/>
        </w:rPr>
        <w:t xml:space="preserve">                 </w:t>
      </w:r>
      <w:r w:rsidR="00206B2C">
        <w:rPr>
          <w:rFonts w:ascii="Times New Roman" w:hAnsi="Times New Roman"/>
          <w:b/>
          <w:sz w:val="24"/>
          <w:szCs w:val="24"/>
        </w:rPr>
        <w:t xml:space="preserve">                               </w:t>
      </w:r>
      <w:r>
        <w:rPr>
          <w:rFonts w:ascii="Times New Roman" w:hAnsi="Times New Roman"/>
          <w:b/>
          <w:sz w:val="24"/>
          <w:szCs w:val="24"/>
        </w:rPr>
        <w:t>I.</w:t>
      </w:r>
      <w:r w:rsidR="004250B6">
        <w:rPr>
          <w:rFonts w:ascii="Times New Roman" w:hAnsi="Times New Roman"/>
          <w:b/>
          <w:sz w:val="24"/>
          <w:szCs w:val="24"/>
        </w:rPr>
        <w:t xml:space="preserve"> </w:t>
      </w:r>
      <w:r w:rsidRPr="00EB428F">
        <w:rPr>
          <w:rFonts w:ascii="Times New Roman" w:hAnsi="Times New Roman"/>
          <w:b/>
          <w:sz w:val="24"/>
          <w:szCs w:val="24"/>
        </w:rPr>
        <w:t>Iļjina</w:t>
      </w:r>
      <w:r w:rsidRPr="00EB428F">
        <w:rPr>
          <w:rFonts w:ascii="Times New Roman" w:hAnsi="Times New Roman"/>
          <w:sz w:val="24"/>
          <w:szCs w:val="24"/>
        </w:rPr>
        <w:t>,</w:t>
      </w:r>
      <w:r w:rsidRPr="00EB428F">
        <w:rPr>
          <w:rFonts w:ascii="Times New Roman" w:hAnsi="Times New Roman"/>
          <w:b/>
          <w:sz w:val="24"/>
          <w:szCs w:val="24"/>
        </w:rPr>
        <w:t xml:space="preserve"> </w:t>
      </w:r>
      <w:r w:rsidRPr="00EB428F">
        <w:rPr>
          <w:rFonts w:ascii="Times New Roman" w:hAnsi="Times New Roman"/>
          <w:sz w:val="24"/>
          <w:szCs w:val="24"/>
        </w:rPr>
        <w:t xml:space="preserve">Ekonomikas ministrijas nozares padomniece,  </w:t>
      </w:r>
    </w:p>
    <w:p w14:paraId="0D04EEA7" w14:textId="53D2EF87" w:rsidR="00374874" w:rsidRPr="002F0F76" w:rsidRDefault="00206B2C" w:rsidP="002F0F76">
      <w:pPr>
        <w:spacing w:after="0"/>
        <w:jc w:val="both"/>
        <w:rPr>
          <w:rFonts w:ascii="Times New Roman" w:hAnsi="Times New Roman"/>
          <w:sz w:val="24"/>
          <w:szCs w:val="24"/>
        </w:rPr>
      </w:pPr>
      <w:r>
        <w:rPr>
          <w:rFonts w:ascii="Times New Roman" w:hAnsi="Times New Roman"/>
          <w:sz w:val="24"/>
          <w:szCs w:val="24"/>
        </w:rPr>
        <w:t xml:space="preserve">                                                </w:t>
      </w:r>
      <w:r w:rsidR="00EB428F" w:rsidRPr="00EB428F">
        <w:rPr>
          <w:rFonts w:ascii="Times New Roman" w:hAnsi="Times New Roman"/>
          <w:sz w:val="24"/>
          <w:szCs w:val="24"/>
        </w:rPr>
        <w:t>Latvijas  Republikas Pastāvīgā pārstāvniecība Eiropas Savienībā</w:t>
      </w:r>
    </w:p>
    <w:p w14:paraId="11442AFA" w14:textId="77777777" w:rsidR="00374874" w:rsidRDefault="00374874" w:rsidP="00374874">
      <w:pPr>
        <w:spacing w:after="120"/>
        <w:jc w:val="both"/>
        <w:rPr>
          <w:rFonts w:ascii="Times New Roman" w:hAnsi="Times New Roman"/>
          <w:b/>
          <w:sz w:val="24"/>
          <w:szCs w:val="24"/>
        </w:rPr>
      </w:pPr>
    </w:p>
    <w:p w14:paraId="7F317608" w14:textId="77777777" w:rsidR="00374874" w:rsidRPr="006A3310" w:rsidRDefault="00374874" w:rsidP="00374874">
      <w:pPr>
        <w:spacing w:after="120"/>
        <w:jc w:val="both"/>
        <w:rPr>
          <w:rFonts w:ascii="Times New Roman" w:hAnsi="Times New Roman"/>
          <w:b/>
          <w:sz w:val="24"/>
          <w:szCs w:val="24"/>
        </w:rPr>
      </w:pPr>
    </w:p>
    <w:p w14:paraId="278A2078" w14:textId="77777777" w:rsidR="00374874" w:rsidRDefault="00374874" w:rsidP="00374874">
      <w:pPr>
        <w:spacing w:after="0" w:line="240" w:lineRule="auto"/>
        <w:jc w:val="both"/>
        <w:rPr>
          <w:rFonts w:ascii="Times New Roman" w:hAnsi="Times New Roman"/>
          <w:sz w:val="24"/>
          <w:szCs w:val="24"/>
        </w:rPr>
      </w:pPr>
      <w:r>
        <w:rPr>
          <w:rFonts w:ascii="Times New Roman" w:hAnsi="Times New Roman"/>
          <w:sz w:val="24"/>
          <w:szCs w:val="24"/>
        </w:rPr>
        <w:t>Ministru prezidenta biedrs</w:t>
      </w:r>
      <w:r w:rsidRPr="006A3310">
        <w:rPr>
          <w:rFonts w:ascii="Times New Roman" w:hAnsi="Times New Roman"/>
          <w:sz w:val="24"/>
          <w:szCs w:val="24"/>
        </w:rPr>
        <w:t>,</w:t>
      </w:r>
    </w:p>
    <w:p w14:paraId="790C7654" w14:textId="7DAD731D" w:rsidR="00374874" w:rsidRPr="006A3310" w:rsidRDefault="00374874" w:rsidP="00374874">
      <w:pPr>
        <w:spacing w:after="0" w:line="240" w:lineRule="auto"/>
        <w:rPr>
          <w:rFonts w:ascii="Times New Roman" w:hAnsi="Times New Roman"/>
          <w:sz w:val="24"/>
          <w:szCs w:val="24"/>
        </w:rPr>
      </w:pPr>
      <w:r>
        <w:rPr>
          <w:rFonts w:ascii="Times New Roman" w:hAnsi="Times New Roman"/>
          <w:sz w:val="24"/>
          <w:szCs w:val="24"/>
        </w:rPr>
        <w:t>ekonomikas ministrs</w:t>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Pr>
          <w:rFonts w:ascii="Times New Roman" w:hAnsi="Times New Roman"/>
          <w:sz w:val="24"/>
          <w:szCs w:val="24"/>
        </w:rPr>
        <w:t xml:space="preserve">                         </w:t>
      </w:r>
      <w:r w:rsidR="003B0192">
        <w:rPr>
          <w:rFonts w:ascii="Times New Roman" w:hAnsi="Times New Roman"/>
          <w:sz w:val="24"/>
          <w:szCs w:val="24"/>
        </w:rPr>
        <w:t xml:space="preserve">                              A</w:t>
      </w:r>
      <w:r>
        <w:rPr>
          <w:rFonts w:ascii="Times New Roman" w:hAnsi="Times New Roman"/>
          <w:sz w:val="24"/>
          <w:szCs w:val="24"/>
        </w:rPr>
        <w:t>. Ašeradens</w:t>
      </w:r>
      <w:r w:rsidRPr="006A3310">
        <w:rPr>
          <w:rFonts w:ascii="Times New Roman" w:hAnsi="Times New Roman"/>
          <w:sz w:val="24"/>
          <w:szCs w:val="24"/>
        </w:rPr>
        <w:tab/>
      </w:r>
      <w:r w:rsidRPr="006A3310">
        <w:rPr>
          <w:rFonts w:ascii="Times New Roman" w:hAnsi="Times New Roman"/>
          <w:sz w:val="24"/>
          <w:szCs w:val="24"/>
        </w:rPr>
        <w:tab/>
        <w:t xml:space="preserve">  </w:t>
      </w:r>
      <w:r>
        <w:rPr>
          <w:rFonts w:ascii="Times New Roman" w:hAnsi="Times New Roman"/>
          <w:sz w:val="24"/>
          <w:szCs w:val="24"/>
        </w:rPr>
        <w:t xml:space="preserve">                           </w:t>
      </w:r>
    </w:p>
    <w:p w14:paraId="6E247371" w14:textId="77777777" w:rsidR="00374874" w:rsidRPr="006A3310" w:rsidRDefault="00374874" w:rsidP="00374874">
      <w:pPr>
        <w:tabs>
          <w:tab w:val="right" w:pos="9497"/>
        </w:tabs>
        <w:spacing w:after="120"/>
        <w:ind w:firstLine="737"/>
        <w:jc w:val="both"/>
        <w:rPr>
          <w:rFonts w:ascii="Times New Roman" w:hAnsi="Times New Roman"/>
          <w:sz w:val="24"/>
          <w:szCs w:val="24"/>
        </w:rPr>
      </w:pPr>
    </w:p>
    <w:p w14:paraId="6E3E5DF0" w14:textId="12BF773F" w:rsidR="00374874" w:rsidRPr="002F0F76" w:rsidRDefault="00374874" w:rsidP="002F0F76">
      <w:pPr>
        <w:tabs>
          <w:tab w:val="left" w:pos="7710"/>
        </w:tabs>
        <w:spacing w:after="0"/>
        <w:rPr>
          <w:rFonts w:ascii="Times New Roman" w:hAnsi="Times New Roman"/>
          <w:sz w:val="24"/>
          <w:szCs w:val="24"/>
        </w:rPr>
      </w:pPr>
      <w:r>
        <w:rPr>
          <w:rFonts w:ascii="Times New Roman" w:hAnsi="Times New Roman"/>
          <w:sz w:val="24"/>
          <w:szCs w:val="24"/>
        </w:rPr>
        <w:t>Valsts sekretārs                                                                                                      Ē. Eglītis</w:t>
      </w:r>
    </w:p>
    <w:p w14:paraId="2DC6C84A" w14:textId="77777777" w:rsidR="00B719B9" w:rsidRDefault="00B719B9" w:rsidP="007E4E62">
      <w:pPr>
        <w:spacing w:after="0" w:line="240" w:lineRule="auto"/>
        <w:rPr>
          <w:rFonts w:ascii="Times New Roman" w:hAnsi="Times New Roman"/>
          <w:sz w:val="20"/>
          <w:szCs w:val="20"/>
        </w:rPr>
      </w:pPr>
    </w:p>
    <w:p w14:paraId="6AEDE61C" w14:textId="77777777" w:rsidR="00B719B9" w:rsidRDefault="00B719B9" w:rsidP="007E4E62">
      <w:pPr>
        <w:spacing w:after="0" w:line="240" w:lineRule="auto"/>
        <w:rPr>
          <w:rFonts w:ascii="Times New Roman" w:hAnsi="Times New Roman"/>
          <w:sz w:val="20"/>
          <w:szCs w:val="20"/>
        </w:rPr>
      </w:pPr>
    </w:p>
    <w:p w14:paraId="2D7DEA25" w14:textId="77777777" w:rsidR="00B719B9" w:rsidRDefault="00B719B9" w:rsidP="007E4E62">
      <w:pPr>
        <w:spacing w:after="0" w:line="240" w:lineRule="auto"/>
        <w:rPr>
          <w:rFonts w:ascii="Times New Roman" w:hAnsi="Times New Roman"/>
          <w:sz w:val="20"/>
          <w:szCs w:val="20"/>
        </w:rPr>
      </w:pPr>
    </w:p>
    <w:p w14:paraId="6EF8AB9C" w14:textId="77777777" w:rsidR="00B719B9" w:rsidRDefault="00B719B9" w:rsidP="007E4E62">
      <w:pPr>
        <w:spacing w:after="0" w:line="240" w:lineRule="auto"/>
        <w:rPr>
          <w:rFonts w:ascii="Times New Roman" w:hAnsi="Times New Roman"/>
          <w:sz w:val="20"/>
          <w:szCs w:val="20"/>
        </w:rPr>
      </w:pPr>
    </w:p>
    <w:p w14:paraId="311F3564" w14:textId="77777777" w:rsidR="00B719B9" w:rsidRPr="00B719B9" w:rsidRDefault="00B719B9" w:rsidP="00B719B9">
      <w:pPr>
        <w:spacing w:after="0" w:line="240" w:lineRule="auto"/>
        <w:rPr>
          <w:rFonts w:ascii="Times New Roman" w:hAnsi="Times New Roman"/>
          <w:sz w:val="20"/>
          <w:szCs w:val="20"/>
        </w:rPr>
      </w:pPr>
      <w:r w:rsidRPr="00B719B9">
        <w:rPr>
          <w:rFonts w:ascii="Times New Roman" w:hAnsi="Times New Roman"/>
          <w:sz w:val="20"/>
          <w:szCs w:val="20"/>
        </w:rPr>
        <w:t>10.12.2018.</w:t>
      </w:r>
    </w:p>
    <w:p w14:paraId="154FFB99" w14:textId="0BD779E9" w:rsidR="00B719B9" w:rsidRPr="00B719B9" w:rsidRDefault="00B719B9" w:rsidP="00B719B9">
      <w:pPr>
        <w:spacing w:after="0" w:line="240" w:lineRule="auto"/>
        <w:rPr>
          <w:rFonts w:ascii="Times New Roman" w:hAnsi="Times New Roman"/>
          <w:sz w:val="20"/>
          <w:szCs w:val="20"/>
        </w:rPr>
      </w:pPr>
      <w:r>
        <w:rPr>
          <w:rFonts w:ascii="Times New Roman" w:hAnsi="Times New Roman"/>
          <w:sz w:val="20"/>
          <w:szCs w:val="20"/>
        </w:rPr>
        <w:t>2867</w:t>
      </w:r>
    </w:p>
    <w:p w14:paraId="3873CDE3" w14:textId="77777777" w:rsidR="00B719B9" w:rsidRPr="00B719B9" w:rsidRDefault="00B719B9" w:rsidP="00B719B9">
      <w:pPr>
        <w:spacing w:after="0" w:line="240" w:lineRule="auto"/>
        <w:rPr>
          <w:rFonts w:ascii="Times New Roman" w:hAnsi="Times New Roman"/>
          <w:sz w:val="20"/>
          <w:szCs w:val="20"/>
        </w:rPr>
      </w:pPr>
      <w:proofErr w:type="spellStart"/>
      <w:r w:rsidRPr="00B719B9">
        <w:rPr>
          <w:rFonts w:ascii="Times New Roman" w:hAnsi="Times New Roman"/>
          <w:sz w:val="20"/>
          <w:szCs w:val="20"/>
        </w:rPr>
        <w:t>I.Karpoviča</w:t>
      </w:r>
      <w:proofErr w:type="spellEnd"/>
      <w:r w:rsidRPr="00B719B9">
        <w:rPr>
          <w:rFonts w:ascii="Times New Roman" w:hAnsi="Times New Roman"/>
          <w:sz w:val="20"/>
          <w:szCs w:val="20"/>
        </w:rPr>
        <w:t>, 67013192</w:t>
      </w:r>
    </w:p>
    <w:p w14:paraId="3989196B" w14:textId="4DAE44DF" w:rsidR="007E4E62" w:rsidRPr="003E3CF3" w:rsidRDefault="00B719B9" w:rsidP="00B719B9">
      <w:pPr>
        <w:spacing w:after="0" w:line="240" w:lineRule="auto"/>
        <w:rPr>
          <w:rFonts w:ascii="Times New Roman" w:hAnsi="Times New Roman"/>
          <w:sz w:val="20"/>
          <w:szCs w:val="20"/>
        </w:rPr>
      </w:pPr>
      <w:r w:rsidRPr="00B719B9">
        <w:rPr>
          <w:rFonts w:ascii="Times New Roman" w:hAnsi="Times New Roman"/>
          <w:sz w:val="20"/>
          <w:szCs w:val="20"/>
        </w:rPr>
        <w:t>Inese.Karpovica@em.gov.lv</w:t>
      </w:r>
    </w:p>
    <w:sectPr w:rsidR="007E4E62" w:rsidRPr="003E3CF3" w:rsidSect="003E655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19F6" w14:textId="77777777" w:rsidR="00A26648" w:rsidRDefault="00A26648" w:rsidP="005335C7">
      <w:pPr>
        <w:spacing w:after="0" w:line="240" w:lineRule="auto"/>
      </w:pPr>
      <w:r>
        <w:separator/>
      </w:r>
    </w:p>
  </w:endnote>
  <w:endnote w:type="continuationSeparator" w:id="0">
    <w:p w14:paraId="79AB4891" w14:textId="77777777" w:rsidR="00A26648" w:rsidRDefault="00A26648" w:rsidP="0053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CBB1" w14:textId="464E403C" w:rsidR="005335C7" w:rsidRPr="00115F35" w:rsidRDefault="00F207CC">
    <w:pPr>
      <w:pStyle w:val="Footer"/>
      <w:rPr>
        <w:rFonts w:ascii="Times New Roman" w:hAnsi="Times New Roman" w:cs="Times New Roman"/>
        <w:sz w:val="20"/>
        <w:szCs w:val="20"/>
      </w:rPr>
    </w:pPr>
    <w:r>
      <w:rPr>
        <w:rFonts w:ascii="Times New Roman" w:hAnsi="Times New Roman" w:cs="Times New Roman"/>
        <w:sz w:val="20"/>
        <w:szCs w:val="20"/>
      </w:rPr>
      <w:t>EMzino_ENERG_19.12</w:t>
    </w:r>
    <w:r w:rsidR="007E4E62" w:rsidRPr="005B5D0B">
      <w:rPr>
        <w:rFonts w:ascii="Times New Roman" w:hAnsi="Times New Roman" w:cs="Times New Roman"/>
        <w:sz w:val="20"/>
        <w:szCs w:val="20"/>
      </w:rPr>
      <w:t xml:space="preserve">.docx; </w:t>
    </w:r>
    <w:r w:rsidR="007E4E62" w:rsidRPr="005B5D0B">
      <w:rPr>
        <w:rFonts w:ascii="Times New Roman" w:hAnsi="Times New Roman"/>
        <w:sz w:val="20"/>
        <w:szCs w:val="20"/>
      </w:rPr>
      <w:t xml:space="preserve">Informatīvais ziņojums par Eiropas Savienības Transporta, telekomunikāciju un enerģētikas </w:t>
    </w:r>
    <w:r>
      <w:rPr>
        <w:rFonts w:ascii="Times New Roman" w:hAnsi="Times New Roman"/>
        <w:sz w:val="20"/>
        <w:szCs w:val="20"/>
      </w:rPr>
      <w:t>ministru padomes 2018. gada 19</w:t>
    </w:r>
    <w:r w:rsidR="007E4E62" w:rsidRPr="005B5D0B">
      <w:rPr>
        <w:rFonts w:ascii="Times New Roman" w:hAnsi="Times New Roman"/>
        <w:sz w:val="20"/>
        <w:szCs w:val="20"/>
      </w:rPr>
      <w:t>.</w:t>
    </w:r>
    <w:r w:rsidR="007E4E62">
      <w:rPr>
        <w:rFonts w:ascii="Times New Roman" w:hAnsi="Times New Roman"/>
        <w:sz w:val="20"/>
        <w:szCs w:val="20"/>
      </w:rPr>
      <w:t xml:space="preserve"> </w:t>
    </w:r>
    <w:r>
      <w:rPr>
        <w:rFonts w:ascii="Times New Roman" w:hAnsi="Times New Roman"/>
        <w:sz w:val="20"/>
        <w:szCs w:val="20"/>
      </w:rPr>
      <w:t>decembra</w:t>
    </w:r>
    <w:r w:rsidR="007E4E62" w:rsidRPr="005B5D0B">
      <w:rPr>
        <w:rFonts w:ascii="Times New Roman" w:hAnsi="Times New Roman"/>
        <w:sz w:val="20"/>
        <w:szCs w:val="20"/>
      </w:rPr>
      <w:t xml:space="preserve"> sanāksmē izskatāmajiem jautājumiem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35F1" w14:textId="77777777" w:rsidR="00A26648" w:rsidRDefault="00A26648" w:rsidP="005335C7">
      <w:pPr>
        <w:spacing w:after="0" w:line="240" w:lineRule="auto"/>
      </w:pPr>
      <w:r>
        <w:separator/>
      </w:r>
    </w:p>
  </w:footnote>
  <w:footnote w:type="continuationSeparator" w:id="0">
    <w:p w14:paraId="2F5F21CE" w14:textId="77777777" w:rsidR="00A26648" w:rsidRDefault="00A26648" w:rsidP="005335C7">
      <w:pPr>
        <w:spacing w:after="0" w:line="240" w:lineRule="auto"/>
      </w:pPr>
      <w:r>
        <w:continuationSeparator/>
      </w:r>
    </w:p>
  </w:footnote>
  <w:footnote w:id="1">
    <w:p w14:paraId="50D56E59" w14:textId="77777777" w:rsidR="00877E9F" w:rsidRDefault="00877E9F" w:rsidP="00877E9F">
      <w:pPr>
        <w:pStyle w:val="FootnoteText"/>
      </w:pPr>
      <w:r w:rsidRPr="0043297F">
        <w:rPr>
          <w:rStyle w:val="FootnoteReference"/>
          <w:rFonts w:ascii="Times New Roman" w:hAnsi="Times New Roman" w:cs="Times New Roman"/>
        </w:rPr>
        <w:footnoteRef/>
      </w:r>
      <w:r>
        <w:t xml:space="preserve"> </w:t>
      </w:r>
      <w:r w:rsidRPr="0043297F">
        <w:rPr>
          <w:rFonts w:ascii="Times New Roman" w:hAnsi="Times New Roman" w:cs="Times New Roman"/>
        </w:rPr>
        <w:t xml:space="preserve">Pieejama: </w:t>
      </w:r>
      <w:hyperlink r:id="rId1" w:history="1">
        <w:r w:rsidRPr="0043297F">
          <w:rPr>
            <w:rStyle w:val="Hyperlink"/>
            <w:rFonts w:ascii="Times New Roman" w:hAnsi="Times New Roman" w:cs="Times New Roman"/>
          </w:rPr>
          <w:t>https://ec.europa.eu/clima/policies/strategies/2050_en</w:t>
        </w:r>
      </w:hyperlink>
      <w:r>
        <w:t xml:space="preserve"> </w:t>
      </w:r>
    </w:p>
  </w:footnote>
  <w:footnote w:id="2">
    <w:p w14:paraId="26F71F94" w14:textId="77777777" w:rsidR="00877E9F" w:rsidRPr="0043297F" w:rsidRDefault="00877E9F" w:rsidP="00877E9F">
      <w:pPr>
        <w:pStyle w:val="FootnoteText"/>
        <w:rPr>
          <w:rFonts w:ascii="Times New Roman" w:hAnsi="Times New Roman" w:cs="Times New Roman"/>
        </w:rPr>
      </w:pPr>
      <w:r w:rsidRPr="0043297F">
        <w:rPr>
          <w:rStyle w:val="FootnoteReference"/>
          <w:rFonts w:ascii="Times New Roman" w:hAnsi="Times New Roman" w:cs="Times New Roman"/>
        </w:rPr>
        <w:footnoteRef/>
      </w:r>
      <w:r w:rsidRPr="0043297F">
        <w:rPr>
          <w:rFonts w:ascii="Times New Roman" w:hAnsi="Times New Roman" w:cs="Times New Roman"/>
        </w:rPr>
        <w:t xml:space="preserve"> Pieejams: </w:t>
      </w:r>
      <w:hyperlink r:id="rId2" w:history="1">
        <w:r w:rsidRPr="0043297F">
          <w:rPr>
            <w:rStyle w:val="Hyperlink"/>
            <w:rFonts w:ascii="Times New Roman" w:hAnsi="Times New Roman" w:cs="Times New Roman"/>
          </w:rPr>
          <w:t>https://www.ipcc.ch/sr15/</w:t>
        </w:r>
      </w:hyperlink>
      <w:r w:rsidRPr="0043297F">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965"/>
    <w:multiLevelType w:val="hybridMultilevel"/>
    <w:tmpl w:val="9BF6C3B0"/>
    <w:lvl w:ilvl="0" w:tplc="F5381F14">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CBF3E86"/>
    <w:multiLevelType w:val="hybridMultilevel"/>
    <w:tmpl w:val="F096524E"/>
    <w:lvl w:ilvl="0" w:tplc="812CF886">
      <w:start w:val="3"/>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E651B8"/>
    <w:multiLevelType w:val="hybridMultilevel"/>
    <w:tmpl w:val="2D2C7744"/>
    <w:lvl w:ilvl="0" w:tplc="5F107BAE">
      <w:start w:val="5"/>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8371AE7"/>
    <w:multiLevelType w:val="hybridMultilevel"/>
    <w:tmpl w:val="7C2047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4B6D4B"/>
    <w:multiLevelType w:val="hybridMultilevel"/>
    <w:tmpl w:val="B756D8B6"/>
    <w:lvl w:ilvl="0" w:tplc="CBE6D60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49136D"/>
    <w:multiLevelType w:val="hybridMultilevel"/>
    <w:tmpl w:val="E09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7340E"/>
    <w:multiLevelType w:val="hybridMultilevel"/>
    <w:tmpl w:val="FE48BF96"/>
    <w:lvl w:ilvl="0" w:tplc="978C648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42158F"/>
    <w:multiLevelType w:val="hybridMultilevel"/>
    <w:tmpl w:val="999EC2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DBB1CA1"/>
    <w:multiLevelType w:val="hybridMultilevel"/>
    <w:tmpl w:val="F3908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7A62FA"/>
    <w:multiLevelType w:val="hybridMultilevel"/>
    <w:tmpl w:val="296ECF98"/>
    <w:lvl w:ilvl="0" w:tplc="47226BAC">
      <w:start w:val="20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9904D30"/>
    <w:multiLevelType w:val="hybridMultilevel"/>
    <w:tmpl w:val="DBAAA63A"/>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50AE774A"/>
    <w:multiLevelType w:val="hybridMultilevel"/>
    <w:tmpl w:val="758E3B54"/>
    <w:lvl w:ilvl="0" w:tplc="6B702976">
      <w:start w:val="1"/>
      <w:numFmt w:val="lowerLetter"/>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403CA9"/>
    <w:multiLevelType w:val="hybridMultilevel"/>
    <w:tmpl w:val="735AE318"/>
    <w:lvl w:ilvl="0" w:tplc="E528EDA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90E272A"/>
    <w:multiLevelType w:val="hybridMultilevel"/>
    <w:tmpl w:val="BD86349C"/>
    <w:lvl w:ilvl="0" w:tplc="859C3F74">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8A51EF"/>
    <w:multiLevelType w:val="hybridMultilevel"/>
    <w:tmpl w:val="5756E258"/>
    <w:lvl w:ilvl="0" w:tplc="5B6CD8EC">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2481E70"/>
    <w:multiLevelType w:val="hybridMultilevel"/>
    <w:tmpl w:val="177C49CC"/>
    <w:lvl w:ilvl="0" w:tplc="9D5E96B4">
      <w:start w:val="1"/>
      <w:numFmt w:val="upperRoman"/>
      <w:lvlText w:val="%1."/>
      <w:lvlJc w:val="left"/>
      <w:pPr>
        <w:ind w:left="3660" w:hanging="720"/>
      </w:pPr>
      <w:rPr>
        <w:rFonts w:hint="default"/>
        <w:b/>
      </w:rPr>
    </w:lvl>
    <w:lvl w:ilvl="1" w:tplc="04260019" w:tentative="1">
      <w:start w:val="1"/>
      <w:numFmt w:val="lowerLetter"/>
      <w:lvlText w:val="%2."/>
      <w:lvlJc w:val="left"/>
      <w:pPr>
        <w:ind w:left="4020" w:hanging="360"/>
      </w:pPr>
    </w:lvl>
    <w:lvl w:ilvl="2" w:tplc="0426001B" w:tentative="1">
      <w:start w:val="1"/>
      <w:numFmt w:val="lowerRoman"/>
      <w:lvlText w:val="%3."/>
      <w:lvlJc w:val="right"/>
      <w:pPr>
        <w:ind w:left="4740" w:hanging="180"/>
      </w:pPr>
    </w:lvl>
    <w:lvl w:ilvl="3" w:tplc="0426000F" w:tentative="1">
      <w:start w:val="1"/>
      <w:numFmt w:val="decimal"/>
      <w:lvlText w:val="%4."/>
      <w:lvlJc w:val="left"/>
      <w:pPr>
        <w:ind w:left="5460" w:hanging="360"/>
      </w:pPr>
    </w:lvl>
    <w:lvl w:ilvl="4" w:tplc="04260019" w:tentative="1">
      <w:start w:val="1"/>
      <w:numFmt w:val="lowerLetter"/>
      <w:lvlText w:val="%5."/>
      <w:lvlJc w:val="left"/>
      <w:pPr>
        <w:ind w:left="6180" w:hanging="360"/>
      </w:pPr>
    </w:lvl>
    <w:lvl w:ilvl="5" w:tplc="0426001B" w:tentative="1">
      <w:start w:val="1"/>
      <w:numFmt w:val="lowerRoman"/>
      <w:lvlText w:val="%6."/>
      <w:lvlJc w:val="right"/>
      <w:pPr>
        <w:ind w:left="6900" w:hanging="180"/>
      </w:pPr>
    </w:lvl>
    <w:lvl w:ilvl="6" w:tplc="0426000F" w:tentative="1">
      <w:start w:val="1"/>
      <w:numFmt w:val="decimal"/>
      <w:lvlText w:val="%7."/>
      <w:lvlJc w:val="left"/>
      <w:pPr>
        <w:ind w:left="7620" w:hanging="360"/>
      </w:pPr>
    </w:lvl>
    <w:lvl w:ilvl="7" w:tplc="04260019" w:tentative="1">
      <w:start w:val="1"/>
      <w:numFmt w:val="lowerLetter"/>
      <w:lvlText w:val="%8."/>
      <w:lvlJc w:val="left"/>
      <w:pPr>
        <w:ind w:left="8340" w:hanging="360"/>
      </w:pPr>
    </w:lvl>
    <w:lvl w:ilvl="8" w:tplc="0426001B" w:tentative="1">
      <w:start w:val="1"/>
      <w:numFmt w:val="lowerRoman"/>
      <w:lvlText w:val="%9."/>
      <w:lvlJc w:val="right"/>
      <w:pPr>
        <w:ind w:left="9060" w:hanging="180"/>
      </w:pPr>
    </w:lvl>
  </w:abstractNum>
  <w:abstractNum w:abstractNumId="16" w15:restartNumberingAfterBreak="0">
    <w:nsid w:val="6B503A48"/>
    <w:multiLevelType w:val="hybridMultilevel"/>
    <w:tmpl w:val="2A626CBC"/>
    <w:lvl w:ilvl="0" w:tplc="28E8BE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0A12AB6"/>
    <w:multiLevelType w:val="hybridMultilevel"/>
    <w:tmpl w:val="C1A4472A"/>
    <w:lvl w:ilvl="0" w:tplc="A5005CEE">
      <w:start w:val="1"/>
      <w:numFmt w:val="lowerLetter"/>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583A48"/>
    <w:multiLevelType w:val="hybridMultilevel"/>
    <w:tmpl w:val="7AB63442"/>
    <w:lvl w:ilvl="0" w:tplc="81A06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1"/>
  </w:num>
  <w:num w:numId="3">
    <w:abstractNumId w:val="14"/>
  </w:num>
  <w:num w:numId="4">
    <w:abstractNumId w:val="10"/>
  </w:num>
  <w:num w:numId="5">
    <w:abstractNumId w:val="2"/>
  </w:num>
  <w:num w:numId="6">
    <w:abstractNumId w:val="1"/>
  </w:num>
  <w:num w:numId="7">
    <w:abstractNumId w:val="15"/>
  </w:num>
  <w:num w:numId="8">
    <w:abstractNumId w:val="4"/>
  </w:num>
  <w:num w:numId="9">
    <w:abstractNumId w:val="6"/>
  </w:num>
  <w:num w:numId="10">
    <w:abstractNumId w:val="3"/>
  </w:num>
  <w:num w:numId="11">
    <w:abstractNumId w:val="7"/>
  </w:num>
  <w:num w:numId="12">
    <w:abstractNumId w:val="17"/>
  </w:num>
  <w:num w:numId="13">
    <w:abstractNumId w:val="12"/>
  </w:num>
  <w:num w:numId="14">
    <w:abstractNumId w:val="0"/>
  </w:num>
  <w:num w:numId="15">
    <w:abstractNumId w:val="9"/>
  </w:num>
  <w:num w:numId="16">
    <w:abstractNumId w:val="16"/>
  </w:num>
  <w:num w:numId="17">
    <w:abstractNumId w:val="8"/>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56"/>
    <w:rsid w:val="00034CF4"/>
    <w:rsid w:val="000456F1"/>
    <w:rsid w:val="000B6D19"/>
    <w:rsid w:val="000B78D8"/>
    <w:rsid w:val="001024AB"/>
    <w:rsid w:val="00110673"/>
    <w:rsid w:val="00115F35"/>
    <w:rsid w:val="00141E83"/>
    <w:rsid w:val="001732F5"/>
    <w:rsid w:val="001941FD"/>
    <w:rsid w:val="001A0C9A"/>
    <w:rsid w:val="001A2EB9"/>
    <w:rsid w:val="001B69B2"/>
    <w:rsid w:val="001D2337"/>
    <w:rsid w:val="001D656D"/>
    <w:rsid w:val="001E30F4"/>
    <w:rsid w:val="001F36BC"/>
    <w:rsid w:val="002067DA"/>
    <w:rsid w:val="00206B2C"/>
    <w:rsid w:val="00234D1E"/>
    <w:rsid w:val="002352DA"/>
    <w:rsid w:val="00254A18"/>
    <w:rsid w:val="00285BA7"/>
    <w:rsid w:val="002E6E8C"/>
    <w:rsid w:val="002F0F76"/>
    <w:rsid w:val="00312363"/>
    <w:rsid w:val="003316BA"/>
    <w:rsid w:val="00341938"/>
    <w:rsid w:val="003647B5"/>
    <w:rsid w:val="00374874"/>
    <w:rsid w:val="003942A8"/>
    <w:rsid w:val="003B0192"/>
    <w:rsid w:val="003E6556"/>
    <w:rsid w:val="003F44A0"/>
    <w:rsid w:val="004250B6"/>
    <w:rsid w:val="0043297F"/>
    <w:rsid w:val="0047281A"/>
    <w:rsid w:val="00491023"/>
    <w:rsid w:val="004E0CD5"/>
    <w:rsid w:val="005335C7"/>
    <w:rsid w:val="00534DC8"/>
    <w:rsid w:val="005414B5"/>
    <w:rsid w:val="005418AF"/>
    <w:rsid w:val="005606DD"/>
    <w:rsid w:val="005614AE"/>
    <w:rsid w:val="005B30B3"/>
    <w:rsid w:val="005D288E"/>
    <w:rsid w:val="005E33F8"/>
    <w:rsid w:val="005F0D1C"/>
    <w:rsid w:val="005F15C4"/>
    <w:rsid w:val="00617FFD"/>
    <w:rsid w:val="00646D92"/>
    <w:rsid w:val="006636C0"/>
    <w:rsid w:val="00692B78"/>
    <w:rsid w:val="0069375A"/>
    <w:rsid w:val="006D6D1A"/>
    <w:rsid w:val="006E523F"/>
    <w:rsid w:val="0071780C"/>
    <w:rsid w:val="007320E0"/>
    <w:rsid w:val="0074714D"/>
    <w:rsid w:val="0077258E"/>
    <w:rsid w:val="00775CEE"/>
    <w:rsid w:val="00777341"/>
    <w:rsid w:val="007B2145"/>
    <w:rsid w:val="007B6ED3"/>
    <w:rsid w:val="007E3D60"/>
    <w:rsid w:val="007E4E62"/>
    <w:rsid w:val="007E5AD8"/>
    <w:rsid w:val="007F38BA"/>
    <w:rsid w:val="00816B37"/>
    <w:rsid w:val="00823422"/>
    <w:rsid w:val="0082743B"/>
    <w:rsid w:val="00833BF2"/>
    <w:rsid w:val="00844E48"/>
    <w:rsid w:val="0084756A"/>
    <w:rsid w:val="008730AE"/>
    <w:rsid w:val="00877E9F"/>
    <w:rsid w:val="0089243B"/>
    <w:rsid w:val="008D2104"/>
    <w:rsid w:val="008D69E6"/>
    <w:rsid w:val="00933019"/>
    <w:rsid w:val="009359AC"/>
    <w:rsid w:val="00960BD0"/>
    <w:rsid w:val="0098149B"/>
    <w:rsid w:val="009928CB"/>
    <w:rsid w:val="009D4433"/>
    <w:rsid w:val="00A26648"/>
    <w:rsid w:val="00A31042"/>
    <w:rsid w:val="00A41268"/>
    <w:rsid w:val="00A4712D"/>
    <w:rsid w:val="00A534C3"/>
    <w:rsid w:val="00A72360"/>
    <w:rsid w:val="00A72933"/>
    <w:rsid w:val="00A84AD0"/>
    <w:rsid w:val="00AA6CB1"/>
    <w:rsid w:val="00AE4E3E"/>
    <w:rsid w:val="00B325FE"/>
    <w:rsid w:val="00B719B9"/>
    <w:rsid w:val="00B73F10"/>
    <w:rsid w:val="00B77176"/>
    <w:rsid w:val="00B773DC"/>
    <w:rsid w:val="00B917D4"/>
    <w:rsid w:val="00B96B8D"/>
    <w:rsid w:val="00BA4E83"/>
    <w:rsid w:val="00BD1399"/>
    <w:rsid w:val="00BE583B"/>
    <w:rsid w:val="00BF2CDE"/>
    <w:rsid w:val="00C177C2"/>
    <w:rsid w:val="00C26E34"/>
    <w:rsid w:val="00C31F7E"/>
    <w:rsid w:val="00C5202B"/>
    <w:rsid w:val="00C5736F"/>
    <w:rsid w:val="00C833F4"/>
    <w:rsid w:val="00CB2C62"/>
    <w:rsid w:val="00CC4C06"/>
    <w:rsid w:val="00D56FDE"/>
    <w:rsid w:val="00D74DEF"/>
    <w:rsid w:val="00D91CA2"/>
    <w:rsid w:val="00DF614E"/>
    <w:rsid w:val="00E309DB"/>
    <w:rsid w:val="00E44A44"/>
    <w:rsid w:val="00E4658C"/>
    <w:rsid w:val="00E47FFC"/>
    <w:rsid w:val="00E60205"/>
    <w:rsid w:val="00EB428F"/>
    <w:rsid w:val="00EB6C6D"/>
    <w:rsid w:val="00ED1F1C"/>
    <w:rsid w:val="00ED529D"/>
    <w:rsid w:val="00EE28F5"/>
    <w:rsid w:val="00EF2EF1"/>
    <w:rsid w:val="00F10DDA"/>
    <w:rsid w:val="00F207CC"/>
    <w:rsid w:val="00F609C1"/>
    <w:rsid w:val="00F802B7"/>
    <w:rsid w:val="00F91B40"/>
    <w:rsid w:val="00FC361B"/>
    <w:rsid w:val="00FF1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D6D9A"/>
  <w15:docId w15:val="{CDF7FC15-1C45-45FB-BBCE-8683F716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Odstavec1"/>
    <w:basedOn w:val="Normal"/>
    <w:link w:val="ListParagraphChar"/>
    <w:uiPriority w:val="34"/>
    <w:qFormat/>
    <w:rsid w:val="003E6556"/>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374874"/>
  </w:style>
  <w:style w:type="paragraph" w:styleId="Header">
    <w:name w:val="header"/>
    <w:basedOn w:val="Normal"/>
    <w:link w:val="HeaderChar"/>
    <w:uiPriority w:val="99"/>
    <w:unhideWhenUsed/>
    <w:rsid w:val="005335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35C7"/>
  </w:style>
  <w:style w:type="paragraph" w:styleId="Footer">
    <w:name w:val="footer"/>
    <w:basedOn w:val="Normal"/>
    <w:link w:val="FooterChar"/>
    <w:uiPriority w:val="99"/>
    <w:unhideWhenUsed/>
    <w:rsid w:val="005335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35C7"/>
  </w:style>
  <w:style w:type="paragraph" w:customStyle="1" w:styleId="ManualConsidrant">
    <w:name w:val="Manual Considérant"/>
    <w:basedOn w:val="Normal"/>
    <w:rsid w:val="00C5202B"/>
    <w:pPr>
      <w:spacing w:before="120" w:after="120" w:line="360" w:lineRule="auto"/>
      <w:ind w:left="709" w:hanging="709"/>
    </w:pPr>
    <w:rPr>
      <w:rFonts w:ascii="Times New Roman" w:eastAsia="Calibri" w:hAnsi="Times New Roman" w:cs="Times New Roman"/>
      <w:sz w:val="24"/>
      <w:lang w:eastAsia="en-GB"/>
    </w:rPr>
  </w:style>
  <w:style w:type="paragraph" w:customStyle="1" w:styleId="PointManual">
    <w:name w:val="Point Manual"/>
    <w:basedOn w:val="Normal"/>
    <w:rsid w:val="00A41268"/>
    <w:pPr>
      <w:spacing w:before="120" w:after="120" w:line="360" w:lineRule="auto"/>
      <w:ind w:left="567" w:hanging="567"/>
    </w:pPr>
    <w:rPr>
      <w:rFonts w:ascii="Times New Roman" w:eastAsia="Calibri" w:hAnsi="Times New Roman" w:cs="Times New Roman"/>
      <w:sz w:val="24"/>
      <w:lang w:val="en-GB" w:eastAsia="en-GB"/>
    </w:rPr>
  </w:style>
  <w:style w:type="character" w:customStyle="1" w:styleId="CRMinorChangeAdded">
    <w:name w:val="CR Minor Change Added"/>
    <w:rsid w:val="00A41268"/>
    <w:rPr>
      <w:u w:val="double"/>
      <w:lang w:val="en-GB" w:eastAsia="x-none"/>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206B2C"/>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semiHidden/>
    <w:rsid w:val="00206B2C"/>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SUPERSChar"/>
    <w:uiPriority w:val="99"/>
    <w:unhideWhenUsed/>
    <w:qFormat/>
    <w:rsid w:val="00206B2C"/>
    <w:rPr>
      <w:vertAlign w:val="superscript"/>
    </w:rPr>
  </w:style>
  <w:style w:type="character" w:styleId="CommentReference">
    <w:name w:val="annotation reference"/>
    <w:basedOn w:val="DefaultParagraphFont"/>
    <w:uiPriority w:val="99"/>
    <w:semiHidden/>
    <w:unhideWhenUsed/>
    <w:rsid w:val="005414B5"/>
    <w:rPr>
      <w:sz w:val="16"/>
      <w:szCs w:val="16"/>
    </w:rPr>
  </w:style>
  <w:style w:type="paragraph" w:styleId="CommentText">
    <w:name w:val="annotation text"/>
    <w:basedOn w:val="Normal"/>
    <w:link w:val="CommentTextChar"/>
    <w:uiPriority w:val="99"/>
    <w:semiHidden/>
    <w:unhideWhenUsed/>
    <w:rsid w:val="005414B5"/>
    <w:pPr>
      <w:spacing w:line="240" w:lineRule="auto"/>
    </w:pPr>
    <w:rPr>
      <w:sz w:val="20"/>
      <w:szCs w:val="20"/>
    </w:rPr>
  </w:style>
  <w:style w:type="character" w:customStyle="1" w:styleId="CommentTextChar">
    <w:name w:val="Comment Text Char"/>
    <w:basedOn w:val="DefaultParagraphFont"/>
    <w:link w:val="CommentText"/>
    <w:uiPriority w:val="99"/>
    <w:semiHidden/>
    <w:rsid w:val="005414B5"/>
    <w:rPr>
      <w:sz w:val="20"/>
      <w:szCs w:val="20"/>
    </w:rPr>
  </w:style>
  <w:style w:type="paragraph" w:styleId="CommentSubject">
    <w:name w:val="annotation subject"/>
    <w:basedOn w:val="CommentText"/>
    <w:next w:val="CommentText"/>
    <w:link w:val="CommentSubjectChar"/>
    <w:uiPriority w:val="99"/>
    <w:semiHidden/>
    <w:unhideWhenUsed/>
    <w:rsid w:val="005414B5"/>
    <w:rPr>
      <w:b/>
      <w:bCs/>
    </w:rPr>
  </w:style>
  <w:style w:type="character" w:customStyle="1" w:styleId="CommentSubjectChar">
    <w:name w:val="Comment Subject Char"/>
    <w:basedOn w:val="CommentTextChar"/>
    <w:link w:val="CommentSubject"/>
    <w:uiPriority w:val="99"/>
    <w:semiHidden/>
    <w:rsid w:val="005414B5"/>
    <w:rPr>
      <w:b/>
      <w:bCs/>
      <w:sz w:val="20"/>
      <w:szCs w:val="20"/>
    </w:rPr>
  </w:style>
  <w:style w:type="paragraph" w:styleId="BalloonText">
    <w:name w:val="Balloon Text"/>
    <w:basedOn w:val="Normal"/>
    <w:link w:val="BalloonTextChar"/>
    <w:uiPriority w:val="99"/>
    <w:semiHidden/>
    <w:unhideWhenUsed/>
    <w:rsid w:val="0054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B5"/>
    <w:rPr>
      <w:rFonts w:ascii="Tahoma" w:hAnsi="Tahoma" w:cs="Tahoma"/>
      <w:sz w:val="16"/>
      <w:szCs w:val="16"/>
    </w:rPr>
  </w:style>
  <w:style w:type="character" w:styleId="Hyperlink">
    <w:name w:val="Hyperlink"/>
    <w:uiPriority w:val="99"/>
    <w:rsid w:val="00877E9F"/>
    <w:rPr>
      <w:color w:val="0000FF"/>
      <w:u w:val="single"/>
    </w:rPr>
  </w:style>
  <w:style w:type="paragraph" w:customStyle="1" w:styleId="SUPERSChar">
    <w:name w:val="SUPERS Char"/>
    <w:aliases w:val="EN Footnote Reference Char"/>
    <w:basedOn w:val="Normal"/>
    <w:link w:val="FootnoteReference"/>
    <w:uiPriority w:val="99"/>
    <w:rsid w:val="00877E9F"/>
    <w:pPr>
      <w:widowControl w:val="0"/>
      <w:adjustRightInd w:val="0"/>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250">
      <w:bodyDiv w:val="1"/>
      <w:marLeft w:val="0"/>
      <w:marRight w:val="0"/>
      <w:marTop w:val="0"/>
      <w:marBottom w:val="0"/>
      <w:divBdr>
        <w:top w:val="none" w:sz="0" w:space="0" w:color="auto"/>
        <w:left w:val="none" w:sz="0" w:space="0" w:color="auto"/>
        <w:bottom w:val="none" w:sz="0" w:space="0" w:color="auto"/>
        <w:right w:val="none" w:sz="0" w:space="0" w:color="auto"/>
      </w:divBdr>
    </w:div>
    <w:div w:id="16058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pcc.ch/sr15/" TargetMode="External"/><Relationship Id="rId1" Type="http://schemas.openxmlformats.org/officeDocument/2006/relationships/hyperlink" Target="https://ec.europa.eu/clima/policies/strategies/205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9EDBD7C7-188F-4BB3-96ED-9FCAE3A2CB0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15133</Words>
  <Characters>8626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Karpoviča</dc:creator>
  <cp:lastModifiedBy>Inese Karpoviča</cp:lastModifiedBy>
  <cp:revision>7</cp:revision>
  <dcterms:created xsi:type="dcterms:W3CDTF">2018-12-10T11:56:00Z</dcterms:created>
  <dcterms:modified xsi:type="dcterms:W3CDTF">2018-12-11T06:42:00Z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Vecākā eksperte Inese Karpoviča</vt:lpwstr>
  </property>
  <property fmtid="{D5CDD505-2E9C-101B-9397-08002B2CF9AE}" pid="3" name="DIScgiUrl">
    <vt:lpwstr>https://lim.esvis.gov.lv/cs/idcplg</vt:lpwstr>
  </property>
  <property fmtid="{D5CDD505-2E9C-101B-9397-08002B2CF9AE}" pid="4" name="DISdDocName">
    <vt:lpwstr>L192101</vt:lpwstr>
  </property>
  <property fmtid="{D5CDD505-2E9C-101B-9397-08002B2CF9AE}" pid="5" name="DISCesvisAdditionalMakersPhone">
    <vt:lpwstr>67013046</vt:lpwstr>
  </property>
  <property fmtid="{D5CDD505-2E9C-101B-9397-08002B2CF9AE}" pid="6" name="DISCesvisSigner">
    <vt:lpwstr>Ministrs Arvils Ašeradens</vt:lpwstr>
  </property>
  <property fmtid="{D5CDD505-2E9C-101B-9397-08002B2CF9AE}" pid="7" name="DISTaskPaneUrl">
    <vt:lpwstr>https://lim.esvis.gov.lv/cs/idcplg?ClientControlled=DocMan&amp;coreContentOnly=1&amp;WebdavRequest=1&amp;IdcService=DOC_INFO&amp;dID=244114</vt:lpwstr>
  </property>
  <property fmtid="{D5CDD505-2E9C-101B-9397-08002B2CF9AE}" pid="8" name="DISCesvisSafetyLevel">
    <vt:lpwstr>Vispārpieejams</vt:lpwstr>
  </property>
  <property fmtid="{D5CDD505-2E9C-101B-9397-08002B2CF9AE}" pid="9" name="DISCesvisTitle">
    <vt:lpwstr>Informatīvais ziņojums par Eiropas Savienības Transporta, telekomunikāciju un enerģētikas
ministru padomes 2018. gada 19. decembra sanāksmē izskatāmajiem jautājumiem
</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CesvisMainMaker">
    <vt:lpwstr> Ārlietu ministrija</vt:lpwstr>
  </property>
  <property fmtid="{D5CDD505-2E9C-101B-9397-08002B2CF9AE}" pid="13" name="DISidcName">
    <vt:lpwstr>1020404016200</vt:lpwstr>
  </property>
  <property fmtid="{D5CDD505-2E9C-101B-9397-08002B2CF9AE}" pid="14"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5" name="DISCesvisDescription">
    <vt:lpwstr>
</vt:lpwstr>
  </property>
  <property fmtid="{D5CDD505-2E9C-101B-9397-08002B2CF9AE}" pid="16" name="DISCesvisAdditionalMakersMail">
    <vt:lpwstr>Inese.Karpovica@em.gov.lv</vt:lpwstr>
  </property>
  <property fmtid="{D5CDD505-2E9C-101B-9397-08002B2CF9AE}" pid="17" name="DISdUser">
    <vt:lpwstr>em_ikarpovica</vt:lpwstr>
  </property>
  <property fmtid="{D5CDD505-2E9C-101B-9397-08002B2CF9AE}" pid="18" name="DISdID">
    <vt:lpwstr>244114</vt:lpwstr>
  </property>
  <property fmtid="{D5CDD505-2E9C-101B-9397-08002B2CF9AE}" pid="19" name="DISCesvisMainMakerOrgUnitTitle">
    <vt:lpwstr>Enerģijas tirgus un infrastruktūras departaments</vt:lpwstr>
  </property>
  <property fmtid="{D5CDD505-2E9C-101B-9397-08002B2CF9AE}" pid="20" name="DISCesvisMeetingDate">
    <vt:lpwstr>2018-12-19</vt:lpwstr>
  </property>
  <property fmtid="{D5CDD505-2E9C-101B-9397-08002B2CF9AE}" pid="21" name="DISCesvisAdditionalTutors">
    <vt:lpwstr>Vecākā eksperte Inese Karpoviča</vt:lpwstr>
  </property>
  <property fmtid="{D5CDD505-2E9C-101B-9397-08002B2CF9AE}" pid="22" name="DISCesvisAdditionalTutorsMail">
    <vt:lpwstr>Inese.Karpovica@em.gov.lv</vt:lpwstr>
  </property>
  <property fmtid="{D5CDD505-2E9C-101B-9397-08002B2CF9AE}" pid="23" name="DISCesvisAdditionalTutorsPhone">
    <vt:lpwstr>67013046</vt:lpwstr>
  </property>
  <property fmtid="{D5CDD505-2E9C-101B-9397-08002B2CF9AE}" pid="24" name="DISCesvisOrgApprovers">
    <vt:lpwstr>Ārlietu ministrija, Vides aizsardzības un reģionālās attīstības ministrija, Satiksmes ministrija, Finanšu ministrija, Zemkopības ministrija</vt:lpwstr>
  </property>
  <property fmtid="{D5CDD505-2E9C-101B-9397-08002B2CF9AE}" pid="25" name="DISCesvisComments">
    <vt:lpwstr>Nosūtām jums steidzamai saskaņošanai informatīvo ziņojumu uz 19.12. ES Enerģētikas ministru padomi. Informatīvais ziņojums tiks iesniegts izskatīšanai rītdienas MK sēdē.</vt:lpwstr>
  </property>
  <property fmtid="{D5CDD505-2E9C-101B-9397-08002B2CF9AE}" pid="26" name="DISCesvisDocRegDate">
    <vt:lpwstr>2018-06-05</vt:lpwstr>
  </property>
  <property fmtid="{D5CDD505-2E9C-101B-9397-08002B2CF9AE}" pid="27" name="DISCesvisRegDate">
    <vt:lpwstr>2018-06-05</vt:lpwstr>
  </property>
  <property fmtid="{D5CDD505-2E9C-101B-9397-08002B2CF9AE}" pid="28" name="DISCesvisDocRegNr">
    <vt:lpwstr>2.3.7-2/2018/266</vt:lpwstr>
  </property>
</Properties>
</file>