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97" w:rsidRPr="00E80A92" w:rsidRDefault="003A0997" w:rsidP="003A0997">
      <w:pPr>
        <w:shd w:val="clear" w:color="auto" w:fill="FFFFFF"/>
        <w:spacing w:after="0" w:line="240" w:lineRule="auto"/>
        <w:jc w:val="center"/>
        <w:rPr>
          <w:rFonts w:ascii="Times New Roman" w:eastAsia="Times New Roman" w:hAnsi="Times New Roman" w:cs="Times New Roman"/>
          <w:b/>
          <w:bCs/>
          <w:sz w:val="25"/>
          <w:szCs w:val="25"/>
          <w:lang w:eastAsia="lv-LV"/>
        </w:rPr>
      </w:pPr>
      <w:r w:rsidRPr="00E80A92">
        <w:rPr>
          <w:rFonts w:ascii="Times New Roman" w:eastAsia="Times New Roman" w:hAnsi="Times New Roman" w:cs="Times New Roman"/>
          <w:b/>
          <w:bCs/>
          <w:sz w:val="25"/>
          <w:szCs w:val="25"/>
          <w:lang w:eastAsia="lv-LV"/>
        </w:rPr>
        <w:t xml:space="preserve">Ministru kabineta noteikumu projekta </w:t>
      </w:r>
    </w:p>
    <w:p w:rsidR="003A0997" w:rsidRPr="00E80A92" w:rsidRDefault="003A0997" w:rsidP="003A0997">
      <w:pPr>
        <w:shd w:val="clear" w:color="auto" w:fill="FFFFFF"/>
        <w:spacing w:after="0" w:line="240" w:lineRule="auto"/>
        <w:rPr>
          <w:rFonts w:ascii="Times New Roman" w:eastAsia="Times New Roman" w:hAnsi="Times New Roman" w:cs="Times New Roman"/>
          <w:b/>
          <w:bCs/>
          <w:sz w:val="25"/>
          <w:szCs w:val="25"/>
          <w:lang w:eastAsia="lv-LV"/>
        </w:rPr>
      </w:pPr>
      <w:r w:rsidRPr="00E80A92">
        <w:rPr>
          <w:rFonts w:ascii="Times New Roman" w:eastAsia="Times New Roman" w:hAnsi="Times New Roman" w:cs="Times New Roman"/>
          <w:b/>
          <w:bCs/>
          <w:sz w:val="25"/>
          <w:szCs w:val="25"/>
          <w:lang w:eastAsia="lv-LV"/>
        </w:rPr>
        <w:t>“Grozījumi Ministru kabineta 2006.gada 19.decembra noteikumos Nr.1043 “Azartspēļu un izložu organizācijas vienotā grāmatvedības uzskaites kārtība””</w:t>
      </w:r>
    </w:p>
    <w:p w:rsidR="003A0997" w:rsidRPr="00E80A92" w:rsidRDefault="003A0997" w:rsidP="003A0997">
      <w:pPr>
        <w:shd w:val="clear" w:color="auto" w:fill="FFFFFF"/>
        <w:spacing w:after="0" w:line="240" w:lineRule="auto"/>
        <w:jc w:val="center"/>
        <w:rPr>
          <w:rFonts w:ascii="Times New Roman" w:eastAsia="Times New Roman" w:hAnsi="Times New Roman" w:cs="Times New Roman"/>
          <w:b/>
          <w:bCs/>
          <w:sz w:val="25"/>
          <w:szCs w:val="25"/>
          <w:lang w:eastAsia="lv-LV"/>
        </w:rPr>
      </w:pPr>
      <w:r w:rsidRPr="00E80A92">
        <w:rPr>
          <w:rFonts w:ascii="Times New Roman" w:eastAsia="Times New Roman" w:hAnsi="Times New Roman" w:cs="Times New Roman"/>
          <w:b/>
          <w:bCs/>
          <w:sz w:val="25"/>
          <w:szCs w:val="25"/>
          <w:lang w:eastAsia="lv-LV"/>
        </w:rPr>
        <w:t>sākotnējās ietekmes novērtējuma ziņojums (anotācija)</w:t>
      </w:r>
    </w:p>
    <w:p w:rsidR="003A0997" w:rsidRPr="00A97B46" w:rsidRDefault="003A0997" w:rsidP="003A0997">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A0997" w:rsidRPr="00B651D7" w:rsidTr="007C0223">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360" w:lineRule="auto"/>
              <w:ind w:firstLine="300"/>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Tiesību akta projekta anotācijas kopsavilkums</w:t>
            </w:r>
          </w:p>
        </w:tc>
      </w:tr>
      <w:tr w:rsidR="003A0997" w:rsidRPr="00B651D7" w:rsidTr="007C0223">
        <w:tc>
          <w:tcPr>
            <w:tcW w:w="179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Noteikumu projekts ir izstrādāts atbilstoši vienam no koncepcijas "Par azartspēļu automātu saslēgšanu vienotā tīklā" izstrādes mērķiem – ieviešot azartspēļu automātu kontroles un uzraudzības sistēmu (AKUS), pilnveidot azartspēļu automātu darbības uzraudzību un ieņēmumu plūsmas pārskatāmību.</w:t>
            </w: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Noteikumu projekts</w:t>
            </w:r>
            <w:r w:rsidRPr="00B651D7">
              <w:rPr>
                <w:rFonts w:ascii="Times New Roman" w:eastAsia="Times New Roman" w:hAnsi="Times New Roman" w:cs="Times New Roman"/>
                <w:bCs/>
                <w:sz w:val="25"/>
                <w:szCs w:val="25"/>
                <w:lang w:eastAsia="lv-LV"/>
              </w:rPr>
              <w:t xml:space="preserve"> nosaka, ka no Ministru kabineta 2006.gada 19.decembra noteikumiem Nr.1043 “Azartspēļu un izložu organizācijas vienotā grāmatvedības uzskaites kārtība”” tiek svītrotas normas par</w:t>
            </w:r>
            <w:r w:rsidRPr="00B651D7">
              <w:rPr>
                <w:rFonts w:ascii="Times New Roman" w:eastAsia="Times New Roman" w:hAnsi="Times New Roman" w:cs="Times New Roman"/>
                <w:sz w:val="25"/>
                <w:szCs w:val="25"/>
                <w:lang w:eastAsia="lv-LV"/>
              </w:rPr>
              <w:t xml:space="preserve"> prasībām inkasācijas procesā lietot mehāniskos skaitītājus un attaisnojuma dokumentus (</w:t>
            </w:r>
            <w:r w:rsidRPr="00B651D7">
              <w:rPr>
                <w:rFonts w:ascii="Times New Roman" w:hAnsi="Times New Roman" w:cs="Times New Roman"/>
                <w:sz w:val="25"/>
                <w:szCs w:val="25"/>
              </w:rPr>
              <w:t>inkasācijas akti, kazino kases bilance un galdu rezultāti)</w:t>
            </w:r>
            <w:r w:rsidRPr="00B651D7">
              <w:rPr>
                <w:rFonts w:ascii="Times New Roman" w:eastAsia="Times New Roman" w:hAnsi="Times New Roman" w:cs="Times New Roman"/>
                <w:sz w:val="25"/>
                <w:szCs w:val="25"/>
                <w:lang w:eastAsia="lv-LV"/>
              </w:rPr>
              <w:t xml:space="preserve"> kā stingrās uzskaites veidlapas, </w:t>
            </w:r>
            <w:r w:rsidRPr="00B651D7">
              <w:rPr>
                <w:rFonts w:ascii="Times New Roman" w:hAnsi="Times New Roman" w:cs="Times New Roman"/>
                <w:sz w:val="25"/>
                <w:szCs w:val="25"/>
              </w:rPr>
              <w:t>kā arī noteikumu projektā tiek veikti daži tehniska rakstura precizējumi.</w:t>
            </w: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Noteikumu projekts stājas spēkā 2019.gada 1.janvārī.</w:t>
            </w:r>
          </w:p>
        </w:tc>
      </w:tr>
    </w:tbl>
    <w:p w:rsidR="003A0997" w:rsidRPr="00B651D7" w:rsidRDefault="003A0997" w:rsidP="003A0997">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3A0997" w:rsidRPr="00B651D7" w:rsidTr="007C022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 Tiesību akta projekta izstrādes nepieciešamība</w:t>
            </w:r>
          </w:p>
        </w:tc>
      </w:tr>
      <w:tr w:rsidR="003A0997" w:rsidRPr="00B651D7" w:rsidTr="007C0223">
        <w:trPr>
          <w:trHeight w:val="324"/>
        </w:trPr>
        <w:tc>
          <w:tcPr>
            <w:tcW w:w="299"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rsidR="003A0997" w:rsidRPr="00B651D7" w:rsidRDefault="003A0997" w:rsidP="007C0223">
            <w:pPr>
              <w:spacing w:after="0" w:line="240" w:lineRule="auto"/>
              <w:jc w:val="both"/>
              <w:rPr>
                <w:rFonts w:ascii="Times New Roman" w:hAnsi="Times New Roman" w:cs="Times New Roman"/>
                <w:color w:val="000000" w:themeColor="text1"/>
                <w:sz w:val="25"/>
                <w:szCs w:val="25"/>
              </w:rPr>
            </w:pPr>
            <w:r w:rsidRPr="00B651D7">
              <w:rPr>
                <w:rFonts w:ascii="Times New Roman" w:eastAsia="Times New Roman" w:hAnsi="Times New Roman" w:cs="Times New Roman"/>
                <w:sz w:val="25"/>
                <w:szCs w:val="25"/>
                <w:lang w:eastAsia="lv-LV"/>
              </w:rPr>
              <w:t>Ministru kabineta 2012.gada 30.oktobra rīkojuma Nr.518 “Par koncepciju “Par azartspēļu automātu saslēgšanu vienotā tīklā””  2.3.apakšpunkts (turpmāk – Koncepcija).</w:t>
            </w:r>
          </w:p>
        </w:tc>
      </w:tr>
      <w:tr w:rsidR="003A0997" w:rsidRPr="00B651D7" w:rsidTr="007C0223">
        <w:trPr>
          <w:trHeight w:val="372"/>
        </w:trPr>
        <w:tc>
          <w:tcPr>
            <w:tcW w:w="299"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tc>
        <w:tc>
          <w:tcPr>
            <w:tcW w:w="1525"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ind w:firstLine="720"/>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ind w:firstLine="720"/>
              <w:rPr>
                <w:rFonts w:ascii="Times New Roman" w:eastAsia="Times New Roman" w:hAnsi="Times New Roman" w:cs="Times New Roman"/>
                <w:sz w:val="25"/>
                <w:szCs w:val="25"/>
                <w:lang w:eastAsia="lv-LV"/>
              </w:rPr>
            </w:pPr>
          </w:p>
          <w:p w:rsidR="003A0997" w:rsidRPr="00B651D7" w:rsidRDefault="003A0997" w:rsidP="007C0223">
            <w:pPr>
              <w:ind w:firstLine="720"/>
              <w:rPr>
                <w:rFonts w:ascii="Times New Roman" w:eastAsia="Times New Roman" w:hAnsi="Times New Roman" w:cs="Times New Roman"/>
                <w:sz w:val="25"/>
                <w:szCs w:val="25"/>
                <w:lang w:eastAsia="lv-LV"/>
              </w:rPr>
            </w:pPr>
          </w:p>
          <w:p w:rsidR="003A0997" w:rsidRPr="00B651D7" w:rsidRDefault="003A0997" w:rsidP="007C0223">
            <w:pPr>
              <w:rPr>
                <w:rFonts w:ascii="Times New Roman" w:eastAsia="Times New Roman" w:hAnsi="Times New Roman" w:cs="Times New Roman"/>
                <w:sz w:val="25"/>
                <w:szCs w:val="25"/>
                <w:lang w:eastAsia="lv-LV"/>
              </w:rPr>
            </w:pPr>
          </w:p>
        </w:tc>
        <w:tc>
          <w:tcPr>
            <w:tcW w:w="3176" w:type="pct"/>
            <w:tcBorders>
              <w:top w:val="outset" w:sz="6" w:space="0" w:color="414142"/>
              <w:left w:val="outset" w:sz="6" w:space="0" w:color="414142"/>
              <w:bottom w:val="outset" w:sz="6" w:space="0" w:color="414142"/>
              <w:right w:val="outset" w:sz="6" w:space="0" w:color="414142"/>
            </w:tcBorders>
          </w:tcPr>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lastRenderedPageBreak/>
              <w:t>Viens no Koncepcijas izstrādes mērķiem ir pilnveidot azartspēļu automātu darbības uzraudzību un ieņēmumu plūsmas pārskatāmību.</w:t>
            </w: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Atbilstoši Ministru kabineta 2012.gada 30.oktobra rīkojuma Nr.518 “Par koncepciju “Par azartspēļu automātu saslēgšanu vienotā tīklā”” 1.punktam un 2.3.apakšpunktam:</w:t>
            </w:r>
          </w:p>
          <w:p w:rsidR="003A0997" w:rsidRPr="00B651D7" w:rsidRDefault="003A0997" w:rsidP="007C0223">
            <w:pPr>
              <w:spacing w:after="0" w:line="240" w:lineRule="auto"/>
              <w:jc w:val="both"/>
              <w:rPr>
                <w:rFonts w:ascii="Times New Roman" w:hAnsi="Times New Roman" w:cs="Times New Roman"/>
                <w:sz w:val="25"/>
                <w:szCs w:val="25"/>
              </w:rPr>
            </w:pP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 tika atbalstīta azartspēļu automātu saslēgšana vienotā tīklā, ieviešot vienotas azartspēļu automātu kontroles un uzraudzības sistēmu (turpmāk – AKUS);</w:t>
            </w:r>
          </w:p>
          <w:p w:rsidR="003A0997" w:rsidRPr="00B651D7" w:rsidRDefault="003A0997" w:rsidP="007C0223">
            <w:pPr>
              <w:spacing w:after="0" w:line="240" w:lineRule="auto"/>
              <w:jc w:val="both"/>
              <w:rPr>
                <w:rFonts w:ascii="Times New Roman" w:hAnsi="Times New Roman" w:cs="Times New Roman"/>
                <w:sz w:val="25"/>
                <w:szCs w:val="25"/>
              </w:rPr>
            </w:pP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 xml:space="preserve">- ir jāveic grozījumi </w:t>
            </w:r>
            <w:r w:rsidRPr="00B651D7">
              <w:rPr>
                <w:rFonts w:ascii="Times New Roman" w:eastAsia="Times New Roman" w:hAnsi="Times New Roman" w:cs="Times New Roman"/>
                <w:bCs/>
                <w:sz w:val="25"/>
                <w:szCs w:val="25"/>
                <w:lang w:eastAsia="lv-LV"/>
              </w:rPr>
              <w:t xml:space="preserve">Ministru kabineta 2006.gada 19.decembra noteikumos Nr.1043 “Azartspēļu un izložu organizācijas vienotā grāmatvedības uzskaites kārtība”” (turpmāk – MK noteikumi Nr.1043), </w:t>
            </w:r>
            <w:r w:rsidRPr="00B651D7">
              <w:rPr>
                <w:rFonts w:ascii="Times New Roman" w:eastAsia="Times New Roman" w:hAnsi="Times New Roman" w:cs="Times New Roman"/>
                <w:sz w:val="25"/>
                <w:szCs w:val="25"/>
                <w:lang w:eastAsia="lv-LV"/>
              </w:rPr>
              <w:t xml:space="preserve">nosakot prasības inkasācijas procesā lietotajiem elektroniskajiem skaitītājiem un izmaiņām azartspēļu automātu un izdevumu uzskaitē. Konkrētāk nepieciešamo grozījumu būtība ir minēta Koncepcijas kopsavilkuma sadaļā “Iespējamās izmaksas” – atcelt prasību inkasācijas </w:t>
            </w:r>
            <w:r w:rsidRPr="00B651D7">
              <w:rPr>
                <w:rFonts w:ascii="Times New Roman" w:eastAsia="Times New Roman" w:hAnsi="Times New Roman" w:cs="Times New Roman"/>
                <w:sz w:val="25"/>
                <w:szCs w:val="25"/>
                <w:lang w:eastAsia="lv-LV"/>
              </w:rPr>
              <w:lastRenderedPageBreak/>
              <w:t xml:space="preserve">procesā lietot mehāniskos skaitītājus. Tādējādi </w:t>
            </w:r>
            <w:r w:rsidRPr="00B651D7">
              <w:rPr>
                <w:rFonts w:ascii="Times New Roman" w:hAnsi="Times New Roman" w:cs="Times New Roman"/>
                <w:sz w:val="25"/>
                <w:szCs w:val="25"/>
              </w:rPr>
              <w:t>azartspēļu organizētājiem ir jāpāriet tikai uz elektronisko skaitītāju lietošanu inkasācijas procesā.</w:t>
            </w:r>
          </w:p>
          <w:p w:rsidR="003A0997" w:rsidRPr="00B651D7" w:rsidRDefault="003A0997" w:rsidP="007C0223">
            <w:pPr>
              <w:tabs>
                <w:tab w:val="left" w:pos="214"/>
              </w:tabs>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Tādējādi MK noteikumos Nr.1043 tiek veikti sekojoši grozījumi:</w:t>
            </w:r>
          </w:p>
          <w:p w:rsidR="003A0997" w:rsidRPr="00B651D7" w:rsidRDefault="003A0997" w:rsidP="007C0223">
            <w:pPr>
              <w:tabs>
                <w:tab w:val="left" w:pos="214"/>
              </w:tabs>
              <w:spacing w:after="0" w:line="240" w:lineRule="auto"/>
              <w:jc w:val="both"/>
              <w:rPr>
                <w:rFonts w:ascii="Times New Roman" w:hAnsi="Times New Roman" w:cs="Times New Roman"/>
                <w:sz w:val="25"/>
                <w:szCs w:val="25"/>
              </w:rPr>
            </w:pPr>
          </w:p>
          <w:p w:rsidR="003A0997" w:rsidRPr="00B651D7" w:rsidRDefault="003A0997" w:rsidP="003A0997">
            <w:pPr>
              <w:pStyle w:val="ListParagraph"/>
              <w:numPr>
                <w:ilvl w:val="0"/>
                <w:numId w:val="1"/>
              </w:numPr>
              <w:tabs>
                <w:tab w:val="left" w:pos="72"/>
              </w:tabs>
              <w:spacing w:after="0" w:line="240" w:lineRule="auto"/>
              <w:ind w:left="73" w:firstLine="283"/>
              <w:jc w:val="both"/>
              <w:rPr>
                <w:rFonts w:ascii="Times New Roman" w:hAnsi="Times New Roman" w:cs="Times New Roman"/>
                <w:sz w:val="25"/>
                <w:szCs w:val="25"/>
              </w:rPr>
            </w:pPr>
            <w:r w:rsidRPr="00B651D7">
              <w:rPr>
                <w:rFonts w:ascii="Times New Roman" w:hAnsi="Times New Roman" w:cs="Times New Roman"/>
                <w:sz w:val="25"/>
                <w:szCs w:val="25"/>
              </w:rPr>
              <w:t>sadaļā “Vispārīgie jautājumi” tiek svītrots 6. un 7.punkts. Grozījumu pamatojums:</w:t>
            </w:r>
          </w:p>
          <w:p w:rsidR="003A0997" w:rsidRPr="00B651D7" w:rsidRDefault="003A0997" w:rsidP="007C0223">
            <w:pPr>
              <w:pStyle w:val="ListParagraph"/>
              <w:tabs>
                <w:tab w:val="left" w:pos="72"/>
              </w:tabs>
              <w:ind w:left="72"/>
              <w:jc w:val="both"/>
              <w:rPr>
                <w:rFonts w:ascii="Times New Roman" w:hAnsi="Times New Roman" w:cs="Times New Roman"/>
                <w:sz w:val="25"/>
                <w:szCs w:val="25"/>
              </w:rPr>
            </w:pPr>
            <w:r w:rsidRPr="00B651D7">
              <w:rPr>
                <w:rFonts w:ascii="Times New Roman" w:hAnsi="Times New Roman" w:cs="Times New Roman"/>
                <w:sz w:val="25"/>
                <w:szCs w:val="25"/>
              </w:rPr>
              <w:t xml:space="preserve">MK noteikumu Nr.1043  6.punktā ir minētas klientu piesaistīšanas izmaksas, kuras kapitālsabiedrība iegrāmato </w:t>
            </w:r>
            <w:r w:rsidRPr="00B651D7">
              <w:rPr>
                <w:rFonts w:ascii="Times New Roman" w:hAnsi="Times New Roman" w:cs="Times New Roman"/>
                <w:sz w:val="25"/>
                <w:szCs w:val="25"/>
                <w:u w:val="single"/>
              </w:rPr>
              <w:t>saimnieciskās darbības izmaksās</w:t>
            </w:r>
            <w:r w:rsidRPr="00B651D7">
              <w:rPr>
                <w:rFonts w:ascii="Times New Roman" w:hAnsi="Times New Roman" w:cs="Times New Roman"/>
                <w:sz w:val="25"/>
                <w:szCs w:val="25"/>
              </w:rPr>
              <w:t>. Papildus 7.punktā noteikts, ka klientu piesaistīšanas izmaksu normas ne biežāk kā reizi gadā apstiprina kapitālsabiedrības vadītājs, taču tās nedrīkst pārsniegt vidējo iepriekšējo triju gadu laikā šim mērķim aprēķināto summu vai 1% no izmaksām, kas saistītas ar saimniecisko darbību.</w:t>
            </w:r>
          </w:p>
          <w:p w:rsidR="003A0997" w:rsidRPr="00B651D7" w:rsidRDefault="003A0997" w:rsidP="007C0223">
            <w:pPr>
              <w:pStyle w:val="ListParagraph"/>
              <w:tabs>
                <w:tab w:val="left" w:pos="72"/>
              </w:tabs>
              <w:ind w:left="72"/>
              <w:jc w:val="both"/>
              <w:rPr>
                <w:rFonts w:ascii="Times New Roman" w:hAnsi="Times New Roman" w:cs="Times New Roman"/>
                <w:sz w:val="25"/>
                <w:szCs w:val="25"/>
              </w:rPr>
            </w:pPr>
            <w:r w:rsidRPr="00B651D7">
              <w:rPr>
                <w:rFonts w:ascii="Times New Roman" w:hAnsi="Times New Roman" w:cs="Times New Roman"/>
                <w:sz w:val="25"/>
                <w:szCs w:val="25"/>
              </w:rPr>
              <w:t xml:space="preserve">Savukārt Uzņēmumu ienākuma nodokļa likuma 8.panta otrās daļas 7.punktā noteikts, ka pie </w:t>
            </w:r>
            <w:r w:rsidRPr="00B651D7">
              <w:rPr>
                <w:rFonts w:ascii="Times New Roman" w:hAnsi="Times New Roman" w:cs="Times New Roman"/>
                <w:sz w:val="25"/>
                <w:szCs w:val="25"/>
                <w:u w:val="single"/>
              </w:rPr>
              <w:t>izdevumiem, kas nav saistīti ar saimniecisko darbību</w:t>
            </w:r>
            <w:r w:rsidRPr="00B651D7">
              <w:rPr>
                <w:rFonts w:ascii="Times New Roman" w:hAnsi="Times New Roman" w:cs="Times New Roman"/>
                <w:sz w:val="25"/>
                <w:szCs w:val="25"/>
              </w:rPr>
              <w:t xml:space="preserve">, pieskaita visus izdevumus, kas tieši nav saistīti ar nodokļa maksātāja saimniecisko darbību, tai skaitā </w:t>
            </w:r>
            <w:r w:rsidRPr="00B651D7">
              <w:rPr>
                <w:rFonts w:ascii="Times New Roman" w:hAnsi="Times New Roman" w:cs="Times New Roman"/>
                <w:sz w:val="25"/>
                <w:szCs w:val="25"/>
                <w:u w:val="single"/>
              </w:rPr>
              <w:t>reprezentācijas izdevumus</w:t>
            </w:r>
            <w:r w:rsidRPr="00B651D7">
              <w:rPr>
                <w:rFonts w:ascii="Times New Roman" w:hAnsi="Times New Roman" w:cs="Times New Roman"/>
                <w:sz w:val="25"/>
                <w:szCs w:val="25"/>
              </w:rPr>
              <w:t xml:space="preserve"> un personāla ilgtspējas pasākumu izdevumus, kas kopā pārskata gadā </w:t>
            </w:r>
            <w:r w:rsidRPr="00B651D7">
              <w:rPr>
                <w:rFonts w:ascii="Times New Roman" w:hAnsi="Times New Roman" w:cs="Times New Roman"/>
                <w:sz w:val="25"/>
                <w:szCs w:val="25"/>
                <w:u w:val="single"/>
              </w:rPr>
              <w:t>pārsniedz 5%</w:t>
            </w:r>
            <w:r w:rsidRPr="00B651D7">
              <w:rPr>
                <w:rFonts w:ascii="Times New Roman" w:hAnsi="Times New Roman" w:cs="Times New Roman"/>
                <w:sz w:val="25"/>
                <w:szCs w:val="25"/>
              </w:rPr>
              <w:t xml:space="preserve"> no iepriekšējā pārskata gada kopējās darba ņēmējiem aprēķinātās bruto darba samaksas, par kuru samaksāti valsts sociālās apdrošināšanas maksājumi. Papildus tam, Uzņēmumu ienākuma nodokļa likuma 8.panta trešā daļa paredz, ka minētajiem izdevumiem jābūt uzskaitītiem dalīti no citiem izdevumiem.</w:t>
            </w:r>
          </w:p>
          <w:p w:rsidR="003A0997" w:rsidRPr="00B651D7" w:rsidRDefault="003A0997" w:rsidP="007C0223">
            <w:pPr>
              <w:pStyle w:val="ListParagraph"/>
              <w:tabs>
                <w:tab w:val="left" w:pos="72"/>
              </w:tabs>
              <w:ind w:left="72"/>
              <w:jc w:val="both"/>
              <w:rPr>
                <w:rFonts w:ascii="Times New Roman" w:hAnsi="Times New Roman" w:cs="Times New Roman"/>
                <w:sz w:val="25"/>
                <w:szCs w:val="25"/>
              </w:rPr>
            </w:pPr>
            <w:r w:rsidRPr="00B651D7">
              <w:rPr>
                <w:rFonts w:ascii="Times New Roman" w:hAnsi="Times New Roman" w:cs="Times New Roman"/>
                <w:sz w:val="25"/>
                <w:szCs w:val="25"/>
              </w:rPr>
              <w:t>Tādējādi pēc būtības izdevumi par pārtikas produktiem, alkoholiskiem, dzērieniem un tabakas izstrādājumiem, kuri bez maksas tiek izsniegti klientiem azartspēļu vietās atbilst Uzņēmumu ienākuma nodokļa likumā noteiktajiem reprezentācijas izdevumiem, t.i., azartspēļu organizētājiem uzņēmumu ienākuma nodokļa aprēķināšanas vajadzībām attiecībā uz iepriekšminētajiem izdevumiem ir saistošs Uzņēmumu ienākuma nodokļa likuma 8.panta otrās daļas 7.punkts.</w:t>
            </w:r>
          </w:p>
          <w:p w:rsidR="003A0997" w:rsidRPr="00B651D7" w:rsidRDefault="003A0997" w:rsidP="007C0223">
            <w:pPr>
              <w:pStyle w:val="ListParagraph"/>
              <w:tabs>
                <w:tab w:val="left" w:pos="72"/>
              </w:tabs>
              <w:ind w:left="72"/>
              <w:jc w:val="both"/>
              <w:rPr>
                <w:rFonts w:ascii="Times New Roman" w:hAnsi="Times New Roman" w:cs="Times New Roman"/>
                <w:b/>
                <w:sz w:val="25"/>
                <w:szCs w:val="25"/>
              </w:rPr>
            </w:pPr>
            <w:r w:rsidRPr="00B651D7">
              <w:rPr>
                <w:rFonts w:ascii="Times New Roman" w:hAnsi="Times New Roman" w:cs="Times New Roman"/>
                <w:sz w:val="25"/>
                <w:szCs w:val="25"/>
              </w:rPr>
              <w:t xml:space="preserve">Tādējādi MK noteikumu Nr.1043  6. un 7.punkta svītrošanas pamatojums balstīts uz to, ka Uzņēmumu ienākuma nodokļa likums ir augstāka spēka un jaunāka tiesību norma, vadoties no Oficiālo publikāciju un tiesiskās informācijas likuma 9.panta sestās daļas normām, dažāda juridiska spēka tiesību normām piemēro to tiesību normu, kurai ir augstāks juridiskais spēks. Bez tam tiks novērsta arī pretruna ar MK </w:t>
            </w:r>
            <w:r w:rsidRPr="00B651D7">
              <w:rPr>
                <w:rFonts w:ascii="Times New Roman" w:hAnsi="Times New Roman" w:cs="Times New Roman"/>
                <w:sz w:val="25"/>
                <w:szCs w:val="25"/>
              </w:rPr>
              <w:lastRenderedPageBreak/>
              <w:t xml:space="preserve">noteikumu Nr.1043  deleģējumā minēto, kas nosaka, ka Ministru kabinets reglamentē vienotu azartspēļu un izložu organizācijas grāmatvedības </w:t>
            </w:r>
            <w:r w:rsidRPr="00B651D7">
              <w:rPr>
                <w:rFonts w:ascii="Times New Roman" w:hAnsi="Times New Roman" w:cs="Times New Roman"/>
                <w:sz w:val="25"/>
                <w:szCs w:val="25"/>
                <w:u w:val="single"/>
              </w:rPr>
              <w:t>uzskaites kārtību</w:t>
            </w:r>
            <w:r w:rsidRPr="00B651D7">
              <w:rPr>
                <w:rFonts w:ascii="Times New Roman" w:hAnsi="Times New Roman" w:cs="Times New Roman"/>
                <w:sz w:val="25"/>
                <w:szCs w:val="25"/>
              </w:rPr>
              <w:t xml:space="preserve">, nevis uzņēmumu ienākuma nodokļa aprēķināšanas kārtību. </w:t>
            </w:r>
          </w:p>
          <w:p w:rsidR="003A0997" w:rsidRPr="00B651D7" w:rsidRDefault="003A0997" w:rsidP="007C0223">
            <w:pPr>
              <w:pStyle w:val="ListParagraph"/>
              <w:tabs>
                <w:tab w:val="left" w:pos="214"/>
              </w:tabs>
              <w:ind w:left="215"/>
              <w:jc w:val="both"/>
              <w:rPr>
                <w:rFonts w:ascii="Times New Roman" w:hAnsi="Times New Roman" w:cs="Times New Roman"/>
                <w:b/>
                <w:sz w:val="25"/>
                <w:szCs w:val="25"/>
              </w:rPr>
            </w:pPr>
          </w:p>
          <w:p w:rsidR="003A0997" w:rsidRPr="00B651D7" w:rsidRDefault="003A0997" w:rsidP="003A0997">
            <w:pPr>
              <w:pStyle w:val="ListParagraph"/>
              <w:numPr>
                <w:ilvl w:val="0"/>
                <w:numId w:val="1"/>
              </w:numPr>
              <w:tabs>
                <w:tab w:val="left" w:pos="72"/>
              </w:tabs>
              <w:ind w:left="72" w:firstLine="284"/>
              <w:jc w:val="both"/>
              <w:rPr>
                <w:rFonts w:ascii="Times New Roman" w:hAnsi="Times New Roman" w:cs="Times New Roman"/>
                <w:sz w:val="25"/>
                <w:szCs w:val="25"/>
              </w:rPr>
            </w:pPr>
            <w:r w:rsidRPr="00B651D7">
              <w:rPr>
                <w:rFonts w:ascii="Times New Roman" w:hAnsi="Times New Roman" w:cs="Times New Roman"/>
                <w:sz w:val="25"/>
                <w:szCs w:val="25"/>
              </w:rPr>
              <w:t>sadaļā “Vispārīgie jautājumi” tiek svītrots 8., 9., 10., 11., 12., 13. un 14.punkts, precizēts 32.punkts, savukārt jaunā redakcijā izteikts 15. un 30.punkts, kuros šobrīd ir minētas normas par stingrās uzskaites dokumentiem. Grozījumu pamatojums:</w:t>
            </w:r>
          </w:p>
          <w:p w:rsidR="003A0997" w:rsidRPr="00B651D7" w:rsidRDefault="003A0997" w:rsidP="007C0223">
            <w:pPr>
              <w:pStyle w:val="ListParagraph"/>
              <w:tabs>
                <w:tab w:val="left" w:pos="72"/>
              </w:tabs>
              <w:spacing w:after="0" w:line="240" w:lineRule="auto"/>
              <w:ind w:left="72"/>
              <w:jc w:val="both"/>
              <w:rPr>
                <w:rFonts w:ascii="Times New Roman" w:hAnsi="Times New Roman" w:cs="Times New Roman"/>
                <w:sz w:val="25"/>
                <w:szCs w:val="25"/>
              </w:rPr>
            </w:pPr>
            <w:r w:rsidRPr="00B651D7">
              <w:rPr>
                <w:rFonts w:ascii="Times New Roman" w:hAnsi="Times New Roman" w:cs="Times New Roman"/>
                <w:sz w:val="25"/>
                <w:szCs w:val="25"/>
              </w:rPr>
              <w:t>- Š</w:t>
            </w:r>
            <w:r w:rsidRPr="00B651D7">
              <w:rPr>
                <w:rFonts w:ascii="Times New Roman" w:hAnsi="Times New Roman" w:cs="Times New Roman"/>
                <w:bCs/>
                <w:sz w:val="25"/>
                <w:szCs w:val="25"/>
              </w:rPr>
              <w:t>obrīd kā stingrās uzskaites dokumenti MK noteikumu Nr.1043 8.punktā ir noteikti azartspēļu automātu inkasācijas akts, kazino galda bilance un galdu rezultāts.</w:t>
            </w:r>
          </w:p>
          <w:p w:rsidR="003A0997" w:rsidRPr="00B651D7" w:rsidRDefault="003A0997" w:rsidP="007C0223">
            <w:pPr>
              <w:pStyle w:val="ListParagraph"/>
              <w:tabs>
                <w:tab w:val="left" w:pos="73"/>
              </w:tabs>
              <w:spacing w:after="0" w:line="240" w:lineRule="auto"/>
              <w:ind w:left="72" w:firstLine="1"/>
              <w:jc w:val="both"/>
              <w:rPr>
                <w:rFonts w:ascii="Times New Roman" w:hAnsi="Times New Roman" w:cs="Times New Roman"/>
                <w:sz w:val="25"/>
                <w:szCs w:val="25"/>
              </w:rPr>
            </w:pPr>
            <w:r w:rsidRPr="00B651D7">
              <w:rPr>
                <w:rFonts w:ascii="Times New Roman" w:hAnsi="Times New Roman" w:cs="Times New Roman"/>
                <w:sz w:val="25"/>
                <w:szCs w:val="25"/>
              </w:rPr>
              <w:t xml:space="preserve">Saistībā ar AKUS ieviešanu ir pieņemti Ministru kabineta 2017.gada 27.jūnija noteikumi Nr.374 “Grozījumi Ministru kabineta 2006. gada 27.jūnija noteikumos Nr.512 “Azartspēļu un izložu organizēšanas un uzturēšanas uzraudzības un kontroles kārtība”, atbilstoši kuriem no 2019.gada 1.janvāra inkasācijas akti vairs nebūs stingrās uzskaites dokuments. </w:t>
            </w:r>
          </w:p>
          <w:p w:rsidR="003A0997" w:rsidRPr="00B651D7" w:rsidRDefault="003A0997" w:rsidP="007C0223">
            <w:pPr>
              <w:pStyle w:val="ListParagraph"/>
              <w:tabs>
                <w:tab w:val="left" w:pos="73"/>
              </w:tabs>
              <w:spacing w:after="0" w:line="240" w:lineRule="auto"/>
              <w:ind w:left="72" w:firstLine="1"/>
              <w:jc w:val="both"/>
              <w:rPr>
                <w:rFonts w:ascii="Times New Roman" w:hAnsi="Times New Roman" w:cs="Times New Roman"/>
                <w:bCs/>
                <w:sz w:val="25"/>
                <w:szCs w:val="25"/>
              </w:rPr>
            </w:pPr>
            <w:r w:rsidRPr="00B651D7">
              <w:rPr>
                <w:rFonts w:ascii="Times New Roman" w:hAnsi="Times New Roman" w:cs="Times New Roman"/>
                <w:sz w:val="25"/>
                <w:szCs w:val="25"/>
              </w:rPr>
              <w:t xml:space="preserve">Savukārt </w:t>
            </w:r>
            <w:r w:rsidRPr="00B651D7">
              <w:rPr>
                <w:rFonts w:ascii="Times New Roman" w:hAnsi="Times New Roman" w:cs="Times New Roman"/>
                <w:bCs/>
                <w:sz w:val="25"/>
                <w:szCs w:val="25"/>
              </w:rPr>
              <w:t xml:space="preserve">kazino galda bilances un galdu rezultātu inkasācijas procesa uzraudzību pilnībā nodrošina Izložu un azartspēļu uzraudzības inspekcijas inspektora klātbūtne klātienē vai attālināti, izmantojot elektronisko sakaru starpniecību (Ministru kabineta 2006.gada 27.jūnija noteikumi Nr. 512 “Azartspēļu un izložu organizēšanas un uzturēšanas uzraudzības un kontroles kārtība”  20. un 22.punkts). Tādējādi tehniskās prasības tipogrāfiski iespiest veidlapas un to numerācijas uzskaite ir neefektīvs regulējums ar nepamatotu administratīvo slogu. </w:t>
            </w:r>
          </w:p>
          <w:p w:rsidR="003A0997" w:rsidRPr="00B651D7" w:rsidRDefault="003A0997" w:rsidP="007C0223">
            <w:pPr>
              <w:pStyle w:val="ListParagraph"/>
              <w:tabs>
                <w:tab w:val="left" w:pos="73"/>
              </w:tabs>
              <w:spacing w:after="0" w:line="240" w:lineRule="auto"/>
              <w:ind w:left="72" w:firstLine="1"/>
              <w:jc w:val="both"/>
              <w:rPr>
                <w:rFonts w:ascii="Times New Roman" w:hAnsi="Times New Roman" w:cs="Times New Roman"/>
                <w:sz w:val="25"/>
                <w:szCs w:val="25"/>
              </w:rPr>
            </w:pPr>
            <w:r w:rsidRPr="00B651D7">
              <w:rPr>
                <w:rFonts w:ascii="Times New Roman" w:hAnsi="Times New Roman" w:cs="Times New Roman"/>
                <w:bCs/>
                <w:sz w:val="25"/>
                <w:szCs w:val="25"/>
              </w:rPr>
              <w:t>Tādējādi ar plānotajiem grozījumiem vienlaicīgi ir iespēja mazināt administratīvo slogu azartspēļu organizētājiem, nosakot, ka ne tikai inkasācijas akti, bet  arī kazino galda bilance un galdu rezultāts nebūs stingrās uzskaites dokuments;</w:t>
            </w:r>
          </w:p>
          <w:p w:rsidR="003A0997" w:rsidRPr="00B651D7" w:rsidRDefault="003A0997" w:rsidP="007C0223">
            <w:pPr>
              <w:pStyle w:val="ListParagraph"/>
              <w:tabs>
                <w:tab w:val="left" w:pos="214"/>
              </w:tabs>
              <w:spacing w:after="0" w:line="240" w:lineRule="auto"/>
              <w:ind w:left="215"/>
              <w:jc w:val="both"/>
              <w:rPr>
                <w:rFonts w:ascii="Times New Roman" w:hAnsi="Times New Roman" w:cs="Times New Roman"/>
                <w:sz w:val="25"/>
                <w:szCs w:val="25"/>
              </w:rPr>
            </w:pPr>
            <w:r w:rsidRPr="00B651D7">
              <w:rPr>
                <w:rFonts w:ascii="Times New Roman" w:hAnsi="Times New Roman" w:cs="Times New Roman"/>
                <w:sz w:val="25"/>
                <w:szCs w:val="25"/>
              </w:rPr>
              <w:t xml:space="preserve"> </w:t>
            </w:r>
          </w:p>
          <w:p w:rsidR="003A0997" w:rsidRPr="00B651D7" w:rsidRDefault="003A0997" w:rsidP="003A0997">
            <w:pPr>
              <w:pStyle w:val="ListParagraph"/>
              <w:numPr>
                <w:ilvl w:val="0"/>
                <w:numId w:val="1"/>
              </w:numPr>
              <w:tabs>
                <w:tab w:val="left" w:pos="214"/>
              </w:tabs>
              <w:spacing w:after="0" w:line="240" w:lineRule="auto"/>
              <w:ind w:left="73" w:firstLine="283"/>
              <w:jc w:val="both"/>
              <w:rPr>
                <w:rFonts w:ascii="Times New Roman" w:hAnsi="Times New Roman" w:cs="Times New Roman"/>
                <w:sz w:val="25"/>
                <w:szCs w:val="25"/>
              </w:rPr>
            </w:pPr>
            <w:r w:rsidRPr="00B651D7">
              <w:rPr>
                <w:rFonts w:ascii="Times New Roman" w:hAnsi="Times New Roman" w:cs="Times New Roman"/>
                <w:sz w:val="25"/>
                <w:szCs w:val="25"/>
              </w:rPr>
              <w:t>sadaļā “Azartspēļu automātu ieņēmumu un izdevumu uzskaite” tiek izslēgtas normas par mehānisko skaitītāju rādītājiem. Tādējādi:</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xml:space="preserve">- jaunā redakcijā tiek izteikts MK noteikumu Nr.1043 17.punkts. Šajā punktā noteikto azartspēļu automātu inkasāciju veiks kapitālsabiedrības noteiktā kārtībā. Ņemot vērā to, ka azartspēļu automātu inkasācijas process ietver ne tikai AKUS skaitītāju rādītāju fiksēšanu un ieņēmumu aprēķināšanu, bet arī faktiskās skaidrās naudas uzskaiti, tad Izložu un azartspēļu </w:t>
            </w:r>
            <w:r w:rsidRPr="00B651D7">
              <w:rPr>
                <w:rFonts w:ascii="Times New Roman" w:hAnsi="Times New Roman" w:cs="Times New Roman"/>
                <w:sz w:val="25"/>
                <w:szCs w:val="25"/>
              </w:rPr>
              <w:lastRenderedPageBreak/>
              <w:t xml:space="preserve">uzraudzības inspekcijai ir jāpārzina katras kapitālsabiedrības inkasācijas procesa kārtību un procedūras, kā arī naudas plūsmas izsekojamību, papildinot vai samazinot azartspēļu automāta naudas kastes (turpmāk – </w:t>
            </w:r>
            <w:proofErr w:type="spellStart"/>
            <w:r w:rsidRPr="00B651D7">
              <w:rPr>
                <w:rFonts w:ascii="Times New Roman" w:hAnsi="Times New Roman" w:cs="Times New Roman"/>
                <w:sz w:val="25"/>
                <w:szCs w:val="25"/>
              </w:rPr>
              <w:t>hopers</w:t>
            </w:r>
            <w:proofErr w:type="spellEnd"/>
            <w:r w:rsidRPr="00B651D7">
              <w:rPr>
                <w:rFonts w:ascii="Times New Roman" w:hAnsi="Times New Roman" w:cs="Times New Roman"/>
                <w:sz w:val="25"/>
                <w:szCs w:val="25"/>
              </w:rPr>
              <w:t xml:space="preserve">) azartspēļu automātā, kā arī naudas kustību spēļu zāles kasē. Līdz ar to  azartspēļu automātu inkasācijas kārtība iekļaus nosacījumus inkasācijas norisei un procesa dokumentēšanai, darbības ar </w:t>
            </w:r>
            <w:proofErr w:type="spellStart"/>
            <w:r w:rsidRPr="00B651D7">
              <w:rPr>
                <w:rFonts w:ascii="Times New Roman" w:hAnsi="Times New Roman" w:cs="Times New Roman"/>
                <w:sz w:val="25"/>
                <w:szCs w:val="25"/>
              </w:rPr>
              <w:t>hoperu</w:t>
            </w:r>
            <w:proofErr w:type="spellEnd"/>
            <w:r w:rsidRPr="00B651D7">
              <w:rPr>
                <w:rFonts w:ascii="Times New Roman" w:hAnsi="Times New Roman" w:cs="Times New Roman"/>
                <w:sz w:val="25"/>
                <w:szCs w:val="25"/>
              </w:rPr>
              <w:t xml:space="preserve"> naudu, maksājumu par spēli azartspēļu automātā kustības procesam, kā arī par inkasāciju atbildīgajām personām u.c. prasībām.</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svītrots 23.punkts;</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svītrots 24.3.5., 24.3.6., 24.3.7., 24.3.8. un 24.4.apakšpunktā vārds “mehānisks” (attiecīgā locījumā);</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svītrots 1.pielikuma 2.tabulas nosaukumā vārds “mehānisko”;</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p>
          <w:p w:rsidR="003A0997" w:rsidRPr="00B651D7" w:rsidRDefault="003A0997" w:rsidP="007C0223">
            <w:pPr>
              <w:tabs>
                <w:tab w:val="left" w:pos="214"/>
              </w:tabs>
              <w:spacing w:after="0" w:line="240" w:lineRule="auto"/>
              <w:ind w:left="73" w:firstLine="284"/>
              <w:jc w:val="both"/>
              <w:rPr>
                <w:rFonts w:ascii="Times New Roman" w:hAnsi="Times New Roman" w:cs="Times New Roman"/>
                <w:sz w:val="25"/>
                <w:szCs w:val="25"/>
              </w:rPr>
            </w:pPr>
            <w:r w:rsidRPr="00B651D7">
              <w:rPr>
                <w:rFonts w:ascii="Times New Roman" w:hAnsi="Times New Roman" w:cs="Times New Roman"/>
                <w:sz w:val="25"/>
                <w:szCs w:val="25"/>
              </w:rPr>
              <w:t>4) atbilstoši prasībai par azartspēļu automātu inkasācijas rezultāta atbilstību AKUS datiem (papildus tam norādīta rīcība un sniedzamā informācija, ja AKUS konstatēta uzskaites kļūda):</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svītrots 20.punkts, jo stājoties spēkā AKUS, inkasācijas akti būs elektroniskā formātā un tajā būs informācija par spēļu automātu rezultātiem noteiktā laika periodā. Līdz ar to uzņēmējiem vairs nevajadzēs inkasācijas aktus drukāt papīra formātā un uzglabāt katrā spēļu zālē līdz nākamai inkasācijai;</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jaunā redakcijā tiek izteikts MK noteikumu N.1043 21.punkts, kurā iekļautas normas par uzskaites kļūdas korekcijām. Ņemot vērā to, ka AKUS ir tehnisko ierīču un programmu apkopojums, kurš pārraida visu informāciju no azartspēļu automāta, tad ir iespējamas tehniska rakstura vai cita veida informācijas nekorekta atspoguļošana un neatbilstība ar faktisko naudas daudzumu azartspēļu automātā. Līdz ar to,  lai atklātu šo nesakritību iemeslus un izprastu tehnisko problēmu cēloņus, kas radīja nekorektu rezultātu, kā arī veiktu pieļauto kļūdu labojumus, ir nepieciešama kļūdu korekcija, kas ietvers sevī problēmu aprakstu. Vadoties pēc AKUS testa vides parametriem var secināt, ka šāda korekcija pārsvarā tiek novērota:</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veicot spēļu programmas maiņu;</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ja ir skaitītāju radītāja pilna cikla apgrozījums;</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ja ir bijusi naudai pielīdzināmo priekšmetu ievietošana azartspēļu automātā;</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 pārraides ierīces bojājumu gadījumos;</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lastRenderedPageBreak/>
              <w:t xml:space="preserve">- gadījumos, ja radās cita tehniska problēma. </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r w:rsidRPr="00B651D7">
              <w:rPr>
                <w:rFonts w:ascii="Times New Roman" w:hAnsi="Times New Roman" w:cs="Times New Roman"/>
                <w:sz w:val="25"/>
                <w:szCs w:val="25"/>
              </w:rPr>
              <w:t>Visu šo kļūdu korekcijas aprakstu un kļūdu korekcijas  aprakstu veic vienlaikus ar inkasācijas procesu vai ātrāk, ja šī kļūda ir atklāta;</w:t>
            </w:r>
          </w:p>
          <w:p w:rsidR="003A0997" w:rsidRPr="00B651D7" w:rsidRDefault="003A0997" w:rsidP="007C0223">
            <w:pPr>
              <w:tabs>
                <w:tab w:val="left" w:pos="214"/>
              </w:tabs>
              <w:spacing w:after="0" w:line="240" w:lineRule="auto"/>
              <w:ind w:left="73"/>
              <w:jc w:val="both"/>
              <w:rPr>
                <w:rFonts w:ascii="Times New Roman" w:hAnsi="Times New Roman" w:cs="Times New Roman"/>
                <w:sz w:val="25"/>
                <w:szCs w:val="25"/>
              </w:rPr>
            </w:pPr>
          </w:p>
          <w:p w:rsidR="003A0997" w:rsidRPr="00B651D7" w:rsidRDefault="003A0997" w:rsidP="003A0997">
            <w:pPr>
              <w:pStyle w:val="ListParagraph"/>
              <w:numPr>
                <w:ilvl w:val="0"/>
                <w:numId w:val="3"/>
              </w:numPr>
              <w:tabs>
                <w:tab w:val="left" w:pos="214"/>
              </w:tabs>
              <w:spacing w:after="0" w:line="240" w:lineRule="auto"/>
              <w:ind w:left="73" w:firstLine="142"/>
              <w:jc w:val="both"/>
              <w:rPr>
                <w:rFonts w:ascii="Times New Roman" w:hAnsi="Times New Roman" w:cs="Times New Roman"/>
                <w:sz w:val="25"/>
                <w:szCs w:val="25"/>
              </w:rPr>
            </w:pPr>
            <w:r w:rsidRPr="00B651D7">
              <w:rPr>
                <w:rFonts w:ascii="Times New Roman" w:hAnsi="Times New Roman" w:cs="Times New Roman"/>
                <w:sz w:val="25"/>
                <w:szCs w:val="25"/>
              </w:rPr>
              <w:t>veikti tehniska rakstura grozījumi:</w:t>
            </w:r>
          </w:p>
          <w:p w:rsidR="003A0997" w:rsidRPr="00B651D7" w:rsidRDefault="003A0997" w:rsidP="007C0223">
            <w:pPr>
              <w:tabs>
                <w:tab w:val="left" w:pos="214"/>
              </w:tabs>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 precizēts MK noteikumu Nr.1043 2.punkts par azartspēļu un izložu organizētāju grāmatvedības uzskaiti, nenosaucot tajā vairs konkrētus normatīvos aktus, kā arī precizēts MK noteikumu Nr.1043 4.punkts;</w:t>
            </w:r>
          </w:p>
          <w:p w:rsidR="003A0997" w:rsidRPr="00B651D7" w:rsidRDefault="003A0997" w:rsidP="007C0223">
            <w:pPr>
              <w:tabs>
                <w:tab w:val="left" w:pos="214"/>
              </w:tabs>
              <w:spacing w:after="0" w:line="240" w:lineRule="auto"/>
              <w:jc w:val="both"/>
              <w:rPr>
                <w:rFonts w:ascii="Times New Roman" w:hAnsi="Times New Roman" w:cs="Times New Roman"/>
                <w:sz w:val="25"/>
                <w:szCs w:val="25"/>
              </w:rPr>
            </w:pPr>
          </w:p>
          <w:p w:rsidR="003A0997" w:rsidRPr="00B651D7" w:rsidRDefault="003A0997" w:rsidP="003A0997">
            <w:pPr>
              <w:pStyle w:val="ListParagraph"/>
              <w:numPr>
                <w:ilvl w:val="0"/>
                <w:numId w:val="2"/>
              </w:numPr>
              <w:tabs>
                <w:tab w:val="left" w:pos="214"/>
              </w:tabs>
              <w:spacing w:after="0" w:line="240" w:lineRule="auto"/>
              <w:ind w:left="0" w:firstLine="73"/>
              <w:jc w:val="both"/>
              <w:rPr>
                <w:rFonts w:ascii="Times New Roman" w:hAnsi="Times New Roman" w:cs="Times New Roman"/>
                <w:sz w:val="25"/>
                <w:szCs w:val="25"/>
              </w:rPr>
            </w:pPr>
            <w:r w:rsidRPr="00B651D7">
              <w:rPr>
                <w:rFonts w:ascii="Times New Roman" w:hAnsi="Times New Roman" w:cs="Times New Roman"/>
                <w:sz w:val="25"/>
                <w:szCs w:val="25"/>
              </w:rPr>
              <w:t>15.punkta jaunajā redakcijā netiek iekļauta norma, ka inkasācijas akts ir pamatojums bezskaidras naudas ieņēmumiem;</w:t>
            </w:r>
          </w:p>
          <w:p w:rsidR="003A0997" w:rsidRPr="00B651D7" w:rsidRDefault="003A0997" w:rsidP="003A0997">
            <w:pPr>
              <w:pStyle w:val="ListParagraph"/>
              <w:numPr>
                <w:ilvl w:val="0"/>
                <w:numId w:val="2"/>
              </w:numPr>
              <w:tabs>
                <w:tab w:val="left" w:pos="214"/>
              </w:tabs>
              <w:spacing w:after="0" w:line="240" w:lineRule="auto"/>
              <w:ind w:left="0" w:firstLine="73"/>
              <w:jc w:val="both"/>
              <w:rPr>
                <w:rFonts w:ascii="Times New Roman" w:hAnsi="Times New Roman" w:cs="Times New Roman"/>
                <w:sz w:val="25"/>
                <w:szCs w:val="25"/>
              </w:rPr>
            </w:pPr>
            <w:r w:rsidRPr="00B651D7">
              <w:rPr>
                <w:rFonts w:ascii="Times New Roman" w:hAnsi="Times New Roman" w:cs="Times New Roman"/>
                <w:sz w:val="25"/>
                <w:szCs w:val="25"/>
              </w:rPr>
              <w:t>precizēts 26.7. apakšpunkts un 28.punkts, jo šobrīd azartspēļu automātos neizmanto spēļu žetonus (praksē šāda veida iemaksas mehānisms nepastāv);</w:t>
            </w:r>
          </w:p>
          <w:p w:rsidR="003A0997" w:rsidRPr="00B651D7" w:rsidRDefault="003A0997" w:rsidP="007C0223">
            <w:pPr>
              <w:pStyle w:val="ListParagraph"/>
              <w:tabs>
                <w:tab w:val="left" w:pos="214"/>
              </w:tabs>
              <w:spacing w:after="0" w:line="240" w:lineRule="auto"/>
              <w:ind w:left="73"/>
              <w:jc w:val="both"/>
              <w:rPr>
                <w:rFonts w:ascii="Times New Roman" w:hAnsi="Times New Roman" w:cs="Times New Roman"/>
                <w:sz w:val="25"/>
                <w:szCs w:val="25"/>
              </w:rPr>
            </w:pP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 xml:space="preserve">- 24.4.7.apakšpunktā, lai novērstu iespējamas jēdzienu interpretācijas, precizēts uzkrātā laimesta formulējums, nosakot, ka tas ir </w:t>
            </w:r>
            <w:proofErr w:type="spellStart"/>
            <w:r w:rsidRPr="00B651D7">
              <w:rPr>
                <w:rFonts w:ascii="Times New Roman" w:hAnsi="Times New Roman" w:cs="Times New Roman"/>
                <w:sz w:val="25"/>
                <w:szCs w:val="25"/>
              </w:rPr>
              <w:t>papildspēles</w:t>
            </w:r>
            <w:proofErr w:type="spellEnd"/>
            <w:r w:rsidRPr="00B651D7">
              <w:rPr>
                <w:rFonts w:ascii="Times New Roman" w:hAnsi="Times New Roman" w:cs="Times New Roman"/>
                <w:sz w:val="25"/>
                <w:szCs w:val="25"/>
              </w:rPr>
              <w:t xml:space="preserve"> laimests atbilstoši Azartspēļu un izložu likuma 1.panta 17.punktam;</w:t>
            </w: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 precizēts 26.7.apakšpunkts un 34.punkts attiecībā uz kazino kasiera veicamajiem pienākumiem;</w:t>
            </w:r>
          </w:p>
          <w:p w:rsidR="003A0997" w:rsidRPr="00B651D7" w:rsidRDefault="003A0997" w:rsidP="007C0223">
            <w:pPr>
              <w:spacing w:after="0" w:line="240" w:lineRule="auto"/>
              <w:jc w:val="both"/>
              <w:rPr>
                <w:rFonts w:ascii="Times New Roman" w:hAnsi="Times New Roman" w:cs="Times New Roman"/>
                <w:sz w:val="25"/>
                <w:szCs w:val="25"/>
              </w:rPr>
            </w:pPr>
          </w:p>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 svītrots 50.punkts, jo tas dublējas ar 2006.gada Ministru kabineta noteikumos Nr.512 “Azartspēļu un izložu organizēšanas un uzturēšanas uzraudzības un kontroles kārtība” 20.punktā noteikto kārtību par kazino inkasāciju;</w:t>
            </w:r>
          </w:p>
          <w:p w:rsidR="003A0997" w:rsidRPr="00B651D7" w:rsidRDefault="003A0997" w:rsidP="007C0223">
            <w:pPr>
              <w:tabs>
                <w:tab w:val="left" w:pos="214"/>
              </w:tabs>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w:t>
            </w:r>
            <w:bookmarkStart w:id="0" w:name="p-627312"/>
            <w:bookmarkStart w:id="1" w:name="p20"/>
            <w:bookmarkStart w:id="2" w:name="p-627313"/>
            <w:bookmarkStart w:id="3" w:name="p21"/>
            <w:bookmarkStart w:id="4" w:name="p-627314"/>
            <w:bookmarkStart w:id="5" w:name="p22"/>
            <w:bookmarkEnd w:id="0"/>
            <w:bookmarkEnd w:id="1"/>
            <w:bookmarkEnd w:id="2"/>
            <w:bookmarkEnd w:id="3"/>
            <w:bookmarkEnd w:id="4"/>
            <w:bookmarkEnd w:id="5"/>
            <w:r w:rsidRPr="00B651D7">
              <w:rPr>
                <w:rFonts w:ascii="Times New Roman" w:hAnsi="Times New Roman" w:cs="Times New Roman"/>
                <w:sz w:val="25"/>
                <w:szCs w:val="25"/>
              </w:rPr>
              <w:t xml:space="preserve"> veikti grozījumi 66.punktā, lai nodrošinātu MK noteikumu Nr.1043 normu atbilstību likuma “Par izložu un azartspēļu nodevu un nodokli” 7.panta regulējumam.</w:t>
            </w:r>
          </w:p>
          <w:p w:rsidR="003A0997" w:rsidRPr="00B651D7" w:rsidRDefault="003A0997" w:rsidP="007C0223">
            <w:pPr>
              <w:tabs>
                <w:tab w:val="left" w:pos="214"/>
              </w:tabs>
              <w:spacing w:after="0" w:line="240" w:lineRule="auto"/>
              <w:jc w:val="both"/>
              <w:rPr>
                <w:rFonts w:ascii="Times New Roman" w:hAnsi="Times New Roman" w:cs="Times New Roman"/>
                <w:i/>
                <w:sz w:val="25"/>
                <w:szCs w:val="25"/>
                <w:lang w:eastAsia="lv-LV"/>
              </w:rPr>
            </w:pPr>
          </w:p>
        </w:tc>
      </w:tr>
      <w:tr w:rsidR="003A0997" w:rsidRPr="00B651D7" w:rsidTr="007C0223">
        <w:trPr>
          <w:trHeight w:val="372"/>
        </w:trPr>
        <w:tc>
          <w:tcPr>
            <w:tcW w:w="299"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eastAsia="Times New Roman" w:hAnsi="Times New Roman" w:cs="Times New Roman"/>
                <w:sz w:val="25"/>
                <w:szCs w:val="25"/>
                <w:lang w:eastAsia="lv-LV"/>
              </w:rPr>
              <w:t>Izložu un azartspēļu uzraudzības inspekcija.</w:t>
            </w:r>
          </w:p>
        </w:tc>
      </w:tr>
      <w:tr w:rsidR="003A0997" w:rsidRPr="00B651D7" w:rsidTr="007C0223">
        <w:tc>
          <w:tcPr>
            <w:tcW w:w="299"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5"/>
              <w:szCs w:val="25"/>
              <w:lang w:eastAsia="lv-LV"/>
            </w:rPr>
            <w:id w:val="1021208832"/>
            <w:placeholder>
              <w:docPart w:val="1C16FFE610C8459EB4205E5785F4F0A2"/>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Nav</w:t>
                </w:r>
              </w:p>
            </w:tc>
          </w:sdtContent>
        </w:sdt>
      </w:tr>
    </w:tbl>
    <w:p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A0997" w:rsidRPr="00B651D7" w:rsidTr="007C022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3A0997" w:rsidRPr="00B651D7" w:rsidTr="007C022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 xml:space="preserve">Sabiedrības </w:t>
            </w:r>
            <w:proofErr w:type="spellStart"/>
            <w:r w:rsidRPr="00B651D7">
              <w:rPr>
                <w:rFonts w:ascii="Times New Roman" w:eastAsia="Times New Roman" w:hAnsi="Times New Roman" w:cs="Times New Roman"/>
                <w:sz w:val="25"/>
                <w:szCs w:val="25"/>
                <w:lang w:eastAsia="lv-LV"/>
              </w:rPr>
              <w:t>mērķgrupas</w:t>
            </w:r>
            <w:proofErr w:type="spellEnd"/>
            <w:r w:rsidRPr="00B651D7">
              <w:rPr>
                <w:rFonts w:ascii="Times New Roman" w:eastAsia="Times New Roman" w:hAnsi="Times New Roman" w:cs="Times New Roman"/>
                <w:sz w:val="25"/>
                <w:szCs w:val="25"/>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hAnsi="Times New Roman" w:cs="Times New Roman"/>
                <w:sz w:val="25"/>
                <w:szCs w:val="25"/>
              </w:rPr>
            </w:pPr>
            <w:r w:rsidRPr="00B651D7">
              <w:rPr>
                <w:rFonts w:ascii="Times New Roman" w:hAnsi="Times New Roman" w:cs="Times New Roman"/>
                <w:sz w:val="25"/>
                <w:szCs w:val="25"/>
              </w:rPr>
              <w:t>Mērķa grupa ir Izložu un azartspēļu uzraudzības inspekcija un 16 kapitālsabiedrības (informācija uz 14.09.2018.), kas organizē azartspēles.</w:t>
            </w:r>
          </w:p>
        </w:tc>
      </w:tr>
      <w:tr w:rsidR="003A0997" w:rsidRPr="00B651D7" w:rsidTr="007C022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eastAsia="Times New Roman" w:hAnsi="Times New Roman" w:cs="Times New Roman"/>
                <w:color w:val="000000" w:themeColor="text1"/>
                <w:sz w:val="25"/>
                <w:szCs w:val="25"/>
                <w:lang w:eastAsia="lv-LV"/>
              </w:rPr>
            </w:pPr>
            <w:r w:rsidRPr="00B651D7">
              <w:rPr>
                <w:rFonts w:ascii="Times New Roman" w:eastAsia="Times New Roman" w:hAnsi="Times New Roman" w:cs="Times New Roman"/>
                <w:color w:val="000000" w:themeColor="text1"/>
                <w:sz w:val="25"/>
                <w:szCs w:val="25"/>
                <w:lang w:eastAsia="lv-LV"/>
              </w:rPr>
              <w:t xml:space="preserve">Tiesiskais regulējums uzlabos uzņēmējdarbības vidi, jo izmantojot AKUS nebūs nepieciešamība inkasācijas procesā vairs izmantot azartspēļu automātu mehāniskos </w:t>
            </w:r>
            <w:r w:rsidRPr="00B651D7">
              <w:rPr>
                <w:rFonts w:ascii="Times New Roman" w:eastAsia="Times New Roman" w:hAnsi="Times New Roman" w:cs="Times New Roman"/>
                <w:color w:val="000000" w:themeColor="text1"/>
                <w:sz w:val="25"/>
                <w:szCs w:val="25"/>
                <w:lang w:eastAsia="lv-LV"/>
              </w:rPr>
              <w:lastRenderedPageBreak/>
              <w:t>rādītājus, kā arī tiks pilnveidota azartspēļu automātu darbības uzraudzība un ieņēmumu plūsmas kontrole un pārskatāmība.</w:t>
            </w:r>
          </w:p>
          <w:p w:rsidR="003A0997" w:rsidRPr="00B651D7" w:rsidRDefault="003A0997" w:rsidP="007C0223">
            <w:pPr>
              <w:spacing w:after="0" w:line="240" w:lineRule="auto"/>
              <w:jc w:val="both"/>
              <w:rPr>
                <w:rFonts w:ascii="Times New Roman" w:eastAsia="Times New Roman" w:hAnsi="Times New Roman" w:cs="Times New Roman"/>
                <w:color w:val="000000" w:themeColor="text1"/>
                <w:sz w:val="25"/>
                <w:szCs w:val="25"/>
                <w:lang w:eastAsia="lv-LV"/>
              </w:rPr>
            </w:pPr>
            <w:r w:rsidRPr="00B651D7">
              <w:rPr>
                <w:rFonts w:ascii="Times New Roman" w:eastAsia="Times New Roman" w:hAnsi="Times New Roman" w:cs="Times New Roman"/>
                <w:color w:val="000000" w:themeColor="text1"/>
                <w:sz w:val="25"/>
                <w:szCs w:val="25"/>
                <w:lang w:eastAsia="lv-LV"/>
              </w:rPr>
              <w:t>Administratīvais slogs samazināsies. Izložu un azartspēļu uzraudzības inspekcijai efektīvāk tiks izmantoti tās administratīvie resursi (laika ietaupījums), jo nebūs jāveic saņemto un izlietoto inkasācijas aktu reģistrēšana, un azartspēļu automātu ieņēmumu plūsmu un kontroli varēs veikt attālināti. Azartspēļu organizētājiem inkasācijas procesā vairs neietilps azartspēļu automātu mehāniskos rādītāju uzskaite un prasība par stingrās uzskaites dokumentu izgatavošanu un pārskatu sniegšana par to izlietojumu.</w:t>
            </w:r>
          </w:p>
          <w:p w:rsidR="003A0997" w:rsidRPr="00B651D7" w:rsidRDefault="003A0997" w:rsidP="007C0223">
            <w:pPr>
              <w:spacing w:after="0" w:line="240" w:lineRule="auto"/>
              <w:jc w:val="both"/>
              <w:rPr>
                <w:rFonts w:ascii="Times New Roman" w:eastAsia="Times New Roman" w:hAnsi="Times New Roman" w:cs="Times New Roman"/>
                <w:sz w:val="25"/>
                <w:szCs w:val="25"/>
                <w:highlight w:val="yellow"/>
                <w:lang w:eastAsia="lv-LV"/>
              </w:rPr>
            </w:pPr>
          </w:p>
        </w:tc>
      </w:tr>
      <w:tr w:rsidR="003A0997" w:rsidRPr="00B651D7" w:rsidTr="007C022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hAnsi="Times New Roman" w:cs="Times New Roman"/>
                <w:iCs/>
                <w:sz w:val="25"/>
                <w:szCs w:val="25"/>
              </w:rPr>
              <w:t>Projekts šo jomu neskar.</w:t>
            </w:r>
          </w:p>
        </w:tc>
      </w:tr>
      <w:tr w:rsidR="003A0997" w:rsidRPr="00B651D7" w:rsidTr="007C0223">
        <w:trPr>
          <w:trHeight w:val="408"/>
        </w:trPr>
        <w:tc>
          <w:tcPr>
            <w:tcW w:w="250" w:type="pct"/>
            <w:tcBorders>
              <w:top w:val="outset" w:sz="6" w:space="0" w:color="414142"/>
              <w:left w:val="outset" w:sz="6" w:space="0" w:color="414142"/>
              <w:bottom w:val="outset" w:sz="6" w:space="0" w:color="414142"/>
              <w:right w:val="outset" w:sz="6" w:space="0" w:color="414142"/>
            </w:tcBorders>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3A0997" w:rsidRPr="00B651D7" w:rsidRDefault="003A0997" w:rsidP="007C0223">
            <w:pPr>
              <w:spacing w:after="0" w:line="240" w:lineRule="auto"/>
              <w:rPr>
                <w:rFonts w:ascii="Times New Roman" w:hAnsi="Times New Roman" w:cs="Times New Roman"/>
                <w:iCs/>
                <w:sz w:val="25"/>
                <w:szCs w:val="25"/>
              </w:rPr>
            </w:pPr>
            <w:r w:rsidRPr="00B651D7">
              <w:rPr>
                <w:rFonts w:ascii="Times New Roman" w:hAnsi="Times New Roman" w:cs="Times New Roman"/>
                <w:iCs/>
                <w:sz w:val="25"/>
                <w:szCs w:val="25"/>
              </w:rPr>
              <w:t>Nav</w:t>
            </w:r>
          </w:p>
        </w:tc>
      </w:tr>
      <w:tr w:rsidR="003A0997" w:rsidRPr="00B651D7" w:rsidTr="007C0223">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5"/>
              <w:szCs w:val="25"/>
              <w:lang w:eastAsia="lv-LV"/>
            </w:rPr>
            <w:id w:val="-1119677180"/>
            <w:placeholder>
              <w:docPart w:val="9C2C97F21C4A4BADB3B12CDCBA5C8B1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Nav</w:t>
                </w:r>
              </w:p>
            </w:tc>
          </w:sdtContent>
        </w:sdt>
      </w:tr>
    </w:tbl>
    <w:p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A0997" w:rsidRPr="00B651D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III. Tiesību akta projekta ietekme uz valsts budžetu un pašvaldību budžetiem</w:t>
            </w:r>
          </w:p>
        </w:tc>
      </w:tr>
      <w:tr w:rsidR="003A0997" w:rsidRPr="00B651D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Projekts šo jomu neskar</w:t>
            </w:r>
          </w:p>
        </w:tc>
      </w:tr>
    </w:tbl>
    <w:p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A0997" w:rsidRPr="00B651D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IV. </w:t>
            </w:r>
            <w:r w:rsidRPr="00B651D7">
              <w:rPr>
                <w:rFonts w:ascii="Times New Roman" w:hAnsi="Times New Roman" w:cs="Times New Roman"/>
                <w:b/>
                <w:bCs/>
                <w:sz w:val="25"/>
                <w:szCs w:val="25"/>
              </w:rPr>
              <w:t>Tiesību akta projekta ietekme uz spēkā esošo tiesību normu sistēmu</w:t>
            </w:r>
          </w:p>
        </w:tc>
      </w:tr>
      <w:tr w:rsidR="003A0997" w:rsidRPr="00B651D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Projekts šo jomu neskar</w:t>
            </w:r>
          </w:p>
        </w:tc>
      </w:tr>
    </w:tbl>
    <w:p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A0997" w:rsidRPr="00B651D7" w:rsidTr="007C0223">
        <w:tc>
          <w:tcPr>
            <w:tcW w:w="0" w:type="auto"/>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hd w:val="clear" w:color="auto" w:fill="FFFFFF"/>
              <w:spacing w:after="0" w:line="240" w:lineRule="auto"/>
              <w:ind w:firstLine="301"/>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V. Tiesību akta projekta atbilstība Latvijas Republikas starptautiskajām saistībām</w:t>
            </w:r>
          </w:p>
        </w:tc>
      </w:tr>
      <w:tr w:rsidR="003A0997" w:rsidRPr="00B651D7" w:rsidTr="007C0223">
        <w:tc>
          <w:tcPr>
            <w:tcW w:w="0" w:type="auto"/>
            <w:tcBorders>
              <w:top w:val="outset" w:sz="6" w:space="0" w:color="414142"/>
              <w:left w:val="outset" w:sz="6" w:space="0" w:color="414142"/>
              <w:bottom w:val="outset" w:sz="6" w:space="0" w:color="414142"/>
              <w:right w:val="outset" w:sz="6" w:space="0" w:color="414142"/>
            </w:tcBorders>
            <w:vAlign w:val="center"/>
          </w:tcPr>
          <w:p w:rsidR="003A0997" w:rsidRPr="00B651D7" w:rsidRDefault="003A0997" w:rsidP="007C0223">
            <w:pPr>
              <w:shd w:val="clear" w:color="auto" w:fill="FFFFFF"/>
              <w:spacing w:after="0" w:line="240" w:lineRule="auto"/>
              <w:ind w:firstLine="301"/>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Projekts šo jomu neskar</w:t>
            </w:r>
          </w:p>
        </w:tc>
      </w:tr>
    </w:tbl>
    <w:p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3A0997" w:rsidRPr="00B651D7" w:rsidTr="007C0223">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VI. Sabiedrības līdzdalība un komunikācijas aktivitātes</w:t>
            </w:r>
          </w:p>
        </w:tc>
      </w:tr>
      <w:tr w:rsidR="003A0997" w:rsidRPr="00B651D7" w:rsidTr="007C0223">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 xml:space="preserve">Sabiedrība par plānotajiem grozījumiem MK noteikumos Nr.1043 tika informēta, izstrādājot un pieņemot Koncepciju. </w:t>
            </w:r>
          </w:p>
          <w:p w:rsidR="003A0997" w:rsidRPr="00B651D7" w:rsidRDefault="003A0997" w:rsidP="007C0223">
            <w:pPr>
              <w:spacing w:after="0" w:line="240" w:lineRule="auto"/>
              <w:jc w:val="both"/>
              <w:rPr>
                <w:rFonts w:ascii="Times New Roman" w:hAnsi="Times New Roman" w:cs="Times New Roman"/>
                <w:sz w:val="25"/>
                <w:szCs w:val="25"/>
                <w:u w:val="single"/>
              </w:rPr>
            </w:pPr>
            <w:r w:rsidRPr="00B651D7">
              <w:rPr>
                <w:rFonts w:ascii="Times New Roman" w:eastAsia="Times New Roman" w:hAnsi="Times New Roman" w:cs="Times New Roman"/>
                <w:sz w:val="25"/>
                <w:szCs w:val="25"/>
                <w:lang w:eastAsia="lv-LV"/>
              </w:rPr>
              <w:t xml:space="preserve">Informācija par noteikumu projekta izstrādi ir publicēta 10.09.2018. Finanšu ministrijas tīmekļa vietnē sadaļā “Sabiedrības līdzdalība”  </w:t>
            </w:r>
            <w:hyperlink r:id="rId7" w:history="1">
              <w:r w:rsidRPr="00B651D7">
                <w:rPr>
                  <w:rStyle w:val="Hyperlink"/>
                  <w:rFonts w:ascii="Times New Roman" w:eastAsia="Times New Roman" w:hAnsi="Times New Roman" w:cs="Times New Roman"/>
                  <w:sz w:val="25"/>
                  <w:szCs w:val="25"/>
                  <w:lang w:eastAsia="lv-LV"/>
                </w:rPr>
                <w:t>http://www.fm.gov.lv/lv/sabiedribas_lidzdaliba</w:t>
              </w:r>
            </w:hyperlink>
            <w:r w:rsidRPr="00B651D7">
              <w:rPr>
                <w:rFonts w:ascii="Times New Roman" w:eastAsia="Times New Roman" w:hAnsi="Times New Roman" w:cs="Times New Roman"/>
                <w:sz w:val="25"/>
                <w:szCs w:val="25"/>
                <w:u w:val="single"/>
                <w:lang w:eastAsia="lv-LV"/>
              </w:rPr>
              <w:t xml:space="preserve">/tiesibu_aktu_projekti/azartspelu_un_izlozu_organizesanas_politika#project505.   </w:t>
            </w:r>
          </w:p>
          <w:p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p>
        </w:tc>
      </w:tr>
      <w:tr w:rsidR="003A0997" w:rsidRPr="00B651D7" w:rsidTr="007C0223">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 xml:space="preserve">Par noteikumu projektu viedoklis tiks lūgts biedrībai “Latvijas Spēļu biznesa asociācija” un Latvijas Darba devēju konfederācijai. Informācija par noteikumu </w:t>
            </w:r>
            <w:r w:rsidRPr="00B651D7">
              <w:rPr>
                <w:rFonts w:ascii="Times New Roman" w:eastAsia="Times New Roman" w:hAnsi="Times New Roman" w:cs="Times New Roman"/>
                <w:sz w:val="25"/>
                <w:szCs w:val="25"/>
                <w:lang w:eastAsia="lv-LV"/>
              </w:rPr>
              <w:lastRenderedPageBreak/>
              <w:t xml:space="preserve">projekta izstrādi ir publicēta 10.09.2018. Finanšu ministrijas tīmekļa vietnē sadaļā “Sabiedrības līdzdalība”  </w:t>
            </w:r>
            <w:hyperlink r:id="rId8" w:history="1">
              <w:r w:rsidRPr="00B651D7">
                <w:rPr>
                  <w:rStyle w:val="Hyperlink"/>
                  <w:rFonts w:ascii="Times New Roman" w:eastAsia="Times New Roman" w:hAnsi="Times New Roman" w:cs="Times New Roman"/>
                  <w:sz w:val="25"/>
                  <w:szCs w:val="25"/>
                  <w:lang w:eastAsia="lv-LV"/>
                </w:rPr>
                <w:t>http://www.fm.gov.lv/lv/sabiedribas_lidzdaliba</w:t>
              </w:r>
            </w:hyperlink>
            <w:r w:rsidRPr="00B651D7">
              <w:rPr>
                <w:rFonts w:ascii="Times New Roman" w:eastAsia="Times New Roman" w:hAnsi="Times New Roman" w:cs="Times New Roman"/>
                <w:sz w:val="25"/>
                <w:szCs w:val="25"/>
                <w:u w:val="single"/>
                <w:lang w:eastAsia="lv-LV"/>
              </w:rPr>
              <w:t>/tiesibu_aktu_projekti/azartspelu_un_izlozu_organizesanas_politika#project505.</w:t>
            </w:r>
            <w:r w:rsidRPr="00B651D7">
              <w:rPr>
                <w:rFonts w:ascii="Times New Roman" w:eastAsia="Times New Roman" w:hAnsi="Times New Roman" w:cs="Times New Roman"/>
                <w:sz w:val="25"/>
                <w:szCs w:val="25"/>
                <w:lang w:eastAsia="lv-LV"/>
              </w:rPr>
              <w:t xml:space="preserve"> Sabiedrības pārstāvji varēs sniegt savus viedokļus par projektu pēc tā izsludināšanas Valsts sekretāru sanāksmē, projekta saskaņošanas gaitā. </w:t>
            </w:r>
          </w:p>
        </w:tc>
      </w:tr>
      <w:tr w:rsidR="003A0997" w:rsidRPr="00B651D7" w:rsidTr="007C0223">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lastRenderedPageBreak/>
              <w:t>3.</w:t>
            </w:r>
          </w:p>
        </w:tc>
        <w:tc>
          <w:tcPr>
            <w:tcW w:w="156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rsidR="003A0997" w:rsidRPr="00B651D7" w:rsidRDefault="00BA1030" w:rsidP="00D436AD">
            <w:pPr>
              <w:spacing w:after="0" w:line="240" w:lineRule="auto"/>
              <w:jc w:val="both"/>
              <w:rPr>
                <w:rFonts w:ascii="Times New Roman" w:eastAsia="Times New Roman" w:hAnsi="Times New Roman" w:cs="Times New Roman"/>
                <w:sz w:val="25"/>
                <w:szCs w:val="25"/>
                <w:lang w:eastAsia="lv-LV"/>
              </w:rPr>
            </w:pPr>
            <w:r w:rsidRPr="00BA1030">
              <w:rPr>
                <w:rFonts w:ascii="Times New Roman" w:hAnsi="Times New Roman" w:cs="Times New Roman"/>
                <w:sz w:val="25"/>
                <w:szCs w:val="25"/>
              </w:rPr>
              <w:t>Saskaņošanas laikā notika diskusijas par iespējamo uzskaites terminoloģijas saskaņošanu. MK noteikumu Nr.1043 3.punktā ir noteikts, kā veidojas  azartspēļu neto ieņēmumi, par kuriem azartspēļu organizētājs  reizi ceturksnī sniedz informāciju Izložu un azartspēļu uzraudzības inspekcijai. Savukārt,</w:t>
            </w:r>
            <w:r w:rsidRPr="00BA1030">
              <w:rPr>
                <w:rFonts w:ascii="Times New Roman" w:hAnsi="Times New Roman" w:cs="Times New Roman"/>
                <w:sz w:val="25"/>
                <w:szCs w:val="25"/>
                <w:lang w:eastAsia="lv-LV"/>
              </w:rPr>
              <w:t xml:space="preserve"> neto apgrozījums ir noteikts Gada pārskata un konsolidētā gada pārskata likumā. Neto ieņēmumi un neto apgrozījums nav pielīdzināmi termini pēc būtības. </w:t>
            </w:r>
            <w:r w:rsidRPr="00BA1030">
              <w:rPr>
                <w:rFonts w:ascii="Times New Roman" w:hAnsi="Times New Roman" w:cs="Times New Roman"/>
                <w:sz w:val="25"/>
                <w:szCs w:val="25"/>
              </w:rPr>
              <w:t>Vienlaikus, turpmāk pilnveidojot normatīvos aktus, ir vērtējama sniedzamās informācijas salīdzināmība ar citos pārskatos pieprasīto informāciju.</w:t>
            </w:r>
          </w:p>
        </w:tc>
      </w:tr>
      <w:tr w:rsidR="003A0997" w:rsidRPr="00B651D7" w:rsidTr="007C0223">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5"/>
              <w:szCs w:val="25"/>
              <w:lang w:eastAsia="lv-LV"/>
            </w:rPr>
            <w:id w:val="1429309444"/>
            <w:placeholder>
              <w:docPart w:val="6116055144B74DC0A1550F0FCFCD71FF"/>
            </w:placeholder>
            <w:text/>
          </w:sdtPr>
          <w:sdtEndPr/>
          <w:sdtContent>
            <w:tc>
              <w:tcPr>
                <w:tcW w:w="320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Nav</w:t>
                </w:r>
              </w:p>
            </w:tc>
          </w:sdtContent>
        </w:sdt>
      </w:tr>
    </w:tbl>
    <w:p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3A0997" w:rsidRPr="00B651D7" w:rsidTr="007C022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VII. Tiesību akta projekta izpildes nodrošināšana un tās ietekme uz institūcijām</w:t>
            </w:r>
          </w:p>
        </w:tc>
      </w:tr>
      <w:tr w:rsidR="003A0997" w:rsidRPr="00B651D7" w:rsidTr="007C022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Izložu un azartspēļu uzraudzības inspekcija.</w:t>
            </w:r>
          </w:p>
        </w:tc>
      </w:tr>
      <w:tr w:rsidR="003A0997" w:rsidRPr="00B651D7" w:rsidTr="007C022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Projekta izpildes ietekme uz pārvaldes funkcijām un institucionālo struktūru.</w:t>
            </w:r>
          </w:p>
          <w:p w:rsidR="003A0997" w:rsidRPr="00B651D7" w:rsidRDefault="003A0997" w:rsidP="007C0223">
            <w:pPr>
              <w:spacing w:before="100" w:beforeAutospacing="1" w:after="100" w:afterAutospacing="1" w:line="293" w:lineRule="atLeast"/>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Funkcijas un uzdevumi netiek grozīti. Jaunu institūciju izveide, esošo institūciju likvidācija vai reorganizācija netiek paredzēta.</w:t>
            </w:r>
          </w:p>
          <w:p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Noteikumu projekts tiks realizēts esošo resursu ietvaros.</w:t>
            </w:r>
          </w:p>
          <w:p w:rsidR="003A0997" w:rsidRPr="00B651D7" w:rsidRDefault="003A0997" w:rsidP="007C0223">
            <w:pPr>
              <w:rPr>
                <w:rFonts w:ascii="Times New Roman" w:eastAsia="Times New Roman" w:hAnsi="Times New Roman" w:cs="Times New Roman"/>
                <w:sz w:val="25"/>
                <w:szCs w:val="25"/>
                <w:lang w:eastAsia="lv-LV"/>
              </w:rPr>
            </w:pPr>
          </w:p>
          <w:p w:rsidR="003A0997" w:rsidRPr="00B651D7" w:rsidRDefault="003A0997" w:rsidP="007C0223">
            <w:pPr>
              <w:tabs>
                <w:tab w:val="left" w:pos="1751"/>
              </w:tabs>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ab/>
            </w:r>
          </w:p>
        </w:tc>
      </w:tr>
      <w:tr w:rsidR="003A0997" w:rsidRPr="00B651D7" w:rsidTr="007C022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5"/>
              <w:szCs w:val="25"/>
              <w:lang w:eastAsia="lv-LV"/>
            </w:rPr>
            <w:id w:val="-294525907"/>
            <w:placeholder>
              <w:docPart w:val="4F599E3CF705408F8E8641C32CAEDA40"/>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Nav</w:t>
                </w:r>
              </w:p>
            </w:tc>
          </w:sdtContent>
        </w:sdt>
      </w:tr>
    </w:tbl>
    <w:p w:rsidR="003A0997" w:rsidRPr="00B651D7" w:rsidRDefault="003A0997" w:rsidP="003A0997">
      <w:pPr>
        <w:spacing w:after="0" w:line="240" w:lineRule="auto"/>
        <w:rPr>
          <w:rFonts w:ascii="Times New Roman" w:hAnsi="Times New Roman" w:cs="Times New Roman"/>
          <w:sz w:val="25"/>
          <w:szCs w:val="25"/>
        </w:rPr>
      </w:pPr>
    </w:p>
    <w:p w:rsidR="003A0997" w:rsidRPr="00B651D7" w:rsidRDefault="003A0997" w:rsidP="003A0997">
      <w:pPr>
        <w:spacing w:after="0" w:line="240" w:lineRule="auto"/>
        <w:rPr>
          <w:rFonts w:ascii="Times New Roman" w:hAnsi="Times New Roman" w:cs="Times New Roman"/>
          <w:sz w:val="25"/>
          <w:szCs w:val="25"/>
        </w:rPr>
      </w:pPr>
    </w:p>
    <w:p w:rsidR="003A0997" w:rsidRPr="00B651D7" w:rsidRDefault="003A0997" w:rsidP="003A0997">
      <w:pPr>
        <w:tabs>
          <w:tab w:val="left" w:pos="6237"/>
        </w:tabs>
        <w:spacing w:after="0" w:line="240" w:lineRule="auto"/>
        <w:rPr>
          <w:rFonts w:ascii="Times New Roman" w:hAnsi="Times New Roman" w:cs="Times New Roman"/>
          <w:sz w:val="25"/>
          <w:szCs w:val="25"/>
        </w:rPr>
      </w:pPr>
      <w:r w:rsidRPr="00B651D7">
        <w:rPr>
          <w:rFonts w:ascii="Times New Roman" w:hAnsi="Times New Roman" w:cs="Times New Roman"/>
          <w:sz w:val="25"/>
          <w:szCs w:val="25"/>
        </w:rPr>
        <w:t xml:space="preserve">Finanšu ministre                             </w:t>
      </w:r>
      <w:r w:rsidR="00B651D7">
        <w:rPr>
          <w:rFonts w:ascii="Times New Roman" w:hAnsi="Times New Roman" w:cs="Times New Roman"/>
          <w:sz w:val="25"/>
          <w:szCs w:val="25"/>
        </w:rPr>
        <w:t xml:space="preserve">                         </w:t>
      </w:r>
      <w:r w:rsidRPr="00B651D7">
        <w:rPr>
          <w:rFonts w:ascii="Times New Roman" w:hAnsi="Times New Roman" w:cs="Times New Roman"/>
          <w:sz w:val="25"/>
          <w:szCs w:val="25"/>
        </w:rPr>
        <w:t xml:space="preserve">                                </w:t>
      </w:r>
      <w:proofErr w:type="spellStart"/>
      <w:r w:rsidRPr="00B651D7">
        <w:rPr>
          <w:rFonts w:ascii="Times New Roman" w:hAnsi="Times New Roman" w:cs="Times New Roman"/>
          <w:sz w:val="25"/>
          <w:szCs w:val="25"/>
        </w:rPr>
        <w:t>D.Reizniece</w:t>
      </w:r>
      <w:proofErr w:type="spellEnd"/>
      <w:r w:rsidRPr="00B651D7">
        <w:rPr>
          <w:rFonts w:ascii="Times New Roman" w:hAnsi="Times New Roman" w:cs="Times New Roman"/>
          <w:sz w:val="25"/>
          <w:szCs w:val="25"/>
        </w:rPr>
        <w:t>-Ozola</w:t>
      </w:r>
    </w:p>
    <w:p w:rsidR="003A0997" w:rsidRDefault="003A0997" w:rsidP="003A0997">
      <w:pPr>
        <w:tabs>
          <w:tab w:val="left" w:pos="6237"/>
        </w:tabs>
        <w:spacing w:after="0" w:line="240" w:lineRule="auto"/>
        <w:rPr>
          <w:rFonts w:ascii="Times New Roman" w:hAnsi="Times New Roman" w:cs="Times New Roman"/>
          <w:sz w:val="24"/>
          <w:szCs w:val="24"/>
        </w:rPr>
      </w:pPr>
    </w:p>
    <w:p w:rsidR="003A0997" w:rsidRDefault="003A0997" w:rsidP="003A0997">
      <w:pPr>
        <w:tabs>
          <w:tab w:val="left" w:pos="6237"/>
        </w:tabs>
        <w:spacing w:after="0" w:line="240" w:lineRule="auto"/>
        <w:rPr>
          <w:rFonts w:ascii="Times New Roman" w:hAnsi="Times New Roman" w:cs="Times New Roman"/>
          <w:sz w:val="24"/>
          <w:szCs w:val="24"/>
        </w:rPr>
      </w:pPr>
    </w:p>
    <w:p w:rsidR="00B651D7" w:rsidRDefault="00B651D7" w:rsidP="003A0997">
      <w:pPr>
        <w:tabs>
          <w:tab w:val="left" w:pos="6237"/>
        </w:tabs>
        <w:spacing w:after="0" w:line="240" w:lineRule="auto"/>
        <w:rPr>
          <w:rFonts w:ascii="Times New Roman" w:hAnsi="Times New Roman" w:cs="Times New Roman"/>
          <w:sz w:val="24"/>
          <w:szCs w:val="24"/>
        </w:rPr>
      </w:pPr>
    </w:p>
    <w:p w:rsidR="00B651D7" w:rsidRDefault="00B651D7" w:rsidP="003A0997">
      <w:pPr>
        <w:tabs>
          <w:tab w:val="left" w:pos="6237"/>
        </w:tabs>
        <w:spacing w:after="0" w:line="240" w:lineRule="auto"/>
        <w:rPr>
          <w:rFonts w:ascii="Times New Roman" w:hAnsi="Times New Roman" w:cs="Times New Roman"/>
          <w:sz w:val="24"/>
          <w:szCs w:val="24"/>
        </w:rPr>
      </w:pPr>
    </w:p>
    <w:p w:rsidR="00B651D7" w:rsidRDefault="00ED5134" w:rsidP="00ED5134">
      <w:pPr>
        <w:tabs>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6" w:name="_GoBack"/>
      <w:bookmarkEnd w:id="6"/>
    </w:p>
    <w:p w:rsidR="00B651D7" w:rsidRDefault="00B651D7" w:rsidP="003A0997">
      <w:pPr>
        <w:tabs>
          <w:tab w:val="left" w:pos="6237"/>
        </w:tabs>
        <w:spacing w:after="0" w:line="240" w:lineRule="auto"/>
        <w:rPr>
          <w:rFonts w:ascii="Times New Roman" w:hAnsi="Times New Roman" w:cs="Times New Roman"/>
          <w:sz w:val="24"/>
          <w:szCs w:val="24"/>
        </w:rPr>
      </w:pPr>
    </w:p>
    <w:p w:rsidR="00B651D7" w:rsidRDefault="00B651D7" w:rsidP="003A0997">
      <w:pPr>
        <w:tabs>
          <w:tab w:val="left" w:pos="6237"/>
        </w:tabs>
        <w:spacing w:after="0" w:line="240" w:lineRule="auto"/>
        <w:rPr>
          <w:rFonts w:ascii="Times New Roman" w:hAnsi="Times New Roman" w:cs="Times New Roman"/>
          <w:sz w:val="24"/>
          <w:szCs w:val="24"/>
        </w:rPr>
      </w:pPr>
    </w:p>
    <w:p w:rsidR="003A0997" w:rsidRPr="007F0CDB" w:rsidRDefault="003A0997" w:rsidP="003A0997">
      <w:pPr>
        <w:tabs>
          <w:tab w:val="left" w:pos="6237"/>
        </w:tabs>
        <w:spacing w:after="0" w:line="240" w:lineRule="auto"/>
        <w:rPr>
          <w:rFonts w:ascii="Times New Roman" w:hAnsi="Times New Roman" w:cs="Times New Roman"/>
          <w:sz w:val="24"/>
          <w:szCs w:val="24"/>
        </w:rPr>
      </w:pPr>
      <w:r w:rsidRPr="007F0CDB">
        <w:rPr>
          <w:rFonts w:ascii="Times New Roman" w:hAnsi="Times New Roman" w:cs="Times New Roman"/>
          <w:sz w:val="24"/>
          <w:szCs w:val="24"/>
        </w:rPr>
        <w:tab/>
      </w:r>
      <w:r w:rsidRPr="007F0CDB">
        <w:rPr>
          <w:rFonts w:ascii="Times New Roman" w:hAnsi="Times New Roman" w:cs="Times New Roman"/>
          <w:sz w:val="24"/>
          <w:szCs w:val="24"/>
        </w:rPr>
        <w:tab/>
      </w:r>
    </w:p>
    <w:p w:rsidR="003A0997" w:rsidRPr="00A97B46" w:rsidRDefault="003A0997" w:rsidP="003A0997">
      <w:pPr>
        <w:tabs>
          <w:tab w:val="left" w:pos="6237"/>
        </w:tabs>
        <w:spacing w:after="0" w:line="240" w:lineRule="auto"/>
        <w:rPr>
          <w:rFonts w:ascii="Times New Roman" w:hAnsi="Times New Roman" w:cs="Times New Roman"/>
          <w:sz w:val="20"/>
          <w:szCs w:val="20"/>
        </w:rPr>
      </w:pPr>
      <w:r w:rsidRPr="00A97B46">
        <w:rPr>
          <w:rFonts w:ascii="Times New Roman" w:hAnsi="Times New Roman" w:cs="Times New Roman"/>
          <w:sz w:val="20"/>
          <w:szCs w:val="20"/>
        </w:rPr>
        <w:t>Zariņa 67095672</w:t>
      </w:r>
    </w:p>
    <w:p w:rsidR="003A0997" w:rsidRPr="00B64545" w:rsidRDefault="003A0997" w:rsidP="003A0997">
      <w:pPr>
        <w:tabs>
          <w:tab w:val="center" w:pos="4535"/>
        </w:tabs>
        <w:spacing w:after="0" w:line="240" w:lineRule="auto"/>
        <w:rPr>
          <w:rFonts w:ascii="Times New Roman" w:hAnsi="Times New Roman" w:cs="Times New Roman"/>
          <w:sz w:val="20"/>
          <w:szCs w:val="20"/>
        </w:rPr>
      </w:pPr>
      <w:r w:rsidRPr="00A97B46">
        <w:rPr>
          <w:rFonts w:ascii="Times New Roman" w:hAnsi="Times New Roman" w:cs="Times New Roman"/>
          <w:sz w:val="20"/>
          <w:szCs w:val="20"/>
        </w:rPr>
        <w:t>Indra.Zarina@fm.gov.lv</w:t>
      </w:r>
      <w:r>
        <w:rPr>
          <w:rFonts w:ascii="Times New Roman" w:hAnsi="Times New Roman" w:cs="Times New Roman"/>
          <w:sz w:val="20"/>
          <w:szCs w:val="20"/>
        </w:rPr>
        <w:tab/>
      </w:r>
    </w:p>
    <w:p w:rsidR="00FE7B21" w:rsidRDefault="00FE7B21"/>
    <w:sectPr w:rsidR="00FE7B21" w:rsidSect="00A97B4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5D" w:rsidRDefault="007D385D">
      <w:pPr>
        <w:spacing w:after="0" w:line="240" w:lineRule="auto"/>
      </w:pPr>
      <w:r>
        <w:separator/>
      </w:r>
    </w:p>
  </w:endnote>
  <w:endnote w:type="continuationSeparator" w:id="0">
    <w:p w:rsidR="007D385D" w:rsidRDefault="007D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61" w:rsidRDefault="00117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51" w:rsidRPr="008D095A" w:rsidRDefault="003A0997" w:rsidP="008D095A">
    <w:pPr>
      <w:pStyle w:val="Footer"/>
    </w:pPr>
    <w:r>
      <w:rPr>
        <w:rFonts w:ascii="Times New Roman" w:hAnsi="Times New Roman" w:cs="Times New Roman"/>
        <w:sz w:val="20"/>
        <w:szCs w:val="20"/>
      </w:rPr>
      <w:tab/>
    </w:r>
  </w:p>
  <w:p w:rsidR="00894C55" w:rsidRPr="00C115A5" w:rsidRDefault="003A0997" w:rsidP="00C115A5">
    <w:pPr>
      <w:pStyle w:val="Footer"/>
      <w:rPr>
        <w:rFonts w:ascii="Times New Roman" w:hAnsi="Times New Roman" w:cs="Times New Roman"/>
        <w:sz w:val="18"/>
        <w:szCs w:val="18"/>
      </w:rPr>
    </w:pPr>
    <w:r w:rsidRPr="00B416C4">
      <w:rPr>
        <w:rFonts w:ascii="Times New Roman" w:hAnsi="Times New Roman" w:cs="Times New Roman"/>
        <w:sz w:val="20"/>
        <w:szCs w:val="20"/>
      </w:rPr>
      <w:t>FMAnot_</w:t>
    </w:r>
    <w:r w:rsidR="00117C61">
      <w:rPr>
        <w:rFonts w:ascii="Times New Roman" w:hAnsi="Times New Roman" w:cs="Times New Roman"/>
        <w:sz w:val="20"/>
        <w:szCs w:val="20"/>
      </w:rPr>
      <w:t>20</w:t>
    </w:r>
    <w:r>
      <w:rPr>
        <w:rFonts w:ascii="Times New Roman" w:hAnsi="Times New Roman" w:cs="Times New Roman"/>
        <w:sz w:val="20"/>
        <w:szCs w:val="20"/>
      </w:rPr>
      <w:t>11</w:t>
    </w:r>
    <w:r w:rsidRPr="00B416C4">
      <w:rPr>
        <w:rFonts w:ascii="Times New Roman" w:hAnsi="Times New Roman" w:cs="Times New Roman"/>
        <w:sz w:val="20"/>
        <w:szCs w:val="20"/>
      </w:rPr>
      <w:t>18_groz_</w:t>
    </w:r>
    <w:r>
      <w:rPr>
        <w:rFonts w:ascii="Times New Roman" w:hAnsi="Times New Roman" w:cs="Times New Roman"/>
        <w:sz w:val="20"/>
        <w:szCs w:val="20"/>
      </w:rPr>
      <w:t>N</w:t>
    </w:r>
    <w:r w:rsidRPr="00B416C4">
      <w:rPr>
        <w:rFonts w:ascii="Times New Roman" w:hAnsi="Times New Roman" w:cs="Times New Roman"/>
        <w:sz w:val="20"/>
        <w:szCs w:val="20"/>
      </w:rPr>
      <w:t>1043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4" w:rsidRDefault="003A0997" w:rsidP="00D65EAA">
    <w:pPr>
      <w:tabs>
        <w:tab w:val="left" w:pos="6385"/>
      </w:tabs>
    </w:pPr>
    <w:r w:rsidRPr="00B416C4">
      <w:rPr>
        <w:rFonts w:ascii="Times New Roman" w:hAnsi="Times New Roman" w:cs="Times New Roman"/>
        <w:sz w:val="20"/>
        <w:szCs w:val="20"/>
      </w:rPr>
      <w:t>FMAnot_</w:t>
    </w:r>
    <w:r w:rsidR="00117C61">
      <w:rPr>
        <w:rFonts w:ascii="Times New Roman" w:hAnsi="Times New Roman" w:cs="Times New Roman"/>
        <w:sz w:val="20"/>
        <w:szCs w:val="20"/>
      </w:rPr>
      <w:t>20</w:t>
    </w:r>
    <w:r>
      <w:rPr>
        <w:rFonts w:ascii="Times New Roman" w:hAnsi="Times New Roman" w:cs="Times New Roman"/>
        <w:sz w:val="20"/>
        <w:szCs w:val="20"/>
      </w:rPr>
      <w:t>11</w:t>
    </w:r>
    <w:r w:rsidRPr="00B416C4">
      <w:rPr>
        <w:rFonts w:ascii="Times New Roman" w:hAnsi="Times New Roman" w:cs="Times New Roman"/>
        <w:sz w:val="20"/>
        <w:szCs w:val="20"/>
      </w:rPr>
      <w:t>18_groz_</w:t>
    </w:r>
    <w:r>
      <w:rPr>
        <w:rFonts w:ascii="Times New Roman" w:hAnsi="Times New Roman" w:cs="Times New Roman"/>
        <w:sz w:val="20"/>
        <w:szCs w:val="20"/>
      </w:rPr>
      <w:t>N</w:t>
    </w:r>
    <w:r w:rsidRPr="00B416C4">
      <w:rPr>
        <w:rFonts w:ascii="Times New Roman" w:hAnsi="Times New Roman" w:cs="Times New Roman"/>
        <w:sz w:val="20"/>
        <w:szCs w:val="20"/>
      </w:rPr>
      <w:t>1043</w:t>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5D" w:rsidRDefault="007D385D">
      <w:pPr>
        <w:spacing w:after="0" w:line="240" w:lineRule="auto"/>
      </w:pPr>
      <w:r>
        <w:separator/>
      </w:r>
    </w:p>
  </w:footnote>
  <w:footnote w:type="continuationSeparator" w:id="0">
    <w:p w:rsidR="007D385D" w:rsidRDefault="007D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61" w:rsidRDefault="00117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3A09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513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61" w:rsidRDefault="0011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12860"/>
    <w:multiLevelType w:val="hybridMultilevel"/>
    <w:tmpl w:val="B48CF268"/>
    <w:lvl w:ilvl="0" w:tplc="6FACA6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6CF5000"/>
    <w:multiLevelType w:val="hybridMultilevel"/>
    <w:tmpl w:val="EF4A7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A62DAA"/>
    <w:multiLevelType w:val="hybridMultilevel"/>
    <w:tmpl w:val="5BEAADAA"/>
    <w:lvl w:ilvl="0" w:tplc="59C432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7"/>
    <w:rsid w:val="00016BCF"/>
    <w:rsid w:val="00117C61"/>
    <w:rsid w:val="0016402E"/>
    <w:rsid w:val="003A0997"/>
    <w:rsid w:val="003A21AE"/>
    <w:rsid w:val="003A6E8F"/>
    <w:rsid w:val="003D10A6"/>
    <w:rsid w:val="0072317B"/>
    <w:rsid w:val="007D385D"/>
    <w:rsid w:val="00B200FE"/>
    <w:rsid w:val="00B651D7"/>
    <w:rsid w:val="00BA1030"/>
    <w:rsid w:val="00C01E3B"/>
    <w:rsid w:val="00D436AD"/>
    <w:rsid w:val="00E80A92"/>
    <w:rsid w:val="00ED5134"/>
    <w:rsid w:val="00F63A56"/>
    <w:rsid w:val="00FE7B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16D1"/>
  <w15:chartTrackingRefBased/>
  <w15:docId w15:val="{9EDF96C3-519B-4924-83AB-0F6C0B0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9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0997"/>
    <w:rPr>
      <w:rFonts w:asciiTheme="minorHAnsi" w:hAnsiTheme="minorHAnsi"/>
      <w:sz w:val="22"/>
    </w:rPr>
  </w:style>
  <w:style w:type="paragraph" w:styleId="Footer">
    <w:name w:val="footer"/>
    <w:basedOn w:val="Normal"/>
    <w:link w:val="FooterChar"/>
    <w:uiPriority w:val="99"/>
    <w:unhideWhenUsed/>
    <w:rsid w:val="003A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0997"/>
    <w:rPr>
      <w:rFonts w:asciiTheme="minorHAnsi" w:hAnsiTheme="minorHAnsi"/>
      <w:sz w:val="22"/>
    </w:rPr>
  </w:style>
  <w:style w:type="paragraph" w:styleId="ListParagraph">
    <w:name w:val="List Paragraph"/>
    <w:basedOn w:val="Normal"/>
    <w:uiPriority w:val="34"/>
    <w:qFormat/>
    <w:rsid w:val="003A0997"/>
    <w:pPr>
      <w:ind w:left="720"/>
      <w:contextualSpacing/>
    </w:pPr>
  </w:style>
  <w:style w:type="character" w:styleId="Hyperlink">
    <w:name w:val="Hyperlink"/>
    <w:basedOn w:val="DefaultParagraphFont"/>
    <w:uiPriority w:val="99"/>
    <w:unhideWhenUsed/>
    <w:rsid w:val="003A0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m.gov.lv/lv/sabiedribas_lidzdalib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6FFE610C8459EB4205E5785F4F0A2"/>
        <w:category>
          <w:name w:val="General"/>
          <w:gallery w:val="placeholder"/>
        </w:category>
        <w:types>
          <w:type w:val="bbPlcHdr"/>
        </w:types>
        <w:behaviors>
          <w:behavior w:val="content"/>
        </w:behaviors>
        <w:guid w:val="{A1311CD0-7E59-4D5F-A879-1D4F559F6730}"/>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1C16FFE610C8459EB4205E5785F4F0A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C2C97F21C4A4BADB3B12CDCBA5C8B17"/>
        <w:category>
          <w:name w:val="General"/>
          <w:gallery w:val="placeholder"/>
        </w:category>
        <w:types>
          <w:type w:val="bbPlcHdr"/>
        </w:types>
        <w:behaviors>
          <w:behavior w:val="content"/>
        </w:behaviors>
        <w:guid w:val="{36D16B46-322E-420F-B4E9-79A125B0D3AD}"/>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B69CC" w:rsidRDefault="00B17131" w:rsidP="00B17131">
          <w:pPr>
            <w:pStyle w:val="9C2C97F21C4A4BADB3B12CDCBA5C8B1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116055144B74DC0A1550F0FCFCD71FF"/>
        <w:category>
          <w:name w:val="General"/>
          <w:gallery w:val="placeholder"/>
        </w:category>
        <w:types>
          <w:type w:val="bbPlcHdr"/>
        </w:types>
        <w:behaviors>
          <w:behavior w:val="content"/>
        </w:behaviors>
        <w:guid w:val="{19233B04-4ECA-4ED5-9088-C0CFE511723C}"/>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6116055144B74DC0A1550F0FCFCD71F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F599E3CF705408F8E8641C32CAEDA40"/>
        <w:category>
          <w:name w:val="General"/>
          <w:gallery w:val="placeholder"/>
        </w:category>
        <w:types>
          <w:type w:val="bbPlcHdr"/>
        </w:types>
        <w:behaviors>
          <w:behavior w:val="content"/>
        </w:behaviors>
        <w:guid w:val="{559A3E6F-6308-4DD1-AAFC-6640EDFD3511}"/>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4F599E3CF705408F8E8641C32CAEDA4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1"/>
    <w:rsid w:val="00275629"/>
    <w:rsid w:val="00603C4C"/>
    <w:rsid w:val="00853C72"/>
    <w:rsid w:val="00867A42"/>
    <w:rsid w:val="009B69CC"/>
    <w:rsid w:val="00B17131"/>
    <w:rsid w:val="00B31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6FFE610C8459EB4205E5785F4F0A2">
    <w:name w:val="1C16FFE610C8459EB4205E5785F4F0A2"/>
    <w:rsid w:val="00B17131"/>
  </w:style>
  <w:style w:type="paragraph" w:customStyle="1" w:styleId="9C2C97F21C4A4BADB3B12CDCBA5C8B17">
    <w:name w:val="9C2C97F21C4A4BADB3B12CDCBA5C8B17"/>
    <w:rsid w:val="00B17131"/>
  </w:style>
  <w:style w:type="paragraph" w:customStyle="1" w:styleId="6116055144B74DC0A1550F0FCFCD71FF">
    <w:name w:val="6116055144B74DC0A1550F0FCFCD71FF"/>
    <w:rsid w:val="00B17131"/>
  </w:style>
  <w:style w:type="paragraph" w:customStyle="1" w:styleId="4F599E3CF705408F8E8641C32CAEDA40">
    <w:name w:val="4F599E3CF705408F8E8641C32CAEDA40"/>
    <w:rsid w:val="00B17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9501</Words>
  <Characters>5416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Lukšo</dc:creator>
  <cp:keywords/>
  <dc:description/>
  <cp:lastModifiedBy>Indra Zariņa</cp:lastModifiedBy>
  <cp:revision>10</cp:revision>
  <dcterms:created xsi:type="dcterms:W3CDTF">2018-11-21T08:10:00Z</dcterms:created>
  <dcterms:modified xsi:type="dcterms:W3CDTF">2018-11-22T10:20:00Z</dcterms:modified>
</cp:coreProperties>
</file>