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E87B" w14:textId="12E828F0" w:rsidR="00F47FFB" w:rsidRDefault="006A521C" w:rsidP="00A37FA3">
      <w:pPr>
        <w:spacing w:after="0" w:line="240" w:lineRule="auto"/>
        <w:jc w:val="center"/>
        <w:outlineLvl w:val="0"/>
        <w:rPr>
          <w:rFonts w:ascii="Times New Roman" w:eastAsia="Times New Roman" w:hAnsi="Times New Roman" w:cs="Times New Roman"/>
          <w:b/>
          <w:sz w:val="24"/>
          <w:szCs w:val="24"/>
          <w:lang w:eastAsia="lv-LV"/>
        </w:rPr>
      </w:pPr>
      <w:bookmarkStart w:id="0" w:name="_GoBack"/>
      <w:bookmarkEnd w:id="0"/>
      <w:r w:rsidRPr="00961EBB">
        <w:rPr>
          <w:rFonts w:ascii="Times New Roman" w:eastAsia="Times New Roman" w:hAnsi="Times New Roman" w:cs="Times New Roman"/>
          <w:b/>
          <w:sz w:val="24"/>
          <w:szCs w:val="24"/>
          <w:lang w:eastAsia="lv-LV"/>
        </w:rPr>
        <w:t>Ministru kabineta noteikumu projekta "</w:t>
      </w:r>
      <w:r w:rsidR="001B32F1" w:rsidRPr="00961EBB">
        <w:rPr>
          <w:rFonts w:ascii="Times New Roman" w:eastAsia="Times New Roman" w:hAnsi="Times New Roman" w:cs="Times New Roman"/>
          <w:b/>
          <w:sz w:val="24"/>
          <w:szCs w:val="24"/>
          <w:lang w:eastAsia="lv-LV"/>
        </w:rPr>
        <w:t>Grozījumi  Ministru kabineta 2014. gada 11. februāra noteikumos Nr. 96 "Nodokļu un citu maksājumu reģistrēšanas elektronisko ierīču un iekārtu lietošanas kārtība"</w:t>
      </w:r>
      <w:r w:rsidRPr="00961EBB">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baseform" w:val="ziņojums"/>
          <w:attr w:name="id" w:val="-1"/>
          <w:attr w:name="text" w:val="ziņojums"/>
        </w:smartTagPr>
        <w:r w:rsidRPr="00961EBB">
          <w:rPr>
            <w:rFonts w:ascii="Times New Roman" w:eastAsia="Times New Roman" w:hAnsi="Times New Roman" w:cs="Times New Roman"/>
            <w:b/>
            <w:sz w:val="24"/>
            <w:szCs w:val="24"/>
            <w:lang w:eastAsia="lv-LV"/>
          </w:rPr>
          <w:t>ziņojums</w:t>
        </w:r>
      </w:smartTag>
      <w:r w:rsidRPr="00961EBB">
        <w:rPr>
          <w:rFonts w:ascii="Times New Roman" w:eastAsia="Times New Roman" w:hAnsi="Times New Roman" w:cs="Times New Roman"/>
          <w:b/>
          <w:sz w:val="24"/>
          <w:szCs w:val="24"/>
          <w:lang w:eastAsia="lv-LV"/>
        </w:rPr>
        <w:t xml:space="preserve"> (anotācija)</w:t>
      </w:r>
    </w:p>
    <w:p w14:paraId="6F7749D0" w14:textId="4E57AD78" w:rsidR="00A37FA3" w:rsidRPr="00F26BB3" w:rsidRDefault="006A521C" w:rsidP="00F26BB3">
      <w:pPr>
        <w:tabs>
          <w:tab w:val="left" w:pos="78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31"/>
        <w:gridCol w:w="124"/>
        <w:gridCol w:w="6259"/>
      </w:tblGrid>
      <w:tr w:rsidR="00297BC6" w14:paraId="084B64F8" w14:textId="77777777" w:rsidTr="00DF750E">
        <w:tc>
          <w:tcPr>
            <w:tcW w:w="9045" w:type="dxa"/>
            <w:gridSpan w:val="4"/>
            <w:tcBorders>
              <w:bottom w:val="single" w:sz="4" w:space="0" w:color="auto"/>
            </w:tcBorders>
            <w:vAlign w:val="center"/>
          </w:tcPr>
          <w:p w14:paraId="1897880F" w14:textId="77777777" w:rsidR="00A008EA" w:rsidRPr="00961EBB" w:rsidRDefault="006A521C" w:rsidP="00A37FA3">
            <w:pPr>
              <w:spacing w:after="0" w:line="240" w:lineRule="auto"/>
              <w:jc w:val="center"/>
              <w:rPr>
                <w:rFonts w:ascii="Times New Roman" w:eastAsia="Times New Roman" w:hAnsi="Times New Roman" w:cs="Times New Roman"/>
                <w:b/>
                <w:bCs/>
                <w:sz w:val="24"/>
                <w:szCs w:val="24"/>
                <w:lang w:eastAsia="lv-LV"/>
              </w:rPr>
            </w:pPr>
            <w:r w:rsidRPr="00961EBB">
              <w:rPr>
                <w:rFonts w:ascii="Times New Roman" w:hAnsi="Times New Roman" w:cs="Times New Roman"/>
                <w:b/>
                <w:bCs/>
                <w:sz w:val="24"/>
                <w:szCs w:val="24"/>
              </w:rPr>
              <w:t>Tiesību akta projekta anotācijas kopsavilkums</w:t>
            </w:r>
          </w:p>
        </w:tc>
      </w:tr>
      <w:tr w:rsidR="00A01865" w14:paraId="3BBFA0A2" w14:textId="77777777" w:rsidTr="00DF750E">
        <w:tc>
          <w:tcPr>
            <w:tcW w:w="2786" w:type="dxa"/>
            <w:gridSpan w:val="3"/>
            <w:tcBorders>
              <w:bottom w:val="single" w:sz="4" w:space="0" w:color="auto"/>
            </w:tcBorders>
            <w:vAlign w:val="center"/>
          </w:tcPr>
          <w:p w14:paraId="4F6D3670" w14:textId="77777777" w:rsidR="007B78DB" w:rsidRPr="00961EBB" w:rsidRDefault="006A521C" w:rsidP="00BA0CBE">
            <w:pPr>
              <w:spacing w:after="0" w:line="240" w:lineRule="auto"/>
              <w:rPr>
                <w:rFonts w:ascii="Times New Roman" w:eastAsia="Times New Roman" w:hAnsi="Times New Roman" w:cs="Times New Roman"/>
                <w:b/>
                <w:bCs/>
                <w:sz w:val="24"/>
                <w:szCs w:val="24"/>
                <w:lang w:eastAsia="lv-LV"/>
              </w:rPr>
            </w:pPr>
            <w:r w:rsidRPr="00961EBB">
              <w:rPr>
                <w:rFonts w:ascii="Times New Roman" w:hAnsi="Times New Roman" w:cs="Times New Roman"/>
                <w:sz w:val="24"/>
                <w:szCs w:val="24"/>
              </w:rPr>
              <w:t>Mērķis, risinājums un projekta spēkā stāšanās laiks (500 zīmes bez atstarpēm)</w:t>
            </w:r>
          </w:p>
        </w:tc>
        <w:tc>
          <w:tcPr>
            <w:tcW w:w="6259" w:type="dxa"/>
            <w:tcBorders>
              <w:bottom w:val="single" w:sz="4" w:space="0" w:color="auto"/>
            </w:tcBorders>
          </w:tcPr>
          <w:p w14:paraId="2BCE574E" w14:textId="1EDB5748" w:rsidR="001B32F1" w:rsidRPr="00961EBB" w:rsidRDefault="006A521C" w:rsidP="001D0266">
            <w:pPr>
              <w:spacing w:after="0" w:line="240" w:lineRule="auto"/>
              <w:ind w:firstLine="466"/>
              <w:jc w:val="both"/>
              <w:rPr>
                <w:rFonts w:ascii="Times New Roman" w:eastAsia="Times New Roman" w:hAnsi="Times New Roman" w:cs="Times New Roman"/>
                <w:sz w:val="24"/>
                <w:szCs w:val="24"/>
                <w:lang w:eastAsia="lv-LV"/>
              </w:rPr>
            </w:pPr>
            <w:bookmarkStart w:id="1" w:name="_Hlk503363591"/>
            <w:bookmarkStart w:id="2" w:name="_Hlk509568486"/>
            <w:r w:rsidRPr="00961EBB">
              <w:rPr>
                <w:rFonts w:ascii="Times New Roman" w:eastAsia="Times New Roman" w:hAnsi="Times New Roman" w:cs="Times New Roman"/>
                <w:sz w:val="24"/>
                <w:szCs w:val="24"/>
                <w:lang w:eastAsia="lv-LV"/>
              </w:rPr>
              <w:t>Ministru kabineta noteikumu projekts izstrādāts, lai preciz</w:t>
            </w:r>
            <w:r w:rsidR="006854F6" w:rsidRPr="00961EBB">
              <w:rPr>
                <w:rFonts w:ascii="Times New Roman" w:eastAsia="Times New Roman" w:hAnsi="Times New Roman" w:cs="Times New Roman"/>
                <w:sz w:val="24"/>
                <w:szCs w:val="24"/>
                <w:lang w:eastAsia="lv-LV"/>
              </w:rPr>
              <w:t>ētu</w:t>
            </w:r>
            <w:r w:rsidR="006854F6" w:rsidRPr="00961EBB">
              <w:rPr>
                <w:sz w:val="24"/>
                <w:szCs w:val="24"/>
              </w:rPr>
              <w:t xml:space="preserve"> </w:t>
            </w:r>
            <w:r w:rsidR="00D857C9" w:rsidRPr="00961EBB">
              <w:rPr>
                <w:rFonts w:ascii="Times New Roman" w:eastAsia="Times New Roman" w:hAnsi="Times New Roman" w:cs="Times New Roman"/>
                <w:sz w:val="24"/>
                <w:szCs w:val="24"/>
                <w:lang w:eastAsia="lv-LV"/>
              </w:rPr>
              <w:t>Ministru kabineta 2014.gada 11.</w:t>
            </w:r>
            <w:r w:rsidR="006854F6" w:rsidRPr="00961EBB">
              <w:rPr>
                <w:rFonts w:ascii="Times New Roman" w:eastAsia="Times New Roman" w:hAnsi="Times New Roman" w:cs="Times New Roman"/>
                <w:sz w:val="24"/>
                <w:szCs w:val="24"/>
                <w:lang w:eastAsia="lv-LV"/>
              </w:rPr>
              <w:t xml:space="preserve">februāra noteikumos Nr.96 "Nodokļu un citu maksājumu reģistrēšanas elektronisko ierīču un iekārtu lietošanas kārtība"" (turpmāk – Ministru kabineta noteikumi Nr.96) </w:t>
            </w:r>
            <w:r w:rsidR="0072678E" w:rsidRPr="00961EBB">
              <w:rPr>
                <w:rFonts w:ascii="Times New Roman" w:eastAsia="Times New Roman" w:hAnsi="Times New Roman" w:cs="Times New Roman"/>
                <w:sz w:val="24"/>
                <w:szCs w:val="24"/>
                <w:lang w:eastAsia="lv-LV"/>
              </w:rPr>
              <w:t xml:space="preserve">noteikto </w:t>
            </w:r>
            <w:r w:rsidR="00A55B98" w:rsidRPr="00961EBB">
              <w:rPr>
                <w:rFonts w:ascii="Times New Roman" w:eastAsia="Times New Roman" w:hAnsi="Times New Roman" w:cs="Times New Roman"/>
                <w:sz w:val="24"/>
                <w:szCs w:val="24"/>
                <w:lang w:eastAsia="lv-LV"/>
              </w:rPr>
              <w:t>nodokļu un citu maksājumu reģistrēšanas elektronisko ierīču un iekārtu</w:t>
            </w:r>
            <w:r w:rsidR="00724E11" w:rsidRPr="00961EBB">
              <w:rPr>
                <w:rFonts w:ascii="Times New Roman" w:eastAsia="Times New Roman" w:hAnsi="Times New Roman" w:cs="Times New Roman"/>
                <w:sz w:val="24"/>
                <w:szCs w:val="24"/>
                <w:lang w:eastAsia="lv-LV"/>
              </w:rPr>
              <w:t xml:space="preserve"> (kases aparātu, hibrīda kases aparātu, kases sistēmu, specializēto ierīču un iekārtu)</w:t>
            </w:r>
            <w:r w:rsidR="00A55B98" w:rsidRPr="00961EBB">
              <w:rPr>
                <w:rFonts w:ascii="Times New Roman" w:eastAsia="Times New Roman" w:hAnsi="Times New Roman" w:cs="Times New Roman"/>
                <w:sz w:val="24"/>
                <w:szCs w:val="24"/>
                <w:lang w:eastAsia="lv-LV"/>
              </w:rPr>
              <w:t xml:space="preserve"> </w:t>
            </w:r>
            <w:r w:rsidR="00660B3B" w:rsidRPr="00961EBB">
              <w:rPr>
                <w:rFonts w:ascii="Times New Roman" w:eastAsia="Times New Roman" w:hAnsi="Times New Roman" w:cs="Times New Roman"/>
                <w:sz w:val="24"/>
                <w:szCs w:val="24"/>
                <w:lang w:eastAsia="lv-LV"/>
              </w:rPr>
              <w:t>lietošanas kārtību</w:t>
            </w:r>
            <w:r w:rsidR="00A55B98" w:rsidRPr="00961EBB">
              <w:rPr>
                <w:rFonts w:ascii="Times New Roman" w:eastAsia="Times New Roman" w:hAnsi="Times New Roman" w:cs="Times New Roman"/>
                <w:sz w:val="24"/>
                <w:szCs w:val="24"/>
                <w:lang w:eastAsia="lv-LV"/>
              </w:rPr>
              <w:t>.</w:t>
            </w:r>
          </w:p>
          <w:p w14:paraId="25F82567" w14:textId="1E175C95" w:rsidR="007B78DB" w:rsidRPr="00961EBB" w:rsidRDefault="006A521C" w:rsidP="001D0266">
            <w:pPr>
              <w:spacing w:after="0" w:line="240" w:lineRule="auto"/>
              <w:ind w:firstLine="466"/>
              <w:jc w:val="both"/>
              <w:rPr>
                <w:rFonts w:ascii="Times New Roman" w:eastAsia="Times New Roman" w:hAnsi="Times New Roman" w:cs="Times New Roman"/>
                <w:b/>
                <w:bCs/>
                <w:sz w:val="24"/>
                <w:szCs w:val="24"/>
                <w:lang w:eastAsia="lv-LV"/>
              </w:rPr>
            </w:pPr>
            <w:r w:rsidRPr="00961EBB">
              <w:rPr>
                <w:rFonts w:ascii="Times New Roman" w:eastAsia="Times New Roman" w:hAnsi="Times New Roman" w:cs="Times New Roman"/>
                <w:bCs/>
                <w:sz w:val="24"/>
                <w:szCs w:val="24"/>
                <w:lang w:eastAsia="lv-LV"/>
              </w:rPr>
              <w:t xml:space="preserve">Ministru kabineta noteikumi stāsies spēkā pēc to </w:t>
            </w:r>
            <w:r w:rsidR="003C16F2">
              <w:rPr>
                <w:rFonts w:ascii="Times New Roman" w:eastAsia="Times New Roman" w:hAnsi="Times New Roman" w:cs="Times New Roman"/>
                <w:bCs/>
                <w:sz w:val="24"/>
                <w:szCs w:val="24"/>
                <w:lang w:eastAsia="lv-LV"/>
              </w:rPr>
              <w:t>pieņem</w:t>
            </w:r>
            <w:r w:rsidRPr="00961EBB">
              <w:rPr>
                <w:rFonts w:ascii="Times New Roman" w:eastAsia="Times New Roman" w:hAnsi="Times New Roman" w:cs="Times New Roman"/>
                <w:bCs/>
                <w:sz w:val="24"/>
                <w:szCs w:val="24"/>
                <w:lang w:eastAsia="lv-LV"/>
              </w:rPr>
              <w:t>šanas</w:t>
            </w:r>
            <w:r w:rsidR="003C16F2">
              <w:rPr>
                <w:rFonts w:ascii="Times New Roman" w:eastAsia="Times New Roman" w:hAnsi="Times New Roman" w:cs="Times New Roman"/>
                <w:bCs/>
                <w:sz w:val="24"/>
                <w:szCs w:val="24"/>
                <w:lang w:eastAsia="lv-LV"/>
              </w:rPr>
              <w:t xml:space="preserve"> Ministru kabinetā</w:t>
            </w:r>
            <w:r w:rsidRPr="00961EBB">
              <w:rPr>
                <w:rFonts w:ascii="Times New Roman" w:eastAsia="Times New Roman" w:hAnsi="Times New Roman" w:cs="Times New Roman"/>
                <w:bCs/>
                <w:sz w:val="24"/>
                <w:szCs w:val="24"/>
                <w:lang w:eastAsia="lv-LV"/>
              </w:rPr>
              <w:t>.</w:t>
            </w:r>
            <w:bookmarkEnd w:id="1"/>
            <w:bookmarkEnd w:id="2"/>
          </w:p>
        </w:tc>
      </w:tr>
      <w:tr w:rsidR="00A01865" w14:paraId="7EE2498A" w14:textId="77777777" w:rsidTr="00DF750E">
        <w:tc>
          <w:tcPr>
            <w:tcW w:w="2786" w:type="dxa"/>
            <w:gridSpan w:val="3"/>
            <w:tcBorders>
              <w:top w:val="single" w:sz="4" w:space="0" w:color="auto"/>
              <w:left w:val="nil"/>
              <w:bottom w:val="single" w:sz="4" w:space="0" w:color="auto"/>
              <w:right w:val="nil"/>
            </w:tcBorders>
            <w:vAlign w:val="center"/>
          </w:tcPr>
          <w:p w14:paraId="418233E1" w14:textId="77777777" w:rsidR="00AC5167" w:rsidRPr="00961EBB" w:rsidRDefault="00AC5167" w:rsidP="00BA0CBE">
            <w:pPr>
              <w:spacing w:after="0" w:line="240" w:lineRule="auto"/>
              <w:rPr>
                <w:rFonts w:ascii="Times New Roman" w:hAnsi="Times New Roman" w:cs="Times New Roman"/>
                <w:sz w:val="24"/>
                <w:szCs w:val="24"/>
              </w:rPr>
            </w:pPr>
          </w:p>
        </w:tc>
        <w:tc>
          <w:tcPr>
            <w:tcW w:w="6259" w:type="dxa"/>
            <w:tcBorders>
              <w:top w:val="single" w:sz="4" w:space="0" w:color="auto"/>
              <w:left w:val="nil"/>
              <w:bottom w:val="single" w:sz="4" w:space="0" w:color="auto"/>
              <w:right w:val="nil"/>
            </w:tcBorders>
            <w:vAlign w:val="center"/>
          </w:tcPr>
          <w:p w14:paraId="3B0D0E17" w14:textId="77777777" w:rsidR="00AC5167" w:rsidRPr="00961EBB" w:rsidRDefault="00AC5167" w:rsidP="007B78DB">
            <w:pPr>
              <w:spacing w:after="0" w:line="240" w:lineRule="auto"/>
              <w:ind w:firstLine="397"/>
              <w:rPr>
                <w:rFonts w:ascii="Times New Roman" w:eastAsia="Times New Roman" w:hAnsi="Times New Roman" w:cs="Times New Roman"/>
                <w:bCs/>
                <w:sz w:val="24"/>
                <w:szCs w:val="24"/>
                <w:lang w:eastAsia="lv-LV"/>
              </w:rPr>
            </w:pPr>
          </w:p>
        </w:tc>
      </w:tr>
      <w:tr w:rsidR="00297BC6" w14:paraId="1CE27A2E" w14:textId="77777777" w:rsidTr="00DF750E">
        <w:tc>
          <w:tcPr>
            <w:tcW w:w="9045" w:type="dxa"/>
            <w:gridSpan w:val="4"/>
            <w:tcBorders>
              <w:top w:val="single" w:sz="4" w:space="0" w:color="auto"/>
            </w:tcBorders>
            <w:vAlign w:val="center"/>
          </w:tcPr>
          <w:p w14:paraId="4A2C3462" w14:textId="77777777" w:rsidR="00A37FA3" w:rsidRPr="00961EBB" w:rsidRDefault="006A521C" w:rsidP="00A37FA3">
            <w:pPr>
              <w:spacing w:after="0" w:line="240" w:lineRule="auto"/>
              <w:jc w:val="center"/>
              <w:rPr>
                <w:rFonts w:ascii="Times New Roman" w:eastAsia="Times New Roman" w:hAnsi="Times New Roman" w:cs="Times New Roman"/>
                <w:b/>
                <w:bCs/>
                <w:sz w:val="24"/>
                <w:szCs w:val="24"/>
                <w:lang w:eastAsia="lv-LV"/>
              </w:rPr>
            </w:pPr>
            <w:r w:rsidRPr="00961EBB">
              <w:rPr>
                <w:rFonts w:ascii="Times New Roman" w:eastAsia="Times New Roman" w:hAnsi="Times New Roman" w:cs="Times New Roman"/>
                <w:b/>
                <w:bCs/>
                <w:sz w:val="24"/>
                <w:szCs w:val="24"/>
                <w:lang w:eastAsia="lv-LV"/>
              </w:rPr>
              <w:t>I. Tiesību akta projekta izstrādes nepieciešamība</w:t>
            </w:r>
          </w:p>
        </w:tc>
      </w:tr>
      <w:tr w:rsidR="00AD0FD2" w14:paraId="0B10B0CB" w14:textId="77777777" w:rsidTr="00DF750E">
        <w:trPr>
          <w:trHeight w:val="630"/>
        </w:trPr>
        <w:tc>
          <w:tcPr>
            <w:tcW w:w="431" w:type="dxa"/>
          </w:tcPr>
          <w:p w14:paraId="377603BD" w14:textId="77777777" w:rsidR="00A37FA3" w:rsidRPr="00961EBB" w:rsidRDefault="006A521C" w:rsidP="00A37FA3">
            <w:pPr>
              <w:spacing w:after="0" w:line="240" w:lineRule="auto"/>
              <w:rPr>
                <w:rFonts w:ascii="Times New Roman" w:eastAsia="Times New Roman" w:hAnsi="Times New Roman" w:cs="Times New Roman"/>
                <w:b/>
                <w:sz w:val="24"/>
                <w:szCs w:val="24"/>
                <w:lang w:eastAsia="lv-LV"/>
              </w:rPr>
            </w:pPr>
            <w:r w:rsidRPr="00961EBB">
              <w:rPr>
                <w:rFonts w:ascii="Times New Roman" w:eastAsia="Times New Roman" w:hAnsi="Times New Roman" w:cs="Times New Roman"/>
                <w:sz w:val="24"/>
                <w:szCs w:val="24"/>
                <w:lang w:eastAsia="lv-LV"/>
              </w:rPr>
              <w:t>1</w:t>
            </w:r>
            <w:r w:rsidRPr="00961EBB">
              <w:rPr>
                <w:rFonts w:ascii="Times New Roman" w:eastAsia="Times New Roman" w:hAnsi="Times New Roman" w:cs="Times New Roman"/>
                <w:b/>
                <w:sz w:val="24"/>
                <w:szCs w:val="24"/>
                <w:lang w:eastAsia="lv-LV"/>
              </w:rPr>
              <w:t>.</w:t>
            </w:r>
          </w:p>
        </w:tc>
        <w:tc>
          <w:tcPr>
            <w:tcW w:w="2355" w:type="dxa"/>
            <w:gridSpan w:val="2"/>
          </w:tcPr>
          <w:p w14:paraId="457A3902" w14:textId="77777777" w:rsidR="00A37FA3" w:rsidRPr="00961EBB" w:rsidRDefault="006A521C" w:rsidP="00A37FA3">
            <w:pPr>
              <w:spacing w:after="0" w:line="240" w:lineRule="auto"/>
              <w:ind w:hanging="10"/>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Pamatojums</w:t>
            </w:r>
          </w:p>
        </w:tc>
        <w:tc>
          <w:tcPr>
            <w:tcW w:w="6259" w:type="dxa"/>
          </w:tcPr>
          <w:p w14:paraId="7CE9E946" w14:textId="01A3F7AA" w:rsidR="00B858D7" w:rsidRPr="00961EBB" w:rsidRDefault="000F794F" w:rsidP="00B858D7">
            <w:pPr>
              <w:spacing w:after="0" w:line="240" w:lineRule="auto"/>
              <w:ind w:firstLine="4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 xml:space="preserve">Finanšu ministrijas, </w:t>
            </w:r>
            <w:r w:rsidR="003C16F2">
              <w:rPr>
                <w:rFonts w:ascii="Times New Roman" w:eastAsia="Times New Roman" w:hAnsi="Times New Roman" w:cs="Times New Roman"/>
                <w:sz w:val="24"/>
                <w:szCs w:val="24"/>
              </w:rPr>
              <w:t xml:space="preserve">Valsts ieņēmumu dienesta </w:t>
            </w:r>
            <w:r w:rsidR="003C16F2" w:rsidRPr="00961EBB">
              <w:rPr>
                <w:rFonts w:ascii="Times New Roman" w:eastAsia="Times New Roman" w:hAnsi="Times New Roman" w:cs="Times New Roman"/>
                <w:sz w:val="24"/>
                <w:szCs w:val="24"/>
              </w:rPr>
              <w:t>(turpmāk – VID)</w:t>
            </w:r>
            <w:r w:rsidR="003C16F2">
              <w:rPr>
                <w:rFonts w:ascii="Times New Roman" w:eastAsia="Times New Roman" w:hAnsi="Times New Roman" w:cs="Times New Roman"/>
                <w:sz w:val="24"/>
                <w:szCs w:val="24"/>
              </w:rPr>
              <w:t xml:space="preserve"> </w:t>
            </w:r>
            <w:r w:rsidR="003C16F2">
              <w:rPr>
                <w:rFonts w:ascii="Times New Roman" w:eastAsia="Calibri" w:hAnsi="Times New Roman" w:cs="Times New Roman"/>
                <w:sz w:val="24"/>
                <w:szCs w:val="24"/>
              </w:rPr>
              <w:t>iniciatīva.</w:t>
            </w:r>
          </w:p>
          <w:p w14:paraId="34A723AF" w14:textId="77777777" w:rsidR="00AC3B77" w:rsidRPr="00961EBB" w:rsidRDefault="00AC3B77" w:rsidP="0006309F">
            <w:pPr>
              <w:spacing w:after="0" w:line="240" w:lineRule="auto"/>
              <w:ind w:firstLine="409"/>
              <w:jc w:val="both"/>
              <w:rPr>
                <w:rFonts w:ascii="Times New Roman" w:eastAsia="Calibri" w:hAnsi="Times New Roman" w:cs="Times New Roman"/>
                <w:sz w:val="24"/>
                <w:szCs w:val="24"/>
                <w:lang w:eastAsia="lv-LV"/>
              </w:rPr>
            </w:pPr>
          </w:p>
        </w:tc>
      </w:tr>
      <w:tr w:rsidR="00AD0FD2" w14:paraId="47BABE36" w14:textId="77777777" w:rsidTr="00DF750E">
        <w:trPr>
          <w:trHeight w:val="472"/>
        </w:trPr>
        <w:tc>
          <w:tcPr>
            <w:tcW w:w="431" w:type="dxa"/>
          </w:tcPr>
          <w:p w14:paraId="1A5B0269" w14:textId="77777777" w:rsidR="00A37FA3" w:rsidRPr="00961EBB" w:rsidRDefault="006A521C" w:rsidP="00A37FA3">
            <w:pPr>
              <w:spacing w:after="0" w:line="240" w:lineRule="auto"/>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2.</w:t>
            </w:r>
          </w:p>
        </w:tc>
        <w:tc>
          <w:tcPr>
            <w:tcW w:w="2355" w:type="dxa"/>
            <w:gridSpan w:val="2"/>
          </w:tcPr>
          <w:p w14:paraId="3078457F" w14:textId="77777777" w:rsidR="00A37FA3" w:rsidRPr="00961EBB" w:rsidRDefault="006A521C" w:rsidP="00A37FA3">
            <w:pPr>
              <w:tabs>
                <w:tab w:val="left" w:pos="170"/>
              </w:tabs>
              <w:spacing w:after="0" w:line="240" w:lineRule="auto"/>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59" w:type="dxa"/>
          </w:tcPr>
          <w:p w14:paraId="3923441E" w14:textId="2131D609" w:rsidR="008722F2" w:rsidRDefault="0011158A" w:rsidP="0011158A">
            <w:pPr>
              <w:spacing w:after="0" w:line="240" w:lineRule="auto"/>
              <w:ind w:firstLine="4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04319">
              <w:rPr>
                <w:rFonts w:ascii="Times New Roman" w:eastAsia="Times New Roman" w:hAnsi="Times New Roman" w:cs="Times New Roman"/>
                <w:sz w:val="24"/>
                <w:szCs w:val="24"/>
              </w:rPr>
              <w:t>A</w:t>
            </w:r>
            <w:r w:rsidR="006A521C" w:rsidRPr="007B6D91">
              <w:rPr>
                <w:rFonts w:ascii="Times New Roman" w:eastAsia="Times New Roman" w:hAnsi="Times New Roman" w:cs="Times New Roman"/>
                <w:sz w:val="24"/>
                <w:szCs w:val="24"/>
              </w:rPr>
              <w:t xml:space="preserve">r 2015.gada 15.decembra grozījumiem Ministru kabineta </w:t>
            </w:r>
            <w:r w:rsidR="006A521C" w:rsidRPr="007B6D91">
              <w:rPr>
                <w:rFonts w:ascii="Times New Roman" w:eastAsia="Times New Roman" w:hAnsi="Times New Roman" w:cs="Times New Roman"/>
                <w:color w:val="000000" w:themeColor="text1"/>
                <w:sz w:val="24"/>
                <w:szCs w:val="24"/>
              </w:rPr>
              <w:t xml:space="preserve">noteikumos Nr.96 </w:t>
            </w:r>
            <w:r w:rsidR="00BB6BD1">
              <w:rPr>
                <w:rFonts w:ascii="Times New Roman" w:eastAsia="Times New Roman" w:hAnsi="Times New Roman" w:cs="Times New Roman"/>
                <w:color w:val="000000" w:themeColor="text1"/>
                <w:sz w:val="24"/>
                <w:szCs w:val="24"/>
              </w:rPr>
              <w:t xml:space="preserve">ir </w:t>
            </w:r>
            <w:r w:rsidR="006A521C" w:rsidRPr="007B6D91">
              <w:rPr>
                <w:rFonts w:ascii="Times New Roman" w:eastAsia="Times New Roman" w:hAnsi="Times New Roman" w:cs="Times New Roman"/>
                <w:color w:val="000000" w:themeColor="text1"/>
                <w:sz w:val="24"/>
                <w:szCs w:val="24"/>
              </w:rPr>
              <w:t>iekļ</w:t>
            </w:r>
            <w:r w:rsidR="00BB6BD1">
              <w:rPr>
                <w:rFonts w:ascii="Times New Roman" w:eastAsia="Times New Roman" w:hAnsi="Times New Roman" w:cs="Times New Roman"/>
                <w:color w:val="000000" w:themeColor="text1"/>
                <w:sz w:val="24"/>
                <w:szCs w:val="24"/>
              </w:rPr>
              <w:t>auta</w:t>
            </w:r>
            <w:r w:rsidR="006A521C" w:rsidRPr="007B6D91">
              <w:rPr>
                <w:rFonts w:ascii="Times New Roman" w:eastAsia="Times New Roman" w:hAnsi="Times New Roman" w:cs="Times New Roman"/>
                <w:color w:val="000000" w:themeColor="text1"/>
                <w:sz w:val="24"/>
                <w:szCs w:val="24"/>
              </w:rPr>
              <w:t xml:space="preserve"> obligāt</w:t>
            </w:r>
            <w:r w:rsidR="00BB6BD1">
              <w:rPr>
                <w:rFonts w:ascii="Times New Roman" w:eastAsia="Times New Roman" w:hAnsi="Times New Roman" w:cs="Times New Roman"/>
                <w:color w:val="000000" w:themeColor="text1"/>
                <w:sz w:val="24"/>
                <w:szCs w:val="24"/>
              </w:rPr>
              <w:t>a</w:t>
            </w:r>
            <w:r w:rsidR="006A521C" w:rsidRPr="007B6D91">
              <w:rPr>
                <w:rFonts w:ascii="Times New Roman" w:eastAsia="Times New Roman" w:hAnsi="Times New Roman" w:cs="Times New Roman"/>
                <w:color w:val="000000" w:themeColor="text1"/>
                <w:sz w:val="24"/>
                <w:szCs w:val="24"/>
              </w:rPr>
              <w:t xml:space="preserve"> prasīb</w:t>
            </w:r>
            <w:r w:rsidR="00BB6BD1">
              <w:rPr>
                <w:rFonts w:ascii="Times New Roman" w:eastAsia="Times New Roman" w:hAnsi="Times New Roman" w:cs="Times New Roman"/>
                <w:color w:val="000000" w:themeColor="text1"/>
                <w:sz w:val="24"/>
                <w:szCs w:val="24"/>
              </w:rPr>
              <w:t>a</w:t>
            </w:r>
            <w:r w:rsidR="007B6D91">
              <w:rPr>
                <w:rFonts w:ascii="Times New Roman" w:eastAsia="Times New Roman" w:hAnsi="Times New Roman" w:cs="Times New Roman"/>
                <w:color w:val="000000" w:themeColor="text1"/>
                <w:sz w:val="24"/>
                <w:szCs w:val="24"/>
              </w:rPr>
              <w:t xml:space="preserve"> kases aparāta, hibrīda kases apar</w:t>
            </w:r>
            <w:r w:rsidR="00162BD2">
              <w:rPr>
                <w:rFonts w:ascii="Times New Roman" w:eastAsia="Times New Roman" w:hAnsi="Times New Roman" w:cs="Times New Roman"/>
                <w:color w:val="000000" w:themeColor="text1"/>
                <w:sz w:val="24"/>
                <w:szCs w:val="24"/>
              </w:rPr>
              <w:t xml:space="preserve">āta, kases </w:t>
            </w:r>
            <w:r w:rsidR="007B6D91">
              <w:rPr>
                <w:rFonts w:ascii="Times New Roman" w:eastAsia="Times New Roman" w:hAnsi="Times New Roman" w:cs="Times New Roman"/>
                <w:color w:val="000000" w:themeColor="text1"/>
                <w:sz w:val="24"/>
                <w:szCs w:val="24"/>
              </w:rPr>
              <w:t>si</w:t>
            </w:r>
            <w:r w:rsidR="00162BD2">
              <w:rPr>
                <w:rFonts w:ascii="Times New Roman" w:eastAsia="Times New Roman" w:hAnsi="Times New Roman" w:cs="Times New Roman"/>
                <w:color w:val="000000" w:themeColor="text1"/>
                <w:sz w:val="24"/>
                <w:szCs w:val="24"/>
              </w:rPr>
              <w:t>s</w:t>
            </w:r>
            <w:r w:rsidR="007B6D91">
              <w:rPr>
                <w:rFonts w:ascii="Times New Roman" w:eastAsia="Times New Roman" w:hAnsi="Times New Roman" w:cs="Times New Roman"/>
                <w:color w:val="000000" w:themeColor="text1"/>
                <w:sz w:val="24"/>
                <w:szCs w:val="24"/>
              </w:rPr>
              <w:t>tēmas, specializētās ierīces vai iekārtas</w:t>
            </w:r>
            <w:r w:rsidR="006A521C" w:rsidRPr="007B6D91">
              <w:rPr>
                <w:rFonts w:ascii="Times New Roman" w:eastAsia="Times New Roman" w:hAnsi="Times New Roman" w:cs="Times New Roman"/>
                <w:color w:val="000000" w:themeColor="text1"/>
                <w:sz w:val="24"/>
                <w:szCs w:val="24"/>
              </w:rPr>
              <w:t xml:space="preserve"> </w:t>
            </w:r>
            <w:r w:rsidR="00F957B4" w:rsidRPr="007B6D91">
              <w:rPr>
                <w:rFonts w:ascii="Times New Roman" w:eastAsia="Times New Roman" w:hAnsi="Times New Roman" w:cs="Times New Roman"/>
                <w:color w:val="000000" w:themeColor="text1"/>
                <w:sz w:val="24"/>
                <w:szCs w:val="24"/>
              </w:rPr>
              <w:t xml:space="preserve">lietotājiem (turpmāk – lietotāji) </w:t>
            </w:r>
            <w:r w:rsidR="006A521C" w:rsidRPr="007B6D91">
              <w:rPr>
                <w:rFonts w:ascii="Times New Roman" w:eastAsia="Times New Roman" w:hAnsi="Times New Roman" w:cs="Times New Roman"/>
                <w:color w:val="000000" w:themeColor="text1"/>
                <w:sz w:val="24"/>
                <w:szCs w:val="24"/>
              </w:rPr>
              <w:t xml:space="preserve">pirms kases aparāta, hibrīda kases aparāta un kases sistēmas reģistrēšanas </w:t>
            </w:r>
            <w:r w:rsidR="0036553E" w:rsidRPr="007B6D91">
              <w:rPr>
                <w:rFonts w:ascii="Times New Roman" w:eastAsia="Times New Roman" w:hAnsi="Times New Roman" w:cs="Times New Roman"/>
                <w:color w:val="000000" w:themeColor="text1"/>
                <w:sz w:val="24"/>
                <w:szCs w:val="24"/>
              </w:rPr>
              <w:t>VID</w:t>
            </w:r>
            <w:r w:rsidR="006A521C" w:rsidRPr="007B6D91">
              <w:rPr>
                <w:rFonts w:ascii="Times New Roman" w:eastAsia="Times New Roman" w:hAnsi="Times New Roman" w:cs="Times New Roman"/>
                <w:color w:val="000000" w:themeColor="text1"/>
                <w:sz w:val="24"/>
                <w:szCs w:val="24"/>
              </w:rPr>
              <w:t xml:space="preserve"> un lietošanas uzsākšanas slēgt </w:t>
            </w:r>
            <w:r w:rsidR="006A521C" w:rsidRPr="007B6D91">
              <w:rPr>
                <w:rFonts w:ascii="Times New Roman" w:eastAsia="Times New Roman" w:hAnsi="Times New Roman" w:cs="Times New Roman"/>
                <w:sz w:val="24"/>
                <w:szCs w:val="24"/>
              </w:rPr>
              <w:t xml:space="preserve">rakstiskus līgumus </w:t>
            </w:r>
            <w:r w:rsidR="0072678E" w:rsidRPr="007B6D91">
              <w:rPr>
                <w:rFonts w:ascii="Times New Roman" w:eastAsia="Times New Roman" w:hAnsi="Times New Roman" w:cs="Times New Roman"/>
                <w:sz w:val="24"/>
                <w:szCs w:val="24"/>
              </w:rPr>
              <w:t>ar apkalpojošiem dienestiem</w:t>
            </w:r>
            <w:r w:rsidR="0072678E" w:rsidRPr="00DF434B">
              <w:rPr>
                <w:rFonts w:ascii="Times New Roman" w:eastAsia="Times New Roman" w:hAnsi="Times New Roman" w:cs="Times New Roman"/>
                <w:sz w:val="24"/>
                <w:szCs w:val="24"/>
              </w:rPr>
              <w:t xml:space="preserve"> par</w:t>
            </w:r>
            <w:r w:rsidR="00014928" w:rsidRPr="00DF434B">
              <w:rPr>
                <w:rFonts w:ascii="Times New Roman" w:eastAsia="Times New Roman" w:hAnsi="Times New Roman" w:cs="Times New Roman"/>
                <w:sz w:val="24"/>
                <w:szCs w:val="24"/>
              </w:rPr>
              <w:t xml:space="preserve"> </w:t>
            </w:r>
            <w:r w:rsidR="006A521C" w:rsidRPr="00DF434B">
              <w:rPr>
                <w:rFonts w:ascii="Times New Roman" w:eastAsia="Times New Roman" w:hAnsi="Times New Roman" w:cs="Times New Roman"/>
                <w:sz w:val="24"/>
                <w:szCs w:val="24"/>
              </w:rPr>
              <w:t>apkalpošanu. Līgumā p</w:t>
            </w:r>
            <w:r w:rsidR="0064603D" w:rsidRPr="00DF434B">
              <w:rPr>
                <w:rFonts w:ascii="Times New Roman" w:eastAsia="Times New Roman" w:hAnsi="Times New Roman" w:cs="Times New Roman"/>
                <w:sz w:val="24"/>
                <w:szCs w:val="24"/>
              </w:rPr>
              <w:t>ar apkalpošanu lietotājs</w:t>
            </w:r>
            <w:r w:rsidR="006A521C" w:rsidRPr="00DF434B">
              <w:rPr>
                <w:rFonts w:ascii="Times New Roman" w:eastAsia="Times New Roman" w:hAnsi="Times New Roman" w:cs="Times New Roman"/>
                <w:sz w:val="24"/>
                <w:szCs w:val="24"/>
              </w:rPr>
              <w:t xml:space="preserve"> un apkalpojošais dienests savstarpēji vienojas par tiesisku attiecību nodibināšanu, pārgrozīšanu, izbeigšanas kārtību un visu no līguma izrietošo saistību izpildi. Visā kases aparāta, hibrīda kases aparāta un kases sistēmas lietošanas laikā jābūt spēkā esošam līgumam par apkalpošanu. </w:t>
            </w:r>
          </w:p>
          <w:p w14:paraId="1079EBAE" w14:textId="7D5CDD5E" w:rsidR="00E04319" w:rsidRDefault="00E04319" w:rsidP="008D242A">
            <w:pPr>
              <w:spacing w:after="0" w:line="240" w:lineRule="auto"/>
              <w:ind w:firstLine="4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Pirms minēto grozījumu veikšanas </w:t>
            </w:r>
            <w:r w:rsidRPr="008722F2">
              <w:rPr>
                <w:rFonts w:ascii="Times New Roman" w:eastAsia="Times New Roman" w:hAnsi="Times New Roman" w:cs="Times New Roman"/>
                <w:sz w:val="24"/>
                <w:szCs w:val="24"/>
              </w:rPr>
              <w:t>Ministru kabineta noteikumos Nr.96</w:t>
            </w:r>
            <w:r>
              <w:rPr>
                <w:rFonts w:ascii="Times New Roman" w:eastAsia="Times New Roman" w:hAnsi="Times New Roman" w:cs="Times New Roman"/>
                <w:sz w:val="24"/>
                <w:szCs w:val="24"/>
              </w:rPr>
              <w:t xml:space="preserve"> elektronisko ierīču un iekārtu lietotājiem nebija pienākuma slēgt rakstisku līgumu ar apkalpojošiem dienestiem par apkalpošanu.</w:t>
            </w:r>
            <w:r>
              <w:t xml:space="preserve"> </w:t>
            </w:r>
            <w:r>
              <w:rPr>
                <w:rFonts w:ascii="Times New Roman" w:eastAsia="Times New Roman" w:hAnsi="Times New Roman" w:cs="Times New Roman"/>
                <w:sz w:val="24"/>
                <w:szCs w:val="24"/>
              </w:rPr>
              <w:t>Ministru kabineta noteikumos</w:t>
            </w:r>
            <w:r w:rsidRPr="00090F68">
              <w:rPr>
                <w:rFonts w:ascii="Times New Roman" w:eastAsia="Times New Roman" w:hAnsi="Times New Roman" w:cs="Times New Roman"/>
                <w:sz w:val="24"/>
                <w:szCs w:val="24"/>
              </w:rPr>
              <w:t xml:space="preserve"> Nr.96</w:t>
            </w:r>
            <w:r>
              <w:rPr>
                <w:rFonts w:ascii="Times New Roman" w:eastAsia="Times New Roman" w:hAnsi="Times New Roman" w:cs="Times New Roman"/>
                <w:sz w:val="24"/>
                <w:szCs w:val="24"/>
              </w:rPr>
              <w:t xml:space="preserve"> ir noteikti pienākumi un atbildība gan elektroniskās ierīces un iekārtas lietotājiem, gan apkalpojošiem dienestiem. Tādējādi, ja nav rakstiski noslēgts ap</w:t>
            </w:r>
            <w:r w:rsidR="007D53BC">
              <w:rPr>
                <w:rFonts w:ascii="Times New Roman" w:eastAsia="Times New Roman" w:hAnsi="Times New Roman" w:cs="Times New Roman"/>
                <w:sz w:val="24"/>
                <w:szCs w:val="24"/>
              </w:rPr>
              <w:t>kalpošanas līgums, ir apgrūtin</w:t>
            </w:r>
            <w:r w:rsidR="002A32C0">
              <w:rPr>
                <w:rFonts w:ascii="Times New Roman" w:eastAsia="Times New Roman" w:hAnsi="Times New Roman" w:cs="Times New Roman"/>
                <w:sz w:val="24"/>
                <w:szCs w:val="24"/>
              </w:rPr>
              <w:t>āta</w:t>
            </w:r>
            <w:r w:rsidR="007D53BC">
              <w:rPr>
                <w:rFonts w:ascii="Times New Roman" w:eastAsia="Times New Roman" w:hAnsi="Times New Roman" w:cs="Times New Roman"/>
                <w:sz w:val="24"/>
                <w:szCs w:val="24"/>
              </w:rPr>
              <w:t xml:space="preserve"> iespēja</w:t>
            </w:r>
            <w:r>
              <w:rPr>
                <w:rFonts w:ascii="Times New Roman" w:eastAsia="Times New Roman" w:hAnsi="Times New Roman" w:cs="Times New Roman"/>
                <w:sz w:val="24"/>
                <w:szCs w:val="24"/>
              </w:rPr>
              <w:t xml:space="preserve"> konstatēt apkalpojošo dienestu, kurš veic ierīces vai iekārtas apkalpošanu</w:t>
            </w:r>
            <w:r w:rsidR="00BB6B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D53BC">
              <w:rPr>
                <w:rFonts w:ascii="Times New Roman" w:eastAsia="Times New Roman" w:hAnsi="Times New Roman" w:cs="Times New Roman"/>
                <w:sz w:val="24"/>
                <w:szCs w:val="24"/>
              </w:rPr>
              <w:t>Ir apgrūtināta iespēja noteikt</w:t>
            </w:r>
            <w:r>
              <w:rPr>
                <w:rFonts w:ascii="Times New Roman" w:eastAsia="Times New Roman" w:hAnsi="Times New Roman" w:cs="Times New Roman"/>
                <w:sz w:val="24"/>
                <w:szCs w:val="24"/>
              </w:rPr>
              <w:t xml:space="preserve"> pienākumu un atbildības sadalījumu starp apkalpojošo dienestu un lietotāju. VID tiek apgrūtināts specializētās ierīces vai iekārtas lietošanas kārtības administrēšanas process. Turklāt rakstiski noslēgts līgums nodrošina Ministru kabineta noteikumu Nr.96 prasību lietotāja lietotās ierīces v</w:t>
            </w:r>
            <w:r w:rsidR="00D77B01">
              <w:rPr>
                <w:rFonts w:ascii="Times New Roman" w:eastAsia="Times New Roman" w:hAnsi="Times New Roman" w:cs="Times New Roman"/>
                <w:sz w:val="24"/>
                <w:szCs w:val="24"/>
              </w:rPr>
              <w:t>ai iekārtas apkalpot operatīvi –</w:t>
            </w:r>
            <w:r>
              <w:rPr>
                <w:rFonts w:ascii="Times New Roman" w:eastAsia="Times New Roman" w:hAnsi="Times New Roman" w:cs="Times New Roman"/>
                <w:sz w:val="24"/>
                <w:szCs w:val="24"/>
              </w:rPr>
              <w:t xml:space="preserve"> 48 stundu laikā (ja puses līgumā nav vienojušās par citu termiņu), kas novērš lietotāja dīkstāves.</w:t>
            </w:r>
          </w:p>
          <w:p w14:paraId="313F50F5" w14:textId="774137BD" w:rsidR="00BB6BD1" w:rsidRDefault="006A521C" w:rsidP="008D242A">
            <w:pPr>
              <w:spacing w:after="0" w:line="240" w:lineRule="auto"/>
              <w:ind w:firstLine="471"/>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lastRenderedPageBreak/>
              <w:t xml:space="preserve">Savukārt kārtība, kādā apkalpojošais dienests apkalpo specializētās ierīces vai iekārtas, ar minētajiem </w:t>
            </w:r>
            <w:r w:rsidR="00BB6BD1" w:rsidRPr="00BB6BD1">
              <w:rPr>
                <w:rFonts w:ascii="Times New Roman" w:eastAsia="Times New Roman" w:hAnsi="Times New Roman" w:cs="Times New Roman"/>
                <w:sz w:val="24"/>
                <w:szCs w:val="24"/>
              </w:rPr>
              <w:t xml:space="preserve">2015.gada 15.decembra grozījumiem Ministru kabineta noteikumos Nr.96 </w:t>
            </w:r>
            <w:r w:rsidRPr="00DF434B">
              <w:rPr>
                <w:rFonts w:ascii="Times New Roman" w:eastAsia="Times New Roman" w:hAnsi="Times New Roman" w:cs="Times New Roman"/>
                <w:sz w:val="24"/>
                <w:szCs w:val="24"/>
              </w:rPr>
              <w:t xml:space="preserve"> </w:t>
            </w:r>
            <w:r w:rsidR="00765E9D">
              <w:rPr>
                <w:rFonts w:ascii="Times New Roman" w:eastAsia="Times New Roman" w:hAnsi="Times New Roman" w:cs="Times New Roman"/>
                <w:sz w:val="24"/>
                <w:szCs w:val="24"/>
              </w:rPr>
              <w:t>nebija</w:t>
            </w:r>
            <w:r w:rsidR="00765E9D" w:rsidRPr="00DF434B">
              <w:rPr>
                <w:rFonts w:ascii="Times New Roman" w:eastAsia="Times New Roman" w:hAnsi="Times New Roman" w:cs="Times New Roman"/>
                <w:sz w:val="24"/>
                <w:szCs w:val="24"/>
              </w:rPr>
              <w:t xml:space="preserve"> </w:t>
            </w:r>
            <w:r w:rsidRPr="00DF434B">
              <w:rPr>
                <w:rFonts w:ascii="Times New Roman" w:eastAsia="Times New Roman" w:hAnsi="Times New Roman" w:cs="Times New Roman"/>
                <w:sz w:val="24"/>
                <w:szCs w:val="24"/>
              </w:rPr>
              <w:t>ietekmēta un savstarpējo attiecību noformējums attiecībā uz specializētām ierīcēm un iekārtām šobrīd ir pušu izvēle.</w:t>
            </w:r>
            <w:r w:rsidR="00477A8F">
              <w:rPr>
                <w:rFonts w:ascii="Times New Roman" w:eastAsia="Times New Roman" w:hAnsi="Times New Roman" w:cs="Times New Roman"/>
                <w:sz w:val="24"/>
                <w:szCs w:val="24"/>
              </w:rPr>
              <w:t xml:space="preserve"> </w:t>
            </w:r>
            <w:r w:rsidRPr="00DF434B">
              <w:rPr>
                <w:rFonts w:ascii="Times New Roman" w:eastAsia="Times New Roman" w:hAnsi="Times New Roman" w:cs="Times New Roman"/>
                <w:sz w:val="24"/>
                <w:szCs w:val="24"/>
              </w:rPr>
              <w:t>VID, veicot specializēto ierīču un iekārtu lietošanas kārtības uzraudzību, ir konstatējis, ka arī</w:t>
            </w:r>
            <w:r w:rsidRPr="00DF434B">
              <w:rPr>
                <w:rFonts w:ascii="Times New Roman" w:hAnsi="Times New Roman" w:cs="Times New Roman"/>
                <w:sz w:val="24"/>
                <w:szCs w:val="24"/>
              </w:rPr>
              <w:t xml:space="preserve"> attiecībā uz </w:t>
            </w:r>
            <w:r w:rsidRPr="00DF434B">
              <w:rPr>
                <w:rFonts w:ascii="Times New Roman" w:eastAsia="Times New Roman" w:hAnsi="Times New Roman" w:cs="Times New Roman"/>
                <w:sz w:val="24"/>
                <w:szCs w:val="24"/>
              </w:rPr>
              <w:t>specializē</w:t>
            </w:r>
            <w:r w:rsidR="00BC6896">
              <w:rPr>
                <w:rFonts w:ascii="Times New Roman" w:eastAsia="Times New Roman" w:hAnsi="Times New Roman" w:cs="Times New Roman"/>
                <w:sz w:val="24"/>
                <w:szCs w:val="24"/>
              </w:rPr>
              <w:t>to ierīču un iekārtu lietošanu</w:t>
            </w:r>
            <w:r w:rsidRPr="00DF434B">
              <w:rPr>
                <w:rFonts w:ascii="Times New Roman" w:eastAsia="Times New Roman" w:hAnsi="Times New Roman" w:cs="Times New Roman"/>
                <w:sz w:val="24"/>
                <w:szCs w:val="24"/>
              </w:rPr>
              <w:t xml:space="preserve"> ir nepieciešams noteikt obligātu prasību lietotājiem pirms specializēto ierīču un iekārtu reģistrēšanas VID vienotajā datubāzē (reģistrā) un lietošanas uzsākšanas slēgt rakstiskus līgumus ar apkalpojošiem dienestiem par apkalpošanu.</w:t>
            </w:r>
            <w:r w:rsidR="002F4851">
              <w:rPr>
                <w:rFonts w:ascii="Times New Roman" w:eastAsia="Times New Roman" w:hAnsi="Times New Roman" w:cs="Times New Roman"/>
                <w:sz w:val="24"/>
                <w:szCs w:val="24"/>
              </w:rPr>
              <w:t xml:space="preserve"> </w:t>
            </w:r>
          </w:p>
          <w:p w14:paraId="184637C7" w14:textId="087EFFF9" w:rsidR="008D242A" w:rsidRPr="00DF434B" w:rsidRDefault="002F4851" w:rsidP="008D242A">
            <w:pPr>
              <w:spacing w:after="0" w:line="240" w:lineRule="auto"/>
              <w:ind w:firstLine="4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Prasība slēgt līgumu par </w:t>
            </w:r>
            <w:r w:rsidR="002A1967">
              <w:rPr>
                <w:rFonts w:ascii="Times New Roman" w:eastAsia="Times New Roman" w:hAnsi="Times New Roman" w:cs="Times New Roman"/>
                <w:sz w:val="24"/>
                <w:szCs w:val="24"/>
              </w:rPr>
              <w:t xml:space="preserve">specializēto ierīču un iekārtu </w:t>
            </w:r>
            <w:r>
              <w:rPr>
                <w:rFonts w:ascii="Times New Roman" w:eastAsia="Times New Roman" w:hAnsi="Times New Roman" w:cs="Times New Roman"/>
                <w:sz w:val="24"/>
                <w:szCs w:val="24"/>
              </w:rPr>
              <w:t>apkalpošanu</w:t>
            </w:r>
            <w:r w:rsidR="002A1967">
              <w:rPr>
                <w:rFonts w:ascii="Times New Roman" w:eastAsia="Times New Roman" w:hAnsi="Times New Roman" w:cs="Times New Roman"/>
                <w:sz w:val="24"/>
                <w:szCs w:val="24"/>
              </w:rPr>
              <w:t xml:space="preserve"> nodrošinās vienotu pieeju visu elektronisko ierīču un iekārtu apkalpošanā,</w:t>
            </w:r>
            <w:r w:rsidR="00BB6BD1">
              <w:rPr>
                <w:rFonts w:ascii="Times New Roman" w:eastAsia="Times New Roman" w:hAnsi="Times New Roman" w:cs="Times New Roman"/>
                <w:sz w:val="24"/>
                <w:szCs w:val="24"/>
              </w:rPr>
              <w:t xml:space="preserve"> nodrošinās</w:t>
            </w:r>
            <w:r w:rsidR="002A1967">
              <w:rPr>
                <w:rFonts w:ascii="Times New Roman" w:eastAsia="Times New Roman" w:hAnsi="Times New Roman" w:cs="Times New Roman"/>
                <w:sz w:val="24"/>
                <w:szCs w:val="24"/>
              </w:rPr>
              <w:t xml:space="preserve"> pienākumu un atbildības sadalījum</w:t>
            </w:r>
            <w:r w:rsidR="00E04319">
              <w:rPr>
                <w:rFonts w:ascii="Times New Roman" w:eastAsia="Times New Roman" w:hAnsi="Times New Roman" w:cs="Times New Roman"/>
                <w:sz w:val="24"/>
                <w:szCs w:val="24"/>
              </w:rPr>
              <w:t>u</w:t>
            </w:r>
            <w:r w:rsidR="002A1967">
              <w:rPr>
                <w:rFonts w:ascii="Times New Roman" w:eastAsia="Times New Roman" w:hAnsi="Times New Roman" w:cs="Times New Roman"/>
                <w:sz w:val="24"/>
                <w:szCs w:val="24"/>
              </w:rPr>
              <w:t xml:space="preserve"> starp lietotāju un apkalpojošo dienestu, atvieglo</w:t>
            </w:r>
            <w:r w:rsidR="00E04319">
              <w:rPr>
                <w:rFonts w:ascii="Times New Roman" w:eastAsia="Times New Roman" w:hAnsi="Times New Roman" w:cs="Times New Roman"/>
                <w:sz w:val="24"/>
                <w:szCs w:val="24"/>
              </w:rPr>
              <w:t>s</w:t>
            </w:r>
            <w:r w:rsidR="002A1967">
              <w:rPr>
                <w:rFonts w:ascii="Times New Roman" w:eastAsia="Times New Roman" w:hAnsi="Times New Roman" w:cs="Times New Roman"/>
                <w:sz w:val="24"/>
                <w:szCs w:val="24"/>
              </w:rPr>
              <w:t xml:space="preserve"> lietošanas kārtības administrēšanu, </w:t>
            </w:r>
            <w:r w:rsidR="00BB6BD1">
              <w:rPr>
                <w:rFonts w:ascii="Times New Roman" w:eastAsia="Times New Roman" w:hAnsi="Times New Roman" w:cs="Times New Roman"/>
                <w:sz w:val="24"/>
                <w:szCs w:val="24"/>
              </w:rPr>
              <w:t xml:space="preserve">nodrošinās </w:t>
            </w:r>
            <w:r w:rsidR="002A1967">
              <w:rPr>
                <w:rFonts w:ascii="Times New Roman" w:eastAsia="Times New Roman" w:hAnsi="Times New Roman" w:cs="Times New Roman"/>
                <w:sz w:val="24"/>
                <w:szCs w:val="24"/>
              </w:rPr>
              <w:t xml:space="preserve">operatīvu specializēto ierīču un iekārtu apkalpošanu. </w:t>
            </w:r>
          </w:p>
          <w:p w14:paraId="58D69167" w14:textId="126FFED2" w:rsidR="008D242A" w:rsidRPr="00DF434B" w:rsidRDefault="006A521C" w:rsidP="00514C04">
            <w:pPr>
              <w:spacing w:after="0" w:line="240" w:lineRule="auto"/>
              <w:ind w:firstLine="466"/>
              <w:jc w:val="both"/>
              <w:rPr>
                <w:rFonts w:ascii="Times New Roman" w:eastAsia="Times New Roman" w:hAnsi="Times New Roman" w:cs="Times New Roman"/>
                <w:i/>
                <w:sz w:val="24"/>
                <w:szCs w:val="24"/>
              </w:rPr>
            </w:pPr>
            <w:r w:rsidRPr="00DF434B">
              <w:rPr>
                <w:rFonts w:ascii="Times New Roman" w:eastAsia="Times New Roman" w:hAnsi="Times New Roman" w:cs="Times New Roman"/>
                <w:sz w:val="24"/>
                <w:szCs w:val="24"/>
              </w:rPr>
              <w:t>Ņemot vērā minēto,</w:t>
            </w:r>
            <w:r w:rsidRPr="00DF434B">
              <w:rPr>
                <w:sz w:val="24"/>
                <w:szCs w:val="24"/>
              </w:rPr>
              <w:t xml:space="preserve"> </w:t>
            </w:r>
            <w:r w:rsidRPr="00DF434B">
              <w:rPr>
                <w:rFonts w:ascii="Times New Roman" w:eastAsia="Times New Roman" w:hAnsi="Times New Roman" w:cs="Times New Roman"/>
                <w:sz w:val="24"/>
                <w:szCs w:val="24"/>
              </w:rPr>
              <w:t>nepieciešams grozīt Ministru kabineta noteikumu Nr.96 12.</w:t>
            </w:r>
            <w:r w:rsidRPr="00DF434B">
              <w:rPr>
                <w:rFonts w:ascii="Times New Roman" w:eastAsia="Times New Roman" w:hAnsi="Times New Roman" w:cs="Times New Roman"/>
                <w:sz w:val="24"/>
                <w:szCs w:val="24"/>
                <w:vertAlign w:val="superscript"/>
              </w:rPr>
              <w:t xml:space="preserve">1 </w:t>
            </w:r>
            <w:r w:rsidR="0072678E" w:rsidRPr="00DF434B">
              <w:rPr>
                <w:rFonts w:ascii="Times New Roman" w:eastAsia="Times New Roman" w:hAnsi="Times New Roman" w:cs="Times New Roman"/>
                <w:sz w:val="24"/>
                <w:szCs w:val="24"/>
              </w:rPr>
              <w:t>un</w:t>
            </w:r>
            <w:r w:rsidRPr="00DF434B">
              <w:rPr>
                <w:rFonts w:ascii="Times New Roman" w:eastAsia="Times New Roman" w:hAnsi="Times New Roman" w:cs="Times New Roman"/>
                <w:sz w:val="24"/>
                <w:szCs w:val="24"/>
              </w:rPr>
              <w:t xml:space="preserve"> 12.</w:t>
            </w:r>
            <w:r w:rsidRPr="00DF434B">
              <w:rPr>
                <w:rFonts w:ascii="Times New Roman" w:eastAsia="Times New Roman" w:hAnsi="Times New Roman" w:cs="Times New Roman"/>
                <w:sz w:val="24"/>
                <w:szCs w:val="24"/>
                <w:vertAlign w:val="superscript"/>
              </w:rPr>
              <w:t xml:space="preserve">2 </w:t>
            </w:r>
            <w:r w:rsidRPr="00DF434B">
              <w:rPr>
                <w:rFonts w:ascii="Times New Roman" w:eastAsia="Times New Roman" w:hAnsi="Times New Roman" w:cs="Times New Roman"/>
                <w:sz w:val="24"/>
                <w:szCs w:val="24"/>
              </w:rPr>
              <w:t>punktu, 19.5.apakšpunktu, 20., 22.</w:t>
            </w:r>
            <w:r w:rsidRPr="00DF434B">
              <w:rPr>
                <w:rFonts w:ascii="Times New Roman" w:eastAsia="Times New Roman" w:hAnsi="Times New Roman" w:cs="Times New Roman"/>
                <w:sz w:val="24"/>
                <w:szCs w:val="24"/>
                <w:vertAlign w:val="superscript"/>
              </w:rPr>
              <w:t>2</w:t>
            </w:r>
            <w:r w:rsidRPr="00DF434B">
              <w:rPr>
                <w:rFonts w:ascii="Times New Roman" w:eastAsia="Times New Roman" w:hAnsi="Times New Roman" w:cs="Times New Roman"/>
                <w:sz w:val="24"/>
                <w:szCs w:val="24"/>
              </w:rPr>
              <w:t>, 29.punktu, 34.1.14. un 110.10.apakšpunktu</w:t>
            </w:r>
            <w:r w:rsidR="00765E9D">
              <w:rPr>
                <w:rFonts w:ascii="Times New Roman" w:eastAsia="Times New Roman" w:hAnsi="Times New Roman" w:cs="Times New Roman"/>
                <w:sz w:val="24"/>
                <w:szCs w:val="24"/>
              </w:rPr>
              <w:t>, kā arī svītrot</w:t>
            </w:r>
            <w:r w:rsidRPr="00DF434B">
              <w:rPr>
                <w:rFonts w:ascii="Times New Roman" w:eastAsia="Times New Roman" w:hAnsi="Times New Roman" w:cs="Times New Roman"/>
                <w:sz w:val="24"/>
                <w:szCs w:val="24"/>
              </w:rPr>
              <w:t xml:space="preserve"> </w:t>
            </w:r>
            <w:r w:rsidR="00765E9D" w:rsidRPr="00DF434B">
              <w:rPr>
                <w:rFonts w:ascii="Times New Roman" w:eastAsia="Times New Roman" w:hAnsi="Times New Roman" w:cs="Times New Roman"/>
                <w:sz w:val="24"/>
                <w:szCs w:val="24"/>
              </w:rPr>
              <w:t>20.</w:t>
            </w:r>
            <w:r w:rsidR="00765E9D" w:rsidRPr="00DF434B">
              <w:rPr>
                <w:rFonts w:ascii="Times New Roman" w:eastAsia="Times New Roman" w:hAnsi="Times New Roman" w:cs="Times New Roman"/>
                <w:sz w:val="24"/>
                <w:szCs w:val="24"/>
                <w:vertAlign w:val="superscript"/>
              </w:rPr>
              <w:t>1</w:t>
            </w:r>
            <w:r w:rsidR="00765E9D">
              <w:rPr>
                <w:rFonts w:ascii="Times New Roman" w:eastAsia="Times New Roman" w:hAnsi="Times New Roman" w:cs="Times New Roman"/>
                <w:sz w:val="24"/>
                <w:szCs w:val="24"/>
                <w:vertAlign w:val="superscript"/>
              </w:rPr>
              <w:t xml:space="preserve"> </w:t>
            </w:r>
            <w:r w:rsidR="00765E9D">
              <w:rPr>
                <w:rFonts w:ascii="Times New Roman" w:eastAsia="Times New Roman" w:hAnsi="Times New Roman" w:cs="Times New Roman"/>
                <w:sz w:val="24"/>
                <w:szCs w:val="24"/>
              </w:rPr>
              <w:t xml:space="preserve"> punktu</w:t>
            </w:r>
            <w:r w:rsidR="00765E9D" w:rsidRPr="00DF434B">
              <w:rPr>
                <w:rFonts w:ascii="Times New Roman" w:eastAsia="Times New Roman" w:hAnsi="Times New Roman" w:cs="Times New Roman"/>
                <w:sz w:val="24"/>
                <w:szCs w:val="24"/>
                <w:vertAlign w:val="superscript"/>
              </w:rPr>
              <w:t xml:space="preserve"> </w:t>
            </w:r>
            <w:r w:rsidRPr="00DF434B">
              <w:rPr>
                <w:rFonts w:ascii="Times New Roman" w:eastAsia="Times New Roman" w:hAnsi="Times New Roman" w:cs="Times New Roman"/>
                <w:sz w:val="24"/>
                <w:szCs w:val="24"/>
              </w:rPr>
              <w:t>(</w:t>
            </w:r>
            <w:r w:rsidR="003130BF" w:rsidRPr="00DF434B">
              <w:rPr>
                <w:rFonts w:ascii="Times New Roman" w:eastAsia="Times New Roman" w:hAnsi="Times New Roman" w:cs="Times New Roman"/>
                <w:i/>
                <w:sz w:val="24"/>
                <w:szCs w:val="24"/>
              </w:rPr>
              <w:t>Ministru kabineta noteikumu projekt</w:t>
            </w:r>
            <w:r w:rsidR="00501473">
              <w:rPr>
                <w:rFonts w:ascii="Times New Roman" w:eastAsia="Times New Roman" w:hAnsi="Times New Roman" w:cs="Times New Roman"/>
                <w:i/>
                <w:sz w:val="24"/>
                <w:szCs w:val="24"/>
              </w:rPr>
              <w:t>a</w:t>
            </w:r>
            <w:r w:rsidR="003130BF" w:rsidRPr="00DF434B">
              <w:rPr>
                <w:rFonts w:ascii="Times New Roman" w:eastAsia="Times New Roman" w:hAnsi="Times New Roman" w:cs="Times New Roman"/>
                <w:i/>
                <w:sz w:val="24"/>
                <w:szCs w:val="24"/>
              </w:rPr>
              <w:t xml:space="preserve"> "Grozījumi  Ministru kabineta 2014.gada 11.februāra noteikumos Nr.96 "Nodokļu un citu maksājumu reģistrēšanas elektronisko ierīču un iekārtu lietošanas kārtība"" (turpmāk – </w:t>
            </w:r>
            <w:r w:rsidRPr="00DF434B">
              <w:rPr>
                <w:rFonts w:ascii="Times New Roman" w:eastAsia="Times New Roman" w:hAnsi="Times New Roman" w:cs="Times New Roman"/>
                <w:i/>
                <w:sz w:val="24"/>
                <w:szCs w:val="24"/>
              </w:rPr>
              <w:t>noteikumu projekt</w:t>
            </w:r>
            <w:r w:rsidR="003130BF" w:rsidRPr="00DF434B">
              <w:rPr>
                <w:rFonts w:ascii="Times New Roman" w:eastAsia="Times New Roman" w:hAnsi="Times New Roman" w:cs="Times New Roman"/>
                <w:i/>
                <w:sz w:val="24"/>
                <w:szCs w:val="24"/>
              </w:rPr>
              <w:t>s)</w:t>
            </w:r>
            <w:r w:rsidRPr="00DF434B">
              <w:rPr>
                <w:rFonts w:ascii="Times New Roman" w:eastAsia="Times New Roman" w:hAnsi="Times New Roman" w:cs="Times New Roman"/>
                <w:i/>
                <w:sz w:val="24"/>
                <w:szCs w:val="24"/>
              </w:rPr>
              <w:t xml:space="preserve"> </w:t>
            </w:r>
            <w:r w:rsidR="00D767E6">
              <w:rPr>
                <w:rFonts w:ascii="Times New Roman" w:eastAsia="Times New Roman" w:hAnsi="Times New Roman" w:cs="Times New Roman"/>
                <w:i/>
                <w:sz w:val="24"/>
                <w:szCs w:val="24"/>
              </w:rPr>
              <w:t>2</w:t>
            </w:r>
            <w:r w:rsidRPr="00DF434B">
              <w:rPr>
                <w:rFonts w:ascii="Times New Roman" w:eastAsia="Times New Roman" w:hAnsi="Times New Roman" w:cs="Times New Roman"/>
                <w:i/>
                <w:sz w:val="24"/>
                <w:szCs w:val="24"/>
              </w:rPr>
              <w:t>.,</w:t>
            </w:r>
            <w:r w:rsidR="001203CC">
              <w:rPr>
                <w:rFonts w:ascii="Times New Roman" w:eastAsia="Times New Roman" w:hAnsi="Times New Roman" w:cs="Times New Roman"/>
                <w:i/>
                <w:sz w:val="24"/>
                <w:szCs w:val="24"/>
              </w:rPr>
              <w:t xml:space="preserve"> </w:t>
            </w:r>
            <w:r w:rsidR="00D767E6">
              <w:rPr>
                <w:rFonts w:ascii="Times New Roman" w:eastAsia="Times New Roman" w:hAnsi="Times New Roman" w:cs="Times New Roman"/>
                <w:i/>
                <w:sz w:val="24"/>
                <w:szCs w:val="24"/>
              </w:rPr>
              <w:t>3</w:t>
            </w:r>
            <w:r w:rsidR="001203CC">
              <w:rPr>
                <w:rFonts w:ascii="Times New Roman" w:eastAsia="Times New Roman" w:hAnsi="Times New Roman" w:cs="Times New Roman"/>
                <w:i/>
                <w:sz w:val="24"/>
                <w:szCs w:val="24"/>
              </w:rPr>
              <w:t>.,</w:t>
            </w:r>
            <w:r w:rsidRPr="00DF434B">
              <w:rPr>
                <w:rFonts w:ascii="Times New Roman" w:eastAsia="Times New Roman" w:hAnsi="Times New Roman" w:cs="Times New Roman"/>
                <w:i/>
                <w:sz w:val="24"/>
                <w:szCs w:val="24"/>
              </w:rPr>
              <w:t xml:space="preserve"> </w:t>
            </w:r>
            <w:r w:rsidR="00D767E6">
              <w:rPr>
                <w:rFonts w:ascii="Times New Roman" w:eastAsia="Times New Roman" w:hAnsi="Times New Roman" w:cs="Times New Roman"/>
                <w:i/>
                <w:sz w:val="24"/>
                <w:szCs w:val="24"/>
              </w:rPr>
              <w:t>6</w:t>
            </w:r>
            <w:r w:rsidRPr="00DF434B">
              <w:rPr>
                <w:rFonts w:ascii="Times New Roman" w:eastAsia="Times New Roman" w:hAnsi="Times New Roman" w:cs="Times New Roman"/>
                <w:i/>
                <w:sz w:val="24"/>
                <w:szCs w:val="24"/>
              </w:rPr>
              <w:t>.,</w:t>
            </w:r>
            <w:r w:rsidR="00D767E6">
              <w:rPr>
                <w:rFonts w:ascii="Times New Roman" w:eastAsia="Times New Roman" w:hAnsi="Times New Roman" w:cs="Times New Roman"/>
                <w:i/>
                <w:sz w:val="24"/>
                <w:szCs w:val="24"/>
              </w:rPr>
              <w:t>7</w:t>
            </w:r>
            <w:r w:rsidR="00765E9D">
              <w:rPr>
                <w:rFonts w:ascii="Times New Roman" w:eastAsia="Times New Roman" w:hAnsi="Times New Roman" w:cs="Times New Roman"/>
                <w:i/>
                <w:sz w:val="24"/>
                <w:szCs w:val="24"/>
              </w:rPr>
              <w:t>.,</w:t>
            </w:r>
            <w:r w:rsidR="00D767E6">
              <w:rPr>
                <w:rFonts w:ascii="Times New Roman" w:eastAsia="Times New Roman" w:hAnsi="Times New Roman" w:cs="Times New Roman"/>
                <w:i/>
                <w:sz w:val="24"/>
                <w:szCs w:val="24"/>
              </w:rPr>
              <w:t>8</w:t>
            </w:r>
            <w:r w:rsidRPr="00DF434B">
              <w:rPr>
                <w:rFonts w:ascii="Times New Roman" w:eastAsia="Times New Roman" w:hAnsi="Times New Roman" w:cs="Times New Roman"/>
                <w:i/>
                <w:sz w:val="24"/>
                <w:szCs w:val="24"/>
              </w:rPr>
              <w:t>.,</w:t>
            </w:r>
            <w:r w:rsidR="00D767E6">
              <w:rPr>
                <w:rFonts w:ascii="Times New Roman" w:eastAsia="Times New Roman" w:hAnsi="Times New Roman" w:cs="Times New Roman"/>
                <w:i/>
                <w:sz w:val="24"/>
                <w:szCs w:val="24"/>
              </w:rPr>
              <w:t>9</w:t>
            </w:r>
            <w:r w:rsidR="00765E9D">
              <w:rPr>
                <w:rFonts w:ascii="Times New Roman" w:eastAsia="Times New Roman" w:hAnsi="Times New Roman" w:cs="Times New Roman"/>
                <w:i/>
                <w:sz w:val="24"/>
                <w:szCs w:val="24"/>
              </w:rPr>
              <w:t>.,</w:t>
            </w:r>
            <w:r w:rsidR="00D767E6">
              <w:rPr>
                <w:rFonts w:ascii="Times New Roman" w:eastAsia="Times New Roman" w:hAnsi="Times New Roman" w:cs="Times New Roman"/>
                <w:i/>
                <w:sz w:val="24"/>
                <w:szCs w:val="24"/>
              </w:rPr>
              <w:t>1</w:t>
            </w:r>
            <w:r w:rsidR="007B6BDC">
              <w:rPr>
                <w:rFonts w:ascii="Times New Roman" w:eastAsia="Times New Roman" w:hAnsi="Times New Roman" w:cs="Times New Roman"/>
                <w:i/>
                <w:sz w:val="24"/>
                <w:szCs w:val="24"/>
              </w:rPr>
              <w:t>1</w:t>
            </w:r>
            <w:r w:rsidR="001203CC">
              <w:rPr>
                <w:rFonts w:ascii="Times New Roman" w:eastAsia="Times New Roman" w:hAnsi="Times New Roman" w:cs="Times New Roman"/>
                <w:i/>
                <w:sz w:val="24"/>
                <w:szCs w:val="24"/>
              </w:rPr>
              <w:t>.,</w:t>
            </w:r>
            <w:r w:rsidR="00D767E6">
              <w:rPr>
                <w:rFonts w:ascii="Times New Roman" w:eastAsia="Times New Roman" w:hAnsi="Times New Roman" w:cs="Times New Roman"/>
                <w:i/>
                <w:sz w:val="24"/>
                <w:szCs w:val="24"/>
              </w:rPr>
              <w:t>14</w:t>
            </w:r>
            <w:r w:rsidRPr="00DF434B">
              <w:rPr>
                <w:rFonts w:ascii="Times New Roman" w:eastAsia="Times New Roman" w:hAnsi="Times New Roman" w:cs="Times New Roman"/>
                <w:i/>
                <w:sz w:val="24"/>
                <w:szCs w:val="24"/>
              </w:rPr>
              <w:t xml:space="preserve">. un </w:t>
            </w:r>
            <w:r w:rsidR="006E0625">
              <w:rPr>
                <w:rFonts w:ascii="Times New Roman" w:eastAsia="Times New Roman" w:hAnsi="Times New Roman" w:cs="Times New Roman"/>
                <w:i/>
                <w:sz w:val="24"/>
                <w:szCs w:val="24"/>
              </w:rPr>
              <w:t>2</w:t>
            </w:r>
            <w:r w:rsidR="001203CC">
              <w:rPr>
                <w:rFonts w:ascii="Times New Roman" w:eastAsia="Times New Roman" w:hAnsi="Times New Roman" w:cs="Times New Roman"/>
                <w:i/>
                <w:sz w:val="24"/>
                <w:szCs w:val="24"/>
              </w:rPr>
              <w:t>4</w:t>
            </w:r>
            <w:r w:rsidRPr="00DF434B">
              <w:rPr>
                <w:rFonts w:ascii="Times New Roman" w:eastAsia="Times New Roman" w:hAnsi="Times New Roman" w:cs="Times New Roman"/>
                <w:i/>
                <w:sz w:val="24"/>
                <w:szCs w:val="24"/>
              </w:rPr>
              <w:t>. punkts).</w:t>
            </w:r>
          </w:p>
          <w:p w14:paraId="3A94FA87" w14:textId="77777777" w:rsidR="008D242A" w:rsidRPr="00DF434B" w:rsidRDefault="008D242A" w:rsidP="003A5265">
            <w:pPr>
              <w:spacing w:after="0" w:line="240" w:lineRule="auto"/>
              <w:ind w:firstLine="409"/>
              <w:jc w:val="both"/>
              <w:rPr>
                <w:rFonts w:ascii="Times New Roman" w:eastAsia="Times New Roman" w:hAnsi="Times New Roman" w:cs="Times New Roman"/>
                <w:sz w:val="24"/>
                <w:szCs w:val="24"/>
              </w:rPr>
            </w:pPr>
          </w:p>
          <w:p w14:paraId="005BEC48" w14:textId="365568E4" w:rsidR="008D242A" w:rsidRPr="00DF434B" w:rsidRDefault="006A521C" w:rsidP="00514C04">
            <w:pPr>
              <w:spacing w:after="0" w:line="240" w:lineRule="auto"/>
              <w:ind w:firstLine="466"/>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t>2. Ņemot vērā, ka elektronisko ierīču un iekārtu apkalpojošie dienesti un lietotāji informāciju par elektronisko ierīču un iekārtu reģistrāciju, lietošanas atsākšanu vai izslēgšanu no VID vienotās d</w:t>
            </w:r>
            <w:r w:rsidR="00702EF8" w:rsidRPr="00DF434B">
              <w:rPr>
                <w:rFonts w:ascii="Times New Roman" w:eastAsia="Times New Roman" w:hAnsi="Times New Roman" w:cs="Times New Roman"/>
                <w:sz w:val="24"/>
                <w:szCs w:val="24"/>
              </w:rPr>
              <w:t>atubāzes (reģistra) iesniedz VID</w:t>
            </w:r>
            <w:r w:rsidRPr="00DF434B">
              <w:rPr>
                <w:rFonts w:ascii="Times New Roman" w:eastAsia="Times New Roman" w:hAnsi="Times New Roman" w:cs="Times New Roman"/>
                <w:sz w:val="24"/>
                <w:szCs w:val="24"/>
              </w:rPr>
              <w:t xml:space="preserve"> attālināti, izmantojot VID Elektroniskās deklarēšanas sistēmu, ierakstu elektroniskās ierīces vai iekārtas tehniskajā pasē par veiktajām darbībām ar elektronisko ierīci vai iekārtu </w:t>
            </w:r>
            <w:r w:rsidR="00702EF8" w:rsidRPr="00DF434B">
              <w:rPr>
                <w:rFonts w:ascii="Times New Roman" w:eastAsia="Times New Roman" w:hAnsi="Times New Roman" w:cs="Times New Roman"/>
                <w:sz w:val="24"/>
                <w:szCs w:val="24"/>
              </w:rPr>
              <w:t xml:space="preserve">vairs </w:t>
            </w:r>
            <w:r w:rsidRPr="00DF434B">
              <w:rPr>
                <w:rFonts w:ascii="Times New Roman" w:eastAsia="Times New Roman" w:hAnsi="Times New Roman" w:cs="Times New Roman"/>
                <w:sz w:val="24"/>
                <w:szCs w:val="24"/>
              </w:rPr>
              <w:t>nav nepieciešams apstiprināt ar VID amatpersonas veiktu atzīmi.</w:t>
            </w:r>
            <w:r w:rsidR="00A874FC" w:rsidRPr="00DF434B">
              <w:rPr>
                <w:rFonts w:ascii="Times New Roman" w:eastAsia="Times New Roman" w:hAnsi="Times New Roman" w:cs="Times New Roman"/>
                <w:sz w:val="24"/>
                <w:szCs w:val="24"/>
              </w:rPr>
              <w:t xml:space="preserve"> </w:t>
            </w:r>
          </w:p>
          <w:p w14:paraId="61843476" w14:textId="266BFB56" w:rsidR="008D242A" w:rsidRPr="00DF434B" w:rsidRDefault="007367AF" w:rsidP="00514C04">
            <w:pPr>
              <w:spacing w:after="0" w:line="240" w:lineRule="auto"/>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Tādē</w:t>
            </w:r>
            <w:r w:rsidR="006A521C">
              <w:rPr>
                <w:rFonts w:ascii="Times New Roman" w:eastAsia="Times New Roman" w:hAnsi="Times New Roman" w:cs="Times New Roman"/>
                <w:sz w:val="24"/>
                <w:szCs w:val="24"/>
              </w:rPr>
              <w:t>jādi</w:t>
            </w:r>
            <w:r w:rsidR="00CD0587" w:rsidRPr="00DF434B">
              <w:rPr>
                <w:rFonts w:ascii="Times New Roman" w:eastAsia="Times New Roman" w:hAnsi="Times New Roman" w:cs="Times New Roman"/>
                <w:sz w:val="24"/>
                <w:szCs w:val="24"/>
              </w:rPr>
              <w:t xml:space="preserve"> ir nepieciešams grozīt Ministru kabineta noteikumu Nr.96 34.1.13. un 35.1.apakšpunktu, izslēdzot prasību ierakstu </w:t>
            </w:r>
            <w:r w:rsidR="00765E9D" w:rsidRPr="00765E9D">
              <w:rPr>
                <w:rFonts w:ascii="Times New Roman" w:eastAsia="Times New Roman" w:hAnsi="Times New Roman" w:cs="Times New Roman"/>
                <w:sz w:val="24"/>
                <w:szCs w:val="24"/>
              </w:rPr>
              <w:t xml:space="preserve">elektroniskās </w:t>
            </w:r>
            <w:r w:rsidR="00CD0587" w:rsidRPr="00DF434B">
              <w:rPr>
                <w:rFonts w:ascii="Times New Roman" w:eastAsia="Times New Roman" w:hAnsi="Times New Roman" w:cs="Times New Roman"/>
                <w:sz w:val="24"/>
                <w:szCs w:val="24"/>
              </w:rPr>
              <w:t>ierīces vai iekārtas tehniskajā pasē par elektronisko ierīču un iekārtu reģistrāciju, lietošanas atsākšanu vai izslēgšanu no VID vienotās datubāzes (reģistra)</w:t>
            </w:r>
            <w:r w:rsidR="00CD0587" w:rsidRPr="00DF434B">
              <w:rPr>
                <w:sz w:val="24"/>
                <w:szCs w:val="24"/>
              </w:rPr>
              <w:t xml:space="preserve"> </w:t>
            </w:r>
            <w:r w:rsidR="00CD0587" w:rsidRPr="00DF434B">
              <w:rPr>
                <w:rFonts w:ascii="Times New Roman" w:eastAsia="Times New Roman" w:hAnsi="Times New Roman" w:cs="Times New Roman"/>
                <w:sz w:val="24"/>
                <w:szCs w:val="24"/>
              </w:rPr>
              <w:t>apstiprināt ar VID amatpersonas veiktu atzīmi (</w:t>
            </w:r>
            <w:r w:rsidR="00CD0587" w:rsidRPr="00DF434B">
              <w:rPr>
                <w:rFonts w:ascii="Times New Roman" w:eastAsia="Times New Roman" w:hAnsi="Times New Roman" w:cs="Times New Roman"/>
                <w:i/>
                <w:sz w:val="24"/>
                <w:szCs w:val="24"/>
              </w:rPr>
              <w:t xml:space="preserve">noteikumu projekta </w:t>
            </w:r>
            <w:r w:rsidR="00D767E6">
              <w:rPr>
                <w:rFonts w:ascii="Times New Roman" w:eastAsia="Times New Roman" w:hAnsi="Times New Roman" w:cs="Times New Roman"/>
                <w:i/>
                <w:sz w:val="24"/>
                <w:szCs w:val="24"/>
              </w:rPr>
              <w:t>13</w:t>
            </w:r>
            <w:r w:rsidR="00CD0587" w:rsidRPr="00DF434B">
              <w:rPr>
                <w:rFonts w:ascii="Times New Roman" w:eastAsia="Times New Roman" w:hAnsi="Times New Roman" w:cs="Times New Roman"/>
                <w:i/>
                <w:sz w:val="24"/>
                <w:szCs w:val="24"/>
              </w:rPr>
              <w:t xml:space="preserve">. un </w:t>
            </w:r>
            <w:r w:rsidR="00D767E6">
              <w:rPr>
                <w:rFonts w:ascii="Times New Roman" w:eastAsia="Times New Roman" w:hAnsi="Times New Roman" w:cs="Times New Roman"/>
                <w:i/>
                <w:sz w:val="24"/>
                <w:szCs w:val="24"/>
              </w:rPr>
              <w:t>16</w:t>
            </w:r>
            <w:r w:rsidR="00CD0587" w:rsidRPr="00DF434B">
              <w:rPr>
                <w:rFonts w:ascii="Times New Roman" w:eastAsia="Times New Roman" w:hAnsi="Times New Roman" w:cs="Times New Roman"/>
                <w:i/>
                <w:sz w:val="24"/>
                <w:szCs w:val="24"/>
              </w:rPr>
              <w:t>.punkts</w:t>
            </w:r>
            <w:r w:rsidR="00CD0587" w:rsidRPr="00DF434B">
              <w:rPr>
                <w:rFonts w:ascii="Times New Roman" w:eastAsia="Times New Roman" w:hAnsi="Times New Roman" w:cs="Times New Roman"/>
                <w:sz w:val="24"/>
                <w:szCs w:val="24"/>
              </w:rPr>
              <w:t xml:space="preserve">). </w:t>
            </w:r>
          </w:p>
          <w:p w14:paraId="0C1A64CA" w14:textId="48B2F321" w:rsidR="00AB79E6" w:rsidRPr="00DF434B" w:rsidRDefault="00AB79E6" w:rsidP="003A5265">
            <w:pPr>
              <w:spacing w:after="0" w:line="240" w:lineRule="auto"/>
              <w:ind w:firstLine="409"/>
              <w:jc w:val="both"/>
              <w:rPr>
                <w:rFonts w:ascii="Times New Roman" w:eastAsia="Times New Roman" w:hAnsi="Times New Roman" w:cs="Times New Roman"/>
                <w:sz w:val="24"/>
                <w:szCs w:val="24"/>
              </w:rPr>
            </w:pPr>
          </w:p>
          <w:p w14:paraId="7615EAFF" w14:textId="06BA04A0" w:rsidR="008D242A" w:rsidRPr="00DF434B" w:rsidRDefault="00C87C4E" w:rsidP="00514C04">
            <w:pPr>
              <w:spacing w:after="0" w:line="240" w:lineRule="auto"/>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D0587" w:rsidRPr="00DF434B">
              <w:rPr>
                <w:rFonts w:ascii="Times New Roman" w:eastAsia="Times New Roman" w:hAnsi="Times New Roman" w:cs="Times New Roman"/>
                <w:sz w:val="24"/>
                <w:szCs w:val="24"/>
              </w:rPr>
              <w:t xml:space="preserve">. </w:t>
            </w:r>
            <w:r w:rsidR="00CD0587" w:rsidRPr="00DF434B">
              <w:rPr>
                <w:rFonts w:ascii="Times New Roman" w:hAnsi="Times New Roman" w:cs="Times New Roman"/>
                <w:sz w:val="24"/>
                <w:szCs w:val="24"/>
              </w:rPr>
              <w:t>Atbilstoši</w:t>
            </w:r>
            <w:r w:rsidR="00CD0587" w:rsidRPr="00DF434B">
              <w:rPr>
                <w:sz w:val="24"/>
                <w:szCs w:val="24"/>
              </w:rPr>
              <w:t xml:space="preserve"> </w:t>
            </w:r>
            <w:r w:rsidR="00CD0587" w:rsidRPr="00DF434B">
              <w:rPr>
                <w:rFonts w:ascii="Times New Roman" w:eastAsia="Times New Roman" w:hAnsi="Times New Roman" w:cs="Times New Roman"/>
                <w:sz w:val="24"/>
                <w:szCs w:val="24"/>
              </w:rPr>
              <w:t>Ministru kabineta noteikumos Nr.96 noteiktajam</w:t>
            </w:r>
            <w:r w:rsidR="00553C84" w:rsidRPr="00DF434B">
              <w:rPr>
                <w:rFonts w:ascii="Times New Roman" w:eastAsia="Times New Roman" w:hAnsi="Times New Roman" w:cs="Times New Roman"/>
                <w:sz w:val="24"/>
                <w:szCs w:val="24"/>
              </w:rPr>
              <w:t>,</w:t>
            </w:r>
            <w:r w:rsidR="00CD0587" w:rsidRPr="00DF434B">
              <w:rPr>
                <w:rFonts w:ascii="Times New Roman" w:eastAsia="Times New Roman" w:hAnsi="Times New Roman" w:cs="Times New Roman"/>
                <w:sz w:val="24"/>
                <w:szCs w:val="24"/>
              </w:rPr>
              <w:t xml:space="preserve"> nodokļu un citu maksājumu reģistrēšanas elektronisko ierīču un iekārtu </w:t>
            </w:r>
            <w:r w:rsidR="001E56C8" w:rsidRPr="00DF434B">
              <w:rPr>
                <w:rFonts w:ascii="Times New Roman" w:eastAsia="Times New Roman" w:hAnsi="Times New Roman" w:cs="Times New Roman"/>
                <w:sz w:val="24"/>
                <w:szCs w:val="24"/>
              </w:rPr>
              <w:t>modeļu,</w:t>
            </w:r>
            <w:r w:rsidR="00CD0587" w:rsidRPr="00DF434B">
              <w:rPr>
                <w:rFonts w:ascii="Times New Roman" w:eastAsia="Times New Roman" w:hAnsi="Times New Roman" w:cs="Times New Roman"/>
                <w:sz w:val="24"/>
                <w:szCs w:val="24"/>
              </w:rPr>
              <w:t xml:space="preserve"> modifikāciju</w:t>
            </w:r>
            <w:r w:rsidR="001E56C8" w:rsidRPr="00DF434B">
              <w:rPr>
                <w:rFonts w:ascii="Times New Roman" w:eastAsia="Times New Roman" w:hAnsi="Times New Roman" w:cs="Times New Roman"/>
                <w:sz w:val="24"/>
                <w:szCs w:val="24"/>
              </w:rPr>
              <w:t xml:space="preserve"> vai programmas versiju</w:t>
            </w:r>
            <w:r w:rsidR="00CD0587" w:rsidRPr="00DF434B">
              <w:rPr>
                <w:rFonts w:ascii="Times New Roman" w:eastAsia="Times New Roman" w:hAnsi="Times New Roman" w:cs="Times New Roman"/>
                <w:sz w:val="24"/>
                <w:szCs w:val="24"/>
              </w:rPr>
              <w:t xml:space="preserve"> atbilstības pārbaudi </w:t>
            </w:r>
            <w:r w:rsidR="00E64BFC">
              <w:rPr>
                <w:rFonts w:ascii="Times New Roman" w:eastAsia="Times New Roman" w:hAnsi="Times New Roman" w:cs="Times New Roman"/>
                <w:sz w:val="24"/>
                <w:szCs w:val="24"/>
              </w:rPr>
              <w:t xml:space="preserve">normatīvajos aktos noteiktajām </w:t>
            </w:r>
            <w:r w:rsidR="00CD0587" w:rsidRPr="00DF434B">
              <w:rPr>
                <w:rFonts w:ascii="Times New Roman" w:eastAsia="Times New Roman" w:hAnsi="Times New Roman" w:cs="Times New Roman"/>
                <w:sz w:val="24"/>
                <w:szCs w:val="24"/>
              </w:rPr>
              <w:t>nodokļu un citu maksājumu reģistrēšanas elektronisko ierīču un iekārtu tehniskajām prasībām veic atbilstības pārbaudes institūcijas.</w:t>
            </w:r>
          </w:p>
          <w:p w14:paraId="41E534F1" w14:textId="63F92748" w:rsidR="008D242A" w:rsidRPr="00DF434B" w:rsidRDefault="006A521C" w:rsidP="00514C04">
            <w:pPr>
              <w:spacing w:after="0" w:line="240" w:lineRule="auto"/>
              <w:ind w:firstLine="466"/>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t xml:space="preserve">Ja </w:t>
            </w:r>
            <w:r w:rsidR="00553C84" w:rsidRPr="00DF434B">
              <w:rPr>
                <w:rFonts w:ascii="Times New Roman" w:eastAsia="Times New Roman" w:hAnsi="Times New Roman" w:cs="Times New Roman"/>
                <w:sz w:val="24"/>
                <w:szCs w:val="24"/>
              </w:rPr>
              <w:t xml:space="preserve">elektroniskās </w:t>
            </w:r>
            <w:r w:rsidRPr="00DF434B">
              <w:rPr>
                <w:rFonts w:ascii="Times New Roman" w:eastAsia="Times New Roman" w:hAnsi="Times New Roman" w:cs="Times New Roman"/>
                <w:sz w:val="24"/>
                <w:szCs w:val="24"/>
              </w:rPr>
              <w:t xml:space="preserve">ierīces vai iekārtas modelis </w:t>
            </w:r>
            <w:r w:rsidR="003E42B8">
              <w:rPr>
                <w:rFonts w:ascii="Times New Roman" w:eastAsia="Times New Roman" w:hAnsi="Times New Roman" w:cs="Times New Roman"/>
                <w:sz w:val="24"/>
                <w:szCs w:val="24"/>
              </w:rPr>
              <w:t>(</w:t>
            </w:r>
            <w:r w:rsidRPr="00DF434B">
              <w:rPr>
                <w:rFonts w:ascii="Times New Roman" w:eastAsia="Times New Roman" w:hAnsi="Times New Roman" w:cs="Times New Roman"/>
                <w:sz w:val="24"/>
                <w:szCs w:val="24"/>
              </w:rPr>
              <w:t>modifikācija</w:t>
            </w:r>
            <w:r w:rsidR="003E42B8">
              <w:rPr>
                <w:rFonts w:ascii="Times New Roman" w:eastAsia="Times New Roman" w:hAnsi="Times New Roman" w:cs="Times New Roman"/>
                <w:sz w:val="24"/>
                <w:szCs w:val="24"/>
              </w:rPr>
              <w:t>)</w:t>
            </w:r>
            <w:r w:rsidRPr="00DF434B">
              <w:rPr>
                <w:rFonts w:ascii="Times New Roman" w:eastAsia="Times New Roman" w:hAnsi="Times New Roman" w:cs="Times New Roman"/>
                <w:sz w:val="24"/>
                <w:szCs w:val="24"/>
              </w:rPr>
              <w:t xml:space="preserve"> atbilst </w:t>
            </w:r>
            <w:r w:rsidR="00E64BFC" w:rsidRPr="00E64BFC">
              <w:rPr>
                <w:rFonts w:ascii="Times New Roman" w:eastAsia="Times New Roman" w:hAnsi="Times New Roman" w:cs="Times New Roman"/>
                <w:sz w:val="24"/>
                <w:szCs w:val="24"/>
              </w:rPr>
              <w:t xml:space="preserve">normatīvajos aktos noteiktajām </w:t>
            </w:r>
            <w:r w:rsidRPr="00DF434B">
              <w:rPr>
                <w:rFonts w:ascii="Times New Roman" w:eastAsia="Times New Roman" w:hAnsi="Times New Roman" w:cs="Times New Roman"/>
                <w:sz w:val="24"/>
                <w:szCs w:val="24"/>
              </w:rPr>
              <w:t xml:space="preserve">tehniskajām prasībām, </w:t>
            </w:r>
            <w:r w:rsidRPr="00DF434B">
              <w:rPr>
                <w:rFonts w:ascii="Times New Roman" w:eastAsia="Times New Roman" w:hAnsi="Times New Roman" w:cs="Times New Roman"/>
                <w:sz w:val="24"/>
                <w:szCs w:val="24"/>
              </w:rPr>
              <w:lastRenderedPageBreak/>
              <w:t>atbilstības pārbaudes institūcija izsniedz apkalpojošam dienestam un nosūta VID attiecīgu atbilstības apliecinājumu.</w:t>
            </w:r>
          </w:p>
          <w:p w14:paraId="112CE895" w14:textId="048532CC" w:rsidR="008D242A" w:rsidRPr="00DF434B" w:rsidRDefault="006A521C" w:rsidP="00514C04">
            <w:pPr>
              <w:spacing w:after="0" w:line="240" w:lineRule="auto"/>
              <w:ind w:firstLine="466"/>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t>Konstatējot neatbilstības</w:t>
            </w:r>
            <w:r w:rsidR="00553C84" w:rsidRPr="00DF434B">
              <w:rPr>
                <w:rFonts w:ascii="Times New Roman" w:eastAsia="Times New Roman" w:hAnsi="Times New Roman" w:cs="Times New Roman"/>
                <w:sz w:val="24"/>
                <w:szCs w:val="24"/>
              </w:rPr>
              <w:t xml:space="preserve"> </w:t>
            </w:r>
            <w:r w:rsidR="00E64BFC" w:rsidRPr="00E64BFC">
              <w:rPr>
                <w:rFonts w:ascii="Times New Roman" w:eastAsia="Times New Roman" w:hAnsi="Times New Roman" w:cs="Times New Roman"/>
                <w:sz w:val="24"/>
                <w:szCs w:val="24"/>
              </w:rPr>
              <w:t xml:space="preserve">normatīvajos aktos </w:t>
            </w:r>
            <w:r w:rsidR="00553C84" w:rsidRPr="00DF434B">
              <w:rPr>
                <w:rFonts w:ascii="Times New Roman" w:eastAsia="Times New Roman" w:hAnsi="Times New Roman" w:cs="Times New Roman"/>
                <w:sz w:val="24"/>
                <w:szCs w:val="24"/>
              </w:rPr>
              <w:t>noteiktajām tehniskajām prasībām pārbaudāmajā elektroniskajā ierīcē vai iekārtā</w:t>
            </w:r>
            <w:r w:rsidRPr="00DF434B">
              <w:rPr>
                <w:rFonts w:ascii="Times New Roman" w:eastAsia="Times New Roman" w:hAnsi="Times New Roman" w:cs="Times New Roman"/>
                <w:sz w:val="24"/>
                <w:szCs w:val="24"/>
              </w:rPr>
              <w:t xml:space="preserve">, </w:t>
            </w:r>
            <w:r w:rsidR="00E64BFC">
              <w:rPr>
                <w:rFonts w:ascii="Times New Roman" w:eastAsia="Times New Roman" w:hAnsi="Times New Roman" w:cs="Times New Roman"/>
                <w:sz w:val="24"/>
                <w:szCs w:val="24"/>
              </w:rPr>
              <w:t xml:space="preserve">šobrīd </w:t>
            </w:r>
            <w:r w:rsidRPr="00DF434B">
              <w:rPr>
                <w:rFonts w:ascii="Times New Roman" w:eastAsia="Times New Roman" w:hAnsi="Times New Roman" w:cs="Times New Roman"/>
                <w:sz w:val="24"/>
                <w:szCs w:val="24"/>
              </w:rPr>
              <w:t xml:space="preserve">atbilstības pārbaudes institūcija izsniedz apkalpojošam dienestam informāciju par konstatētajām </w:t>
            </w:r>
            <w:r w:rsidR="00553C84" w:rsidRPr="00DF434B">
              <w:rPr>
                <w:rFonts w:ascii="Times New Roman" w:eastAsia="Times New Roman" w:hAnsi="Times New Roman" w:cs="Times New Roman"/>
                <w:sz w:val="24"/>
                <w:szCs w:val="24"/>
              </w:rPr>
              <w:t>neatbilstībām</w:t>
            </w:r>
            <w:r w:rsidRPr="00DF434B">
              <w:rPr>
                <w:rFonts w:ascii="Times New Roman" w:eastAsia="Times New Roman" w:hAnsi="Times New Roman" w:cs="Times New Roman"/>
                <w:sz w:val="24"/>
                <w:szCs w:val="24"/>
              </w:rPr>
              <w:t xml:space="preserve">, kuras novēršot, apkalpojošam dienestam </w:t>
            </w:r>
            <w:r w:rsidR="00765E9D">
              <w:rPr>
                <w:rFonts w:ascii="Times New Roman" w:eastAsia="Times New Roman" w:hAnsi="Times New Roman" w:cs="Times New Roman"/>
                <w:sz w:val="24"/>
                <w:szCs w:val="24"/>
              </w:rPr>
              <w:t>būs</w:t>
            </w:r>
            <w:r w:rsidR="00765E9D" w:rsidRPr="00DF434B">
              <w:rPr>
                <w:rFonts w:ascii="Times New Roman" w:eastAsia="Times New Roman" w:hAnsi="Times New Roman" w:cs="Times New Roman"/>
                <w:sz w:val="24"/>
                <w:szCs w:val="24"/>
              </w:rPr>
              <w:t xml:space="preserve"> </w:t>
            </w:r>
            <w:r w:rsidRPr="00DF434B">
              <w:rPr>
                <w:rFonts w:ascii="Times New Roman" w:eastAsia="Times New Roman" w:hAnsi="Times New Roman" w:cs="Times New Roman"/>
                <w:sz w:val="24"/>
                <w:szCs w:val="24"/>
              </w:rPr>
              <w:t>izsnieg</w:t>
            </w:r>
            <w:r w:rsidR="00A947F7" w:rsidRPr="00DF434B">
              <w:rPr>
                <w:rFonts w:ascii="Times New Roman" w:eastAsia="Times New Roman" w:hAnsi="Times New Roman" w:cs="Times New Roman"/>
                <w:sz w:val="24"/>
                <w:szCs w:val="24"/>
              </w:rPr>
              <w:t>t</w:t>
            </w:r>
            <w:r w:rsidRPr="00DF434B">
              <w:rPr>
                <w:rFonts w:ascii="Times New Roman" w:eastAsia="Times New Roman" w:hAnsi="Times New Roman" w:cs="Times New Roman"/>
                <w:sz w:val="24"/>
                <w:szCs w:val="24"/>
              </w:rPr>
              <w:t>s attiecīgs atbilstības apliecinājums.</w:t>
            </w:r>
          </w:p>
          <w:p w14:paraId="02E3463E" w14:textId="6864D13E" w:rsidR="008D242A" w:rsidRPr="00DF434B" w:rsidRDefault="006A521C" w:rsidP="00514C04">
            <w:pPr>
              <w:spacing w:after="0" w:line="240" w:lineRule="auto"/>
              <w:ind w:firstLine="466"/>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t>Ministru kabineta noteikumi Nr.96 neparedz atbilstības pārbaudes institūcijai tiesības un pienākumu apkalpojošam dienestam</w:t>
            </w:r>
            <w:r w:rsidR="00E64BFC" w:rsidRPr="00DF434B">
              <w:rPr>
                <w:rFonts w:ascii="Times New Roman" w:eastAsia="Times New Roman" w:hAnsi="Times New Roman" w:cs="Times New Roman"/>
                <w:sz w:val="24"/>
                <w:szCs w:val="24"/>
              </w:rPr>
              <w:t xml:space="preserve"> izsniegt </w:t>
            </w:r>
            <w:r w:rsidRPr="00DF434B">
              <w:rPr>
                <w:rFonts w:ascii="Times New Roman" w:eastAsia="Times New Roman" w:hAnsi="Times New Roman" w:cs="Times New Roman"/>
                <w:sz w:val="24"/>
                <w:szCs w:val="24"/>
              </w:rPr>
              <w:t xml:space="preserve">atteikumu </w:t>
            </w:r>
            <w:r w:rsidR="00E64BFC">
              <w:rPr>
                <w:rFonts w:ascii="Times New Roman" w:eastAsia="Times New Roman" w:hAnsi="Times New Roman" w:cs="Times New Roman"/>
                <w:sz w:val="24"/>
                <w:szCs w:val="24"/>
              </w:rPr>
              <w:t xml:space="preserve">sniegt </w:t>
            </w:r>
            <w:r w:rsidRPr="00DF434B">
              <w:rPr>
                <w:rFonts w:ascii="Times New Roman" w:eastAsia="Times New Roman" w:hAnsi="Times New Roman" w:cs="Times New Roman"/>
                <w:sz w:val="24"/>
                <w:szCs w:val="24"/>
              </w:rPr>
              <w:t xml:space="preserve">atbilstības apliecinājumu, ja konstatētās neatbilstības </w:t>
            </w:r>
            <w:r w:rsidR="00553C84" w:rsidRPr="00DF434B">
              <w:rPr>
                <w:rFonts w:ascii="Times New Roman" w:eastAsia="Times New Roman" w:hAnsi="Times New Roman" w:cs="Times New Roman"/>
                <w:sz w:val="24"/>
                <w:szCs w:val="24"/>
              </w:rPr>
              <w:t xml:space="preserve">nav </w:t>
            </w:r>
            <w:r w:rsidRPr="00DF434B">
              <w:rPr>
                <w:rFonts w:ascii="Times New Roman" w:eastAsia="Times New Roman" w:hAnsi="Times New Roman" w:cs="Times New Roman"/>
                <w:sz w:val="24"/>
                <w:szCs w:val="24"/>
              </w:rPr>
              <w:t>novērstas noteiktā laika periodā. Tādējādi</w:t>
            </w:r>
            <w:r w:rsidRPr="00961EBB">
              <w:rPr>
                <w:rFonts w:ascii="Times New Roman" w:eastAsia="Times New Roman" w:hAnsi="Times New Roman" w:cs="Times New Roman"/>
                <w:sz w:val="24"/>
                <w:szCs w:val="24"/>
              </w:rPr>
              <w:t xml:space="preserve"> atbilstības pārbaudes procesa ilgums </w:t>
            </w:r>
            <w:r w:rsidR="00F27447" w:rsidRPr="00961EBB">
              <w:rPr>
                <w:rFonts w:ascii="Times New Roman" w:eastAsia="Times New Roman" w:hAnsi="Times New Roman" w:cs="Times New Roman"/>
                <w:sz w:val="24"/>
                <w:szCs w:val="24"/>
              </w:rPr>
              <w:t xml:space="preserve">nav </w:t>
            </w:r>
            <w:r w:rsidRPr="00DF434B">
              <w:rPr>
                <w:rFonts w:ascii="Times New Roman" w:eastAsia="Times New Roman" w:hAnsi="Times New Roman" w:cs="Times New Roman"/>
                <w:sz w:val="24"/>
                <w:szCs w:val="24"/>
              </w:rPr>
              <w:t>ierobežots</w:t>
            </w:r>
            <w:r w:rsidR="00E64BFC">
              <w:rPr>
                <w:rFonts w:ascii="Times New Roman" w:eastAsia="Times New Roman" w:hAnsi="Times New Roman" w:cs="Times New Roman"/>
                <w:sz w:val="24"/>
                <w:szCs w:val="24"/>
              </w:rPr>
              <w:t xml:space="preserve"> un šobrīd tas vairākos gadījumos ilgst nesamērīgi ilgi – pat vairāk par gadu</w:t>
            </w:r>
            <w:r w:rsidRPr="00DF434B">
              <w:rPr>
                <w:rFonts w:ascii="Times New Roman" w:eastAsia="Times New Roman" w:hAnsi="Times New Roman" w:cs="Times New Roman"/>
                <w:sz w:val="24"/>
                <w:szCs w:val="24"/>
              </w:rPr>
              <w:t>.</w:t>
            </w:r>
          </w:p>
          <w:p w14:paraId="640A6F25" w14:textId="2D36270B" w:rsidR="008D242A" w:rsidRPr="00DF434B" w:rsidRDefault="006A521C" w:rsidP="00514C04">
            <w:pPr>
              <w:spacing w:after="0" w:line="240" w:lineRule="auto"/>
              <w:ind w:firstLine="466"/>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t xml:space="preserve">Atbilstības pārbaudes procesa termiņa ierobežojuma trūkums rada būtisku kases aparātu </w:t>
            </w:r>
            <w:r w:rsidRPr="00DC278F">
              <w:rPr>
                <w:rFonts w:ascii="Times New Roman" w:eastAsia="Times New Roman" w:hAnsi="Times New Roman" w:cs="Times New Roman"/>
                <w:sz w:val="24"/>
                <w:szCs w:val="24"/>
              </w:rPr>
              <w:t>reformas virzības kavējumu, jo</w:t>
            </w:r>
            <w:r w:rsidR="000E1E0E" w:rsidRPr="00DC278F">
              <w:rPr>
                <w:rFonts w:ascii="Times New Roman" w:eastAsia="Times New Roman" w:hAnsi="Times New Roman" w:cs="Times New Roman"/>
                <w:sz w:val="24"/>
                <w:szCs w:val="24"/>
              </w:rPr>
              <w:t xml:space="preserve"> apkalpojošie dienesti </w:t>
            </w:r>
            <w:r w:rsidR="00765E9D" w:rsidRPr="00DC278F">
              <w:rPr>
                <w:rFonts w:ascii="Times New Roman" w:eastAsia="Times New Roman" w:hAnsi="Times New Roman" w:cs="Times New Roman"/>
                <w:sz w:val="24"/>
                <w:szCs w:val="24"/>
              </w:rPr>
              <w:t xml:space="preserve">nav </w:t>
            </w:r>
            <w:r w:rsidR="000E1E0E" w:rsidRPr="00DC278F">
              <w:rPr>
                <w:rFonts w:ascii="Times New Roman" w:eastAsia="Times New Roman" w:hAnsi="Times New Roman" w:cs="Times New Roman"/>
                <w:sz w:val="24"/>
                <w:szCs w:val="24"/>
              </w:rPr>
              <w:t xml:space="preserve">motivēti raiti novērst konstatētās neatbilstības, </w:t>
            </w:r>
            <w:r w:rsidR="00765E9D" w:rsidRPr="00DC278F">
              <w:rPr>
                <w:rFonts w:ascii="Times New Roman" w:eastAsia="Times New Roman" w:hAnsi="Times New Roman" w:cs="Times New Roman"/>
                <w:sz w:val="24"/>
                <w:szCs w:val="24"/>
              </w:rPr>
              <w:t>jo</w:t>
            </w:r>
            <w:r w:rsidR="00DC278F" w:rsidRPr="00DC278F">
              <w:rPr>
                <w:rFonts w:ascii="Times New Roman" w:eastAsia="Times New Roman" w:hAnsi="Times New Roman" w:cs="Times New Roman"/>
                <w:sz w:val="24"/>
                <w:szCs w:val="24"/>
              </w:rPr>
              <w:t xml:space="preserve"> atbilstoši Ministru</w:t>
            </w:r>
            <w:r w:rsidR="00DC278F">
              <w:rPr>
                <w:rFonts w:ascii="Times New Roman" w:eastAsia="Times New Roman" w:hAnsi="Times New Roman" w:cs="Times New Roman"/>
                <w:sz w:val="24"/>
                <w:szCs w:val="24"/>
              </w:rPr>
              <w:t xml:space="preserve"> kabineta noteikumu</w:t>
            </w:r>
            <w:r w:rsidR="00DC278F" w:rsidRPr="000E1E0E">
              <w:rPr>
                <w:rFonts w:ascii="Times New Roman" w:eastAsia="Times New Roman" w:hAnsi="Times New Roman" w:cs="Times New Roman"/>
                <w:sz w:val="24"/>
                <w:szCs w:val="24"/>
              </w:rPr>
              <w:t xml:space="preserve"> Nr.96 </w:t>
            </w:r>
            <w:r w:rsidR="00DC278F">
              <w:rPr>
                <w:rFonts w:ascii="Times New Roman" w:eastAsia="Times New Roman" w:hAnsi="Times New Roman" w:cs="Times New Roman"/>
                <w:sz w:val="24"/>
                <w:szCs w:val="24"/>
              </w:rPr>
              <w:t>141.</w:t>
            </w:r>
            <w:r w:rsidR="00DC278F" w:rsidRPr="00B963B8">
              <w:rPr>
                <w:rFonts w:ascii="Times New Roman" w:eastAsia="Times New Roman" w:hAnsi="Times New Roman" w:cs="Times New Roman"/>
                <w:sz w:val="24"/>
                <w:szCs w:val="24"/>
                <w:vertAlign w:val="superscript"/>
              </w:rPr>
              <w:t>8</w:t>
            </w:r>
            <w:r w:rsidR="00DC278F">
              <w:rPr>
                <w:rFonts w:ascii="Times New Roman" w:eastAsia="Times New Roman" w:hAnsi="Times New Roman" w:cs="Times New Roman"/>
                <w:sz w:val="24"/>
                <w:szCs w:val="24"/>
              </w:rPr>
              <w:t xml:space="preserve"> punktam</w:t>
            </w:r>
            <w:r w:rsidR="00DC278F" w:rsidRPr="00DC278F">
              <w:rPr>
                <w:rFonts w:ascii="Times New Roman" w:eastAsia="Times New Roman" w:hAnsi="Times New Roman" w:cs="Times New Roman"/>
                <w:sz w:val="24"/>
                <w:szCs w:val="24"/>
              </w:rPr>
              <w:t xml:space="preserve"> </w:t>
            </w:r>
            <w:r w:rsidR="00765E9D" w:rsidRPr="00DC278F">
              <w:rPr>
                <w:rFonts w:ascii="Times New Roman" w:eastAsia="Times New Roman" w:hAnsi="Times New Roman" w:cs="Times New Roman"/>
                <w:sz w:val="24"/>
                <w:szCs w:val="24"/>
              </w:rPr>
              <w:t>lietotāji</w:t>
            </w:r>
            <w:r w:rsidR="00DC278F" w:rsidRPr="00DC278F">
              <w:rPr>
                <w:rFonts w:ascii="Times New Roman" w:eastAsia="Times New Roman" w:hAnsi="Times New Roman" w:cs="Times New Roman"/>
                <w:sz w:val="24"/>
                <w:szCs w:val="24"/>
              </w:rPr>
              <w:t xml:space="preserve"> </w:t>
            </w:r>
            <w:r w:rsidRPr="00DC278F">
              <w:rPr>
                <w:rFonts w:ascii="Times New Roman" w:eastAsia="Times New Roman" w:hAnsi="Times New Roman" w:cs="Times New Roman"/>
                <w:sz w:val="24"/>
                <w:szCs w:val="24"/>
              </w:rPr>
              <w:t>ir tiesīgi turpināt</w:t>
            </w:r>
            <w:r w:rsidR="00765E9D" w:rsidRPr="00DC278F">
              <w:rPr>
                <w:rFonts w:ascii="Times New Roman" w:eastAsia="Times New Roman" w:hAnsi="Times New Roman" w:cs="Times New Roman"/>
                <w:sz w:val="24"/>
                <w:szCs w:val="24"/>
              </w:rPr>
              <w:t xml:space="preserve"> lietot un reģistrēt</w:t>
            </w:r>
            <w:r w:rsidRPr="00DC278F">
              <w:rPr>
                <w:rFonts w:ascii="Times New Roman" w:eastAsia="Times New Roman" w:hAnsi="Times New Roman" w:cs="Times New Roman"/>
                <w:sz w:val="24"/>
                <w:szCs w:val="24"/>
              </w:rPr>
              <w:t xml:space="preserve"> iepriekšējām </w:t>
            </w:r>
            <w:r w:rsidR="00DC278F" w:rsidRPr="00DC278F">
              <w:rPr>
                <w:rFonts w:ascii="Times New Roman" w:hAnsi="Times New Roman" w:cs="Times New Roman"/>
                <w:sz w:val="24"/>
                <w:szCs w:val="24"/>
              </w:rPr>
              <w:t>Ministru kabineta 2007. </w:t>
            </w:r>
            <w:r w:rsidR="001D2282">
              <w:rPr>
                <w:rFonts w:ascii="Times New Roman" w:hAnsi="Times New Roman" w:cs="Times New Roman"/>
                <w:sz w:val="24"/>
                <w:szCs w:val="24"/>
              </w:rPr>
              <w:t>gada 20.</w:t>
            </w:r>
            <w:r w:rsidR="00DC278F" w:rsidRPr="009E5542">
              <w:rPr>
                <w:rFonts w:ascii="Times New Roman" w:hAnsi="Times New Roman" w:cs="Times New Roman"/>
                <w:sz w:val="24"/>
                <w:szCs w:val="24"/>
              </w:rPr>
              <w:t xml:space="preserve">februāra noteikumos </w:t>
            </w:r>
            <w:r w:rsidR="001D2282">
              <w:rPr>
                <w:rFonts w:ascii="Times New Roman" w:hAnsi="Times New Roman" w:cs="Times New Roman"/>
                <w:sz w:val="24"/>
                <w:szCs w:val="24"/>
              </w:rPr>
              <w:t>Nr.</w:t>
            </w:r>
            <w:r w:rsidR="00DC278F" w:rsidRPr="009E5542">
              <w:rPr>
                <w:rFonts w:ascii="Times New Roman" w:hAnsi="Times New Roman" w:cs="Times New Roman"/>
                <w:sz w:val="24"/>
                <w:szCs w:val="24"/>
              </w:rPr>
              <w:t>133 “</w:t>
            </w:r>
            <w:hyperlink r:id="rId8" w:tgtFrame="_blank" w:history="1">
              <w:r w:rsidR="00DC278F" w:rsidRPr="009E5542">
                <w:rPr>
                  <w:rFonts w:ascii="Times New Roman" w:hAnsi="Times New Roman" w:cs="Times New Roman"/>
                  <w:sz w:val="24"/>
                  <w:szCs w:val="24"/>
                </w:rPr>
                <w:t>Noteikumi par nodokļu un citu maksājumu reģistrēšanas elektronisko ierīču un iekārtu tehniskajām prasībām</w:t>
              </w:r>
            </w:hyperlink>
            <w:r w:rsidR="00DC278F" w:rsidRPr="009E5542">
              <w:rPr>
                <w:rFonts w:ascii="Times New Roman" w:hAnsi="Times New Roman" w:cs="Times New Roman"/>
                <w:sz w:val="24"/>
                <w:szCs w:val="24"/>
              </w:rPr>
              <w:t xml:space="preserve">” noteiktajām </w:t>
            </w:r>
            <w:r w:rsidRPr="009E5542">
              <w:rPr>
                <w:rFonts w:ascii="Times New Roman" w:eastAsia="Times New Roman" w:hAnsi="Times New Roman" w:cs="Times New Roman"/>
                <w:sz w:val="24"/>
                <w:szCs w:val="24"/>
              </w:rPr>
              <w:t>tehniskajām prasībām atbilst</w:t>
            </w:r>
            <w:r w:rsidR="001E56C8" w:rsidRPr="009E5542">
              <w:rPr>
                <w:rFonts w:ascii="Times New Roman" w:eastAsia="Times New Roman" w:hAnsi="Times New Roman" w:cs="Times New Roman"/>
                <w:sz w:val="24"/>
                <w:szCs w:val="24"/>
              </w:rPr>
              <w:t>oš</w:t>
            </w:r>
            <w:r w:rsidR="000E1E0E" w:rsidRPr="009E5542">
              <w:rPr>
                <w:rFonts w:ascii="Times New Roman" w:eastAsia="Times New Roman" w:hAnsi="Times New Roman" w:cs="Times New Roman"/>
                <w:sz w:val="24"/>
                <w:szCs w:val="24"/>
              </w:rPr>
              <w:t>a</w:t>
            </w:r>
            <w:r w:rsidR="001E56C8" w:rsidRPr="009E5542">
              <w:rPr>
                <w:rFonts w:ascii="Times New Roman" w:eastAsia="Times New Roman" w:hAnsi="Times New Roman" w:cs="Times New Roman"/>
                <w:sz w:val="24"/>
                <w:szCs w:val="24"/>
              </w:rPr>
              <w:t xml:space="preserve">s </w:t>
            </w:r>
            <w:r w:rsidR="00F27447" w:rsidRPr="009E5542">
              <w:rPr>
                <w:rFonts w:ascii="Times New Roman" w:eastAsia="Times New Roman" w:hAnsi="Times New Roman" w:cs="Times New Roman"/>
                <w:sz w:val="24"/>
                <w:szCs w:val="24"/>
              </w:rPr>
              <w:t xml:space="preserve">elektroniskās </w:t>
            </w:r>
            <w:r w:rsidR="001E56C8" w:rsidRPr="009E5542">
              <w:rPr>
                <w:rFonts w:ascii="Times New Roman" w:eastAsia="Times New Roman" w:hAnsi="Times New Roman" w:cs="Times New Roman"/>
                <w:sz w:val="24"/>
                <w:szCs w:val="24"/>
              </w:rPr>
              <w:t>ierīces vai iekārtas</w:t>
            </w:r>
            <w:r w:rsidR="00820A9F" w:rsidRPr="009E5542">
              <w:rPr>
                <w:rFonts w:ascii="Times New Roman" w:eastAsia="Times New Roman" w:hAnsi="Times New Roman" w:cs="Times New Roman"/>
                <w:sz w:val="24"/>
                <w:szCs w:val="24"/>
              </w:rPr>
              <w:t xml:space="preserve">, kurām </w:t>
            </w:r>
            <w:r w:rsidR="00820A9F" w:rsidRPr="00DC278F">
              <w:rPr>
                <w:rFonts w:ascii="Times New Roman" w:eastAsia="Times New Roman" w:hAnsi="Times New Roman" w:cs="Times New Roman"/>
                <w:sz w:val="24"/>
                <w:szCs w:val="24"/>
              </w:rPr>
              <w:t>atbilstības pārbaude ir uzsākta</w:t>
            </w:r>
            <w:r w:rsidRPr="00DF434B">
              <w:rPr>
                <w:rFonts w:ascii="Times New Roman" w:eastAsia="Times New Roman" w:hAnsi="Times New Roman" w:cs="Times New Roman"/>
                <w:sz w:val="24"/>
                <w:szCs w:val="24"/>
              </w:rPr>
              <w:t>.</w:t>
            </w:r>
          </w:p>
          <w:p w14:paraId="7F56C83D" w14:textId="507045EE" w:rsidR="008D242A" w:rsidRPr="00E16166" w:rsidRDefault="006A521C" w:rsidP="00514C04">
            <w:pPr>
              <w:spacing w:after="0" w:line="240" w:lineRule="auto"/>
              <w:ind w:firstLine="466"/>
              <w:jc w:val="both"/>
              <w:rPr>
                <w:rFonts w:ascii="Times New Roman" w:eastAsia="Times New Roman" w:hAnsi="Times New Roman" w:cs="Times New Roman"/>
                <w:sz w:val="24"/>
                <w:szCs w:val="24"/>
              </w:rPr>
            </w:pPr>
            <w:r w:rsidRPr="00E16166">
              <w:rPr>
                <w:rFonts w:ascii="Times New Roman" w:eastAsia="Times New Roman" w:hAnsi="Times New Roman" w:cs="Times New Roman"/>
                <w:sz w:val="24"/>
                <w:szCs w:val="24"/>
              </w:rPr>
              <w:t>Līdz ar to ir nepieciešams Ministru kabineta noteikum</w:t>
            </w:r>
            <w:r w:rsidR="00884CF7" w:rsidRPr="00E16166">
              <w:rPr>
                <w:rFonts w:ascii="Times New Roman" w:eastAsia="Times New Roman" w:hAnsi="Times New Roman" w:cs="Times New Roman"/>
                <w:sz w:val="24"/>
                <w:szCs w:val="24"/>
              </w:rPr>
              <w:t>u</w:t>
            </w:r>
            <w:r w:rsidRPr="00E16166">
              <w:rPr>
                <w:rFonts w:ascii="Times New Roman" w:eastAsia="Times New Roman" w:hAnsi="Times New Roman" w:cs="Times New Roman"/>
                <w:sz w:val="24"/>
                <w:szCs w:val="24"/>
              </w:rPr>
              <w:t>s Nr.96</w:t>
            </w:r>
            <w:r w:rsidR="00884CF7" w:rsidRPr="00E16166">
              <w:rPr>
                <w:rFonts w:ascii="Times New Roman" w:eastAsia="Times New Roman" w:hAnsi="Times New Roman" w:cs="Times New Roman"/>
                <w:sz w:val="24"/>
                <w:szCs w:val="24"/>
              </w:rPr>
              <w:t xml:space="preserve"> papildināt ar jaun</w:t>
            </w:r>
            <w:r w:rsidR="00F16388" w:rsidRPr="00E16166">
              <w:rPr>
                <w:rFonts w:ascii="Times New Roman" w:eastAsia="Times New Roman" w:hAnsi="Times New Roman" w:cs="Times New Roman"/>
                <w:sz w:val="24"/>
                <w:szCs w:val="24"/>
              </w:rPr>
              <w:t>u</w:t>
            </w:r>
            <w:r w:rsidR="00884CF7" w:rsidRPr="00E16166">
              <w:rPr>
                <w:rFonts w:ascii="Times New Roman" w:eastAsia="Times New Roman" w:hAnsi="Times New Roman" w:cs="Times New Roman"/>
                <w:sz w:val="24"/>
                <w:szCs w:val="24"/>
              </w:rPr>
              <w:t xml:space="preserve"> punkt</w:t>
            </w:r>
            <w:r w:rsidR="00F16388" w:rsidRPr="00E16166">
              <w:rPr>
                <w:rFonts w:ascii="Times New Roman" w:eastAsia="Times New Roman" w:hAnsi="Times New Roman" w:cs="Times New Roman"/>
                <w:sz w:val="24"/>
                <w:szCs w:val="24"/>
              </w:rPr>
              <w:t>u</w:t>
            </w:r>
            <w:r w:rsidR="00884CF7" w:rsidRPr="00E16166">
              <w:rPr>
                <w:rFonts w:ascii="Times New Roman" w:eastAsia="Times New Roman" w:hAnsi="Times New Roman" w:cs="Times New Roman"/>
                <w:sz w:val="24"/>
                <w:szCs w:val="24"/>
              </w:rPr>
              <w:t xml:space="preserve">, </w:t>
            </w:r>
            <w:r w:rsidRPr="00E16166">
              <w:rPr>
                <w:rFonts w:ascii="Times New Roman" w:eastAsia="Times New Roman" w:hAnsi="Times New Roman" w:cs="Times New Roman"/>
                <w:sz w:val="24"/>
                <w:szCs w:val="24"/>
              </w:rPr>
              <w:t xml:space="preserve">nosakot </w:t>
            </w:r>
            <w:r w:rsidR="00F87535" w:rsidRPr="00E16166">
              <w:rPr>
                <w:rFonts w:ascii="Times New Roman" w:eastAsia="Times New Roman" w:hAnsi="Times New Roman" w:cs="Times New Roman"/>
                <w:sz w:val="24"/>
                <w:szCs w:val="24"/>
              </w:rPr>
              <w:t>precīzu termiņu atbilstības apliecinājuma izsniegšanai</w:t>
            </w:r>
            <w:r w:rsidR="00B070EC" w:rsidRPr="00E16166">
              <w:rPr>
                <w:rFonts w:ascii="Times New Roman" w:eastAsia="Times New Roman" w:hAnsi="Times New Roman" w:cs="Times New Roman"/>
                <w:sz w:val="24"/>
                <w:szCs w:val="24"/>
              </w:rPr>
              <w:t xml:space="preserve"> vai atteikumam izsniegt atbilstības apliecinājumu</w:t>
            </w:r>
            <w:r w:rsidR="00907F6A" w:rsidRPr="00E16166">
              <w:rPr>
                <w:rFonts w:ascii="Times New Roman" w:eastAsia="Times New Roman" w:hAnsi="Times New Roman" w:cs="Times New Roman"/>
                <w:sz w:val="24"/>
                <w:szCs w:val="24"/>
              </w:rPr>
              <w:t>. Pēc VID rīcībā esošās informācijas</w:t>
            </w:r>
            <w:r w:rsidR="00BF66DB" w:rsidRPr="00E16166">
              <w:rPr>
                <w:rFonts w:ascii="Times New Roman" w:eastAsia="Times New Roman" w:hAnsi="Times New Roman" w:cs="Times New Roman"/>
                <w:sz w:val="24"/>
                <w:szCs w:val="24"/>
              </w:rPr>
              <w:t>,</w:t>
            </w:r>
            <w:r w:rsidR="00907F6A" w:rsidRPr="00E16166">
              <w:rPr>
                <w:rFonts w:ascii="Times New Roman" w:eastAsia="Times New Roman" w:hAnsi="Times New Roman" w:cs="Times New Roman"/>
                <w:sz w:val="24"/>
                <w:szCs w:val="24"/>
              </w:rPr>
              <w:t xml:space="preserve"> sākotnējā atbilstības pārbaude</w:t>
            </w:r>
            <w:r w:rsidR="00F16388" w:rsidRPr="00E16166">
              <w:rPr>
                <w:rFonts w:ascii="Times New Roman" w:eastAsia="Times New Roman" w:hAnsi="Times New Roman" w:cs="Times New Roman"/>
                <w:sz w:val="24"/>
                <w:szCs w:val="24"/>
              </w:rPr>
              <w:t xml:space="preserve"> </w:t>
            </w:r>
            <w:r w:rsidR="00907F6A" w:rsidRPr="00E16166">
              <w:rPr>
                <w:rFonts w:ascii="Times New Roman" w:eastAsia="Times New Roman" w:hAnsi="Times New Roman" w:cs="Times New Roman"/>
                <w:sz w:val="24"/>
                <w:szCs w:val="24"/>
              </w:rPr>
              <w:t>elektronisk</w:t>
            </w:r>
            <w:r w:rsidR="00765E9D" w:rsidRPr="00E16166">
              <w:rPr>
                <w:rFonts w:ascii="Times New Roman" w:eastAsia="Times New Roman" w:hAnsi="Times New Roman" w:cs="Times New Roman"/>
                <w:sz w:val="24"/>
                <w:szCs w:val="24"/>
              </w:rPr>
              <w:t>aj</w:t>
            </w:r>
            <w:r w:rsidR="00907F6A" w:rsidRPr="00E16166">
              <w:rPr>
                <w:rFonts w:ascii="Times New Roman" w:eastAsia="Times New Roman" w:hAnsi="Times New Roman" w:cs="Times New Roman"/>
                <w:sz w:val="24"/>
                <w:szCs w:val="24"/>
              </w:rPr>
              <w:t xml:space="preserve">ām ierīcēm un iekārtām, kurām </w:t>
            </w:r>
            <w:r w:rsidR="00765E9D" w:rsidRPr="00E16166">
              <w:rPr>
                <w:rFonts w:ascii="Times New Roman" w:eastAsia="Times New Roman" w:hAnsi="Times New Roman" w:cs="Times New Roman"/>
                <w:sz w:val="24"/>
                <w:szCs w:val="24"/>
              </w:rPr>
              <w:t xml:space="preserve">atbilstības pārbaudes institūcija izsniedz pozitīvu </w:t>
            </w:r>
            <w:r w:rsidR="00907F6A" w:rsidRPr="00E16166">
              <w:rPr>
                <w:rFonts w:ascii="Times New Roman" w:eastAsia="Times New Roman" w:hAnsi="Times New Roman" w:cs="Times New Roman"/>
                <w:sz w:val="24"/>
                <w:szCs w:val="24"/>
              </w:rPr>
              <w:t xml:space="preserve">atbilstības </w:t>
            </w:r>
            <w:r w:rsidR="00765E9D" w:rsidRPr="00E16166">
              <w:rPr>
                <w:rFonts w:ascii="Times New Roman" w:eastAsia="Times New Roman" w:hAnsi="Times New Roman" w:cs="Times New Roman"/>
                <w:sz w:val="24"/>
                <w:szCs w:val="24"/>
              </w:rPr>
              <w:t>apliecinājumu</w:t>
            </w:r>
            <w:r w:rsidR="00907F6A" w:rsidRPr="00E16166">
              <w:rPr>
                <w:rFonts w:ascii="Times New Roman" w:eastAsia="Times New Roman" w:hAnsi="Times New Roman" w:cs="Times New Roman"/>
                <w:sz w:val="24"/>
                <w:szCs w:val="24"/>
              </w:rPr>
              <w:t xml:space="preserve">, ilgst līdz trīs mēnešiem. </w:t>
            </w:r>
            <w:r w:rsidR="002208FE">
              <w:rPr>
                <w:rFonts w:ascii="Times New Roman" w:eastAsia="Times New Roman" w:hAnsi="Times New Roman" w:cs="Times New Roman"/>
                <w:sz w:val="24"/>
                <w:szCs w:val="24"/>
              </w:rPr>
              <w:t>Termiņš būtu nosakāms tāds, lai atbilstības pārbaudes institūcijai</w:t>
            </w:r>
            <w:r w:rsidR="004116EF">
              <w:rPr>
                <w:rFonts w:ascii="Times New Roman" w:eastAsia="Times New Roman" w:hAnsi="Times New Roman" w:cs="Times New Roman"/>
                <w:sz w:val="24"/>
                <w:szCs w:val="24"/>
              </w:rPr>
              <w:t>,</w:t>
            </w:r>
            <w:r w:rsidR="002208FE">
              <w:rPr>
                <w:rFonts w:ascii="Times New Roman" w:eastAsia="Times New Roman" w:hAnsi="Times New Roman" w:cs="Times New Roman"/>
                <w:sz w:val="24"/>
                <w:szCs w:val="24"/>
              </w:rPr>
              <w:t xml:space="preserve"> konstatējot </w:t>
            </w:r>
            <w:r w:rsidR="00765E9D" w:rsidRPr="00E16166">
              <w:rPr>
                <w:rFonts w:ascii="Times New Roman" w:eastAsia="Times New Roman" w:hAnsi="Times New Roman" w:cs="Times New Roman"/>
                <w:sz w:val="24"/>
                <w:szCs w:val="24"/>
              </w:rPr>
              <w:t xml:space="preserve">elektroniskajā ierīcē vai iekārtā </w:t>
            </w:r>
            <w:r w:rsidR="00BF66DB" w:rsidRPr="00E16166">
              <w:rPr>
                <w:rFonts w:ascii="Times New Roman" w:eastAsia="Times New Roman" w:hAnsi="Times New Roman" w:cs="Times New Roman"/>
                <w:sz w:val="24"/>
                <w:szCs w:val="24"/>
              </w:rPr>
              <w:t xml:space="preserve">neatbilstības, </w:t>
            </w:r>
            <w:r w:rsidR="006F5B66">
              <w:rPr>
                <w:rFonts w:ascii="Times New Roman" w:eastAsia="Times New Roman" w:hAnsi="Times New Roman" w:cs="Times New Roman"/>
                <w:sz w:val="24"/>
                <w:szCs w:val="24"/>
              </w:rPr>
              <w:t xml:space="preserve">būtu pietiekošs laiks, lai to paziņotu apkalpojošajam dienestam, savukārt </w:t>
            </w:r>
            <w:r w:rsidR="00907F6A" w:rsidRPr="00E16166">
              <w:rPr>
                <w:rFonts w:ascii="Times New Roman" w:eastAsia="Times New Roman" w:hAnsi="Times New Roman" w:cs="Times New Roman"/>
                <w:sz w:val="24"/>
                <w:szCs w:val="24"/>
              </w:rPr>
              <w:t>apkalpojošajam dienestam</w:t>
            </w:r>
            <w:r w:rsidR="00BF66DB" w:rsidRPr="00E16166">
              <w:rPr>
                <w:rFonts w:ascii="Times New Roman" w:eastAsia="Times New Roman" w:hAnsi="Times New Roman" w:cs="Times New Roman"/>
                <w:sz w:val="24"/>
                <w:szCs w:val="24"/>
              </w:rPr>
              <w:t xml:space="preserve"> </w:t>
            </w:r>
            <w:r w:rsidR="002208FE">
              <w:rPr>
                <w:rFonts w:ascii="Times New Roman" w:eastAsia="Times New Roman" w:hAnsi="Times New Roman" w:cs="Times New Roman"/>
                <w:sz w:val="24"/>
                <w:szCs w:val="24"/>
              </w:rPr>
              <w:t xml:space="preserve">būtu </w:t>
            </w:r>
            <w:r w:rsidR="006F5B66">
              <w:rPr>
                <w:rFonts w:ascii="Times New Roman" w:eastAsia="Times New Roman" w:hAnsi="Times New Roman" w:cs="Times New Roman"/>
                <w:sz w:val="24"/>
                <w:szCs w:val="24"/>
              </w:rPr>
              <w:t xml:space="preserve">iespējams </w:t>
            </w:r>
            <w:r w:rsidR="00501473">
              <w:rPr>
                <w:rFonts w:ascii="Times New Roman" w:eastAsia="Times New Roman" w:hAnsi="Times New Roman" w:cs="Times New Roman"/>
                <w:sz w:val="24"/>
                <w:szCs w:val="24"/>
              </w:rPr>
              <w:t>šajā</w:t>
            </w:r>
            <w:r w:rsidR="006F5B66">
              <w:rPr>
                <w:rFonts w:ascii="Times New Roman" w:eastAsia="Times New Roman" w:hAnsi="Times New Roman" w:cs="Times New Roman"/>
                <w:sz w:val="24"/>
                <w:szCs w:val="24"/>
              </w:rPr>
              <w:t xml:space="preserve"> laikā</w:t>
            </w:r>
            <w:r w:rsidR="002208FE">
              <w:rPr>
                <w:rFonts w:ascii="Times New Roman" w:eastAsia="Times New Roman" w:hAnsi="Times New Roman" w:cs="Times New Roman"/>
                <w:sz w:val="24"/>
                <w:szCs w:val="24"/>
              </w:rPr>
              <w:t xml:space="preserve"> </w:t>
            </w:r>
            <w:r w:rsidR="00BF66DB" w:rsidRPr="00E16166">
              <w:rPr>
                <w:rFonts w:ascii="Times New Roman" w:eastAsia="Times New Roman" w:hAnsi="Times New Roman" w:cs="Times New Roman"/>
                <w:sz w:val="24"/>
                <w:szCs w:val="24"/>
              </w:rPr>
              <w:t xml:space="preserve">novērst </w:t>
            </w:r>
            <w:r w:rsidR="006F5B66">
              <w:rPr>
                <w:rFonts w:ascii="Times New Roman" w:eastAsia="Times New Roman" w:hAnsi="Times New Roman" w:cs="Times New Roman"/>
                <w:sz w:val="24"/>
                <w:szCs w:val="24"/>
              </w:rPr>
              <w:t xml:space="preserve">neatbilstības </w:t>
            </w:r>
            <w:r w:rsidR="00BF66DB" w:rsidRPr="00E16166">
              <w:rPr>
                <w:rFonts w:ascii="Times New Roman" w:eastAsia="Times New Roman" w:hAnsi="Times New Roman" w:cs="Times New Roman"/>
                <w:sz w:val="24"/>
                <w:szCs w:val="24"/>
              </w:rPr>
              <w:t>un saņemt pozitīvu atbilstības apliecinājumu.</w:t>
            </w:r>
            <w:r w:rsidR="00907F6A" w:rsidRPr="00E16166">
              <w:rPr>
                <w:rFonts w:ascii="Times New Roman" w:eastAsia="Times New Roman" w:hAnsi="Times New Roman" w:cs="Times New Roman"/>
                <w:sz w:val="24"/>
                <w:szCs w:val="24"/>
              </w:rPr>
              <w:t xml:space="preserve"> </w:t>
            </w:r>
            <w:r w:rsidR="00DC278F" w:rsidRPr="00E16166">
              <w:rPr>
                <w:rFonts w:ascii="Times New Roman" w:eastAsia="Times New Roman" w:hAnsi="Times New Roman" w:cs="Times New Roman"/>
                <w:sz w:val="24"/>
                <w:szCs w:val="24"/>
              </w:rPr>
              <w:t>Tādējādi nepieciešams izteikt Ministru kabineta noteikumu Nr.96 121.</w:t>
            </w:r>
            <w:r w:rsidR="00DC278F" w:rsidRPr="009E5542">
              <w:rPr>
                <w:rFonts w:ascii="Times New Roman" w:eastAsia="Times New Roman" w:hAnsi="Times New Roman" w:cs="Times New Roman"/>
                <w:sz w:val="24"/>
                <w:szCs w:val="24"/>
                <w:vertAlign w:val="superscript"/>
              </w:rPr>
              <w:t>5</w:t>
            </w:r>
            <w:r w:rsidR="00DC278F" w:rsidRPr="00E16166">
              <w:rPr>
                <w:rFonts w:ascii="Times New Roman" w:eastAsia="Times New Roman" w:hAnsi="Times New Roman" w:cs="Times New Roman"/>
                <w:sz w:val="24"/>
                <w:szCs w:val="24"/>
              </w:rPr>
              <w:t xml:space="preserve"> punktu jaunā r</w:t>
            </w:r>
            <w:r w:rsidR="00E16166">
              <w:rPr>
                <w:rFonts w:ascii="Times New Roman" w:eastAsia="Times New Roman" w:hAnsi="Times New Roman" w:cs="Times New Roman"/>
                <w:sz w:val="24"/>
                <w:szCs w:val="24"/>
              </w:rPr>
              <w:t xml:space="preserve">edakcijā, nosakot, </w:t>
            </w:r>
            <w:r w:rsidR="00DC278F" w:rsidRPr="00E16166">
              <w:rPr>
                <w:rFonts w:ascii="Times New Roman" w:eastAsia="Times New Roman" w:hAnsi="Times New Roman" w:cs="Times New Roman"/>
                <w:sz w:val="24"/>
                <w:szCs w:val="24"/>
              </w:rPr>
              <w:t xml:space="preserve">ka </w:t>
            </w:r>
            <w:r w:rsidR="00E16166" w:rsidRPr="00E16166">
              <w:rPr>
                <w:rFonts w:ascii="Times New Roman" w:hAnsi="Times New Roman" w:cs="Times New Roman"/>
                <w:sz w:val="24"/>
                <w:szCs w:val="24"/>
              </w:rPr>
              <w:t>a</w:t>
            </w:r>
            <w:r w:rsidR="00E16166" w:rsidRPr="009E5542">
              <w:rPr>
                <w:rFonts w:ascii="Times New Roman" w:hAnsi="Times New Roman" w:cs="Times New Roman"/>
                <w:sz w:val="24"/>
                <w:szCs w:val="24"/>
              </w:rPr>
              <w:t>tbilstības pārbaudes</w:t>
            </w:r>
            <w:r w:rsidR="00E16166" w:rsidRPr="009E5542">
              <w:rPr>
                <w:rFonts w:ascii="Times New Roman" w:hAnsi="Times New Roman" w:cs="Times New Roman"/>
                <w:sz w:val="24"/>
                <w:szCs w:val="24"/>
                <w:vertAlign w:val="superscript"/>
              </w:rPr>
              <w:t xml:space="preserve"> </w:t>
            </w:r>
            <w:r w:rsidR="00E16166" w:rsidRPr="009E5542">
              <w:rPr>
                <w:rFonts w:ascii="Times New Roman" w:hAnsi="Times New Roman" w:cs="Times New Roman"/>
                <w:sz w:val="24"/>
                <w:szCs w:val="24"/>
              </w:rPr>
              <w:t xml:space="preserve">institūcija ne vēlāk kā sešu mēnešu laikā </w:t>
            </w:r>
            <w:r w:rsidR="00ED6630">
              <w:rPr>
                <w:rFonts w:ascii="Times New Roman" w:hAnsi="Times New Roman" w:cs="Times New Roman"/>
                <w:sz w:val="24"/>
                <w:szCs w:val="24"/>
              </w:rPr>
              <w:t>pēc nepieciešamo</w:t>
            </w:r>
            <w:r w:rsidR="00E16166" w:rsidRPr="009E5542">
              <w:rPr>
                <w:rFonts w:ascii="Times New Roman" w:hAnsi="Times New Roman" w:cs="Times New Roman"/>
                <w:sz w:val="24"/>
                <w:szCs w:val="24"/>
              </w:rPr>
              <w:t xml:space="preserve"> dokumentu saņemšanas brīža izsniedz apkalpojošajam dienestam atbilstības apliecinājumu par atbilstību nodokļu un citu maksājumu reģistrēšanas elektronisko ierīču un iekārtu tehniskajām prasībām vai </w:t>
            </w:r>
            <w:r w:rsidR="00E16166" w:rsidRPr="009E5542">
              <w:rPr>
                <w:rFonts w:ascii="Times New Roman" w:hAnsi="Times New Roman" w:cs="Times New Roman"/>
                <w:color w:val="000000"/>
                <w:sz w:val="24"/>
                <w:szCs w:val="24"/>
              </w:rPr>
              <w:t>atteikumu izsniegt atbilstības apliecinājumu, kā arī</w:t>
            </w:r>
            <w:r w:rsidR="00E16166" w:rsidRPr="009E5542">
              <w:rPr>
                <w:rFonts w:ascii="Times New Roman" w:hAnsi="Times New Roman" w:cs="Times New Roman"/>
                <w:sz w:val="24"/>
                <w:szCs w:val="24"/>
              </w:rPr>
              <w:t xml:space="preserve"> nosūta to </w:t>
            </w:r>
            <w:r w:rsidR="00E16166">
              <w:rPr>
                <w:rFonts w:ascii="Times New Roman" w:hAnsi="Times New Roman" w:cs="Times New Roman"/>
                <w:sz w:val="24"/>
                <w:szCs w:val="24"/>
              </w:rPr>
              <w:t xml:space="preserve">VID. Normā paredzētais sešu mēnešu termiņš ir samērīgs termiņš, </w:t>
            </w:r>
            <w:r w:rsidR="00445B51">
              <w:rPr>
                <w:rFonts w:ascii="Times New Roman" w:hAnsi="Times New Roman" w:cs="Times New Roman"/>
                <w:sz w:val="24"/>
                <w:szCs w:val="24"/>
              </w:rPr>
              <w:t>kurā</w:t>
            </w:r>
            <w:r w:rsidR="00E16166">
              <w:rPr>
                <w:rFonts w:ascii="Times New Roman" w:hAnsi="Times New Roman" w:cs="Times New Roman"/>
                <w:sz w:val="24"/>
                <w:szCs w:val="24"/>
              </w:rPr>
              <w:t xml:space="preserve"> atbilstības pārbaudes institūcija var konstatēt neatbilstības pārbaudāmajā </w:t>
            </w:r>
            <w:r w:rsidR="00E16166" w:rsidRPr="00123256">
              <w:rPr>
                <w:rFonts w:ascii="Times New Roman" w:hAnsi="Times New Roman" w:cs="Times New Roman"/>
                <w:sz w:val="24"/>
                <w:szCs w:val="24"/>
              </w:rPr>
              <w:t xml:space="preserve"> </w:t>
            </w:r>
            <w:r w:rsidR="00E16166">
              <w:rPr>
                <w:rFonts w:ascii="Times New Roman" w:hAnsi="Times New Roman" w:cs="Times New Roman"/>
                <w:sz w:val="24"/>
                <w:szCs w:val="24"/>
              </w:rPr>
              <w:t xml:space="preserve">elektroniskajā ierīcē </w:t>
            </w:r>
            <w:r w:rsidR="00ED6630">
              <w:rPr>
                <w:rFonts w:ascii="Times New Roman" w:hAnsi="Times New Roman" w:cs="Times New Roman"/>
                <w:sz w:val="24"/>
                <w:szCs w:val="24"/>
              </w:rPr>
              <w:t>vai</w:t>
            </w:r>
            <w:r w:rsidR="00E16166">
              <w:rPr>
                <w:rFonts w:ascii="Times New Roman" w:hAnsi="Times New Roman" w:cs="Times New Roman"/>
                <w:sz w:val="24"/>
                <w:szCs w:val="24"/>
              </w:rPr>
              <w:t xml:space="preserve"> iekārtā, informēt par neatbilstībām apkalpojošo dienestu</w:t>
            </w:r>
            <w:r w:rsidR="00445B51">
              <w:rPr>
                <w:rFonts w:ascii="Times New Roman" w:hAnsi="Times New Roman" w:cs="Times New Roman"/>
                <w:sz w:val="24"/>
                <w:szCs w:val="24"/>
              </w:rPr>
              <w:t xml:space="preserve">, apkalpojošais dienests </w:t>
            </w:r>
            <w:r w:rsidR="002214E1">
              <w:rPr>
                <w:rFonts w:ascii="Times New Roman" w:hAnsi="Times New Roman" w:cs="Times New Roman"/>
                <w:sz w:val="24"/>
                <w:szCs w:val="24"/>
              </w:rPr>
              <w:t xml:space="preserve">tās </w:t>
            </w:r>
            <w:r w:rsidR="00ED6630">
              <w:rPr>
                <w:rFonts w:ascii="Times New Roman" w:hAnsi="Times New Roman" w:cs="Times New Roman"/>
                <w:sz w:val="24"/>
                <w:szCs w:val="24"/>
              </w:rPr>
              <w:t>var novērst</w:t>
            </w:r>
            <w:r w:rsidR="002214E1">
              <w:rPr>
                <w:rFonts w:ascii="Times New Roman" w:hAnsi="Times New Roman" w:cs="Times New Roman"/>
                <w:sz w:val="24"/>
                <w:szCs w:val="24"/>
              </w:rPr>
              <w:t xml:space="preserve"> un rezultātā atbilstības pārbaudes institūcija var izsniegt atbilstības </w:t>
            </w:r>
            <w:r w:rsidR="002214E1">
              <w:rPr>
                <w:rFonts w:ascii="Times New Roman" w:hAnsi="Times New Roman" w:cs="Times New Roman"/>
                <w:sz w:val="24"/>
                <w:szCs w:val="24"/>
              </w:rPr>
              <w:lastRenderedPageBreak/>
              <w:t xml:space="preserve">apliecinājumu vai atteikumu izsniegt </w:t>
            </w:r>
            <w:r w:rsidR="00ED6630">
              <w:rPr>
                <w:rFonts w:ascii="Times New Roman" w:hAnsi="Times New Roman" w:cs="Times New Roman"/>
                <w:sz w:val="24"/>
                <w:szCs w:val="24"/>
              </w:rPr>
              <w:t xml:space="preserve">atbilstības </w:t>
            </w:r>
            <w:r w:rsidR="002214E1">
              <w:rPr>
                <w:rFonts w:ascii="Times New Roman" w:hAnsi="Times New Roman" w:cs="Times New Roman"/>
                <w:sz w:val="24"/>
                <w:szCs w:val="24"/>
              </w:rPr>
              <w:t>apliecinājumu. Atbilstības pārbaudes institūcija informāciju par konstatētajām neatbilstībām izsniedz apkalpo</w:t>
            </w:r>
            <w:r w:rsidR="00297CFF">
              <w:rPr>
                <w:rFonts w:ascii="Times New Roman" w:hAnsi="Times New Roman" w:cs="Times New Roman"/>
                <w:sz w:val="24"/>
                <w:szCs w:val="24"/>
              </w:rPr>
              <w:t>jošajam dienestam nekavējoties,</w:t>
            </w:r>
            <w:r w:rsidR="00ED6630">
              <w:rPr>
                <w:rFonts w:ascii="Times New Roman" w:hAnsi="Times New Roman" w:cs="Times New Roman"/>
                <w:sz w:val="24"/>
                <w:szCs w:val="24"/>
              </w:rPr>
              <w:t xml:space="preserve"> konstatējot </w:t>
            </w:r>
            <w:r w:rsidR="002214E1">
              <w:rPr>
                <w:rFonts w:ascii="Times New Roman" w:hAnsi="Times New Roman" w:cs="Times New Roman"/>
                <w:sz w:val="24"/>
                <w:szCs w:val="24"/>
              </w:rPr>
              <w:t>neatbilstības.</w:t>
            </w:r>
            <w:r w:rsidR="00E16166" w:rsidRPr="00123256">
              <w:rPr>
                <w:rFonts w:ascii="Times New Roman" w:hAnsi="Times New Roman" w:cs="Times New Roman"/>
                <w:sz w:val="24"/>
                <w:szCs w:val="24"/>
              </w:rPr>
              <w:t xml:space="preserve"> </w:t>
            </w:r>
            <w:r w:rsidR="00BF66DB" w:rsidRPr="00E16166">
              <w:rPr>
                <w:rFonts w:ascii="Times New Roman" w:eastAsia="Times New Roman" w:hAnsi="Times New Roman" w:cs="Times New Roman"/>
                <w:sz w:val="24"/>
                <w:szCs w:val="24"/>
              </w:rPr>
              <w:t xml:space="preserve">Vienlaikus </w:t>
            </w:r>
            <w:r w:rsidR="00765E9D" w:rsidRPr="00E16166">
              <w:rPr>
                <w:rFonts w:ascii="Times New Roman" w:eastAsia="Times New Roman" w:hAnsi="Times New Roman" w:cs="Times New Roman"/>
                <w:sz w:val="24"/>
                <w:szCs w:val="24"/>
              </w:rPr>
              <w:t xml:space="preserve">Ministru kabineta </w:t>
            </w:r>
            <w:r w:rsidR="00BF66DB" w:rsidRPr="00E16166">
              <w:rPr>
                <w:rFonts w:ascii="Times New Roman" w:eastAsia="Times New Roman" w:hAnsi="Times New Roman" w:cs="Times New Roman"/>
                <w:sz w:val="24"/>
                <w:szCs w:val="24"/>
              </w:rPr>
              <w:t>noteikumus</w:t>
            </w:r>
            <w:r w:rsidR="00765E9D" w:rsidRPr="00E16166">
              <w:rPr>
                <w:rFonts w:ascii="Times New Roman" w:eastAsia="Times New Roman" w:hAnsi="Times New Roman" w:cs="Times New Roman"/>
                <w:sz w:val="24"/>
                <w:szCs w:val="24"/>
              </w:rPr>
              <w:t xml:space="preserve"> Nr.96 </w:t>
            </w:r>
            <w:r w:rsidR="00BF66DB" w:rsidRPr="00E16166">
              <w:rPr>
                <w:rFonts w:ascii="Times New Roman" w:eastAsia="Times New Roman" w:hAnsi="Times New Roman" w:cs="Times New Roman"/>
                <w:sz w:val="24"/>
                <w:szCs w:val="24"/>
              </w:rPr>
              <w:t>nepieciešams papildināt</w:t>
            </w:r>
            <w:r w:rsidR="00F16388" w:rsidRPr="00E16166">
              <w:rPr>
                <w:rFonts w:ascii="Times New Roman" w:eastAsia="Times New Roman" w:hAnsi="Times New Roman" w:cs="Times New Roman"/>
                <w:sz w:val="24"/>
                <w:szCs w:val="24"/>
              </w:rPr>
              <w:t xml:space="preserve"> </w:t>
            </w:r>
            <w:r w:rsidR="000E1E0E" w:rsidRPr="00E16166">
              <w:rPr>
                <w:rFonts w:ascii="Times New Roman" w:eastAsia="Times New Roman" w:hAnsi="Times New Roman" w:cs="Times New Roman"/>
                <w:sz w:val="24"/>
                <w:szCs w:val="24"/>
              </w:rPr>
              <w:t xml:space="preserve">ar </w:t>
            </w:r>
            <w:r w:rsidR="00F16388" w:rsidRPr="00E16166">
              <w:rPr>
                <w:rFonts w:ascii="Times New Roman" w:eastAsia="Times New Roman" w:hAnsi="Times New Roman" w:cs="Times New Roman"/>
                <w:sz w:val="24"/>
                <w:szCs w:val="24"/>
              </w:rPr>
              <w:t>pārejas noteikumu punktu</w:t>
            </w:r>
            <w:r w:rsidR="000E1E0E" w:rsidRPr="00E16166">
              <w:rPr>
                <w:rFonts w:ascii="Times New Roman" w:eastAsia="Times New Roman" w:hAnsi="Times New Roman" w:cs="Times New Roman"/>
                <w:sz w:val="24"/>
                <w:szCs w:val="24"/>
              </w:rPr>
              <w:t>,</w:t>
            </w:r>
            <w:r w:rsidR="00F16388" w:rsidRPr="00E16166">
              <w:rPr>
                <w:rFonts w:ascii="Times New Roman" w:eastAsia="Times New Roman" w:hAnsi="Times New Roman" w:cs="Times New Roman"/>
                <w:sz w:val="24"/>
                <w:szCs w:val="24"/>
              </w:rPr>
              <w:t xml:space="preserve"> nosakot pārbaudes veikšanas termiņu </w:t>
            </w:r>
            <w:r w:rsidR="00765E9D" w:rsidRPr="00E16166">
              <w:rPr>
                <w:rFonts w:ascii="Times New Roman" w:eastAsia="Times New Roman" w:hAnsi="Times New Roman" w:cs="Times New Roman"/>
                <w:sz w:val="24"/>
                <w:szCs w:val="24"/>
              </w:rPr>
              <w:t xml:space="preserve">elektroniskajām ierīcēm vai </w:t>
            </w:r>
            <w:r w:rsidR="00F16388" w:rsidRPr="00E16166">
              <w:rPr>
                <w:rFonts w:ascii="Times New Roman" w:eastAsia="Times New Roman" w:hAnsi="Times New Roman" w:cs="Times New Roman"/>
                <w:sz w:val="24"/>
                <w:szCs w:val="24"/>
              </w:rPr>
              <w:t>iekārtām</w:t>
            </w:r>
            <w:r w:rsidR="000E1E0E" w:rsidRPr="00E16166">
              <w:rPr>
                <w:rFonts w:ascii="Times New Roman" w:eastAsia="Times New Roman" w:hAnsi="Times New Roman" w:cs="Times New Roman"/>
                <w:sz w:val="24"/>
                <w:szCs w:val="24"/>
              </w:rPr>
              <w:t>,</w:t>
            </w:r>
            <w:r w:rsidR="00F16388" w:rsidRPr="00E16166">
              <w:rPr>
                <w:rFonts w:ascii="Times New Roman" w:eastAsia="Times New Roman" w:hAnsi="Times New Roman" w:cs="Times New Roman"/>
                <w:sz w:val="24"/>
                <w:szCs w:val="24"/>
              </w:rPr>
              <w:t xml:space="preserve"> kuras</w:t>
            </w:r>
            <w:r w:rsidR="0051375A" w:rsidRPr="00E16166">
              <w:rPr>
                <w:rFonts w:ascii="Times New Roman" w:eastAsia="Times New Roman" w:hAnsi="Times New Roman" w:cs="Times New Roman"/>
                <w:sz w:val="24"/>
                <w:szCs w:val="24"/>
              </w:rPr>
              <w:t xml:space="preserve"> atbilstības pārbaudes veikšanai</w:t>
            </w:r>
            <w:r w:rsidR="00F16388" w:rsidRPr="00E16166">
              <w:rPr>
                <w:rFonts w:ascii="Times New Roman" w:eastAsia="Times New Roman" w:hAnsi="Times New Roman" w:cs="Times New Roman"/>
                <w:sz w:val="24"/>
                <w:szCs w:val="24"/>
              </w:rPr>
              <w:t xml:space="preserve"> ir iesniegtas pirms šo noteikumu grozījumu </w:t>
            </w:r>
            <w:r w:rsidR="000E1E0E" w:rsidRPr="00E16166">
              <w:rPr>
                <w:rFonts w:ascii="Times New Roman" w:eastAsia="Times New Roman" w:hAnsi="Times New Roman" w:cs="Times New Roman"/>
                <w:sz w:val="24"/>
                <w:szCs w:val="24"/>
              </w:rPr>
              <w:t xml:space="preserve">spēkā </w:t>
            </w:r>
            <w:r w:rsidR="00F16388" w:rsidRPr="00E16166">
              <w:rPr>
                <w:rFonts w:ascii="Times New Roman" w:eastAsia="Times New Roman" w:hAnsi="Times New Roman" w:cs="Times New Roman"/>
                <w:sz w:val="24"/>
                <w:szCs w:val="24"/>
              </w:rPr>
              <w:t>stāšanās</w:t>
            </w:r>
            <w:r w:rsidR="006B2FA7" w:rsidRPr="00E16166">
              <w:rPr>
                <w:rFonts w:ascii="Times New Roman" w:eastAsia="Times New Roman" w:hAnsi="Times New Roman" w:cs="Times New Roman"/>
                <w:sz w:val="24"/>
                <w:szCs w:val="24"/>
              </w:rPr>
              <w:t xml:space="preserve"> </w:t>
            </w:r>
            <w:r w:rsidR="00BB3845" w:rsidRPr="00E16166">
              <w:rPr>
                <w:rFonts w:ascii="Times New Roman" w:eastAsia="Times New Roman" w:hAnsi="Times New Roman" w:cs="Times New Roman"/>
                <w:sz w:val="24"/>
                <w:szCs w:val="24"/>
              </w:rPr>
              <w:t>(</w:t>
            </w:r>
            <w:r w:rsidRPr="00E16166">
              <w:rPr>
                <w:rFonts w:ascii="Times New Roman" w:eastAsia="Times New Roman" w:hAnsi="Times New Roman" w:cs="Times New Roman"/>
                <w:i/>
                <w:sz w:val="24"/>
                <w:szCs w:val="24"/>
              </w:rPr>
              <w:t xml:space="preserve">noteikumu projekta </w:t>
            </w:r>
            <w:r w:rsidR="006E70CD">
              <w:rPr>
                <w:rFonts w:ascii="Times New Roman" w:eastAsia="Times New Roman" w:hAnsi="Times New Roman" w:cs="Times New Roman"/>
                <w:i/>
                <w:sz w:val="24"/>
                <w:szCs w:val="24"/>
              </w:rPr>
              <w:t>2</w:t>
            </w:r>
            <w:r w:rsidR="001203CC">
              <w:rPr>
                <w:rFonts w:ascii="Times New Roman" w:eastAsia="Times New Roman" w:hAnsi="Times New Roman" w:cs="Times New Roman"/>
                <w:i/>
                <w:sz w:val="24"/>
                <w:szCs w:val="24"/>
              </w:rPr>
              <w:t>7</w:t>
            </w:r>
            <w:r w:rsidRPr="00E16166">
              <w:rPr>
                <w:rFonts w:ascii="Times New Roman" w:eastAsia="Times New Roman" w:hAnsi="Times New Roman" w:cs="Times New Roman"/>
                <w:i/>
                <w:sz w:val="24"/>
                <w:szCs w:val="24"/>
              </w:rPr>
              <w:t xml:space="preserve">. </w:t>
            </w:r>
            <w:r w:rsidR="00B07B5E" w:rsidRPr="00E16166">
              <w:rPr>
                <w:rFonts w:ascii="Times New Roman" w:eastAsia="Times New Roman" w:hAnsi="Times New Roman" w:cs="Times New Roman"/>
                <w:i/>
                <w:sz w:val="24"/>
                <w:szCs w:val="24"/>
              </w:rPr>
              <w:t xml:space="preserve">un </w:t>
            </w:r>
            <w:r w:rsidR="006E70CD">
              <w:rPr>
                <w:rFonts w:ascii="Times New Roman" w:eastAsia="Times New Roman" w:hAnsi="Times New Roman" w:cs="Times New Roman"/>
                <w:i/>
                <w:sz w:val="24"/>
                <w:szCs w:val="24"/>
              </w:rPr>
              <w:t>3</w:t>
            </w:r>
            <w:r w:rsidR="001203CC">
              <w:rPr>
                <w:rFonts w:ascii="Times New Roman" w:eastAsia="Times New Roman" w:hAnsi="Times New Roman" w:cs="Times New Roman"/>
                <w:i/>
                <w:sz w:val="24"/>
                <w:szCs w:val="24"/>
              </w:rPr>
              <w:t>2</w:t>
            </w:r>
            <w:r w:rsidR="00B07B5E" w:rsidRPr="00E16166">
              <w:rPr>
                <w:rFonts w:ascii="Times New Roman" w:eastAsia="Times New Roman" w:hAnsi="Times New Roman" w:cs="Times New Roman"/>
                <w:i/>
                <w:sz w:val="24"/>
                <w:szCs w:val="24"/>
              </w:rPr>
              <w:t>.</w:t>
            </w:r>
            <w:r w:rsidRPr="00E16166">
              <w:rPr>
                <w:rFonts w:ascii="Times New Roman" w:eastAsia="Times New Roman" w:hAnsi="Times New Roman" w:cs="Times New Roman"/>
                <w:i/>
                <w:sz w:val="24"/>
                <w:szCs w:val="24"/>
              </w:rPr>
              <w:t>punkts</w:t>
            </w:r>
            <w:r w:rsidRPr="00E16166">
              <w:rPr>
                <w:rFonts w:ascii="Times New Roman" w:eastAsia="Times New Roman" w:hAnsi="Times New Roman" w:cs="Times New Roman"/>
                <w:sz w:val="24"/>
                <w:szCs w:val="24"/>
              </w:rPr>
              <w:t>).</w:t>
            </w:r>
          </w:p>
          <w:p w14:paraId="3F4CCF49" w14:textId="77777777" w:rsidR="008D242A" w:rsidRPr="00DF434B" w:rsidRDefault="008D242A" w:rsidP="003A5265">
            <w:pPr>
              <w:spacing w:after="0" w:line="240" w:lineRule="auto"/>
              <w:ind w:firstLine="409"/>
              <w:jc w:val="both"/>
              <w:rPr>
                <w:rFonts w:ascii="Times New Roman" w:eastAsia="Times New Roman" w:hAnsi="Times New Roman" w:cs="Times New Roman"/>
                <w:sz w:val="24"/>
                <w:szCs w:val="24"/>
              </w:rPr>
            </w:pPr>
          </w:p>
          <w:p w14:paraId="00B8F891" w14:textId="4376C896" w:rsidR="008D242A" w:rsidRPr="00DF434B" w:rsidRDefault="00C87C4E" w:rsidP="008D242A">
            <w:pPr>
              <w:spacing w:after="0" w:line="240" w:lineRule="auto"/>
              <w:ind w:firstLine="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D0587" w:rsidRPr="00DF434B">
              <w:rPr>
                <w:rFonts w:ascii="Times New Roman" w:eastAsia="Times New Roman" w:hAnsi="Times New Roman" w:cs="Times New Roman"/>
                <w:sz w:val="24"/>
                <w:szCs w:val="24"/>
              </w:rPr>
              <w:t>. Atbilstoši Ministru kabineta noteikumos Nr.96 noteiktajam, ja veiktas izmaiņas elektroniskās ierīces vai iekārtas  programmā</w:t>
            </w:r>
            <w:r w:rsidR="00765E9D">
              <w:rPr>
                <w:rFonts w:ascii="Times New Roman" w:eastAsia="Times New Roman" w:hAnsi="Times New Roman" w:cs="Times New Roman"/>
                <w:sz w:val="24"/>
                <w:szCs w:val="24"/>
              </w:rPr>
              <w:t xml:space="preserve">, kā rezultātā mainās aprēķināta </w:t>
            </w:r>
            <w:r w:rsidR="00765E9D" w:rsidRPr="003C28C8">
              <w:rPr>
                <w:rFonts w:ascii="Times New Roman" w:eastAsia="Times New Roman" w:hAnsi="Times New Roman" w:cs="Times New Roman"/>
                <w:i/>
                <w:sz w:val="24"/>
                <w:szCs w:val="24"/>
              </w:rPr>
              <w:t>Hash SHA</w:t>
            </w:r>
            <w:r w:rsidR="00765E9D">
              <w:rPr>
                <w:rFonts w:ascii="Times New Roman" w:eastAsia="Times New Roman" w:hAnsi="Times New Roman" w:cs="Times New Roman"/>
                <w:sz w:val="24"/>
                <w:szCs w:val="24"/>
              </w:rPr>
              <w:t>-256 kontrolsumma</w:t>
            </w:r>
            <w:r w:rsidR="00CD0587" w:rsidRPr="00DF434B">
              <w:rPr>
                <w:rFonts w:ascii="Times New Roman" w:eastAsia="Times New Roman" w:hAnsi="Times New Roman" w:cs="Times New Roman"/>
                <w:sz w:val="24"/>
                <w:szCs w:val="24"/>
              </w:rPr>
              <w:t xml:space="preserve">, elektroniskajai ierīcei vai iekārtai </w:t>
            </w:r>
            <w:r w:rsidR="00D7771C" w:rsidRPr="00DF434B">
              <w:rPr>
                <w:rFonts w:ascii="Times New Roman" w:eastAsia="Times New Roman" w:hAnsi="Times New Roman" w:cs="Times New Roman"/>
                <w:sz w:val="24"/>
                <w:szCs w:val="24"/>
              </w:rPr>
              <w:t xml:space="preserve">atkārtoti </w:t>
            </w:r>
            <w:r w:rsidR="00CD0587" w:rsidRPr="00DF434B">
              <w:rPr>
                <w:rFonts w:ascii="Times New Roman" w:eastAsia="Times New Roman" w:hAnsi="Times New Roman" w:cs="Times New Roman"/>
                <w:sz w:val="24"/>
                <w:szCs w:val="24"/>
              </w:rPr>
              <w:t xml:space="preserve">ir jāveic atbilstības pārbaude un VID ir jāreģistrē elektroniskās ierīces vai iekārtas programmas </w:t>
            </w:r>
            <w:r w:rsidR="00765E9D" w:rsidRPr="00DF434B">
              <w:rPr>
                <w:rFonts w:ascii="Times New Roman" w:eastAsia="Times New Roman" w:hAnsi="Times New Roman" w:cs="Times New Roman"/>
                <w:sz w:val="24"/>
                <w:szCs w:val="24"/>
              </w:rPr>
              <w:t>jaun</w:t>
            </w:r>
            <w:r w:rsidR="00765E9D">
              <w:rPr>
                <w:rFonts w:ascii="Times New Roman" w:eastAsia="Times New Roman" w:hAnsi="Times New Roman" w:cs="Times New Roman"/>
                <w:sz w:val="24"/>
                <w:szCs w:val="24"/>
              </w:rPr>
              <w:t>ā</w:t>
            </w:r>
            <w:r w:rsidR="00765E9D" w:rsidRPr="00DF434B">
              <w:rPr>
                <w:rFonts w:ascii="Times New Roman" w:eastAsia="Times New Roman" w:hAnsi="Times New Roman" w:cs="Times New Roman"/>
                <w:sz w:val="24"/>
                <w:szCs w:val="24"/>
              </w:rPr>
              <w:t xml:space="preserve"> </w:t>
            </w:r>
            <w:r w:rsidR="00CD0587" w:rsidRPr="00DF434B">
              <w:rPr>
                <w:rFonts w:ascii="Times New Roman" w:eastAsia="Times New Roman" w:hAnsi="Times New Roman" w:cs="Times New Roman"/>
                <w:sz w:val="24"/>
                <w:szCs w:val="24"/>
              </w:rPr>
              <w:t>versija.</w:t>
            </w:r>
          </w:p>
          <w:p w14:paraId="53248C5F" w14:textId="4F9BFA9D" w:rsidR="008D242A" w:rsidRPr="00DF434B" w:rsidRDefault="00415129" w:rsidP="00514C04">
            <w:pPr>
              <w:spacing w:after="0" w:line="240" w:lineRule="auto"/>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Tādē</w:t>
            </w:r>
            <w:r w:rsidR="006A521C">
              <w:rPr>
                <w:rFonts w:ascii="Times New Roman" w:eastAsia="Times New Roman" w:hAnsi="Times New Roman" w:cs="Times New Roman"/>
                <w:sz w:val="24"/>
                <w:szCs w:val="24"/>
              </w:rPr>
              <w:t>jādi</w:t>
            </w:r>
            <w:r w:rsidR="00CD0587" w:rsidRPr="00DF434B">
              <w:rPr>
                <w:rFonts w:ascii="Times New Roman" w:eastAsia="Times New Roman" w:hAnsi="Times New Roman" w:cs="Times New Roman"/>
                <w:sz w:val="24"/>
                <w:szCs w:val="24"/>
              </w:rPr>
              <w:t xml:space="preserve"> arī kases sistēmām, kuru reģistrēt</w:t>
            </w:r>
            <w:r w:rsidR="009C742F" w:rsidRPr="00DF434B">
              <w:rPr>
                <w:rFonts w:ascii="Times New Roman" w:eastAsia="Times New Roman" w:hAnsi="Times New Roman" w:cs="Times New Roman"/>
                <w:sz w:val="24"/>
                <w:szCs w:val="24"/>
              </w:rPr>
              <w:t>aj</w:t>
            </w:r>
            <w:r w:rsidR="00CD0587" w:rsidRPr="00DF434B">
              <w:rPr>
                <w:rFonts w:ascii="Times New Roman" w:eastAsia="Times New Roman" w:hAnsi="Times New Roman" w:cs="Times New Roman"/>
                <w:sz w:val="24"/>
                <w:szCs w:val="24"/>
              </w:rPr>
              <w:t>ām programmām atbilstoši lietotāja saimnieciskās darbības specifikai ir nepieciešami regulāri uzlabojumi un atjauninājumi, katrai programmas versijai ir nepieciešams veikt atbilstības pārbaudi</w:t>
            </w:r>
            <w:r w:rsidR="00501473">
              <w:rPr>
                <w:rFonts w:ascii="Times New Roman" w:eastAsia="Times New Roman" w:hAnsi="Times New Roman" w:cs="Times New Roman"/>
                <w:sz w:val="24"/>
                <w:szCs w:val="24"/>
              </w:rPr>
              <w:t>,</w:t>
            </w:r>
            <w:r w:rsidR="00CD0587" w:rsidRPr="00DF434B">
              <w:rPr>
                <w:rFonts w:ascii="Times New Roman" w:eastAsia="Times New Roman" w:hAnsi="Times New Roman" w:cs="Times New Roman"/>
                <w:sz w:val="24"/>
                <w:szCs w:val="24"/>
              </w:rPr>
              <w:t xml:space="preserve"> un </w:t>
            </w:r>
            <w:r w:rsidR="006A521C">
              <w:rPr>
                <w:rFonts w:ascii="Times New Roman" w:eastAsia="Times New Roman" w:hAnsi="Times New Roman" w:cs="Times New Roman"/>
                <w:sz w:val="24"/>
                <w:szCs w:val="24"/>
              </w:rPr>
              <w:t>jaunā versija</w:t>
            </w:r>
            <w:r w:rsidR="00CD0587" w:rsidRPr="00DF434B">
              <w:rPr>
                <w:rFonts w:ascii="Times New Roman" w:eastAsia="Times New Roman" w:hAnsi="Times New Roman" w:cs="Times New Roman"/>
                <w:sz w:val="24"/>
                <w:szCs w:val="24"/>
              </w:rPr>
              <w:t xml:space="preserve"> ir jāreģistrē VID.</w:t>
            </w:r>
          </w:p>
          <w:p w14:paraId="3C29ED1C" w14:textId="3EFA05B3" w:rsidR="008D242A" w:rsidRPr="00DF434B" w:rsidRDefault="006A521C" w:rsidP="00514C04">
            <w:pPr>
              <w:spacing w:after="0" w:line="240" w:lineRule="auto"/>
              <w:ind w:firstLine="466"/>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t>Lai samazinātu administratīvo un finansiālo slogu lietotājiem</w:t>
            </w:r>
            <w:r w:rsidR="008F0AA9">
              <w:rPr>
                <w:rFonts w:ascii="Times New Roman" w:eastAsia="Times New Roman" w:hAnsi="Times New Roman" w:cs="Times New Roman"/>
                <w:sz w:val="24"/>
                <w:szCs w:val="24"/>
              </w:rPr>
              <w:t>,</w:t>
            </w:r>
            <w:r w:rsidR="0095639C">
              <w:rPr>
                <w:rFonts w:ascii="Times New Roman" w:eastAsia="Times New Roman" w:hAnsi="Times New Roman" w:cs="Times New Roman"/>
                <w:sz w:val="24"/>
                <w:szCs w:val="24"/>
              </w:rPr>
              <w:t xml:space="preserve"> kuriem ir zems nodokļu nenomaks</w:t>
            </w:r>
            <w:r w:rsidR="004007E9">
              <w:rPr>
                <w:rFonts w:ascii="Times New Roman" w:eastAsia="Times New Roman" w:hAnsi="Times New Roman" w:cs="Times New Roman"/>
                <w:sz w:val="24"/>
                <w:szCs w:val="24"/>
              </w:rPr>
              <w:t>as</w:t>
            </w:r>
            <w:r w:rsidR="0095639C">
              <w:rPr>
                <w:rFonts w:ascii="Times New Roman" w:eastAsia="Times New Roman" w:hAnsi="Times New Roman" w:cs="Times New Roman"/>
                <w:sz w:val="24"/>
                <w:szCs w:val="24"/>
              </w:rPr>
              <w:t xml:space="preserve"> risku līmenis</w:t>
            </w:r>
            <w:r w:rsidRPr="00DF434B">
              <w:rPr>
                <w:rFonts w:ascii="Times New Roman" w:eastAsia="Times New Roman" w:hAnsi="Times New Roman" w:cs="Times New Roman"/>
                <w:sz w:val="24"/>
                <w:szCs w:val="24"/>
              </w:rPr>
              <w:t>, noteikumu projektā ir not</w:t>
            </w:r>
            <w:r w:rsidR="00D7771C" w:rsidRPr="00DF434B">
              <w:rPr>
                <w:rFonts w:ascii="Times New Roman" w:eastAsia="Times New Roman" w:hAnsi="Times New Roman" w:cs="Times New Roman"/>
                <w:sz w:val="24"/>
                <w:szCs w:val="24"/>
              </w:rPr>
              <w:t xml:space="preserve">eiktas atvieglotas prasības </w:t>
            </w:r>
            <w:r w:rsidR="004B2412" w:rsidRPr="00DF434B">
              <w:rPr>
                <w:rFonts w:ascii="Times New Roman" w:eastAsia="Times New Roman" w:hAnsi="Times New Roman" w:cs="Times New Roman"/>
                <w:sz w:val="24"/>
                <w:szCs w:val="24"/>
              </w:rPr>
              <w:t xml:space="preserve">mērķgrupai </w:t>
            </w:r>
            <w:r w:rsidRPr="00DF434B">
              <w:rPr>
                <w:rFonts w:ascii="Times New Roman" w:eastAsia="Times New Roman" w:hAnsi="Times New Roman" w:cs="Times New Roman"/>
                <w:sz w:val="24"/>
                <w:szCs w:val="24"/>
              </w:rPr>
              <w:t>– Padziļinātās sadarbības programmas dalībniekiem</w:t>
            </w:r>
            <w:r w:rsidR="00945FDF" w:rsidRPr="00DF434B">
              <w:rPr>
                <w:rFonts w:ascii="Times New Roman" w:eastAsia="Times New Roman" w:hAnsi="Times New Roman" w:cs="Times New Roman"/>
                <w:sz w:val="24"/>
                <w:szCs w:val="24"/>
              </w:rPr>
              <w:t>, kuriem ir ieviesta nodokļu risku vadības sistēma</w:t>
            </w:r>
            <w:r w:rsidRPr="00DF434B">
              <w:rPr>
                <w:rFonts w:ascii="Times New Roman" w:eastAsia="Times New Roman" w:hAnsi="Times New Roman" w:cs="Times New Roman"/>
                <w:sz w:val="24"/>
                <w:szCs w:val="24"/>
              </w:rPr>
              <w:t xml:space="preserve"> (atzīti kā nodokļu maksātāji ar zemu nodokļu riska līmeni).</w:t>
            </w:r>
          </w:p>
          <w:p w14:paraId="2F7A0CE3" w14:textId="1D5407B3" w:rsidR="008D242A" w:rsidRPr="00EE6C78" w:rsidRDefault="00A16801" w:rsidP="008D242A">
            <w:pPr>
              <w:spacing w:after="0" w:line="240" w:lineRule="auto"/>
              <w:ind w:firstLine="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noteikumi</w:t>
            </w:r>
            <w:r w:rsidRPr="00A16801">
              <w:rPr>
                <w:rFonts w:ascii="Times New Roman" w:eastAsia="Times New Roman" w:hAnsi="Times New Roman" w:cs="Times New Roman"/>
                <w:sz w:val="24"/>
                <w:szCs w:val="24"/>
              </w:rPr>
              <w:t xml:space="preserve"> Nr.96</w:t>
            </w:r>
            <w:r>
              <w:rPr>
                <w:rFonts w:ascii="Times New Roman" w:eastAsia="Times New Roman" w:hAnsi="Times New Roman" w:cs="Times New Roman"/>
                <w:sz w:val="24"/>
                <w:szCs w:val="24"/>
              </w:rPr>
              <w:t xml:space="preserve"> tiek papildināti ar 121.</w:t>
            </w:r>
            <w:r w:rsidRPr="001D0266">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punktu, kurā </w:t>
            </w:r>
            <w:r w:rsidR="006A521C" w:rsidRPr="00EE6C78">
              <w:rPr>
                <w:rFonts w:ascii="Times New Roman" w:eastAsia="Times New Roman" w:hAnsi="Times New Roman" w:cs="Times New Roman"/>
                <w:sz w:val="24"/>
                <w:szCs w:val="24"/>
              </w:rPr>
              <w:t>noteikt</w:t>
            </w:r>
            <w:r>
              <w:rPr>
                <w:rFonts w:ascii="Times New Roman" w:eastAsia="Times New Roman" w:hAnsi="Times New Roman" w:cs="Times New Roman"/>
                <w:sz w:val="24"/>
                <w:szCs w:val="24"/>
              </w:rPr>
              <w:t>s</w:t>
            </w:r>
            <w:r w:rsidR="006A521C" w:rsidRPr="00EE6C78">
              <w:rPr>
                <w:rFonts w:ascii="Times New Roman" w:eastAsia="Times New Roman" w:hAnsi="Times New Roman" w:cs="Times New Roman"/>
                <w:sz w:val="24"/>
                <w:szCs w:val="24"/>
              </w:rPr>
              <w:t>, ja kases sistēmas lietotājs ir Padziļinātās sadarbības programmas dalībnieks</w:t>
            </w:r>
            <w:r w:rsidR="00945FDF" w:rsidRPr="00EE6C78">
              <w:rPr>
                <w:rFonts w:ascii="Times New Roman" w:eastAsia="Times New Roman" w:hAnsi="Times New Roman" w:cs="Times New Roman"/>
                <w:sz w:val="24"/>
                <w:szCs w:val="24"/>
              </w:rPr>
              <w:t>, kuram ir ieviesta nodokļu risku vadības sistēma</w:t>
            </w:r>
            <w:r w:rsidR="006A521C" w:rsidRPr="00EE6C78">
              <w:rPr>
                <w:rFonts w:ascii="Times New Roman" w:eastAsia="Times New Roman" w:hAnsi="Times New Roman" w:cs="Times New Roman"/>
                <w:sz w:val="24"/>
                <w:szCs w:val="24"/>
              </w:rPr>
              <w:t xml:space="preserve">, kases sistēmas programmas izmaiņu gadījumā </w:t>
            </w:r>
            <w:r w:rsidR="00244B29" w:rsidRPr="00EE6C78">
              <w:rPr>
                <w:rFonts w:ascii="Times New Roman" w:eastAsia="Times New Roman" w:hAnsi="Times New Roman" w:cs="Times New Roman"/>
                <w:sz w:val="24"/>
                <w:szCs w:val="24"/>
              </w:rPr>
              <w:t>apkalpojošais dienests programmas jauno versiju iesniedz atbilstības pārbaudes institūcijai</w:t>
            </w:r>
            <w:r w:rsidR="006A521C" w:rsidRPr="00EE6C78">
              <w:rPr>
                <w:rFonts w:ascii="Times New Roman" w:eastAsia="Times New Roman" w:hAnsi="Times New Roman" w:cs="Times New Roman"/>
                <w:sz w:val="24"/>
                <w:szCs w:val="24"/>
              </w:rPr>
              <w:t xml:space="preserve"> </w:t>
            </w:r>
            <w:r w:rsidR="00244B29" w:rsidRPr="00EE6C78">
              <w:rPr>
                <w:rFonts w:ascii="Times New Roman" w:eastAsia="Times New Roman" w:hAnsi="Times New Roman" w:cs="Times New Roman"/>
                <w:sz w:val="24"/>
                <w:szCs w:val="24"/>
              </w:rPr>
              <w:t xml:space="preserve">atbilstības pārbaudei </w:t>
            </w:r>
            <w:r w:rsidR="006A521C" w:rsidRPr="00EE6C78">
              <w:rPr>
                <w:rFonts w:ascii="Times New Roman" w:eastAsia="Times New Roman" w:hAnsi="Times New Roman" w:cs="Times New Roman"/>
                <w:sz w:val="24"/>
                <w:szCs w:val="24"/>
              </w:rPr>
              <w:t xml:space="preserve">ne vēlāk kā </w:t>
            </w:r>
            <w:r w:rsidR="00FC72C0">
              <w:rPr>
                <w:rFonts w:ascii="Times New Roman" w:eastAsia="Times New Roman" w:hAnsi="Times New Roman" w:cs="Times New Roman"/>
                <w:sz w:val="24"/>
                <w:szCs w:val="24"/>
              </w:rPr>
              <w:t>sešu</w:t>
            </w:r>
            <w:r w:rsidR="006A521C" w:rsidRPr="00EE6C78">
              <w:rPr>
                <w:rFonts w:ascii="Times New Roman" w:eastAsia="Times New Roman" w:hAnsi="Times New Roman" w:cs="Times New Roman"/>
                <w:sz w:val="24"/>
                <w:szCs w:val="24"/>
              </w:rPr>
              <w:t xml:space="preserve"> mēnešu laikā pēc iepriekšējā atbilstības pārbaudes atzinuma saņemšanas</w:t>
            </w:r>
            <w:r w:rsidR="00591BCA" w:rsidRPr="00EE6C78">
              <w:rPr>
                <w:rFonts w:ascii="Times New Roman" w:eastAsia="Times New Roman" w:hAnsi="Times New Roman" w:cs="Times New Roman"/>
                <w:sz w:val="24"/>
                <w:szCs w:val="24"/>
              </w:rPr>
              <w:t>.</w:t>
            </w:r>
            <w:r w:rsidR="006B2FA7" w:rsidRPr="00EE6C78">
              <w:rPr>
                <w:rFonts w:ascii="Times New Roman" w:eastAsia="Times New Roman" w:hAnsi="Times New Roman" w:cs="Times New Roman"/>
                <w:sz w:val="24"/>
                <w:szCs w:val="24"/>
              </w:rPr>
              <w:t xml:space="preserve"> </w:t>
            </w:r>
            <w:r w:rsidR="0095639C" w:rsidRPr="00EE6C78">
              <w:rPr>
                <w:rFonts w:ascii="Times New Roman" w:eastAsia="Times New Roman" w:hAnsi="Times New Roman" w:cs="Times New Roman"/>
                <w:sz w:val="24"/>
                <w:szCs w:val="24"/>
              </w:rPr>
              <w:t xml:space="preserve">Gadījumā, ja </w:t>
            </w:r>
            <w:r w:rsidR="00591BCA" w:rsidRPr="00EE6C78">
              <w:rPr>
                <w:rFonts w:ascii="Times New Roman" w:eastAsia="Times New Roman" w:hAnsi="Times New Roman" w:cs="Times New Roman"/>
                <w:sz w:val="24"/>
                <w:szCs w:val="24"/>
              </w:rPr>
              <w:t xml:space="preserve">VID, izvērtējot iesniegto </w:t>
            </w:r>
            <w:r w:rsidR="008F0AA9" w:rsidRPr="00EE6C78">
              <w:rPr>
                <w:rFonts w:ascii="Times New Roman" w:eastAsia="Times New Roman" w:hAnsi="Times New Roman" w:cs="Times New Roman"/>
                <w:sz w:val="24"/>
                <w:szCs w:val="24"/>
              </w:rPr>
              <w:t>izmaiņu</w:t>
            </w:r>
            <w:r w:rsidR="00A3102B" w:rsidRPr="00EE6C78">
              <w:rPr>
                <w:rFonts w:ascii="Times New Roman" w:eastAsia="Times New Roman" w:hAnsi="Times New Roman" w:cs="Times New Roman"/>
                <w:sz w:val="24"/>
                <w:szCs w:val="24"/>
              </w:rPr>
              <w:t xml:space="preserve"> tehnisko </w:t>
            </w:r>
            <w:r w:rsidR="008F0AA9" w:rsidRPr="00EE6C78">
              <w:rPr>
                <w:rFonts w:ascii="Times New Roman" w:eastAsia="Times New Roman" w:hAnsi="Times New Roman" w:cs="Times New Roman"/>
                <w:sz w:val="24"/>
                <w:szCs w:val="24"/>
              </w:rPr>
              <w:t xml:space="preserve"> </w:t>
            </w:r>
            <w:r w:rsidR="00591BCA" w:rsidRPr="00EE6C78">
              <w:rPr>
                <w:rFonts w:ascii="Times New Roman" w:eastAsia="Times New Roman" w:hAnsi="Times New Roman" w:cs="Times New Roman"/>
                <w:sz w:val="24"/>
                <w:szCs w:val="24"/>
              </w:rPr>
              <w:t xml:space="preserve">dokumentāciju, </w:t>
            </w:r>
            <w:r w:rsidR="00A3102B" w:rsidRPr="00EE6C78">
              <w:rPr>
                <w:rFonts w:ascii="Times New Roman" w:eastAsia="Times New Roman" w:hAnsi="Times New Roman" w:cs="Times New Roman"/>
                <w:sz w:val="24"/>
                <w:szCs w:val="24"/>
              </w:rPr>
              <w:t xml:space="preserve">t.sk., programmas pirmkodu un izpildkodu, </w:t>
            </w:r>
            <w:r w:rsidR="00591BCA" w:rsidRPr="00EE6C78">
              <w:rPr>
                <w:rFonts w:ascii="Times New Roman" w:eastAsia="Times New Roman" w:hAnsi="Times New Roman" w:cs="Times New Roman"/>
                <w:sz w:val="24"/>
                <w:szCs w:val="24"/>
              </w:rPr>
              <w:t xml:space="preserve">konstatē, ka </w:t>
            </w:r>
            <w:r w:rsidR="0095639C" w:rsidRPr="00EE6C78">
              <w:rPr>
                <w:rFonts w:ascii="Times New Roman" w:eastAsia="Times New Roman" w:hAnsi="Times New Roman" w:cs="Times New Roman"/>
                <w:sz w:val="24"/>
                <w:szCs w:val="24"/>
              </w:rPr>
              <w:t xml:space="preserve">veiktās izmaiņas ir būtiskas, VID ir noteiktas tiesības pieprasīt atbilstības pārbaudi veikt </w:t>
            </w:r>
            <w:r w:rsidR="00591BCA" w:rsidRPr="00EE6C78">
              <w:rPr>
                <w:rFonts w:ascii="Times New Roman" w:eastAsia="Times New Roman" w:hAnsi="Times New Roman" w:cs="Times New Roman"/>
                <w:sz w:val="24"/>
                <w:szCs w:val="24"/>
              </w:rPr>
              <w:t xml:space="preserve">ātrāk – </w:t>
            </w:r>
            <w:r w:rsidR="0095639C" w:rsidRPr="00EE6C78">
              <w:rPr>
                <w:rFonts w:ascii="Times New Roman" w:eastAsia="Times New Roman" w:hAnsi="Times New Roman" w:cs="Times New Roman"/>
                <w:sz w:val="24"/>
                <w:szCs w:val="24"/>
              </w:rPr>
              <w:t>pēc šo būtisko izmaiņu veikšanas</w:t>
            </w:r>
            <w:r w:rsidR="00ED6630" w:rsidRPr="00EE6C78">
              <w:rPr>
                <w:rFonts w:ascii="Times New Roman" w:eastAsia="Times New Roman" w:hAnsi="Times New Roman" w:cs="Times New Roman"/>
                <w:sz w:val="24"/>
                <w:szCs w:val="24"/>
              </w:rPr>
              <w:t>.</w:t>
            </w:r>
            <w:r w:rsidR="00EE6C78" w:rsidRPr="00EE6C78">
              <w:rPr>
                <w:rFonts w:ascii="Times New Roman" w:eastAsia="Times New Roman" w:hAnsi="Times New Roman" w:cs="Times New Roman"/>
                <w:sz w:val="24"/>
                <w:szCs w:val="24"/>
              </w:rPr>
              <w:t xml:space="preserve"> Gan </w:t>
            </w:r>
            <w:r w:rsidR="00EE6C78">
              <w:rPr>
                <w:rFonts w:ascii="Times New Roman" w:eastAsia="Times New Roman" w:hAnsi="Times New Roman" w:cs="Times New Roman"/>
                <w:sz w:val="24"/>
                <w:szCs w:val="24"/>
              </w:rPr>
              <w:t>minēta</w:t>
            </w:r>
            <w:r w:rsidR="00EE6C78" w:rsidRPr="00EE6C78">
              <w:rPr>
                <w:rFonts w:ascii="Times New Roman" w:eastAsia="Times New Roman" w:hAnsi="Times New Roman" w:cs="Times New Roman"/>
                <w:sz w:val="24"/>
                <w:szCs w:val="24"/>
              </w:rPr>
              <w:t>is kases sistēmas lietotājs, gan ap</w:t>
            </w:r>
            <w:r w:rsidR="008644CA">
              <w:rPr>
                <w:rFonts w:ascii="Times New Roman" w:eastAsia="Times New Roman" w:hAnsi="Times New Roman" w:cs="Times New Roman"/>
                <w:sz w:val="24"/>
                <w:szCs w:val="24"/>
              </w:rPr>
              <w:t>kalpojošais dienests trīs darb</w:t>
            </w:r>
            <w:r w:rsidR="00EE6C78" w:rsidRPr="00EE6C78">
              <w:rPr>
                <w:rFonts w:ascii="Times New Roman" w:eastAsia="Times New Roman" w:hAnsi="Times New Roman" w:cs="Times New Roman"/>
                <w:sz w:val="24"/>
                <w:szCs w:val="24"/>
              </w:rPr>
              <w:t>dienu laikā pēc katru programmas izmaiņu uzstādīšanas</w:t>
            </w:r>
            <w:r w:rsidR="00EE6C78" w:rsidRPr="009E5542">
              <w:rPr>
                <w:rFonts w:ascii="Times New Roman" w:hAnsi="Times New Roman" w:cs="Times New Roman"/>
                <w:sz w:val="24"/>
                <w:szCs w:val="24"/>
              </w:rPr>
              <w:t xml:space="preserve"> informē par to</w:t>
            </w:r>
            <w:r w:rsidR="007643A8">
              <w:rPr>
                <w:rFonts w:ascii="Times New Roman" w:hAnsi="Times New Roman" w:cs="Times New Roman"/>
                <w:sz w:val="24"/>
                <w:szCs w:val="24"/>
              </w:rPr>
              <w:t xml:space="preserve"> VID</w:t>
            </w:r>
            <w:r w:rsidR="00EE6C78" w:rsidRPr="009E5542">
              <w:rPr>
                <w:rFonts w:ascii="Times New Roman" w:hAnsi="Times New Roman" w:cs="Times New Roman"/>
                <w:sz w:val="24"/>
                <w:szCs w:val="24"/>
              </w:rPr>
              <w:t xml:space="preserve">, izmantojot </w:t>
            </w:r>
            <w:r w:rsidR="007643A8">
              <w:rPr>
                <w:rFonts w:ascii="Times New Roman" w:hAnsi="Times New Roman" w:cs="Times New Roman"/>
                <w:sz w:val="24"/>
                <w:szCs w:val="24"/>
              </w:rPr>
              <w:t>VID</w:t>
            </w:r>
            <w:r w:rsidR="00EE6C78" w:rsidRPr="009E5542">
              <w:rPr>
                <w:rFonts w:ascii="Times New Roman" w:hAnsi="Times New Roman" w:cs="Times New Roman"/>
                <w:sz w:val="24"/>
                <w:szCs w:val="24"/>
              </w:rPr>
              <w:t xml:space="preserve"> elektroniskās deklarēšanas sistēmu</w:t>
            </w:r>
            <w:r w:rsidR="00EE6C78" w:rsidRPr="00EE6C78">
              <w:rPr>
                <w:rFonts w:ascii="Times New Roman" w:eastAsia="Times New Roman" w:hAnsi="Times New Roman" w:cs="Times New Roman"/>
                <w:sz w:val="24"/>
                <w:szCs w:val="24"/>
              </w:rPr>
              <w:t xml:space="preserve"> </w:t>
            </w:r>
            <w:r w:rsidR="006A521C" w:rsidRPr="00EE6C78">
              <w:rPr>
                <w:rFonts w:ascii="Times New Roman" w:eastAsia="Times New Roman" w:hAnsi="Times New Roman" w:cs="Times New Roman"/>
                <w:sz w:val="24"/>
                <w:szCs w:val="24"/>
              </w:rPr>
              <w:t>(</w:t>
            </w:r>
            <w:r w:rsidR="006A521C" w:rsidRPr="00EE6C78">
              <w:rPr>
                <w:rFonts w:ascii="Times New Roman" w:eastAsia="Times New Roman" w:hAnsi="Times New Roman" w:cs="Times New Roman"/>
                <w:i/>
                <w:sz w:val="24"/>
                <w:szCs w:val="24"/>
              </w:rPr>
              <w:t xml:space="preserve">noteikumu projekta </w:t>
            </w:r>
            <w:r w:rsidR="006E70CD">
              <w:rPr>
                <w:rFonts w:ascii="Times New Roman" w:eastAsia="Times New Roman" w:hAnsi="Times New Roman" w:cs="Times New Roman"/>
                <w:i/>
                <w:sz w:val="24"/>
                <w:szCs w:val="24"/>
              </w:rPr>
              <w:t>2</w:t>
            </w:r>
            <w:r w:rsidR="001203CC">
              <w:rPr>
                <w:rFonts w:ascii="Times New Roman" w:eastAsia="Times New Roman" w:hAnsi="Times New Roman" w:cs="Times New Roman"/>
                <w:i/>
                <w:sz w:val="24"/>
                <w:szCs w:val="24"/>
              </w:rPr>
              <w:t>7</w:t>
            </w:r>
            <w:r w:rsidR="006A521C" w:rsidRPr="00EE6C78">
              <w:rPr>
                <w:rFonts w:ascii="Times New Roman" w:eastAsia="Times New Roman" w:hAnsi="Times New Roman" w:cs="Times New Roman"/>
                <w:i/>
                <w:sz w:val="24"/>
                <w:szCs w:val="24"/>
              </w:rPr>
              <w:t>.punkts</w:t>
            </w:r>
            <w:r w:rsidR="006A521C" w:rsidRPr="00EE6C78">
              <w:rPr>
                <w:rFonts w:ascii="Times New Roman" w:eastAsia="Times New Roman" w:hAnsi="Times New Roman" w:cs="Times New Roman"/>
                <w:sz w:val="24"/>
                <w:szCs w:val="24"/>
              </w:rPr>
              <w:t>).</w:t>
            </w:r>
          </w:p>
          <w:p w14:paraId="784D1F67" w14:textId="77777777" w:rsidR="008D242A" w:rsidRPr="00DF434B" w:rsidRDefault="008D242A" w:rsidP="003A5265">
            <w:pPr>
              <w:spacing w:after="0" w:line="240" w:lineRule="auto"/>
              <w:ind w:firstLine="409"/>
              <w:jc w:val="both"/>
              <w:rPr>
                <w:rFonts w:ascii="Times New Roman" w:eastAsia="Times New Roman" w:hAnsi="Times New Roman" w:cs="Times New Roman"/>
                <w:sz w:val="24"/>
                <w:szCs w:val="24"/>
              </w:rPr>
            </w:pPr>
          </w:p>
          <w:p w14:paraId="41BAA270" w14:textId="10746E97" w:rsidR="00905168" w:rsidRPr="00DF434B" w:rsidRDefault="00C87C4E" w:rsidP="003A5265">
            <w:pPr>
              <w:spacing w:after="0" w:line="240" w:lineRule="auto"/>
              <w:ind w:firstLine="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37DDA" w:rsidRPr="00DF434B">
              <w:rPr>
                <w:rFonts w:ascii="Times New Roman" w:eastAsia="Times New Roman" w:hAnsi="Times New Roman" w:cs="Times New Roman"/>
                <w:sz w:val="24"/>
                <w:szCs w:val="24"/>
              </w:rPr>
              <w:t xml:space="preserve">. </w:t>
            </w:r>
            <w:r w:rsidR="003A5265" w:rsidRPr="00DF434B">
              <w:rPr>
                <w:rFonts w:ascii="Times New Roman" w:eastAsia="Times New Roman" w:hAnsi="Times New Roman" w:cs="Times New Roman"/>
                <w:sz w:val="24"/>
                <w:szCs w:val="24"/>
              </w:rPr>
              <w:t xml:space="preserve">Atbilstoši likuma </w:t>
            </w:r>
            <w:r w:rsidR="00D52CB3" w:rsidRPr="00DF434B">
              <w:rPr>
                <w:rFonts w:ascii="Times New Roman" w:eastAsia="Times New Roman" w:hAnsi="Times New Roman" w:cs="Times New Roman"/>
                <w:sz w:val="24"/>
                <w:szCs w:val="24"/>
                <w:lang w:eastAsia="lv-LV"/>
              </w:rPr>
              <w:t>"</w:t>
            </w:r>
            <w:r w:rsidR="003A5265" w:rsidRPr="00DF434B">
              <w:rPr>
                <w:rFonts w:ascii="Times New Roman" w:eastAsia="Times New Roman" w:hAnsi="Times New Roman" w:cs="Times New Roman"/>
                <w:sz w:val="24"/>
                <w:szCs w:val="24"/>
              </w:rPr>
              <w:t>Par nodokļiem un nodevām</w:t>
            </w:r>
            <w:r w:rsidR="00D52CB3" w:rsidRPr="00DF434B">
              <w:rPr>
                <w:rFonts w:ascii="Times New Roman" w:eastAsia="Times New Roman" w:hAnsi="Times New Roman" w:cs="Times New Roman"/>
                <w:sz w:val="24"/>
                <w:szCs w:val="24"/>
                <w:lang w:eastAsia="lv-LV"/>
              </w:rPr>
              <w:t>"</w:t>
            </w:r>
            <w:r w:rsidR="00E77493">
              <w:rPr>
                <w:rFonts w:ascii="Times New Roman" w:eastAsia="Times New Roman" w:hAnsi="Times New Roman" w:cs="Times New Roman"/>
                <w:sz w:val="24"/>
                <w:szCs w:val="24"/>
                <w:lang w:eastAsia="lv-LV"/>
              </w:rPr>
              <w:t xml:space="preserve"> 28.</w:t>
            </w:r>
            <w:r w:rsidR="00E77493" w:rsidRPr="001D0266">
              <w:rPr>
                <w:rFonts w:ascii="Times New Roman" w:eastAsia="Times New Roman" w:hAnsi="Times New Roman" w:cs="Times New Roman"/>
                <w:sz w:val="24"/>
                <w:szCs w:val="24"/>
                <w:vertAlign w:val="superscript"/>
                <w:lang w:eastAsia="lv-LV"/>
              </w:rPr>
              <w:t>1</w:t>
            </w:r>
            <w:r w:rsidR="00E77493">
              <w:rPr>
                <w:rFonts w:ascii="Times New Roman" w:eastAsia="Times New Roman" w:hAnsi="Times New Roman" w:cs="Times New Roman"/>
                <w:sz w:val="24"/>
                <w:szCs w:val="24"/>
                <w:lang w:eastAsia="lv-LV"/>
              </w:rPr>
              <w:t xml:space="preserve"> pantam</w:t>
            </w:r>
            <w:r w:rsidR="001D2282">
              <w:rPr>
                <w:rFonts w:ascii="Times New Roman" w:eastAsia="Times New Roman" w:hAnsi="Times New Roman" w:cs="Times New Roman"/>
                <w:sz w:val="24"/>
                <w:szCs w:val="24"/>
              </w:rPr>
              <w:t xml:space="preserve"> un</w:t>
            </w:r>
            <w:r w:rsidR="003A5265" w:rsidRPr="00DF434B">
              <w:rPr>
                <w:sz w:val="24"/>
                <w:szCs w:val="24"/>
              </w:rPr>
              <w:t xml:space="preserve"> </w:t>
            </w:r>
            <w:r w:rsidR="003A5265" w:rsidRPr="00DF434B">
              <w:rPr>
                <w:rFonts w:ascii="Times New Roman" w:eastAsia="Times New Roman" w:hAnsi="Times New Roman" w:cs="Times New Roman"/>
                <w:sz w:val="24"/>
                <w:szCs w:val="24"/>
              </w:rPr>
              <w:t>Ministru kabineta noteikum</w:t>
            </w:r>
            <w:r w:rsidR="00E77493">
              <w:rPr>
                <w:rFonts w:ascii="Times New Roman" w:eastAsia="Times New Roman" w:hAnsi="Times New Roman" w:cs="Times New Roman"/>
                <w:sz w:val="24"/>
                <w:szCs w:val="24"/>
              </w:rPr>
              <w:t>u</w:t>
            </w:r>
            <w:r w:rsidR="003A5265" w:rsidRPr="00DF434B">
              <w:rPr>
                <w:rFonts w:ascii="Times New Roman" w:eastAsia="Times New Roman" w:hAnsi="Times New Roman" w:cs="Times New Roman"/>
                <w:sz w:val="24"/>
                <w:szCs w:val="24"/>
              </w:rPr>
              <w:t xml:space="preserve"> Nr.</w:t>
            </w:r>
            <w:r w:rsidR="00724E11" w:rsidRPr="00DF434B">
              <w:rPr>
                <w:rFonts w:ascii="Times New Roman" w:eastAsia="Times New Roman" w:hAnsi="Times New Roman" w:cs="Times New Roman"/>
                <w:sz w:val="24"/>
                <w:szCs w:val="24"/>
              </w:rPr>
              <w:t>96</w:t>
            </w:r>
            <w:r w:rsidR="00173549">
              <w:t xml:space="preserve"> </w:t>
            </w:r>
            <w:r w:rsidR="00173549" w:rsidRPr="00173549">
              <w:rPr>
                <w:rFonts w:ascii="Times New Roman" w:eastAsia="Times New Roman" w:hAnsi="Times New Roman" w:cs="Times New Roman"/>
                <w:sz w:val="24"/>
                <w:szCs w:val="24"/>
              </w:rPr>
              <w:t>89., 121.</w:t>
            </w:r>
            <w:r w:rsidR="00173549" w:rsidRPr="001D0266">
              <w:rPr>
                <w:rFonts w:ascii="Times New Roman" w:eastAsia="Times New Roman" w:hAnsi="Times New Roman" w:cs="Times New Roman"/>
                <w:sz w:val="24"/>
                <w:szCs w:val="24"/>
                <w:vertAlign w:val="superscript"/>
              </w:rPr>
              <w:t>1</w:t>
            </w:r>
            <w:r w:rsidR="00173549" w:rsidRPr="00173549">
              <w:rPr>
                <w:rFonts w:ascii="Times New Roman" w:eastAsia="Times New Roman" w:hAnsi="Times New Roman" w:cs="Times New Roman"/>
                <w:sz w:val="24"/>
                <w:szCs w:val="24"/>
              </w:rPr>
              <w:t xml:space="preserve"> un 122.punktam</w:t>
            </w:r>
            <w:r w:rsidR="003A5265" w:rsidRPr="00DF434B">
              <w:rPr>
                <w:rFonts w:ascii="Times New Roman" w:eastAsia="Times New Roman" w:hAnsi="Times New Roman" w:cs="Times New Roman"/>
                <w:sz w:val="24"/>
                <w:szCs w:val="24"/>
              </w:rPr>
              <w:t xml:space="preserve"> lietotāji var lietot un apkalpojošie dienesti var ap</w:t>
            </w:r>
            <w:r w:rsidR="0047119A" w:rsidRPr="00DF434B">
              <w:rPr>
                <w:rFonts w:ascii="Times New Roman" w:eastAsia="Times New Roman" w:hAnsi="Times New Roman" w:cs="Times New Roman"/>
                <w:sz w:val="24"/>
                <w:szCs w:val="24"/>
              </w:rPr>
              <w:t>kalpot tikai tādas</w:t>
            </w:r>
            <w:r w:rsidR="003A5265" w:rsidRPr="00DF434B">
              <w:rPr>
                <w:sz w:val="24"/>
                <w:szCs w:val="24"/>
              </w:rPr>
              <w:t xml:space="preserve"> </w:t>
            </w:r>
            <w:r w:rsidR="0047119A" w:rsidRPr="00DF434B">
              <w:rPr>
                <w:rFonts w:ascii="Times New Roman" w:eastAsia="Times New Roman" w:hAnsi="Times New Roman" w:cs="Times New Roman"/>
                <w:sz w:val="24"/>
                <w:szCs w:val="24"/>
              </w:rPr>
              <w:t>elektroniskās ierīces</w:t>
            </w:r>
            <w:r w:rsidR="003A5265" w:rsidRPr="00DF434B">
              <w:rPr>
                <w:rFonts w:ascii="Times New Roman" w:eastAsia="Times New Roman" w:hAnsi="Times New Roman" w:cs="Times New Roman"/>
                <w:sz w:val="24"/>
                <w:szCs w:val="24"/>
              </w:rPr>
              <w:t xml:space="preserve"> un iekārt</w:t>
            </w:r>
            <w:r w:rsidR="0047119A" w:rsidRPr="00DF434B">
              <w:rPr>
                <w:rFonts w:ascii="Times New Roman" w:eastAsia="Times New Roman" w:hAnsi="Times New Roman" w:cs="Times New Roman"/>
                <w:sz w:val="24"/>
                <w:szCs w:val="24"/>
              </w:rPr>
              <w:t>as,</w:t>
            </w:r>
            <w:r w:rsidR="003A5265" w:rsidRPr="00DF434B">
              <w:rPr>
                <w:rFonts w:ascii="Times New Roman" w:eastAsia="Times New Roman" w:hAnsi="Times New Roman" w:cs="Times New Roman"/>
                <w:sz w:val="24"/>
                <w:szCs w:val="24"/>
              </w:rPr>
              <w:t xml:space="preserve"> </w:t>
            </w:r>
            <w:r w:rsidR="0047119A" w:rsidRPr="00DF434B">
              <w:rPr>
                <w:rFonts w:ascii="Times New Roman" w:eastAsia="Times New Roman" w:hAnsi="Times New Roman" w:cs="Times New Roman"/>
                <w:sz w:val="24"/>
                <w:szCs w:val="24"/>
              </w:rPr>
              <w:t>kuru attiecīgajam modelim</w:t>
            </w:r>
            <w:r w:rsidR="00C622F6" w:rsidRPr="00DF434B">
              <w:rPr>
                <w:rFonts w:ascii="Times New Roman" w:eastAsia="Times New Roman" w:hAnsi="Times New Roman" w:cs="Times New Roman"/>
                <w:sz w:val="24"/>
                <w:szCs w:val="24"/>
              </w:rPr>
              <w:t>,</w:t>
            </w:r>
            <w:r w:rsidR="003A5265" w:rsidRPr="00DF434B">
              <w:rPr>
                <w:rFonts w:ascii="Times New Roman" w:eastAsia="Times New Roman" w:hAnsi="Times New Roman" w:cs="Times New Roman"/>
                <w:sz w:val="24"/>
                <w:szCs w:val="24"/>
              </w:rPr>
              <w:t xml:space="preserve"> modifik</w:t>
            </w:r>
            <w:r w:rsidR="00CD0587" w:rsidRPr="00DF434B">
              <w:rPr>
                <w:rFonts w:ascii="Times New Roman" w:eastAsia="Times New Roman" w:hAnsi="Times New Roman" w:cs="Times New Roman"/>
                <w:sz w:val="24"/>
                <w:szCs w:val="24"/>
              </w:rPr>
              <w:t>ācija</w:t>
            </w:r>
            <w:r w:rsidR="0047119A" w:rsidRPr="00DF434B">
              <w:rPr>
                <w:rFonts w:ascii="Times New Roman" w:eastAsia="Times New Roman" w:hAnsi="Times New Roman" w:cs="Times New Roman"/>
                <w:sz w:val="24"/>
                <w:szCs w:val="24"/>
              </w:rPr>
              <w:t>i</w:t>
            </w:r>
            <w:r w:rsidR="00724E11" w:rsidRPr="00DF434B">
              <w:rPr>
                <w:rFonts w:ascii="Times New Roman" w:eastAsia="Times New Roman" w:hAnsi="Times New Roman" w:cs="Times New Roman"/>
                <w:sz w:val="24"/>
                <w:szCs w:val="24"/>
              </w:rPr>
              <w:t xml:space="preserve"> vai programmas versijai</w:t>
            </w:r>
            <w:r w:rsidR="0047119A" w:rsidRPr="00DF434B">
              <w:rPr>
                <w:rFonts w:ascii="Times New Roman" w:eastAsia="Times New Roman" w:hAnsi="Times New Roman" w:cs="Times New Roman"/>
                <w:sz w:val="24"/>
                <w:szCs w:val="24"/>
              </w:rPr>
              <w:t xml:space="preserve"> </w:t>
            </w:r>
            <w:r w:rsidR="003A5265" w:rsidRPr="00DF434B">
              <w:rPr>
                <w:rFonts w:ascii="Times New Roman" w:eastAsia="Times New Roman" w:hAnsi="Times New Roman" w:cs="Times New Roman"/>
                <w:sz w:val="24"/>
                <w:szCs w:val="24"/>
              </w:rPr>
              <w:t xml:space="preserve">ir veikta atbilstības pārbaude un </w:t>
            </w:r>
            <w:r w:rsidR="0047119A" w:rsidRPr="00DF434B">
              <w:rPr>
                <w:rFonts w:ascii="Times New Roman" w:eastAsia="Times New Roman" w:hAnsi="Times New Roman" w:cs="Times New Roman"/>
                <w:sz w:val="24"/>
                <w:szCs w:val="24"/>
              </w:rPr>
              <w:t>t</w:t>
            </w:r>
            <w:r w:rsidR="00501473">
              <w:rPr>
                <w:rFonts w:ascii="Times New Roman" w:eastAsia="Times New Roman" w:hAnsi="Times New Roman" w:cs="Times New Roman"/>
                <w:sz w:val="24"/>
                <w:szCs w:val="24"/>
              </w:rPr>
              <w:t>ā</w:t>
            </w:r>
            <w:r w:rsidR="0047119A" w:rsidRPr="00DF434B">
              <w:rPr>
                <w:rFonts w:ascii="Times New Roman" w:eastAsia="Times New Roman" w:hAnsi="Times New Roman" w:cs="Times New Roman"/>
                <w:sz w:val="24"/>
                <w:szCs w:val="24"/>
              </w:rPr>
              <w:t>s ir reģistrēt</w:t>
            </w:r>
            <w:r w:rsidR="005667A0" w:rsidRPr="00DF434B">
              <w:rPr>
                <w:rFonts w:ascii="Times New Roman" w:eastAsia="Times New Roman" w:hAnsi="Times New Roman" w:cs="Times New Roman"/>
                <w:sz w:val="24"/>
                <w:szCs w:val="24"/>
              </w:rPr>
              <w:t>a</w:t>
            </w:r>
            <w:r w:rsidR="0047119A" w:rsidRPr="00DF434B">
              <w:rPr>
                <w:rFonts w:ascii="Times New Roman" w:eastAsia="Times New Roman" w:hAnsi="Times New Roman" w:cs="Times New Roman"/>
                <w:sz w:val="24"/>
                <w:szCs w:val="24"/>
              </w:rPr>
              <w:t>s</w:t>
            </w:r>
            <w:r w:rsidR="003A5265" w:rsidRPr="00DF434B">
              <w:rPr>
                <w:rFonts w:ascii="Times New Roman" w:eastAsia="Times New Roman" w:hAnsi="Times New Roman" w:cs="Times New Roman"/>
                <w:sz w:val="24"/>
                <w:szCs w:val="24"/>
              </w:rPr>
              <w:t xml:space="preserve"> </w:t>
            </w:r>
            <w:r w:rsidR="00CD0587" w:rsidRPr="00DF434B">
              <w:rPr>
                <w:rFonts w:ascii="Times New Roman" w:eastAsia="Times New Roman" w:hAnsi="Times New Roman" w:cs="Times New Roman"/>
                <w:sz w:val="24"/>
                <w:szCs w:val="24"/>
              </w:rPr>
              <w:t>VID</w:t>
            </w:r>
            <w:r w:rsidR="003A5265" w:rsidRPr="00DF434B">
              <w:rPr>
                <w:rFonts w:ascii="Times New Roman" w:eastAsia="Times New Roman" w:hAnsi="Times New Roman" w:cs="Times New Roman"/>
                <w:sz w:val="24"/>
                <w:szCs w:val="24"/>
              </w:rPr>
              <w:t xml:space="preserve"> vienotajā datubāzē (reģistrā)</w:t>
            </w:r>
            <w:r w:rsidR="00CD0587" w:rsidRPr="00DF434B">
              <w:rPr>
                <w:rFonts w:ascii="Times New Roman" w:eastAsia="Times New Roman" w:hAnsi="Times New Roman" w:cs="Times New Roman"/>
                <w:sz w:val="24"/>
                <w:szCs w:val="24"/>
              </w:rPr>
              <w:t>.</w:t>
            </w:r>
          </w:p>
          <w:p w14:paraId="2FF66B72" w14:textId="6F6871FB" w:rsidR="007B6F5F" w:rsidRPr="00DF434B" w:rsidRDefault="00905168" w:rsidP="009115FF">
            <w:pPr>
              <w:spacing w:after="0" w:line="240" w:lineRule="auto"/>
              <w:ind w:firstLine="409"/>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lastRenderedPageBreak/>
              <w:t>Savukārt, ja</w:t>
            </w:r>
            <w:r w:rsidR="009115FF" w:rsidRPr="00DF434B">
              <w:rPr>
                <w:rFonts w:ascii="Times New Roman" w:eastAsia="Times New Roman" w:hAnsi="Times New Roman" w:cs="Times New Roman"/>
                <w:sz w:val="24"/>
                <w:szCs w:val="24"/>
              </w:rPr>
              <w:t xml:space="preserve"> VID</w:t>
            </w:r>
            <w:r w:rsidR="009115FF" w:rsidRPr="00DF434B">
              <w:rPr>
                <w:sz w:val="24"/>
                <w:szCs w:val="24"/>
              </w:rPr>
              <w:t xml:space="preserve"> </w:t>
            </w:r>
            <w:r w:rsidR="009115FF" w:rsidRPr="00DF434B">
              <w:rPr>
                <w:rFonts w:ascii="Times New Roman" w:eastAsia="Times New Roman" w:hAnsi="Times New Roman" w:cs="Times New Roman"/>
                <w:sz w:val="24"/>
                <w:szCs w:val="24"/>
              </w:rPr>
              <w:t xml:space="preserve">kases aparāta, hibrīda kases aparāta, kases sistēmas, specializētās ierīces un iekārtas modeļa vai modifikācijas </w:t>
            </w:r>
            <w:r w:rsidR="006A521C" w:rsidRPr="00DF434B">
              <w:rPr>
                <w:rFonts w:ascii="Times New Roman" w:eastAsia="Times New Roman" w:hAnsi="Times New Roman" w:cs="Times New Roman"/>
                <w:sz w:val="24"/>
                <w:szCs w:val="24"/>
              </w:rPr>
              <w:t>reģistrācijas procesā vai</w:t>
            </w:r>
            <w:r w:rsidR="00591BCA">
              <w:rPr>
                <w:rFonts w:ascii="Times New Roman" w:eastAsia="Times New Roman" w:hAnsi="Times New Roman" w:cs="Times New Roman"/>
                <w:sz w:val="24"/>
                <w:szCs w:val="24"/>
              </w:rPr>
              <w:t>,</w:t>
            </w:r>
            <w:r w:rsidRPr="00DF434B">
              <w:rPr>
                <w:rFonts w:ascii="Times New Roman" w:eastAsia="Times New Roman" w:hAnsi="Times New Roman" w:cs="Times New Roman"/>
                <w:sz w:val="24"/>
                <w:szCs w:val="24"/>
              </w:rPr>
              <w:t xml:space="preserve"> veicot kontroles pas</w:t>
            </w:r>
            <w:r w:rsidR="006A521C" w:rsidRPr="00DF434B">
              <w:rPr>
                <w:rFonts w:ascii="Times New Roman" w:eastAsia="Times New Roman" w:hAnsi="Times New Roman" w:cs="Times New Roman"/>
                <w:sz w:val="24"/>
                <w:szCs w:val="24"/>
              </w:rPr>
              <w:t>ākumus</w:t>
            </w:r>
            <w:r w:rsidR="00591BCA">
              <w:rPr>
                <w:rFonts w:ascii="Times New Roman" w:eastAsia="Times New Roman" w:hAnsi="Times New Roman" w:cs="Times New Roman"/>
                <w:sz w:val="24"/>
                <w:szCs w:val="24"/>
              </w:rPr>
              <w:t>,</w:t>
            </w:r>
            <w:r w:rsidRPr="00DF434B">
              <w:rPr>
                <w:rFonts w:ascii="Times New Roman" w:eastAsia="Times New Roman" w:hAnsi="Times New Roman" w:cs="Times New Roman"/>
                <w:sz w:val="24"/>
                <w:szCs w:val="24"/>
              </w:rPr>
              <w:t xml:space="preserve"> konstat</w:t>
            </w:r>
            <w:r w:rsidR="006A521C" w:rsidRPr="00DF434B">
              <w:rPr>
                <w:rFonts w:ascii="Times New Roman" w:eastAsia="Times New Roman" w:hAnsi="Times New Roman" w:cs="Times New Roman"/>
                <w:sz w:val="24"/>
                <w:szCs w:val="24"/>
              </w:rPr>
              <w:t>ē,</w:t>
            </w:r>
            <w:r w:rsidRPr="00DF434B">
              <w:rPr>
                <w:rFonts w:ascii="Times New Roman" w:eastAsia="Times New Roman" w:hAnsi="Times New Roman" w:cs="Times New Roman"/>
                <w:sz w:val="24"/>
                <w:szCs w:val="24"/>
              </w:rPr>
              <w:t xml:space="preserve"> ka modelis</w:t>
            </w:r>
            <w:r w:rsidR="00724E11" w:rsidRPr="00DF434B">
              <w:rPr>
                <w:rFonts w:ascii="Times New Roman" w:eastAsia="Times New Roman" w:hAnsi="Times New Roman" w:cs="Times New Roman"/>
                <w:sz w:val="24"/>
                <w:szCs w:val="24"/>
              </w:rPr>
              <w:t xml:space="preserve">, </w:t>
            </w:r>
            <w:r w:rsidRPr="00DF434B">
              <w:rPr>
                <w:rFonts w:ascii="Times New Roman" w:eastAsia="Times New Roman" w:hAnsi="Times New Roman" w:cs="Times New Roman"/>
                <w:sz w:val="24"/>
                <w:szCs w:val="24"/>
              </w:rPr>
              <w:t>modifikācija</w:t>
            </w:r>
            <w:r w:rsidR="00724E11" w:rsidRPr="00DF434B">
              <w:rPr>
                <w:rFonts w:ascii="Times New Roman" w:eastAsia="Times New Roman" w:hAnsi="Times New Roman" w:cs="Times New Roman"/>
                <w:sz w:val="24"/>
                <w:szCs w:val="24"/>
              </w:rPr>
              <w:t xml:space="preserve"> vai versija</w:t>
            </w:r>
            <w:r w:rsidRPr="00DF434B">
              <w:rPr>
                <w:rFonts w:ascii="Times New Roman" w:eastAsia="Times New Roman" w:hAnsi="Times New Roman" w:cs="Times New Roman"/>
                <w:sz w:val="24"/>
                <w:szCs w:val="24"/>
              </w:rPr>
              <w:t xml:space="preserve"> neatbilst tehniskajām prasībām</w:t>
            </w:r>
            <w:r w:rsidR="006A521C" w:rsidRPr="00DF434B">
              <w:rPr>
                <w:rFonts w:ascii="Times New Roman" w:eastAsia="Times New Roman" w:hAnsi="Times New Roman" w:cs="Times New Roman"/>
                <w:sz w:val="24"/>
                <w:szCs w:val="24"/>
              </w:rPr>
              <w:t xml:space="preserve">, </w:t>
            </w:r>
            <w:r w:rsidR="009115FF" w:rsidRPr="00DF434B">
              <w:rPr>
                <w:rFonts w:ascii="Times New Roman" w:eastAsia="Times New Roman" w:hAnsi="Times New Roman" w:cs="Times New Roman"/>
                <w:sz w:val="24"/>
                <w:szCs w:val="24"/>
              </w:rPr>
              <w:t xml:space="preserve">VID </w:t>
            </w:r>
            <w:r w:rsidR="00724E11" w:rsidRPr="00DF434B">
              <w:rPr>
                <w:rFonts w:ascii="Times New Roman" w:eastAsia="Times New Roman" w:hAnsi="Times New Roman" w:cs="Times New Roman"/>
                <w:sz w:val="24"/>
                <w:szCs w:val="24"/>
              </w:rPr>
              <w:t>attiecīgo modeli,</w:t>
            </w:r>
            <w:r w:rsidR="006A521C" w:rsidRPr="00DF434B">
              <w:rPr>
                <w:rFonts w:ascii="Times New Roman" w:eastAsia="Times New Roman" w:hAnsi="Times New Roman" w:cs="Times New Roman"/>
                <w:sz w:val="24"/>
                <w:szCs w:val="24"/>
              </w:rPr>
              <w:t xml:space="preserve"> modifikāciju</w:t>
            </w:r>
            <w:r w:rsidR="00724E11" w:rsidRPr="00DF434B">
              <w:rPr>
                <w:rFonts w:ascii="Times New Roman" w:eastAsia="Times New Roman" w:hAnsi="Times New Roman" w:cs="Times New Roman"/>
                <w:sz w:val="24"/>
                <w:szCs w:val="24"/>
              </w:rPr>
              <w:t xml:space="preserve"> vai versiju</w:t>
            </w:r>
            <w:r w:rsidR="006A521C" w:rsidRPr="00DF434B">
              <w:rPr>
                <w:rFonts w:ascii="Times New Roman" w:eastAsia="Times New Roman" w:hAnsi="Times New Roman" w:cs="Times New Roman"/>
                <w:sz w:val="24"/>
                <w:szCs w:val="24"/>
              </w:rPr>
              <w:t xml:space="preserve"> vienotajā datubāzē</w:t>
            </w:r>
            <w:r w:rsidR="009115FF" w:rsidRPr="00DF434B">
              <w:rPr>
                <w:rFonts w:ascii="Times New Roman" w:eastAsia="Times New Roman" w:hAnsi="Times New Roman" w:cs="Times New Roman"/>
                <w:sz w:val="24"/>
                <w:szCs w:val="24"/>
              </w:rPr>
              <w:t xml:space="preserve"> (reģistrā)</w:t>
            </w:r>
            <w:r w:rsidR="006A521C" w:rsidRPr="00DF434B">
              <w:rPr>
                <w:rFonts w:ascii="Times New Roman" w:eastAsia="Times New Roman" w:hAnsi="Times New Roman" w:cs="Times New Roman"/>
                <w:sz w:val="24"/>
                <w:szCs w:val="24"/>
              </w:rPr>
              <w:t xml:space="preserve"> nereģistrē vai izslēdz no tā</w:t>
            </w:r>
            <w:r w:rsidR="00197B55" w:rsidRPr="00DF434B">
              <w:rPr>
                <w:rFonts w:ascii="Times New Roman" w:eastAsia="Times New Roman" w:hAnsi="Times New Roman" w:cs="Times New Roman"/>
                <w:sz w:val="24"/>
                <w:szCs w:val="24"/>
              </w:rPr>
              <w:t>s</w:t>
            </w:r>
            <w:r w:rsidR="006A521C" w:rsidRPr="00DF434B">
              <w:rPr>
                <w:rFonts w:ascii="Times New Roman" w:eastAsia="Times New Roman" w:hAnsi="Times New Roman" w:cs="Times New Roman"/>
                <w:sz w:val="24"/>
                <w:szCs w:val="24"/>
              </w:rPr>
              <w:t>.</w:t>
            </w:r>
          </w:p>
          <w:p w14:paraId="1B84B634" w14:textId="14E9ACDD" w:rsidR="007B6F5F" w:rsidRDefault="006A521C" w:rsidP="007B6F5F">
            <w:pPr>
              <w:spacing w:after="0" w:line="240" w:lineRule="auto"/>
              <w:ind w:firstLine="471"/>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t>Tādējādi a</w:t>
            </w:r>
            <w:r w:rsidR="009115FF" w:rsidRPr="00DF434B">
              <w:rPr>
                <w:rFonts w:ascii="Times New Roman" w:eastAsia="Times New Roman" w:hAnsi="Times New Roman" w:cs="Times New Roman"/>
                <w:sz w:val="24"/>
                <w:szCs w:val="24"/>
              </w:rPr>
              <w:t>rī</w:t>
            </w:r>
            <w:r w:rsidR="0047119A" w:rsidRPr="00DF434B">
              <w:rPr>
                <w:rFonts w:ascii="Times New Roman" w:eastAsia="Times New Roman" w:hAnsi="Times New Roman" w:cs="Times New Roman"/>
                <w:sz w:val="24"/>
                <w:szCs w:val="24"/>
              </w:rPr>
              <w:t xml:space="preserve"> taksometra skaitītājiem</w:t>
            </w:r>
            <w:r w:rsidR="009115FF" w:rsidRPr="00DF434B">
              <w:rPr>
                <w:rFonts w:ascii="Times New Roman" w:eastAsia="Times New Roman" w:hAnsi="Times New Roman" w:cs="Times New Roman"/>
                <w:sz w:val="24"/>
                <w:szCs w:val="24"/>
              </w:rPr>
              <w:t>, kas ir specializētā ierīce vai iekārta,</w:t>
            </w:r>
            <w:r w:rsidRPr="00DF434B">
              <w:rPr>
                <w:rFonts w:ascii="Times New Roman" w:eastAsia="Times New Roman" w:hAnsi="Times New Roman" w:cs="Times New Roman"/>
                <w:sz w:val="24"/>
                <w:szCs w:val="24"/>
              </w:rPr>
              <w:t xml:space="preserve"> ir jāatbilst nodokļu un citu maksājumu reģistrēšanas elektronisko ierīču un iekārtu tehniskajām prasībām, t</w:t>
            </w:r>
            <w:r w:rsidR="0047119A" w:rsidRPr="00DF434B">
              <w:rPr>
                <w:rFonts w:ascii="Times New Roman" w:eastAsia="Times New Roman" w:hAnsi="Times New Roman" w:cs="Times New Roman"/>
                <w:sz w:val="24"/>
                <w:szCs w:val="24"/>
              </w:rPr>
              <w:t xml:space="preserve">o modeļiem </w:t>
            </w:r>
            <w:r w:rsidR="003E42B8">
              <w:rPr>
                <w:rFonts w:ascii="Times New Roman" w:eastAsia="Times New Roman" w:hAnsi="Times New Roman" w:cs="Times New Roman"/>
                <w:sz w:val="24"/>
                <w:szCs w:val="24"/>
              </w:rPr>
              <w:t>(</w:t>
            </w:r>
            <w:r w:rsidR="0047119A" w:rsidRPr="00DF434B">
              <w:rPr>
                <w:rFonts w:ascii="Times New Roman" w:eastAsia="Times New Roman" w:hAnsi="Times New Roman" w:cs="Times New Roman"/>
                <w:sz w:val="24"/>
                <w:szCs w:val="24"/>
              </w:rPr>
              <w:t>modifikācijām</w:t>
            </w:r>
            <w:r w:rsidR="003E42B8">
              <w:rPr>
                <w:rFonts w:ascii="Times New Roman" w:eastAsia="Times New Roman" w:hAnsi="Times New Roman" w:cs="Times New Roman"/>
                <w:sz w:val="24"/>
                <w:szCs w:val="24"/>
              </w:rPr>
              <w:t>)</w:t>
            </w:r>
            <w:r w:rsidRPr="00DF434B">
              <w:rPr>
                <w:rFonts w:ascii="Times New Roman" w:eastAsia="Times New Roman" w:hAnsi="Times New Roman" w:cs="Times New Roman"/>
                <w:sz w:val="24"/>
                <w:szCs w:val="24"/>
              </w:rPr>
              <w:t xml:space="preserve"> ir jābūt veiktai atbilstības pārbaude</w:t>
            </w:r>
            <w:r w:rsidR="0047119A" w:rsidRPr="00DF434B">
              <w:rPr>
                <w:rFonts w:ascii="Times New Roman" w:eastAsia="Times New Roman" w:hAnsi="Times New Roman" w:cs="Times New Roman"/>
                <w:sz w:val="24"/>
                <w:szCs w:val="24"/>
              </w:rPr>
              <w:t>i un</w:t>
            </w:r>
            <w:r w:rsidRPr="00DF434B">
              <w:rPr>
                <w:rFonts w:ascii="Times New Roman" w:eastAsia="Times New Roman" w:hAnsi="Times New Roman" w:cs="Times New Roman"/>
                <w:sz w:val="24"/>
                <w:szCs w:val="24"/>
              </w:rPr>
              <w:t xml:space="preserve"> </w:t>
            </w:r>
            <w:r w:rsidR="00591BCA">
              <w:rPr>
                <w:rFonts w:ascii="Times New Roman" w:eastAsia="Times New Roman" w:hAnsi="Times New Roman" w:cs="Times New Roman"/>
                <w:sz w:val="24"/>
                <w:szCs w:val="24"/>
              </w:rPr>
              <w:t xml:space="preserve">tiem </w:t>
            </w:r>
            <w:r w:rsidRPr="00DF434B">
              <w:rPr>
                <w:rFonts w:ascii="Times New Roman" w:eastAsia="Times New Roman" w:hAnsi="Times New Roman" w:cs="Times New Roman"/>
                <w:sz w:val="24"/>
                <w:szCs w:val="24"/>
              </w:rPr>
              <w:t xml:space="preserve">jābūt </w:t>
            </w:r>
            <w:r w:rsidR="0047119A" w:rsidRPr="00DF434B">
              <w:rPr>
                <w:rFonts w:ascii="Times New Roman" w:eastAsia="Times New Roman" w:hAnsi="Times New Roman" w:cs="Times New Roman"/>
                <w:sz w:val="24"/>
                <w:szCs w:val="24"/>
              </w:rPr>
              <w:t>reģistrētiem</w:t>
            </w:r>
            <w:r w:rsidRPr="00DF434B">
              <w:rPr>
                <w:rFonts w:ascii="Times New Roman" w:eastAsia="Times New Roman" w:hAnsi="Times New Roman" w:cs="Times New Roman"/>
                <w:sz w:val="24"/>
                <w:szCs w:val="24"/>
              </w:rPr>
              <w:t xml:space="preserve"> VID vienotajā datubāzē (reģistrā).</w:t>
            </w:r>
          </w:p>
          <w:p w14:paraId="6CD34BBD" w14:textId="77777777" w:rsidR="000E5CE6" w:rsidRDefault="006A521C" w:rsidP="000E5CE6">
            <w:pPr>
              <w:spacing w:after="0" w:line="240" w:lineRule="auto"/>
              <w:ind w:firstLine="466"/>
              <w:jc w:val="both"/>
              <w:rPr>
                <w:rFonts w:ascii="Times New Roman" w:eastAsia="Times New Roman" w:hAnsi="Times New Roman" w:cs="Times New Roman"/>
                <w:sz w:val="24"/>
                <w:szCs w:val="24"/>
              </w:rPr>
            </w:pPr>
            <w:r w:rsidRPr="00B963B8">
              <w:rPr>
                <w:rFonts w:ascii="Times New Roman" w:hAnsi="Times New Roman"/>
                <w:sz w:val="24"/>
                <w:szCs w:val="24"/>
              </w:rPr>
              <w:t xml:space="preserve">Saskaņā ar </w:t>
            </w:r>
            <w:r w:rsidR="00EE6C78">
              <w:rPr>
                <w:rFonts w:ascii="Times New Roman" w:hAnsi="Times New Roman"/>
                <w:sz w:val="24"/>
                <w:szCs w:val="24"/>
              </w:rPr>
              <w:t xml:space="preserve">spēkā esošo </w:t>
            </w:r>
            <w:r w:rsidRPr="00042BC3">
              <w:rPr>
                <w:rFonts w:ascii="Times New Roman" w:eastAsia="Times New Roman" w:hAnsi="Times New Roman" w:cs="Times New Roman"/>
                <w:sz w:val="24"/>
                <w:szCs w:val="24"/>
              </w:rPr>
              <w:t>Ministru kabineta noteikum</w:t>
            </w:r>
            <w:r w:rsidR="008C535F">
              <w:rPr>
                <w:rFonts w:ascii="Times New Roman" w:eastAsia="Times New Roman" w:hAnsi="Times New Roman" w:cs="Times New Roman"/>
                <w:sz w:val="24"/>
                <w:szCs w:val="24"/>
              </w:rPr>
              <w:t>u</w:t>
            </w:r>
            <w:r w:rsidRPr="00042BC3">
              <w:rPr>
                <w:rFonts w:ascii="Times New Roman" w:eastAsia="Times New Roman" w:hAnsi="Times New Roman" w:cs="Times New Roman"/>
                <w:sz w:val="24"/>
                <w:szCs w:val="24"/>
              </w:rPr>
              <w:t xml:space="preserve"> Nr.96 122.1.apakšpunkta redakciju</w:t>
            </w:r>
            <w:r w:rsidR="00EE6C78">
              <w:rPr>
                <w:rFonts w:ascii="Times New Roman" w:eastAsia="Times New Roman" w:hAnsi="Times New Roman" w:cs="Times New Roman"/>
                <w:sz w:val="24"/>
                <w:szCs w:val="24"/>
              </w:rPr>
              <w:t>, normu interpretācijā izmantojot gramatisko metodi,</w:t>
            </w:r>
            <w:r w:rsidRPr="00042BC3">
              <w:rPr>
                <w:rFonts w:ascii="Times New Roman" w:eastAsia="Times New Roman" w:hAnsi="Times New Roman" w:cs="Times New Roman"/>
                <w:sz w:val="24"/>
                <w:szCs w:val="24"/>
              </w:rPr>
              <w:t xml:space="preserve"> taksometru skaitītāju modeļi</w:t>
            </w:r>
            <w:r w:rsidR="006F5B66">
              <w:rPr>
                <w:rFonts w:ascii="Times New Roman" w:eastAsia="Times New Roman" w:hAnsi="Times New Roman" w:cs="Times New Roman"/>
                <w:sz w:val="24"/>
                <w:szCs w:val="24"/>
              </w:rPr>
              <w:t xml:space="preserve"> (modifikācijas)</w:t>
            </w:r>
            <w:r w:rsidRPr="00042BC3">
              <w:rPr>
                <w:rFonts w:ascii="Times New Roman" w:eastAsia="Times New Roman" w:hAnsi="Times New Roman" w:cs="Times New Roman"/>
                <w:sz w:val="24"/>
                <w:szCs w:val="24"/>
              </w:rPr>
              <w:t xml:space="preserve"> VID vienotajā datubāzē (reģistrā) nav jāreģistrē</w:t>
            </w:r>
            <w:r w:rsidR="001D2282">
              <w:rPr>
                <w:rFonts w:ascii="Times New Roman" w:eastAsia="Times New Roman" w:hAnsi="Times New Roman" w:cs="Times New Roman"/>
                <w:sz w:val="24"/>
                <w:szCs w:val="24"/>
              </w:rPr>
              <w:t>,</w:t>
            </w:r>
            <w:r w:rsidR="006F5B66">
              <w:rPr>
                <w:rFonts w:ascii="Times New Roman" w:eastAsia="Times New Roman" w:hAnsi="Times New Roman" w:cs="Times New Roman"/>
                <w:sz w:val="24"/>
                <w:szCs w:val="24"/>
              </w:rPr>
              <w:t xml:space="preserve"> savukārt</w:t>
            </w:r>
            <w:r w:rsidR="001D2282">
              <w:rPr>
                <w:rFonts w:ascii="Times New Roman" w:eastAsia="Times New Roman" w:hAnsi="Times New Roman" w:cs="Times New Roman"/>
                <w:sz w:val="24"/>
                <w:szCs w:val="24"/>
              </w:rPr>
              <w:t xml:space="preserve"> no minēto noteikumu 28. un 29.</w:t>
            </w:r>
            <w:r w:rsidR="006F5B66">
              <w:rPr>
                <w:rFonts w:ascii="Times New Roman" w:eastAsia="Times New Roman" w:hAnsi="Times New Roman" w:cs="Times New Roman"/>
                <w:sz w:val="24"/>
                <w:szCs w:val="24"/>
              </w:rPr>
              <w:t>punkta izriet, ka pirms specializētās ierīces lietošanas uzsākšanas tā ir reģistrējama VID, turklāt atbilstoši 30.punktam VID taksometra skaitītāju reģistrē 10 darbdienu laikā pēc lietotāja iesnieguma saņemšanas.</w:t>
            </w:r>
          </w:p>
          <w:p w14:paraId="72014913" w14:textId="77777777" w:rsidR="004910D5" w:rsidRPr="004910D5" w:rsidRDefault="00377024" w:rsidP="004910D5">
            <w:pPr>
              <w:spacing w:after="0" w:line="240" w:lineRule="auto"/>
              <w:ind w:firstLine="466"/>
              <w:jc w:val="both"/>
              <w:rPr>
                <w:rFonts w:ascii="Times New Roman" w:eastAsia="Times New Roman" w:hAnsi="Times New Roman" w:cs="Times New Roman"/>
                <w:sz w:val="24"/>
                <w:szCs w:val="24"/>
              </w:rPr>
            </w:pPr>
            <w:r w:rsidRPr="000E5CE6">
              <w:rPr>
                <w:rFonts w:ascii="Times New Roman" w:eastAsia="Times New Roman" w:hAnsi="Times New Roman" w:cs="Times New Roman"/>
                <w:sz w:val="24"/>
                <w:szCs w:val="24"/>
              </w:rPr>
              <w:t>Arī vēsturiski saskaņā ar</w:t>
            </w:r>
            <w:r w:rsidRPr="000E5CE6">
              <w:rPr>
                <w:rFonts w:ascii="Times New Roman" w:hAnsi="Times New Roman" w:cs="Times New Roman"/>
                <w:sz w:val="24"/>
                <w:szCs w:val="24"/>
              </w:rPr>
              <w:t xml:space="preserve"> </w:t>
            </w:r>
            <w:r w:rsidRPr="000E5CE6">
              <w:rPr>
                <w:rFonts w:ascii="Times New Roman" w:eastAsia="Times New Roman" w:hAnsi="Times New Roman" w:cs="Times New Roman"/>
                <w:sz w:val="24"/>
                <w:szCs w:val="24"/>
              </w:rPr>
              <w:t>Ministru kabineta 2007.gada 2.maija noteikumiem Nr.282 “Nodokļu un citu maksājumu reģistrēšanas elektronisko ierīču un iekārtu lietošanas kārtība”</w:t>
            </w:r>
            <w:r w:rsidR="000E5CE6" w:rsidRPr="000E5CE6">
              <w:rPr>
                <w:rFonts w:ascii="Times New Roman" w:hAnsi="Times New Roman" w:cs="Times New Roman"/>
                <w:sz w:val="24"/>
                <w:szCs w:val="24"/>
              </w:rPr>
              <w:t xml:space="preserve"> (noteikumu 112.1.apakšpunkts)</w:t>
            </w:r>
            <w:r w:rsidRPr="000E5CE6">
              <w:rPr>
                <w:rFonts w:ascii="Times New Roman" w:eastAsia="Times New Roman" w:hAnsi="Times New Roman" w:cs="Times New Roman"/>
                <w:sz w:val="24"/>
                <w:szCs w:val="24"/>
              </w:rPr>
              <w:t xml:space="preserve"> un</w:t>
            </w:r>
            <w:r w:rsidR="000E5CE6" w:rsidRPr="000E5CE6">
              <w:rPr>
                <w:rStyle w:val="HeaderChar"/>
                <w:rFonts w:ascii="Times New Roman" w:hAnsi="Times New Roman" w:cs="Times New Roman"/>
                <w:sz w:val="24"/>
                <w:szCs w:val="24"/>
              </w:rPr>
              <w:t xml:space="preserve"> </w:t>
            </w:r>
            <w:r w:rsidR="000E5CE6" w:rsidRPr="000E5CE6">
              <w:rPr>
                <w:rStyle w:val="Strong"/>
                <w:rFonts w:ascii="Times New Roman" w:hAnsi="Times New Roman" w:cs="Times New Roman"/>
                <w:b w:val="0"/>
                <w:sz w:val="24"/>
                <w:szCs w:val="24"/>
              </w:rPr>
              <w:t xml:space="preserve">Ministru kabineta </w:t>
            </w:r>
            <w:r w:rsidR="000E5CE6" w:rsidRPr="000E5CE6">
              <w:rPr>
                <w:rFonts w:ascii="Times New Roman" w:hAnsi="Times New Roman" w:cs="Times New Roman"/>
                <w:sz w:val="24"/>
                <w:szCs w:val="24"/>
              </w:rPr>
              <w:t xml:space="preserve">2006.gada 17.oktobra </w:t>
            </w:r>
            <w:r w:rsidR="000E5CE6" w:rsidRPr="000E5CE6">
              <w:rPr>
                <w:rStyle w:val="Strong"/>
                <w:rFonts w:ascii="Times New Roman" w:hAnsi="Times New Roman" w:cs="Times New Roman"/>
                <w:b w:val="0"/>
                <w:sz w:val="24"/>
                <w:szCs w:val="24"/>
              </w:rPr>
              <w:t>noteikumiem Nr.850</w:t>
            </w:r>
            <w:r w:rsidR="000E5CE6" w:rsidRPr="000E5CE6">
              <w:rPr>
                <w:rFonts w:ascii="Times New Roman" w:hAnsi="Times New Roman" w:cs="Times New Roman"/>
                <w:sz w:val="24"/>
                <w:szCs w:val="24"/>
              </w:rPr>
              <w:t xml:space="preserve"> “</w:t>
            </w:r>
            <w:r w:rsidR="000E5CE6" w:rsidRPr="000E5CE6">
              <w:rPr>
                <w:rStyle w:val="Strong"/>
                <w:rFonts w:ascii="Times New Roman" w:hAnsi="Times New Roman" w:cs="Times New Roman"/>
                <w:b w:val="0"/>
                <w:sz w:val="24"/>
                <w:szCs w:val="24"/>
              </w:rPr>
              <w:t xml:space="preserve">Noteikumi par nodokļu un citu maksājumu reģistrēšanas elektronisko ierīču un iekārtu lietošanas kārtību un lietotāju, tirgotāju, apkalpojošo dienestu un ekspertu pienākumiem” (124.1.apakšpunkts) taksometru skaitītāju modeļi VID vienotajā datubāzē (reģistrā) nebija </w:t>
            </w:r>
            <w:r w:rsidR="000E5CE6" w:rsidRPr="00E44EE9">
              <w:rPr>
                <w:rStyle w:val="Strong"/>
                <w:rFonts w:ascii="Times New Roman" w:hAnsi="Times New Roman" w:cs="Times New Roman"/>
                <w:b w:val="0"/>
                <w:sz w:val="24"/>
                <w:szCs w:val="24"/>
              </w:rPr>
              <w:t>jāreģistrē.</w:t>
            </w:r>
            <w:r w:rsidRPr="00E44EE9">
              <w:rPr>
                <w:rFonts w:ascii="Times New Roman" w:eastAsia="Times New Roman" w:hAnsi="Times New Roman" w:cs="Times New Roman"/>
                <w:sz w:val="24"/>
                <w:szCs w:val="24"/>
              </w:rPr>
              <w:t xml:space="preserve"> </w:t>
            </w:r>
            <w:r w:rsidR="004910D5" w:rsidRPr="00E44EE9">
              <w:rPr>
                <w:rFonts w:ascii="Times New Roman" w:eastAsia="Times New Roman" w:hAnsi="Times New Roman" w:cs="Times New Roman"/>
                <w:sz w:val="24"/>
                <w:szCs w:val="24"/>
              </w:rPr>
              <w:t>Savukārt no šo noteikumu 25.punkta izrietēja, ka VID ir reģistrējami taksometra skaitītāji.</w:t>
            </w:r>
            <w:r w:rsidR="004910D5" w:rsidRPr="004910D5">
              <w:rPr>
                <w:rFonts w:ascii="Times New Roman" w:eastAsia="Times New Roman" w:hAnsi="Times New Roman" w:cs="Times New Roman"/>
                <w:sz w:val="24"/>
                <w:szCs w:val="24"/>
              </w:rPr>
              <w:t xml:space="preserve"> </w:t>
            </w:r>
          </w:p>
          <w:p w14:paraId="229EEB4B" w14:textId="77777777" w:rsidR="00BA4870" w:rsidRDefault="00BA4870" w:rsidP="00201920">
            <w:pPr>
              <w:spacing w:after="0" w:line="240" w:lineRule="auto"/>
              <w:ind w:firstLine="469"/>
              <w:jc w:val="both"/>
              <w:rPr>
                <w:rFonts w:ascii="Times New Roman" w:hAnsi="Times New Roman"/>
                <w:sz w:val="24"/>
                <w:szCs w:val="24"/>
              </w:rPr>
            </w:pPr>
            <w:r w:rsidRPr="00BA4870">
              <w:rPr>
                <w:rFonts w:ascii="Times New Roman" w:hAnsi="Times New Roman"/>
                <w:sz w:val="24"/>
                <w:szCs w:val="24"/>
              </w:rPr>
              <w:t>Latvijas Republikas Augstākās tiesas 2018.gada 6.jūnija lēmuma lietā Nr.680000618 SKA-1035/2018 11.punktā norādīts, ka “Ministru kabineta 2014.gada 11.februāra noteikumu Nr.96 122.1.apakšpunkts noteic, ka specializēto ierīču un iekārtu (izņemot taksometra skaitītājus) modeļus (modifikācijas), kas nodrošina normatīvajos aktos par nodokļu un citu maksājumu reģistrēšanas elektronisko ierīču un iekārtu tehniskajām prasībām noteikto prasību izpildi, dienests reģistrē dienesta vienotajā reģistrā. Pamatojoties uz atbilstības apliecinājumu, pārbaudītais elektroniskās ierīces vai iekārtas modelis, modifikācija un programmas versija tiek iekļauta VID vienotajā reģistrā. Tomēr vienlaikus no minētās normas izriet, ka uz taksometru skaitītājiem šāda kārtība nav attiecināma. No minētā secināms, ka uz taksometru skaitītājiem nav attiecināms arī turpmākais Ministru kabineta noteikumu Nr.96 IX nodaļas regulējums, kas attiecas uz  elektronisko ierīču un iekārtu modeļu reģistrēšanas kārtību VID vienotajā datubāzē (reģistrā).”</w:t>
            </w:r>
          </w:p>
          <w:p w14:paraId="06F99AC3" w14:textId="61520537" w:rsidR="00271A53" w:rsidRPr="00B963B8" w:rsidRDefault="006A521C" w:rsidP="00201920">
            <w:pPr>
              <w:spacing w:after="0" w:line="240" w:lineRule="auto"/>
              <w:ind w:firstLine="469"/>
              <w:jc w:val="both"/>
              <w:rPr>
                <w:rFonts w:ascii="Times New Roman" w:hAnsi="Times New Roman"/>
                <w:sz w:val="24"/>
                <w:szCs w:val="24"/>
              </w:rPr>
            </w:pPr>
            <w:r w:rsidRPr="00B963B8">
              <w:rPr>
                <w:rFonts w:ascii="Times New Roman" w:hAnsi="Times New Roman"/>
                <w:sz w:val="24"/>
                <w:szCs w:val="24"/>
              </w:rPr>
              <w:t xml:space="preserve">Tiesa arī norāda, ka VID uzturētajam reģistram attiecībā uz taksometra skaitītāju ir vienīgi informatīva nozīme. </w:t>
            </w:r>
          </w:p>
          <w:p w14:paraId="23415502" w14:textId="574201B3" w:rsidR="00010530" w:rsidRPr="00F26BB3" w:rsidRDefault="006A521C" w:rsidP="00271A53">
            <w:pPr>
              <w:spacing w:after="0" w:line="240" w:lineRule="auto"/>
              <w:ind w:firstLine="471"/>
              <w:jc w:val="both"/>
              <w:rPr>
                <w:rFonts w:ascii="Times New Roman" w:hAnsi="Times New Roman"/>
                <w:sz w:val="24"/>
                <w:szCs w:val="24"/>
              </w:rPr>
            </w:pPr>
            <w:r w:rsidRPr="000B4CAC">
              <w:rPr>
                <w:rFonts w:ascii="Times New Roman" w:hAnsi="Times New Roman"/>
                <w:sz w:val="24"/>
                <w:szCs w:val="24"/>
              </w:rPr>
              <w:lastRenderedPageBreak/>
              <w:t>Vienlaikus</w:t>
            </w:r>
            <w:r w:rsidR="006340A8">
              <w:t xml:space="preserve"> </w:t>
            </w:r>
            <w:r w:rsidR="006340A8" w:rsidRPr="006340A8">
              <w:rPr>
                <w:rFonts w:ascii="Times New Roman" w:hAnsi="Times New Roman"/>
                <w:sz w:val="24"/>
                <w:szCs w:val="24"/>
              </w:rPr>
              <w:t xml:space="preserve">Latvijas Republikas Augstākās tiesas 2018.gada 6.jūnija lēmuma lietā Nr.680000618 SKA-1035/2018 </w:t>
            </w:r>
            <w:r w:rsidR="000B4CAC" w:rsidRPr="000B4CAC">
              <w:rPr>
                <w:rFonts w:ascii="Times New Roman" w:hAnsi="Times New Roman"/>
                <w:sz w:val="24"/>
                <w:szCs w:val="24"/>
              </w:rPr>
              <w:t xml:space="preserve">12.punktā </w:t>
            </w:r>
            <w:r w:rsidRPr="000B4CAC">
              <w:rPr>
                <w:rFonts w:ascii="Times New Roman" w:hAnsi="Times New Roman"/>
                <w:sz w:val="24"/>
                <w:szCs w:val="24"/>
              </w:rPr>
              <w:t xml:space="preserve">tiesa arī atzīmēja, ka </w:t>
            </w:r>
            <w:r w:rsidRPr="00F26BB3">
              <w:rPr>
                <w:rFonts w:ascii="Times New Roman" w:hAnsi="Times New Roman"/>
                <w:sz w:val="24"/>
                <w:szCs w:val="24"/>
              </w:rPr>
              <w:t>“dienesta uzturētā reģistra nesaistošs raksturs neietekmē taksometra skaitītāju lietotāju pienākumu lietot tikai tādus modeļus, kas atbilst normatīvo aktu prasībām”.</w:t>
            </w:r>
          </w:p>
          <w:p w14:paraId="13B2DA20" w14:textId="77777777" w:rsidR="00C35E63" w:rsidRDefault="006A521C" w:rsidP="00514C04">
            <w:pPr>
              <w:spacing w:after="0" w:line="240" w:lineRule="auto"/>
              <w:ind w:firstLine="466"/>
              <w:jc w:val="both"/>
              <w:rPr>
                <w:rFonts w:ascii="Times New Roman" w:eastAsia="Times New Roman" w:hAnsi="Times New Roman"/>
                <w:sz w:val="24"/>
                <w:szCs w:val="24"/>
              </w:rPr>
            </w:pPr>
            <w:r w:rsidRPr="00B963B8">
              <w:rPr>
                <w:rFonts w:ascii="Times New Roman" w:hAnsi="Times New Roman"/>
                <w:sz w:val="24"/>
                <w:szCs w:val="24"/>
              </w:rPr>
              <w:t>Ņemot vērā</w:t>
            </w:r>
            <w:r w:rsidRPr="00B963B8">
              <w:rPr>
                <w:rFonts w:ascii="Times New Roman" w:hAnsi="Times New Roman"/>
                <w:i/>
                <w:sz w:val="24"/>
                <w:szCs w:val="24"/>
              </w:rPr>
              <w:t xml:space="preserve"> </w:t>
            </w:r>
            <w:r w:rsidRPr="00B963B8">
              <w:rPr>
                <w:rFonts w:ascii="Times New Roman" w:eastAsia="Times New Roman" w:hAnsi="Times New Roman"/>
                <w:color w:val="000000"/>
                <w:sz w:val="24"/>
                <w:szCs w:val="24"/>
              </w:rPr>
              <w:t xml:space="preserve">likumā “Par nodokļiem un nodevām” </w:t>
            </w:r>
            <w:r w:rsidRPr="00B963B8">
              <w:rPr>
                <w:rFonts w:ascii="Times New Roman" w:hAnsi="Times New Roman"/>
                <w:sz w:val="24"/>
                <w:szCs w:val="24"/>
              </w:rPr>
              <w:t>28.</w:t>
            </w:r>
            <w:r w:rsidRPr="00B963B8">
              <w:rPr>
                <w:rFonts w:ascii="Times New Roman" w:hAnsi="Times New Roman"/>
                <w:sz w:val="24"/>
                <w:szCs w:val="24"/>
                <w:vertAlign w:val="superscript"/>
              </w:rPr>
              <w:t>1</w:t>
            </w:r>
            <w:r w:rsidR="00EE6C78">
              <w:rPr>
                <w:rFonts w:ascii="Times New Roman" w:hAnsi="Times New Roman"/>
                <w:sz w:val="24"/>
                <w:szCs w:val="24"/>
                <w:vertAlign w:val="superscript"/>
              </w:rPr>
              <w:t> </w:t>
            </w:r>
            <w:r w:rsidRPr="00B963B8">
              <w:rPr>
                <w:rFonts w:ascii="Times New Roman" w:hAnsi="Times New Roman"/>
                <w:sz w:val="24"/>
                <w:szCs w:val="24"/>
              </w:rPr>
              <w:t>panta 4.</w:t>
            </w:r>
            <w:r w:rsidRPr="00B963B8">
              <w:rPr>
                <w:rFonts w:ascii="Times New Roman" w:hAnsi="Times New Roman"/>
                <w:sz w:val="24"/>
                <w:szCs w:val="24"/>
                <w:vertAlign w:val="superscript"/>
              </w:rPr>
              <w:t xml:space="preserve">1 </w:t>
            </w:r>
            <w:r w:rsidR="009E5548">
              <w:rPr>
                <w:rFonts w:ascii="Times New Roman" w:hAnsi="Times New Roman"/>
                <w:sz w:val="24"/>
                <w:szCs w:val="24"/>
              </w:rPr>
              <w:t xml:space="preserve">un sestajā </w:t>
            </w:r>
            <w:r w:rsidRPr="00B963B8">
              <w:rPr>
                <w:rFonts w:ascii="Times New Roman" w:hAnsi="Times New Roman"/>
                <w:sz w:val="24"/>
                <w:szCs w:val="24"/>
              </w:rPr>
              <w:t>daļā</w:t>
            </w:r>
            <w:r w:rsidRPr="00B963B8">
              <w:rPr>
                <w:rFonts w:ascii="Times New Roman" w:eastAsia="Times New Roman" w:hAnsi="Times New Roman"/>
                <w:color w:val="000000"/>
                <w:sz w:val="24"/>
                <w:szCs w:val="24"/>
              </w:rPr>
              <w:t xml:space="preserve"> un </w:t>
            </w:r>
            <w:r w:rsidRPr="00B963B8">
              <w:rPr>
                <w:rFonts w:ascii="Times New Roman" w:hAnsi="Times New Roman"/>
                <w:sz w:val="24"/>
                <w:szCs w:val="24"/>
              </w:rPr>
              <w:t xml:space="preserve">Ministru kabineta noteikumos Nr.96 </w:t>
            </w:r>
            <w:r w:rsidRPr="00B963B8">
              <w:rPr>
                <w:rFonts w:ascii="Times New Roman" w:eastAsia="Times New Roman" w:hAnsi="Times New Roman"/>
                <w:color w:val="000000"/>
                <w:sz w:val="24"/>
                <w:szCs w:val="24"/>
              </w:rPr>
              <w:t xml:space="preserve">noteikto tiesisko regulējumu, proti, </w:t>
            </w:r>
            <w:r w:rsidRPr="00B963B8">
              <w:rPr>
                <w:rFonts w:ascii="Times New Roman" w:eastAsia="Times New Roman" w:hAnsi="Times New Roman"/>
                <w:sz w:val="24"/>
                <w:szCs w:val="24"/>
              </w:rPr>
              <w:t>ka nodokļu maksātāji drīkst lietot elektroniskās ierīces un iekārtas,</w:t>
            </w:r>
            <w:r w:rsidRPr="00B963B8">
              <w:rPr>
                <w:rFonts w:ascii="Times New Roman" w:eastAsia="Times New Roman" w:hAnsi="Times New Roman"/>
                <w:color w:val="000000"/>
                <w:sz w:val="24"/>
                <w:szCs w:val="24"/>
              </w:rPr>
              <w:t xml:space="preserve"> tai skaitā taksometru skaitītājus,</w:t>
            </w:r>
            <w:r w:rsidRPr="00B963B8">
              <w:rPr>
                <w:rFonts w:ascii="Times New Roman" w:eastAsia="Times New Roman" w:hAnsi="Times New Roman"/>
                <w:sz w:val="24"/>
                <w:szCs w:val="24"/>
              </w:rPr>
              <w:t xml:space="preserve"> kuri atbilst nodokļu un citu maksājumu reģistrēšanas elektronisko ierīču un iekārtu tehniskajām prasībām, kur</w:t>
            </w:r>
            <w:r w:rsidR="00431867">
              <w:rPr>
                <w:rFonts w:ascii="Times New Roman" w:eastAsia="Times New Roman" w:hAnsi="Times New Roman"/>
                <w:sz w:val="24"/>
                <w:szCs w:val="24"/>
              </w:rPr>
              <w:t>u mode</w:t>
            </w:r>
            <w:r w:rsidR="007572CB">
              <w:rPr>
                <w:rFonts w:ascii="Times New Roman" w:eastAsia="Times New Roman" w:hAnsi="Times New Roman"/>
                <w:sz w:val="24"/>
                <w:szCs w:val="24"/>
              </w:rPr>
              <w:t>ļi</w:t>
            </w:r>
            <w:r w:rsidR="009E5548">
              <w:rPr>
                <w:rFonts w:ascii="Times New Roman" w:eastAsia="Times New Roman" w:hAnsi="Times New Roman"/>
                <w:sz w:val="24"/>
                <w:szCs w:val="24"/>
              </w:rPr>
              <w:t>em</w:t>
            </w:r>
            <w:r w:rsidRPr="00B963B8">
              <w:rPr>
                <w:rFonts w:ascii="Times New Roman" w:eastAsia="Times New Roman" w:hAnsi="Times New Roman"/>
                <w:sz w:val="24"/>
                <w:szCs w:val="24"/>
              </w:rPr>
              <w:t xml:space="preserve"> ir veikta atbilstības pārbaude un kuri ir reģistrēti </w:t>
            </w:r>
            <w:r w:rsidR="00D821AC">
              <w:rPr>
                <w:rFonts w:ascii="Times New Roman" w:eastAsia="Times New Roman" w:hAnsi="Times New Roman"/>
                <w:sz w:val="24"/>
                <w:szCs w:val="24"/>
              </w:rPr>
              <w:t xml:space="preserve">VID </w:t>
            </w:r>
            <w:r w:rsidRPr="00B963B8">
              <w:rPr>
                <w:rFonts w:ascii="Times New Roman" w:eastAsia="Times New Roman" w:hAnsi="Times New Roman"/>
                <w:sz w:val="24"/>
                <w:szCs w:val="24"/>
              </w:rPr>
              <w:t xml:space="preserve">vienotajā datubāzē </w:t>
            </w:r>
            <w:r w:rsidR="00842A31" w:rsidRPr="00842A31">
              <w:rPr>
                <w:rFonts w:ascii="Times New Roman" w:eastAsia="Times New Roman" w:hAnsi="Times New Roman"/>
                <w:sz w:val="24"/>
                <w:szCs w:val="24"/>
              </w:rPr>
              <w:t>(</w:t>
            </w:r>
            <w:r w:rsidR="00842A31" w:rsidRPr="00042BC3">
              <w:rPr>
                <w:rFonts w:ascii="Times New Roman" w:eastAsia="Times New Roman" w:hAnsi="Times New Roman"/>
                <w:sz w:val="24"/>
                <w:szCs w:val="24"/>
              </w:rPr>
              <w:t>reģistrā)</w:t>
            </w:r>
            <w:r w:rsidRPr="00B963B8">
              <w:rPr>
                <w:rFonts w:ascii="Times New Roman" w:eastAsia="Times New Roman" w:hAnsi="Times New Roman"/>
                <w:sz w:val="24"/>
                <w:szCs w:val="24"/>
              </w:rPr>
              <w:t>, ir nepieciešams svītrot 122.1.apakšpunkā noteikto izņēmumu taksometru skaitītāju modeļu reģistrācij</w:t>
            </w:r>
            <w:r w:rsidR="000D5244">
              <w:rPr>
                <w:rFonts w:ascii="Times New Roman" w:eastAsia="Times New Roman" w:hAnsi="Times New Roman"/>
                <w:sz w:val="24"/>
                <w:szCs w:val="24"/>
              </w:rPr>
              <w:t>ai</w:t>
            </w:r>
            <w:r w:rsidRPr="00B963B8">
              <w:rPr>
                <w:rFonts w:ascii="Times New Roman" w:eastAsia="Times New Roman" w:hAnsi="Times New Roman"/>
                <w:sz w:val="24"/>
                <w:szCs w:val="24"/>
              </w:rPr>
              <w:t>.</w:t>
            </w:r>
            <w:r w:rsidR="00AD7E0D">
              <w:rPr>
                <w:rFonts w:ascii="Times New Roman" w:eastAsia="Times New Roman" w:hAnsi="Times New Roman"/>
                <w:sz w:val="24"/>
                <w:szCs w:val="24"/>
              </w:rPr>
              <w:t xml:space="preserve"> </w:t>
            </w:r>
          </w:p>
          <w:p w14:paraId="782823F7" w14:textId="5117A8C8" w:rsidR="000536E1" w:rsidRPr="00B963B8" w:rsidRDefault="006A521C" w:rsidP="00514C04">
            <w:pPr>
              <w:spacing w:after="0" w:line="240" w:lineRule="auto"/>
              <w:ind w:firstLine="466"/>
              <w:jc w:val="both"/>
              <w:rPr>
                <w:rFonts w:ascii="Times New Roman" w:hAnsi="Times New Roman"/>
                <w:sz w:val="24"/>
                <w:szCs w:val="24"/>
              </w:rPr>
            </w:pPr>
            <w:r w:rsidRPr="00B963B8">
              <w:rPr>
                <w:rFonts w:ascii="Times New Roman" w:hAnsi="Times New Roman"/>
                <w:sz w:val="24"/>
                <w:szCs w:val="24"/>
              </w:rPr>
              <w:t>Jāņem vērā, ka minētajā lietā prasītājs bija taksometra skaitītāja lietotājs, nevis apkalpojošais dienests, tādējādi tiesa nebija vērtējusi citu tiesību normu mijiedarbību attiecībā uz taksometra skaitītāja modeļa reģistrēšanu VID vienotajā datubāzē (reģistrā)</w:t>
            </w:r>
            <w:r w:rsidR="00EB232E" w:rsidRPr="00B963B8">
              <w:rPr>
                <w:rFonts w:ascii="Times New Roman" w:hAnsi="Times New Roman"/>
                <w:sz w:val="24"/>
                <w:szCs w:val="24"/>
              </w:rPr>
              <w:t xml:space="preserve"> no apkalpojošā dienesta puses.</w:t>
            </w:r>
          </w:p>
          <w:p w14:paraId="51A4FD17" w14:textId="6A45D1E1" w:rsidR="00AD0FD2" w:rsidRDefault="00520DF8" w:rsidP="00520DF8">
            <w:pPr>
              <w:spacing w:after="0" w:line="240" w:lineRule="auto"/>
              <w:ind w:firstLine="466"/>
              <w:jc w:val="both"/>
              <w:rPr>
                <w:rFonts w:ascii="Times New Roman" w:eastAsia="Times New Roman" w:hAnsi="Times New Roman"/>
                <w:sz w:val="24"/>
                <w:szCs w:val="24"/>
              </w:rPr>
            </w:pPr>
            <w:r>
              <w:rPr>
                <w:rFonts w:ascii="Times New Roman" w:eastAsia="Times New Roman" w:hAnsi="Times New Roman"/>
                <w:sz w:val="24"/>
                <w:szCs w:val="24"/>
              </w:rPr>
              <w:t>E</w:t>
            </w:r>
            <w:r w:rsidRPr="00FF2BB6">
              <w:rPr>
                <w:rFonts w:ascii="Times New Roman" w:eastAsia="Times New Roman" w:hAnsi="Times New Roman"/>
                <w:sz w:val="24"/>
                <w:szCs w:val="24"/>
              </w:rPr>
              <w:t>lektronisko ierīču un iekārt</w:t>
            </w:r>
            <w:r>
              <w:rPr>
                <w:rFonts w:ascii="Times New Roman" w:eastAsia="Times New Roman" w:hAnsi="Times New Roman"/>
                <w:sz w:val="24"/>
                <w:szCs w:val="24"/>
              </w:rPr>
              <w:t>u atbilstības pārbaudes institūcija tika izveidota, pamatojoties uz likuma “Par nodokļiem un nodevām”</w:t>
            </w:r>
            <w:r w:rsidRPr="00FF2BB6">
              <w:rPr>
                <w:rFonts w:ascii="Times New Roman" w:eastAsia="Times New Roman" w:hAnsi="Times New Roman"/>
                <w:sz w:val="24"/>
                <w:szCs w:val="24"/>
              </w:rPr>
              <w:t xml:space="preserve"> </w:t>
            </w:r>
            <w:r w:rsidRPr="00B963B8">
              <w:rPr>
                <w:rFonts w:ascii="Times New Roman" w:hAnsi="Times New Roman"/>
                <w:sz w:val="24"/>
                <w:szCs w:val="24"/>
              </w:rPr>
              <w:t>28.</w:t>
            </w:r>
            <w:r w:rsidRPr="00B963B8">
              <w:rPr>
                <w:rFonts w:ascii="Times New Roman" w:hAnsi="Times New Roman"/>
                <w:sz w:val="24"/>
                <w:szCs w:val="24"/>
                <w:vertAlign w:val="superscript"/>
              </w:rPr>
              <w:t>1</w:t>
            </w:r>
            <w:r>
              <w:rPr>
                <w:rFonts w:ascii="Times New Roman" w:hAnsi="Times New Roman"/>
                <w:sz w:val="24"/>
                <w:szCs w:val="24"/>
                <w:vertAlign w:val="superscript"/>
              </w:rPr>
              <w:t> </w:t>
            </w:r>
            <w:r w:rsidRPr="00B963B8">
              <w:rPr>
                <w:rFonts w:ascii="Times New Roman" w:hAnsi="Times New Roman"/>
                <w:sz w:val="24"/>
                <w:szCs w:val="24"/>
              </w:rPr>
              <w:t xml:space="preserve">panta </w:t>
            </w:r>
            <w:r>
              <w:rPr>
                <w:rFonts w:ascii="Times New Roman" w:hAnsi="Times New Roman"/>
                <w:sz w:val="24"/>
                <w:szCs w:val="24"/>
              </w:rPr>
              <w:t xml:space="preserve">sestajā </w:t>
            </w:r>
            <w:r w:rsidRPr="00B963B8">
              <w:rPr>
                <w:rFonts w:ascii="Times New Roman" w:hAnsi="Times New Roman"/>
                <w:sz w:val="24"/>
                <w:szCs w:val="24"/>
              </w:rPr>
              <w:t>daļā</w:t>
            </w:r>
            <w:r>
              <w:rPr>
                <w:rFonts w:ascii="Times New Roman" w:hAnsi="Times New Roman"/>
                <w:sz w:val="24"/>
                <w:szCs w:val="24"/>
              </w:rPr>
              <w:t xml:space="preserve"> (</w:t>
            </w:r>
            <w:r w:rsidR="00BB6BD1">
              <w:rPr>
                <w:rFonts w:ascii="Times New Roman" w:hAnsi="Times New Roman"/>
                <w:sz w:val="24"/>
                <w:szCs w:val="24"/>
              </w:rPr>
              <w:t xml:space="preserve">regulējums </w:t>
            </w:r>
            <w:r>
              <w:rPr>
                <w:rFonts w:ascii="Times New Roman" w:hAnsi="Times New Roman"/>
                <w:sz w:val="24"/>
                <w:szCs w:val="24"/>
              </w:rPr>
              <w:t xml:space="preserve">stājās spēkā 2016.gada 1.jūlijā) noteikto pilnvarojumu Ministru kabinetam </w:t>
            </w:r>
            <w:r>
              <w:t xml:space="preserve"> </w:t>
            </w:r>
            <w:r>
              <w:rPr>
                <w:rFonts w:ascii="Times New Roman" w:hAnsi="Times New Roman"/>
                <w:sz w:val="24"/>
                <w:szCs w:val="24"/>
              </w:rPr>
              <w:t>noteikt</w:t>
            </w:r>
            <w:r w:rsidRPr="00520DF8">
              <w:rPr>
                <w:rFonts w:ascii="Times New Roman" w:hAnsi="Times New Roman"/>
                <w:sz w:val="24"/>
                <w:szCs w:val="24"/>
              </w:rPr>
              <w:t xml:space="preserve"> kārtību, kādā veic elektronisko ierīču un iekārtu atbilstības pārbaudi un apliecina to atbilstību normatīvajiem aktiem, kuri nosaka nodokļu un citu maksājumu reģistrēšanas elektronisko ierīču un iekārtu tehniskās prasības.</w:t>
            </w:r>
            <w:r>
              <w:rPr>
                <w:rFonts w:ascii="Times New Roman" w:hAnsi="Times New Roman"/>
                <w:sz w:val="24"/>
                <w:szCs w:val="24"/>
              </w:rPr>
              <w:t xml:space="preserve"> Uz minētā pilnvarojuma pamata </w:t>
            </w:r>
            <w:r w:rsidR="00A64E04">
              <w:rPr>
                <w:rFonts w:ascii="Times New Roman" w:eastAsia="Times New Roman" w:hAnsi="Times New Roman"/>
                <w:sz w:val="24"/>
                <w:szCs w:val="24"/>
              </w:rPr>
              <w:t>Ministru kabineta noteikumos</w:t>
            </w:r>
            <w:r w:rsidR="00500AE2">
              <w:rPr>
                <w:rFonts w:ascii="Times New Roman" w:eastAsia="Times New Roman" w:hAnsi="Times New Roman"/>
                <w:sz w:val="24"/>
                <w:szCs w:val="24"/>
              </w:rPr>
              <w:t xml:space="preserve"> Nr.96 tika veikti grozījumi</w:t>
            </w:r>
            <w:r w:rsidR="00A64E04">
              <w:rPr>
                <w:rStyle w:val="FootnoteReference"/>
                <w:rFonts w:ascii="Times New Roman" w:eastAsia="Times New Roman" w:hAnsi="Times New Roman"/>
                <w:sz w:val="24"/>
                <w:szCs w:val="24"/>
              </w:rPr>
              <w:footnoteReference w:id="1"/>
            </w:r>
            <w:r w:rsidR="00A01865">
              <w:rPr>
                <w:rFonts w:ascii="Times New Roman" w:eastAsia="Times New Roman" w:hAnsi="Times New Roman"/>
                <w:sz w:val="24"/>
                <w:szCs w:val="24"/>
              </w:rPr>
              <w:t>, kuri noteica atbilstības pārbaudes institūciju izveidošanu no 2016.gada 1.jūlija</w:t>
            </w:r>
            <w:r w:rsidR="00AD0FD2">
              <w:rPr>
                <w:rStyle w:val="FootnoteReference"/>
                <w:rFonts w:ascii="Times New Roman" w:eastAsia="Times New Roman" w:hAnsi="Times New Roman"/>
                <w:sz w:val="24"/>
                <w:szCs w:val="24"/>
              </w:rPr>
              <w:footnoteReference w:id="2"/>
            </w:r>
            <w:r w:rsidR="00802ADF">
              <w:rPr>
                <w:rFonts w:ascii="Times New Roman" w:eastAsia="Times New Roman" w:hAnsi="Times New Roman"/>
                <w:sz w:val="24"/>
                <w:szCs w:val="24"/>
              </w:rPr>
              <w:t xml:space="preserve"> un</w:t>
            </w:r>
            <w:r w:rsidR="00A01865">
              <w:rPr>
                <w:rFonts w:ascii="Times New Roman" w:eastAsia="Times New Roman" w:hAnsi="Times New Roman"/>
                <w:sz w:val="24"/>
                <w:szCs w:val="24"/>
              </w:rPr>
              <w:t xml:space="preserve"> atbilstības pārbaužu veikšanu</w:t>
            </w:r>
            <w:r w:rsidR="00500AE2">
              <w:rPr>
                <w:rFonts w:ascii="Times New Roman" w:eastAsia="Times New Roman" w:hAnsi="Times New Roman"/>
                <w:sz w:val="24"/>
                <w:szCs w:val="24"/>
              </w:rPr>
              <w:t xml:space="preserve"> </w:t>
            </w:r>
            <w:r w:rsidR="00A01865">
              <w:rPr>
                <w:rFonts w:ascii="Times New Roman" w:eastAsia="Times New Roman" w:hAnsi="Times New Roman"/>
                <w:sz w:val="24"/>
                <w:szCs w:val="24"/>
              </w:rPr>
              <w:t>visām elektroniskajām ierīcēm un iekārtām līdz 2017.gada 1.jūlijam</w:t>
            </w:r>
            <w:r w:rsidR="00AD0FD2">
              <w:rPr>
                <w:rStyle w:val="FootnoteReference"/>
                <w:rFonts w:ascii="Times New Roman" w:eastAsia="Times New Roman" w:hAnsi="Times New Roman"/>
                <w:sz w:val="24"/>
                <w:szCs w:val="24"/>
              </w:rPr>
              <w:footnoteReference w:id="3"/>
            </w:r>
            <w:r w:rsidR="00802ADF">
              <w:rPr>
                <w:rFonts w:ascii="Times New Roman" w:eastAsia="Times New Roman" w:hAnsi="Times New Roman"/>
                <w:sz w:val="24"/>
                <w:szCs w:val="24"/>
              </w:rPr>
              <w:t>.</w:t>
            </w:r>
          </w:p>
          <w:p w14:paraId="1F233F6B" w14:textId="035BA3CE" w:rsidR="00520DF8" w:rsidRPr="00042BC3" w:rsidRDefault="00AD0FD2" w:rsidP="00520DF8">
            <w:pPr>
              <w:spacing w:after="0" w:line="240" w:lineRule="auto"/>
              <w:ind w:firstLine="466"/>
              <w:jc w:val="both"/>
              <w:rPr>
                <w:rFonts w:ascii="Times New Roman" w:eastAsia="Times New Roman" w:hAnsi="Times New Roman"/>
                <w:sz w:val="24"/>
                <w:szCs w:val="24"/>
              </w:rPr>
            </w:pPr>
            <w:r>
              <w:rPr>
                <w:rFonts w:ascii="Times New Roman" w:eastAsia="Times New Roman" w:hAnsi="Times New Roman"/>
                <w:sz w:val="24"/>
                <w:szCs w:val="24"/>
              </w:rPr>
              <w:t xml:space="preserve">Tādējādi, ar atbilstības pārbaudes institūcijas izveidi un obligātu atbilstības pārbaužu veikšanu pirms elektroniskās ierīces </w:t>
            </w:r>
            <w:r w:rsidR="00D821AC">
              <w:rPr>
                <w:rFonts w:ascii="Times New Roman" w:eastAsia="Times New Roman" w:hAnsi="Times New Roman"/>
                <w:sz w:val="24"/>
                <w:szCs w:val="24"/>
              </w:rPr>
              <w:t xml:space="preserve"> vai iekārtas reģistrācijas VID vienotajā datubāzē (reģistrā) </w:t>
            </w:r>
            <w:r w:rsidR="00DD0901">
              <w:rPr>
                <w:rFonts w:ascii="Times New Roman" w:eastAsia="Times New Roman" w:hAnsi="Times New Roman"/>
                <w:sz w:val="24"/>
                <w:szCs w:val="24"/>
              </w:rPr>
              <w:t>ir</w:t>
            </w:r>
            <w:r>
              <w:rPr>
                <w:rFonts w:ascii="Times New Roman" w:eastAsia="Times New Roman" w:hAnsi="Times New Roman"/>
                <w:sz w:val="24"/>
                <w:szCs w:val="24"/>
              </w:rPr>
              <w:t xml:space="preserve"> nodrošināts, ka VID vienotajā datubāzē (reģistrā) tiek reģistrēti tehniskajām prasībām atbilstoši elektronisko ierīču un iekārtu mode</w:t>
            </w:r>
            <w:r w:rsidR="00D821AC">
              <w:rPr>
                <w:rFonts w:ascii="Times New Roman" w:eastAsia="Times New Roman" w:hAnsi="Times New Roman"/>
                <w:sz w:val="24"/>
                <w:szCs w:val="24"/>
              </w:rPr>
              <w:t>ļi, tai skaitā, tehniskajām prasībām atbilstoši taksometru skaitītāju modeļi.</w:t>
            </w:r>
          </w:p>
          <w:p w14:paraId="7A132D24" w14:textId="41D48DFD" w:rsidR="00BF06AD" w:rsidRDefault="00BA4870" w:rsidP="00BA4870">
            <w:pPr>
              <w:spacing w:after="0" w:line="240" w:lineRule="auto"/>
              <w:ind w:firstLine="466"/>
              <w:jc w:val="both"/>
              <w:rPr>
                <w:rFonts w:ascii="Times New Roman" w:hAnsi="Times New Roman"/>
                <w:sz w:val="24"/>
                <w:szCs w:val="24"/>
              </w:rPr>
            </w:pPr>
            <w:r>
              <w:rPr>
                <w:rFonts w:ascii="Times New Roman" w:hAnsi="Times New Roman"/>
                <w:sz w:val="24"/>
                <w:szCs w:val="24"/>
              </w:rPr>
              <w:t>Ņemot vērā, ka taksometru nozares uzņēmumu pārstāvji iepriekš pauduši viedokli, ka ēnu ekonomikas īpatsvars taksometru nozarē ir aptuveni 80 procenti, un netiek nodrošināta godīga konkurence nozares uzņēmumu starp</w:t>
            </w:r>
            <w:r w:rsidR="006F1F4D">
              <w:rPr>
                <w:rFonts w:ascii="Times New Roman" w:hAnsi="Times New Roman"/>
                <w:sz w:val="24"/>
                <w:szCs w:val="24"/>
              </w:rPr>
              <w:t xml:space="preserve">ā, VID nepieciešams </w:t>
            </w:r>
            <w:r>
              <w:rPr>
                <w:rFonts w:ascii="Times New Roman" w:hAnsi="Times New Roman"/>
                <w:sz w:val="24"/>
                <w:szCs w:val="24"/>
              </w:rPr>
              <w:t xml:space="preserve"> </w:t>
            </w:r>
            <w:r w:rsidR="006F1F4D">
              <w:rPr>
                <w:rFonts w:ascii="Times New Roman" w:hAnsi="Times New Roman"/>
                <w:sz w:val="24"/>
                <w:szCs w:val="24"/>
              </w:rPr>
              <w:t xml:space="preserve">pārliecināties, ka taksometros uzstādītie skaitītāji atbilst normatīvajos regulējumos noteiktajām prasībām un tajos nav </w:t>
            </w:r>
            <w:r w:rsidR="006F1F4D">
              <w:rPr>
                <w:rFonts w:ascii="Times New Roman" w:hAnsi="Times New Roman"/>
                <w:sz w:val="24"/>
                <w:szCs w:val="24"/>
              </w:rPr>
              <w:lastRenderedPageBreak/>
              <w:t xml:space="preserve">iespējams veikt manipulācijas, samazinot ieņēmumus. </w:t>
            </w:r>
            <w:r w:rsidR="006A521C" w:rsidRPr="00042BC3">
              <w:rPr>
                <w:rFonts w:ascii="Times New Roman" w:hAnsi="Times New Roman"/>
                <w:sz w:val="24"/>
                <w:szCs w:val="24"/>
              </w:rPr>
              <w:t>Ja taksometru skaitītāja</w:t>
            </w:r>
            <w:r w:rsidR="006F5B66">
              <w:rPr>
                <w:rFonts w:ascii="Times New Roman" w:hAnsi="Times New Roman"/>
                <w:sz w:val="24"/>
                <w:szCs w:val="24"/>
              </w:rPr>
              <w:t xml:space="preserve"> modelim (modifikācijai)</w:t>
            </w:r>
            <w:r w:rsidR="006A521C" w:rsidRPr="00042BC3">
              <w:rPr>
                <w:rFonts w:ascii="Times New Roman" w:hAnsi="Times New Roman"/>
                <w:sz w:val="24"/>
                <w:szCs w:val="24"/>
              </w:rPr>
              <w:t xml:space="preserve"> nav jāveic reģistrācijas process</w:t>
            </w:r>
            <w:r w:rsidR="000B4CAC" w:rsidRPr="00B963B8">
              <w:rPr>
                <w:rFonts w:ascii="Times New Roman" w:hAnsi="Times New Roman"/>
                <w:sz w:val="24"/>
                <w:szCs w:val="24"/>
              </w:rPr>
              <w:t xml:space="preserve"> VID vienotajā datubāzē (reģistrā)</w:t>
            </w:r>
            <w:r w:rsidR="006A521C" w:rsidRPr="00042BC3">
              <w:rPr>
                <w:rFonts w:ascii="Times New Roman" w:hAnsi="Times New Roman"/>
                <w:sz w:val="24"/>
                <w:szCs w:val="24"/>
              </w:rPr>
              <w:t xml:space="preserve">, tad apkalpojošam dienestam </w:t>
            </w:r>
            <w:r w:rsidR="00201920" w:rsidRPr="00042BC3">
              <w:rPr>
                <w:rFonts w:ascii="Times New Roman" w:hAnsi="Times New Roman"/>
                <w:sz w:val="24"/>
                <w:szCs w:val="24"/>
              </w:rPr>
              <w:t xml:space="preserve">Ministru kabineta noteikumos Nr.96 </w:t>
            </w:r>
            <w:r w:rsidR="006A521C" w:rsidRPr="00042BC3">
              <w:rPr>
                <w:rFonts w:ascii="Times New Roman" w:hAnsi="Times New Roman"/>
                <w:sz w:val="24"/>
                <w:szCs w:val="24"/>
              </w:rPr>
              <w:t xml:space="preserve">nav </w:t>
            </w:r>
            <w:r w:rsidR="00201920">
              <w:rPr>
                <w:rFonts w:ascii="Times New Roman" w:hAnsi="Times New Roman"/>
                <w:sz w:val="24"/>
                <w:szCs w:val="24"/>
              </w:rPr>
              <w:t xml:space="preserve">noteikts </w:t>
            </w:r>
            <w:r w:rsidR="006A521C" w:rsidRPr="00042BC3">
              <w:rPr>
                <w:rFonts w:ascii="Times New Roman" w:hAnsi="Times New Roman"/>
                <w:sz w:val="24"/>
                <w:szCs w:val="24"/>
              </w:rPr>
              <w:t xml:space="preserve">pienākums iesniegt VID </w:t>
            </w:r>
            <w:r w:rsidR="00201920">
              <w:rPr>
                <w:rFonts w:ascii="Times New Roman" w:hAnsi="Times New Roman"/>
                <w:sz w:val="24"/>
                <w:szCs w:val="24"/>
              </w:rPr>
              <w:t xml:space="preserve">šajos noteikumos </w:t>
            </w:r>
            <w:r w:rsidR="006A521C" w:rsidRPr="00042BC3">
              <w:rPr>
                <w:rFonts w:ascii="Times New Roman" w:hAnsi="Times New Roman"/>
                <w:sz w:val="24"/>
                <w:szCs w:val="24"/>
              </w:rPr>
              <w:t xml:space="preserve">noteikto </w:t>
            </w:r>
            <w:r w:rsidR="000B4CAC">
              <w:rPr>
                <w:rFonts w:ascii="Times New Roman" w:hAnsi="Times New Roman"/>
                <w:sz w:val="24"/>
                <w:szCs w:val="24"/>
              </w:rPr>
              <w:t xml:space="preserve">tehnisko </w:t>
            </w:r>
            <w:r w:rsidR="006A521C" w:rsidRPr="00042BC3">
              <w:rPr>
                <w:rFonts w:ascii="Times New Roman" w:hAnsi="Times New Roman"/>
                <w:sz w:val="24"/>
                <w:szCs w:val="24"/>
              </w:rPr>
              <w:t>dokumentāciju izvērtēšanai</w:t>
            </w:r>
            <w:r w:rsidR="006A521C">
              <w:rPr>
                <w:rFonts w:ascii="Times New Roman" w:hAnsi="Times New Roman"/>
                <w:sz w:val="24"/>
                <w:szCs w:val="24"/>
              </w:rPr>
              <w:t xml:space="preserve">, tādējādi </w:t>
            </w:r>
            <w:r w:rsidR="00201920">
              <w:rPr>
                <w:rFonts w:ascii="Times New Roman" w:hAnsi="Times New Roman"/>
                <w:sz w:val="24"/>
                <w:szCs w:val="24"/>
              </w:rPr>
              <w:t>VID ir apgrūtinātas iespējas</w:t>
            </w:r>
            <w:r w:rsidR="006A521C">
              <w:rPr>
                <w:rFonts w:ascii="Times New Roman" w:hAnsi="Times New Roman"/>
                <w:sz w:val="24"/>
                <w:szCs w:val="24"/>
              </w:rPr>
              <w:t xml:space="preserve"> veikt kontroles pasākumus </w:t>
            </w:r>
            <w:r w:rsidR="00201920">
              <w:rPr>
                <w:rFonts w:ascii="Times New Roman" w:hAnsi="Times New Roman"/>
                <w:sz w:val="24"/>
                <w:szCs w:val="24"/>
              </w:rPr>
              <w:t xml:space="preserve">par </w:t>
            </w:r>
            <w:r w:rsidR="006A521C">
              <w:rPr>
                <w:rFonts w:ascii="Times New Roman" w:hAnsi="Times New Roman"/>
                <w:sz w:val="24"/>
                <w:szCs w:val="24"/>
              </w:rPr>
              <w:t xml:space="preserve">taksometru skaitītāju atbilstību </w:t>
            </w:r>
            <w:r w:rsidR="00EE6C78">
              <w:rPr>
                <w:rFonts w:ascii="Times New Roman" w:hAnsi="Times New Roman"/>
                <w:sz w:val="24"/>
                <w:szCs w:val="24"/>
              </w:rPr>
              <w:t xml:space="preserve">noteiktajām </w:t>
            </w:r>
            <w:r w:rsidR="006A521C">
              <w:rPr>
                <w:rFonts w:ascii="Times New Roman" w:hAnsi="Times New Roman"/>
                <w:sz w:val="24"/>
                <w:szCs w:val="24"/>
              </w:rPr>
              <w:t xml:space="preserve">tehniskajām prasībām un </w:t>
            </w:r>
            <w:r w:rsidR="00201920">
              <w:rPr>
                <w:rFonts w:ascii="Times New Roman" w:hAnsi="Times New Roman"/>
                <w:sz w:val="24"/>
                <w:szCs w:val="24"/>
              </w:rPr>
              <w:t xml:space="preserve">to </w:t>
            </w:r>
            <w:r w:rsidR="006A521C">
              <w:rPr>
                <w:rFonts w:ascii="Times New Roman" w:hAnsi="Times New Roman"/>
                <w:sz w:val="24"/>
                <w:szCs w:val="24"/>
              </w:rPr>
              <w:t>lietošanas kārtīb</w:t>
            </w:r>
            <w:r w:rsidR="00201920">
              <w:rPr>
                <w:rFonts w:ascii="Times New Roman" w:hAnsi="Times New Roman"/>
                <w:sz w:val="24"/>
                <w:szCs w:val="24"/>
              </w:rPr>
              <w:t>u</w:t>
            </w:r>
            <w:r w:rsidR="006A521C">
              <w:rPr>
                <w:rFonts w:ascii="Times New Roman" w:hAnsi="Times New Roman"/>
                <w:sz w:val="24"/>
                <w:szCs w:val="24"/>
              </w:rPr>
              <w:t>.</w:t>
            </w:r>
            <w:r w:rsidR="009D39DD">
              <w:rPr>
                <w:rFonts w:ascii="Times New Roman" w:hAnsi="Times New Roman"/>
                <w:sz w:val="24"/>
                <w:szCs w:val="24"/>
              </w:rPr>
              <w:t xml:space="preserve"> </w:t>
            </w:r>
            <w:r w:rsidR="009C68FB">
              <w:rPr>
                <w:rFonts w:ascii="Times New Roman" w:hAnsi="Times New Roman"/>
                <w:sz w:val="24"/>
                <w:szCs w:val="24"/>
              </w:rPr>
              <w:t xml:space="preserve">Turklāt, </w:t>
            </w:r>
            <w:r w:rsidR="009D39DD">
              <w:rPr>
                <w:rFonts w:ascii="Times New Roman" w:hAnsi="Times New Roman"/>
                <w:sz w:val="24"/>
                <w:szCs w:val="24"/>
              </w:rPr>
              <w:t>neveicot taksometru skaitītāju reģistrācij</w:t>
            </w:r>
            <w:r w:rsidR="009C68FB">
              <w:rPr>
                <w:rFonts w:ascii="Times New Roman" w:hAnsi="Times New Roman"/>
                <w:sz w:val="24"/>
                <w:szCs w:val="24"/>
              </w:rPr>
              <w:t>u</w:t>
            </w:r>
            <w:r w:rsidR="009D39DD">
              <w:rPr>
                <w:rFonts w:ascii="Times New Roman" w:hAnsi="Times New Roman"/>
                <w:sz w:val="24"/>
                <w:szCs w:val="24"/>
              </w:rPr>
              <w:t xml:space="preserve"> VID vienotajā datubāzē (reģistrā)</w:t>
            </w:r>
            <w:r w:rsidR="009C68FB">
              <w:rPr>
                <w:rFonts w:ascii="Times New Roman" w:hAnsi="Times New Roman"/>
                <w:sz w:val="24"/>
                <w:szCs w:val="24"/>
              </w:rPr>
              <w:t>, to lietotājiem, citām kontrolējošām institūcijām un taksometru</w:t>
            </w:r>
            <w:r w:rsidR="001D2282">
              <w:rPr>
                <w:rFonts w:ascii="Times New Roman" w:hAnsi="Times New Roman"/>
                <w:sz w:val="24"/>
                <w:szCs w:val="24"/>
              </w:rPr>
              <w:t xml:space="preserve"> pārvadātāju</w:t>
            </w:r>
            <w:r w:rsidR="009C68FB">
              <w:rPr>
                <w:rFonts w:ascii="Times New Roman" w:hAnsi="Times New Roman"/>
                <w:sz w:val="24"/>
                <w:szCs w:val="24"/>
              </w:rPr>
              <w:t xml:space="preserve"> klientiem nebūs publiski pieejama informā</w:t>
            </w:r>
            <w:r w:rsidR="001D2282">
              <w:rPr>
                <w:rFonts w:ascii="Times New Roman" w:hAnsi="Times New Roman"/>
                <w:sz w:val="24"/>
                <w:szCs w:val="24"/>
              </w:rPr>
              <w:t>cija par taksometru skaitītāju modeļiem (modifikācijām)</w:t>
            </w:r>
            <w:r w:rsidR="009C68FB">
              <w:rPr>
                <w:rFonts w:ascii="Times New Roman" w:hAnsi="Times New Roman"/>
                <w:sz w:val="24"/>
                <w:szCs w:val="24"/>
              </w:rPr>
              <w:t>, kam veikta atbilstības pārbaude un kas ir atļauti lietošanai. Tāpat</w:t>
            </w:r>
            <w:r w:rsidR="009D39DD">
              <w:rPr>
                <w:rFonts w:ascii="Times New Roman" w:hAnsi="Times New Roman"/>
                <w:sz w:val="24"/>
                <w:szCs w:val="24"/>
              </w:rPr>
              <w:t xml:space="preserve"> radīsies nevienlīdzīga situācija attiecībā pret citu elektronisko ierīču un iekārtu veidu lietotājiem un apkalpojošiem dienestiem. </w:t>
            </w:r>
          </w:p>
          <w:p w14:paraId="30D4C55A" w14:textId="775176AD" w:rsidR="004B1C04" w:rsidRDefault="006A521C" w:rsidP="00514C04">
            <w:pPr>
              <w:spacing w:after="0" w:line="240" w:lineRule="auto"/>
              <w:ind w:firstLine="466"/>
              <w:jc w:val="both"/>
              <w:rPr>
                <w:rFonts w:ascii="Times New Roman" w:hAnsi="Times New Roman"/>
                <w:sz w:val="24"/>
                <w:szCs w:val="24"/>
              </w:rPr>
            </w:pPr>
            <w:r>
              <w:rPr>
                <w:rFonts w:ascii="Times New Roman" w:hAnsi="Times New Roman"/>
                <w:sz w:val="24"/>
                <w:szCs w:val="24"/>
              </w:rPr>
              <w:t>Ņemot vērā, ka</w:t>
            </w:r>
            <w:r w:rsidR="009D39DD">
              <w:rPr>
                <w:rFonts w:ascii="Times New Roman" w:hAnsi="Times New Roman"/>
                <w:sz w:val="24"/>
                <w:szCs w:val="24"/>
              </w:rPr>
              <w:t xml:space="preserve"> </w:t>
            </w:r>
            <w:r w:rsidR="009C68FB" w:rsidRPr="009C68FB">
              <w:rPr>
                <w:rFonts w:ascii="Times New Roman" w:hAnsi="Times New Roman"/>
                <w:sz w:val="24"/>
                <w:szCs w:val="24"/>
              </w:rPr>
              <w:t xml:space="preserve">Ministru kabineta </w:t>
            </w:r>
            <w:r w:rsidR="00EE6C78" w:rsidRPr="009C68FB">
              <w:rPr>
                <w:rFonts w:ascii="Times New Roman" w:hAnsi="Times New Roman"/>
                <w:sz w:val="24"/>
                <w:szCs w:val="24"/>
              </w:rPr>
              <w:t>noteikum</w:t>
            </w:r>
            <w:r w:rsidR="00EE6C78">
              <w:rPr>
                <w:rFonts w:ascii="Times New Roman" w:hAnsi="Times New Roman"/>
                <w:sz w:val="24"/>
                <w:szCs w:val="24"/>
              </w:rPr>
              <w:t>u</w:t>
            </w:r>
            <w:r w:rsidR="00EE6C78" w:rsidRPr="009C68FB">
              <w:rPr>
                <w:rFonts w:ascii="Times New Roman" w:hAnsi="Times New Roman"/>
                <w:sz w:val="24"/>
                <w:szCs w:val="24"/>
              </w:rPr>
              <w:t xml:space="preserve"> </w:t>
            </w:r>
            <w:r w:rsidR="009C68FB" w:rsidRPr="009C68FB">
              <w:rPr>
                <w:rFonts w:ascii="Times New Roman" w:hAnsi="Times New Roman"/>
                <w:sz w:val="24"/>
                <w:szCs w:val="24"/>
              </w:rPr>
              <w:t>Nr.96</w:t>
            </w:r>
            <w:r w:rsidR="00EE6C78">
              <w:rPr>
                <w:rFonts w:ascii="Times New Roman" w:hAnsi="Times New Roman"/>
                <w:sz w:val="24"/>
                <w:szCs w:val="24"/>
              </w:rPr>
              <w:t xml:space="preserve">   </w:t>
            </w:r>
            <w:r w:rsidR="00EE6C78">
              <w:rPr>
                <w:rFonts w:ascii="Times New Roman" w:eastAsia="Times New Roman" w:hAnsi="Times New Roman" w:cs="Times New Roman"/>
                <w:sz w:val="24"/>
                <w:szCs w:val="24"/>
              </w:rPr>
              <w:t>122.1.apakšpunktā,</w:t>
            </w:r>
            <w:r w:rsidR="00EE6C78" w:rsidRPr="00042BC3">
              <w:rPr>
                <w:rFonts w:ascii="Times New Roman" w:eastAsia="Times New Roman" w:hAnsi="Times New Roman" w:cs="Times New Roman"/>
                <w:sz w:val="24"/>
                <w:szCs w:val="24"/>
              </w:rPr>
              <w:t xml:space="preserve"> </w:t>
            </w:r>
            <w:r w:rsidR="00EE6C78">
              <w:rPr>
                <w:rFonts w:ascii="Times New Roman" w:eastAsia="Times New Roman" w:hAnsi="Times New Roman" w:cs="Times New Roman"/>
                <w:sz w:val="24"/>
                <w:szCs w:val="24"/>
              </w:rPr>
              <w:t>t</w:t>
            </w:r>
            <w:r w:rsidR="009D39DD">
              <w:rPr>
                <w:rFonts w:ascii="Times New Roman" w:hAnsi="Times New Roman"/>
                <w:sz w:val="24"/>
                <w:szCs w:val="24"/>
              </w:rPr>
              <w:t>aksometru skaitītāju</w:t>
            </w:r>
            <w:r w:rsidR="006F5B66">
              <w:rPr>
                <w:rFonts w:ascii="Times New Roman" w:hAnsi="Times New Roman"/>
                <w:sz w:val="24"/>
                <w:szCs w:val="24"/>
              </w:rPr>
              <w:t xml:space="preserve"> modeļu (modifikāciju)</w:t>
            </w:r>
            <w:r w:rsidR="009D39DD">
              <w:rPr>
                <w:rFonts w:ascii="Times New Roman" w:hAnsi="Times New Roman"/>
                <w:sz w:val="24"/>
                <w:szCs w:val="24"/>
              </w:rPr>
              <w:t xml:space="preserve"> reģistrācijai </w:t>
            </w:r>
            <w:r w:rsidR="009C68FB">
              <w:rPr>
                <w:rFonts w:ascii="Times New Roman" w:hAnsi="Times New Roman"/>
                <w:sz w:val="24"/>
                <w:szCs w:val="24"/>
              </w:rPr>
              <w:t xml:space="preserve">šobrīd </w:t>
            </w:r>
            <w:r w:rsidR="009D39DD">
              <w:rPr>
                <w:rFonts w:ascii="Times New Roman" w:hAnsi="Times New Roman"/>
                <w:sz w:val="24"/>
                <w:szCs w:val="24"/>
              </w:rPr>
              <w:t>ir noteikt</w:t>
            </w:r>
            <w:r w:rsidR="008C535F">
              <w:rPr>
                <w:rFonts w:ascii="Times New Roman" w:hAnsi="Times New Roman"/>
                <w:sz w:val="24"/>
                <w:szCs w:val="24"/>
              </w:rPr>
              <w:t xml:space="preserve">s </w:t>
            </w:r>
            <w:r w:rsidR="009D39DD">
              <w:rPr>
                <w:rFonts w:ascii="Times New Roman" w:hAnsi="Times New Roman"/>
                <w:sz w:val="24"/>
                <w:szCs w:val="24"/>
              </w:rPr>
              <w:t>izņēmums</w:t>
            </w:r>
            <w:r w:rsidR="008C535F">
              <w:rPr>
                <w:rFonts w:ascii="Times New Roman" w:hAnsi="Times New Roman"/>
                <w:sz w:val="24"/>
                <w:szCs w:val="24"/>
              </w:rPr>
              <w:t>,</w:t>
            </w:r>
            <w:r>
              <w:rPr>
                <w:rFonts w:ascii="Times New Roman" w:hAnsi="Times New Roman"/>
                <w:sz w:val="24"/>
                <w:szCs w:val="24"/>
              </w:rPr>
              <w:t xml:space="preserve"> </w:t>
            </w:r>
            <w:r w:rsidR="009D39DD">
              <w:rPr>
                <w:rFonts w:ascii="Times New Roman" w:hAnsi="Times New Roman"/>
                <w:sz w:val="24"/>
                <w:szCs w:val="24"/>
              </w:rPr>
              <w:t>atsevišķi taksometru skaitītāju apkalpojošie dienesti VID atsakās iesniegt taksometru skaitītāju modeļu tehnisko dokument</w:t>
            </w:r>
            <w:r w:rsidR="00C166AE">
              <w:rPr>
                <w:rFonts w:ascii="Times New Roman" w:hAnsi="Times New Roman"/>
                <w:sz w:val="24"/>
                <w:szCs w:val="24"/>
              </w:rPr>
              <w:t>āciju</w:t>
            </w:r>
            <w:r w:rsidR="00C166AE">
              <w:rPr>
                <w:rFonts w:ascii="Times New Roman" w:hAnsi="Times New Roman"/>
                <w:sz w:val="26"/>
                <w:szCs w:val="26"/>
              </w:rPr>
              <w:t xml:space="preserve">, </w:t>
            </w:r>
            <w:r w:rsidR="00C166AE">
              <w:rPr>
                <w:rFonts w:ascii="Times New Roman" w:hAnsi="Times New Roman"/>
                <w:sz w:val="24"/>
                <w:szCs w:val="24"/>
              </w:rPr>
              <w:t xml:space="preserve">līdz ar to VID </w:t>
            </w:r>
            <w:r w:rsidR="008F0AA9">
              <w:rPr>
                <w:rFonts w:ascii="Times New Roman" w:hAnsi="Times New Roman"/>
                <w:sz w:val="24"/>
                <w:szCs w:val="24"/>
              </w:rPr>
              <w:t xml:space="preserve">nav iespējams gūt pilnīgu pārliecību par to atbilstību normatīvo aktu prasībām un </w:t>
            </w:r>
            <w:r w:rsidR="00C166AE">
              <w:rPr>
                <w:rFonts w:ascii="Times New Roman" w:hAnsi="Times New Roman"/>
                <w:sz w:val="24"/>
                <w:szCs w:val="24"/>
              </w:rPr>
              <w:t>vienotajā datubāzē (reģistrā) nav iespējams piereģistrēt minētā modeļa taksometru</w:t>
            </w:r>
            <w:r w:rsidR="00F50268">
              <w:rPr>
                <w:rFonts w:ascii="Times New Roman" w:hAnsi="Times New Roman"/>
                <w:sz w:val="24"/>
                <w:szCs w:val="24"/>
              </w:rPr>
              <w:t xml:space="preserve"> </w:t>
            </w:r>
            <w:r w:rsidR="00C166AE">
              <w:rPr>
                <w:rFonts w:ascii="Times New Roman" w:hAnsi="Times New Roman"/>
                <w:sz w:val="24"/>
                <w:szCs w:val="24"/>
              </w:rPr>
              <w:t>skaitītājus lietot</w:t>
            </w:r>
            <w:r w:rsidR="002233F5">
              <w:rPr>
                <w:rFonts w:ascii="Times New Roman" w:hAnsi="Times New Roman"/>
                <w:sz w:val="24"/>
                <w:szCs w:val="24"/>
              </w:rPr>
              <w:t>ājiem, tādējādi</w:t>
            </w:r>
            <w:r w:rsidR="00A460AD">
              <w:rPr>
                <w:rFonts w:ascii="Times New Roman" w:hAnsi="Times New Roman"/>
                <w:sz w:val="24"/>
                <w:szCs w:val="24"/>
              </w:rPr>
              <w:t xml:space="preserve"> kavējas reformas gaita</w:t>
            </w:r>
            <w:r w:rsidR="002233F5">
              <w:rPr>
                <w:rFonts w:ascii="Times New Roman" w:hAnsi="Times New Roman"/>
                <w:sz w:val="24"/>
                <w:szCs w:val="24"/>
              </w:rPr>
              <w:t>.</w:t>
            </w:r>
          </w:p>
          <w:p w14:paraId="0887366A" w14:textId="76ED81E6" w:rsidR="00D821AC" w:rsidRPr="00042BC3" w:rsidRDefault="00D821AC" w:rsidP="00514C04">
            <w:pPr>
              <w:spacing w:after="0" w:line="240" w:lineRule="auto"/>
              <w:ind w:firstLine="466"/>
              <w:jc w:val="both"/>
              <w:rPr>
                <w:rFonts w:ascii="Times New Roman" w:eastAsia="Times New Roman" w:hAnsi="Times New Roman"/>
                <w:sz w:val="24"/>
                <w:szCs w:val="24"/>
              </w:rPr>
            </w:pPr>
            <w:r>
              <w:rPr>
                <w:rFonts w:ascii="Times New Roman" w:hAnsi="Times New Roman"/>
                <w:sz w:val="24"/>
                <w:szCs w:val="24"/>
              </w:rPr>
              <w:t>Svītrojot</w:t>
            </w:r>
            <w:r>
              <w:t xml:space="preserve"> </w:t>
            </w:r>
            <w:r w:rsidRPr="00D821AC">
              <w:rPr>
                <w:rFonts w:ascii="Times New Roman" w:hAnsi="Times New Roman"/>
                <w:sz w:val="24"/>
                <w:szCs w:val="24"/>
              </w:rPr>
              <w:t>Ministru kabineta n</w:t>
            </w:r>
            <w:r>
              <w:rPr>
                <w:rFonts w:ascii="Times New Roman" w:hAnsi="Times New Roman"/>
                <w:sz w:val="24"/>
                <w:szCs w:val="24"/>
              </w:rPr>
              <w:t xml:space="preserve">oteikumu Nr.96 122.1.apakšpunktā noteikto izņēmumu taksometru skaitītāju modeļu reģistrācijai VID vienotajā datubāzē (reģistrā), tiks nodrošināta vienota </w:t>
            </w:r>
            <w:r w:rsidR="00966922">
              <w:rPr>
                <w:rFonts w:ascii="Times New Roman" w:hAnsi="Times New Roman"/>
                <w:sz w:val="24"/>
                <w:szCs w:val="24"/>
              </w:rPr>
              <w:t xml:space="preserve">lietošanas kārtība visām </w:t>
            </w:r>
            <w:r>
              <w:rPr>
                <w:rFonts w:ascii="Times New Roman" w:hAnsi="Times New Roman"/>
                <w:sz w:val="24"/>
                <w:szCs w:val="24"/>
              </w:rPr>
              <w:t>elektronisk</w:t>
            </w:r>
            <w:r w:rsidR="00966922">
              <w:rPr>
                <w:rFonts w:ascii="Times New Roman" w:hAnsi="Times New Roman"/>
                <w:sz w:val="24"/>
                <w:szCs w:val="24"/>
              </w:rPr>
              <w:t>ajām</w:t>
            </w:r>
            <w:r>
              <w:rPr>
                <w:rFonts w:ascii="Times New Roman" w:hAnsi="Times New Roman"/>
                <w:sz w:val="24"/>
                <w:szCs w:val="24"/>
              </w:rPr>
              <w:t xml:space="preserve"> ierī</w:t>
            </w:r>
            <w:r w:rsidR="00966922">
              <w:rPr>
                <w:rFonts w:ascii="Times New Roman" w:hAnsi="Times New Roman"/>
                <w:sz w:val="24"/>
                <w:szCs w:val="24"/>
              </w:rPr>
              <w:t>cēm</w:t>
            </w:r>
            <w:r>
              <w:rPr>
                <w:rFonts w:ascii="Times New Roman" w:hAnsi="Times New Roman"/>
                <w:sz w:val="24"/>
                <w:szCs w:val="24"/>
              </w:rPr>
              <w:t xml:space="preserve"> un iek</w:t>
            </w:r>
            <w:r w:rsidR="00966922">
              <w:rPr>
                <w:rFonts w:ascii="Times New Roman" w:hAnsi="Times New Roman"/>
                <w:sz w:val="24"/>
                <w:szCs w:val="24"/>
              </w:rPr>
              <w:t xml:space="preserve">ārtām, </w:t>
            </w:r>
            <w:r>
              <w:rPr>
                <w:rFonts w:ascii="Times New Roman" w:hAnsi="Times New Roman"/>
                <w:sz w:val="24"/>
                <w:szCs w:val="24"/>
              </w:rPr>
              <w:t>t.i., vienota</w:t>
            </w:r>
            <w:r w:rsidR="00966922">
              <w:rPr>
                <w:rFonts w:ascii="Times New Roman" w:hAnsi="Times New Roman"/>
                <w:sz w:val="24"/>
                <w:szCs w:val="24"/>
              </w:rPr>
              <w:t>s prasības atbilstības pārbaudes veikšanai</w:t>
            </w:r>
            <w:r w:rsidR="00646127">
              <w:rPr>
                <w:rFonts w:ascii="Times New Roman" w:hAnsi="Times New Roman"/>
                <w:sz w:val="24"/>
                <w:szCs w:val="24"/>
              </w:rPr>
              <w:t xml:space="preserve"> elektroniskās ierīces vai iekārtas modelim</w:t>
            </w:r>
            <w:r w:rsidR="00966922">
              <w:rPr>
                <w:rFonts w:ascii="Times New Roman" w:hAnsi="Times New Roman"/>
                <w:sz w:val="24"/>
                <w:szCs w:val="24"/>
              </w:rPr>
              <w:t>, reģistrācijas prasībām VID vienotajā datubāzē (reģistrā)</w:t>
            </w:r>
            <w:r w:rsidRPr="00D821AC">
              <w:rPr>
                <w:rFonts w:ascii="Times New Roman" w:hAnsi="Times New Roman"/>
                <w:sz w:val="24"/>
                <w:szCs w:val="24"/>
              </w:rPr>
              <w:t xml:space="preserve"> </w:t>
            </w:r>
            <w:r w:rsidR="00646127">
              <w:rPr>
                <w:rFonts w:ascii="Times New Roman" w:hAnsi="Times New Roman"/>
                <w:sz w:val="24"/>
                <w:szCs w:val="24"/>
              </w:rPr>
              <w:t xml:space="preserve">elektroniskās ierīces vai iekārtas modelim un konkrētās ierīces vai iekārtas reģistrācijai lietotājam. </w:t>
            </w:r>
            <w:r w:rsidR="00630611">
              <w:rPr>
                <w:rFonts w:ascii="Times New Roman" w:hAnsi="Times New Roman"/>
                <w:sz w:val="24"/>
                <w:szCs w:val="24"/>
              </w:rPr>
              <w:t>Līdz ar to t</w:t>
            </w:r>
            <w:r w:rsidR="00646127">
              <w:rPr>
                <w:rFonts w:ascii="Times New Roman" w:hAnsi="Times New Roman"/>
                <w:sz w:val="24"/>
                <w:szCs w:val="24"/>
              </w:rPr>
              <w:t>iks nodrošināta vienota attieksme pret visiem elektronisko ierīču un iekārtu lietotājiem un apkalpojošiem dienestiem, novērstas problēmas taksometru skaitītāju tehnisko prasību un lietošanas kārtības administrēšanā</w:t>
            </w:r>
            <w:r w:rsidR="00E850E1">
              <w:rPr>
                <w:rFonts w:ascii="Times New Roman" w:hAnsi="Times New Roman"/>
                <w:sz w:val="24"/>
                <w:szCs w:val="24"/>
              </w:rPr>
              <w:t>.</w:t>
            </w:r>
          </w:p>
          <w:p w14:paraId="29647943" w14:textId="4D761A53" w:rsidR="00C87C4E" w:rsidRPr="00961EBB" w:rsidRDefault="006A521C" w:rsidP="007B6F5F">
            <w:pPr>
              <w:spacing w:after="0" w:line="240" w:lineRule="auto"/>
              <w:ind w:firstLine="471"/>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t xml:space="preserve">Ņemot vērā minēto, </w:t>
            </w:r>
            <w:r w:rsidR="003A7677">
              <w:rPr>
                <w:rFonts w:ascii="Times New Roman" w:eastAsia="Times New Roman" w:hAnsi="Times New Roman" w:cs="Times New Roman"/>
                <w:sz w:val="24"/>
                <w:szCs w:val="24"/>
              </w:rPr>
              <w:t xml:space="preserve">lai </w:t>
            </w:r>
            <w:r w:rsidR="003A7677" w:rsidRPr="00DF434B">
              <w:rPr>
                <w:rFonts w:ascii="Times New Roman" w:eastAsia="Times New Roman" w:hAnsi="Times New Roman" w:cs="Times New Roman"/>
                <w:sz w:val="24"/>
                <w:szCs w:val="24"/>
              </w:rPr>
              <w:t>Ministru kabineta noteikumu Nr.96 122.</w:t>
            </w:r>
            <w:r w:rsidR="003A7677">
              <w:rPr>
                <w:rFonts w:ascii="Times New Roman" w:eastAsia="Times New Roman" w:hAnsi="Times New Roman" w:cs="Times New Roman"/>
                <w:sz w:val="24"/>
                <w:szCs w:val="24"/>
              </w:rPr>
              <w:t>1.apakš</w:t>
            </w:r>
            <w:r w:rsidR="003A7677" w:rsidRPr="00DF434B">
              <w:rPr>
                <w:rFonts w:ascii="Times New Roman" w:eastAsia="Times New Roman" w:hAnsi="Times New Roman" w:cs="Times New Roman"/>
                <w:sz w:val="24"/>
                <w:szCs w:val="24"/>
              </w:rPr>
              <w:t>punkta</w:t>
            </w:r>
            <w:r w:rsidR="003A7677">
              <w:rPr>
                <w:rFonts w:ascii="Times New Roman" w:eastAsia="Times New Roman" w:hAnsi="Times New Roman" w:cs="Times New Roman"/>
                <w:sz w:val="24"/>
                <w:szCs w:val="24"/>
              </w:rPr>
              <w:t xml:space="preserve"> </w:t>
            </w:r>
            <w:r w:rsidR="00C8379A">
              <w:rPr>
                <w:rFonts w:ascii="Times New Roman" w:eastAsia="Times New Roman" w:hAnsi="Times New Roman" w:cs="Times New Roman"/>
                <w:sz w:val="24"/>
                <w:szCs w:val="24"/>
              </w:rPr>
              <w:t>piemērošana būtu viennozīmīgi skaidra</w:t>
            </w:r>
            <w:r w:rsidR="003A7677">
              <w:rPr>
                <w:rFonts w:ascii="Times New Roman" w:eastAsia="Times New Roman" w:hAnsi="Times New Roman" w:cs="Times New Roman"/>
                <w:sz w:val="24"/>
                <w:szCs w:val="24"/>
              </w:rPr>
              <w:t xml:space="preserve">, </w:t>
            </w:r>
            <w:r w:rsidR="003A7677" w:rsidRPr="00DF434B">
              <w:rPr>
                <w:rFonts w:ascii="Times New Roman" w:eastAsia="Times New Roman" w:hAnsi="Times New Roman" w:cs="Times New Roman"/>
                <w:sz w:val="24"/>
                <w:szCs w:val="24"/>
              </w:rPr>
              <w:t xml:space="preserve"> </w:t>
            </w:r>
            <w:r w:rsidR="00937DDA" w:rsidRPr="00DF434B">
              <w:rPr>
                <w:rFonts w:ascii="Times New Roman" w:eastAsia="Times New Roman" w:hAnsi="Times New Roman" w:cs="Times New Roman"/>
                <w:sz w:val="24"/>
                <w:szCs w:val="24"/>
              </w:rPr>
              <w:t>nepieciešams precizēt</w:t>
            </w:r>
            <w:r w:rsidRPr="00DF434B">
              <w:rPr>
                <w:sz w:val="24"/>
                <w:szCs w:val="24"/>
              </w:rPr>
              <w:t xml:space="preserve"> </w:t>
            </w:r>
            <w:r w:rsidR="003A7677">
              <w:rPr>
                <w:rFonts w:ascii="Times New Roman" w:eastAsia="Times New Roman" w:hAnsi="Times New Roman" w:cs="Times New Roman"/>
                <w:sz w:val="24"/>
                <w:szCs w:val="24"/>
              </w:rPr>
              <w:t>normu</w:t>
            </w:r>
            <w:r w:rsidR="00A460AD">
              <w:rPr>
                <w:rFonts w:ascii="Times New Roman" w:eastAsia="Times New Roman" w:hAnsi="Times New Roman" w:cs="Times New Roman"/>
                <w:sz w:val="24"/>
                <w:szCs w:val="24"/>
              </w:rPr>
              <w:t xml:space="preserve">, nosakot, ka uz taksometru skaitītāju modeļiem attiecināmas </w:t>
            </w:r>
            <w:r w:rsidR="003A7677" w:rsidRPr="00DF434B">
              <w:rPr>
                <w:rFonts w:ascii="Times New Roman" w:eastAsia="Times New Roman" w:hAnsi="Times New Roman" w:cs="Times New Roman"/>
                <w:sz w:val="24"/>
                <w:szCs w:val="24"/>
              </w:rPr>
              <w:t>Ministru kabineta noteikumu Nr.96</w:t>
            </w:r>
            <w:r w:rsidR="003A7677">
              <w:rPr>
                <w:rFonts w:ascii="Times New Roman" w:eastAsia="Times New Roman" w:hAnsi="Times New Roman" w:cs="Times New Roman"/>
                <w:sz w:val="24"/>
                <w:szCs w:val="24"/>
              </w:rPr>
              <w:t xml:space="preserve"> </w:t>
            </w:r>
            <w:r w:rsidR="00A460AD">
              <w:rPr>
                <w:rFonts w:ascii="Times New Roman" w:eastAsia="Times New Roman" w:hAnsi="Times New Roman" w:cs="Times New Roman"/>
                <w:sz w:val="24"/>
                <w:szCs w:val="24"/>
              </w:rPr>
              <w:t xml:space="preserve">normas par to reģistrēšanas kārtību </w:t>
            </w:r>
            <w:r w:rsidR="00A460AD" w:rsidRPr="00A460AD">
              <w:rPr>
                <w:rFonts w:ascii="Times New Roman" w:eastAsia="Times New Roman" w:hAnsi="Times New Roman" w:cs="Times New Roman"/>
                <w:sz w:val="24"/>
                <w:szCs w:val="24"/>
              </w:rPr>
              <w:t>VID vienotajā datubāzē (reģistrā)</w:t>
            </w:r>
            <w:r w:rsidR="00244B29" w:rsidRPr="00DF434B">
              <w:rPr>
                <w:rFonts w:ascii="Times New Roman" w:eastAsia="Times New Roman" w:hAnsi="Times New Roman" w:cs="Times New Roman"/>
                <w:sz w:val="24"/>
                <w:szCs w:val="24"/>
              </w:rPr>
              <w:t xml:space="preserve"> </w:t>
            </w:r>
            <w:r w:rsidRPr="00DF434B">
              <w:rPr>
                <w:rFonts w:ascii="Times New Roman" w:eastAsia="Times New Roman" w:hAnsi="Times New Roman" w:cs="Times New Roman"/>
                <w:sz w:val="24"/>
                <w:szCs w:val="24"/>
              </w:rPr>
              <w:t>(</w:t>
            </w:r>
            <w:r w:rsidR="00AB1468" w:rsidRPr="00DF434B">
              <w:rPr>
                <w:rFonts w:ascii="Times New Roman" w:eastAsia="Times New Roman" w:hAnsi="Times New Roman" w:cs="Times New Roman"/>
                <w:i/>
                <w:sz w:val="24"/>
                <w:szCs w:val="24"/>
              </w:rPr>
              <w:t xml:space="preserve">noteikumu projekta </w:t>
            </w:r>
            <w:r w:rsidR="006E70CD">
              <w:rPr>
                <w:rFonts w:ascii="Times New Roman" w:eastAsia="Times New Roman" w:hAnsi="Times New Roman" w:cs="Times New Roman"/>
                <w:i/>
                <w:sz w:val="24"/>
                <w:szCs w:val="24"/>
              </w:rPr>
              <w:t>2</w:t>
            </w:r>
            <w:r w:rsidR="001203CC">
              <w:rPr>
                <w:rFonts w:ascii="Times New Roman" w:eastAsia="Times New Roman" w:hAnsi="Times New Roman" w:cs="Times New Roman"/>
                <w:i/>
                <w:sz w:val="24"/>
                <w:szCs w:val="24"/>
              </w:rPr>
              <w:t>9</w:t>
            </w:r>
            <w:r w:rsidR="00AB1468" w:rsidRPr="00DF434B">
              <w:rPr>
                <w:rFonts w:ascii="Times New Roman" w:eastAsia="Times New Roman" w:hAnsi="Times New Roman" w:cs="Times New Roman"/>
                <w:i/>
                <w:sz w:val="24"/>
                <w:szCs w:val="24"/>
              </w:rPr>
              <w:t>.</w:t>
            </w:r>
            <w:r w:rsidRPr="00DF434B">
              <w:rPr>
                <w:rFonts w:ascii="Times New Roman" w:eastAsia="Times New Roman" w:hAnsi="Times New Roman" w:cs="Times New Roman"/>
                <w:i/>
                <w:sz w:val="24"/>
                <w:szCs w:val="24"/>
              </w:rPr>
              <w:t>punkts</w:t>
            </w:r>
            <w:r w:rsidRPr="00961EBB">
              <w:rPr>
                <w:rFonts w:ascii="Times New Roman" w:eastAsia="Times New Roman" w:hAnsi="Times New Roman" w:cs="Times New Roman"/>
                <w:sz w:val="24"/>
                <w:szCs w:val="24"/>
              </w:rPr>
              <w:t>).</w:t>
            </w:r>
          </w:p>
          <w:p w14:paraId="5E94B401" w14:textId="77777777" w:rsidR="009115FF" w:rsidRPr="00DF434B" w:rsidRDefault="009115FF" w:rsidP="00514C04">
            <w:pPr>
              <w:spacing w:after="0" w:line="240" w:lineRule="auto"/>
              <w:ind w:firstLine="471"/>
              <w:jc w:val="both"/>
              <w:rPr>
                <w:rFonts w:ascii="Times New Roman" w:eastAsia="Times New Roman" w:hAnsi="Times New Roman" w:cs="Times New Roman"/>
                <w:sz w:val="24"/>
                <w:szCs w:val="24"/>
              </w:rPr>
            </w:pPr>
          </w:p>
          <w:p w14:paraId="0B904D65" w14:textId="3FC52E0F" w:rsidR="00C87C4E" w:rsidRPr="00DF434B" w:rsidRDefault="00C87C4E" w:rsidP="00982454">
            <w:pPr>
              <w:spacing w:after="0" w:line="240" w:lineRule="auto"/>
              <w:ind w:firstLine="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D0587" w:rsidRPr="00DF434B">
              <w:rPr>
                <w:rFonts w:ascii="Times New Roman" w:eastAsia="Times New Roman" w:hAnsi="Times New Roman" w:cs="Times New Roman"/>
                <w:sz w:val="24"/>
                <w:szCs w:val="24"/>
              </w:rPr>
              <w:t>.</w:t>
            </w:r>
            <w:r w:rsidR="00FE74D6" w:rsidRPr="00DF434B">
              <w:rPr>
                <w:rFonts w:ascii="Times New Roman" w:hAnsi="Times New Roman" w:cs="Times New Roman"/>
                <w:sz w:val="24"/>
                <w:szCs w:val="24"/>
              </w:rPr>
              <w:t xml:space="preserve"> Lai nodrošinātu vienotu izpratni par informāciju, kura</w:t>
            </w:r>
            <w:r w:rsidR="00602F18" w:rsidRPr="00DF434B">
              <w:rPr>
                <w:rFonts w:ascii="Times New Roman" w:hAnsi="Times New Roman" w:cs="Times New Roman"/>
                <w:sz w:val="24"/>
                <w:szCs w:val="24"/>
              </w:rPr>
              <w:t xml:space="preserve"> apkalpojošiem dienestiem</w:t>
            </w:r>
            <w:r w:rsidR="00FE74D6" w:rsidRPr="00DF434B">
              <w:rPr>
                <w:rFonts w:ascii="Times New Roman" w:hAnsi="Times New Roman" w:cs="Times New Roman"/>
                <w:sz w:val="24"/>
                <w:szCs w:val="24"/>
              </w:rPr>
              <w:t xml:space="preserve"> ir jāiesniedz</w:t>
            </w:r>
            <w:r w:rsidR="00FE74D6" w:rsidRPr="00DF434B">
              <w:rPr>
                <w:rFonts w:ascii="Times New Roman" w:eastAsia="Times New Roman" w:hAnsi="Times New Roman" w:cs="Times New Roman"/>
                <w:sz w:val="24"/>
                <w:szCs w:val="24"/>
              </w:rPr>
              <w:t xml:space="preserve"> </w:t>
            </w:r>
            <w:r w:rsidR="00602F18" w:rsidRPr="00DF434B">
              <w:rPr>
                <w:rFonts w:ascii="Times New Roman" w:eastAsia="Times New Roman" w:hAnsi="Times New Roman" w:cs="Times New Roman"/>
                <w:sz w:val="24"/>
                <w:szCs w:val="24"/>
              </w:rPr>
              <w:t>VID</w:t>
            </w:r>
            <w:r w:rsidR="00FE74D6" w:rsidRPr="00DF434B">
              <w:rPr>
                <w:rFonts w:ascii="Times New Roman" w:eastAsia="Times New Roman" w:hAnsi="Times New Roman" w:cs="Times New Roman"/>
                <w:sz w:val="24"/>
                <w:szCs w:val="24"/>
              </w:rPr>
              <w:t xml:space="preserve">, reģistrējot </w:t>
            </w:r>
            <w:r w:rsidR="00244B29" w:rsidRPr="00DF434B">
              <w:rPr>
                <w:rFonts w:ascii="Times New Roman" w:eastAsia="Times New Roman" w:hAnsi="Times New Roman" w:cs="Times New Roman"/>
                <w:sz w:val="24"/>
                <w:szCs w:val="24"/>
              </w:rPr>
              <w:t xml:space="preserve">elektroniskās </w:t>
            </w:r>
            <w:r w:rsidR="00FE74D6" w:rsidRPr="00DF434B">
              <w:rPr>
                <w:rFonts w:ascii="Times New Roman" w:eastAsia="Times New Roman" w:hAnsi="Times New Roman" w:cs="Times New Roman"/>
                <w:sz w:val="24"/>
                <w:szCs w:val="24"/>
              </w:rPr>
              <w:t>ierīces un iekārtas</w:t>
            </w:r>
            <w:r w:rsidR="00615585" w:rsidRPr="00DF434B">
              <w:rPr>
                <w:rFonts w:ascii="Times New Roman" w:eastAsia="Times New Roman" w:hAnsi="Times New Roman" w:cs="Times New Roman"/>
                <w:sz w:val="24"/>
                <w:szCs w:val="24"/>
              </w:rPr>
              <w:t xml:space="preserve"> modeli </w:t>
            </w:r>
            <w:r w:rsidR="003E42B8">
              <w:rPr>
                <w:rFonts w:ascii="Times New Roman" w:eastAsia="Times New Roman" w:hAnsi="Times New Roman" w:cs="Times New Roman"/>
                <w:sz w:val="24"/>
                <w:szCs w:val="24"/>
              </w:rPr>
              <w:t>(</w:t>
            </w:r>
            <w:r w:rsidR="00D709FB" w:rsidRPr="00DF434B">
              <w:rPr>
                <w:rFonts w:ascii="Times New Roman" w:eastAsia="Times New Roman" w:hAnsi="Times New Roman" w:cs="Times New Roman"/>
                <w:sz w:val="24"/>
                <w:szCs w:val="24"/>
              </w:rPr>
              <w:t>modifikāciju</w:t>
            </w:r>
            <w:r w:rsidR="003E42B8">
              <w:rPr>
                <w:rFonts w:ascii="Times New Roman" w:eastAsia="Times New Roman" w:hAnsi="Times New Roman" w:cs="Times New Roman"/>
                <w:sz w:val="24"/>
                <w:szCs w:val="24"/>
              </w:rPr>
              <w:t>)</w:t>
            </w:r>
            <w:r w:rsidR="00D709FB" w:rsidRPr="00DF434B">
              <w:rPr>
                <w:rFonts w:ascii="Times New Roman" w:eastAsia="Times New Roman" w:hAnsi="Times New Roman" w:cs="Times New Roman"/>
                <w:sz w:val="24"/>
                <w:szCs w:val="24"/>
              </w:rPr>
              <w:t>, ir redakcionāli</w:t>
            </w:r>
            <w:r w:rsidR="00FE74D6" w:rsidRPr="00DF434B">
              <w:rPr>
                <w:rFonts w:ascii="Times New Roman" w:eastAsia="Times New Roman" w:hAnsi="Times New Roman" w:cs="Times New Roman"/>
                <w:sz w:val="24"/>
                <w:szCs w:val="24"/>
              </w:rPr>
              <w:t xml:space="preserve"> precizēt</w:t>
            </w:r>
            <w:r w:rsidR="00D709FB" w:rsidRPr="00DF434B">
              <w:rPr>
                <w:rFonts w:ascii="Times New Roman" w:eastAsia="Times New Roman" w:hAnsi="Times New Roman" w:cs="Times New Roman"/>
                <w:sz w:val="24"/>
                <w:szCs w:val="24"/>
              </w:rPr>
              <w:t>s</w:t>
            </w:r>
            <w:r w:rsidR="00FE74D6" w:rsidRPr="00DF434B">
              <w:rPr>
                <w:rFonts w:ascii="Times New Roman" w:eastAsia="Times New Roman" w:hAnsi="Times New Roman" w:cs="Times New Roman"/>
                <w:sz w:val="24"/>
                <w:szCs w:val="24"/>
              </w:rPr>
              <w:t xml:space="preserve"> Ministru kabineta noteikumu Nr.96 129.</w:t>
            </w:r>
            <w:r w:rsidR="00FE74D6" w:rsidRPr="00DF434B">
              <w:rPr>
                <w:rFonts w:ascii="Times New Roman" w:eastAsia="Times New Roman" w:hAnsi="Times New Roman" w:cs="Times New Roman"/>
                <w:sz w:val="24"/>
                <w:szCs w:val="24"/>
                <w:vertAlign w:val="superscript"/>
              </w:rPr>
              <w:t>4</w:t>
            </w:r>
            <w:r w:rsidR="00FE74D6" w:rsidRPr="00DF434B">
              <w:rPr>
                <w:rFonts w:ascii="Times New Roman" w:eastAsia="Times New Roman" w:hAnsi="Times New Roman" w:cs="Times New Roman"/>
                <w:sz w:val="24"/>
                <w:szCs w:val="24"/>
              </w:rPr>
              <w:t xml:space="preserve"> un 129.</w:t>
            </w:r>
            <w:r w:rsidR="00FE74D6" w:rsidRPr="00DF434B">
              <w:rPr>
                <w:rFonts w:ascii="Times New Roman" w:eastAsia="Times New Roman" w:hAnsi="Times New Roman" w:cs="Times New Roman"/>
                <w:sz w:val="24"/>
                <w:szCs w:val="24"/>
                <w:vertAlign w:val="superscript"/>
              </w:rPr>
              <w:t>5</w:t>
            </w:r>
            <w:r w:rsidR="00A4444F" w:rsidRPr="00DF434B">
              <w:rPr>
                <w:rFonts w:ascii="Times New Roman" w:eastAsia="Times New Roman" w:hAnsi="Times New Roman" w:cs="Times New Roman"/>
                <w:sz w:val="24"/>
                <w:szCs w:val="24"/>
              </w:rPr>
              <w:t>punkts.</w:t>
            </w:r>
            <w:r w:rsidR="00D709FB" w:rsidRPr="00DF434B">
              <w:rPr>
                <w:rFonts w:ascii="Times New Roman" w:eastAsia="Times New Roman" w:hAnsi="Times New Roman" w:cs="Times New Roman"/>
                <w:sz w:val="24"/>
                <w:szCs w:val="24"/>
              </w:rPr>
              <w:t xml:space="preserve"> </w:t>
            </w:r>
            <w:r w:rsidR="000443A8">
              <w:rPr>
                <w:rFonts w:ascii="Times New Roman" w:eastAsia="Times New Roman" w:hAnsi="Times New Roman" w:cs="Times New Roman"/>
                <w:sz w:val="24"/>
                <w:szCs w:val="24"/>
              </w:rPr>
              <w:t>Tādē</w:t>
            </w:r>
            <w:r w:rsidR="00A460AD">
              <w:rPr>
                <w:rFonts w:ascii="Times New Roman" w:eastAsia="Times New Roman" w:hAnsi="Times New Roman" w:cs="Times New Roman"/>
                <w:sz w:val="24"/>
                <w:szCs w:val="24"/>
              </w:rPr>
              <w:t>jādi</w:t>
            </w:r>
            <w:r w:rsidR="00702EF8" w:rsidRPr="00DF434B">
              <w:rPr>
                <w:rFonts w:ascii="Times New Roman" w:eastAsia="Times New Roman" w:hAnsi="Times New Roman" w:cs="Times New Roman"/>
                <w:sz w:val="24"/>
                <w:szCs w:val="24"/>
              </w:rPr>
              <w:t xml:space="preserve"> </w:t>
            </w:r>
            <w:r w:rsidR="00A4444F" w:rsidRPr="00DF434B">
              <w:rPr>
                <w:rFonts w:ascii="Times New Roman" w:eastAsia="Times New Roman" w:hAnsi="Times New Roman" w:cs="Times New Roman"/>
                <w:sz w:val="24"/>
                <w:szCs w:val="24"/>
              </w:rPr>
              <w:t xml:space="preserve">viennozīmīgi </w:t>
            </w:r>
            <w:r w:rsidR="001F6344">
              <w:rPr>
                <w:rFonts w:ascii="Times New Roman" w:eastAsia="Times New Roman" w:hAnsi="Times New Roman" w:cs="Times New Roman"/>
                <w:sz w:val="24"/>
                <w:szCs w:val="24"/>
              </w:rPr>
              <w:t>nosakot</w:t>
            </w:r>
            <w:r w:rsidR="00D709FB" w:rsidRPr="00DF434B">
              <w:rPr>
                <w:rFonts w:ascii="Times New Roman" w:eastAsia="Times New Roman" w:hAnsi="Times New Roman" w:cs="Times New Roman"/>
                <w:sz w:val="24"/>
                <w:szCs w:val="24"/>
              </w:rPr>
              <w:t>, ka</w:t>
            </w:r>
            <w:r w:rsidR="00765E9D">
              <w:rPr>
                <w:rFonts w:ascii="Times New Roman" w:eastAsia="Times New Roman" w:hAnsi="Times New Roman" w:cs="Times New Roman"/>
                <w:sz w:val="24"/>
                <w:szCs w:val="24"/>
              </w:rPr>
              <w:t>,</w:t>
            </w:r>
            <w:r w:rsidR="00D709FB" w:rsidRPr="00DF434B">
              <w:rPr>
                <w:rFonts w:ascii="Times New Roman" w:eastAsia="Times New Roman" w:hAnsi="Times New Roman" w:cs="Times New Roman"/>
                <w:sz w:val="24"/>
                <w:szCs w:val="24"/>
              </w:rPr>
              <w:t xml:space="preserve"> reģistrējot VID </w:t>
            </w:r>
            <w:r w:rsidR="00D33668" w:rsidRPr="00DF434B">
              <w:rPr>
                <w:rFonts w:ascii="Times New Roman" w:eastAsia="Times New Roman" w:hAnsi="Times New Roman" w:cs="Times New Roman"/>
                <w:sz w:val="24"/>
                <w:szCs w:val="24"/>
              </w:rPr>
              <w:t xml:space="preserve">elektroniskās </w:t>
            </w:r>
            <w:r w:rsidR="00D709FB" w:rsidRPr="00DF434B">
              <w:rPr>
                <w:rFonts w:ascii="Times New Roman" w:eastAsia="Times New Roman" w:hAnsi="Times New Roman" w:cs="Times New Roman"/>
                <w:sz w:val="24"/>
                <w:szCs w:val="24"/>
              </w:rPr>
              <w:t xml:space="preserve">ierīces vai iekārtas modeli </w:t>
            </w:r>
            <w:r w:rsidR="006F5B66">
              <w:rPr>
                <w:rFonts w:ascii="Times New Roman" w:eastAsia="Times New Roman" w:hAnsi="Times New Roman" w:cs="Times New Roman"/>
                <w:sz w:val="24"/>
                <w:szCs w:val="24"/>
              </w:rPr>
              <w:t>(</w:t>
            </w:r>
            <w:r w:rsidR="00D709FB" w:rsidRPr="00DF434B">
              <w:rPr>
                <w:rFonts w:ascii="Times New Roman" w:eastAsia="Times New Roman" w:hAnsi="Times New Roman" w:cs="Times New Roman"/>
                <w:sz w:val="24"/>
                <w:szCs w:val="24"/>
              </w:rPr>
              <w:t>modifikāciju</w:t>
            </w:r>
            <w:r w:rsidR="006F5B66">
              <w:rPr>
                <w:rFonts w:ascii="Times New Roman" w:eastAsia="Times New Roman" w:hAnsi="Times New Roman" w:cs="Times New Roman"/>
                <w:sz w:val="24"/>
                <w:szCs w:val="24"/>
              </w:rPr>
              <w:t>)</w:t>
            </w:r>
            <w:r w:rsidR="00D709FB" w:rsidRPr="00DF434B">
              <w:rPr>
                <w:rFonts w:ascii="Times New Roman" w:eastAsia="Times New Roman" w:hAnsi="Times New Roman" w:cs="Times New Roman"/>
                <w:sz w:val="24"/>
                <w:szCs w:val="24"/>
              </w:rPr>
              <w:t>, apkalpojoša</w:t>
            </w:r>
            <w:r w:rsidR="00A4444F" w:rsidRPr="00DF434B">
              <w:rPr>
                <w:rFonts w:ascii="Times New Roman" w:eastAsia="Times New Roman" w:hAnsi="Times New Roman" w:cs="Times New Roman"/>
                <w:sz w:val="24"/>
                <w:szCs w:val="24"/>
              </w:rPr>
              <w:t>jam dienestam ir jāiesniedz arī</w:t>
            </w:r>
            <w:r w:rsidR="00D709FB" w:rsidRPr="00DF434B">
              <w:rPr>
                <w:rFonts w:ascii="Times New Roman" w:eastAsia="Times New Roman" w:hAnsi="Times New Roman" w:cs="Times New Roman"/>
                <w:sz w:val="24"/>
                <w:szCs w:val="24"/>
              </w:rPr>
              <w:t xml:space="preserve"> </w:t>
            </w:r>
            <w:r w:rsidR="000B577D" w:rsidRPr="00DF434B">
              <w:rPr>
                <w:rFonts w:ascii="Times New Roman" w:eastAsia="Times New Roman" w:hAnsi="Times New Roman" w:cs="Times New Roman"/>
                <w:sz w:val="24"/>
                <w:szCs w:val="24"/>
              </w:rPr>
              <w:t xml:space="preserve">reģistrētās </w:t>
            </w:r>
            <w:r w:rsidR="00D709FB" w:rsidRPr="00DF434B">
              <w:rPr>
                <w:rFonts w:ascii="Times New Roman" w:eastAsia="Times New Roman" w:hAnsi="Times New Roman" w:cs="Times New Roman"/>
                <w:sz w:val="24"/>
                <w:szCs w:val="24"/>
              </w:rPr>
              <w:lastRenderedPageBreak/>
              <w:t xml:space="preserve">programmas izpildkods un pēc VID pieprasījuma 24 stundu laikā jāiesniedz </w:t>
            </w:r>
            <w:r w:rsidR="000B577D" w:rsidRPr="00DF434B">
              <w:rPr>
                <w:rFonts w:ascii="Times New Roman" w:eastAsia="Times New Roman" w:hAnsi="Times New Roman" w:cs="Times New Roman"/>
                <w:sz w:val="24"/>
                <w:szCs w:val="24"/>
              </w:rPr>
              <w:t xml:space="preserve">reģistrētās </w:t>
            </w:r>
            <w:r w:rsidR="00D709FB" w:rsidRPr="00DF434B">
              <w:rPr>
                <w:rFonts w:ascii="Times New Roman" w:eastAsia="Times New Roman" w:hAnsi="Times New Roman" w:cs="Times New Roman"/>
                <w:sz w:val="24"/>
                <w:szCs w:val="24"/>
              </w:rPr>
              <w:t xml:space="preserve">programmas pirmkods </w:t>
            </w:r>
            <w:r w:rsidR="00D34513" w:rsidRPr="00DF434B">
              <w:rPr>
                <w:rFonts w:ascii="Times New Roman" w:eastAsia="Times New Roman" w:hAnsi="Times New Roman" w:cs="Times New Roman"/>
                <w:sz w:val="24"/>
                <w:szCs w:val="24"/>
              </w:rPr>
              <w:t>(</w:t>
            </w:r>
            <w:r w:rsidR="00D34513" w:rsidRPr="00DF434B">
              <w:rPr>
                <w:rFonts w:ascii="Times New Roman" w:eastAsia="Times New Roman" w:hAnsi="Times New Roman" w:cs="Times New Roman"/>
                <w:i/>
                <w:sz w:val="24"/>
                <w:szCs w:val="24"/>
              </w:rPr>
              <w:t>noteikumu</w:t>
            </w:r>
            <w:r w:rsidR="00FD23AB" w:rsidRPr="00DF434B">
              <w:rPr>
                <w:rFonts w:ascii="Times New Roman" w:eastAsia="Times New Roman" w:hAnsi="Times New Roman" w:cs="Times New Roman"/>
                <w:i/>
                <w:sz w:val="24"/>
                <w:szCs w:val="24"/>
              </w:rPr>
              <w:t xml:space="preserve"> projekta</w:t>
            </w:r>
            <w:r w:rsidR="00AB1468" w:rsidRPr="00DF434B">
              <w:rPr>
                <w:rFonts w:ascii="Times New Roman" w:eastAsia="Times New Roman" w:hAnsi="Times New Roman" w:cs="Times New Roman"/>
                <w:i/>
                <w:sz w:val="24"/>
                <w:szCs w:val="24"/>
              </w:rPr>
              <w:t xml:space="preserve"> </w:t>
            </w:r>
            <w:r w:rsidR="001203CC">
              <w:rPr>
                <w:rFonts w:ascii="Times New Roman" w:eastAsia="Times New Roman" w:hAnsi="Times New Roman" w:cs="Times New Roman"/>
                <w:i/>
                <w:sz w:val="24"/>
                <w:szCs w:val="24"/>
              </w:rPr>
              <w:t>30</w:t>
            </w:r>
            <w:r w:rsidR="00AB1468" w:rsidRPr="00202D86">
              <w:rPr>
                <w:rFonts w:ascii="Times New Roman" w:eastAsia="Times New Roman" w:hAnsi="Times New Roman" w:cs="Times New Roman"/>
                <w:i/>
                <w:sz w:val="24"/>
                <w:szCs w:val="24"/>
              </w:rPr>
              <w:t xml:space="preserve">. un </w:t>
            </w:r>
            <w:r w:rsidR="002846F1">
              <w:rPr>
                <w:rFonts w:ascii="Times New Roman" w:eastAsia="Times New Roman" w:hAnsi="Times New Roman" w:cs="Times New Roman"/>
                <w:i/>
                <w:sz w:val="24"/>
                <w:szCs w:val="24"/>
              </w:rPr>
              <w:t>3</w:t>
            </w:r>
            <w:r w:rsidR="001203CC">
              <w:rPr>
                <w:rFonts w:ascii="Times New Roman" w:eastAsia="Times New Roman" w:hAnsi="Times New Roman" w:cs="Times New Roman"/>
                <w:i/>
                <w:sz w:val="24"/>
                <w:szCs w:val="24"/>
              </w:rPr>
              <w:t>1</w:t>
            </w:r>
            <w:r w:rsidR="00AB1468" w:rsidRPr="00202D86">
              <w:rPr>
                <w:rFonts w:ascii="Times New Roman" w:eastAsia="Times New Roman" w:hAnsi="Times New Roman" w:cs="Times New Roman"/>
                <w:i/>
                <w:sz w:val="24"/>
                <w:szCs w:val="24"/>
              </w:rPr>
              <w:t>.punkts</w:t>
            </w:r>
            <w:r w:rsidR="00D34513" w:rsidRPr="00DF434B">
              <w:rPr>
                <w:rFonts w:ascii="Times New Roman" w:eastAsia="Times New Roman" w:hAnsi="Times New Roman" w:cs="Times New Roman"/>
                <w:sz w:val="24"/>
                <w:szCs w:val="24"/>
              </w:rPr>
              <w:t>)</w:t>
            </w:r>
            <w:r w:rsidR="00FE74D6" w:rsidRPr="00DF434B">
              <w:rPr>
                <w:rFonts w:ascii="Times New Roman" w:eastAsia="Times New Roman" w:hAnsi="Times New Roman" w:cs="Times New Roman"/>
                <w:sz w:val="24"/>
                <w:szCs w:val="24"/>
              </w:rPr>
              <w:t>.</w:t>
            </w:r>
          </w:p>
          <w:p w14:paraId="4DAE76E0" w14:textId="77777777" w:rsidR="00095FF0" w:rsidRPr="00DF434B" w:rsidRDefault="00095FF0" w:rsidP="00514C04">
            <w:pPr>
              <w:spacing w:after="0" w:line="240" w:lineRule="auto"/>
              <w:ind w:firstLine="409"/>
              <w:jc w:val="both"/>
              <w:rPr>
                <w:rFonts w:ascii="Times New Roman" w:eastAsia="Times New Roman" w:hAnsi="Times New Roman" w:cs="Times New Roman"/>
                <w:sz w:val="24"/>
                <w:szCs w:val="24"/>
              </w:rPr>
            </w:pPr>
          </w:p>
          <w:p w14:paraId="15618F11" w14:textId="08369FCA" w:rsidR="002607A3" w:rsidRPr="00B963B8" w:rsidRDefault="00C87C4E" w:rsidP="00976DD2">
            <w:pPr>
              <w:spacing w:after="0" w:line="240" w:lineRule="auto"/>
              <w:ind w:firstLine="409"/>
              <w:jc w:val="both"/>
              <w:rPr>
                <w:rFonts w:ascii="Times New Roman" w:hAnsi="Times New Roman" w:cs="Times New Roman"/>
                <w:bCs/>
                <w:sz w:val="24"/>
                <w:szCs w:val="24"/>
                <w:lang w:eastAsia="lv-LV"/>
              </w:rPr>
            </w:pPr>
            <w:r>
              <w:rPr>
                <w:rFonts w:ascii="Times New Roman" w:eastAsia="Times New Roman" w:hAnsi="Times New Roman" w:cs="Times New Roman"/>
                <w:sz w:val="24"/>
                <w:szCs w:val="24"/>
              </w:rPr>
              <w:t>7</w:t>
            </w:r>
            <w:r w:rsidR="00C3135A" w:rsidRPr="00DF434B">
              <w:rPr>
                <w:rFonts w:ascii="Times New Roman" w:eastAsia="Times New Roman" w:hAnsi="Times New Roman" w:cs="Times New Roman"/>
                <w:sz w:val="24"/>
                <w:szCs w:val="24"/>
              </w:rPr>
              <w:t xml:space="preserve">. </w:t>
            </w:r>
            <w:r w:rsidR="006A521C" w:rsidRPr="00155815">
              <w:rPr>
                <w:rFonts w:ascii="Times New Roman" w:hAnsi="Times New Roman" w:cs="Times New Roman"/>
                <w:sz w:val="24"/>
                <w:szCs w:val="24"/>
              </w:rPr>
              <w:t>2017.gada aprī</w:t>
            </w:r>
            <w:r w:rsidR="00A460AD">
              <w:rPr>
                <w:rFonts w:ascii="Times New Roman" w:hAnsi="Times New Roman" w:cs="Times New Roman"/>
                <w:sz w:val="24"/>
                <w:szCs w:val="24"/>
              </w:rPr>
              <w:t>lī</w:t>
            </w:r>
            <w:r w:rsidR="006A521C" w:rsidRPr="000536E1">
              <w:rPr>
                <w:rFonts w:ascii="Times New Roman" w:hAnsi="Times New Roman" w:cs="Times New Roman"/>
                <w:sz w:val="24"/>
                <w:szCs w:val="24"/>
              </w:rPr>
              <w:t xml:space="preserve"> un maij</w:t>
            </w:r>
            <w:r w:rsidR="00A460AD">
              <w:rPr>
                <w:rFonts w:ascii="Times New Roman" w:hAnsi="Times New Roman" w:cs="Times New Roman"/>
                <w:sz w:val="24"/>
                <w:szCs w:val="24"/>
              </w:rPr>
              <w:t>ā</w:t>
            </w:r>
            <w:r w:rsidR="006A521C" w:rsidRPr="000536E1">
              <w:rPr>
                <w:rFonts w:ascii="Times New Roman" w:hAnsi="Times New Roman" w:cs="Times New Roman"/>
                <w:sz w:val="24"/>
                <w:szCs w:val="24"/>
              </w:rPr>
              <w:t xml:space="preserve"> </w:t>
            </w:r>
            <w:r w:rsidR="00765E9D">
              <w:rPr>
                <w:rFonts w:ascii="Times New Roman" w:hAnsi="Times New Roman" w:cs="Times New Roman"/>
                <w:sz w:val="24"/>
                <w:szCs w:val="24"/>
              </w:rPr>
              <w:t xml:space="preserve">VID </w:t>
            </w:r>
            <w:r w:rsidR="006A521C" w:rsidRPr="000536E1">
              <w:rPr>
                <w:rFonts w:ascii="Times New Roman" w:hAnsi="Times New Roman" w:cs="Times New Roman"/>
                <w:sz w:val="24"/>
                <w:szCs w:val="24"/>
              </w:rPr>
              <w:t>kases apar</w:t>
            </w:r>
            <w:r w:rsidR="006A521C" w:rsidRPr="00C912B4">
              <w:rPr>
                <w:rFonts w:ascii="Times New Roman" w:hAnsi="Times New Roman" w:cs="Times New Roman"/>
                <w:sz w:val="24"/>
                <w:szCs w:val="24"/>
              </w:rPr>
              <w:t>ātu modeļ</w:t>
            </w:r>
            <w:r w:rsidR="00765E9D">
              <w:rPr>
                <w:rFonts w:ascii="Times New Roman" w:hAnsi="Times New Roman" w:cs="Times New Roman"/>
                <w:sz w:val="24"/>
                <w:szCs w:val="24"/>
              </w:rPr>
              <w:t xml:space="preserve">us </w:t>
            </w:r>
            <w:r w:rsidR="00765E9D" w:rsidRPr="003C28C8">
              <w:rPr>
                <w:rFonts w:ascii="Times New Roman" w:hAnsi="Times New Roman" w:cs="Times New Roman"/>
                <w:i/>
                <w:sz w:val="24"/>
                <w:szCs w:val="24"/>
              </w:rPr>
              <w:t xml:space="preserve"> </w:t>
            </w:r>
            <w:r w:rsidR="00C12706">
              <w:rPr>
                <w:rFonts w:ascii="Times New Roman" w:hAnsi="Times New Roman" w:cs="Times New Roman"/>
                <w:i/>
                <w:sz w:val="24"/>
                <w:szCs w:val="24"/>
              </w:rPr>
              <w:t xml:space="preserve">- </w:t>
            </w:r>
            <w:r w:rsidR="00765E9D" w:rsidRPr="003C28C8">
              <w:rPr>
                <w:rFonts w:ascii="Times New Roman" w:hAnsi="Times New Roman" w:cs="Times New Roman"/>
                <w:i/>
                <w:sz w:val="24"/>
                <w:szCs w:val="24"/>
              </w:rPr>
              <w:t>CHD</w:t>
            </w:r>
            <w:r w:rsidR="00765E9D">
              <w:rPr>
                <w:rFonts w:ascii="Times New Roman" w:hAnsi="Times New Roman" w:cs="Times New Roman"/>
                <w:sz w:val="24"/>
                <w:szCs w:val="24"/>
              </w:rPr>
              <w:t xml:space="preserve"> 2050 3.62.0, </w:t>
            </w:r>
            <w:r w:rsidR="00765E9D" w:rsidRPr="003C28C8">
              <w:rPr>
                <w:rFonts w:ascii="Times New Roman" w:hAnsi="Times New Roman" w:cs="Times New Roman"/>
                <w:i/>
                <w:sz w:val="24"/>
                <w:szCs w:val="24"/>
              </w:rPr>
              <w:t>CHD</w:t>
            </w:r>
            <w:r w:rsidR="00765E9D">
              <w:rPr>
                <w:rFonts w:ascii="Times New Roman" w:hAnsi="Times New Roman" w:cs="Times New Roman"/>
                <w:sz w:val="24"/>
                <w:szCs w:val="24"/>
              </w:rPr>
              <w:t xml:space="preserve"> 3030 3</w:t>
            </w:r>
            <w:r w:rsidR="00773102">
              <w:rPr>
                <w:rFonts w:ascii="Times New Roman" w:hAnsi="Times New Roman" w:cs="Times New Roman"/>
                <w:sz w:val="24"/>
                <w:szCs w:val="24"/>
              </w:rPr>
              <w:t>.</w:t>
            </w:r>
            <w:r w:rsidR="00765E9D">
              <w:rPr>
                <w:rFonts w:ascii="Times New Roman" w:hAnsi="Times New Roman" w:cs="Times New Roman"/>
                <w:sz w:val="24"/>
                <w:szCs w:val="24"/>
              </w:rPr>
              <w:t>62</w:t>
            </w:r>
            <w:r w:rsidR="00773102">
              <w:rPr>
                <w:rFonts w:ascii="Times New Roman" w:hAnsi="Times New Roman" w:cs="Times New Roman"/>
                <w:sz w:val="24"/>
                <w:szCs w:val="24"/>
              </w:rPr>
              <w:t>.</w:t>
            </w:r>
            <w:r w:rsidR="00765E9D">
              <w:rPr>
                <w:rFonts w:ascii="Times New Roman" w:hAnsi="Times New Roman" w:cs="Times New Roman"/>
                <w:sz w:val="24"/>
                <w:szCs w:val="24"/>
              </w:rPr>
              <w:t xml:space="preserve">1, </w:t>
            </w:r>
            <w:r w:rsidR="00765E9D" w:rsidRPr="003C28C8">
              <w:rPr>
                <w:rFonts w:ascii="Times New Roman" w:hAnsi="Times New Roman" w:cs="Times New Roman"/>
                <w:i/>
                <w:sz w:val="24"/>
                <w:szCs w:val="24"/>
              </w:rPr>
              <w:t>CHD</w:t>
            </w:r>
            <w:r w:rsidR="00765E9D">
              <w:rPr>
                <w:rFonts w:ascii="Times New Roman" w:hAnsi="Times New Roman" w:cs="Times New Roman"/>
                <w:sz w:val="24"/>
                <w:szCs w:val="24"/>
              </w:rPr>
              <w:t xml:space="preserve"> 3050 3.62.0, </w:t>
            </w:r>
            <w:r w:rsidR="00765E9D" w:rsidRPr="003C28C8">
              <w:rPr>
                <w:rFonts w:ascii="Times New Roman" w:hAnsi="Times New Roman" w:cs="Times New Roman"/>
                <w:i/>
                <w:sz w:val="24"/>
                <w:szCs w:val="24"/>
              </w:rPr>
              <w:t>CHD</w:t>
            </w:r>
            <w:r w:rsidR="00765E9D">
              <w:rPr>
                <w:rFonts w:ascii="Times New Roman" w:hAnsi="Times New Roman" w:cs="Times New Roman"/>
                <w:sz w:val="24"/>
                <w:szCs w:val="24"/>
              </w:rPr>
              <w:t xml:space="preserve"> 3050U 3.62.0, </w:t>
            </w:r>
            <w:r w:rsidR="00765E9D" w:rsidRPr="003C28C8">
              <w:rPr>
                <w:rFonts w:ascii="Times New Roman" w:hAnsi="Times New Roman" w:cs="Times New Roman"/>
                <w:i/>
                <w:sz w:val="24"/>
                <w:szCs w:val="24"/>
              </w:rPr>
              <w:t>CHD</w:t>
            </w:r>
            <w:r w:rsidR="00765E9D">
              <w:rPr>
                <w:rFonts w:ascii="Times New Roman" w:hAnsi="Times New Roman" w:cs="Times New Roman"/>
                <w:sz w:val="24"/>
                <w:szCs w:val="24"/>
              </w:rPr>
              <w:t xml:space="preserve"> 3850 3</w:t>
            </w:r>
            <w:r w:rsidR="00773102">
              <w:rPr>
                <w:rFonts w:ascii="Times New Roman" w:hAnsi="Times New Roman" w:cs="Times New Roman"/>
                <w:sz w:val="24"/>
                <w:szCs w:val="24"/>
              </w:rPr>
              <w:t>.</w:t>
            </w:r>
            <w:r w:rsidR="00765E9D">
              <w:rPr>
                <w:rFonts w:ascii="Times New Roman" w:hAnsi="Times New Roman" w:cs="Times New Roman"/>
                <w:sz w:val="24"/>
                <w:szCs w:val="24"/>
              </w:rPr>
              <w:t>62</w:t>
            </w:r>
            <w:r w:rsidR="00773102">
              <w:rPr>
                <w:rFonts w:ascii="Times New Roman" w:hAnsi="Times New Roman" w:cs="Times New Roman"/>
                <w:sz w:val="24"/>
                <w:szCs w:val="24"/>
              </w:rPr>
              <w:t>.</w:t>
            </w:r>
            <w:r w:rsidR="00765E9D">
              <w:rPr>
                <w:rFonts w:ascii="Times New Roman" w:hAnsi="Times New Roman" w:cs="Times New Roman"/>
                <w:sz w:val="24"/>
                <w:szCs w:val="24"/>
              </w:rPr>
              <w:t xml:space="preserve">0 un </w:t>
            </w:r>
            <w:r w:rsidR="00765E9D" w:rsidRPr="003C28C8">
              <w:rPr>
                <w:rFonts w:ascii="Times New Roman" w:hAnsi="Times New Roman" w:cs="Times New Roman"/>
                <w:i/>
                <w:sz w:val="24"/>
                <w:szCs w:val="24"/>
              </w:rPr>
              <w:t>CHD</w:t>
            </w:r>
            <w:r w:rsidR="00765E9D">
              <w:rPr>
                <w:rFonts w:ascii="Times New Roman" w:hAnsi="Times New Roman" w:cs="Times New Roman"/>
                <w:sz w:val="24"/>
                <w:szCs w:val="24"/>
              </w:rPr>
              <w:t xml:space="preserve"> 7 3.62.0 </w:t>
            </w:r>
            <w:r w:rsidR="00C12706">
              <w:rPr>
                <w:rFonts w:ascii="Times New Roman" w:hAnsi="Times New Roman" w:cs="Times New Roman"/>
                <w:sz w:val="24"/>
                <w:szCs w:val="24"/>
              </w:rPr>
              <w:t>-</w:t>
            </w:r>
            <w:r w:rsidR="00765E9D">
              <w:rPr>
                <w:rFonts w:ascii="Times New Roman" w:hAnsi="Times New Roman" w:cs="Times New Roman"/>
                <w:sz w:val="24"/>
                <w:szCs w:val="24"/>
              </w:rPr>
              <w:t xml:space="preserve"> </w:t>
            </w:r>
            <w:r w:rsidR="006A521C" w:rsidRPr="00C912B4">
              <w:rPr>
                <w:rFonts w:ascii="Times New Roman" w:hAnsi="Times New Roman" w:cs="Times New Roman"/>
                <w:sz w:val="24"/>
                <w:szCs w:val="24"/>
              </w:rPr>
              <w:t>reģistrē</w:t>
            </w:r>
            <w:r w:rsidR="00765E9D">
              <w:rPr>
                <w:rFonts w:ascii="Times New Roman" w:hAnsi="Times New Roman" w:cs="Times New Roman"/>
                <w:sz w:val="24"/>
                <w:szCs w:val="24"/>
              </w:rPr>
              <w:t>ja</w:t>
            </w:r>
            <w:r w:rsidR="006A521C" w:rsidRPr="00C912B4">
              <w:rPr>
                <w:rFonts w:ascii="Times New Roman" w:hAnsi="Times New Roman" w:cs="Times New Roman"/>
                <w:sz w:val="24"/>
                <w:szCs w:val="24"/>
              </w:rPr>
              <w:t xml:space="preserve"> </w:t>
            </w:r>
            <w:r w:rsidR="00A460AD">
              <w:rPr>
                <w:rFonts w:ascii="Times New Roman" w:hAnsi="Times New Roman" w:cs="Times New Roman"/>
                <w:sz w:val="24"/>
                <w:szCs w:val="24"/>
              </w:rPr>
              <w:t xml:space="preserve">VID </w:t>
            </w:r>
            <w:r w:rsidR="006A521C" w:rsidRPr="00C912B4">
              <w:rPr>
                <w:rFonts w:ascii="Times New Roman" w:hAnsi="Times New Roman" w:cs="Times New Roman"/>
                <w:sz w:val="24"/>
                <w:szCs w:val="24"/>
              </w:rPr>
              <w:t>vienotajā datub</w:t>
            </w:r>
            <w:r w:rsidR="006A521C" w:rsidRPr="00042BC3">
              <w:rPr>
                <w:rFonts w:ascii="Times New Roman" w:hAnsi="Times New Roman" w:cs="Times New Roman"/>
                <w:sz w:val="24"/>
                <w:szCs w:val="24"/>
              </w:rPr>
              <w:t xml:space="preserve">āzē (reģistrā) kā </w:t>
            </w:r>
            <w:r w:rsidR="008E5C7E" w:rsidRPr="003B18B1">
              <w:rPr>
                <w:rFonts w:ascii="Times New Roman" w:hAnsi="Times New Roman" w:cs="Times New Roman"/>
                <w:sz w:val="24"/>
                <w:szCs w:val="24"/>
              </w:rPr>
              <w:t>Ministru kabineta 2014.gada 11.februāra noteikumu Nr.95 “Noteikumi par nodokļu un citu maksājumu reģistrēšanas elektronisko ierīču un iekārtu tehniskajām prasībām”</w:t>
            </w:r>
            <w:r w:rsidR="006A521C" w:rsidRPr="00042BC3">
              <w:rPr>
                <w:rFonts w:ascii="Times New Roman" w:hAnsi="Times New Roman" w:cs="Times New Roman"/>
                <w:sz w:val="24"/>
                <w:szCs w:val="24"/>
              </w:rPr>
              <w:t xml:space="preserve"> tehniska</w:t>
            </w:r>
            <w:r w:rsidR="006A521C" w:rsidRPr="00CA7CC9">
              <w:rPr>
                <w:rFonts w:ascii="Times New Roman" w:hAnsi="Times New Roman" w:cs="Times New Roman"/>
                <w:sz w:val="24"/>
                <w:szCs w:val="24"/>
              </w:rPr>
              <w:t>jām prasībām atbilsto</w:t>
            </w:r>
            <w:r w:rsidR="006A521C" w:rsidRPr="001D11DC">
              <w:rPr>
                <w:rFonts w:ascii="Times New Roman" w:hAnsi="Times New Roman" w:cs="Times New Roman"/>
                <w:sz w:val="24"/>
                <w:szCs w:val="24"/>
              </w:rPr>
              <w:t>š</w:t>
            </w:r>
            <w:r w:rsidR="00765E9D">
              <w:rPr>
                <w:rFonts w:ascii="Times New Roman" w:hAnsi="Times New Roman" w:cs="Times New Roman"/>
                <w:sz w:val="24"/>
                <w:szCs w:val="24"/>
              </w:rPr>
              <w:t>us</w:t>
            </w:r>
            <w:r w:rsidR="006A521C" w:rsidRPr="001D11DC">
              <w:rPr>
                <w:rFonts w:ascii="Times New Roman" w:hAnsi="Times New Roman" w:cs="Times New Roman"/>
                <w:sz w:val="24"/>
                <w:szCs w:val="24"/>
              </w:rPr>
              <w:t>,</w:t>
            </w:r>
            <w:r w:rsidR="00A460AD">
              <w:rPr>
                <w:rFonts w:ascii="Times New Roman" w:hAnsi="Times New Roman" w:cs="Times New Roman"/>
                <w:sz w:val="24"/>
                <w:szCs w:val="24"/>
              </w:rPr>
              <w:t xml:space="preserve"> bet</w:t>
            </w:r>
            <w:r w:rsidR="006A521C" w:rsidRPr="001D11DC">
              <w:rPr>
                <w:rFonts w:ascii="Times New Roman" w:hAnsi="Times New Roman" w:cs="Times New Roman"/>
                <w:sz w:val="24"/>
                <w:szCs w:val="24"/>
              </w:rPr>
              <w:t xml:space="preserve"> </w:t>
            </w:r>
            <w:r w:rsidR="00F50268">
              <w:rPr>
                <w:rFonts w:ascii="Times New Roman" w:hAnsi="Times New Roman" w:cs="Times New Roman"/>
                <w:sz w:val="24"/>
                <w:szCs w:val="24"/>
              </w:rPr>
              <w:t xml:space="preserve">pēc tam tiem </w:t>
            </w:r>
            <w:r w:rsidR="006A521C" w:rsidRPr="001D11DC">
              <w:rPr>
                <w:rFonts w:ascii="Times New Roman" w:hAnsi="Times New Roman" w:cs="Times New Roman"/>
                <w:sz w:val="24"/>
                <w:szCs w:val="24"/>
              </w:rPr>
              <w:t>kontroles pas</w:t>
            </w:r>
            <w:r w:rsidR="006A521C" w:rsidRPr="00155815">
              <w:rPr>
                <w:rFonts w:ascii="Times New Roman" w:hAnsi="Times New Roman" w:cs="Times New Roman"/>
                <w:sz w:val="24"/>
                <w:szCs w:val="24"/>
              </w:rPr>
              <w:t>ākumu rezultātā konstatēja būtiskas tehniskās neatbilstības</w:t>
            </w:r>
            <w:r w:rsidR="00BD7F24">
              <w:rPr>
                <w:rFonts w:ascii="Times New Roman" w:hAnsi="Times New Roman" w:cs="Times New Roman"/>
                <w:sz w:val="24"/>
                <w:szCs w:val="24"/>
              </w:rPr>
              <w:t>, kā arī</w:t>
            </w:r>
            <w:r w:rsidR="006A521C" w:rsidRPr="00155815">
              <w:rPr>
                <w:rFonts w:ascii="Times New Roman" w:hAnsi="Times New Roman" w:cs="Times New Roman"/>
                <w:sz w:val="24"/>
                <w:szCs w:val="24"/>
              </w:rPr>
              <w:t xml:space="preserve"> </w:t>
            </w:r>
            <w:r w:rsidR="00D56C37">
              <w:rPr>
                <w:rFonts w:ascii="Times New Roman" w:hAnsi="Times New Roman" w:cs="Times New Roman"/>
                <w:bCs/>
                <w:sz w:val="24"/>
                <w:szCs w:val="24"/>
                <w:lang w:eastAsia="lv-LV"/>
              </w:rPr>
              <w:t>atbilstības pārbaudes institūcija</w:t>
            </w:r>
            <w:r w:rsidR="006A521C" w:rsidRPr="00B963B8">
              <w:rPr>
                <w:rFonts w:ascii="Times New Roman" w:hAnsi="Times New Roman" w:cs="Times New Roman"/>
                <w:bCs/>
                <w:sz w:val="24"/>
                <w:szCs w:val="24"/>
                <w:lang w:eastAsia="lv-LV"/>
              </w:rPr>
              <w:t xml:space="preserve"> </w:t>
            </w:r>
            <w:r w:rsidR="00765E9D">
              <w:rPr>
                <w:rFonts w:ascii="Times New Roman" w:hAnsi="Times New Roman" w:cs="Times New Roman"/>
                <w:bCs/>
                <w:sz w:val="24"/>
                <w:szCs w:val="24"/>
                <w:lang w:eastAsia="lv-LV"/>
              </w:rPr>
              <w:t>atsauca</w:t>
            </w:r>
            <w:r w:rsidR="00765E9D" w:rsidRPr="00B963B8">
              <w:rPr>
                <w:rFonts w:ascii="Times New Roman" w:hAnsi="Times New Roman" w:cs="Times New Roman"/>
                <w:bCs/>
                <w:sz w:val="24"/>
                <w:szCs w:val="24"/>
                <w:lang w:eastAsia="lv-LV"/>
              </w:rPr>
              <w:t xml:space="preserve"> </w:t>
            </w:r>
            <w:r w:rsidR="00765E9D">
              <w:rPr>
                <w:rFonts w:ascii="Times New Roman" w:hAnsi="Times New Roman" w:cs="Times New Roman"/>
                <w:bCs/>
                <w:sz w:val="24"/>
                <w:szCs w:val="24"/>
                <w:lang w:eastAsia="lv-LV"/>
              </w:rPr>
              <w:t xml:space="preserve">izsniegto </w:t>
            </w:r>
            <w:r w:rsidR="006A521C" w:rsidRPr="00B963B8">
              <w:rPr>
                <w:rFonts w:ascii="Times New Roman" w:hAnsi="Times New Roman" w:cs="Times New Roman"/>
                <w:bCs/>
                <w:sz w:val="24"/>
                <w:szCs w:val="24"/>
                <w:lang w:eastAsia="lv-LV"/>
              </w:rPr>
              <w:t>atbilstības</w:t>
            </w:r>
            <w:r w:rsidR="00976DD2" w:rsidRPr="00B963B8">
              <w:rPr>
                <w:rFonts w:ascii="Times New Roman" w:hAnsi="Times New Roman" w:cs="Times New Roman"/>
                <w:bCs/>
                <w:sz w:val="24"/>
                <w:szCs w:val="24"/>
                <w:lang w:eastAsia="lv-LV"/>
              </w:rPr>
              <w:t xml:space="preserve"> apliecinājumu, kā rezultātā </w:t>
            </w:r>
            <w:r w:rsidR="00BD7F24">
              <w:rPr>
                <w:rFonts w:ascii="Times New Roman" w:hAnsi="Times New Roman" w:cs="Times New Roman"/>
                <w:bCs/>
                <w:sz w:val="24"/>
                <w:szCs w:val="24"/>
                <w:lang w:eastAsia="lv-LV"/>
              </w:rPr>
              <w:t xml:space="preserve">VID </w:t>
            </w:r>
            <w:r w:rsidR="00976DD2" w:rsidRPr="00B963B8">
              <w:rPr>
                <w:rFonts w:ascii="Times New Roman" w:hAnsi="Times New Roman" w:cs="Times New Roman"/>
                <w:bCs/>
                <w:sz w:val="24"/>
                <w:szCs w:val="24"/>
                <w:lang w:eastAsia="lv-LV"/>
              </w:rPr>
              <w:t xml:space="preserve">2018.gada 14.februārī </w:t>
            </w:r>
            <w:r w:rsidR="009640D9">
              <w:rPr>
                <w:rFonts w:ascii="Times New Roman" w:hAnsi="Times New Roman" w:cs="Times New Roman"/>
                <w:bCs/>
                <w:sz w:val="24"/>
                <w:szCs w:val="24"/>
                <w:lang w:eastAsia="lv-LV"/>
              </w:rPr>
              <w:t>t</w:t>
            </w:r>
            <w:r w:rsidR="00BD7F24">
              <w:rPr>
                <w:rFonts w:ascii="Times New Roman" w:hAnsi="Times New Roman" w:cs="Times New Roman"/>
                <w:bCs/>
                <w:sz w:val="24"/>
                <w:szCs w:val="24"/>
                <w:lang w:eastAsia="lv-LV"/>
              </w:rPr>
              <w:t xml:space="preserve">os izslēdza no VID </w:t>
            </w:r>
            <w:r w:rsidR="00BD7F24" w:rsidRPr="003C57E7">
              <w:rPr>
                <w:rFonts w:ascii="Times New Roman" w:hAnsi="Times New Roman" w:cs="Times New Roman"/>
                <w:bCs/>
                <w:sz w:val="24"/>
                <w:szCs w:val="24"/>
                <w:lang w:eastAsia="lv-LV"/>
              </w:rPr>
              <w:t>vienotās datubāzes (reģistra)</w:t>
            </w:r>
            <w:r w:rsidR="00976DD2" w:rsidRPr="00B963B8">
              <w:rPr>
                <w:rFonts w:ascii="Times New Roman" w:hAnsi="Times New Roman" w:cs="Times New Roman"/>
                <w:bCs/>
                <w:sz w:val="24"/>
                <w:szCs w:val="24"/>
                <w:lang w:eastAsia="lv-LV"/>
              </w:rPr>
              <w:t xml:space="preserve">. </w:t>
            </w:r>
            <w:r w:rsidR="00D56C37">
              <w:rPr>
                <w:rFonts w:ascii="Times New Roman" w:hAnsi="Times New Roman" w:cs="Times New Roman"/>
                <w:bCs/>
                <w:sz w:val="24"/>
                <w:szCs w:val="24"/>
                <w:lang w:eastAsia="lv-LV"/>
              </w:rPr>
              <w:t>L</w:t>
            </w:r>
            <w:r w:rsidR="00976DD2" w:rsidRPr="00B963B8">
              <w:rPr>
                <w:rFonts w:ascii="Times New Roman" w:hAnsi="Times New Roman" w:cs="Times New Roman"/>
                <w:bCs/>
                <w:sz w:val="24"/>
                <w:szCs w:val="24"/>
                <w:lang w:eastAsia="lv-LV"/>
              </w:rPr>
              <w:t xml:space="preserve">aika posmā no </w:t>
            </w:r>
            <w:r w:rsidR="00D56C37">
              <w:rPr>
                <w:rFonts w:ascii="Times New Roman" w:hAnsi="Times New Roman" w:cs="Times New Roman"/>
                <w:bCs/>
                <w:sz w:val="24"/>
                <w:szCs w:val="24"/>
                <w:lang w:eastAsia="lv-LV"/>
              </w:rPr>
              <w:t>šo</w:t>
            </w:r>
            <w:r w:rsidR="00976DD2" w:rsidRPr="00B963B8">
              <w:rPr>
                <w:rFonts w:ascii="Times New Roman" w:hAnsi="Times New Roman" w:cs="Times New Roman"/>
                <w:bCs/>
                <w:sz w:val="24"/>
                <w:szCs w:val="24"/>
                <w:lang w:eastAsia="lv-LV"/>
              </w:rPr>
              <w:t xml:space="preserve"> kases aparātu modeļu reģistrācijas VID vienotajā datubāzē (reģistrā) līdz to izslēgšanai, lietotāji bija iegādājušies un tiem lietošanā tika piereģistrēti vairāk kā 18 000 minēto modeļu kases aparāti. </w:t>
            </w:r>
          </w:p>
          <w:p w14:paraId="09350B5E" w14:textId="329CCCF1" w:rsidR="002F7AF2" w:rsidRDefault="006A521C" w:rsidP="001039A3">
            <w:pPr>
              <w:spacing w:after="0" w:line="240" w:lineRule="auto"/>
              <w:ind w:left="39" w:firstLine="426"/>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t>Lai</w:t>
            </w:r>
            <w:r w:rsidR="007D7716" w:rsidRPr="00DF434B">
              <w:rPr>
                <w:rFonts w:ascii="Times New Roman" w:eastAsia="Times New Roman" w:hAnsi="Times New Roman" w:cs="Times New Roman"/>
                <w:sz w:val="24"/>
                <w:szCs w:val="24"/>
              </w:rPr>
              <w:t xml:space="preserve"> </w:t>
            </w:r>
            <w:r w:rsidR="002C031E" w:rsidRPr="00DF434B">
              <w:rPr>
                <w:rFonts w:ascii="Times New Roman" w:eastAsia="Times New Roman" w:hAnsi="Times New Roman" w:cs="Times New Roman"/>
                <w:sz w:val="24"/>
                <w:szCs w:val="24"/>
              </w:rPr>
              <w:t>noregulētu un precīzi atrunātu šobrīd izveidojušos situāciju</w:t>
            </w:r>
            <w:r w:rsidR="00B62C08" w:rsidRPr="00DF434B">
              <w:rPr>
                <w:rFonts w:ascii="Times New Roman" w:eastAsia="Times New Roman" w:hAnsi="Times New Roman" w:cs="Times New Roman"/>
                <w:sz w:val="24"/>
                <w:szCs w:val="24"/>
              </w:rPr>
              <w:t>, ka pašlaik lietotāji lieto vairāk nekā 18000 kases aparātus, kurus VID pēc kontroles pasākumos konstatētajām</w:t>
            </w:r>
            <w:r w:rsidR="00765E9D">
              <w:rPr>
                <w:rFonts w:ascii="Times New Roman" w:eastAsia="Times New Roman" w:hAnsi="Times New Roman" w:cs="Times New Roman"/>
                <w:sz w:val="24"/>
                <w:szCs w:val="24"/>
              </w:rPr>
              <w:t xml:space="preserve"> būtiskajām</w:t>
            </w:r>
            <w:r w:rsidR="0095639C">
              <w:rPr>
                <w:rFonts w:ascii="Times New Roman" w:eastAsia="Times New Roman" w:hAnsi="Times New Roman" w:cs="Times New Roman"/>
                <w:sz w:val="24"/>
                <w:szCs w:val="24"/>
              </w:rPr>
              <w:t xml:space="preserve"> tehniskajām</w:t>
            </w:r>
            <w:r w:rsidR="00B62C08" w:rsidRPr="00DF434B">
              <w:rPr>
                <w:rFonts w:ascii="Times New Roman" w:eastAsia="Times New Roman" w:hAnsi="Times New Roman" w:cs="Times New Roman"/>
                <w:sz w:val="24"/>
                <w:szCs w:val="24"/>
              </w:rPr>
              <w:t xml:space="preserve"> neatbilstībām izslēdza no </w:t>
            </w:r>
            <w:r w:rsidR="00AB09B1" w:rsidRPr="00DF434B">
              <w:rPr>
                <w:rFonts w:ascii="Times New Roman" w:eastAsia="Times New Roman" w:hAnsi="Times New Roman" w:cs="Times New Roman"/>
                <w:sz w:val="24"/>
                <w:szCs w:val="24"/>
              </w:rPr>
              <w:t>VID</w:t>
            </w:r>
            <w:r w:rsidR="00884211" w:rsidRPr="00DF434B">
              <w:rPr>
                <w:rFonts w:ascii="Times New Roman" w:eastAsia="Times New Roman" w:hAnsi="Times New Roman" w:cs="Times New Roman"/>
                <w:sz w:val="24"/>
                <w:szCs w:val="24"/>
              </w:rPr>
              <w:t xml:space="preserve"> vienotās </w:t>
            </w:r>
            <w:r w:rsidR="00B62C08" w:rsidRPr="00DF434B">
              <w:rPr>
                <w:rFonts w:ascii="Times New Roman" w:eastAsia="Times New Roman" w:hAnsi="Times New Roman" w:cs="Times New Roman"/>
                <w:sz w:val="24"/>
                <w:szCs w:val="24"/>
              </w:rPr>
              <w:t>datubāzes (reģistra)</w:t>
            </w:r>
            <w:r w:rsidR="00F33B6A" w:rsidRPr="00DF434B">
              <w:rPr>
                <w:rFonts w:ascii="Times New Roman" w:eastAsia="Times New Roman" w:hAnsi="Times New Roman" w:cs="Times New Roman"/>
                <w:sz w:val="24"/>
                <w:szCs w:val="24"/>
              </w:rPr>
              <w:t xml:space="preserve">, </w:t>
            </w:r>
            <w:r w:rsidR="00B62C08" w:rsidRPr="00DF434B">
              <w:rPr>
                <w:rFonts w:ascii="Times New Roman" w:eastAsia="Times New Roman" w:hAnsi="Times New Roman" w:cs="Times New Roman"/>
                <w:sz w:val="24"/>
                <w:szCs w:val="24"/>
              </w:rPr>
              <w:t>nepieciešams</w:t>
            </w:r>
            <w:r w:rsidR="001039A3">
              <w:rPr>
                <w:rFonts w:ascii="Times New Roman" w:eastAsia="Times New Roman" w:hAnsi="Times New Roman" w:cs="Times New Roman"/>
                <w:sz w:val="24"/>
                <w:szCs w:val="24"/>
              </w:rPr>
              <w:t xml:space="preserve"> normatīvajā regulējumā noteikt</w:t>
            </w:r>
            <w:r w:rsidR="00DC1778" w:rsidRPr="00DF434B">
              <w:rPr>
                <w:rFonts w:ascii="Times New Roman" w:eastAsia="Times New Roman" w:hAnsi="Times New Roman" w:cs="Times New Roman"/>
                <w:sz w:val="24"/>
                <w:szCs w:val="24"/>
              </w:rPr>
              <w:t xml:space="preserve"> termiņu</w:t>
            </w:r>
            <w:r w:rsidR="009675EB">
              <w:rPr>
                <w:rFonts w:ascii="Times New Roman" w:eastAsia="Times New Roman" w:hAnsi="Times New Roman" w:cs="Times New Roman"/>
                <w:sz w:val="24"/>
                <w:szCs w:val="24"/>
              </w:rPr>
              <w:t xml:space="preserve">, kādā </w:t>
            </w:r>
            <w:r w:rsidR="005E11ED">
              <w:rPr>
                <w:rFonts w:ascii="Times New Roman" w:eastAsia="Times New Roman" w:hAnsi="Times New Roman" w:cs="Times New Roman"/>
                <w:sz w:val="24"/>
                <w:szCs w:val="24"/>
              </w:rPr>
              <w:t xml:space="preserve">apkalpojošajam dienestam </w:t>
            </w:r>
            <w:r w:rsidR="009675EB">
              <w:rPr>
                <w:rFonts w:ascii="Times New Roman" w:eastAsia="Times New Roman" w:hAnsi="Times New Roman" w:cs="Times New Roman"/>
                <w:sz w:val="24"/>
                <w:szCs w:val="24"/>
              </w:rPr>
              <w:t>pēc</w:t>
            </w:r>
            <w:r w:rsidR="002E4183">
              <w:rPr>
                <w:rFonts w:ascii="Times New Roman" w:eastAsia="Times New Roman" w:hAnsi="Times New Roman" w:cs="Times New Roman"/>
                <w:sz w:val="24"/>
                <w:szCs w:val="24"/>
              </w:rPr>
              <w:t xml:space="preserve"> </w:t>
            </w:r>
            <w:r w:rsidR="00684442">
              <w:rPr>
                <w:rFonts w:ascii="Times New Roman" w:eastAsia="Times New Roman" w:hAnsi="Times New Roman" w:cs="Times New Roman"/>
                <w:sz w:val="24"/>
                <w:szCs w:val="24"/>
              </w:rPr>
              <w:t xml:space="preserve">konstatēto neatbilstību novēršanas, atbilstības apliecinājuma saņemšanas un </w:t>
            </w:r>
            <w:r w:rsidR="001039A3">
              <w:rPr>
                <w:rFonts w:ascii="Times New Roman" w:eastAsia="Times New Roman" w:hAnsi="Times New Roman" w:cs="Times New Roman"/>
                <w:sz w:val="24"/>
                <w:szCs w:val="24"/>
              </w:rPr>
              <w:t xml:space="preserve"> jauna modeļa </w:t>
            </w:r>
            <w:r w:rsidR="006B273E">
              <w:rPr>
                <w:rFonts w:ascii="Times New Roman" w:eastAsia="Times New Roman" w:hAnsi="Times New Roman" w:cs="Times New Roman"/>
                <w:sz w:val="24"/>
                <w:szCs w:val="24"/>
              </w:rPr>
              <w:t>(</w:t>
            </w:r>
            <w:r w:rsidR="001039A3">
              <w:rPr>
                <w:rFonts w:ascii="Times New Roman" w:eastAsia="Times New Roman" w:hAnsi="Times New Roman" w:cs="Times New Roman"/>
                <w:sz w:val="24"/>
                <w:szCs w:val="24"/>
              </w:rPr>
              <w:t>modifikācijas</w:t>
            </w:r>
            <w:r w:rsidR="006B273E">
              <w:rPr>
                <w:rFonts w:ascii="Times New Roman" w:eastAsia="Times New Roman" w:hAnsi="Times New Roman" w:cs="Times New Roman"/>
                <w:sz w:val="24"/>
                <w:szCs w:val="24"/>
              </w:rPr>
              <w:t>)</w:t>
            </w:r>
            <w:r w:rsidR="001039A3">
              <w:rPr>
                <w:rFonts w:ascii="Times New Roman" w:eastAsia="Times New Roman" w:hAnsi="Times New Roman" w:cs="Times New Roman"/>
                <w:sz w:val="24"/>
                <w:szCs w:val="24"/>
              </w:rPr>
              <w:t xml:space="preserve"> vai versijas </w:t>
            </w:r>
            <w:r w:rsidR="00684442">
              <w:rPr>
                <w:rFonts w:ascii="Times New Roman" w:eastAsia="Times New Roman" w:hAnsi="Times New Roman" w:cs="Times New Roman"/>
                <w:sz w:val="24"/>
                <w:szCs w:val="24"/>
              </w:rPr>
              <w:t>reģistrācijas VID vienotajā datubāzē (reģistrā) ir jāveic neatbilstošo kases aparātu pielāgošana lietotājiem.</w:t>
            </w:r>
          </w:p>
          <w:p w14:paraId="196B9377" w14:textId="446F1B1C" w:rsidR="00C3135A" w:rsidRPr="00961EBB" w:rsidRDefault="006A521C" w:rsidP="00514C04">
            <w:pPr>
              <w:spacing w:after="0" w:line="240" w:lineRule="auto"/>
              <w:ind w:firstLine="466"/>
              <w:jc w:val="both"/>
              <w:rPr>
                <w:rFonts w:ascii="Times New Roman" w:eastAsia="Times New Roman" w:hAnsi="Times New Roman" w:cs="Times New Roman"/>
                <w:i/>
                <w:sz w:val="24"/>
                <w:szCs w:val="24"/>
              </w:rPr>
            </w:pPr>
            <w:r w:rsidRPr="00961EBB">
              <w:rPr>
                <w:rFonts w:ascii="Times New Roman" w:eastAsia="Times New Roman" w:hAnsi="Times New Roman" w:cs="Times New Roman"/>
                <w:sz w:val="24"/>
                <w:szCs w:val="24"/>
              </w:rPr>
              <w:t>Tādējādi</w:t>
            </w:r>
            <w:r w:rsidR="002C031E" w:rsidRPr="00DF434B">
              <w:rPr>
                <w:rFonts w:ascii="Times New Roman" w:eastAsia="Times New Roman" w:hAnsi="Times New Roman" w:cs="Times New Roman"/>
                <w:sz w:val="24"/>
                <w:szCs w:val="24"/>
              </w:rPr>
              <w:t xml:space="preserve"> nepieciešams M</w:t>
            </w:r>
            <w:r w:rsidR="007D7716" w:rsidRPr="00DF434B">
              <w:rPr>
                <w:rFonts w:ascii="Times New Roman" w:eastAsia="Times New Roman" w:hAnsi="Times New Roman" w:cs="Times New Roman"/>
                <w:sz w:val="24"/>
                <w:szCs w:val="24"/>
              </w:rPr>
              <w:t xml:space="preserve">inistru kabineta </w:t>
            </w:r>
            <w:r w:rsidR="002C031E" w:rsidRPr="00DF434B">
              <w:rPr>
                <w:rFonts w:ascii="Times New Roman" w:eastAsia="Times New Roman" w:hAnsi="Times New Roman" w:cs="Times New Roman"/>
                <w:sz w:val="24"/>
                <w:szCs w:val="24"/>
              </w:rPr>
              <w:t>noteikumu</w:t>
            </w:r>
            <w:r w:rsidR="00354F4E" w:rsidRPr="00DF434B">
              <w:rPr>
                <w:rFonts w:ascii="Times New Roman" w:eastAsia="Times New Roman" w:hAnsi="Times New Roman" w:cs="Times New Roman"/>
                <w:sz w:val="24"/>
                <w:szCs w:val="24"/>
              </w:rPr>
              <w:t>s</w:t>
            </w:r>
            <w:r w:rsidR="002C031E" w:rsidRPr="00DF434B">
              <w:rPr>
                <w:rFonts w:ascii="Times New Roman" w:eastAsia="Times New Roman" w:hAnsi="Times New Roman" w:cs="Times New Roman"/>
                <w:sz w:val="24"/>
                <w:szCs w:val="24"/>
              </w:rPr>
              <w:t xml:space="preserve"> Nr.96 </w:t>
            </w:r>
            <w:r w:rsidR="00354F4E" w:rsidRPr="00DF434B">
              <w:rPr>
                <w:rFonts w:ascii="Times New Roman" w:eastAsia="Times New Roman" w:hAnsi="Times New Roman" w:cs="Times New Roman"/>
                <w:sz w:val="24"/>
                <w:szCs w:val="24"/>
              </w:rPr>
              <w:t>papildināt ar 24.</w:t>
            </w:r>
            <w:r w:rsidR="00354F4E" w:rsidRPr="00DF434B">
              <w:rPr>
                <w:rFonts w:ascii="Times New Roman" w:eastAsia="Times New Roman" w:hAnsi="Times New Roman" w:cs="Times New Roman"/>
                <w:sz w:val="24"/>
                <w:szCs w:val="24"/>
                <w:vertAlign w:val="superscript"/>
              </w:rPr>
              <w:t xml:space="preserve">1  </w:t>
            </w:r>
            <w:r w:rsidR="00354F4E" w:rsidRPr="00DF434B">
              <w:rPr>
                <w:rFonts w:ascii="Times New Roman" w:eastAsia="Times New Roman" w:hAnsi="Times New Roman" w:cs="Times New Roman"/>
                <w:sz w:val="24"/>
                <w:szCs w:val="24"/>
              </w:rPr>
              <w:t>un 116.</w:t>
            </w:r>
            <w:r w:rsidR="00354F4E" w:rsidRPr="00DF434B">
              <w:rPr>
                <w:rFonts w:ascii="Times New Roman" w:eastAsia="Times New Roman" w:hAnsi="Times New Roman" w:cs="Times New Roman"/>
                <w:sz w:val="24"/>
                <w:szCs w:val="24"/>
                <w:vertAlign w:val="superscript"/>
              </w:rPr>
              <w:t>1</w:t>
            </w:r>
            <w:r w:rsidR="005E11ED">
              <w:rPr>
                <w:rFonts w:ascii="Times New Roman" w:eastAsia="Times New Roman" w:hAnsi="Times New Roman" w:cs="Times New Roman"/>
                <w:sz w:val="24"/>
                <w:szCs w:val="24"/>
              </w:rPr>
              <w:t xml:space="preserve"> </w:t>
            </w:r>
            <w:r w:rsidR="003D54A7">
              <w:rPr>
                <w:rFonts w:ascii="Times New Roman" w:eastAsia="Times New Roman" w:hAnsi="Times New Roman" w:cs="Times New Roman"/>
                <w:sz w:val="24"/>
                <w:szCs w:val="24"/>
              </w:rPr>
              <w:t xml:space="preserve">un </w:t>
            </w:r>
            <w:r w:rsidR="005E11ED">
              <w:rPr>
                <w:rFonts w:ascii="Times New Roman" w:eastAsia="Times New Roman" w:hAnsi="Times New Roman" w:cs="Times New Roman"/>
                <w:sz w:val="24"/>
                <w:szCs w:val="24"/>
              </w:rPr>
              <w:t>141.</w:t>
            </w:r>
            <w:r w:rsidR="005E11ED" w:rsidRPr="005E11ED">
              <w:rPr>
                <w:rFonts w:ascii="Times New Roman" w:eastAsia="Times New Roman" w:hAnsi="Times New Roman" w:cs="Times New Roman"/>
                <w:sz w:val="24"/>
                <w:szCs w:val="24"/>
                <w:vertAlign w:val="superscript"/>
              </w:rPr>
              <w:t>9</w:t>
            </w:r>
            <w:r w:rsidR="00F56B12" w:rsidRPr="00DF434B">
              <w:rPr>
                <w:rFonts w:ascii="Times New Roman" w:eastAsia="Times New Roman" w:hAnsi="Times New Roman" w:cs="Times New Roman"/>
                <w:sz w:val="24"/>
                <w:szCs w:val="24"/>
              </w:rPr>
              <w:t xml:space="preserve"> </w:t>
            </w:r>
            <w:r w:rsidR="00354F4E" w:rsidRPr="00DF434B">
              <w:rPr>
                <w:rFonts w:ascii="Times New Roman" w:eastAsia="Times New Roman" w:hAnsi="Times New Roman" w:cs="Times New Roman"/>
                <w:sz w:val="24"/>
                <w:szCs w:val="24"/>
              </w:rPr>
              <w:t>punkt</w:t>
            </w:r>
            <w:r w:rsidR="00BD7F24">
              <w:rPr>
                <w:rFonts w:ascii="Times New Roman" w:eastAsia="Times New Roman" w:hAnsi="Times New Roman" w:cs="Times New Roman"/>
                <w:sz w:val="24"/>
                <w:szCs w:val="24"/>
              </w:rPr>
              <w:t>u</w:t>
            </w:r>
            <w:r w:rsidR="002C031E" w:rsidRPr="00DF434B">
              <w:rPr>
                <w:rFonts w:ascii="Times New Roman" w:eastAsia="Times New Roman" w:hAnsi="Times New Roman" w:cs="Times New Roman"/>
                <w:sz w:val="24"/>
                <w:szCs w:val="24"/>
              </w:rPr>
              <w:t xml:space="preserve"> </w:t>
            </w:r>
            <w:r w:rsidR="002C031E" w:rsidRPr="00DF434B">
              <w:rPr>
                <w:rFonts w:ascii="Times New Roman" w:eastAsia="Times New Roman" w:hAnsi="Times New Roman" w:cs="Times New Roman"/>
                <w:i/>
                <w:sz w:val="24"/>
                <w:szCs w:val="24"/>
              </w:rPr>
              <w:t xml:space="preserve">(noteikumu projekta </w:t>
            </w:r>
            <w:r w:rsidR="00D767E6">
              <w:rPr>
                <w:rFonts w:ascii="Times New Roman" w:eastAsia="Times New Roman" w:hAnsi="Times New Roman" w:cs="Times New Roman"/>
                <w:i/>
                <w:sz w:val="24"/>
                <w:szCs w:val="24"/>
              </w:rPr>
              <w:t>10</w:t>
            </w:r>
            <w:r w:rsidR="00F56B12" w:rsidRPr="00DF434B">
              <w:rPr>
                <w:rFonts w:ascii="Times New Roman" w:eastAsia="Times New Roman" w:hAnsi="Times New Roman" w:cs="Times New Roman"/>
                <w:i/>
                <w:sz w:val="24"/>
                <w:szCs w:val="24"/>
              </w:rPr>
              <w:t>.,</w:t>
            </w:r>
            <w:r w:rsidR="009C3D5A">
              <w:rPr>
                <w:rFonts w:ascii="Times New Roman" w:eastAsia="Times New Roman" w:hAnsi="Times New Roman" w:cs="Times New Roman"/>
                <w:i/>
                <w:sz w:val="24"/>
                <w:szCs w:val="24"/>
              </w:rPr>
              <w:t xml:space="preserve"> </w:t>
            </w:r>
            <w:r w:rsidR="00952A96">
              <w:rPr>
                <w:rFonts w:ascii="Times New Roman" w:eastAsia="Times New Roman" w:hAnsi="Times New Roman" w:cs="Times New Roman"/>
                <w:i/>
                <w:sz w:val="24"/>
                <w:szCs w:val="24"/>
              </w:rPr>
              <w:t>2</w:t>
            </w:r>
            <w:r w:rsidR="001203CC">
              <w:rPr>
                <w:rFonts w:ascii="Times New Roman" w:eastAsia="Times New Roman" w:hAnsi="Times New Roman" w:cs="Times New Roman"/>
                <w:i/>
                <w:sz w:val="24"/>
                <w:szCs w:val="24"/>
              </w:rPr>
              <w:t>5</w:t>
            </w:r>
            <w:r w:rsidR="002C031E" w:rsidRPr="00DF434B">
              <w:rPr>
                <w:rFonts w:ascii="Times New Roman" w:eastAsia="Times New Roman" w:hAnsi="Times New Roman" w:cs="Times New Roman"/>
                <w:i/>
                <w:sz w:val="24"/>
                <w:szCs w:val="24"/>
              </w:rPr>
              <w:t>.</w:t>
            </w:r>
            <w:r w:rsidR="00F56B12" w:rsidRPr="00DF434B">
              <w:rPr>
                <w:rFonts w:ascii="Times New Roman" w:eastAsia="Times New Roman" w:hAnsi="Times New Roman" w:cs="Times New Roman"/>
                <w:i/>
                <w:sz w:val="24"/>
                <w:szCs w:val="24"/>
              </w:rPr>
              <w:t xml:space="preserve"> un </w:t>
            </w:r>
            <w:r w:rsidR="00952A96">
              <w:rPr>
                <w:rFonts w:ascii="Times New Roman" w:eastAsia="Times New Roman" w:hAnsi="Times New Roman" w:cs="Times New Roman"/>
                <w:i/>
                <w:sz w:val="24"/>
                <w:szCs w:val="24"/>
              </w:rPr>
              <w:t>3</w:t>
            </w:r>
            <w:r w:rsidR="001203CC">
              <w:rPr>
                <w:rFonts w:ascii="Times New Roman" w:eastAsia="Times New Roman" w:hAnsi="Times New Roman" w:cs="Times New Roman"/>
                <w:i/>
                <w:sz w:val="24"/>
                <w:szCs w:val="24"/>
              </w:rPr>
              <w:t>2</w:t>
            </w:r>
            <w:r w:rsidR="00F56B12" w:rsidRPr="00DF434B">
              <w:rPr>
                <w:rFonts w:ascii="Times New Roman" w:eastAsia="Times New Roman" w:hAnsi="Times New Roman" w:cs="Times New Roman"/>
                <w:i/>
                <w:sz w:val="24"/>
                <w:szCs w:val="24"/>
              </w:rPr>
              <w:t>.</w:t>
            </w:r>
            <w:r w:rsidR="002C031E" w:rsidRPr="00DF434B">
              <w:rPr>
                <w:rFonts w:ascii="Times New Roman" w:eastAsia="Times New Roman" w:hAnsi="Times New Roman" w:cs="Times New Roman"/>
                <w:i/>
                <w:sz w:val="24"/>
                <w:szCs w:val="24"/>
              </w:rPr>
              <w:t>punkts</w:t>
            </w:r>
            <w:r w:rsidR="002C031E" w:rsidRPr="00961EBB">
              <w:rPr>
                <w:rFonts w:ascii="Times New Roman" w:eastAsia="Times New Roman" w:hAnsi="Times New Roman" w:cs="Times New Roman"/>
                <w:i/>
                <w:sz w:val="24"/>
                <w:szCs w:val="24"/>
              </w:rPr>
              <w:t>).</w:t>
            </w:r>
          </w:p>
          <w:p w14:paraId="21A9E9E9" w14:textId="77777777" w:rsidR="00095FF0" w:rsidRPr="00DF434B" w:rsidRDefault="00095FF0" w:rsidP="00982454">
            <w:pPr>
              <w:spacing w:after="0" w:line="240" w:lineRule="auto"/>
              <w:ind w:firstLine="409"/>
              <w:jc w:val="both"/>
              <w:rPr>
                <w:rFonts w:ascii="Times New Roman" w:eastAsia="Times New Roman" w:hAnsi="Times New Roman" w:cs="Times New Roman"/>
                <w:i/>
                <w:sz w:val="24"/>
                <w:szCs w:val="24"/>
              </w:rPr>
            </w:pPr>
          </w:p>
          <w:p w14:paraId="2A912AD4" w14:textId="5C4C3520" w:rsidR="00692B64" w:rsidRPr="00DF434B" w:rsidRDefault="00C87C4E" w:rsidP="00982454">
            <w:pPr>
              <w:spacing w:after="0" w:line="240" w:lineRule="auto"/>
              <w:ind w:firstLine="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10AA" w:rsidRPr="00DF434B">
              <w:rPr>
                <w:rFonts w:ascii="Times New Roman" w:eastAsia="Times New Roman" w:hAnsi="Times New Roman" w:cs="Times New Roman"/>
                <w:sz w:val="24"/>
                <w:szCs w:val="24"/>
              </w:rPr>
              <w:t xml:space="preserve">. Lai </w:t>
            </w:r>
            <w:r w:rsidR="008300EE">
              <w:rPr>
                <w:rFonts w:ascii="Times New Roman" w:eastAsia="Times New Roman" w:hAnsi="Times New Roman" w:cs="Times New Roman"/>
                <w:sz w:val="24"/>
                <w:szCs w:val="24"/>
              </w:rPr>
              <w:t>saskaņotu</w:t>
            </w:r>
            <w:r w:rsidR="008300EE" w:rsidRPr="00DF434B">
              <w:rPr>
                <w:rFonts w:ascii="Times New Roman" w:eastAsia="Times New Roman" w:hAnsi="Times New Roman" w:cs="Times New Roman"/>
                <w:sz w:val="24"/>
                <w:szCs w:val="24"/>
              </w:rPr>
              <w:t xml:space="preserve"> </w:t>
            </w:r>
            <w:r w:rsidR="00B010AA" w:rsidRPr="00DF434B">
              <w:rPr>
                <w:rFonts w:ascii="Times New Roman" w:eastAsia="Times New Roman" w:hAnsi="Times New Roman" w:cs="Times New Roman"/>
                <w:sz w:val="24"/>
                <w:szCs w:val="24"/>
              </w:rPr>
              <w:t>Ministru kabineta noteikum</w:t>
            </w:r>
            <w:r w:rsidR="008300EE">
              <w:rPr>
                <w:rFonts w:ascii="Times New Roman" w:eastAsia="Times New Roman" w:hAnsi="Times New Roman" w:cs="Times New Roman"/>
                <w:sz w:val="24"/>
                <w:szCs w:val="24"/>
              </w:rPr>
              <w:t xml:space="preserve">u </w:t>
            </w:r>
            <w:r w:rsidR="00B010AA" w:rsidRPr="00DF434B">
              <w:rPr>
                <w:rFonts w:ascii="Times New Roman" w:eastAsia="Times New Roman" w:hAnsi="Times New Roman" w:cs="Times New Roman"/>
                <w:sz w:val="24"/>
                <w:szCs w:val="24"/>
              </w:rPr>
              <w:t xml:space="preserve">Nr.96 </w:t>
            </w:r>
            <w:r w:rsidR="008300EE">
              <w:rPr>
                <w:rFonts w:ascii="Times New Roman" w:eastAsia="Times New Roman" w:hAnsi="Times New Roman" w:cs="Times New Roman"/>
                <w:sz w:val="24"/>
                <w:szCs w:val="24"/>
              </w:rPr>
              <w:t xml:space="preserve"> terminoloģiju</w:t>
            </w:r>
            <w:r w:rsidR="008300EE" w:rsidRPr="00DF434B">
              <w:rPr>
                <w:rFonts w:ascii="Times New Roman" w:eastAsia="Times New Roman" w:hAnsi="Times New Roman" w:cs="Times New Roman"/>
                <w:sz w:val="24"/>
                <w:szCs w:val="24"/>
              </w:rPr>
              <w:t xml:space="preserve"> </w:t>
            </w:r>
            <w:r w:rsidR="008300EE">
              <w:rPr>
                <w:rFonts w:ascii="Times New Roman" w:eastAsia="Times New Roman" w:hAnsi="Times New Roman" w:cs="Times New Roman"/>
                <w:sz w:val="24"/>
                <w:szCs w:val="24"/>
              </w:rPr>
              <w:t>ar</w:t>
            </w:r>
            <w:r w:rsidR="008300EE" w:rsidRPr="00DF434B">
              <w:rPr>
                <w:rFonts w:ascii="Times New Roman" w:eastAsia="Times New Roman" w:hAnsi="Times New Roman" w:cs="Times New Roman"/>
                <w:sz w:val="24"/>
                <w:szCs w:val="24"/>
              </w:rPr>
              <w:t xml:space="preserve"> </w:t>
            </w:r>
            <w:r w:rsidR="00B010AA" w:rsidRPr="00DF434B">
              <w:rPr>
                <w:rFonts w:ascii="Times New Roman" w:eastAsia="Times New Roman" w:hAnsi="Times New Roman" w:cs="Times New Roman"/>
                <w:sz w:val="24"/>
                <w:szCs w:val="24"/>
              </w:rPr>
              <w:t xml:space="preserve">Autopārvadājumu </w:t>
            </w:r>
            <w:r w:rsidR="00B010AA" w:rsidRPr="008300EE">
              <w:rPr>
                <w:rFonts w:ascii="Times New Roman" w:eastAsia="Times New Roman" w:hAnsi="Times New Roman" w:cs="Times New Roman"/>
                <w:sz w:val="24"/>
                <w:szCs w:val="24"/>
              </w:rPr>
              <w:t>likum</w:t>
            </w:r>
            <w:r w:rsidR="008300EE" w:rsidRPr="008300EE">
              <w:rPr>
                <w:rFonts w:ascii="Times New Roman" w:eastAsia="Times New Roman" w:hAnsi="Times New Roman" w:cs="Times New Roman"/>
                <w:sz w:val="24"/>
                <w:szCs w:val="24"/>
              </w:rPr>
              <w:t>a un</w:t>
            </w:r>
            <w:r w:rsidR="008300EE" w:rsidRPr="00F26BB3">
              <w:rPr>
                <w:rFonts w:ascii="Times New Roman" w:hAnsi="Times New Roman" w:cs="Times New Roman"/>
                <w:sz w:val="24"/>
                <w:szCs w:val="24"/>
              </w:rPr>
              <w:t xml:space="preserve"> Ministru kabineta 2018.gada 6.marta noteikumu Nr. 148 “</w:t>
            </w:r>
            <w:r w:rsidR="008300EE" w:rsidRPr="00F26BB3">
              <w:rPr>
                <w:rFonts w:ascii="Times New Roman" w:eastAsia="Times New Roman" w:hAnsi="Times New Roman" w:cs="Times New Roman"/>
                <w:bCs/>
                <w:sz w:val="24"/>
                <w:szCs w:val="24"/>
                <w:lang w:eastAsia="lv-LV"/>
              </w:rPr>
              <w:t>Prasības plānošanas reģiona un republikas pilsētas speciālās atļaujas (licences) saņemšanai un kārtība, kādā veicami pasažieru komercpārvadājumi ar taksometru</w:t>
            </w:r>
            <w:r w:rsidR="008300EE" w:rsidRPr="00F26BB3">
              <w:rPr>
                <w:rFonts w:ascii="Times New Roman" w:hAnsi="Times New Roman" w:cs="Times New Roman"/>
                <w:sz w:val="24"/>
                <w:szCs w:val="24"/>
              </w:rPr>
              <w:t>” terminoloģiju, ietver</w:t>
            </w:r>
            <w:r w:rsidR="0088075A">
              <w:rPr>
                <w:rFonts w:ascii="Times New Roman" w:hAnsi="Times New Roman" w:cs="Times New Roman"/>
                <w:sz w:val="24"/>
                <w:szCs w:val="24"/>
              </w:rPr>
              <w:t>ot</w:t>
            </w:r>
            <w:r w:rsidR="008300EE" w:rsidRPr="00F26BB3">
              <w:rPr>
                <w:rFonts w:ascii="Times New Roman" w:hAnsi="Times New Roman" w:cs="Times New Roman"/>
                <w:sz w:val="24"/>
                <w:szCs w:val="24"/>
              </w:rPr>
              <w:t xml:space="preserve"> atsauces uz spēkā esošiem normatīvajiem aktiem, </w:t>
            </w:r>
            <w:r w:rsidR="008300EE" w:rsidRPr="00F26BB3">
              <w:rPr>
                <w:rFonts w:ascii="Times New Roman" w:eastAsia="Times New Roman" w:hAnsi="Times New Roman" w:cs="Times New Roman"/>
                <w:sz w:val="24"/>
                <w:szCs w:val="24"/>
              </w:rPr>
              <w:t>nepieciešams precizēt Ministru kabineta noteikumu Nr.96 15., 38., 64., 87. un 93. punktu, kā arī 19.1.apakšpunktu</w:t>
            </w:r>
            <w:r w:rsidR="000B4CAC" w:rsidRPr="000B4CAC">
              <w:rPr>
                <w:rFonts w:ascii="Times New Roman" w:eastAsia="Times New Roman" w:hAnsi="Times New Roman" w:cs="Times New Roman"/>
                <w:sz w:val="24"/>
                <w:szCs w:val="24"/>
              </w:rPr>
              <w:t>.</w:t>
            </w:r>
          </w:p>
          <w:p w14:paraId="32FF71D5" w14:textId="01C91225" w:rsidR="00D423DF" w:rsidRDefault="006A521C" w:rsidP="00D423DF">
            <w:pPr>
              <w:spacing w:after="0" w:line="240" w:lineRule="auto"/>
              <w:ind w:firstLine="466"/>
              <w:jc w:val="both"/>
              <w:rPr>
                <w:rFonts w:ascii="Times New Roman" w:hAnsi="Times New Roman" w:cs="Times New Roman"/>
                <w:sz w:val="24"/>
                <w:szCs w:val="24"/>
              </w:rPr>
            </w:pPr>
            <w:r>
              <w:rPr>
                <w:rFonts w:ascii="Times New Roman" w:eastAsia="Times New Roman" w:hAnsi="Times New Roman" w:cs="Times New Roman"/>
                <w:sz w:val="24"/>
                <w:szCs w:val="24"/>
              </w:rPr>
              <w:t>Papildus, ņ</w:t>
            </w:r>
            <w:r w:rsidR="00126DC1" w:rsidRPr="00DF434B">
              <w:rPr>
                <w:rFonts w:ascii="Times New Roman" w:eastAsia="Times New Roman" w:hAnsi="Times New Roman" w:cs="Times New Roman"/>
                <w:sz w:val="24"/>
                <w:szCs w:val="24"/>
              </w:rPr>
              <w:t>emot vērā, k</w:t>
            </w:r>
            <w:r w:rsidR="0088075A">
              <w:rPr>
                <w:rFonts w:ascii="Times New Roman" w:eastAsia="Times New Roman" w:hAnsi="Times New Roman" w:cs="Times New Roman"/>
                <w:sz w:val="24"/>
                <w:szCs w:val="24"/>
              </w:rPr>
              <w:t>a</w:t>
            </w:r>
            <w:r w:rsidR="00126DC1" w:rsidRPr="00DF434B">
              <w:rPr>
                <w:rFonts w:ascii="Times New Roman" w:eastAsia="Times New Roman" w:hAnsi="Times New Roman" w:cs="Times New Roman"/>
                <w:sz w:val="24"/>
                <w:szCs w:val="24"/>
              </w:rPr>
              <w:t xml:space="preserve"> verifikācijas institūcijas akreditē </w:t>
            </w:r>
            <w:r w:rsidR="00126DC1" w:rsidRPr="00DF434B">
              <w:rPr>
                <w:rFonts w:ascii="Times New Roman" w:hAnsi="Times New Roman" w:cs="Times New Roman"/>
                <w:sz w:val="24"/>
                <w:szCs w:val="24"/>
              </w:rPr>
              <w:t>valsts aģentūra “Latvijas Nacionālais akreditācijas birojs”</w:t>
            </w:r>
            <w:r w:rsidR="00126DC1" w:rsidRPr="00DF434B">
              <w:rPr>
                <w:rFonts w:ascii="Times New Roman" w:eastAsia="Times New Roman" w:hAnsi="Times New Roman" w:cs="Times New Roman"/>
                <w:sz w:val="24"/>
                <w:szCs w:val="24"/>
              </w:rPr>
              <w:t xml:space="preserve">,  noteikumu projekts </w:t>
            </w:r>
            <w:r w:rsidR="004F3739">
              <w:rPr>
                <w:rFonts w:ascii="Times New Roman" w:eastAsia="Times New Roman" w:hAnsi="Times New Roman" w:cs="Times New Roman"/>
                <w:sz w:val="24"/>
                <w:szCs w:val="24"/>
              </w:rPr>
              <w:t xml:space="preserve">paredz </w:t>
            </w:r>
            <w:r w:rsidR="00126DC1" w:rsidRPr="00DF434B">
              <w:rPr>
                <w:rFonts w:ascii="Times New Roman" w:eastAsia="Times New Roman" w:hAnsi="Times New Roman" w:cs="Times New Roman"/>
                <w:sz w:val="24"/>
                <w:szCs w:val="24"/>
              </w:rPr>
              <w:t>svītrot atsauc</w:t>
            </w:r>
            <w:r w:rsidR="004F3739">
              <w:rPr>
                <w:rFonts w:ascii="Times New Roman" w:eastAsia="Times New Roman" w:hAnsi="Times New Roman" w:cs="Times New Roman"/>
                <w:sz w:val="24"/>
                <w:szCs w:val="24"/>
              </w:rPr>
              <w:t>i</w:t>
            </w:r>
            <w:r w:rsidR="00126DC1" w:rsidRPr="00DF434B">
              <w:rPr>
                <w:rFonts w:ascii="Times New Roman" w:eastAsia="Times New Roman" w:hAnsi="Times New Roman" w:cs="Times New Roman"/>
                <w:sz w:val="24"/>
                <w:szCs w:val="24"/>
              </w:rPr>
              <w:t xml:space="preserve"> uz konkrētām verifikācijas iestādēm</w:t>
            </w:r>
            <w:r w:rsidR="001F6344">
              <w:rPr>
                <w:rFonts w:ascii="Times New Roman" w:eastAsia="Times New Roman" w:hAnsi="Times New Roman" w:cs="Times New Roman"/>
                <w:sz w:val="24"/>
                <w:szCs w:val="24"/>
              </w:rPr>
              <w:t>.</w:t>
            </w:r>
            <w:r w:rsidR="00A22A38">
              <w:rPr>
                <w:rFonts w:ascii="Times New Roman" w:eastAsia="Times New Roman" w:hAnsi="Times New Roman" w:cs="Times New Roman"/>
                <w:sz w:val="24"/>
                <w:szCs w:val="24"/>
              </w:rPr>
              <w:t xml:space="preserve"> Tāpat noteikumu projekts paredz svītrot atsauci uz valsts aģentūru “Latvijas Nacionālais akreditācijas birojs”, to aizstājot ar atsauci uz vispārinātu institūcijas apzīmējumu “nacionālā akreditācijas institūcija”</w:t>
            </w:r>
            <w:r w:rsidR="00BB6BD1">
              <w:rPr>
                <w:rFonts w:ascii="Times New Roman" w:eastAsia="Times New Roman" w:hAnsi="Times New Roman" w:cs="Times New Roman"/>
                <w:sz w:val="24"/>
                <w:szCs w:val="24"/>
              </w:rPr>
              <w:t>.</w:t>
            </w:r>
            <w:r w:rsidR="00126DC1" w:rsidRPr="00DF434B">
              <w:rPr>
                <w:rFonts w:ascii="Times New Roman" w:eastAsia="Times New Roman" w:hAnsi="Times New Roman" w:cs="Times New Roman"/>
                <w:sz w:val="24"/>
                <w:szCs w:val="24"/>
              </w:rPr>
              <w:t xml:space="preserve"> </w:t>
            </w:r>
            <w:r w:rsidR="001F6344">
              <w:rPr>
                <w:rFonts w:ascii="Times New Roman" w:eastAsia="Times New Roman" w:hAnsi="Times New Roman" w:cs="Times New Roman"/>
                <w:sz w:val="24"/>
                <w:szCs w:val="24"/>
              </w:rPr>
              <w:t>T</w:t>
            </w:r>
            <w:r w:rsidR="00126DC1" w:rsidRPr="00DF434B">
              <w:rPr>
                <w:rFonts w:ascii="Times New Roman" w:eastAsia="Times New Roman" w:hAnsi="Times New Roman" w:cs="Times New Roman"/>
                <w:sz w:val="24"/>
                <w:szCs w:val="24"/>
              </w:rPr>
              <w:t xml:space="preserve">ādējādi </w:t>
            </w:r>
            <w:r w:rsidR="00CF6768" w:rsidRPr="00DF434B">
              <w:rPr>
                <w:rFonts w:ascii="Times New Roman" w:eastAsia="Times New Roman" w:hAnsi="Times New Roman" w:cs="Times New Roman"/>
                <w:sz w:val="24"/>
                <w:szCs w:val="24"/>
              </w:rPr>
              <w:t xml:space="preserve">Ministru kabineta </w:t>
            </w:r>
            <w:r w:rsidR="00126DC1" w:rsidRPr="00DF434B">
              <w:rPr>
                <w:rFonts w:ascii="Times New Roman" w:eastAsia="Times New Roman" w:hAnsi="Times New Roman" w:cs="Times New Roman"/>
                <w:sz w:val="24"/>
                <w:szCs w:val="24"/>
              </w:rPr>
              <w:t xml:space="preserve">noteikumu </w:t>
            </w:r>
            <w:r w:rsidR="00CF6768" w:rsidRPr="00DF434B">
              <w:rPr>
                <w:rFonts w:ascii="Times New Roman" w:eastAsia="Times New Roman" w:hAnsi="Times New Roman" w:cs="Times New Roman"/>
                <w:sz w:val="24"/>
                <w:szCs w:val="24"/>
              </w:rPr>
              <w:t>Nr.96</w:t>
            </w:r>
            <w:r w:rsidR="00126DC1" w:rsidRPr="00DF434B">
              <w:rPr>
                <w:rFonts w:ascii="Times New Roman" w:eastAsia="Times New Roman" w:hAnsi="Times New Roman" w:cs="Times New Roman"/>
                <w:sz w:val="24"/>
                <w:szCs w:val="24"/>
              </w:rPr>
              <w:t xml:space="preserve"> 30.punktā</w:t>
            </w:r>
            <w:r w:rsidR="00DD48C8" w:rsidRPr="00DF434B">
              <w:rPr>
                <w:rFonts w:ascii="Times New Roman" w:eastAsia="Times New Roman" w:hAnsi="Times New Roman" w:cs="Times New Roman"/>
                <w:sz w:val="24"/>
                <w:szCs w:val="24"/>
              </w:rPr>
              <w:t xml:space="preserve"> </w:t>
            </w:r>
            <w:r w:rsidR="003F1704" w:rsidRPr="00DF434B">
              <w:rPr>
                <w:rFonts w:ascii="Times New Roman" w:eastAsia="Times New Roman" w:hAnsi="Times New Roman" w:cs="Times New Roman"/>
                <w:sz w:val="24"/>
                <w:szCs w:val="24"/>
              </w:rPr>
              <w:t>nepieciešams</w:t>
            </w:r>
            <w:r w:rsidR="00126DC1" w:rsidRPr="00DF434B">
              <w:rPr>
                <w:rFonts w:ascii="Times New Roman" w:hAnsi="Times New Roman" w:cs="Times New Roman"/>
                <w:sz w:val="24"/>
                <w:szCs w:val="24"/>
              </w:rPr>
              <w:t xml:space="preserve"> </w:t>
            </w:r>
            <w:r w:rsidR="001F6344">
              <w:rPr>
                <w:rFonts w:ascii="Times New Roman" w:hAnsi="Times New Roman" w:cs="Times New Roman"/>
                <w:sz w:val="24"/>
                <w:szCs w:val="24"/>
              </w:rPr>
              <w:t xml:space="preserve">aizstāt </w:t>
            </w:r>
            <w:r w:rsidR="003F1704" w:rsidRPr="00DF434B">
              <w:rPr>
                <w:rFonts w:ascii="Times New Roman" w:hAnsi="Times New Roman" w:cs="Times New Roman"/>
                <w:sz w:val="24"/>
                <w:szCs w:val="24"/>
              </w:rPr>
              <w:t xml:space="preserve">vārdus </w:t>
            </w:r>
            <w:r w:rsidR="00126DC1" w:rsidRPr="00DF434B">
              <w:rPr>
                <w:rFonts w:ascii="Times New Roman" w:hAnsi="Times New Roman" w:cs="Times New Roman"/>
                <w:sz w:val="24"/>
                <w:szCs w:val="24"/>
              </w:rPr>
              <w:t xml:space="preserve">“sabiedrības ar ierobežotu atbildību </w:t>
            </w:r>
            <w:r w:rsidR="003E029D">
              <w:rPr>
                <w:rFonts w:ascii="Times New Roman" w:hAnsi="Times New Roman" w:cs="Times New Roman"/>
                <w:sz w:val="24"/>
                <w:szCs w:val="24"/>
              </w:rPr>
              <w:t>“</w:t>
            </w:r>
            <w:r w:rsidR="00126DC1" w:rsidRPr="00DF434B">
              <w:rPr>
                <w:rFonts w:ascii="Times New Roman" w:hAnsi="Times New Roman" w:cs="Times New Roman"/>
                <w:sz w:val="24"/>
                <w:szCs w:val="24"/>
              </w:rPr>
              <w:t xml:space="preserve">Latvijas </w:t>
            </w:r>
            <w:r w:rsidR="00126DC1" w:rsidRPr="00DF434B">
              <w:rPr>
                <w:rFonts w:ascii="Times New Roman" w:hAnsi="Times New Roman" w:cs="Times New Roman"/>
                <w:sz w:val="24"/>
                <w:szCs w:val="24"/>
              </w:rPr>
              <w:lastRenderedPageBreak/>
              <w:t>Nacionālais metroloģijas centrs</w:t>
            </w:r>
            <w:r w:rsidR="003E029D">
              <w:rPr>
                <w:rFonts w:ascii="Times New Roman" w:hAnsi="Times New Roman" w:cs="Times New Roman"/>
                <w:sz w:val="24"/>
                <w:szCs w:val="24"/>
              </w:rPr>
              <w:t>”</w:t>
            </w:r>
            <w:r w:rsidR="003E029D" w:rsidRPr="00DF434B">
              <w:rPr>
                <w:rFonts w:ascii="Times New Roman" w:hAnsi="Times New Roman" w:cs="Times New Roman"/>
                <w:sz w:val="24"/>
                <w:szCs w:val="24"/>
              </w:rPr>
              <w:t xml:space="preserve"> </w:t>
            </w:r>
            <w:r w:rsidR="00126DC1" w:rsidRPr="00DF434B">
              <w:rPr>
                <w:rFonts w:ascii="Times New Roman" w:hAnsi="Times New Roman" w:cs="Times New Roman"/>
                <w:sz w:val="24"/>
                <w:szCs w:val="24"/>
              </w:rPr>
              <w:t xml:space="preserve">vai sabiedrības ar ierobežotu atbildību </w:t>
            </w:r>
            <w:r w:rsidR="003E029D">
              <w:rPr>
                <w:rFonts w:ascii="Times New Roman" w:hAnsi="Times New Roman" w:cs="Times New Roman"/>
                <w:sz w:val="24"/>
                <w:szCs w:val="24"/>
              </w:rPr>
              <w:t>“</w:t>
            </w:r>
            <w:r w:rsidR="00126DC1" w:rsidRPr="00DF434B">
              <w:rPr>
                <w:rFonts w:ascii="Times New Roman" w:hAnsi="Times New Roman" w:cs="Times New Roman"/>
                <w:sz w:val="24"/>
                <w:szCs w:val="24"/>
              </w:rPr>
              <w:t>Metroloģijas laboratorija</w:t>
            </w:r>
            <w:r w:rsidR="003E029D">
              <w:rPr>
                <w:rFonts w:ascii="Times New Roman" w:hAnsi="Times New Roman" w:cs="Times New Roman"/>
                <w:sz w:val="24"/>
                <w:szCs w:val="24"/>
              </w:rPr>
              <w:t>”</w:t>
            </w:r>
            <w:r w:rsidR="00240E2E">
              <w:rPr>
                <w:rFonts w:ascii="Times New Roman" w:hAnsi="Times New Roman" w:cs="Times New Roman"/>
                <w:sz w:val="24"/>
                <w:szCs w:val="24"/>
              </w:rPr>
              <w:t>”</w:t>
            </w:r>
            <w:r w:rsidR="00126DC1" w:rsidRPr="00DF434B">
              <w:rPr>
                <w:rFonts w:ascii="Times New Roman" w:hAnsi="Times New Roman" w:cs="Times New Roman"/>
                <w:sz w:val="24"/>
                <w:szCs w:val="24"/>
              </w:rPr>
              <w:t xml:space="preserve"> ar</w:t>
            </w:r>
            <w:r w:rsidR="003F1704" w:rsidRPr="00DF434B">
              <w:rPr>
                <w:rFonts w:ascii="Times New Roman" w:hAnsi="Times New Roman" w:cs="Times New Roman"/>
                <w:sz w:val="24"/>
                <w:szCs w:val="24"/>
              </w:rPr>
              <w:t xml:space="preserve"> vārdiem</w:t>
            </w:r>
            <w:r w:rsidR="00126DC1" w:rsidRPr="00DF434B">
              <w:rPr>
                <w:rFonts w:ascii="Times New Roman" w:hAnsi="Times New Roman" w:cs="Times New Roman"/>
                <w:sz w:val="24"/>
                <w:szCs w:val="24"/>
              </w:rPr>
              <w:t xml:space="preserve"> </w:t>
            </w:r>
            <w:r w:rsidR="00CF6768" w:rsidRPr="00DF434B">
              <w:rPr>
                <w:rFonts w:ascii="Times New Roman" w:hAnsi="Times New Roman" w:cs="Times New Roman"/>
                <w:sz w:val="24"/>
                <w:szCs w:val="24"/>
              </w:rPr>
              <w:t>“</w:t>
            </w:r>
            <w:r w:rsidR="00A22A38">
              <w:rPr>
                <w:rFonts w:ascii="Times New Roman" w:hAnsi="Times New Roman" w:cs="Times New Roman"/>
                <w:sz w:val="24"/>
                <w:szCs w:val="24"/>
              </w:rPr>
              <w:t xml:space="preserve">nacionālās </w:t>
            </w:r>
            <w:r w:rsidR="00240E2E">
              <w:rPr>
                <w:rFonts w:ascii="Times New Roman" w:hAnsi="Times New Roman" w:cs="Times New Roman"/>
                <w:sz w:val="24"/>
                <w:szCs w:val="24"/>
              </w:rPr>
              <w:t>a</w:t>
            </w:r>
            <w:r w:rsidR="00A22A38">
              <w:rPr>
                <w:rFonts w:ascii="Times New Roman" w:hAnsi="Times New Roman" w:cs="Times New Roman"/>
                <w:sz w:val="24"/>
                <w:szCs w:val="24"/>
              </w:rPr>
              <w:t>kreditācijas institūcijas</w:t>
            </w:r>
            <w:r w:rsidR="003E029D">
              <w:rPr>
                <w:rFonts w:ascii="Times New Roman" w:hAnsi="Times New Roman" w:cs="Times New Roman"/>
                <w:sz w:val="24"/>
                <w:szCs w:val="24"/>
              </w:rPr>
              <w:t xml:space="preserve"> </w:t>
            </w:r>
            <w:r w:rsidR="003F1704" w:rsidRPr="00DF434B">
              <w:rPr>
                <w:rFonts w:ascii="Times New Roman" w:hAnsi="Times New Roman" w:cs="Times New Roman"/>
                <w:sz w:val="24"/>
                <w:szCs w:val="24"/>
              </w:rPr>
              <w:t>akreditēta</w:t>
            </w:r>
            <w:r w:rsidR="00240E2E">
              <w:rPr>
                <w:rFonts w:ascii="Times New Roman" w:hAnsi="Times New Roman" w:cs="Times New Roman"/>
                <w:sz w:val="24"/>
                <w:szCs w:val="24"/>
              </w:rPr>
              <w:t xml:space="preserve"> atbilstības novērtēšanas</w:t>
            </w:r>
            <w:r w:rsidR="003F1704" w:rsidRPr="00DF434B">
              <w:rPr>
                <w:rFonts w:ascii="Times New Roman" w:hAnsi="Times New Roman" w:cs="Times New Roman"/>
                <w:sz w:val="24"/>
                <w:szCs w:val="24"/>
              </w:rPr>
              <w:t xml:space="preserve"> </w:t>
            </w:r>
            <w:r w:rsidR="003F1704" w:rsidRPr="008300EE">
              <w:rPr>
                <w:rFonts w:ascii="Times New Roman" w:hAnsi="Times New Roman" w:cs="Times New Roman"/>
                <w:sz w:val="24"/>
                <w:szCs w:val="24"/>
              </w:rPr>
              <w:t>institūcija</w:t>
            </w:r>
            <w:r w:rsidR="00CF6768" w:rsidRPr="008300EE">
              <w:rPr>
                <w:rFonts w:ascii="Times New Roman" w:hAnsi="Times New Roman" w:cs="Times New Roman"/>
                <w:sz w:val="24"/>
                <w:szCs w:val="24"/>
              </w:rPr>
              <w:t>”.</w:t>
            </w:r>
            <w:r w:rsidR="00A22A38">
              <w:rPr>
                <w:rFonts w:ascii="Times New Roman" w:hAnsi="Times New Roman" w:cs="Times New Roman"/>
                <w:sz w:val="24"/>
                <w:szCs w:val="24"/>
              </w:rPr>
              <w:t xml:space="preserve"> </w:t>
            </w:r>
          </w:p>
          <w:p w14:paraId="06E5AC9D" w14:textId="6CB8CFF1" w:rsidR="00B010AA" w:rsidRPr="00DF434B" w:rsidRDefault="006A521C" w:rsidP="00D423DF">
            <w:pPr>
              <w:spacing w:after="0" w:line="240" w:lineRule="auto"/>
              <w:ind w:firstLine="466"/>
              <w:jc w:val="both"/>
              <w:rPr>
                <w:rFonts w:ascii="Times New Roman" w:hAnsi="Times New Roman" w:cs="Times New Roman"/>
                <w:sz w:val="24"/>
                <w:szCs w:val="24"/>
              </w:rPr>
            </w:pPr>
            <w:r w:rsidRPr="008300EE">
              <w:rPr>
                <w:rFonts w:ascii="Times New Roman" w:hAnsi="Times New Roman" w:cs="Times New Roman"/>
                <w:sz w:val="24"/>
                <w:szCs w:val="24"/>
              </w:rPr>
              <w:t>Vienlaikus, ņ</w:t>
            </w:r>
            <w:r w:rsidR="00126DC1" w:rsidRPr="008300EE">
              <w:rPr>
                <w:rFonts w:ascii="Times New Roman" w:hAnsi="Times New Roman" w:cs="Times New Roman"/>
                <w:sz w:val="24"/>
                <w:szCs w:val="24"/>
              </w:rPr>
              <w:t xml:space="preserve">emot vērā, ka komercpārvadājumus ar taksometriem regulē </w:t>
            </w:r>
            <w:r w:rsidRPr="008300EE">
              <w:rPr>
                <w:rFonts w:ascii="Times New Roman" w:hAnsi="Times New Roman" w:cs="Times New Roman"/>
                <w:sz w:val="24"/>
                <w:szCs w:val="24"/>
              </w:rPr>
              <w:t xml:space="preserve">speciālais </w:t>
            </w:r>
            <w:r w:rsidR="00126DC1" w:rsidRPr="008300EE">
              <w:rPr>
                <w:rFonts w:ascii="Times New Roman" w:hAnsi="Times New Roman" w:cs="Times New Roman"/>
                <w:sz w:val="24"/>
                <w:szCs w:val="24"/>
              </w:rPr>
              <w:t>normatīv</w:t>
            </w:r>
            <w:r w:rsidRPr="008300EE">
              <w:rPr>
                <w:rFonts w:ascii="Times New Roman" w:hAnsi="Times New Roman" w:cs="Times New Roman"/>
                <w:sz w:val="24"/>
                <w:szCs w:val="24"/>
              </w:rPr>
              <w:t>ais</w:t>
            </w:r>
            <w:r w:rsidR="00126DC1" w:rsidRPr="008300EE">
              <w:rPr>
                <w:rFonts w:ascii="Times New Roman" w:hAnsi="Times New Roman" w:cs="Times New Roman"/>
                <w:sz w:val="24"/>
                <w:szCs w:val="24"/>
              </w:rPr>
              <w:t xml:space="preserve"> akt</w:t>
            </w:r>
            <w:r w:rsidRPr="008300EE">
              <w:rPr>
                <w:rFonts w:ascii="Times New Roman" w:hAnsi="Times New Roman" w:cs="Times New Roman"/>
                <w:sz w:val="24"/>
                <w:szCs w:val="24"/>
              </w:rPr>
              <w:t>s</w:t>
            </w:r>
            <w:r w:rsidR="00126DC1" w:rsidRPr="008300EE">
              <w:rPr>
                <w:rFonts w:ascii="Times New Roman" w:hAnsi="Times New Roman" w:cs="Times New Roman"/>
                <w:sz w:val="24"/>
                <w:szCs w:val="24"/>
              </w:rPr>
              <w:t>,</w:t>
            </w:r>
            <w:r w:rsidRPr="00F26BB3">
              <w:rPr>
                <w:rFonts w:ascii="Times New Roman" w:hAnsi="Times New Roman" w:cs="Times New Roman"/>
                <w:sz w:val="24"/>
                <w:szCs w:val="24"/>
              </w:rPr>
              <w:t xml:space="preserve"> proti, Ministru kabineta 2018.gada 6.marta noteikumi Nr.148 “</w:t>
            </w:r>
            <w:r w:rsidRPr="00F26BB3">
              <w:rPr>
                <w:rFonts w:ascii="Times New Roman" w:eastAsia="Times New Roman" w:hAnsi="Times New Roman" w:cs="Times New Roman"/>
                <w:bCs/>
                <w:sz w:val="24"/>
                <w:szCs w:val="24"/>
                <w:lang w:eastAsia="lv-LV"/>
              </w:rPr>
              <w:t>Prasības plānošanas reģiona un republikas pilsētas speciālās atļaujas (licences) saņemšanai un kārtība, kādā veicami pasažieru komercpārvadājumi ar taksometru</w:t>
            </w:r>
            <w:r w:rsidRPr="00F26BB3">
              <w:rPr>
                <w:rFonts w:ascii="Times New Roman" w:hAnsi="Times New Roman" w:cs="Times New Roman"/>
                <w:sz w:val="24"/>
                <w:szCs w:val="24"/>
              </w:rPr>
              <w:t>”</w:t>
            </w:r>
            <w:r w:rsidR="00AE1306">
              <w:rPr>
                <w:rFonts w:ascii="Times New Roman" w:hAnsi="Times New Roman" w:cs="Times New Roman"/>
                <w:sz w:val="24"/>
                <w:szCs w:val="24"/>
              </w:rPr>
              <w:t>, un, tajā skaitā, ka minēto noteikumu</w:t>
            </w:r>
            <w:r w:rsidR="00126DC1" w:rsidRPr="008300EE">
              <w:rPr>
                <w:rFonts w:ascii="Times New Roman" w:hAnsi="Times New Roman" w:cs="Times New Roman"/>
                <w:sz w:val="24"/>
                <w:szCs w:val="24"/>
              </w:rPr>
              <w:t xml:space="preserve"> </w:t>
            </w:r>
            <w:r w:rsidR="00AE1306">
              <w:rPr>
                <w:rFonts w:ascii="Times New Roman" w:hAnsi="Times New Roman" w:cs="Times New Roman"/>
                <w:sz w:val="24"/>
                <w:szCs w:val="24"/>
              </w:rPr>
              <w:t>42.punkts nosaka taksometra skaitītāja kases čeka rekvizītus,</w:t>
            </w:r>
            <w:r w:rsidR="00126DC1" w:rsidRPr="008300EE">
              <w:rPr>
                <w:rFonts w:ascii="Times New Roman" w:hAnsi="Times New Roman" w:cs="Times New Roman"/>
                <w:sz w:val="24"/>
                <w:szCs w:val="24"/>
              </w:rPr>
              <w:t xml:space="preserve"> </w:t>
            </w:r>
            <w:r w:rsidR="00512B7C" w:rsidRPr="008300EE">
              <w:rPr>
                <w:rFonts w:ascii="Times New Roman" w:hAnsi="Times New Roman" w:cs="Times New Roman"/>
                <w:sz w:val="24"/>
                <w:szCs w:val="24"/>
              </w:rPr>
              <w:t xml:space="preserve">nepieciešams </w:t>
            </w:r>
            <w:r w:rsidRPr="008300EE">
              <w:rPr>
                <w:rFonts w:ascii="Times New Roman" w:hAnsi="Times New Roman" w:cs="Times New Roman"/>
                <w:sz w:val="24"/>
                <w:szCs w:val="24"/>
              </w:rPr>
              <w:t xml:space="preserve">precizēt </w:t>
            </w:r>
            <w:r w:rsidR="00AE1306">
              <w:rPr>
                <w:rFonts w:ascii="Times New Roman" w:hAnsi="Times New Roman" w:cs="Times New Roman"/>
                <w:sz w:val="24"/>
                <w:szCs w:val="24"/>
              </w:rPr>
              <w:t>Ministru kabineta noteikum</w:t>
            </w:r>
            <w:r w:rsidR="007352F6">
              <w:rPr>
                <w:rFonts w:ascii="Times New Roman" w:hAnsi="Times New Roman" w:cs="Times New Roman"/>
                <w:sz w:val="24"/>
                <w:szCs w:val="24"/>
              </w:rPr>
              <w:t>os</w:t>
            </w:r>
            <w:r w:rsidR="00AE1306">
              <w:rPr>
                <w:rFonts w:ascii="Times New Roman" w:hAnsi="Times New Roman" w:cs="Times New Roman"/>
                <w:sz w:val="24"/>
                <w:szCs w:val="24"/>
              </w:rPr>
              <w:t xml:space="preserve"> Nr.96 ietvertās </w:t>
            </w:r>
            <w:r w:rsidR="000B4CAC" w:rsidRPr="008300EE">
              <w:rPr>
                <w:rFonts w:ascii="Times New Roman" w:hAnsi="Times New Roman" w:cs="Times New Roman"/>
                <w:sz w:val="24"/>
                <w:szCs w:val="24"/>
              </w:rPr>
              <w:t>atsauc</w:t>
            </w:r>
            <w:r w:rsidR="000B4CAC">
              <w:rPr>
                <w:rFonts w:ascii="Times New Roman" w:hAnsi="Times New Roman" w:cs="Times New Roman"/>
                <w:sz w:val="24"/>
                <w:szCs w:val="24"/>
              </w:rPr>
              <w:t>es</w:t>
            </w:r>
            <w:r w:rsidR="00AE1306">
              <w:rPr>
                <w:rFonts w:ascii="Times New Roman" w:hAnsi="Times New Roman" w:cs="Times New Roman"/>
                <w:sz w:val="24"/>
                <w:szCs w:val="24"/>
              </w:rPr>
              <w:t>.</w:t>
            </w:r>
          </w:p>
          <w:p w14:paraId="33B45FD1" w14:textId="729F016F" w:rsidR="00C87C4E" w:rsidRPr="00DF434B" w:rsidRDefault="006A521C" w:rsidP="00514C04">
            <w:pPr>
              <w:spacing w:after="0" w:line="240" w:lineRule="auto"/>
              <w:ind w:firstLine="466"/>
              <w:jc w:val="both"/>
              <w:rPr>
                <w:rFonts w:ascii="Times New Roman" w:eastAsia="Times New Roman" w:hAnsi="Times New Roman" w:cs="Times New Roman"/>
                <w:sz w:val="24"/>
                <w:szCs w:val="24"/>
              </w:rPr>
            </w:pPr>
            <w:r w:rsidRPr="00D62225">
              <w:rPr>
                <w:rFonts w:ascii="Times New Roman" w:eastAsia="Times New Roman" w:hAnsi="Times New Roman" w:cs="Times New Roman"/>
                <w:sz w:val="24"/>
                <w:szCs w:val="24"/>
              </w:rPr>
              <w:t>Ņemot vērā minēto, nepieciešams precizēt</w:t>
            </w:r>
            <w:r w:rsidRPr="00D62225">
              <w:rPr>
                <w:sz w:val="24"/>
                <w:szCs w:val="24"/>
              </w:rPr>
              <w:t xml:space="preserve"> </w:t>
            </w:r>
            <w:r w:rsidRPr="00D62225">
              <w:rPr>
                <w:rFonts w:ascii="Times New Roman" w:eastAsia="Times New Roman" w:hAnsi="Times New Roman" w:cs="Times New Roman"/>
                <w:sz w:val="24"/>
                <w:szCs w:val="24"/>
              </w:rPr>
              <w:t xml:space="preserve">Ministru kabineta noteikumu Nr.96 </w:t>
            </w:r>
            <w:r w:rsidR="00D62225">
              <w:rPr>
                <w:rFonts w:ascii="Times New Roman" w:eastAsia="Times New Roman" w:hAnsi="Times New Roman" w:cs="Times New Roman"/>
                <w:sz w:val="24"/>
                <w:szCs w:val="24"/>
              </w:rPr>
              <w:t>15</w:t>
            </w:r>
            <w:r w:rsidRPr="00D62225">
              <w:rPr>
                <w:rFonts w:ascii="Times New Roman" w:eastAsia="Times New Roman" w:hAnsi="Times New Roman" w:cs="Times New Roman"/>
                <w:sz w:val="24"/>
                <w:szCs w:val="24"/>
              </w:rPr>
              <w:t>.</w:t>
            </w:r>
            <w:r w:rsidR="00D62225">
              <w:rPr>
                <w:rFonts w:ascii="Times New Roman" w:eastAsia="Times New Roman" w:hAnsi="Times New Roman" w:cs="Times New Roman"/>
                <w:sz w:val="24"/>
                <w:szCs w:val="24"/>
              </w:rPr>
              <w:t xml:space="preserve">, 30., 38., 64., 87., 93. punkta, 19.1. </w:t>
            </w:r>
            <w:r w:rsidR="003A7677">
              <w:rPr>
                <w:rFonts w:ascii="Times New Roman" w:eastAsia="Times New Roman" w:hAnsi="Times New Roman" w:cs="Times New Roman"/>
                <w:sz w:val="24"/>
                <w:szCs w:val="24"/>
              </w:rPr>
              <w:t>un 117.3.</w:t>
            </w:r>
            <w:r w:rsidR="00D62225">
              <w:rPr>
                <w:rFonts w:ascii="Times New Roman" w:eastAsia="Times New Roman" w:hAnsi="Times New Roman" w:cs="Times New Roman"/>
                <w:sz w:val="24"/>
                <w:szCs w:val="24"/>
              </w:rPr>
              <w:t xml:space="preserve">apakšpunkta </w:t>
            </w:r>
            <w:r w:rsidRPr="00D62225">
              <w:rPr>
                <w:rFonts w:ascii="Times New Roman" w:eastAsia="Times New Roman" w:hAnsi="Times New Roman" w:cs="Times New Roman"/>
                <w:sz w:val="24"/>
                <w:szCs w:val="24"/>
              </w:rPr>
              <w:t>redakciju (</w:t>
            </w:r>
            <w:r w:rsidRPr="00D62225">
              <w:rPr>
                <w:rFonts w:ascii="Times New Roman" w:eastAsia="Times New Roman" w:hAnsi="Times New Roman" w:cs="Times New Roman"/>
                <w:i/>
                <w:sz w:val="24"/>
                <w:szCs w:val="24"/>
              </w:rPr>
              <w:t xml:space="preserve">noteikumu projekta </w:t>
            </w:r>
            <w:r w:rsidR="00D767E6">
              <w:rPr>
                <w:rFonts w:ascii="Times New Roman" w:eastAsia="Times New Roman" w:hAnsi="Times New Roman" w:cs="Times New Roman"/>
                <w:i/>
                <w:sz w:val="24"/>
                <w:szCs w:val="24"/>
              </w:rPr>
              <w:t>4</w:t>
            </w:r>
            <w:r w:rsidR="00D62225">
              <w:rPr>
                <w:rFonts w:ascii="Times New Roman" w:eastAsia="Times New Roman" w:hAnsi="Times New Roman" w:cs="Times New Roman"/>
                <w:i/>
                <w:sz w:val="24"/>
                <w:szCs w:val="24"/>
              </w:rPr>
              <w:t xml:space="preserve">., </w:t>
            </w:r>
            <w:r w:rsidR="00D767E6">
              <w:rPr>
                <w:rFonts w:ascii="Times New Roman" w:eastAsia="Times New Roman" w:hAnsi="Times New Roman" w:cs="Times New Roman"/>
                <w:i/>
                <w:sz w:val="24"/>
                <w:szCs w:val="24"/>
              </w:rPr>
              <w:t>5</w:t>
            </w:r>
            <w:r w:rsidR="00D62225">
              <w:rPr>
                <w:rFonts w:ascii="Times New Roman" w:eastAsia="Times New Roman" w:hAnsi="Times New Roman" w:cs="Times New Roman"/>
                <w:i/>
                <w:sz w:val="24"/>
                <w:szCs w:val="24"/>
              </w:rPr>
              <w:t xml:space="preserve">., </w:t>
            </w:r>
            <w:r w:rsidR="00D767E6">
              <w:rPr>
                <w:rFonts w:ascii="Times New Roman" w:eastAsia="Times New Roman" w:hAnsi="Times New Roman" w:cs="Times New Roman"/>
                <w:i/>
                <w:sz w:val="24"/>
                <w:szCs w:val="24"/>
              </w:rPr>
              <w:t>11</w:t>
            </w:r>
            <w:r w:rsidR="00D62225">
              <w:rPr>
                <w:rFonts w:ascii="Times New Roman" w:eastAsia="Times New Roman" w:hAnsi="Times New Roman" w:cs="Times New Roman"/>
                <w:i/>
                <w:sz w:val="24"/>
                <w:szCs w:val="24"/>
              </w:rPr>
              <w:t xml:space="preserve">., </w:t>
            </w:r>
            <w:r w:rsidR="00D767E6">
              <w:rPr>
                <w:rFonts w:ascii="Times New Roman" w:eastAsia="Times New Roman" w:hAnsi="Times New Roman" w:cs="Times New Roman"/>
                <w:i/>
                <w:sz w:val="24"/>
                <w:szCs w:val="24"/>
              </w:rPr>
              <w:t>17</w:t>
            </w:r>
            <w:r w:rsidR="002A2305">
              <w:rPr>
                <w:rFonts w:ascii="Times New Roman" w:eastAsia="Times New Roman" w:hAnsi="Times New Roman" w:cs="Times New Roman"/>
                <w:i/>
                <w:sz w:val="24"/>
                <w:szCs w:val="24"/>
              </w:rPr>
              <w:t xml:space="preserve">., </w:t>
            </w:r>
            <w:r w:rsidR="00D767E6">
              <w:rPr>
                <w:rFonts w:ascii="Times New Roman" w:eastAsia="Times New Roman" w:hAnsi="Times New Roman" w:cs="Times New Roman"/>
                <w:i/>
                <w:sz w:val="24"/>
                <w:szCs w:val="24"/>
              </w:rPr>
              <w:t>18</w:t>
            </w:r>
            <w:r w:rsidR="00952A96">
              <w:rPr>
                <w:rFonts w:ascii="Times New Roman" w:eastAsia="Times New Roman" w:hAnsi="Times New Roman" w:cs="Times New Roman"/>
                <w:i/>
                <w:sz w:val="24"/>
                <w:szCs w:val="24"/>
              </w:rPr>
              <w:t>.</w:t>
            </w:r>
            <w:r w:rsidR="001203CC">
              <w:rPr>
                <w:rFonts w:ascii="Times New Roman" w:eastAsia="Times New Roman" w:hAnsi="Times New Roman" w:cs="Times New Roman"/>
                <w:i/>
                <w:sz w:val="24"/>
                <w:szCs w:val="24"/>
              </w:rPr>
              <w:t xml:space="preserve">, </w:t>
            </w:r>
            <w:r w:rsidR="00D767E6">
              <w:rPr>
                <w:rFonts w:ascii="Times New Roman" w:eastAsia="Times New Roman" w:hAnsi="Times New Roman" w:cs="Times New Roman"/>
                <w:i/>
                <w:sz w:val="24"/>
                <w:szCs w:val="24"/>
              </w:rPr>
              <w:t>19</w:t>
            </w:r>
            <w:r w:rsidR="001203CC">
              <w:rPr>
                <w:rFonts w:ascii="Times New Roman" w:eastAsia="Times New Roman" w:hAnsi="Times New Roman" w:cs="Times New Roman"/>
                <w:i/>
                <w:sz w:val="24"/>
                <w:szCs w:val="24"/>
              </w:rPr>
              <w:t>., 21</w:t>
            </w:r>
            <w:r w:rsidR="002A2305">
              <w:rPr>
                <w:rFonts w:ascii="Times New Roman" w:eastAsia="Times New Roman" w:hAnsi="Times New Roman" w:cs="Times New Roman"/>
                <w:i/>
                <w:sz w:val="24"/>
                <w:szCs w:val="24"/>
              </w:rPr>
              <w:t>.</w:t>
            </w:r>
            <w:r w:rsidR="00D62225">
              <w:rPr>
                <w:rFonts w:ascii="Times New Roman" w:eastAsia="Times New Roman" w:hAnsi="Times New Roman" w:cs="Times New Roman"/>
                <w:i/>
                <w:sz w:val="24"/>
                <w:szCs w:val="24"/>
              </w:rPr>
              <w:t xml:space="preserve"> un </w:t>
            </w:r>
            <w:r w:rsidR="001203CC">
              <w:rPr>
                <w:rFonts w:ascii="Times New Roman" w:eastAsia="Times New Roman" w:hAnsi="Times New Roman" w:cs="Times New Roman"/>
                <w:i/>
                <w:sz w:val="24"/>
                <w:szCs w:val="24"/>
              </w:rPr>
              <w:t>26</w:t>
            </w:r>
            <w:r w:rsidR="00D62225">
              <w:rPr>
                <w:rFonts w:ascii="Times New Roman" w:eastAsia="Times New Roman" w:hAnsi="Times New Roman" w:cs="Times New Roman"/>
                <w:i/>
                <w:sz w:val="24"/>
                <w:szCs w:val="24"/>
              </w:rPr>
              <w:t>. </w:t>
            </w:r>
            <w:r w:rsidRPr="00D62225">
              <w:rPr>
                <w:rFonts w:ascii="Times New Roman" w:eastAsia="Times New Roman" w:hAnsi="Times New Roman" w:cs="Times New Roman"/>
                <w:i/>
                <w:sz w:val="24"/>
                <w:szCs w:val="24"/>
              </w:rPr>
              <w:t>punkts</w:t>
            </w:r>
            <w:r w:rsidRPr="00D62225">
              <w:rPr>
                <w:rFonts w:ascii="Times New Roman" w:eastAsia="Times New Roman" w:hAnsi="Times New Roman" w:cs="Times New Roman"/>
                <w:sz w:val="24"/>
                <w:szCs w:val="24"/>
              </w:rPr>
              <w:t>)</w:t>
            </w:r>
            <w:r w:rsidR="00D21B5D" w:rsidRPr="00D62225">
              <w:rPr>
                <w:rFonts w:ascii="Times New Roman" w:eastAsia="Times New Roman" w:hAnsi="Times New Roman" w:cs="Times New Roman"/>
                <w:sz w:val="24"/>
                <w:szCs w:val="24"/>
              </w:rPr>
              <w:t>.</w:t>
            </w:r>
          </w:p>
          <w:p w14:paraId="09D8E0D7" w14:textId="77777777" w:rsidR="006F16BB" w:rsidRPr="00DF434B" w:rsidRDefault="006F16BB" w:rsidP="001D0266">
            <w:pPr>
              <w:spacing w:after="0" w:line="240" w:lineRule="auto"/>
              <w:ind w:firstLine="466"/>
              <w:jc w:val="both"/>
              <w:rPr>
                <w:rFonts w:ascii="Times New Roman" w:eastAsia="Times New Roman" w:hAnsi="Times New Roman" w:cs="Times New Roman"/>
                <w:sz w:val="24"/>
                <w:szCs w:val="24"/>
              </w:rPr>
            </w:pPr>
          </w:p>
          <w:p w14:paraId="7CB6E3A8" w14:textId="4F22F6C0" w:rsidR="00095FF0" w:rsidRPr="00DF434B" w:rsidRDefault="00C87C4E" w:rsidP="00692B64">
            <w:pPr>
              <w:spacing w:after="0" w:line="240" w:lineRule="auto"/>
              <w:ind w:firstLine="409"/>
              <w:jc w:val="both"/>
              <w:rPr>
                <w:rFonts w:ascii="Times New Roman" w:hAnsi="Times New Roman" w:cs="Times New Roman"/>
                <w:sz w:val="24"/>
                <w:szCs w:val="24"/>
              </w:rPr>
            </w:pPr>
            <w:r>
              <w:rPr>
                <w:rFonts w:ascii="Times New Roman" w:eastAsia="Times New Roman" w:hAnsi="Times New Roman" w:cs="Times New Roman"/>
                <w:sz w:val="24"/>
                <w:szCs w:val="24"/>
              </w:rPr>
              <w:t>9</w:t>
            </w:r>
            <w:r w:rsidR="006A521C" w:rsidRPr="00DF434B">
              <w:rPr>
                <w:rFonts w:ascii="Times New Roman" w:eastAsia="Times New Roman" w:hAnsi="Times New Roman" w:cs="Times New Roman"/>
                <w:sz w:val="24"/>
                <w:szCs w:val="24"/>
              </w:rPr>
              <w:t xml:space="preserve">. </w:t>
            </w:r>
            <w:r w:rsidR="00D05EF6">
              <w:rPr>
                <w:rFonts w:ascii="Times New Roman" w:eastAsia="Times New Roman" w:hAnsi="Times New Roman" w:cs="Times New Roman"/>
                <w:sz w:val="24"/>
                <w:szCs w:val="24"/>
              </w:rPr>
              <w:t>L</w:t>
            </w:r>
            <w:r w:rsidR="006A521C" w:rsidRPr="00DF434B">
              <w:rPr>
                <w:rFonts w:ascii="Times New Roman" w:eastAsia="Times New Roman" w:hAnsi="Times New Roman" w:cs="Times New Roman"/>
                <w:sz w:val="24"/>
                <w:szCs w:val="24"/>
              </w:rPr>
              <w:t xml:space="preserve">ai nodrošinātu publiski pieejamu informāciju par </w:t>
            </w:r>
            <w:r w:rsidR="006A521C" w:rsidRPr="00DF434B">
              <w:rPr>
                <w:rFonts w:ascii="Times New Roman" w:hAnsi="Times New Roman" w:cs="Times New Roman"/>
                <w:color w:val="000000"/>
                <w:sz w:val="24"/>
                <w:szCs w:val="24"/>
              </w:rPr>
              <w:t xml:space="preserve"> atbilstības pārbaudē esošajiem </w:t>
            </w:r>
            <w:r w:rsidR="006A521C" w:rsidRPr="00DF434B">
              <w:rPr>
                <w:rFonts w:ascii="Times New Roman" w:hAnsi="Times New Roman" w:cs="Times New Roman"/>
                <w:sz w:val="24"/>
                <w:szCs w:val="24"/>
              </w:rPr>
              <w:t>kases aparāta, hibrīda kases aparāta, kases sistēmas, specializētās ierīces vai iekārtas modeļiem (modifikācijām) un to apkalpojošiem dienestiem</w:t>
            </w:r>
            <w:r w:rsidR="00D05EF6">
              <w:rPr>
                <w:rFonts w:ascii="Times New Roman" w:hAnsi="Times New Roman" w:cs="Times New Roman"/>
                <w:sz w:val="24"/>
                <w:szCs w:val="24"/>
              </w:rPr>
              <w:t>,</w:t>
            </w:r>
            <w:r w:rsidR="006A521C" w:rsidRPr="00DF434B">
              <w:rPr>
                <w:rFonts w:ascii="Times New Roman" w:hAnsi="Times New Roman" w:cs="Times New Roman"/>
                <w:sz w:val="24"/>
                <w:szCs w:val="24"/>
              </w:rPr>
              <w:t xml:space="preserve"> noteikumu projekts paredz atbilstības pārbaudes institūcijai pienākumu tās tīmekļa vietnē </w:t>
            </w:r>
            <w:r w:rsidR="006F16BB" w:rsidRPr="00DF434B">
              <w:rPr>
                <w:rFonts w:ascii="Times New Roman" w:hAnsi="Times New Roman" w:cs="Times New Roman"/>
                <w:sz w:val="24"/>
                <w:szCs w:val="24"/>
              </w:rPr>
              <w:t>publicēt minēto informāciju.</w:t>
            </w:r>
          </w:p>
          <w:p w14:paraId="4240EA89" w14:textId="63A8316D" w:rsidR="00C87C4E" w:rsidRPr="00DF434B" w:rsidRDefault="006A521C" w:rsidP="006F16BB">
            <w:pPr>
              <w:spacing w:after="0" w:line="240" w:lineRule="auto"/>
              <w:ind w:firstLine="409"/>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rPr>
              <w:t>Ņemot vērā minēto, nepieciešams papildināt</w:t>
            </w:r>
            <w:r w:rsidRPr="00DF434B">
              <w:rPr>
                <w:rFonts w:ascii="Times New Roman" w:hAnsi="Times New Roman" w:cs="Times New Roman"/>
                <w:sz w:val="24"/>
                <w:szCs w:val="24"/>
              </w:rPr>
              <w:t xml:space="preserve"> </w:t>
            </w:r>
            <w:r w:rsidRPr="00DF434B">
              <w:rPr>
                <w:rFonts w:ascii="Times New Roman" w:eastAsia="Times New Roman" w:hAnsi="Times New Roman" w:cs="Times New Roman"/>
                <w:sz w:val="24"/>
                <w:szCs w:val="24"/>
              </w:rPr>
              <w:t xml:space="preserve">Ministru kabineta noteikumus Nr.96 </w:t>
            </w:r>
            <w:r w:rsidR="008300EE">
              <w:rPr>
                <w:rFonts w:ascii="Times New Roman" w:eastAsia="Times New Roman" w:hAnsi="Times New Roman" w:cs="Times New Roman"/>
                <w:sz w:val="24"/>
                <w:szCs w:val="24"/>
              </w:rPr>
              <w:t xml:space="preserve">ar jaunu </w:t>
            </w:r>
            <w:r w:rsidRPr="00DF434B">
              <w:rPr>
                <w:rFonts w:ascii="Times New Roman" w:eastAsia="Times New Roman" w:hAnsi="Times New Roman" w:cs="Times New Roman"/>
                <w:sz w:val="24"/>
                <w:szCs w:val="24"/>
              </w:rPr>
              <w:t>121.</w:t>
            </w:r>
            <w:r w:rsidRPr="00DF434B">
              <w:rPr>
                <w:rFonts w:ascii="Times New Roman" w:eastAsia="Times New Roman" w:hAnsi="Times New Roman" w:cs="Times New Roman"/>
                <w:sz w:val="24"/>
                <w:szCs w:val="24"/>
                <w:vertAlign w:val="superscript"/>
              </w:rPr>
              <w:t>10</w:t>
            </w:r>
            <w:r w:rsidRPr="00DF434B">
              <w:rPr>
                <w:rFonts w:ascii="Times New Roman" w:eastAsia="Times New Roman" w:hAnsi="Times New Roman" w:cs="Times New Roman"/>
                <w:sz w:val="24"/>
                <w:szCs w:val="24"/>
              </w:rPr>
              <w:t xml:space="preserve"> punkt</w:t>
            </w:r>
            <w:r w:rsidR="00D05EF6">
              <w:rPr>
                <w:rFonts w:ascii="Times New Roman" w:eastAsia="Times New Roman" w:hAnsi="Times New Roman" w:cs="Times New Roman"/>
                <w:sz w:val="24"/>
                <w:szCs w:val="24"/>
              </w:rPr>
              <w:t>u</w:t>
            </w:r>
            <w:r w:rsidRPr="00DF434B">
              <w:rPr>
                <w:rFonts w:ascii="Times New Roman" w:eastAsia="Times New Roman" w:hAnsi="Times New Roman" w:cs="Times New Roman"/>
                <w:sz w:val="24"/>
                <w:szCs w:val="24"/>
              </w:rPr>
              <w:t xml:space="preserve"> (</w:t>
            </w:r>
            <w:r w:rsidRPr="00DF434B">
              <w:rPr>
                <w:rFonts w:ascii="Times New Roman" w:eastAsia="Times New Roman" w:hAnsi="Times New Roman" w:cs="Times New Roman"/>
                <w:i/>
                <w:sz w:val="24"/>
                <w:szCs w:val="24"/>
              </w:rPr>
              <w:t xml:space="preserve">noteikumu projekta </w:t>
            </w:r>
            <w:r w:rsidR="00952A96">
              <w:rPr>
                <w:rFonts w:ascii="Times New Roman" w:eastAsia="Times New Roman" w:hAnsi="Times New Roman" w:cs="Times New Roman"/>
                <w:i/>
                <w:sz w:val="24"/>
                <w:szCs w:val="24"/>
              </w:rPr>
              <w:t>2</w:t>
            </w:r>
            <w:r w:rsidR="001203CC">
              <w:rPr>
                <w:rFonts w:ascii="Times New Roman" w:eastAsia="Times New Roman" w:hAnsi="Times New Roman" w:cs="Times New Roman"/>
                <w:i/>
                <w:sz w:val="24"/>
                <w:szCs w:val="24"/>
              </w:rPr>
              <w:t>8</w:t>
            </w:r>
            <w:r w:rsidRPr="00DF434B">
              <w:rPr>
                <w:rFonts w:ascii="Times New Roman" w:eastAsia="Times New Roman" w:hAnsi="Times New Roman" w:cs="Times New Roman"/>
                <w:i/>
                <w:sz w:val="24"/>
                <w:szCs w:val="24"/>
              </w:rPr>
              <w:t>.punkts</w:t>
            </w:r>
            <w:r w:rsidRPr="00DF434B">
              <w:rPr>
                <w:rFonts w:ascii="Times New Roman" w:eastAsia="Times New Roman" w:hAnsi="Times New Roman" w:cs="Times New Roman"/>
                <w:sz w:val="24"/>
                <w:szCs w:val="24"/>
              </w:rPr>
              <w:t>).</w:t>
            </w:r>
          </w:p>
          <w:p w14:paraId="51C628BC" w14:textId="77777777" w:rsidR="006F16BB" w:rsidRPr="00DF434B" w:rsidRDefault="006F16BB" w:rsidP="00514C04">
            <w:pPr>
              <w:spacing w:after="0" w:line="240" w:lineRule="auto"/>
              <w:ind w:firstLine="409"/>
              <w:jc w:val="both"/>
              <w:rPr>
                <w:rFonts w:ascii="Times New Roman" w:eastAsia="Times New Roman" w:hAnsi="Times New Roman" w:cs="Times New Roman"/>
                <w:sz w:val="24"/>
                <w:szCs w:val="24"/>
              </w:rPr>
            </w:pPr>
          </w:p>
          <w:p w14:paraId="1FE5B019" w14:textId="0B455FCD" w:rsidR="00756472" w:rsidRPr="00756472" w:rsidRDefault="00756472" w:rsidP="00756472">
            <w:pPr>
              <w:spacing w:after="0" w:line="240" w:lineRule="auto"/>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756472">
              <w:rPr>
                <w:rFonts w:ascii="Times New Roman" w:eastAsia="Times New Roman" w:hAnsi="Times New Roman" w:cs="Times New Roman"/>
                <w:sz w:val="24"/>
                <w:szCs w:val="24"/>
              </w:rPr>
              <w:t xml:space="preserve">Ministru kabineta noteikumi Nr.96 nosaka </w:t>
            </w:r>
            <w:r>
              <w:rPr>
                <w:rFonts w:ascii="Times New Roman" w:eastAsia="Times New Roman" w:hAnsi="Times New Roman" w:cs="Times New Roman"/>
                <w:sz w:val="24"/>
                <w:szCs w:val="24"/>
              </w:rPr>
              <w:t xml:space="preserve">nodokļu maksātājiem </w:t>
            </w:r>
            <w:r w:rsidR="00737E1E">
              <w:rPr>
                <w:rFonts w:ascii="Times New Roman" w:eastAsia="Times New Roman" w:hAnsi="Times New Roman" w:cs="Times New Roman"/>
                <w:sz w:val="24"/>
                <w:szCs w:val="24"/>
              </w:rPr>
              <w:t xml:space="preserve">pienākumu </w:t>
            </w:r>
            <w:r>
              <w:rPr>
                <w:rFonts w:ascii="Times New Roman" w:eastAsia="Times New Roman" w:hAnsi="Times New Roman" w:cs="Times New Roman"/>
                <w:sz w:val="24"/>
                <w:szCs w:val="24"/>
              </w:rPr>
              <w:t>to lietotās elektroniskās</w:t>
            </w:r>
            <w:r w:rsidR="00737E1E">
              <w:rPr>
                <w:rFonts w:ascii="Times New Roman" w:eastAsia="Times New Roman" w:hAnsi="Times New Roman" w:cs="Times New Roman"/>
                <w:sz w:val="24"/>
                <w:szCs w:val="24"/>
              </w:rPr>
              <w:t xml:space="preserve"> ierīces un iekārtas reģistrēt</w:t>
            </w:r>
            <w:r w:rsidR="002A48F1">
              <w:rPr>
                <w:rFonts w:ascii="Times New Roman" w:eastAsia="Times New Roman" w:hAnsi="Times New Roman" w:cs="Times New Roman"/>
                <w:sz w:val="24"/>
                <w:szCs w:val="24"/>
              </w:rPr>
              <w:t xml:space="preserve"> VID uzturētā speciālā vienotā</w:t>
            </w:r>
            <w:r w:rsidRPr="00756472">
              <w:rPr>
                <w:rFonts w:ascii="Times New Roman" w:eastAsia="Times New Roman" w:hAnsi="Times New Roman" w:cs="Times New Roman"/>
                <w:sz w:val="24"/>
                <w:szCs w:val="24"/>
              </w:rPr>
              <w:t xml:space="preserve"> datubāz</w:t>
            </w:r>
            <w:r w:rsidR="002A48F1">
              <w:rPr>
                <w:rFonts w:ascii="Times New Roman" w:eastAsia="Times New Roman" w:hAnsi="Times New Roman" w:cs="Times New Roman"/>
                <w:sz w:val="24"/>
                <w:szCs w:val="24"/>
              </w:rPr>
              <w:t>ē</w:t>
            </w:r>
            <w:r w:rsidRPr="00756472">
              <w:rPr>
                <w:rFonts w:ascii="Times New Roman" w:eastAsia="Times New Roman" w:hAnsi="Times New Roman" w:cs="Times New Roman"/>
                <w:sz w:val="24"/>
                <w:szCs w:val="24"/>
              </w:rPr>
              <w:t xml:space="preserve"> (reģistr</w:t>
            </w:r>
            <w:r w:rsidR="002A48F1">
              <w:rPr>
                <w:rFonts w:ascii="Times New Roman" w:eastAsia="Times New Roman" w:hAnsi="Times New Roman" w:cs="Times New Roman"/>
                <w:sz w:val="24"/>
                <w:szCs w:val="24"/>
              </w:rPr>
              <w:t>ā</w:t>
            </w:r>
            <w:r w:rsidRPr="00756472">
              <w:rPr>
                <w:rFonts w:ascii="Times New Roman" w:eastAsia="Times New Roman" w:hAnsi="Times New Roman" w:cs="Times New Roman"/>
                <w:sz w:val="24"/>
                <w:szCs w:val="24"/>
              </w:rPr>
              <w:t>).</w:t>
            </w:r>
          </w:p>
          <w:p w14:paraId="49A16A46" w14:textId="19FAB958" w:rsidR="00756472" w:rsidRPr="00756472" w:rsidRDefault="00756472" w:rsidP="00756472">
            <w:pPr>
              <w:spacing w:after="0" w:line="240" w:lineRule="auto"/>
              <w:ind w:firstLine="466"/>
              <w:jc w:val="both"/>
              <w:rPr>
                <w:rFonts w:ascii="Times New Roman" w:eastAsia="Times New Roman" w:hAnsi="Times New Roman" w:cs="Times New Roman"/>
                <w:sz w:val="24"/>
                <w:szCs w:val="24"/>
              </w:rPr>
            </w:pPr>
            <w:r w:rsidRPr="00756472">
              <w:rPr>
                <w:rFonts w:ascii="Times New Roman" w:eastAsia="Times New Roman" w:hAnsi="Times New Roman" w:cs="Times New Roman"/>
                <w:sz w:val="24"/>
                <w:szCs w:val="24"/>
              </w:rPr>
              <w:t xml:space="preserve">VID vienotajā datubāzē (reģistrā) tiek fiksēta informācija par nodokļu maksātāja lietotajām ierīcēm, norādot ierīces vai iekārtas modeli, šasijas numuru, uzstādīšanas vietu, lietošanas uzsākšanas datumu, statusu (aktīvā lietošanā vai noņemts no uzskaites).  </w:t>
            </w:r>
          </w:p>
          <w:p w14:paraId="5076EC4D" w14:textId="26303672" w:rsidR="00756472" w:rsidRDefault="00737E1E" w:rsidP="00756472">
            <w:pPr>
              <w:spacing w:after="0" w:line="240" w:lineRule="auto"/>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Datubāzē uzkrātā informācija</w:t>
            </w:r>
            <w:r w:rsidRPr="00756472">
              <w:rPr>
                <w:rFonts w:ascii="Times New Roman" w:eastAsia="Times New Roman" w:hAnsi="Times New Roman" w:cs="Times New Roman"/>
                <w:sz w:val="24"/>
                <w:szCs w:val="24"/>
              </w:rPr>
              <w:t xml:space="preserve"> dod iespēju gan nodokļu administrācijai</w:t>
            </w:r>
            <w:r>
              <w:rPr>
                <w:rFonts w:ascii="Times New Roman" w:eastAsia="Times New Roman" w:hAnsi="Times New Roman" w:cs="Times New Roman"/>
                <w:sz w:val="24"/>
                <w:szCs w:val="24"/>
              </w:rPr>
              <w:t>,</w:t>
            </w:r>
            <w:r w:rsidRPr="00756472">
              <w:rPr>
                <w:rFonts w:ascii="Times New Roman" w:eastAsia="Times New Roman" w:hAnsi="Times New Roman" w:cs="Times New Roman"/>
                <w:sz w:val="24"/>
                <w:szCs w:val="24"/>
              </w:rPr>
              <w:t xml:space="preserve">  gan arī nodokļu maksātāja klientiem</w:t>
            </w:r>
            <w:r>
              <w:rPr>
                <w:rFonts w:ascii="Times New Roman" w:eastAsia="Times New Roman" w:hAnsi="Times New Roman" w:cs="Times New Roman"/>
                <w:sz w:val="24"/>
                <w:szCs w:val="24"/>
              </w:rPr>
              <w:t xml:space="preserve"> (informācija ir</w:t>
            </w:r>
            <w:r w:rsidR="00756472" w:rsidRPr="00756472">
              <w:rPr>
                <w:rFonts w:ascii="Times New Roman" w:eastAsia="Times New Roman" w:hAnsi="Times New Roman" w:cs="Times New Roman"/>
                <w:sz w:val="24"/>
                <w:szCs w:val="24"/>
              </w:rPr>
              <w:t xml:space="preserve"> publiski pieejama</w:t>
            </w:r>
            <w:r>
              <w:rPr>
                <w:rFonts w:ascii="Times New Roman" w:eastAsia="Times New Roman" w:hAnsi="Times New Roman" w:cs="Times New Roman"/>
                <w:sz w:val="24"/>
                <w:szCs w:val="24"/>
              </w:rPr>
              <w:t xml:space="preserve"> VID mājaslapā)</w:t>
            </w:r>
            <w:r w:rsidR="00756472" w:rsidRPr="00756472">
              <w:rPr>
                <w:rFonts w:ascii="Times New Roman" w:eastAsia="Times New Roman" w:hAnsi="Times New Roman" w:cs="Times New Roman"/>
                <w:sz w:val="24"/>
                <w:szCs w:val="24"/>
              </w:rPr>
              <w:t xml:space="preserve"> pārliecināties, vai nodokļu maksātājs konkrētajā darbības vietā lieto elektronisko ierīci vai iekārtu, kuras modelis ir reģistrēts kā atbilstošs prasībām.</w:t>
            </w:r>
          </w:p>
          <w:p w14:paraId="724B5725" w14:textId="4BAF77E3" w:rsidR="00737E1E" w:rsidRPr="00756472" w:rsidRDefault="00737E1E" w:rsidP="00756472">
            <w:pPr>
              <w:spacing w:after="0" w:line="240" w:lineRule="auto"/>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Tādējādi VID vienotajā datubāzē uzkrātajai informācijai iespējami precīzi jāatbilst faktiskajai situācijai, izmaiņām tajā ir jābūt veiktām iespējami ātrākā laikā.</w:t>
            </w:r>
          </w:p>
          <w:p w14:paraId="47CE37A0" w14:textId="77777777" w:rsidR="00756472" w:rsidRDefault="00756472" w:rsidP="00006A95">
            <w:pPr>
              <w:spacing w:after="0" w:line="240" w:lineRule="auto"/>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noteikumu projektu tiek precizēta paziņošanas kārtība par veiktajām darbībām ar elektroniskajām ierīcēm un iekārtām (uzstādīšana, uzstādīšana citā darbības vietā, lietošanas izbeigšana, lietošanas pārtraukšana).</w:t>
            </w:r>
          </w:p>
          <w:p w14:paraId="13303E23" w14:textId="77777777" w:rsidR="00737E1E" w:rsidRDefault="00BB2E87" w:rsidP="00006A95">
            <w:pPr>
              <w:spacing w:after="0" w:line="240" w:lineRule="auto"/>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noteikumos</w:t>
            </w:r>
            <w:r w:rsidRPr="00330849">
              <w:rPr>
                <w:rFonts w:ascii="Times New Roman" w:eastAsia="Times New Roman" w:hAnsi="Times New Roman" w:cs="Times New Roman"/>
                <w:sz w:val="24"/>
                <w:szCs w:val="24"/>
              </w:rPr>
              <w:t xml:space="preserve"> Nr.96</w:t>
            </w:r>
            <w:r>
              <w:rPr>
                <w:rFonts w:ascii="Times New Roman" w:eastAsia="Times New Roman" w:hAnsi="Times New Roman" w:cs="Times New Roman"/>
                <w:sz w:val="24"/>
                <w:szCs w:val="24"/>
              </w:rPr>
              <w:t xml:space="preserve"> šobrīd ir noteikts pienākums lietotājam 10 vai 15 dienu laikā iesniegt </w:t>
            </w:r>
            <w:r w:rsidR="00436D92">
              <w:rPr>
                <w:rFonts w:ascii="Times New Roman" w:eastAsia="Times New Roman" w:hAnsi="Times New Roman" w:cs="Times New Roman"/>
                <w:sz w:val="24"/>
                <w:szCs w:val="24"/>
              </w:rPr>
              <w:t>VID</w:t>
            </w:r>
            <w:r>
              <w:rPr>
                <w:rFonts w:ascii="Times New Roman" w:eastAsia="Times New Roman" w:hAnsi="Times New Roman" w:cs="Times New Roman"/>
                <w:sz w:val="24"/>
                <w:szCs w:val="24"/>
              </w:rPr>
              <w:t xml:space="preserve"> iesniegumu par elektronisko ierīču un iekārtu uzstādīšanu citā </w:t>
            </w:r>
            <w:r>
              <w:rPr>
                <w:rFonts w:ascii="Times New Roman" w:eastAsia="Times New Roman" w:hAnsi="Times New Roman" w:cs="Times New Roman"/>
                <w:sz w:val="24"/>
                <w:szCs w:val="24"/>
              </w:rPr>
              <w:lastRenderedPageBreak/>
              <w:t xml:space="preserve">darbības vietā, lietošanas izbeigšanu, lietošanas pārtraukšanu vismaz uz 15 dienām. Noteiktie termiņi </w:t>
            </w:r>
            <w:r w:rsidR="00B96FFF">
              <w:rPr>
                <w:rFonts w:ascii="Times New Roman" w:eastAsia="Times New Roman" w:hAnsi="Times New Roman" w:cs="Times New Roman"/>
                <w:sz w:val="24"/>
                <w:szCs w:val="24"/>
              </w:rPr>
              <w:t>bija noteikti atbilstoši tā</w:t>
            </w:r>
            <w:r w:rsidR="00C965FA">
              <w:rPr>
                <w:rFonts w:ascii="Times New Roman" w:eastAsia="Times New Roman" w:hAnsi="Times New Roman" w:cs="Times New Roman"/>
                <w:sz w:val="24"/>
                <w:szCs w:val="24"/>
              </w:rPr>
              <w:t xml:space="preserve"> </w:t>
            </w:r>
            <w:r w:rsidR="00B96FFF">
              <w:rPr>
                <w:rFonts w:ascii="Times New Roman" w:eastAsia="Times New Roman" w:hAnsi="Times New Roman" w:cs="Times New Roman"/>
                <w:sz w:val="24"/>
                <w:szCs w:val="24"/>
              </w:rPr>
              <w:t>brīža informācijas iesniegšanas veidam – klātienē VID, kas pašlaik</w:t>
            </w:r>
            <w:r w:rsidR="00C965FA">
              <w:rPr>
                <w:rFonts w:ascii="Times New Roman" w:eastAsia="Times New Roman" w:hAnsi="Times New Roman" w:cs="Times New Roman"/>
                <w:sz w:val="24"/>
                <w:szCs w:val="24"/>
              </w:rPr>
              <w:t>,</w:t>
            </w:r>
            <w:r w:rsidR="00B96FFF">
              <w:rPr>
                <w:rFonts w:ascii="Times New Roman" w:eastAsia="Times New Roman" w:hAnsi="Times New Roman" w:cs="Times New Roman"/>
                <w:sz w:val="24"/>
                <w:szCs w:val="24"/>
              </w:rPr>
              <w:t xml:space="preserve"> informāciju iesniedzot elektroniski VID elektroniskās deklarēšanas sistēmā, </w:t>
            </w:r>
            <w:r>
              <w:rPr>
                <w:rFonts w:ascii="Times New Roman" w:eastAsia="Times New Roman" w:hAnsi="Times New Roman" w:cs="Times New Roman"/>
                <w:sz w:val="24"/>
                <w:szCs w:val="24"/>
              </w:rPr>
              <w:t xml:space="preserve">ir pārmērīgi lieli. </w:t>
            </w:r>
          </w:p>
          <w:p w14:paraId="0DC94C8B" w14:textId="62B592E3" w:rsidR="00BB2E87" w:rsidRDefault="00BB2E87" w:rsidP="00006A95">
            <w:pPr>
              <w:spacing w:after="0" w:line="240" w:lineRule="auto"/>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Tādējādi paziņošanas termiņi ir jānosaka iespējami īsi. Informācijas sniegšanas termiņus ir iespējams samazināt, jo, pārejot uz informācijas iesniegšanu elektroniskā veidā, izmantojot VID elektroniskās deklarēšanas sistēmu, </w:t>
            </w:r>
            <w:r w:rsidR="00436D92">
              <w:rPr>
                <w:rFonts w:ascii="Times New Roman" w:eastAsia="Times New Roman" w:hAnsi="Times New Roman" w:cs="Times New Roman"/>
                <w:sz w:val="24"/>
                <w:szCs w:val="24"/>
              </w:rPr>
              <w:t xml:space="preserve">lietotājam vairs nav nepieciešams klātienē ierasties kādā no VID klientu apkalpošanas centriem, lai iesniegtu elektroniskās ierīces vai iekārtas reģistrēšanas dokumentus </w:t>
            </w:r>
            <w:r w:rsidR="00211350">
              <w:rPr>
                <w:rFonts w:ascii="Times New Roman" w:eastAsia="Times New Roman" w:hAnsi="Times New Roman" w:cs="Times New Roman"/>
                <w:sz w:val="24"/>
                <w:szCs w:val="24"/>
              </w:rPr>
              <w:t>papīra formātā</w:t>
            </w:r>
            <w:r>
              <w:rPr>
                <w:rFonts w:ascii="Times New Roman" w:eastAsia="Times New Roman" w:hAnsi="Times New Roman" w:cs="Times New Roman"/>
                <w:sz w:val="24"/>
                <w:szCs w:val="24"/>
              </w:rPr>
              <w:t xml:space="preserve">. </w:t>
            </w:r>
            <w:r w:rsidR="003A06BE">
              <w:rPr>
                <w:rFonts w:ascii="Times New Roman" w:eastAsia="Times New Roman" w:hAnsi="Times New Roman" w:cs="Times New Roman"/>
                <w:sz w:val="24"/>
                <w:szCs w:val="24"/>
              </w:rPr>
              <w:t>Noteikumu projektā noteiktie paziņošanas termiņi – trīs darbdienas apkalpojošajam dienestam informācijas ievadīšanai VID elektroniskās deklarēšanas sistēmā un trīs darbdienas lietotājam, lai apstiprinātu apkalpojošā dienesta sniegto informāciju, ir samērīgi</w:t>
            </w:r>
            <w:r w:rsidR="00634F40">
              <w:rPr>
                <w:rFonts w:ascii="Times New Roman" w:eastAsia="Times New Roman" w:hAnsi="Times New Roman" w:cs="Times New Roman"/>
                <w:sz w:val="24"/>
                <w:szCs w:val="24"/>
              </w:rPr>
              <w:t xml:space="preserve"> termiņi, kuru laikā gan apkalpojošajam dienestam, gan lietotājam ir iespējams izpildīt šo paziņošanas pienākumu.</w:t>
            </w:r>
          </w:p>
          <w:p w14:paraId="2ACC7BB3" w14:textId="7D8B4418" w:rsidR="00330849" w:rsidRDefault="00634F40" w:rsidP="00514C04">
            <w:pPr>
              <w:spacing w:after="0" w:line="240" w:lineRule="auto"/>
              <w:ind w:firstLine="4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Turklāt lietotājs līdz iesnieguma par ierīces vai iekārtas lietošanas uzsākšanu iesniegšanas brīdim nedrīkst uzsākt lietot ierīci vai iekārtu, līdz ar to </w:t>
            </w:r>
            <w:r w:rsidR="00265B84">
              <w:rPr>
                <w:rFonts w:ascii="Times New Roman" w:eastAsia="Times New Roman" w:hAnsi="Times New Roman" w:cs="Times New Roman"/>
                <w:sz w:val="24"/>
                <w:szCs w:val="24"/>
              </w:rPr>
              <w:t>apkalpojošajam</w:t>
            </w:r>
            <w:r>
              <w:rPr>
                <w:rFonts w:ascii="Times New Roman" w:eastAsia="Times New Roman" w:hAnsi="Times New Roman" w:cs="Times New Roman"/>
                <w:sz w:val="24"/>
                <w:szCs w:val="24"/>
              </w:rPr>
              <w:t xml:space="preserve"> dienesta</w:t>
            </w:r>
            <w:r w:rsidR="00265B84">
              <w:rPr>
                <w:rFonts w:ascii="Times New Roman" w:eastAsia="Times New Roman" w:hAnsi="Times New Roman" w:cs="Times New Roman"/>
                <w:sz w:val="24"/>
                <w:szCs w:val="24"/>
              </w:rPr>
              <w:t>m noteiktais</w:t>
            </w:r>
            <w:r>
              <w:rPr>
                <w:rFonts w:ascii="Times New Roman" w:eastAsia="Times New Roman" w:hAnsi="Times New Roman" w:cs="Times New Roman"/>
                <w:sz w:val="24"/>
                <w:szCs w:val="24"/>
              </w:rPr>
              <w:t xml:space="preserve"> </w:t>
            </w:r>
            <w:r w:rsidR="00265B84">
              <w:rPr>
                <w:rFonts w:ascii="Times New Roman" w:eastAsia="Times New Roman" w:hAnsi="Times New Roman" w:cs="Times New Roman"/>
                <w:sz w:val="24"/>
                <w:szCs w:val="24"/>
              </w:rPr>
              <w:t xml:space="preserve">termiņš </w:t>
            </w:r>
            <w:r>
              <w:rPr>
                <w:rFonts w:ascii="Times New Roman" w:eastAsia="Times New Roman" w:hAnsi="Times New Roman" w:cs="Times New Roman"/>
                <w:sz w:val="24"/>
                <w:szCs w:val="24"/>
              </w:rPr>
              <w:t xml:space="preserve">par veiktajām uzstādīšanas darbībām iesniegt informāciju </w:t>
            </w:r>
            <w:r w:rsidR="00265B84">
              <w:rPr>
                <w:rFonts w:ascii="Times New Roman" w:eastAsia="Times New Roman" w:hAnsi="Times New Roman" w:cs="Times New Roman"/>
                <w:sz w:val="24"/>
                <w:szCs w:val="24"/>
              </w:rPr>
              <w:t>VID elektroniska</w:t>
            </w:r>
            <w:r>
              <w:rPr>
                <w:rFonts w:ascii="Times New Roman" w:eastAsia="Times New Roman" w:hAnsi="Times New Roman" w:cs="Times New Roman"/>
                <w:sz w:val="24"/>
                <w:szCs w:val="24"/>
              </w:rPr>
              <w:t xml:space="preserve">jā deklarēšanas sistēmā trīs darbdienu laikā ir pamatots. </w:t>
            </w:r>
            <w:r w:rsidR="00006A95">
              <w:rPr>
                <w:rFonts w:ascii="Times New Roman" w:eastAsia="Times New Roman" w:hAnsi="Times New Roman" w:cs="Times New Roman"/>
                <w:sz w:val="24"/>
                <w:szCs w:val="24"/>
              </w:rPr>
              <w:t>Tādējādi, l</w:t>
            </w:r>
            <w:r w:rsidR="00004F12" w:rsidRPr="00DF434B">
              <w:rPr>
                <w:rFonts w:ascii="Times New Roman" w:eastAsia="Times New Roman" w:hAnsi="Times New Roman" w:cs="Times New Roman"/>
                <w:sz w:val="24"/>
                <w:szCs w:val="24"/>
              </w:rPr>
              <w:t xml:space="preserve">ai mazinātu administratīvo slogu </w:t>
            </w:r>
            <w:r w:rsidR="00121330" w:rsidRPr="00DF434B">
              <w:rPr>
                <w:rFonts w:ascii="Times New Roman" w:eastAsia="Times New Roman" w:hAnsi="Times New Roman" w:cs="Times New Roman"/>
                <w:sz w:val="24"/>
                <w:szCs w:val="24"/>
              </w:rPr>
              <w:t xml:space="preserve">un izmantotu </w:t>
            </w:r>
            <w:r w:rsidR="000E6A60">
              <w:rPr>
                <w:rFonts w:ascii="Times New Roman" w:eastAsia="Times New Roman" w:hAnsi="Times New Roman" w:cs="Times New Roman"/>
                <w:sz w:val="24"/>
                <w:szCs w:val="24"/>
              </w:rPr>
              <w:t xml:space="preserve">VID </w:t>
            </w:r>
            <w:r w:rsidR="00121330" w:rsidRPr="00DF434B">
              <w:rPr>
                <w:rFonts w:ascii="Times New Roman" w:eastAsia="Times New Roman" w:hAnsi="Times New Roman" w:cs="Times New Roman"/>
                <w:sz w:val="24"/>
                <w:szCs w:val="24"/>
              </w:rPr>
              <w:t xml:space="preserve">elektroniskās deklarēšanas sistēmas priekšrocības attālinātām darbībām ar </w:t>
            </w:r>
            <w:r w:rsidR="00004F12" w:rsidRPr="00DF434B">
              <w:rPr>
                <w:rFonts w:ascii="Times New Roman" w:eastAsia="Times New Roman" w:hAnsi="Times New Roman" w:cs="Times New Roman"/>
                <w:sz w:val="24"/>
                <w:szCs w:val="24"/>
              </w:rPr>
              <w:t>kases aparāt</w:t>
            </w:r>
            <w:r w:rsidR="00121330" w:rsidRPr="00DF434B">
              <w:rPr>
                <w:rFonts w:ascii="Times New Roman" w:eastAsia="Times New Roman" w:hAnsi="Times New Roman" w:cs="Times New Roman"/>
                <w:sz w:val="24"/>
                <w:szCs w:val="24"/>
              </w:rPr>
              <w:t>iem</w:t>
            </w:r>
            <w:r w:rsidR="00004F12" w:rsidRPr="00DF434B">
              <w:rPr>
                <w:rFonts w:ascii="Times New Roman" w:eastAsia="Times New Roman" w:hAnsi="Times New Roman" w:cs="Times New Roman"/>
                <w:sz w:val="24"/>
                <w:szCs w:val="24"/>
              </w:rPr>
              <w:t>, hibrīda kases ap</w:t>
            </w:r>
            <w:r w:rsidR="003F1704" w:rsidRPr="00DF434B">
              <w:rPr>
                <w:rFonts w:ascii="Times New Roman" w:eastAsia="Times New Roman" w:hAnsi="Times New Roman" w:cs="Times New Roman"/>
                <w:sz w:val="24"/>
                <w:szCs w:val="24"/>
              </w:rPr>
              <w:t>a</w:t>
            </w:r>
            <w:r w:rsidR="00004F12" w:rsidRPr="00DF434B">
              <w:rPr>
                <w:rFonts w:ascii="Times New Roman" w:eastAsia="Times New Roman" w:hAnsi="Times New Roman" w:cs="Times New Roman"/>
                <w:sz w:val="24"/>
                <w:szCs w:val="24"/>
              </w:rPr>
              <w:t>rāt</w:t>
            </w:r>
            <w:r w:rsidR="00121330" w:rsidRPr="00DF434B">
              <w:rPr>
                <w:rFonts w:ascii="Times New Roman" w:eastAsia="Times New Roman" w:hAnsi="Times New Roman" w:cs="Times New Roman"/>
                <w:sz w:val="24"/>
                <w:szCs w:val="24"/>
              </w:rPr>
              <w:t>iem</w:t>
            </w:r>
            <w:r w:rsidR="00004F12" w:rsidRPr="00DF434B">
              <w:rPr>
                <w:rFonts w:ascii="Times New Roman" w:eastAsia="Times New Roman" w:hAnsi="Times New Roman" w:cs="Times New Roman"/>
                <w:sz w:val="24"/>
                <w:szCs w:val="24"/>
              </w:rPr>
              <w:t>, kases sist</w:t>
            </w:r>
            <w:r w:rsidR="00121330" w:rsidRPr="00DF434B">
              <w:rPr>
                <w:rFonts w:ascii="Times New Roman" w:eastAsia="Times New Roman" w:hAnsi="Times New Roman" w:cs="Times New Roman"/>
                <w:sz w:val="24"/>
                <w:szCs w:val="24"/>
              </w:rPr>
              <w:t>ēmām</w:t>
            </w:r>
            <w:r w:rsidR="00004F12" w:rsidRPr="00DF434B">
              <w:rPr>
                <w:rFonts w:ascii="Times New Roman" w:eastAsia="Times New Roman" w:hAnsi="Times New Roman" w:cs="Times New Roman"/>
                <w:sz w:val="24"/>
                <w:szCs w:val="24"/>
              </w:rPr>
              <w:t>, speci</w:t>
            </w:r>
            <w:r w:rsidR="00121330" w:rsidRPr="00DF434B">
              <w:rPr>
                <w:rFonts w:ascii="Times New Roman" w:eastAsia="Times New Roman" w:hAnsi="Times New Roman" w:cs="Times New Roman"/>
                <w:sz w:val="24"/>
                <w:szCs w:val="24"/>
              </w:rPr>
              <w:t>alizētajām</w:t>
            </w:r>
            <w:r w:rsidR="00004F12" w:rsidRPr="00DF434B">
              <w:rPr>
                <w:rFonts w:ascii="Times New Roman" w:eastAsia="Times New Roman" w:hAnsi="Times New Roman" w:cs="Times New Roman"/>
                <w:sz w:val="24"/>
                <w:szCs w:val="24"/>
              </w:rPr>
              <w:t xml:space="preserve"> ierī</w:t>
            </w:r>
            <w:r w:rsidR="00121330" w:rsidRPr="00DF434B">
              <w:rPr>
                <w:rFonts w:ascii="Times New Roman" w:eastAsia="Times New Roman" w:hAnsi="Times New Roman" w:cs="Times New Roman"/>
                <w:sz w:val="24"/>
                <w:szCs w:val="24"/>
              </w:rPr>
              <w:t>cēm</w:t>
            </w:r>
            <w:r w:rsidR="00004F12" w:rsidRPr="00DF434B">
              <w:rPr>
                <w:rFonts w:ascii="Times New Roman" w:eastAsia="Times New Roman" w:hAnsi="Times New Roman" w:cs="Times New Roman"/>
                <w:sz w:val="24"/>
                <w:szCs w:val="24"/>
              </w:rPr>
              <w:t xml:space="preserve"> un iek</w:t>
            </w:r>
            <w:r w:rsidR="00121330" w:rsidRPr="00DF434B">
              <w:rPr>
                <w:rFonts w:ascii="Times New Roman" w:eastAsia="Times New Roman" w:hAnsi="Times New Roman" w:cs="Times New Roman"/>
                <w:sz w:val="24"/>
                <w:szCs w:val="24"/>
              </w:rPr>
              <w:t>ārtām</w:t>
            </w:r>
            <w:r w:rsidR="00D21B5D" w:rsidRPr="00DF434B">
              <w:rPr>
                <w:rFonts w:ascii="Times New Roman" w:eastAsia="Times New Roman" w:hAnsi="Times New Roman" w:cs="Times New Roman"/>
                <w:sz w:val="24"/>
                <w:szCs w:val="24"/>
              </w:rPr>
              <w:t>,</w:t>
            </w:r>
            <w:r w:rsidR="00D357CD">
              <w:rPr>
                <w:rFonts w:ascii="Times New Roman" w:eastAsia="Times New Roman" w:hAnsi="Times New Roman" w:cs="Times New Roman"/>
                <w:sz w:val="24"/>
                <w:szCs w:val="24"/>
              </w:rPr>
              <w:t xml:space="preserve"> kā arī nodrošinātu VID vienotajā datubāzē (reģistrā) uzkrātās informācijas atbilstību faktiskajai situācijai,</w:t>
            </w:r>
            <w:r w:rsidR="00121330" w:rsidRPr="00DF434B">
              <w:rPr>
                <w:rFonts w:ascii="Times New Roman" w:eastAsia="Times New Roman" w:hAnsi="Times New Roman" w:cs="Times New Roman"/>
                <w:sz w:val="24"/>
                <w:szCs w:val="24"/>
              </w:rPr>
              <w:t xml:space="preserve"> </w:t>
            </w:r>
            <w:r w:rsidR="0016598E" w:rsidRPr="00DF434B">
              <w:rPr>
                <w:rFonts w:ascii="Times New Roman" w:eastAsia="Times New Roman" w:hAnsi="Times New Roman" w:cs="Times New Roman"/>
                <w:sz w:val="24"/>
                <w:szCs w:val="24"/>
              </w:rPr>
              <w:t xml:space="preserve">nepieciešams </w:t>
            </w:r>
            <w:r w:rsidR="00E954CA">
              <w:rPr>
                <w:rFonts w:ascii="Times New Roman" w:eastAsia="Times New Roman" w:hAnsi="Times New Roman" w:cs="Times New Roman"/>
                <w:sz w:val="24"/>
                <w:szCs w:val="24"/>
              </w:rPr>
              <w:t xml:space="preserve">precizēt </w:t>
            </w:r>
            <w:r w:rsidR="00121330" w:rsidRPr="00DF434B">
              <w:rPr>
                <w:rFonts w:ascii="Times New Roman" w:eastAsia="Times New Roman" w:hAnsi="Times New Roman" w:cs="Times New Roman"/>
                <w:sz w:val="24"/>
                <w:szCs w:val="24"/>
              </w:rPr>
              <w:t>Ministru kabineta noteikum</w:t>
            </w:r>
            <w:r w:rsidR="00B96DC7">
              <w:rPr>
                <w:rFonts w:ascii="Times New Roman" w:eastAsia="Times New Roman" w:hAnsi="Times New Roman" w:cs="Times New Roman"/>
                <w:sz w:val="24"/>
                <w:szCs w:val="24"/>
              </w:rPr>
              <w:t>u</w:t>
            </w:r>
            <w:r w:rsidR="0016598E" w:rsidRPr="00DF434B">
              <w:rPr>
                <w:rFonts w:ascii="Times New Roman" w:eastAsia="Times New Roman" w:hAnsi="Times New Roman" w:cs="Times New Roman"/>
                <w:sz w:val="24"/>
                <w:szCs w:val="24"/>
              </w:rPr>
              <w:t xml:space="preserve"> Nr.96</w:t>
            </w:r>
            <w:r w:rsidR="00A935E2" w:rsidRPr="00DF434B">
              <w:rPr>
                <w:rFonts w:ascii="Times New Roman" w:eastAsia="Times New Roman" w:hAnsi="Times New Roman" w:cs="Times New Roman"/>
                <w:sz w:val="24"/>
                <w:szCs w:val="24"/>
              </w:rPr>
              <w:t xml:space="preserve"> </w:t>
            </w:r>
            <w:r w:rsidR="00121330" w:rsidRPr="00DF434B">
              <w:rPr>
                <w:rFonts w:ascii="Times New Roman" w:eastAsia="Times New Roman" w:hAnsi="Times New Roman" w:cs="Times New Roman"/>
                <w:sz w:val="24"/>
                <w:szCs w:val="24"/>
              </w:rPr>
              <w:t>29.</w:t>
            </w:r>
            <w:r w:rsidR="00C553D3" w:rsidRPr="00DF434B">
              <w:rPr>
                <w:rFonts w:ascii="Times New Roman" w:eastAsia="Times New Roman" w:hAnsi="Times New Roman" w:cs="Times New Roman"/>
                <w:sz w:val="24"/>
                <w:szCs w:val="24"/>
              </w:rPr>
              <w:t>, 31.,</w:t>
            </w:r>
            <w:r w:rsidR="00762542" w:rsidRPr="00DF434B">
              <w:rPr>
                <w:rFonts w:ascii="Times New Roman" w:eastAsia="Times New Roman" w:hAnsi="Times New Roman" w:cs="Times New Roman"/>
                <w:sz w:val="24"/>
                <w:szCs w:val="24"/>
              </w:rPr>
              <w:t xml:space="preserve"> </w:t>
            </w:r>
            <w:r w:rsidR="00121330" w:rsidRPr="00DF434B">
              <w:rPr>
                <w:rFonts w:ascii="Times New Roman" w:eastAsia="Times New Roman" w:hAnsi="Times New Roman" w:cs="Times New Roman"/>
                <w:sz w:val="24"/>
                <w:szCs w:val="24"/>
              </w:rPr>
              <w:t xml:space="preserve">32. </w:t>
            </w:r>
            <w:r w:rsidR="00C553D3" w:rsidRPr="00DF434B">
              <w:rPr>
                <w:rFonts w:ascii="Times New Roman" w:eastAsia="Times New Roman" w:hAnsi="Times New Roman" w:cs="Times New Roman"/>
                <w:sz w:val="24"/>
                <w:szCs w:val="24"/>
              </w:rPr>
              <w:t xml:space="preserve">un 33. </w:t>
            </w:r>
            <w:r w:rsidR="00121330" w:rsidRPr="00DF434B">
              <w:rPr>
                <w:rFonts w:ascii="Times New Roman" w:eastAsia="Times New Roman" w:hAnsi="Times New Roman" w:cs="Times New Roman"/>
                <w:sz w:val="24"/>
                <w:szCs w:val="24"/>
              </w:rPr>
              <w:t>punkta</w:t>
            </w:r>
            <w:r w:rsidR="000E2DDA" w:rsidRPr="00DF434B">
              <w:rPr>
                <w:rFonts w:ascii="Times New Roman" w:eastAsia="Times New Roman" w:hAnsi="Times New Roman" w:cs="Times New Roman"/>
                <w:sz w:val="24"/>
                <w:szCs w:val="24"/>
              </w:rPr>
              <w:t>, 34.1.8.apakšpunkta</w:t>
            </w:r>
            <w:r w:rsidR="00121330" w:rsidRPr="00DF434B">
              <w:rPr>
                <w:rFonts w:ascii="Times New Roman" w:eastAsia="Times New Roman" w:hAnsi="Times New Roman" w:cs="Times New Roman"/>
                <w:sz w:val="24"/>
                <w:szCs w:val="24"/>
              </w:rPr>
              <w:t xml:space="preserve"> redakciju un papildināt</w:t>
            </w:r>
            <w:r w:rsidR="00CE7768" w:rsidRPr="00DF434B">
              <w:rPr>
                <w:rFonts w:ascii="Times New Roman" w:eastAsia="Times New Roman" w:hAnsi="Times New Roman" w:cs="Times New Roman"/>
                <w:sz w:val="24"/>
                <w:szCs w:val="24"/>
              </w:rPr>
              <w:t xml:space="preserve"> </w:t>
            </w:r>
            <w:r w:rsidR="00E954CA" w:rsidRPr="00E954CA">
              <w:rPr>
                <w:rFonts w:ascii="Times New Roman" w:eastAsia="Times New Roman" w:hAnsi="Times New Roman" w:cs="Times New Roman"/>
                <w:sz w:val="24"/>
                <w:szCs w:val="24"/>
              </w:rPr>
              <w:t>Ministru kabineta noteikum</w:t>
            </w:r>
            <w:r w:rsidR="00E954CA">
              <w:rPr>
                <w:rFonts w:ascii="Times New Roman" w:eastAsia="Times New Roman" w:hAnsi="Times New Roman" w:cs="Times New Roman"/>
                <w:sz w:val="24"/>
                <w:szCs w:val="24"/>
              </w:rPr>
              <w:t>u</w:t>
            </w:r>
            <w:r w:rsidR="00E954CA" w:rsidRPr="00E954CA">
              <w:rPr>
                <w:rFonts w:ascii="Times New Roman" w:eastAsia="Times New Roman" w:hAnsi="Times New Roman" w:cs="Times New Roman"/>
                <w:sz w:val="24"/>
                <w:szCs w:val="24"/>
              </w:rPr>
              <w:t xml:space="preserve"> Nr.96</w:t>
            </w:r>
            <w:r w:rsidR="00E954CA">
              <w:rPr>
                <w:rFonts w:ascii="Times New Roman" w:eastAsia="Times New Roman" w:hAnsi="Times New Roman" w:cs="Times New Roman"/>
                <w:sz w:val="24"/>
                <w:szCs w:val="24"/>
              </w:rPr>
              <w:t xml:space="preserve"> </w:t>
            </w:r>
            <w:r w:rsidR="00121330" w:rsidRPr="00DF434B">
              <w:rPr>
                <w:rFonts w:ascii="Times New Roman" w:eastAsia="Times New Roman" w:hAnsi="Times New Roman" w:cs="Times New Roman"/>
                <w:sz w:val="24"/>
                <w:szCs w:val="24"/>
              </w:rPr>
              <w:t>92.punktu ar 92.5.apakšpunktu</w:t>
            </w:r>
            <w:r w:rsidR="007B3BF2">
              <w:rPr>
                <w:rFonts w:ascii="Times New Roman" w:eastAsia="Times New Roman" w:hAnsi="Times New Roman" w:cs="Times New Roman"/>
                <w:sz w:val="24"/>
                <w:szCs w:val="24"/>
              </w:rPr>
              <w:t xml:space="preserve">, kā arī papildināt </w:t>
            </w:r>
            <w:r w:rsidR="00121330" w:rsidRPr="00DF434B">
              <w:rPr>
                <w:rFonts w:ascii="Times New Roman" w:eastAsia="Times New Roman" w:hAnsi="Times New Roman" w:cs="Times New Roman"/>
                <w:sz w:val="24"/>
                <w:szCs w:val="24"/>
              </w:rPr>
              <w:t>ar</w:t>
            </w:r>
            <w:r w:rsidR="006670B8">
              <w:rPr>
                <w:rFonts w:ascii="Times New Roman" w:eastAsia="Times New Roman" w:hAnsi="Times New Roman" w:cs="Times New Roman"/>
                <w:sz w:val="24"/>
                <w:szCs w:val="24"/>
              </w:rPr>
              <w:t xml:space="preserve"> </w:t>
            </w:r>
            <w:r w:rsidR="006670B8" w:rsidRPr="00DF434B">
              <w:rPr>
                <w:rFonts w:ascii="Times New Roman" w:eastAsia="Times New Roman" w:hAnsi="Times New Roman" w:cs="Times New Roman"/>
                <w:sz w:val="24"/>
                <w:szCs w:val="24"/>
              </w:rPr>
              <w:t>34.</w:t>
            </w:r>
            <w:r w:rsidR="006670B8" w:rsidRPr="001D0266">
              <w:rPr>
                <w:rFonts w:ascii="Times New Roman" w:eastAsia="Times New Roman" w:hAnsi="Times New Roman" w:cs="Times New Roman"/>
                <w:sz w:val="24"/>
                <w:szCs w:val="24"/>
                <w:vertAlign w:val="superscript"/>
              </w:rPr>
              <w:t>1</w:t>
            </w:r>
            <w:r w:rsidR="006670B8">
              <w:rPr>
                <w:rFonts w:ascii="Times New Roman" w:eastAsia="Times New Roman" w:hAnsi="Times New Roman" w:cs="Times New Roman"/>
                <w:sz w:val="24"/>
                <w:szCs w:val="24"/>
              </w:rPr>
              <w:t>,</w:t>
            </w:r>
            <w:r w:rsidR="00121330" w:rsidRPr="00DF434B">
              <w:rPr>
                <w:rFonts w:ascii="Times New Roman" w:eastAsia="Times New Roman" w:hAnsi="Times New Roman" w:cs="Times New Roman"/>
                <w:sz w:val="24"/>
                <w:szCs w:val="24"/>
              </w:rPr>
              <w:t xml:space="preserve"> 94.</w:t>
            </w:r>
            <w:r w:rsidR="00121330" w:rsidRPr="00DF434B">
              <w:rPr>
                <w:rFonts w:ascii="Times New Roman" w:eastAsia="Times New Roman" w:hAnsi="Times New Roman" w:cs="Times New Roman"/>
                <w:sz w:val="24"/>
                <w:szCs w:val="24"/>
                <w:vertAlign w:val="superscript"/>
              </w:rPr>
              <w:t>1</w:t>
            </w:r>
            <w:r w:rsidR="00C553D3" w:rsidRPr="00DF434B">
              <w:rPr>
                <w:rFonts w:ascii="Times New Roman" w:eastAsia="Times New Roman" w:hAnsi="Times New Roman" w:cs="Times New Roman"/>
                <w:sz w:val="24"/>
                <w:szCs w:val="24"/>
              </w:rPr>
              <w:t xml:space="preserve"> un 109.</w:t>
            </w:r>
            <w:r w:rsidR="00C553D3" w:rsidRPr="00DF434B">
              <w:rPr>
                <w:rFonts w:ascii="Times New Roman" w:eastAsia="Times New Roman" w:hAnsi="Times New Roman" w:cs="Times New Roman"/>
                <w:sz w:val="24"/>
                <w:szCs w:val="24"/>
                <w:vertAlign w:val="superscript"/>
              </w:rPr>
              <w:t>1</w:t>
            </w:r>
            <w:r w:rsidR="00C553D3" w:rsidRPr="00DF434B">
              <w:rPr>
                <w:rFonts w:ascii="Times New Roman" w:eastAsia="Times New Roman" w:hAnsi="Times New Roman" w:cs="Times New Roman"/>
                <w:sz w:val="24"/>
                <w:szCs w:val="24"/>
              </w:rPr>
              <w:t>punktu</w:t>
            </w:r>
            <w:r w:rsidR="00121330" w:rsidRPr="00DF434B">
              <w:rPr>
                <w:rFonts w:ascii="Times New Roman" w:eastAsia="Times New Roman" w:hAnsi="Times New Roman" w:cs="Times New Roman"/>
                <w:sz w:val="24"/>
                <w:szCs w:val="24"/>
              </w:rPr>
              <w:t xml:space="preserve"> </w:t>
            </w:r>
            <w:r w:rsidR="00121330" w:rsidRPr="00DF434B">
              <w:rPr>
                <w:rFonts w:ascii="Times New Roman" w:eastAsia="Times New Roman" w:hAnsi="Times New Roman" w:cs="Times New Roman"/>
                <w:i/>
                <w:sz w:val="24"/>
                <w:szCs w:val="24"/>
              </w:rPr>
              <w:t xml:space="preserve">(noteikumu projekta </w:t>
            </w:r>
            <w:r w:rsidR="00D767E6">
              <w:rPr>
                <w:rFonts w:ascii="Times New Roman" w:eastAsia="Times New Roman" w:hAnsi="Times New Roman" w:cs="Times New Roman"/>
                <w:i/>
                <w:sz w:val="24"/>
                <w:szCs w:val="24"/>
              </w:rPr>
              <w:t>11</w:t>
            </w:r>
            <w:r w:rsidR="00952A96">
              <w:rPr>
                <w:rFonts w:ascii="Times New Roman" w:eastAsia="Times New Roman" w:hAnsi="Times New Roman" w:cs="Times New Roman"/>
                <w:i/>
                <w:sz w:val="24"/>
                <w:szCs w:val="24"/>
              </w:rPr>
              <w:t>.,</w:t>
            </w:r>
            <w:r w:rsidR="001203CC">
              <w:rPr>
                <w:rFonts w:ascii="Times New Roman" w:eastAsia="Times New Roman" w:hAnsi="Times New Roman" w:cs="Times New Roman"/>
                <w:i/>
                <w:sz w:val="24"/>
                <w:szCs w:val="24"/>
              </w:rPr>
              <w:t xml:space="preserve"> </w:t>
            </w:r>
            <w:r w:rsidR="00D767E6">
              <w:rPr>
                <w:rFonts w:ascii="Times New Roman" w:eastAsia="Times New Roman" w:hAnsi="Times New Roman" w:cs="Times New Roman"/>
                <w:i/>
                <w:sz w:val="24"/>
                <w:szCs w:val="24"/>
              </w:rPr>
              <w:t>12</w:t>
            </w:r>
            <w:r w:rsidR="001203CC">
              <w:rPr>
                <w:rFonts w:ascii="Times New Roman" w:eastAsia="Times New Roman" w:hAnsi="Times New Roman" w:cs="Times New Roman"/>
                <w:i/>
                <w:sz w:val="24"/>
                <w:szCs w:val="24"/>
              </w:rPr>
              <w:t>.,</w:t>
            </w:r>
            <w:r w:rsidR="00952A96">
              <w:rPr>
                <w:rFonts w:ascii="Times New Roman" w:eastAsia="Times New Roman" w:hAnsi="Times New Roman" w:cs="Times New Roman"/>
                <w:i/>
                <w:sz w:val="24"/>
                <w:szCs w:val="24"/>
              </w:rPr>
              <w:t xml:space="preserve"> </w:t>
            </w:r>
            <w:r w:rsidR="00D767E6">
              <w:rPr>
                <w:rFonts w:ascii="Times New Roman" w:eastAsia="Times New Roman" w:hAnsi="Times New Roman" w:cs="Times New Roman"/>
                <w:i/>
                <w:sz w:val="24"/>
                <w:szCs w:val="24"/>
              </w:rPr>
              <w:t>15</w:t>
            </w:r>
            <w:r w:rsidR="00952A96">
              <w:rPr>
                <w:rFonts w:ascii="Times New Roman" w:eastAsia="Times New Roman" w:hAnsi="Times New Roman" w:cs="Times New Roman"/>
                <w:i/>
                <w:sz w:val="24"/>
                <w:szCs w:val="24"/>
              </w:rPr>
              <w:t>., 20.</w:t>
            </w:r>
            <w:r w:rsidR="001203CC">
              <w:rPr>
                <w:rFonts w:ascii="Times New Roman" w:eastAsia="Times New Roman" w:hAnsi="Times New Roman" w:cs="Times New Roman"/>
                <w:i/>
                <w:sz w:val="24"/>
                <w:szCs w:val="24"/>
              </w:rPr>
              <w:t>, 22.</w:t>
            </w:r>
            <w:r w:rsidR="00952A96">
              <w:rPr>
                <w:rFonts w:ascii="Times New Roman" w:eastAsia="Times New Roman" w:hAnsi="Times New Roman" w:cs="Times New Roman"/>
                <w:i/>
                <w:sz w:val="24"/>
                <w:szCs w:val="24"/>
              </w:rPr>
              <w:t xml:space="preserve"> un 2</w:t>
            </w:r>
            <w:r w:rsidR="001203CC">
              <w:rPr>
                <w:rFonts w:ascii="Times New Roman" w:eastAsia="Times New Roman" w:hAnsi="Times New Roman" w:cs="Times New Roman"/>
                <w:i/>
                <w:sz w:val="24"/>
                <w:szCs w:val="24"/>
              </w:rPr>
              <w:t>3</w:t>
            </w:r>
            <w:r w:rsidR="00952A96">
              <w:rPr>
                <w:rFonts w:ascii="Times New Roman" w:eastAsia="Times New Roman" w:hAnsi="Times New Roman" w:cs="Times New Roman"/>
                <w:i/>
                <w:sz w:val="24"/>
                <w:szCs w:val="24"/>
              </w:rPr>
              <w:t>.</w:t>
            </w:r>
            <w:r w:rsidR="00121330" w:rsidRPr="00DF434B">
              <w:rPr>
                <w:rFonts w:ascii="Times New Roman" w:eastAsia="Times New Roman" w:hAnsi="Times New Roman" w:cs="Times New Roman"/>
                <w:i/>
                <w:sz w:val="24"/>
                <w:szCs w:val="24"/>
              </w:rPr>
              <w:t>punkts).</w:t>
            </w:r>
          </w:p>
          <w:p w14:paraId="1E2B4A55" w14:textId="1D34838D" w:rsidR="003A0252" w:rsidRDefault="003A0252" w:rsidP="00514C04">
            <w:pPr>
              <w:spacing w:after="0" w:line="240" w:lineRule="auto"/>
              <w:ind w:firstLine="466"/>
              <w:jc w:val="both"/>
              <w:rPr>
                <w:rFonts w:ascii="Times New Roman" w:eastAsia="Times New Roman" w:hAnsi="Times New Roman" w:cs="Times New Roman"/>
                <w:i/>
                <w:sz w:val="24"/>
                <w:szCs w:val="24"/>
              </w:rPr>
            </w:pPr>
          </w:p>
          <w:p w14:paraId="02A76B2E" w14:textId="3D015A69" w:rsidR="003A0252" w:rsidRPr="00312489" w:rsidRDefault="00312489" w:rsidP="00514C04">
            <w:pPr>
              <w:spacing w:after="0" w:line="240" w:lineRule="auto"/>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Noteikumu projekts precizē</w:t>
            </w:r>
            <w:r w:rsidR="00D52B7C" w:rsidRPr="00961EBB">
              <w:rPr>
                <w:rFonts w:ascii="Times New Roman" w:eastAsia="Times New Roman" w:hAnsi="Times New Roman" w:cs="Times New Roman"/>
                <w:sz w:val="24"/>
                <w:szCs w:val="24"/>
                <w:lang w:eastAsia="lv-LV"/>
              </w:rPr>
              <w:t xml:space="preserve"> Ministru kabineta noteikum</w:t>
            </w:r>
            <w:r w:rsidR="00D52B7C">
              <w:rPr>
                <w:rFonts w:ascii="Times New Roman" w:eastAsia="Times New Roman" w:hAnsi="Times New Roman" w:cs="Times New Roman"/>
                <w:sz w:val="24"/>
                <w:szCs w:val="24"/>
                <w:lang w:eastAsia="lv-LV"/>
              </w:rPr>
              <w:t>u</w:t>
            </w:r>
            <w:r w:rsidR="00D52B7C" w:rsidRPr="00961EBB">
              <w:rPr>
                <w:rFonts w:ascii="Times New Roman" w:eastAsia="Times New Roman" w:hAnsi="Times New Roman" w:cs="Times New Roman"/>
                <w:sz w:val="24"/>
                <w:szCs w:val="24"/>
                <w:lang w:eastAsia="lv-LV"/>
              </w:rPr>
              <w:t xml:space="preserve"> Nr.96</w:t>
            </w:r>
            <w:r w:rsidR="00D52B7C">
              <w:rPr>
                <w:rFonts w:ascii="Times New Roman" w:eastAsia="Times New Roman" w:hAnsi="Times New Roman" w:cs="Times New Roman"/>
                <w:sz w:val="24"/>
                <w:szCs w:val="24"/>
                <w:lang w:eastAsia="lv-LV"/>
              </w:rPr>
              <w:t xml:space="preserve"> 1.punktu, nodrošinot tā atbilstību likuma “Par nodokļiem un nodevām” 28.</w:t>
            </w:r>
            <w:r w:rsidR="00D52B7C" w:rsidRPr="00D52B7C">
              <w:rPr>
                <w:rFonts w:ascii="Times New Roman" w:eastAsia="Times New Roman" w:hAnsi="Times New Roman" w:cs="Times New Roman"/>
                <w:sz w:val="24"/>
                <w:szCs w:val="24"/>
                <w:vertAlign w:val="superscript"/>
                <w:lang w:eastAsia="lv-LV"/>
              </w:rPr>
              <w:t>1</w:t>
            </w:r>
            <w:r w:rsidR="00D52B7C">
              <w:rPr>
                <w:rFonts w:ascii="Times New Roman" w:eastAsia="Times New Roman" w:hAnsi="Times New Roman" w:cs="Times New Roman"/>
                <w:sz w:val="24"/>
                <w:szCs w:val="24"/>
                <w:lang w:eastAsia="lv-LV"/>
              </w:rPr>
              <w:t xml:space="preserve"> panta piektajā un sestajā daļā noteiktajam pilnvarojumam</w:t>
            </w:r>
            <w:r w:rsidR="00D767E6">
              <w:rPr>
                <w:rFonts w:ascii="Times New Roman" w:eastAsia="Times New Roman" w:hAnsi="Times New Roman" w:cs="Times New Roman"/>
                <w:sz w:val="24"/>
                <w:szCs w:val="24"/>
                <w:lang w:eastAsia="lv-LV"/>
              </w:rPr>
              <w:t xml:space="preserve"> </w:t>
            </w:r>
            <w:r w:rsidR="00D767E6" w:rsidRPr="00D767E6">
              <w:rPr>
                <w:rFonts w:ascii="Times New Roman" w:eastAsia="Times New Roman" w:hAnsi="Times New Roman" w:cs="Times New Roman"/>
                <w:i/>
                <w:sz w:val="24"/>
                <w:szCs w:val="24"/>
                <w:lang w:eastAsia="lv-LV"/>
              </w:rPr>
              <w:t>(noteikumu projekta 1.punkts)</w:t>
            </w:r>
            <w:r w:rsidR="00D52B7C">
              <w:rPr>
                <w:rFonts w:ascii="Times New Roman" w:eastAsia="Times New Roman" w:hAnsi="Times New Roman" w:cs="Times New Roman"/>
                <w:sz w:val="24"/>
                <w:szCs w:val="24"/>
                <w:lang w:eastAsia="lv-LV"/>
              </w:rPr>
              <w:t>.</w:t>
            </w:r>
          </w:p>
          <w:p w14:paraId="37AECB51" w14:textId="77777777" w:rsidR="004D799D" w:rsidRPr="00DF434B" w:rsidRDefault="004D799D" w:rsidP="001D0266">
            <w:pPr>
              <w:spacing w:after="0" w:line="240" w:lineRule="auto"/>
              <w:ind w:firstLine="466"/>
              <w:jc w:val="both"/>
              <w:rPr>
                <w:rFonts w:ascii="Times New Roman" w:hAnsi="Times New Roman" w:cs="Times New Roman"/>
                <w:sz w:val="24"/>
                <w:szCs w:val="24"/>
              </w:rPr>
            </w:pPr>
          </w:p>
        </w:tc>
      </w:tr>
      <w:tr w:rsidR="00AD0FD2" w14:paraId="085D3DD0" w14:textId="77777777" w:rsidTr="00DF750E">
        <w:trPr>
          <w:trHeight w:val="673"/>
        </w:trPr>
        <w:tc>
          <w:tcPr>
            <w:tcW w:w="431" w:type="dxa"/>
            <w:tcBorders>
              <w:bottom w:val="single" w:sz="4" w:space="0" w:color="auto"/>
            </w:tcBorders>
          </w:tcPr>
          <w:p w14:paraId="62200B03"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3.</w:t>
            </w:r>
          </w:p>
        </w:tc>
        <w:tc>
          <w:tcPr>
            <w:tcW w:w="2355" w:type="dxa"/>
            <w:gridSpan w:val="2"/>
            <w:tcBorders>
              <w:bottom w:val="single" w:sz="4" w:space="0" w:color="auto"/>
            </w:tcBorders>
          </w:tcPr>
          <w:p w14:paraId="0253536D" w14:textId="77777777" w:rsidR="00A37FA3" w:rsidRPr="00DF434B" w:rsidRDefault="006A521C" w:rsidP="00A37FA3">
            <w:pPr>
              <w:spacing w:after="0" w:line="240" w:lineRule="auto"/>
              <w:ind w:right="182"/>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Projekta izstrādē iesaistītās institūcijas</w:t>
            </w:r>
            <w:r w:rsidR="007B78DB" w:rsidRPr="00DF434B">
              <w:rPr>
                <w:rFonts w:ascii="Times New Roman" w:eastAsia="Times New Roman" w:hAnsi="Times New Roman" w:cs="Times New Roman"/>
                <w:sz w:val="24"/>
                <w:szCs w:val="24"/>
                <w:lang w:eastAsia="lv-LV"/>
              </w:rPr>
              <w:t xml:space="preserve"> un publiskas personas kapitālsabiedrības</w:t>
            </w:r>
          </w:p>
        </w:tc>
        <w:tc>
          <w:tcPr>
            <w:tcW w:w="6259" w:type="dxa"/>
            <w:tcBorders>
              <w:bottom w:val="single" w:sz="4" w:space="0" w:color="auto"/>
            </w:tcBorders>
          </w:tcPr>
          <w:p w14:paraId="51B42E33" w14:textId="723FE9AE" w:rsidR="00A37FA3" w:rsidRPr="00DF434B" w:rsidRDefault="004B7032" w:rsidP="00DF2785">
            <w:pPr>
              <w:spacing w:after="0" w:line="240" w:lineRule="auto"/>
              <w:ind w:firstLine="338"/>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Finanšu</w:t>
            </w:r>
            <w:r w:rsidR="00FB7541" w:rsidRPr="00DF434B">
              <w:rPr>
                <w:rFonts w:ascii="Times New Roman" w:eastAsia="Times New Roman" w:hAnsi="Times New Roman" w:cs="Times New Roman"/>
                <w:sz w:val="24"/>
                <w:szCs w:val="24"/>
                <w:lang w:eastAsia="lv-LV"/>
              </w:rPr>
              <w:t xml:space="preserve"> ministrija</w:t>
            </w:r>
            <w:r w:rsidR="006A521C" w:rsidRPr="00DF434B">
              <w:rPr>
                <w:rFonts w:ascii="Times New Roman" w:eastAsia="Times New Roman" w:hAnsi="Times New Roman" w:cs="Times New Roman"/>
                <w:sz w:val="24"/>
                <w:szCs w:val="24"/>
                <w:lang w:eastAsia="lv-LV"/>
              </w:rPr>
              <w:t xml:space="preserve"> </w:t>
            </w:r>
            <w:r w:rsidR="00DF2785">
              <w:rPr>
                <w:rFonts w:ascii="Times New Roman" w:eastAsia="Times New Roman" w:hAnsi="Times New Roman" w:cs="Times New Roman"/>
                <w:sz w:val="24"/>
                <w:szCs w:val="24"/>
                <w:lang w:eastAsia="lv-LV"/>
              </w:rPr>
              <w:t>(</w:t>
            </w:r>
            <w:r w:rsidR="00013344" w:rsidRPr="00DF434B">
              <w:rPr>
                <w:rFonts w:ascii="Times New Roman" w:eastAsia="Times New Roman" w:hAnsi="Times New Roman" w:cs="Times New Roman"/>
                <w:sz w:val="24"/>
                <w:szCs w:val="24"/>
                <w:lang w:eastAsia="lv-LV"/>
              </w:rPr>
              <w:t>VID</w:t>
            </w:r>
            <w:r w:rsidR="00DF2785">
              <w:rPr>
                <w:rFonts w:ascii="Times New Roman" w:eastAsia="Times New Roman" w:hAnsi="Times New Roman" w:cs="Times New Roman"/>
                <w:sz w:val="24"/>
                <w:szCs w:val="24"/>
                <w:lang w:eastAsia="lv-LV"/>
              </w:rPr>
              <w:t>)</w:t>
            </w:r>
            <w:r w:rsidR="006A521C" w:rsidRPr="00DF434B">
              <w:rPr>
                <w:rFonts w:ascii="Times New Roman" w:eastAsia="Times New Roman" w:hAnsi="Times New Roman" w:cs="Times New Roman"/>
                <w:sz w:val="24"/>
                <w:szCs w:val="24"/>
                <w:lang w:eastAsia="lv-LV"/>
              </w:rPr>
              <w:t xml:space="preserve">. </w:t>
            </w:r>
          </w:p>
        </w:tc>
      </w:tr>
      <w:tr w:rsidR="00AD0FD2" w14:paraId="75C2804D" w14:textId="77777777" w:rsidTr="00DF750E">
        <w:trPr>
          <w:trHeight w:val="258"/>
        </w:trPr>
        <w:tc>
          <w:tcPr>
            <w:tcW w:w="431" w:type="dxa"/>
            <w:tcBorders>
              <w:bottom w:val="single" w:sz="4" w:space="0" w:color="auto"/>
            </w:tcBorders>
          </w:tcPr>
          <w:p w14:paraId="7C191286"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4.</w:t>
            </w:r>
          </w:p>
        </w:tc>
        <w:tc>
          <w:tcPr>
            <w:tcW w:w="2355" w:type="dxa"/>
            <w:gridSpan w:val="2"/>
            <w:tcBorders>
              <w:bottom w:val="single" w:sz="4" w:space="0" w:color="auto"/>
            </w:tcBorders>
          </w:tcPr>
          <w:p w14:paraId="68E8A732"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6259" w:type="dxa"/>
            <w:tcBorders>
              <w:bottom w:val="single" w:sz="4" w:space="0" w:color="auto"/>
            </w:tcBorders>
          </w:tcPr>
          <w:p w14:paraId="0A26B8CD" w14:textId="62C03CA9" w:rsidR="009D6405" w:rsidRPr="00F26BB3" w:rsidRDefault="006A521C" w:rsidP="00514C04">
            <w:pPr>
              <w:spacing w:after="0" w:line="240" w:lineRule="auto"/>
              <w:ind w:firstLine="466"/>
              <w:jc w:val="both"/>
              <w:rPr>
                <w:rFonts w:ascii="Times New Roman" w:eastAsia="Times New Roman" w:hAnsi="Times New Roman" w:cs="Times New Roman"/>
                <w:sz w:val="24"/>
                <w:szCs w:val="24"/>
              </w:rPr>
            </w:pPr>
            <w:r w:rsidRPr="00AE1306">
              <w:rPr>
                <w:rFonts w:ascii="Times New Roman" w:eastAsia="Times New Roman" w:hAnsi="Times New Roman" w:cs="Times New Roman"/>
                <w:sz w:val="24"/>
                <w:szCs w:val="24"/>
              </w:rPr>
              <w:t>Saistībā ar</w:t>
            </w:r>
            <w:r w:rsidRPr="00AE1306">
              <w:t xml:space="preserve"> </w:t>
            </w:r>
            <w:r w:rsidRPr="00AE1306">
              <w:rPr>
                <w:rFonts w:ascii="Times New Roman" w:eastAsia="Times New Roman" w:hAnsi="Times New Roman" w:cs="Times New Roman"/>
                <w:sz w:val="24"/>
                <w:szCs w:val="24"/>
              </w:rPr>
              <w:t>Latvijas Republikas Augstākās tiesas 2018.gada 6.jūnija lēmumu lietā Nr.680000618</w:t>
            </w:r>
            <w:r w:rsidR="00FB03B7">
              <w:rPr>
                <w:rFonts w:ascii="Times New Roman" w:eastAsia="Times New Roman" w:hAnsi="Times New Roman" w:cs="Times New Roman"/>
                <w:sz w:val="24"/>
                <w:szCs w:val="24"/>
              </w:rPr>
              <w:t xml:space="preserve"> SKA-1035/2018</w:t>
            </w:r>
            <w:r w:rsidRPr="00AE1306">
              <w:rPr>
                <w:rFonts w:ascii="Times New Roman" w:eastAsia="Times New Roman" w:hAnsi="Times New Roman" w:cs="Times New Roman"/>
                <w:sz w:val="24"/>
                <w:szCs w:val="24"/>
              </w:rPr>
              <w:t xml:space="preserve">, nepieciešams steidzami noteikt tiesisko regulējumu </w:t>
            </w:r>
            <w:r w:rsidR="00073F1B" w:rsidRPr="00AE1306">
              <w:rPr>
                <w:rFonts w:ascii="Times New Roman" w:eastAsia="Times New Roman" w:hAnsi="Times New Roman" w:cs="Times New Roman"/>
                <w:sz w:val="24"/>
                <w:szCs w:val="24"/>
              </w:rPr>
              <w:t xml:space="preserve">obligātai </w:t>
            </w:r>
            <w:r w:rsidRPr="00AE1306">
              <w:rPr>
                <w:rFonts w:ascii="Times New Roman" w:eastAsia="Times New Roman" w:hAnsi="Times New Roman" w:cs="Times New Roman"/>
                <w:sz w:val="24"/>
                <w:szCs w:val="24"/>
              </w:rPr>
              <w:t>taksometru skaitītāju modeļu reģistrēšanai VID vienotajā datubāzē (reģistrā)</w:t>
            </w:r>
            <w:r w:rsidR="00073F1B" w:rsidRPr="00AE1306">
              <w:rPr>
                <w:rFonts w:ascii="Times New Roman" w:eastAsia="Times New Roman" w:hAnsi="Times New Roman" w:cs="Times New Roman"/>
                <w:sz w:val="24"/>
                <w:szCs w:val="24"/>
              </w:rPr>
              <w:t xml:space="preserve">, lai </w:t>
            </w:r>
            <w:r w:rsidR="00155129" w:rsidRPr="00AE1306">
              <w:rPr>
                <w:rFonts w:ascii="Times New Roman" w:eastAsia="Times New Roman" w:hAnsi="Times New Roman" w:cs="Times New Roman"/>
                <w:sz w:val="24"/>
                <w:szCs w:val="24"/>
              </w:rPr>
              <w:t xml:space="preserve">potenciālajiem taksometru skatītāju lietotājiem būtu publiski pieejama informācija par pieejamajiem taksometru skaitītāju modeļiem un kontroles un uzraudzības </w:t>
            </w:r>
            <w:r w:rsidR="00155129" w:rsidRPr="00AE1306">
              <w:rPr>
                <w:rFonts w:ascii="Times New Roman" w:eastAsia="Times New Roman" w:hAnsi="Times New Roman" w:cs="Times New Roman"/>
                <w:sz w:val="24"/>
                <w:szCs w:val="24"/>
              </w:rPr>
              <w:lastRenderedPageBreak/>
              <w:t>institūcijām – VID,</w:t>
            </w:r>
            <w:r w:rsidR="00155129" w:rsidRPr="00AE1306">
              <w:rPr>
                <w:rFonts w:ascii="Times New Roman" w:hAnsi="Times New Roman" w:cs="Times New Roman"/>
                <w:sz w:val="24"/>
                <w:szCs w:val="24"/>
              </w:rPr>
              <w:t xml:space="preserve"> </w:t>
            </w:r>
            <w:r w:rsidR="00FB03B7">
              <w:rPr>
                <w:rFonts w:ascii="Times New Roman" w:hAnsi="Times New Roman" w:cs="Times New Roman"/>
                <w:sz w:val="24"/>
                <w:szCs w:val="24"/>
              </w:rPr>
              <w:t>valsts aģentūrā</w:t>
            </w:r>
            <w:r w:rsidR="00FB03B7" w:rsidRPr="00DF434B">
              <w:rPr>
                <w:rFonts w:ascii="Times New Roman" w:hAnsi="Times New Roman" w:cs="Times New Roman"/>
                <w:sz w:val="24"/>
                <w:szCs w:val="24"/>
              </w:rPr>
              <w:t xml:space="preserve"> “Latvijas Nacionālais akreditācijas birojs”</w:t>
            </w:r>
            <w:r w:rsidR="00FB03B7">
              <w:rPr>
                <w:rFonts w:ascii="Times New Roman" w:hAnsi="Times New Roman" w:cs="Times New Roman"/>
                <w:sz w:val="24"/>
                <w:szCs w:val="24"/>
              </w:rPr>
              <w:t xml:space="preserve"> </w:t>
            </w:r>
            <w:r w:rsidR="00155129" w:rsidRPr="00AE1306">
              <w:rPr>
                <w:rFonts w:ascii="Times New Roman" w:eastAsia="Times New Roman" w:hAnsi="Times New Roman" w:cs="Times New Roman"/>
                <w:sz w:val="24"/>
                <w:szCs w:val="24"/>
              </w:rPr>
              <w:t>akreditētām institūcijām, Ceļu satiksmes drošības direkcijai</w:t>
            </w:r>
            <w:r w:rsidR="00F333CD">
              <w:rPr>
                <w:rFonts w:ascii="Times New Roman" w:eastAsia="Times New Roman" w:hAnsi="Times New Roman" w:cs="Times New Roman"/>
                <w:sz w:val="24"/>
                <w:szCs w:val="24"/>
              </w:rPr>
              <w:t>, Valsts policijai, pašvaldību kontrolējošām institūcijām un policijai</w:t>
            </w:r>
            <w:r w:rsidR="00155129" w:rsidRPr="00AE1306">
              <w:rPr>
                <w:rFonts w:ascii="Times New Roman" w:eastAsia="Times New Roman" w:hAnsi="Times New Roman" w:cs="Times New Roman"/>
                <w:sz w:val="24"/>
                <w:szCs w:val="24"/>
              </w:rPr>
              <w:t xml:space="preserve"> to funkciju izpildei nepieciešamā informācija</w:t>
            </w:r>
            <w:r w:rsidRPr="00AE1306">
              <w:rPr>
                <w:rFonts w:ascii="Times New Roman" w:eastAsia="Times New Roman" w:hAnsi="Times New Roman" w:cs="Times New Roman"/>
                <w:sz w:val="24"/>
                <w:szCs w:val="24"/>
              </w:rPr>
              <w:t>.</w:t>
            </w:r>
          </w:p>
          <w:p w14:paraId="2870924A" w14:textId="7AD648C5" w:rsidR="00C50DC4" w:rsidRDefault="001E144F" w:rsidP="00514C04">
            <w:pPr>
              <w:spacing w:after="0" w:line="240" w:lineRule="auto"/>
              <w:ind w:firstLine="466"/>
              <w:jc w:val="both"/>
              <w:rPr>
                <w:rFonts w:ascii="Times New Roman" w:eastAsia="Times New Roman" w:hAnsi="Times New Roman" w:cs="Times New Roman"/>
                <w:bCs/>
                <w:sz w:val="24"/>
                <w:szCs w:val="24"/>
                <w:lang w:eastAsia="lv-LV"/>
              </w:rPr>
            </w:pPr>
            <w:r w:rsidRPr="005540DE">
              <w:rPr>
                <w:rFonts w:ascii="Times New Roman" w:eastAsia="Times New Roman" w:hAnsi="Times New Roman" w:cs="Times New Roman"/>
                <w:sz w:val="24"/>
                <w:szCs w:val="24"/>
              </w:rPr>
              <w:t xml:space="preserve">Tāpat steidzami nepieciešams tiesiski noregulēt </w:t>
            </w:r>
            <w:r w:rsidR="00623753" w:rsidRPr="005540DE">
              <w:rPr>
                <w:rFonts w:ascii="Times New Roman" w:eastAsia="Times New Roman" w:hAnsi="Times New Roman" w:cs="Times New Roman"/>
                <w:sz w:val="24"/>
                <w:szCs w:val="24"/>
              </w:rPr>
              <w:t>situācij</w:t>
            </w:r>
            <w:r w:rsidRPr="005540DE">
              <w:rPr>
                <w:rFonts w:ascii="Times New Roman" w:eastAsia="Times New Roman" w:hAnsi="Times New Roman" w:cs="Times New Roman"/>
                <w:sz w:val="24"/>
                <w:szCs w:val="24"/>
              </w:rPr>
              <w:t>u</w:t>
            </w:r>
            <w:r w:rsidR="00623753" w:rsidRPr="005540DE">
              <w:rPr>
                <w:rFonts w:ascii="Times New Roman" w:eastAsia="Times New Roman" w:hAnsi="Times New Roman" w:cs="Times New Roman"/>
                <w:sz w:val="24"/>
                <w:szCs w:val="24"/>
              </w:rPr>
              <w:t xml:space="preserve"> ar aptuveni 18 000 </w:t>
            </w:r>
            <w:r w:rsidRPr="005540DE">
              <w:rPr>
                <w:rFonts w:ascii="Times New Roman" w:eastAsia="Times New Roman" w:hAnsi="Times New Roman" w:cs="Times New Roman"/>
                <w:sz w:val="24"/>
                <w:szCs w:val="24"/>
              </w:rPr>
              <w:t xml:space="preserve">no VID vienotās datubāzes (reģistra) izslēgtajiem </w:t>
            </w:r>
            <w:r w:rsidR="00623753" w:rsidRPr="005540DE">
              <w:rPr>
                <w:rFonts w:ascii="Times New Roman" w:eastAsia="Times New Roman" w:hAnsi="Times New Roman" w:cs="Times New Roman"/>
                <w:sz w:val="24"/>
                <w:szCs w:val="24"/>
              </w:rPr>
              <w:t>kases aparātiem</w:t>
            </w:r>
            <w:r w:rsidR="00237667" w:rsidRPr="005540DE">
              <w:rPr>
                <w:rFonts w:ascii="Times New Roman" w:eastAsia="Times New Roman" w:hAnsi="Times New Roman" w:cs="Times New Roman"/>
                <w:sz w:val="24"/>
                <w:szCs w:val="24"/>
              </w:rPr>
              <w:t>,</w:t>
            </w:r>
            <w:r w:rsidR="00623753" w:rsidRPr="005540DE">
              <w:rPr>
                <w:rFonts w:ascii="Times New Roman" w:eastAsia="Times New Roman" w:hAnsi="Times New Roman" w:cs="Times New Roman"/>
                <w:sz w:val="24"/>
                <w:szCs w:val="24"/>
              </w:rPr>
              <w:t xml:space="preserve"> </w:t>
            </w:r>
            <w:r w:rsidR="00155129" w:rsidRPr="005540DE">
              <w:rPr>
                <w:rFonts w:ascii="Times New Roman" w:eastAsia="Times New Roman" w:hAnsi="Times New Roman" w:cs="Times New Roman"/>
                <w:sz w:val="24"/>
                <w:szCs w:val="24"/>
              </w:rPr>
              <w:t>lai nodrošinātu konstatēto neatbilstību novēršanu saprātīgā termiņā</w:t>
            </w:r>
            <w:r w:rsidR="00F333CD">
              <w:rPr>
                <w:rFonts w:ascii="Times New Roman" w:eastAsia="Times New Roman" w:hAnsi="Times New Roman" w:cs="Times New Roman"/>
                <w:sz w:val="24"/>
                <w:szCs w:val="24"/>
              </w:rPr>
              <w:t xml:space="preserve"> un normatīvo aktu prasībām atbilstošu elektronisko ierīču un iekārtu lietošanu</w:t>
            </w:r>
            <w:r w:rsidR="00155129" w:rsidRPr="005540DE">
              <w:rPr>
                <w:rFonts w:ascii="Times New Roman" w:eastAsia="Times New Roman" w:hAnsi="Times New Roman" w:cs="Times New Roman"/>
                <w:sz w:val="24"/>
                <w:szCs w:val="24"/>
              </w:rPr>
              <w:t xml:space="preserve">. </w:t>
            </w:r>
            <w:r w:rsidR="00821F8A">
              <w:rPr>
                <w:rFonts w:ascii="Times New Roman" w:eastAsia="Times New Roman" w:hAnsi="Times New Roman" w:cs="Times New Roman"/>
                <w:sz w:val="24"/>
                <w:szCs w:val="24"/>
              </w:rPr>
              <w:t>Tādē</w:t>
            </w:r>
            <w:r w:rsidRPr="005540DE">
              <w:rPr>
                <w:rFonts w:ascii="Times New Roman" w:eastAsia="Times New Roman" w:hAnsi="Times New Roman" w:cs="Times New Roman"/>
                <w:sz w:val="24"/>
                <w:szCs w:val="24"/>
              </w:rPr>
              <w:t xml:space="preserve">jādi </w:t>
            </w:r>
            <w:r w:rsidR="00E70AF3" w:rsidRPr="005540DE">
              <w:rPr>
                <w:rFonts w:ascii="Times New Roman" w:eastAsia="Times New Roman" w:hAnsi="Times New Roman" w:cs="Times New Roman"/>
                <w:bCs/>
                <w:sz w:val="24"/>
                <w:szCs w:val="24"/>
                <w:lang w:eastAsia="lv-LV"/>
              </w:rPr>
              <w:t>n</w:t>
            </w:r>
            <w:r w:rsidR="00CD0587" w:rsidRPr="005540DE">
              <w:rPr>
                <w:rFonts w:ascii="Times New Roman" w:eastAsia="Times New Roman" w:hAnsi="Times New Roman" w:cs="Times New Roman"/>
                <w:bCs/>
                <w:sz w:val="24"/>
                <w:szCs w:val="24"/>
                <w:lang w:eastAsia="lv-LV"/>
              </w:rPr>
              <w:t xml:space="preserve">oteikumu projekts tiks virzīts steidzamības kārtībā saskaņā ar Ministru kabineta 2009.gada 7.aprīļa noteikumu Nr.300 </w:t>
            </w:r>
            <w:r w:rsidR="00821F8A">
              <w:rPr>
                <w:rFonts w:ascii="Times New Roman" w:eastAsia="Times New Roman" w:hAnsi="Times New Roman" w:cs="Times New Roman"/>
                <w:sz w:val="24"/>
                <w:szCs w:val="24"/>
                <w:lang w:eastAsia="lv-LV"/>
              </w:rPr>
              <w:t>“</w:t>
            </w:r>
            <w:r w:rsidR="00CD0587" w:rsidRPr="005540DE">
              <w:rPr>
                <w:rFonts w:ascii="Times New Roman" w:eastAsia="Times New Roman" w:hAnsi="Times New Roman" w:cs="Times New Roman"/>
                <w:bCs/>
                <w:sz w:val="24"/>
                <w:szCs w:val="24"/>
                <w:lang w:eastAsia="lv-LV"/>
              </w:rPr>
              <w:t>Ministru kabineta kārtības rullis</w:t>
            </w:r>
            <w:r w:rsidR="00821F8A">
              <w:rPr>
                <w:rFonts w:ascii="Times New Roman" w:eastAsia="Times New Roman" w:hAnsi="Times New Roman" w:cs="Times New Roman"/>
                <w:sz w:val="24"/>
                <w:szCs w:val="24"/>
                <w:lang w:eastAsia="lv-LV"/>
              </w:rPr>
              <w:t>”</w:t>
            </w:r>
            <w:r w:rsidR="00CD0587" w:rsidRPr="005540DE">
              <w:rPr>
                <w:rFonts w:ascii="Times New Roman" w:eastAsia="Times New Roman" w:hAnsi="Times New Roman" w:cs="Times New Roman"/>
                <w:bCs/>
                <w:sz w:val="24"/>
                <w:szCs w:val="24"/>
                <w:lang w:eastAsia="lv-LV"/>
              </w:rPr>
              <w:t xml:space="preserve"> 116.</w:t>
            </w:r>
            <w:r w:rsidR="008105FD">
              <w:rPr>
                <w:rFonts w:ascii="Times New Roman" w:eastAsia="Times New Roman" w:hAnsi="Times New Roman" w:cs="Times New Roman"/>
                <w:bCs/>
                <w:sz w:val="24"/>
                <w:szCs w:val="24"/>
                <w:lang w:eastAsia="lv-LV"/>
              </w:rPr>
              <w:t>,</w:t>
            </w:r>
            <w:r w:rsidR="00FB03B7">
              <w:rPr>
                <w:rFonts w:ascii="Times New Roman" w:eastAsia="Times New Roman" w:hAnsi="Times New Roman" w:cs="Times New Roman"/>
                <w:bCs/>
                <w:sz w:val="24"/>
                <w:szCs w:val="24"/>
                <w:lang w:eastAsia="lv-LV"/>
              </w:rPr>
              <w:t xml:space="preserve"> 117.</w:t>
            </w:r>
            <w:r w:rsidR="008105FD">
              <w:rPr>
                <w:rFonts w:ascii="Times New Roman" w:eastAsia="Times New Roman" w:hAnsi="Times New Roman" w:cs="Times New Roman"/>
                <w:bCs/>
                <w:sz w:val="24"/>
                <w:szCs w:val="24"/>
                <w:lang w:eastAsia="lv-LV"/>
              </w:rPr>
              <w:t xml:space="preserve"> un 119. </w:t>
            </w:r>
            <w:r w:rsidR="00CD0587" w:rsidRPr="005540DE">
              <w:rPr>
                <w:rFonts w:ascii="Times New Roman" w:eastAsia="Times New Roman" w:hAnsi="Times New Roman" w:cs="Times New Roman"/>
                <w:bCs/>
                <w:sz w:val="24"/>
                <w:szCs w:val="24"/>
                <w:lang w:eastAsia="lv-LV"/>
              </w:rPr>
              <w:t>punktu kā Ministru kabineta lieta.</w:t>
            </w:r>
          </w:p>
          <w:p w14:paraId="4D7D9B57" w14:textId="67BFE576" w:rsidR="005540DE" w:rsidRDefault="006A521C" w:rsidP="00514C04">
            <w:pPr>
              <w:spacing w:after="0" w:line="240" w:lineRule="auto"/>
              <w:ind w:firstLine="466"/>
              <w:jc w:val="both"/>
              <w:rPr>
                <w:rFonts w:ascii="Times New Roman" w:eastAsia="Times New Roman" w:hAnsi="Times New Roman"/>
                <w:sz w:val="24"/>
                <w:szCs w:val="24"/>
              </w:rPr>
            </w:pPr>
            <w:r w:rsidRPr="00B963B8">
              <w:rPr>
                <w:rFonts w:ascii="Times New Roman" w:eastAsia="Times New Roman" w:hAnsi="Times New Roman"/>
                <w:sz w:val="24"/>
                <w:szCs w:val="24"/>
              </w:rPr>
              <w:t>Ja steidzami netiks veikti grozījumi Ministru kabineta noteikumos Nr.96, radīsies nelabvēlīgas sekas valstij un tiks radīt</w:t>
            </w:r>
            <w:r>
              <w:rPr>
                <w:rFonts w:ascii="Times New Roman" w:eastAsia="Times New Roman" w:hAnsi="Times New Roman"/>
                <w:sz w:val="24"/>
                <w:szCs w:val="24"/>
              </w:rPr>
              <w:t>s</w:t>
            </w:r>
            <w:r w:rsidRPr="00B963B8">
              <w:rPr>
                <w:rFonts w:ascii="Times New Roman" w:eastAsia="Times New Roman" w:hAnsi="Times New Roman"/>
                <w:sz w:val="24"/>
                <w:szCs w:val="24"/>
              </w:rPr>
              <w:t xml:space="preserve"> būtisks kaitējums </w:t>
            </w:r>
            <w:r w:rsidR="00F333CD">
              <w:rPr>
                <w:rFonts w:ascii="Times New Roman" w:eastAsia="Times New Roman" w:hAnsi="Times New Roman"/>
                <w:sz w:val="24"/>
                <w:szCs w:val="24"/>
              </w:rPr>
              <w:t>lietotājiem</w:t>
            </w:r>
            <w:r w:rsidRPr="00B963B8">
              <w:rPr>
                <w:rFonts w:ascii="Times New Roman" w:eastAsia="Times New Roman" w:hAnsi="Times New Roman"/>
                <w:sz w:val="24"/>
                <w:szCs w:val="24"/>
              </w:rPr>
              <w:t>. Vairāk kā 18 000 kases aparātu lietotāji šobrīd lieto kases aparātus, kuri neatbilst</w:t>
            </w:r>
            <w:r w:rsidR="001D11DC" w:rsidRPr="001D11DC">
              <w:rPr>
                <w:rFonts w:ascii="Times New Roman" w:eastAsia="Times New Roman" w:hAnsi="Times New Roman"/>
                <w:sz w:val="24"/>
                <w:szCs w:val="24"/>
              </w:rPr>
              <w:t xml:space="preserve"> normatīvajos</w:t>
            </w:r>
            <w:r w:rsidRPr="00B963B8">
              <w:rPr>
                <w:rFonts w:ascii="Times New Roman" w:eastAsia="Times New Roman" w:hAnsi="Times New Roman"/>
                <w:sz w:val="24"/>
                <w:szCs w:val="24"/>
              </w:rPr>
              <w:t xml:space="preserve"> </w:t>
            </w:r>
            <w:r w:rsidR="001D11DC" w:rsidRPr="001D11DC">
              <w:rPr>
                <w:rFonts w:ascii="Times New Roman" w:eastAsia="Times New Roman" w:hAnsi="Times New Roman"/>
                <w:sz w:val="24"/>
                <w:szCs w:val="24"/>
              </w:rPr>
              <w:t>aktos noteiktaj</w:t>
            </w:r>
            <w:r w:rsidR="001D11DC">
              <w:rPr>
                <w:rFonts w:ascii="Times New Roman" w:eastAsia="Times New Roman" w:hAnsi="Times New Roman"/>
                <w:sz w:val="24"/>
                <w:szCs w:val="24"/>
              </w:rPr>
              <w:t>ām</w:t>
            </w:r>
            <w:r w:rsidRPr="00B963B8">
              <w:rPr>
                <w:rFonts w:ascii="Times New Roman" w:eastAsia="Times New Roman" w:hAnsi="Times New Roman"/>
                <w:sz w:val="24"/>
                <w:szCs w:val="24"/>
              </w:rPr>
              <w:t xml:space="preserve"> tehniskajām prasībām</w:t>
            </w:r>
            <w:r w:rsidR="00260304">
              <w:rPr>
                <w:rFonts w:ascii="Times New Roman" w:eastAsia="Times New Roman" w:hAnsi="Times New Roman"/>
                <w:sz w:val="24"/>
                <w:szCs w:val="24"/>
              </w:rPr>
              <w:t xml:space="preserve">, </w:t>
            </w:r>
            <w:r w:rsidR="00B626A0">
              <w:rPr>
                <w:rFonts w:ascii="Times New Roman" w:eastAsia="Times New Roman" w:hAnsi="Times New Roman"/>
                <w:sz w:val="24"/>
                <w:szCs w:val="24"/>
              </w:rPr>
              <w:t xml:space="preserve">tādējādi negodprātīgiem nodokļu maksātājiem </w:t>
            </w:r>
            <w:r w:rsidR="00B644D9">
              <w:rPr>
                <w:rFonts w:ascii="Times New Roman" w:eastAsia="Times New Roman" w:hAnsi="Times New Roman"/>
                <w:sz w:val="24"/>
                <w:szCs w:val="24"/>
              </w:rPr>
              <w:t xml:space="preserve">joprojām </w:t>
            </w:r>
            <w:r w:rsidR="00B626A0">
              <w:rPr>
                <w:rFonts w:ascii="Times New Roman" w:eastAsia="Times New Roman" w:hAnsi="Times New Roman"/>
                <w:sz w:val="24"/>
                <w:szCs w:val="24"/>
              </w:rPr>
              <w:t xml:space="preserve">ir </w:t>
            </w:r>
            <w:r w:rsidR="0029087F">
              <w:rPr>
                <w:rFonts w:ascii="Times New Roman" w:eastAsia="Times New Roman" w:hAnsi="Times New Roman"/>
                <w:sz w:val="24"/>
                <w:szCs w:val="24"/>
              </w:rPr>
              <w:t>iespējams</w:t>
            </w:r>
            <w:r w:rsidR="008300EE">
              <w:rPr>
                <w:rFonts w:ascii="Times New Roman" w:eastAsia="Times New Roman" w:hAnsi="Times New Roman"/>
                <w:sz w:val="24"/>
                <w:szCs w:val="24"/>
              </w:rPr>
              <w:t xml:space="preserve"> </w:t>
            </w:r>
            <w:r w:rsidR="00B626A0">
              <w:rPr>
                <w:rFonts w:ascii="Times New Roman" w:eastAsia="Times New Roman" w:hAnsi="Times New Roman"/>
                <w:sz w:val="24"/>
                <w:szCs w:val="24"/>
              </w:rPr>
              <w:t xml:space="preserve">veikt manipulācijas kases aparātā, samazinot vai dzēšot darījumu vērtību, kā rezultātā tiek samazināta budžetā maksājamā nodokļu summa. </w:t>
            </w:r>
          </w:p>
          <w:p w14:paraId="58EFA704" w14:textId="0767F3FF" w:rsidR="007757B3" w:rsidRPr="00B963B8" w:rsidRDefault="006A521C" w:rsidP="00514C04">
            <w:pPr>
              <w:spacing w:after="0" w:line="240" w:lineRule="auto"/>
              <w:ind w:firstLine="466"/>
              <w:jc w:val="both"/>
              <w:rPr>
                <w:rFonts w:ascii="Times New Roman" w:eastAsia="Times New Roman" w:hAnsi="Times New Roman" w:cs="Times New Roman"/>
                <w:bCs/>
                <w:sz w:val="24"/>
                <w:szCs w:val="24"/>
                <w:lang w:eastAsia="lv-LV"/>
              </w:rPr>
            </w:pPr>
            <w:r w:rsidRPr="00AE1306">
              <w:rPr>
                <w:rFonts w:ascii="Times New Roman" w:eastAsia="Times New Roman" w:hAnsi="Times New Roman"/>
                <w:sz w:val="24"/>
                <w:szCs w:val="24"/>
              </w:rPr>
              <w:t>Savukārt</w:t>
            </w:r>
            <w:r w:rsidR="005540DE" w:rsidRPr="00AE1306">
              <w:rPr>
                <w:rFonts w:ascii="Times New Roman" w:eastAsia="Times New Roman" w:hAnsi="Times New Roman"/>
                <w:sz w:val="24"/>
                <w:szCs w:val="24"/>
              </w:rPr>
              <w:t>,</w:t>
            </w:r>
            <w:r w:rsidRPr="00AE1306">
              <w:rPr>
                <w:rFonts w:ascii="Times New Roman" w:eastAsia="Times New Roman" w:hAnsi="Times New Roman"/>
                <w:sz w:val="24"/>
                <w:szCs w:val="24"/>
              </w:rPr>
              <w:t xml:space="preserve"> </w:t>
            </w:r>
            <w:r w:rsidR="00267D10">
              <w:rPr>
                <w:rFonts w:ascii="Times New Roman" w:eastAsia="Times New Roman" w:hAnsi="Times New Roman"/>
                <w:sz w:val="24"/>
                <w:szCs w:val="24"/>
              </w:rPr>
              <w:t xml:space="preserve">nenosakot </w:t>
            </w:r>
            <w:r w:rsidRPr="00AE1306">
              <w:rPr>
                <w:rFonts w:ascii="Times New Roman" w:eastAsia="Times New Roman" w:hAnsi="Times New Roman"/>
                <w:sz w:val="24"/>
                <w:szCs w:val="24"/>
              </w:rPr>
              <w:t>obligāt</w:t>
            </w:r>
            <w:r w:rsidR="00267D10">
              <w:rPr>
                <w:rFonts w:ascii="Times New Roman" w:eastAsia="Times New Roman" w:hAnsi="Times New Roman"/>
                <w:sz w:val="24"/>
                <w:szCs w:val="24"/>
              </w:rPr>
              <w:t>u prasību</w:t>
            </w:r>
            <w:r w:rsidRPr="00AE1306">
              <w:rPr>
                <w:rFonts w:ascii="Times New Roman" w:eastAsia="Times New Roman" w:hAnsi="Times New Roman"/>
                <w:sz w:val="24"/>
                <w:szCs w:val="24"/>
              </w:rPr>
              <w:t xml:space="preserve"> reģistrēt taksometru skaitītāj</w:t>
            </w:r>
            <w:r w:rsidR="009640D9" w:rsidRPr="00AE1306">
              <w:rPr>
                <w:rFonts w:ascii="Times New Roman" w:eastAsia="Times New Roman" w:hAnsi="Times New Roman"/>
                <w:sz w:val="24"/>
                <w:szCs w:val="24"/>
              </w:rPr>
              <w:t xml:space="preserve">u </w:t>
            </w:r>
            <w:r w:rsidRPr="00AE1306">
              <w:rPr>
                <w:rFonts w:ascii="Times New Roman" w:eastAsia="Times New Roman" w:hAnsi="Times New Roman"/>
                <w:sz w:val="24"/>
                <w:szCs w:val="24"/>
              </w:rPr>
              <w:t>modeļus</w:t>
            </w:r>
            <w:r w:rsidR="00267D10">
              <w:rPr>
                <w:rFonts w:ascii="Times New Roman" w:eastAsia="Times New Roman" w:hAnsi="Times New Roman"/>
                <w:sz w:val="24"/>
                <w:szCs w:val="24"/>
              </w:rPr>
              <w:t xml:space="preserve"> (modifikāciju)</w:t>
            </w:r>
            <w:r w:rsidRPr="00AE1306">
              <w:rPr>
                <w:rFonts w:ascii="Times New Roman" w:eastAsia="Times New Roman" w:hAnsi="Times New Roman"/>
                <w:sz w:val="24"/>
                <w:szCs w:val="24"/>
              </w:rPr>
              <w:t xml:space="preserve"> VID vienotā datubāzē (reģistrā), tiek kavēta reformas gaita un apgrūtināta kontroles un uzraudzības institūciju </w:t>
            </w:r>
            <w:r w:rsidR="00FC6054" w:rsidRPr="00AE1306">
              <w:rPr>
                <w:rFonts w:ascii="Times New Roman" w:eastAsia="Times New Roman" w:hAnsi="Times New Roman"/>
                <w:sz w:val="24"/>
                <w:szCs w:val="24"/>
              </w:rPr>
              <w:t>darbība.</w:t>
            </w:r>
            <w:r w:rsidR="00FC605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4B91D6AF" w14:textId="64DB7387" w:rsidR="00B963B8" w:rsidRPr="003B18B1" w:rsidRDefault="006A521C" w:rsidP="00B963B8">
            <w:pPr>
              <w:spacing w:after="0" w:line="240" w:lineRule="auto"/>
              <w:ind w:firstLine="471"/>
              <w:jc w:val="both"/>
              <w:rPr>
                <w:rFonts w:ascii="Times New Roman" w:eastAsia="Times New Roman" w:hAnsi="Times New Roman"/>
                <w:sz w:val="24"/>
                <w:szCs w:val="24"/>
              </w:rPr>
            </w:pPr>
            <w:r w:rsidRPr="003B18B1">
              <w:rPr>
                <w:rFonts w:ascii="Times New Roman" w:eastAsia="Times New Roman" w:hAnsi="Times New Roman"/>
                <w:sz w:val="24"/>
                <w:szCs w:val="24"/>
              </w:rPr>
              <w:t>2018.gada 1</w:t>
            </w:r>
            <w:r w:rsidR="00FB03B7">
              <w:rPr>
                <w:rFonts w:ascii="Times New Roman" w:eastAsia="Times New Roman" w:hAnsi="Times New Roman"/>
                <w:sz w:val="24"/>
                <w:szCs w:val="24"/>
              </w:rPr>
              <w:t>8</w:t>
            </w:r>
            <w:r w:rsidRPr="003B18B1">
              <w:rPr>
                <w:rFonts w:ascii="Times New Roman" w:eastAsia="Times New Roman" w:hAnsi="Times New Roman"/>
                <w:sz w:val="24"/>
                <w:szCs w:val="24"/>
              </w:rPr>
              <w:t xml:space="preserve">.jūlijā </w:t>
            </w:r>
            <w:r w:rsidR="00C12706">
              <w:rPr>
                <w:rFonts w:ascii="Times New Roman" w:eastAsia="Times New Roman" w:hAnsi="Times New Roman"/>
                <w:sz w:val="24"/>
                <w:szCs w:val="24"/>
              </w:rPr>
              <w:t xml:space="preserve">ir </w:t>
            </w:r>
            <w:r w:rsidRPr="003B18B1">
              <w:rPr>
                <w:rFonts w:ascii="Times New Roman" w:eastAsia="Times New Roman" w:hAnsi="Times New Roman"/>
                <w:sz w:val="24"/>
                <w:szCs w:val="24"/>
              </w:rPr>
              <w:t>stājušies spēkā Ministru kabineta noteikum</w:t>
            </w:r>
            <w:r w:rsidR="00D70755" w:rsidRPr="003B18B1">
              <w:rPr>
                <w:rFonts w:ascii="Times New Roman" w:eastAsia="Times New Roman" w:hAnsi="Times New Roman"/>
                <w:sz w:val="24"/>
                <w:szCs w:val="24"/>
              </w:rPr>
              <w:t>i</w:t>
            </w:r>
            <w:r w:rsidRPr="003B18B1">
              <w:rPr>
                <w:rFonts w:ascii="Times New Roman" w:eastAsia="Times New Roman" w:hAnsi="Times New Roman"/>
                <w:sz w:val="24"/>
                <w:szCs w:val="24"/>
              </w:rPr>
              <w:t xml:space="preserve"> “Grozījumi Ministru kabineta 2017.gada 30.maija noteikumos Nr.295 “Noteikumi par transportlīdzekļu valsts tehnisko apskati un tehnisko kontroli uz ceļa””, kuros viena no prasībām, sakārtot taksometru pakalpojumu sniegšanas nozari, ir tehniskās apskates laikā pārbaudīt, </w:t>
            </w:r>
            <w:r w:rsidR="008300EE" w:rsidRPr="000F2A91">
              <w:rPr>
                <w:rFonts w:ascii="Times New Roman" w:eastAsia="Times New Roman" w:hAnsi="Times New Roman" w:cs="Times New Roman"/>
                <w:sz w:val="24"/>
                <w:szCs w:val="24"/>
              </w:rPr>
              <w:t xml:space="preserve">vai taksometra skaitītājs </w:t>
            </w:r>
            <w:r w:rsidR="008300EE" w:rsidRPr="000F2A91">
              <w:rPr>
                <w:rFonts w:ascii="Times New Roman" w:hAnsi="Times New Roman" w:cs="Times New Roman"/>
                <w:sz w:val="24"/>
                <w:szCs w:val="24"/>
                <w:lang w:eastAsia="lv-LV"/>
              </w:rPr>
              <w:t xml:space="preserve"> atbilst normatīvo aktu par nodokļu un citu maksājumu reģistrēšanas elektronisko ierīču un iekārtu lietošanas kārtību</w:t>
            </w:r>
            <w:r w:rsidR="00267D10">
              <w:rPr>
                <w:rFonts w:ascii="Times New Roman" w:hAnsi="Times New Roman" w:cs="Times New Roman"/>
                <w:sz w:val="24"/>
                <w:szCs w:val="24"/>
                <w:lang w:eastAsia="lv-LV"/>
              </w:rPr>
              <w:t xml:space="preserve"> </w:t>
            </w:r>
            <w:r w:rsidR="008300EE" w:rsidRPr="000F2A91">
              <w:rPr>
                <w:rFonts w:ascii="Times New Roman" w:hAnsi="Times New Roman" w:cs="Times New Roman"/>
                <w:sz w:val="24"/>
                <w:szCs w:val="24"/>
                <w:lang w:eastAsia="lv-LV"/>
              </w:rPr>
              <w:t>prasībām</w:t>
            </w:r>
            <w:r w:rsidR="00002E38">
              <w:rPr>
                <w:rFonts w:ascii="Times New Roman" w:eastAsia="Times New Roman" w:hAnsi="Times New Roman" w:cs="Times New Roman"/>
                <w:sz w:val="24"/>
                <w:szCs w:val="24"/>
              </w:rPr>
              <w:t>.</w:t>
            </w:r>
            <w:r w:rsidR="008300EE" w:rsidRPr="000F2A91">
              <w:rPr>
                <w:rFonts w:ascii="Times New Roman" w:eastAsia="Times New Roman" w:hAnsi="Times New Roman" w:cs="Times New Roman"/>
                <w:sz w:val="24"/>
                <w:szCs w:val="24"/>
              </w:rPr>
              <w:t xml:space="preserve"> </w:t>
            </w:r>
            <w:r w:rsidR="00002E38" w:rsidRPr="00002E38">
              <w:rPr>
                <w:rFonts w:ascii="Times New Roman" w:eastAsia="Times New Roman" w:hAnsi="Times New Roman" w:cs="Times New Roman"/>
                <w:sz w:val="24"/>
                <w:szCs w:val="24"/>
              </w:rPr>
              <w:t xml:space="preserve">Datus par </w:t>
            </w:r>
            <w:r w:rsidR="00002E38">
              <w:rPr>
                <w:rFonts w:ascii="Times New Roman" w:eastAsia="Times New Roman" w:hAnsi="Times New Roman" w:cs="Times New Roman"/>
                <w:sz w:val="24"/>
                <w:szCs w:val="24"/>
              </w:rPr>
              <w:t xml:space="preserve">taksometra </w:t>
            </w:r>
            <w:r w:rsidR="00002E38" w:rsidRPr="00002E38">
              <w:rPr>
                <w:rFonts w:ascii="Times New Roman" w:eastAsia="Times New Roman" w:hAnsi="Times New Roman" w:cs="Times New Roman"/>
                <w:sz w:val="24"/>
                <w:szCs w:val="24"/>
              </w:rPr>
              <w:t xml:space="preserve">skaitītāja modeli </w:t>
            </w:r>
            <w:r w:rsidR="00B96DC7">
              <w:rPr>
                <w:rFonts w:ascii="Times New Roman" w:eastAsia="Times New Roman" w:hAnsi="Times New Roman" w:cs="Times New Roman"/>
                <w:sz w:val="24"/>
                <w:szCs w:val="24"/>
              </w:rPr>
              <w:t>(</w:t>
            </w:r>
            <w:r w:rsidR="00002E38" w:rsidRPr="00002E38">
              <w:rPr>
                <w:rFonts w:ascii="Times New Roman" w:eastAsia="Times New Roman" w:hAnsi="Times New Roman" w:cs="Times New Roman"/>
                <w:sz w:val="24"/>
                <w:szCs w:val="24"/>
              </w:rPr>
              <w:t>modifikāciju</w:t>
            </w:r>
            <w:r w:rsidR="00B96DC7">
              <w:rPr>
                <w:rFonts w:ascii="Times New Roman" w:eastAsia="Times New Roman" w:hAnsi="Times New Roman" w:cs="Times New Roman"/>
                <w:sz w:val="24"/>
                <w:szCs w:val="24"/>
              </w:rPr>
              <w:t>)</w:t>
            </w:r>
            <w:r w:rsidR="00002E38" w:rsidRPr="00002E38">
              <w:rPr>
                <w:rFonts w:ascii="Times New Roman" w:eastAsia="Times New Roman" w:hAnsi="Times New Roman" w:cs="Times New Roman"/>
                <w:sz w:val="24"/>
                <w:szCs w:val="24"/>
              </w:rPr>
              <w:t xml:space="preserve"> vai versiju</w:t>
            </w:r>
            <w:r w:rsidR="00002E38">
              <w:rPr>
                <w:rFonts w:ascii="Times New Roman" w:eastAsia="Times New Roman" w:hAnsi="Times New Roman" w:cs="Times New Roman"/>
                <w:sz w:val="24"/>
                <w:szCs w:val="24"/>
              </w:rPr>
              <w:t xml:space="preserve">, kas atbilst normatīvo aktu prasībām, </w:t>
            </w:r>
            <w:r w:rsidR="00002E38" w:rsidRPr="00002E38">
              <w:rPr>
                <w:rFonts w:ascii="Times New Roman" w:eastAsia="Times New Roman" w:hAnsi="Times New Roman" w:cs="Times New Roman"/>
                <w:sz w:val="24"/>
                <w:szCs w:val="24"/>
              </w:rPr>
              <w:t>V</w:t>
            </w:r>
            <w:r w:rsidR="00002E38">
              <w:rPr>
                <w:rFonts w:ascii="Times New Roman" w:eastAsia="Times New Roman" w:hAnsi="Times New Roman" w:cs="Times New Roman"/>
                <w:sz w:val="24"/>
                <w:szCs w:val="24"/>
              </w:rPr>
              <w:t>ID</w:t>
            </w:r>
            <w:r w:rsidR="00002E38" w:rsidRPr="00002E38">
              <w:rPr>
                <w:rFonts w:ascii="Times New Roman" w:eastAsia="Times New Roman" w:hAnsi="Times New Roman" w:cs="Times New Roman"/>
                <w:sz w:val="24"/>
                <w:szCs w:val="24"/>
              </w:rPr>
              <w:t xml:space="preserve"> ievada transportlīdzekļu reģistrā</w:t>
            </w:r>
            <w:r w:rsidR="00002E38">
              <w:rPr>
                <w:rFonts w:ascii="Times New Roman" w:eastAsia="Times New Roman" w:hAnsi="Times New Roman" w:cs="Times New Roman"/>
                <w:sz w:val="24"/>
                <w:szCs w:val="24"/>
              </w:rPr>
              <w:t>.</w:t>
            </w:r>
            <w:r w:rsidRPr="003B18B1">
              <w:rPr>
                <w:rFonts w:ascii="Times New Roman" w:eastAsia="Times New Roman" w:hAnsi="Times New Roman"/>
                <w:sz w:val="24"/>
                <w:szCs w:val="24"/>
              </w:rPr>
              <w:t xml:space="preserve"> Taksometri, kuru skaitītāju modeļi</w:t>
            </w:r>
            <w:r w:rsidR="00267D10">
              <w:rPr>
                <w:rFonts w:ascii="Times New Roman" w:eastAsia="Times New Roman" w:hAnsi="Times New Roman"/>
                <w:sz w:val="24"/>
                <w:szCs w:val="24"/>
              </w:rPr>
              <w:t xml:space="preserve"> (modifikācijas)</w:t>
            </w:r>
            <w:r w:rsidRPr="003B18B1">
              <w:rPr>
                <w:rFonts w:ascii="Times New Roman" w:eastAsia="Times New Roman" w:hAnsi="Times New Roman"/>
                <w:sz w:val="24"/>
                <w:szCs w:val="24"/>
              </w:rPr>
              <w:t xml:space="preserve"> nav reģistrēti VID vienotajā datubāzē (reģistrā) kā atbilstoši, neatbildīs tehniskās apskates prasībām.</w:t>
            </w:r>
          </w:p>
          <w:p w14:paraId="36F1CFED" w14:textId="23B7F74B" w:rsidR="00F75150" w:rsidRPr="00DF434B" w:rsidRDefault="006A521C" w:rsidP="00514C04">
            <w:pPr>
              <w:spacing w:after="0" w:line="240" w:lineRule="auto"/>
              <w:ind w:firstLine="466"/>
              <w:jc w:val="both"/>
              <w:rPr>
                <w:rFonts w:ascii="Times New Roman" w:eastAsia="Times New Roman" w:hAnsi="Times New Roman" w:cs="Times New Roman"/>
                <w:bCs/>
                <w:sz w:val="24"/>
                <w:szCs w:val="24"/>
                <w:lang w:eastAsia="lv-LV"/>
              </w:rPr>
            </w:pPr>
            <w:r w:rsidRPr="003B18B1">
              <w:rPr>
                <w:rFonts w:ascii="Times New Roman" w:eastAsia="Times New Roman" w:hAnsi="Times New Roman"/>
                <w:sz w:val="24"/>
                <w:szCs w:val="24"/>
              </w:rPr>
              <w:t xml:space="preserve">Tādējādi uzņēmumi – taksometru pakalpojumu sniedzēji, kuri šobrīd iegādājas un uzstāda šādus jaunā tipa skaitītājus, kuru modeļi </w:t>
            </w:r>
            <w:r w:rsidR="00B96DC7">
              <w:rPr>
                <w:rFonts w:ascii="Times New Roman" w:eastAsia="Times New Roman" w:hAnsi="Times New Roman"/>
                <w:sz w:val="24"/>
                <w:szCs w:val="24"/>
              </w:rPr>
              <w:t>(</w:t>
            </w:r>
            <w:r w:rsidRPr="003B18B1">
              <w:rPr>
                <w:rFonts w:ascii="Times New Roman" w:eastAsia="Times New Roman" w:hAnsi="Times New Roman"/>
                <w:sz w:val="24"/>
                <w:szCs w:val="24"/>
              </w:rPr>
              <w:t>modifikācijas</w:t>
            </w:r>
            <w:r w:rsidR="00B96DC7">
              <w:rPr>
                <w:rFonts w:ascii="Times New Roman" w:eastAsia="Times New Roman" w:hAnsi="Times New Roman"/>
                <w:sz w:val="24"/>
                <w:szCs w:val="24"/>
              </w:rPr>
              <w:t>)</w:t>
            </w:r>
            <w:r w:rsidRPr="003B18B1">
              <w:rPr>
                <w:rFonts w:ascii="Times New Roman" w:eastAsia="Times New Roman" w:hAnsi="Times New Roman"/>
                <w:sz w:val="24"/>
                <w:szCs w:val="24"/>
              </w:rPr>
              <w:t xml:space="preserve"> nav reģistrēti VID vienotajā datubāzē (reģistrā), nevar šos </w:t>
            </w:r>
            <w:r w:rsidR="009640D9">
              <w:rPr>
                <w:rFonts w:ascii="Times New Roman" w:eastAsia="Times New Roman" w:hAnsi="Times New Roman"/>
                <w:sz w:val="24"/>
                <w:szCs w:val="24"/>
              </w:rPr>
              <w:t>skaitītājus</w:t>
            </w:r>
            <w:r w:rsidR="009640D9" w:rsidRPr="003B18B1">
              <w:rPr>
                <w:rFonts w:ascii="Times New Roman" w:eastAsia="Times New Roman" w:hAnsi="Times New Roman"/>
                <w:sz w:val="24"/>
                <w:szCs w:val="24"/>
              </w:rPr>
              <w:t xml:space="preserve"> </w:t>
            </w:r>
            <w:r w:rsidRPr="003B18B1">
              <w:rPr>
                <w:rFonts w:ascii="Times New Roman" w:eastAsia="Times New Roman" w:hAnsi="Times New Roman"/>
                <w:sz w:val="24"/>
                <w:szCs w:val="24"/>
              </w:rPr>
              <w:t xml:space="preserve">piereģistrēt VID </w:t>
            </w:r>
            <w:r w:rsidR="009640D9">
              <w:rPr>
                <w:rFonts w:ascii="Times New Roman" w:eastAsia="Times New Roman" w:hAnsi="Times New Roman"/>
                <w:sz w:val="24"/>
                <w:szCs w:val="24"/>
              </w:rPr>
              <w:t>uz lietotāja vārda</w:t>
            </w:r>
            <w:r w:rsidRPr="003B18B1">
              <w:rPr>
                <w:rFonts w:ascii="Times New Roman" w:eastAsia="Times New Roman" w:hAnsi="Times New Roman"/>
                <w:sz w:val="24"/>
                <w:szCs w:val="24"/>
              </w:rPr>
              <w:t>, turklāt taksometriem ar šādiem skaitītājiem nav iespējams saņemt atļauju piedalīties ceļu satiksmē.</w:t>
            </w:r>
            <w:r w:rsidR="00103A14">
              <w:rPr>
                <w:rFonts w:ascii="Times New Roman" w:eastAsia="Times New Roman" w:hAnsi="Times New Roman"/>
                <w:sz w:val="24"/>
                <w:szCs w:val="24"/>
              </w:rPr>
              <w:t xml:space="preserve"> Potenciālais šo taksometra skaitītāju lietotāju skaits</w:t>
            </w:r>
            <w:r w:rsidR="00103A14" w:rsidRPr="003B18B1">
              <w:rPr>
                <w:rFonts w:ascii="Times New Roman" w:eastAsia="Times New Roman" w:hAnsi="Times New Roman"/>
                <w:sz w:val="24"/>
                <w:szCs w:val="24"/>
              </w:rPr>
              <w:t xml:space="preserve"> </w:t>
            </w:r>
            <w:r w:rsidR="00BE6CD6">
              <w:rPr>
                <w:rFonts w:ascii="Times New Roman" w:eastAsia="Times New Roman" w:hAnsi="Times New Roman"/>
                <w:sz w:val="24"/>
                <w:szCs w:val="24"/>
              </w:rPr>
              <w:t xml:space="preserve">varētu sasniegt vienu trešdaļu no visiem taksometru </w:t>
            </w:r>
            <w:r w:rsidR="00103A14" w:rsidRPr="003B18B1">
              <w:rPr>
                <w:rFonts w:ascii="Times New Roman" w:eastAsia="Times New Roman" w:hAnsi="Times New Roman"/>
                <w:sz w:val="24"/>
                <w:szCs w:val="24"/>
              </w:rPr>
              <w:t>pakalpojumu sniedzējiem</w:t>
            </w:r>
            <w:r w:rsidR="00103A14">
              <w:rPr>
                <w:rFonts w:ascii="Times New Roman" w:eastAsia="Times New Roman" w:hAnsi="Times New Roman"/>
                <w:sz w:val="24"/>
                <w:szCs w:val="24"/>
              </w:rPr>
              <w:t>.</w:t>
            </w:r>
          </w:p>
        </w:tc>
      </w:tr>
      <w:tr w:rsidR="00AD0FD2" w14:paraId="63026EB7" w14:textId="77777777" w:rsidTr="00DF750E">
        <w:trPr>
          <w:trHeight w:val="258"/>
        </w:trPr>
        <w:tc>
          <w:tcPr>
            <w:tcW w:w="431" w:type="dxa"/>
            <w:tcBorders>
              <w:top w:val="single" w:sz="4" w:space="0" w:color="auto"/>
              <w:left w:val="nil"/>
              <w:bottom w:val="single" w:sz="4" w:space="0" w:color="auto"/>
              <w:right w:val="nil"/>
            </w:tcBorders>
          </w:tcPr>
          <w:p w14:paraId="41C0F592" w14:textId="77777777" w:rsidR="00AC5167" w:rsidRPr="00DF434B" w:rsidRDefault="00AC5167" w:rsidP="00A37FA3">
            <w:pPr>
              <w:spacing w:after="0" w:line="240" w:lineRule="auto"/>
              <w:rPr>
                <w:rFonts w:ascii="Times New Roman" w:eastAsia="Times New Roman" w:hAnsi="Times New Roman" w:cs="Times New Roman"/>
                <w:sz w:val="24"/>
                <w:szCs w:val="24"/>
                <w:lang w:eastAsia="lv-LV"/>
              </w:rPr>
            </w:pPr>
          </w:p>
        </w:tc>
        <w:tc>
          <w:tcPr>
            <w:tcW w:w="2355" w:type="dxa"/>
            <w:gridSpan w:val="2"/>
            <w:tcBorders>
              <w:top w:val="single" w:sz="4" w:space="0" w:color="auto"/>
              <w:left w:val="nil"/>
              <w:bottom w:val="single" w:sz="4" w:space="0" w:color="auto"/>
              <w:right w:val="nil"/>
            </w:tcBorders>
          </w:tcPr>
          <w:p w14:paraId="2299B596" w14:textId="77777777" w:rsidR="00AC5167" w:rsidRPr="00DF434B" w:rsidRDefault="00AC5167" w:rsidP="00A37FA3">
            <w:pPr>
              <w:spacing w:after="0" w:line="240" w:lineRule="auto"/>
              <w:rPr>
                <w:rFonts w:ascii="Times New Roman" w:eastAsia="Times New Roman" w:hAnsi="Times New Roman" w:cs="Times New Roman"/>
                <w:sz w:val="24"/>
                <w:szCs w:val="24"/>
                <w:lang w:eastAsia="lv-LV"/>
              </w:rPr>
            </w:pPr>
          </w:p>
        </w:tc>
        <w:tc>
          <w:tcPr>
            <w:tcW w:w="6259" w:type="dxa"/>
            <w:tcBorders>
              <w:top w:val="single" w:sz="4" w:space="0" w:color="auto"/>
              <w:left w:val="nil"/>
              <w:bottom w:val="single" w:sz="4" w:space="0" w:color="auto"/>
              <w:right w:val="nil"/>
            </w:tcBorders>
          </w:tcPr>
          <w:p w14:paraId="7DD80345" w14:textId="77777777" w:rsidR="00AC5167" w:rsidRPr="00DF434B" w:rsidRDefault="00AC5167" w:rsidP="00A37FA3">
            <w:pPr>
              <w:spacing w:after="0" w:line="240" w:lineRule="auto"/>
              <w:ind w:firstLine="338"/>
              <w:jc w:val="both"/>
              <w:rPr>
                <w:rFonts w:ascii="Times New Roman" w:eastAsia="Times New Roman" w:hAnsi="Times New Roman" w:cs="Times New Roman"/>
                <w:bCs/>
                <w:sz w:val="24"/>
                <w:szCs w:val="24"/>
                <w:lang w:eastAsia="lv-LV"/>
              </w:rPr>
            </w:pPr>
          </w:p>
        </w:tc>
      </w:tr>
      <w:tr w:rsidR="00297BC6" w14:paraId="124A6D44" w14:textId="77777777" w:rsidTr="00DF750E">
        <w:tc>
          <w:tcPr>
            <w:tcW w:w="9045" w:type="dxa"/>
            <w:gridSpan w:val="4"/>
            <w:tcBorders>
              <w:top w:val="single" w:sz="4" w:space="0" w:color="auto"/>
            </w:tcBorders>
            <w:vAlign w:val="center"/>
          </w:tcPr>
          <w:p w14:paraId="6F5E5E09" w14:textId="77777777" w:rsidR="00A37FA3" w:rsidRPr="00DF434B" w:rsidRDefault="006A521C" w:rsidP="00A37FA3">
            <w:pPr>
              <w:spacing w:after="0" w:line="240" w:lineRule="auto"/>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D0FD2" w14:paraId="3A05F16F" w14:textId="77777777" w:rsidTr="00DF750E">
        <w:trPr>
          <w:trHeight w:val="467"/>
        </w:trPr>
        <w:tc>
          <w:tcPr>
            <w:tcW w:w="431" w:type="dxa"/>
          </w:tcPr>
          <w:p w14:paraId="4C4E960E"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1.</w:t>
            </w:r>
          </w:p>
        </w:tc>
        <w:tc>
          <w:tcPr>
            <w:tcW w:w="2231" w:type="dxa"/>
          </w:tcPr>
          <w:p w14:paraId="7DDF7471" w14:textId="77777777" w:rsidR="00A37FA3" w:rsidRPr="00DF434B" w:rsidRDefault="006A521C" w:rsidP="00A37FA3">
            <w:pPr>
              <w:spacing w:after="0" w:line="240" w:lineRule="auto"/>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Sabiedrības mērķgrupas, kuras tiesiskais regulējums ietekmē vai varētu ietekmēt</w:t>
            </w:r>
          </w:p>
        </w:tc>
        <w:tc>
          <w:tcPr>
            <w:tcW w:w="6383" w:type="dxa"/>
            <w:gridSpan w:val="2"/>
          </w:tcPr>
          <w:p w14:paraId="00831FB2" w14:textId="6396BCCE" w:rsidR="00602F18" w:rsidRDefault="006A521C" w:rsidP="00B25702">
            <w:pPr>
              <w:spacing w:after="0" w:line="240" w:lineRule="auto"/>
              <w:ind w:firstLine="425"/>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Noteikumu projekts attiecas uz nodokļu un citu maksājumu reģistrēšanas elektronisko ierīču un iekārtu apkalpojošiem dienestiem</w:t>
            </w:r>
            <w:r w:rsidR="009E6412" w:rsidRPr="00DF434B">
              <w:rPr>
                <w:rFonts w:ascii="Times New Roman" w:eastAsia="Times New Roman" w:hAnsi="Times New Roman" w:cs="Times New Roman"/>
                <w:sz w:val="24"/>
                <w:szCs w:val="24"/>
                <w:lang w:eastAsia="lv-LV"/>
              </w:rPr>
              <w:t>, lietotājiem</w:t>
            </w:r>
            <w:r w:rsidRPr="00DF434B">
              <w:rPr>
                <w:rFonts w:ascii="Times New Roman" w:eastAsia="Times New Roman" w:hAnsi="Times New Roman" w:cs="Times New Roman"/>
                <w:sz w:val="24"/>
                <w:szCs w:val="24"/>
                <w:lang w:eastAsia="lv-LV"/>
              </w:rPr>
              <w:t xml:space="preserve"> un atb</w:t>
            </w:r>
            <w:r w:rsidR="00CA56E7" w:rsidRPr="00DF434B">
              <w:rPr>
                <w:rFonts w:ascii="Times New Roman" w:eastAsia="Times New Roman" w:hAnsi="Times New Roman" w:cs="Times New Roman"/>
                <w:sz w:val="24"/>
                <w:szCs w:val="24"/>
                <w:lang w:eastAsia="lv-LV"/>
              </w:rPr>
              <w:t>i</w:t>
            </w:r>
            <w:r w:rsidRPr="00DF434B">
              <w:rPr>
                <w:rFonts w:ascii="Times New Roman" w:eastAsia="Times New Roman" w:hAnsi="Times New Roman" w:cs="Times New Roman"/>
                <w:sz w:val="24"/>
                <w:szCs w:val="24"/>
                <w:lang w:eastAsia="lv-LV"/>
              </w:rPr>
              <w:t>lstības pārbaudes institūcijām.</w:t>
            </w:r>
          </w:p>
          <w:p w14:paraId="7DC916BA" w14:textId="4A623BEB" w:rsidR="003C337B" w:rsidRDefault="006A521C" w:rsidP="00CA505E">
            <w:pPr>
              <w:spacing w:after="0" w:line="240" w:lineRule="auto"/>
              <w:ind w:firstLine="450"/>
              <w:jc w:val="both"/>
              <w:rPr>
                <w:rFonts w:ascii="Times New Roman" w:eastAsia="Times New Roman" w:hAnsi="Times New Roman" w:cs="Times New Roman"/>
                <w:sz w:val="24"/>
                <w:szCs w:val="24"/>
              </w:rPr>
            </w:pPr>
            <w:r w:rsidRPr="00DF434B">
              <w:rPr>
                <w:rFonts w:ascii="Times New Roman" w:eastAsia="Times New Roman" w:hAnsi="Times New Roman" w:cs="Times New Roman"/>
                <w:sz w:val="24"/>
                <w:szCs w:val="24"/>
                <w:lang w:eastAsia="lv-LV"/>
              </w:rPr>
              <w:t>Atbilstoši Ministru kabineta n</w:t>
            </w:r>
            <w:r w:rsidR="00702EF8" w:rsidRPr="00DF434B">
              <w:rPr>
                <w:rFonts w:ascii="Times New Roman" w:eastAsia="Times New Roman" w:hAnsi="Times New Roman" w:cs="Times New Roman"/>
                <w:sz w:val="24"/>
                <w:szCs w:val="24"/>
                <w:lang w:eastAsia="lv-LV"/>
              </w:rPr>
              <w:t>oteikumos</w:t>
            </w:r>
            <w:r w:rsidRPr="00DF434B">
              <w:rPr>
                <w:rFonts w:ascii="Times New Roman" w:eastAsia="Times New Roman" w:hAnsi="Times New Roman" w:cs="Times New Roman"/>
                <w:sz w:val="24"/>
                <w:szCs w:val="24"/>
                <w:lang w:eastAsia="lv-LV"/>
              </w:rPr>
              <w:t xml:space="preserve"> Nr.96 </w:t>
            </w:r>
            <w:r w:rsidR="00702EF8" w:rsidRPr="00DF434B">
              <w:rPr>
                <w:rFonts w:ascii="Times New Roman" w:eastAsia="Times New Roman" w:hAnsi="Times New Roman" w:cs="Times New Roman"/>
                <w:sz w:val="24"/>
                <w:szCs w:val="24"/>
                <w:lang w:eastAsia="lv-LV"/>
              </w:rPr>
              <w:t>noteikta</w:t>
            </w:r>
            <w:r>
              <w:rPr>
                <w:rFonts w:ascii="Times New Roman" w:eastAsia="Times New Roman" w:hAnsi="Times New Roman" w:cs="Times New Roman"/>
                <w:sz w:val="24"/>
                <w:szCs w:val="24"/>
                <w:lang w:eastAsia="lv-LV"/>
              </w:rPr>
              <w:t>ja</w:t>
            </w:r>
            <w:r w:rsidR="00702EF8" w:rsidRPr="00DF434B">
              <w:rPr>
                <w:rFonts w:ascii="Times New Roman" w:eastAsia="Times New Roman" w:hAnsi="Times New Roman" w:cs="Times New Roman"/>
                <w:sz w:val="24"/>
                <w:szCs w:val="24"/>
                <w:lang w:eastAsia="lv-LV"/>
              </w:rPr>
              <w:t xml:space="preserve">i kārtībai </w:t>
            </w:r>
            <w:r w:rsidRPr="00DF434B">
              <w:rPr>
                <w:rFonts w:ascii="Times New Roman" w:eastAsia="Times New Roman" w:hAnsi="Times New Roman" w:cs="Times New Roman"/>
                <w:sz w:val="24"/>
                <w:szCs w:val="24"/>
                <w:lang w:eastAsia="lv-LV"/>
              </w:rPr>
              <w:t xml:space="preserve">VID vienotajā datubāzē (reģistrā) reģistrēto apkalpojošo dienestu skaits </w:t>
            </w:r>
            <w:r w:rsidR="00702EF8" w:rsidRPr="00DF434B">
              <w:rPr>
                <w:rFonts w:ascii="Times New Roman" w:eastAsia="Times New Roman" w:hAnsi="Times New Roman" w:cs="Times New Roman"/>
                <w:sz w:val="24"/>
                <w:szCs w:val="24"/>
                <w:lang w:eastAsia="lv-LV"/>
              </w:rPr>
              <w:t>–</w:t>
            </w:r>
            <w:r w:rsidR="00981766" w:rsidRPr="00DF434B">
              <w:rPr>
                <w:rFonts w:ascii="Times New Roman" w:eastAsia="Times New Roman" w:hAnsi="Times New Roman" w:cs="Times New Roman"/>
                <w:sz w:val="24"/>
                <w:szCs w:val="24"/>
                <w:lang w:eastAsia="lv-LV"/>
              </w:rPr>
              <w:t xml:space="preserve"> </w:t>
            </w:r>
            <w:r w:rsidR="00D65601">
              <w:rPr>
                <w:rFonts w:ascii="Times New Roman" w:eastAsia="Times New Roman" w:hAnsi="Times New Roman" w:cs="Times New Roman"/>
                <w:sz w:val="24"/>
                <w:szCs w:val="24"/>
                <w:lang w:eastAsia="lv-LV"/>
              </w:rPr>
              <w:t>90</w:t>
            </w:r>
            <w:r w:rsidR="00D65601" w:rsidRPr="00DF434B">
              <w:rPr>
                <w:rFonts w:ascii="Times New Roman" w:eastAsia="Times New Roman" w:hAnsi="Times New Roman" w:cs="Times New Roman"/>
                <w:sz w:val="24"/>
                <w:szCs w:val="24"/>
                <w:lang w:eastAsia="lv-LV"/>
              </w:rPr>
              <w:t xml:space="preserve"> </w:t>
            </w:r>
            <w:r w:rsidR="00542081" w:rsidRPr="00DF434B">
              <w:rPr>
                <w:rFonts w:ascii="Times New Roman" w:eastAsia="Times New Roman" w:hAnsi="Times New Roman" w:cs="Times New Roman"/>
                <w:sz w:val="24"/>
                <w:szCs w:val="24"/>
                <w:lang w:eastAsia="lv-LV"/>
              </w:rPr>
              <w:t>apkalpo</w:t>
            </w:r>
            <w:r w:rsidRPr="00DF434B">
              <w:rPr>
                <w:rFonts w:ascii="Times New Roman" w:eastAsia="Times New Roman" w:hAnsi="Times New Roman" w:cs="Times New Roman"/>
                <w:sz w:val="24"/>
                <w:szCs w:val="24"/>
                <w:lang w:eastAsia="lv-LV"/>
              </w:rPr>
              <w:t>jo</w:t>
            </w:r>
            <w:r w:rsidR="00EB4095" w:rsidRPr="00DF434B">
              <w:rPr>
                <w:rFonts w:ascii="Times New Roman" w:eastAsia="Times New Roman" w:hAnsi="Times New Roman" w:cs="Times New Roman"/>
                <w:sz w:val="24"/>
                <w:szCs w:val="24"/>
                <w:lang w:eastAsia="lv-LV"/>
              </w:rPr>
              <w:t>šie dienesti</w:t>
            </w:r>
            <w:r w:rsidR="00D05EF6">
              <w:rPr>
                <w:rFonts w:ascii="Times New Roman" w:eastAsia="Times New Roman" w:hAnsi="Times New Roman" w:cs="Times New Roman"/>
                <w:sz w:val="24"/>
                <w:szCs w:val="24"/>
                <w:lang w:eastAsia="lv-LV"/>
              </w:rPr>
              <w:t>,</w:t>
            </w:r>
            <w:r w:rsidR="001B09DB" w:rsidRPr="00DF434B">
              <w:rPr>
                <w:rFonts w:ascii="Times New Roman" w:eastAsia="Times New Roman" w:hAnsi="Times New Roman" w:cs="Times New Roman"/>
                <w:sz w:val="24"/>
                <w:szCs w:val="24"/>
                <w:lang w:eastAsia="lv-LV"/>
              </w:rPr>
              <w:t xml:space="preserve"> lietotāju skaits </w:t>
            </w:r>
            <w:r w:rsidR="00F91330" w:rsidRPr="00DF434B">
              <w:rPr>
                <w:rFonts w:ascii="Times New Roman" w:eastAsia="Times New Roman" w:hAnsi="Times New Roman" w:cs="Times New Roman"/>
                <w:sz w:val="24"/>
                <w:szCs w:val="24"/>
                <w:lang w:eastAsia="lv-LV"/>
              </w:rPr>
              <w:t xml:space="preserve">– 299 </w:t>
            </w:r>
            <w:r w:rsidR="00981766" w:rsidRPr="00DF434B">
              <w:rPr>
                <w:rFonts w:ascii="Times New Roman" w:eastAsia="Times New Roman" w:hAnsi="Times New Roman" w:cs="Times New Roman"/>
                <w:sz w:val="24"/>
                <w:szCs w:val="24"/>
                <w:lang w:eastAsia="lv-LV"/>
              </w:rPr>
              <w:t>71</w:t>
            </w:r>
            <w:r w:rsidR="001B09DB" w:rsidRPr="00DF434B">
              <w:rPr>
                <w:rFonts w:ascii="Times New Roman" w:eastAsia="Times New Roman" w:hAnsi="Times New Roman" w:cs="Times New Roman"/>
                <w:sz w:val="24"/>
                <w:szCs w:val="24"/>
                <w:lang w:eastAsia="lv-LV"/>
              </w:rPr>
              <w:t xml:space="preserve"> lietotāj</w:t>
            </w:r>
            <w:r w:rsidR="00981766" w:rsidRPr="00DF434B">
              <w:rPr>
                <w:rFonts w:ascii="Times New Roman" w:eastAsia="Times New Roman" w:hAnsi="Times New Roman" w:cs="Times New Roman"/>
                <w:sz w:val="24"/>
                <w:szCs w:val="24"/>
                <w:lang w:eastAsia="lv-LV"/>
              </w:rPr>
              <w:t>s</w:t>
            </w:r>
            <w:r w:rsidR="001B09DB" w:rsidRPr="00DF434B">
              <w:rPr>
                <w:rFonts w:ascii="Times New Roman" w:eastAsia="Times New Roman" w:hAnsi="Times New Roman" w:cs="Times New Roman"/>
                <w:sz w:val="24"/>
                <w:szCs w:val="24"/>
                <w:lang w:eastAsia="lv-LV"/>
              </w:rPr>
              <w:t>,</w:t>
            </w:r>
            <w:r w:rsidRPr="00DF434B">
              <w:rPr>
                <w:rFonts w:ascii="Times New Roman" w:eastAsia="Times New Roman" w:hAnsi="Times New Roman" w:cs="Times New Roman"/>
                <w:sz w:val="24"/>
                <w:szCs w:val="24"/>
                <w:lang w:eastAsia="lv-LV"/>
              </w:rPr>
              <w:t xml:space="preserve"> atbilst</w:t>
            </w:r>
            <w:r w:rsidR="00542081" w:rsidRPr="00DF434B">
              <w:rPr>
                <w:rFonts w:ascii="Times New Roman" w:eastAsia="Times New Roman" w:hAnsi="Times New Roman" w:cs="Times New Roman"/>
                <w:sz w:val="24"/>
                <w:szCs w:val="24"/>
                <w:lang w:eastAsia="lv-LV"/>
              </w:rPr>
              <w:t xml:space="preserve">ības </w:t>
            </w:r>
            <w:r w:rsidRPr="00DF434B">
              <w:rPr>
                <w:rFonts w:ascii="Times New Roman" w:eastAsia="Times New Roman" w:hAnsi="Times New Roman" w:cs="Times New Roman"/>
                <w:sz w:val="24"/>
                <w:szCs w:val="24"/>
                <w:lang w:eastAsia="lv-LV"/>
              </w:rPr>
              <w:t xml:space="preserve">pārbaudes institūciju skaits – </w:t>
            </w:r>
            <w:r w:rsidR="00FC72C0">
              <w:rPr>
                <w:rFonts w:ascii="Times New Roman" w:eastAsia="Times New Roman" w:hAnsi="Times New Roman" w:cs="Times New Roman"/>
                <w:sz w:val="24"/>
                <w:szCs w:val="24"/>
                <w:lang w:eastAsia="lv-LV"/>
              </w:rPr>
              <w:t>trīs</w:t>
            </w:r>
            <w:r w:rsidR="00013344" w:rsidRPr="00DF434B">
              <w:rPr>
                <w:rFonts w:ascii="Times New Roman" w:eastAsia="Times New Roman" w:hAnsi="Times New Roman" w:cs="Times New Roman"/>
                <w:sz w:val="24"/>
                <w:szCs w:val="24"/>
                <w:lang w:eastAsia="lv-LV"/>
              </w:rPr>
              <w:t xml:space="preserve"> </w:t>
            </w:r>
            <w:r w:rsidRPr="00DF434B">
              <w:rPr>
                <w:rFonts w:ascii="Times New Roman" w:eastAsia="Times New Roman" w:hAnsi="Times New Roman" w:cs="Times New Roman"/>
                <w:sz w:val="24"/>
                <w:szCs w:val="24"/>
                <w:lang w:eastAsia="lv-LV"/>
              </w:rPr>
              <w:t>atbilstības pārbaudes instit</w:t>
            </w:r>
            <w:r w:rsidR="00542081" w:rsidRPr="00DF434B">
              <w:rPr>
                <w:rFonts w:ascii="Times New Roman" w:eastAsia="Times New Roman" w:hAnsi="Times New Roman" w:cs="Times New Roman"/>
                <w:sz w:val="24"/>
                <w:szCs w:val="24"/>
                <w:lang w:eastAsia="lv-LV"/>
              </w:rPr>
              <w:t>ūcijas</w:t>
            </w:r>
            <w:r w:rsidR="001B09DB" w:rsidRPr="00DF434B">
              <w:rPr>
                <w:rFonts w:ascii="Times New Roman" w:eastAsia="Times New Roman" w:hAnsi="Times New Roman" w:cs="Times New Roman"/>
                <w:sz w:val="24"/>
                <w:szCs w:val="24"/>
                <w:lang w:eastAsia="lv-LV"/>
              </w:rPr>
              <w:t>,</w:t>
            </w:r>
            <w:r w:rsidR="007E0D83" w:rsidRPr="00DF434B">
              <w:rPr>
                <w:rFonts w:ascii="Times New Roman" w:eastAsia="Times New Roman" w:hAnsi="Times New Roman" w:cs="Times New Roman"/>
                <w:sz w:val="24"/>
                <w:szCs w:val="24"/>
              </w:rPr>
              <w:t xml:space="preserve"> Padziļinātās sadarbības programmas dal</w:t>
            </w:r>
            <w:r w:rsidRPr="00DF434B">
              <w:rPr>
                <w:rFonts w:ascii="Times New Roman" w:eastAsia="Times New Roman" w:hAnsi="Times New Roman" w:cs="Times New Roman"/>
                <w:sz w:val="24"/>
                <w:szCs w:val="24"/>
              </w:rPr>
              <w:t xml:space="preserve">ībnieku skaits – </w:t>
            </w:r>
            <w:r w:rsidR="00B81A2C" w:rsidRPr="00DF434B">
              <w:rPr>
                <w:rFonts w:ascii="Times New Roman" w:eastAsia="Times New Roman" w:hAnsi="Times New Roman" w:cs="Times New Roman"/>
                <w:sz w:val="24"/>
                <w:szCs w:val="24"/>
              </w:rPr>
              <w:t>75 dalībnieki</w:t>
            </w:r>
            <w:r w:rsidR="00B81A2C" w:rsidRPr="00961EBB">
              <w:rPr>
                <w:rFonts w:ascii="Times New Roman" w:eastAsia="Times New Roman" w:hAnsi="Times New Roman" w:cs="Times New Roman"/>
                <w:sz w:val="24"/>
                <w:szCs w:val="24"/>
              </w:rPr>
              <w:t>.</w:t>
            </w:r>
          </w:p>
          <w:p w14:paraId="72091674" w14:textId="357CC993" w:rsidR="00CA505E" w:rsidRDefault="00BD14A5" w:rsidP="00C33238">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attiecas uz apkalpojošo dienestu</w:t>
            </w:r>
            <w:r w:rsidR="00C33238">
              <w:rPr>
                <w:rFonts w:ascii="Times New Roman" w:eastAsia="Times New Roman" w:hAnsi="Times New Roman" w:cs="Times New Roman"/>
                <w:sz w:val="24"/>
                <w:szCs w:val="24"/>
              </w:rPr>
              <w:t>, kurš saņēmis atzinumu par atbilstību kases aparāt</w:t>
            </w:r>
            <w:r w:rsidR="00C219FE">
              <w:rPr>
                <w:rFonts w:ascii="Times New Roman" w:eastAsia="Times New Roman" w:hAnsi="Times New Roman" w:cs="Times New Roman"/>
                <w:sz w:val="24"/>
                <w:szCs w:val="24"/>
              </w:rPr>
              <w:t xml:space="preserve">u </w:t>
            </w:r>
            <w:r w:rsidR="00C219FE" w:rsidRPr="003C28C8">
              <w:rPr>
                <w:rFonts w:ascii="Times New Roman" w:hAnsi="Times New Roman" w:cs="Times New Roman"/>
                <w:i/>
                <w:sz w:val="24"/>
                <w:szCs w:val="24"/>
              </w:rPr>
              <w:t xml:space="preserve"> CHD</w:t>
            </w:r>
            <w:r w:rsidR="00C219FE">
              <w:rPr>
                <w:rFonts w:ascii="Times New Roman" w:hAnsi="Times New Roman" w:cs="Times New Roman"/>
                <w:sz w:val="24"/>
                <w:szCs w:val="24"/>
              </w:rPr>
              <w:t xml:space="preserve"> 2050 3.62.0, </w:t>
            </w:r>
            <w:r w:rsidR="00C219FE" w:rsidRPr="003C28C8">
              <w:rPr>
                <w:rFonts w:ascii="Times New Roman" w:hAnsi="Times New Roman" w:cs="Times New Roman"/>
                <w:i/>
                <w:sz w:val="24"/>
                <w:szCs w:val="24"/>
              </w:rPr>
              <w:t>CHD</w:t>
            </w:r>
            <w:r w:rsidR="00C219FE">
              <w:rPr>
                <w:rFonts w:ascii="Times New Roman" w:hAnsi="Times New Roman" w:cs="Times New Roman"/>
                <w:sz w:val="24"/>
                <w:szCs w:val="24"/>
              </w:rPr>
              <w:t xml:space="preserve"> 3030 3.62.1, </w:t>
            </w:r>
            <w:r w:rsidR="00C219FE" w:rsidRPr="003C28C8">
              <w:rPr>
                <w:rFonts w:ascii="Times New Roman" w:hAnsi="Times New Roman" w:cs="Times New Roman"/>
                <w:i/>
                <w:sz w:val="24"/>
                <w:szCs w:val="24"/>
              </w:rPr>
              <w:t>CHD</w:t>
            </w:r>
            <w:r w:rsidR="00C219FE">
              <w:rPr>
                <w:rFonts w:ascii="Times New Roman" w:hAnsi="Times New Roman" w:cs="Times New Roman"/>
                <w:sz w:val="24"/>
                <w:szCs w:val="24"/>
              </w:rPr>
              <w:t xml:space="preserve"> 3050 3.62.0, </w:t>
            </w:r>
            <w:r w:rsidR="00C219FE" w:rsidRPr="003C28C8">
              <w:rPr>
                <w:rFonts w:ascii="Times New Roman" w:hAnsi="Times New Roman" w:cs="Times New Roman"/>
                <w:i/>
                <w:sz w:val="24"/>
                <w:szCs w:val="24"/>
              </w:rPr>
              <w:t>CHD</w:t>
            </w:r>
            <w:r w:rsidR="00C219FE">
              <w:rPr>
                <w:rFonts w:ascii="Times New Roman" w:hAnsi="Times New Roman" w:cs="Times New Roman"/>
                <w:sz w:val="24"/>
                <w:szCs w:val="24"/>
              </w:rPr>
              <w:t xml:space="preserve"> 3050U 3.62.0, </w:t>
            </w:r>
            <w:r w:rsidR="00C219FE" w:rsidRPr="003C28C8">
              <w:rPr>
                <w:rFonts w:ascii="Times New Roman" w:hAnsi="Times New Roman" w:cs="Times New Roman"/>
                <w:i/>
                <w:sz w:val="24"/>
                <w:szCs w:val="24"/>
              </w:rPr>
              <w:t>CHD</w:t>
            </w:r>
            <w:r w:rsidR="00C219FE">
              <w:rPr>
                <w:rFonts w:ascii="Times New Roman" w:hAnsi="Times New Roman" w:cs="Times New Roman"/>
                <w:sz w:val="24"/>
                <w:szCs w:val="24"/>
              </w:rPr>
              <w:t xml:space="preserve"> 3850 3.62.0 un </w:t>
            </w:r>
            <w:r w:rsidR="00C219FE" w:rsidRPr="003C28C8">
              <w:rPr>
                <w:rFonts w:ascii="Times New Roman" w:hAnsi="Times New Roman" w:cs="Times New Roman"/>
                <w:i/>
                <w:sz w:val="24"/>
                <w:szCs w:val="24"/>
              </w:rPr>
              <w:t>CHD</w:t>
            </w:r>
            <w:r w:rsidR="00C219FE">
              <w:rPr>
                <w:rFonts w:ascii="Times New Roman" w:hAnsi="Times New Roman" w:cs="Times New Roman"/>
                <w:sz w:val="24"/>
                <w:szCs w:val="24"/>
              </w:rPr>
              <w:t xml:space="preserve"> 7 3.62.0</w:t>
            </w:r>
            <w:r>
              <w:rPr>
                <w:rFonts w:ascii="Times New Roman" w:hAnsi="Times New Roman" w:cs="Times New Roman"/>
                <w:sz w:val="24"/>
                <w:szCs w:val="24"/>
              </w:rPr>
              <w:t xml:space="preserve"> </w:t>
            </w:r>
            <w:r w:rsidR="00C33238">
              <w:rPr>
                <w:rFonts w:ascii="Times New Roman" w:eastAsia="Times New Roman" w:hAnsi="Times New Roman" w:cs="Times New Roman"/>
                <w:sz w:val="24"/>
                <w:szCs w:val="24"/>
              </w:rPr>
              <w:t>modeļiem, kuri</w:t>
            </w:r>
            <w:r w:rsidR="003C337B">
              <w:t xml:space="preserve"> </w:t>
            </w:r>
            <w:r w:rsidR="003C337B">
              <w:rPr>
                <w:rFonts w:ascii="Times New Roman" w:eastAsia="Times New Roman" w:hAnsi="Times New Roman" w:cs="Times New Roman"/>
                <w:sz w:val="24"/>
                <w:szCs w:val="24"/>
              </w:rPr>
              <w:t>atbilstoši</w:t>
            </w:r>
            <w:r w:rsidR="003C337B" w:rsidRPr="003C337B">
              <w:rPr>
                <w:rFonts w:ascii="Times New Roman" w:eastAsia="Times New Roman" w:hAnsi="Times New Roman" w:cs="Times New Roman"/>
                <w:sz w:val="24"/>
                <w:szCs w:val="24"/>
              </w:rPr>
              <w:t xml:space="preserve"> Ministru kabineta noteikumu Nr.96 129.</w:t>
            </w:r>
            <w:r w:rsidR="003C337B" w:rsidRPr="001D0266">
              <w:rPr>
                <w:rFonts w:ascii="Times New Roman" w:eastAsia="Times New Roman" w:hAnsi="Times New Roman" w:cs="Times New Roman"/>
                <w:sz w:val="24"/>
                <w:szCs w:val="24"/>
                <w:vertAlign w:val="superscript"/>
              </w:rPr>
              <w:t>15</w:t>
            </w:r>
            <w:r w:rsidR="003C337B">
              <w:rPr>
                <w:rFonts w:ascii="Times New Roman" w:eastAsia="Times New Roman" w:hAnsi="Times New Roman" w:cs="Times New Roman"/>
                <w:sz w:val="24"/>
                <w:szCs w:val="24"/>
              </w:rPr>
              <w:t xml:space="preserve"> punktam ir izslēgti no</w:t>
            </w:r>
            <w:r w:rsidR="003C337B">
              <w:t xml:space="preserve"> </w:t>
            </w:r>
            <w:r w:rsidR="003C337B" w:rsidRPr="003C337B">
              <w:rPr>
                <w:rFonts w:ascii="Times New Roman" w:eastAsia="Times New Roman" w:hAnsi="Times New Roman" w:cs="Times New Roman"/>
                <w:sz w:val="24"/>
                <w:szCs w:val="24"/>
              </w:rPr>
              <w:t>VID vienotās datubāzes (reģistra)</w:t>
            </w:r>
            <w:r w:rsidR="00C33238">
              <w:rPr>
                <w:rFonts w:ascii="Times New Roman" w:eastAsia="Times New Roman" w:hAnsi="Times New Roman" w:cs="Times New Roman"/>
                <w:sz w:val="24"/>
                <w:szCs w:val="24"/>
              </w:rPr>
              <w:t>,</w:t>
            </w:r>
            <w:r w:rsidR="003C337B">
              <w:rPr>
                <w:rFonts w:ascii="Times New Roman" w:eastAsia="Times New Roman" w:hAnsi="Times New Roman" w:cs="Times New Roman"/>
                <w:sz w:val="24"/>
                <w:szCs w:val="24"/>
              </w:rPr>
              <w:t xml:space="preserve"> un </w:t>
            </w:r>
            <w:r w:rsidR="00C33238">
              <w:rPr>
                <w:rFonts w:ascii="Times New Roman" w:eastAsia="Times New Roman" w:hAnsi="Times New Roman" w:cs="Times New Roman"/>
                <w:sz w:val="24"/>
                <w:szCs w:val="24"/>
              </w:rPr>
              <w:t>33</w:t>
            </w:r>
            <w:r w:rsidR="003C337B">
              <w:rPr>
                <w:rFonts w:ascii="Times New Roman" w:eastAsia="Times New Roman" w:hAnsi="Times New Roman" w:cs="Times New Roman"/>
                <w:sz w:val="24"/>
                <w:szCs w:val="24"/>
              </w:rPr>
              <w:t xml:space="preserve"> </w:t>
            </w:r>
            <w:r w:rsidR="00C33238">
              <w:rPr>
                <w:rFonts w:ascii="Times New Roman" w:eastAsia="Times New Roman" w:hAnsi="Times New Roman" w:cs="Times New Roman"/>
                <w:sz w:val="24"/>
                <w:szCs w:val="24"/>
              </w:rPr>
              <w:t>apkalpojošie</w:t>
            </w:r>
            <w:r>
              <w:rPr>
                <w:rFonts w:ascii="Times New Roman" w:eastAsia="Times New Roman" w:hAnsi="Times New Roman" w:cs="Times New Roman"/>
                <w:sz w:val="24"/>
                <w:szCs w:val="24"/>
              </w:rPr>
              <w:t>m</w:t>
            </w:r>
            <w:r w:rsidR="00C33238">
              <w:rPr>
                <w:rFonts w:ascii="Times New Roman" w:eastAsia="Times New Roman" w:hAnsi="Times New Roman" w:cs="Times New Roman"/>
                <w:sz w:val="24"/>
                <w:szCs w:val="24"/>
              </w:rPr>
              <w:t xml:space="preserve"> dienesti</w:t>
            </w:r>
            <w:r>
              <w:rPr>
                <w:rFonts w:ascii="Times New Roman" w:eastAsia="Times New Roman" w:hAnsi="Times New Roman" w:cs="Times New Roman"/>
                <w:sz w:val="24"/>
                <w:szCs w:val="24"/>
              </w:rPr>
              <w:t>em</w:t>
            </w:r>
            <w:r w:rsidR="00C33238">
              <w:rPr>
                <w:rFonts w:ascii="Times New Roman" w:eastAsia="Times New Roman" w:hAnsi="Times New Roman" w:cs="Times New Roman"/>
                <w:sz w:val="24"/>
                <w:szCs w:val="24"/>
              </w:rPr>
              <w:t xml:space="preserve">, kuri no </w:t>
            </w:r>
            <w:r w:rsidR="00C219FE">
              <w:rPr>
                <w:rFonts w:ascii="Times New Roman" w:eastAsia="Times New Roman" w:hAnsi="Times New Roman" w:cs="Times New Roman"/>
                <w:sz w:val="24"/>
                <w:szCs w:val="24"/>
              </w:rPr>
              <w:t>šī</w:t>
            </w:r>
            <w:r w:rsidR="00C33238">
              <w:rPr>
                <w:rFonts w:ascii="Times New Roman" w:eastAsia="Times New Roman" w:hAnsi="Times New Roman" w:cs="Times New Roman"/>
                <w:sz w:val="24"/>
                <w:szCs w:val="24"/>
              </w:rPr>
              <w:t xml:space="preserve"> apkalpojošā dienesta saņēmuši</w:t>
            </w:r>
            <w:r w:rsidR="003C337B">
              <w:rPr>
                <w:rFonts w:ascii="Times New Roman" w:eastAsia="Times New Roman" w:hAnsi="Times New Roman" w:cs="Times New Roman"/>
                <w:sz w:val="24"/>
                <w:szCs w:val="24"/>
              </w:rPr>
              <w:t xml:space="preserve"> a</w:t>
            </w:r>
            <w:r w:rsidR="003C337B" w:rsidRPr="003C337B">
              <w:rPr>
                <w:rFonts w:ascii="Times New Roman" w:eastAsia="Times New Roman" w:hAnsi="Times New Roman" w:cs="Times New Roman"/>
                <w:sz w:val="24"/>
                <w:szCs w:val="24"/>
              </w:rPr>
              <w:t xml:space="preserve">tļauju </w:t>
            </w:r>
            <w:r w:rsidR="00C33238">
              <w:rPr>
                <w:rFonts w:ascii="Times New Roman" w:eastAsia="Times New Roman" w:hAnsi="Times New Roman" w:cs="Times New Roman"/>
                <w:sz w:val="24"/>
                <w:szCs w:val="24"/>
              </w:rPr>
              <w:t>apkalpot šos kases aparātus.</w:t>
            </w:r>
          </w:p>
          <w:p w14:paraId="185DBFF9" w14:textId="68DC7CE3" w:rsidR="00FC6054" w:rsidRPr="00961EBB" w:rsidRDefault="00CA505E" w:rsidP="00CA505E">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Minēto no </w:t>
            </w:r>
            <w:r w:rsidR="00BE6CD6">
              <w:rPr>
                <w:rFonts w:ascii="Times New Roman" w:eastAsia="Times New Roman" w:hAnsi="Times New Roman" w:cs="Times New Roman"/>
                <w:sz w:val="24"/>
                <w:szCs w:val="24"/>
              </w:rPr>
              <w:t xml:space="preserve">VID vienotās datubāzes (reģistra) izslēgto kases aparātu </w:t>
            </w:r>
            <w:r w:rsidR="00173055">
              <w:rPr>
                <w:rFonts w:ascii="Times New Roman" w:eastAsia="Times New Roman" w:hAnsi="Times New Roman" w:cs="Times New Roman"/>
                <w:sz w:val="24"/>
                <w:szCs w:val="24"/>
              </w:rPr>
              <w:t>modeļu (modifikācij</w:t>
            </w:r>
            <w:r>
              <w:rPr>
                <w:rFonts w:ascii="Times New Roman" w:eastAsia="Times New Roman" w:hAnsi="Times New Roman" w:cs="Times New Roman"/>
                <w:sz w:val="24"/>
                <w:szCs w:val="24"/>
              </w:rPr>
              <w:t>u</w:t>
            </w:r>
            <w:r w:rsidR="00173055">
              <w:rPr>
                <w:rFonts w:ascii="Times New Roman" w:eastAsia="Times New Roman" w:hAnsi="Times New Roman" w:cs="Times New Roman"/>
                <w:sz w:val="24"/>
                <w:szCs w:val="24"/>
              </w:rPr>
              <w:t>)</w:t>
            </w:r>
            <w:r w:rsidR="00C33238">
              <w:rPr>
                <w:rFonts w:ascii="Times New Roman" w:eastAsia="Times New Roman" w:hAnsi="Times New Roman" w:cs="Times New Roman"/>
                <w:sz w:val="24"/>
                <w:szCs w:val="24"/>
              </w:rPr>
              <w:t xml:space="preserve"> kases aparātu</w:t>
            </w:r>
            <w:r w:rsidR="00C219FE">
              <w:rPr>
                <w:rFonts w:ascii="Times New Roman" w:eastAsia="Times New Roman" w:hAnsi="Times New Roman" w:cs="Times New Roman"/>
                <w:sz w:val="24"/>
                <w:szCs w:val="24"/>
              </w:rPr>
              <w:t>s lieto</w:t>
            </w:r>
            <w:r w:rsidR="002736AC">
              <w:rPr>
                <w:rFonts w:ascii="Times New Roman" w:eastAsia="Times New Roman" w:hAnsi="Times New Roman" w:cs="Times New Roman"/>
                <w:sz w:val="24"/>
                <w:szCs w:val="24"/>
              </w:rPr>
              <w:t xml:space="preserve"> </w:t>
            </w:r>
            <w:r w:rsidR="00BA665C" w:rsidRPr="001D0266">
              <w:rPr>
                <w:rFonts w:ascii="Times New Roman" w:eastAsia="Times New Roman" w:hAnsi="Times New Roman" w:cs="Times New Roman"/>
                <w:sz w:val="24"/>
                <w:szCs w:val="24"/>
              </w:rPr>
              <w:t xml:space="preserve"> 12976 </w:t>
            </w:r>
            <w:r w:rsidR="002736AC">
              <w:rPr>
                <w:rFonts w:ascii="Times New Roman" w:eastAsia="Times New Roman" w:hAnsi="Times New Roman" w:cs="Times New Roman"/>
                <w:sz w:val="24"/>
                <w:szCs w:val="24"/>
              </w:rPr>
              <w:t>nodokļu maksātāji</w:t>
            </w:r>
            <w:r w:rsidR="00C219FE">
              <w:rPr>
                <w:rFonts w:ascii="Times New Roman" w:eastAsia="Times New Roman" w:hAnsi="Times New Roman" w:cs="Times New Roman"/>
                <w:sz w:val="24"/>
                <w:szCs w:val="24"/>
              </w:rPr>
              <w:t>, kuru lietoš</w:t>
            </w:r>
            <w:r w:rsidR="002736AC">
              <w:rPr>
                <w:rFonts w:ascii="Times New Roman" w:eastAsia="Times New Roman" w:hAnsi="Times New Roman" w:cs="Times New Roman"/>
                <w:sz w:val="24"/>
                <w:szCs w:val="24"/>
              </w:rPr>
              <w:t>a</w:t>
            </w:r>
            <w:r w:rsidR="00C219FE">
              <w:rPr>
                <w:rFonts w:ascii="Times New Roman" w:eastAsia="Times New Roman" w:hAnsi="Times New Roman" w:cs="Times New Roman"/>
                <w:sz w:val="24"/>
                <w:szCs w:val="24"/>
              </w:rPr>
              <w:t>nā reģistrēt</w:t>
            </w:r>
            <w:r w:rsidR="002736AC">
              <w:rPr>
                <w:rFonts w:ascii="Times New Roman" w:eastAsia="Times New Roman" w:hAnsi="Times New Roman" w:cs="Times New Roman"/>
                <w:sz w:val="24"/>
                <w:szCs w:val="24"/>
              </w:rPr>
              <w:t>i</w:t>
            </w:r>
            <w:r w:rsidR="00173055">
              <w:rPr>
                <w:rFonts w:ascii="Times New Roman" w:eastAsia="Times New Roman" w:hAnsi="Times New Roman" w:cs="Times New Roman"/>
                <w:sz w:val="24"/>
                <w:szCs w:val="24"/>
              </w:rPr>
              <w:t xml:space="preserve"> </w:t>
            </w:r>
            <w:r w:rsidR="006A521C">
              <w:rPr>
                <w:rFonts w:ascii="Times New Roman" w:eastAsia="Times New Roman" w:hAnsi="Times New Roman" w:cs="Times New Roman"/>
                <w:sz w:val="24"/>
                <w:szCs w:val="24"/>
              </w:rPr>
              <w:t>aptuveni 18</w:t>
            </w:r>
            <w:r w:rsidR="00173055">
              <w:rPr>
                <w:rFonts w:ascii="Times New Roman" w:eastAsia="Times New Roman" w:hAnsi="Times New Roman" w:cs="Times New Roman"/>
                <w:sz w:val="24"/>
                <w:szCs w:val="24"/>
              </w:rPr>
              <w:t xml:space="preserve"> </w:t>
            </w:r>
            <w:r w:rsidR="006A521C">
              <w:rPr>
                <w:rFonts w:ascii="Times New Roman" w:eastAsia="Times New Roman" w:hAnsi="Times New Roman" w:cs="Times New Roman"/>
                <w:sz w:val="24"/>
                <w:szCs w:val="24"/>
              </w:rPr>
              <w:t xml:space="preserve">000 </w:t>
            </w:r>
            <w:r w:rsidR="002736AC">
              <w:rPr>
                <w:rFonts w:ascii="Times New Roman" w:eastAsia="Times New Roman" w:hAnsi="Times New Roman" w:cs="Times New Roman"/>
                <w:sz w:val="24"/>
                <w:szCs w:val="24"/>
              </w:rPr>
              <w:t>šo modeļu kases aparāti</w:t>
            </w:r>
            <w:r w:rsidR="006A521C">
              <w:rPr>
                <w:rFonts w:ascii="Times New Roman" w:eastAsia="Times New Roman" w:hAnsi="Times New Roman" w:cs="Times New Roman"/>
                <w:sz w:val="24"/>
                <w:szCs w:val="24"/>
              </w:rPr>
              <w:t>.</w:t>
            </w:r>
          </w:p>
          <w:p w14:paraId="262031A2" w14:textId="0DA620E6" w:rsidR="00A37FA3" w:rsidRPr="00DF434B" w:rsidRDefault="006A521C" w:rsidP="00514C04">
            <w:pPr>
              <w:spacing w:after="0" w:line="240" w:lineRule="auto"/>
              <w:ind w:firstLine="599"/>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Vienlaikus noteikumu projekts attiecas</w:t>
            </w:r>
            <w:r w:rsidR="00542081" w:rsidRPr="00DF434B">
              <w:rPr>
                <w:rFonts w:ascii="Times New Roman" w:eastAsia="Times New Roman" w:hAnsi="Times New Roman" w:cs="Times New Roman"/>
                <w:sz w:val="24"/>
                <w:szCs w:val="24"/>
                <w:lang w:eastAsia="lv-LV"/>
              </w:rPr>
              <w:t xml:space="preserve"> uz </w:t>
            </w:r>
            <w:r w:rsidR="00013344" w:rsidRPr="00DF434B">
              <w:rPr>
                <w:rFonts w:ascii="Times New Roman" w:eastAsia="Times New Roman" w:hAnsi="Times New Roman" w:cs="Times New Roman"/>
                <w:sz w:val="24"/>
                <w:szCs w:val="24"/>
                <w:lang w:eastAsia="lv-LV"/>
              </w:rPr>
              <w:t>VID</w:t>
            </w:r>
            <w:r w:rsidR="00D33986" w:rsidRPr="00DF434B">
              <w:rPr>
                <w:rFonts w:ascii="Times New Roman" w:eastAsia="Times New Roman" w:hAnsi="Times New Roman" w:cs="Times New Roman"/>
                <w:sz w:val="24"/>
                <w:szCs w:val="24"/>
                <w:lang w:eastAsia="lv-LV"/>
              </w:rPr>
              <w:t>.</w:t>
            </w:r>
          </w:p>
          <w:p w14:paraId="3C1CDAE2" w14:textId="77777777" w:rsidR="00F75150" w:rsidRPr="00DF434B" w:rsidRDefault="00F75150" w:rsidP="00542081">
            <w:pPr>
              <w:spacing w:after="0" w:line="240" w:lineRule="auto"/>
              <w:ind w:firstLine="425"/>
              <w:jc w:val="both"/>
              <w:rPr>
                <w:rFonts w:ascii="Times New Roman" w:eastAsia="Times New Roman" w:hAnsi="Times New Roman" w:cs="Times New Roman"/>
                <w:sz w:val="24"/>
                <w:szCs w:val="24"/>
                <w:lang w:eastAsia="lv-LV"/>
              </w:rPr>
            </w:pPr>
          </w:p>
        </w:tc>
      </w:tr>
      <w:tr w:rsidR="00AD0FD2" w14:paraId="618106B6" w14:textId="77777777" w:rsidTr="00DF750E">
        <w:trPr>
          <w:trHeight w:val="523"/>
        </w:trPr>
        <w:tc>
          <w:tcPr>
            <w:tcW w:w="431" w:type="dxa"/>
          </w:tcPr>
          <w:p w14:paraId="110C074B"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2.</w:t>
            </w:r>
          </w:p>
        </w:tc>
        <w:tc>
          <w:tcPr>
            <w:tcW w:w="2231" w:type="dxa"/>
          </w:tcPr>
          <w:p w14:paraId="1580852A"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Tiesiskā regulējuma ietekme uz tautsaimniecību un administratīvo slogu</w:t>
            </w:r>
          </w:p>
        </w:tc>
        <w:tc>
          <w:tcPr>
            <w:tcW w:w="6383" w:type="dxa"/>
            <w:gridSpan w:val="2"/>
          </w:tcPr>
          <w:p w14:paraId="7E816995" w14:textId="6DAFF4CB" w:rsidR="00CC6776" w:rsidRPr="00DF434B" w:rsidRDefault="006A521C" w:rsidP="00514C04">
            <w:pPr>
              <w:spacing w:after="0" w:line="240" w:lineRule="auto"/>
              <w:ind w:firstLine="599"/>
              <w:jc w:val="both"/>
              <w:rPr>
                <w:rFonts w:ascii="Times New Roman" w:hAnsi="Times New Roman" w:cs="Times New Roman"/>
                <w:sz w:val="24"/>
                <w:szCs w:val="24"/>
              </w:rPr>
            </w:pPr>
            <w:r w:rsidRPr="00DF434B">
              <w:rPr>
                <w:rFonts w:ascii="Times New Roman" w:hAnsi="Times New Roman" w:cs="Times New Roman"/>
                <w:sz w:val="24"/>
                <w:szCs w:val="24"/>
              </w:rPr>
              <w:t>Noteikumu projekts palielina lietotāju administratīvo slogu, ņemot vērā noteikto pienākumu slēgt rakstisku līgumu ar apkalpojošiem dienestiem par specializēto ierīču un iekārtu apkalpošanu.</w:t>
            </w:r>
          </w:p>
          <w:p w14:paraId="45BC645A" w14:textId="1B17535A" w:rsidR="00CC6776" w:rsidRPr="00DF434B" w:rsidRDefault="006A521C" w:rsidP="00CC6776">
            <w:pPr>
              <w:spacing w:after="0" w:line="240" w:lineRule="auto"/>
              <w:ind w:firstLine="416"/>
              <w:jc w:val="both"/>
              <w:rPr>
                <w:rFonts w:ascii="Times New Roman" w:hAnsi="Times New Roman" w:cs="Times New Roman"/>
                <w:sz w:val="24"/>
                <w:szCs w:val="24"/>
              </w:rPr>
            </w:pPr>
            <w:r w:rsidRPr="00DF434B">
              <w:rPr>
                <w:rFonts w:ascii="Times New Roman" w:hAnsi="Times New Roman" w:cs="Times New Roman"/>
                <w:sz w:val="24"/>
                <w:szCs w:val="24"/>
              </w:rPr>
              <w:t xml:space="preserve">Vienlaikus rakstiska līguma slēgšana atvieglo lietotāju un apkalpojošo dienestu pienākumu </w:t>
            </w:r>
            <w:r w:rsidR="006A7C5B">
              <w:rPr>
                <w:rFonts w:ascii="Times New Roman" w:hAnsi="Times New Roman" w:cs="Times New Roman"/>
                <w:sz w:val="24"/>
                <w:szCs w:val="24"/>
              </w:rPr>
              <w:t xml:space="preserve">izpildi </w:t>
            </w:r>
            <w:r w:rsidRPr="00DF434B">
              <w:rPr>
                <w:rFonts w:ascii="Times New Roman" w:hAnsi="Times New Roman" w:cs="Times New Roman"/>
                <w:sz w:val="24"/>
                <w:szCs w:val="24"/>
              </w:rPr>
              <w:t>un atbildības sadali.</w:t>
            </w:r>
          </w:p>
          <w:p w14:paraId="4ECDA019" w14:textId="35A1903F" w:rsidR="00027279" w:rsidRPr="00961EBB" w:rsidRDefault="006A521C" w:rsidP="00820591">
            <w:pPr>
              <w:spacing w:after="0" w:line="240" w:lineRule="auto"/>
              <w:ind w:firstLine="450"/>
              <w:jc w:val="both"/>
              <w:rPr>
                <w:rFonts w:ascii="Times New Roman" w:hAnsi="Times New Roman" w:cs="Times New Roman"/>
                <w:sz w:val="24"/>
                <w:szCs w:val="24"/>
              </w:rPr>
            </w:pPr>
            <w:r w:rsidRPr="00DF434B">
              <w:rPr>
                <w:rFonts w:ascii="Times New Roman" w:hAnsi="Times New Roman" w:cs="Times New Roman"/>
                <w:sz w:val="24"/>
                <w:szCs w:val="24"/>
              </w:rPr>
              <w:t>Noteikumu projekta tiesiskais regulējums samazina administratīvo slogu Padziļinātās sadarbības programmas dalībniekiem</w:t>
            </w:r>
            <w:r w:rsidR="009640D9">
              <w:rPr>
                <w:rFonts w:ascii="Times New Roman" w:hAnsi="Times New Roman" w:cs="Times New Roman"/>
                <w:sz w:val="24"/>
                <w:szCs w:val="24"/>
              </w:rPr>
              <w:t xml:space="preserve"> (ar ieviestu nodokļu risku vadības sistēmu)</w:t>
            </w:r>
            <w:r w:rsidRPr="00DF434B">
              <w:rPr>
                <w:rFonts w:ascii="Times New Roman" w:hAnsi="Times New Roman" w:cs="Times New Roman"/>
                <w:sz w:val="24"/>
                <w:szCs w:val="24"/>
              </w:rPr>
              <w:t>,</w:t>
            </w:r>
            <w:r w:rsidR="006A6935">
              <w:rPr>
                <w:rFonts w:ascii="Times New Roman" w:hAnsi="Times New Roman" w:cs="Times New Roman"/>
                <w:sz w:val="24"/>
                <w:szCs w:val="24"/>
              </w:rPr>
              <w:t xml:space="preserve"> kuriem ir zems nodokļu nenomaksas risks un </w:t>
            </w:r>
            <w:r w:rsidRPr="00DF434B">
              <w:rPr>
                <w:rFonts w:ascii="Times New Roman" w:hAnsi="Times New Roman" w:cs="Times New Roman"/>
                <w:sz w:val="24"/>
                <w:szCs w:val="24"/>
              </w:rPr>
              <w:t>kuri lieto kases sistēmas. Mērķg</w:t>
            </w:r>
            <w:r w:rsidR="00A95B20" w:rsidRPr="00DF434B">
              <w:rPr>
                <w:rFonts w:ascii="Times New Roman" w:hAnsi="Times New Roman" w:cs="Times New Roman"/>
                <w:sz w:val="24"/>
                <w:szCs w:val="24"/>
              </w:rPr>
              <w:t xml:space="preserve">rupai administratīvais slogs </w:t>
            </w:r>
            <w:r w:rsidRPr="00DF434B">
              <w:rPr>
                <w:rFonts w:ascii="Times New Roman" w:hAnsi="Times New Roman" w:cs="Times New Roman"/>
                <w:sz w:val="24"/>
                <w:szCs w:val="24"/>
              </w:rPr>
              <w:t>samazinās</w:t>
            </w:r>
            <w:r w:rsidR="00013344" w:rsidRPr="00DF434B">
              <w:rPr>
                <w:rFonts w:ascii="Times New Roman" w:hAnsi="Times New Roman" w:cs="Times New Roman"/>
                <w:sz w:val="24"/>
                <w:szCs w:val="24"/>
              </w:rPr>
              <w:t>ies</w:t>
            </w:r>
            <w:r w:rsidRPr="00DF434B">
              <w:rPr>
                <w:rFonts w:ascii="Times New Roman" w:hAnsi="Times New Roman" w:cs="Times New Roman"/>
                <w:sz w:val="24"/>
                <w:szCs w:val="24"/>
              </w:rPr>
              <w:t xml:space="preserve">, paredzot iespēju </w:t>
            </w:r>
            <w:r w:rsidR="009E6412" w:rsidRPr="00DF434B">
              <w:rPr>
                <w:rFonts w:ascii="Times New Roman" w:hAnsi="Times New Roman" w:cs="Times New Roman"/>
                <w:sz w:val="24"/>
                <w:szCs w:val="24"/>
              </w:rPr>
              <w:t xml:space="preserve">to </w:t>
            </w:r>
            <w:r w:rsidRPr="00DF434B">
              <w:rPr>
                <w:rFonts w:ascii="Times New Roman" w:hAnsi="Times New Roman" w:cs="Times New Roman"/>
                <w:sz w:val="24"/>
                <w:szCs w:val="24"/>
              </w:rPr>
              <w:t>lietotajām kases sistēmām programmas izmaiņu gadījumā atbilstības pārbaudi veikt</w:t>
            </w:r>
            <w:r w:rsidR="00EB4095" w:rsidRPr="00DF434B">
              <w:rPr>
                <w:rFonts w:ascii="Times New Roman" w:hAnsi="Times New Roman" w:cs="Times New Roman"/>
                <w:sz w:val="24"/>
                <w:szCs w:val="24"/>
              </w:rPr>
              <w:t xml:space="preserve"> nevis pēc katras veiktās izmaiņas, bet</w:t>
            </w:r>
            <w:r w:rsidRPr="00DF434B">
              <w:rPr>
                <w:rFonts w:ascii="Times New Roman" w:hAnsi="Times New Roman" w:cs="Times New Roman"/>
                <w:sz w:val="24"/>
                <w:szCs w:val="24"/>
              </w:rPr>
              <w:t xml:space="preserve"> ne vēlāk kā </w:t>
            </w:r>
            <w:r w:rsidR="00FC72C0">
              <w:rPr>
                <w:rFonts w:ascii="Times New Roman" w:hAnsi="Times New Roman" w:cs="Times New Roman"/>
                <w:sz w:val="24"/>
                <w:szCs w:val="24"/>
              </w:rPr>
              <w:t>sešu</w:t>
            </w:r>
            <w:r w:rsidRPr="00DF434B">
              <w:rPr>
                <w:rFonts w:ascii="Times New Roman" w:hAnsi="Times New Roman" w:cs="Times New Roman"/>
                <w:sz w:val="24"/>
                <w:szCs w:val="24"/>
              </w:rPr>
              <w:t xml:space="preserve"> mēnešu laikā pēc iepriekšējās atbilstības pārbaudes atzinuma saņemšanas</w:t>
            </w:r>
            <w:r w:rsidR="002808D8">
              <w:rPr>
                <w:rFonts w:ascii="Times New Roman" w:hAnsi="Times New Roman" w:cs="Times New Roman"/>
                <w:sz w:val="24"/>
                <w:szCs w:val="24"/>
              </w:rPr>
              <w:t xml:space="preserve">, bet </w:t>
            </w:r>
            <w:r w:rsidR="002808D8">
              <w:rPr>
                <w:rFonts w:ascii="Times New Roman" w:eastAsia="Times New Roman" w:hAnsi="Times New Roman" w:cs="Times New Roman"/>
                <w:sz w:val="24"/>
                <w:szCs w:val="24"/>
              </w:rPr>
              <w:t xml:space="preserve">gadījumā, ja veiktās izmaiņas ir būtiskas, VID ir noteiktas tiesības pieprasīt atbilstības pārbaudi veikt </w:t>
            </w:r>
            <w:r w:rsidR="00B30D49">
              <w:rPr>
                <w:rFonts w:ascii="Times New Roman" w:eastAsia="Times New Roman" w:hAnsi="Times New Roman" w:cs="Times New Roman"/>
                <w:sz w:val="24"/>
                <w:szCs w:val="24"/>
              </w:rPr>
              <w:t xml:space="preserve">ātrāk, t.i., </w:t>
            </w:r>
            <w:r w:rsidR="002808D8">
              <w:rPr>
                <w:rFonts w:ascii="Times New Roman" w:eastAsia="Times New Roman" w:hAnsi="Times New Roman" w:cs="Times New Roman"/>
                <w:sz w:val="24"/>
                <w:szCs w:val="24"/>
              </w:rPr>
              <w:t>pēc šo būtisko izmaiņu veikšanas</w:t>
            </w:r>
            <w:r w:rsidRPr="00961EBB">
              <w:rPr>
                <w:rFonts w:ascii="Times New Roman" w:hAnsi="Times New Roman" w:cs="Times New Roman"/>
                <w:sz w:val="24"/>
                <w:szCs w:val="24"/>
              </w:rPr>
              <w:t>.</w:t>
            </w:r>
          </w:p>
          <w:p w14:paraId="03C2F0E3" w14:textId="124EF1E8" w:rsidR="0012594B" w:rsidRPr="00DF434B" w:rsidRDefault="006A521C" w:rsidP="00073B17">
            <w:pPr>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 xml:space="preserve">Sagatavojot </w:t>
            </w:r>
            <w:r w:rsidR="003A7677">
              <w:rPr>
                <w:rFonts w:ascii="Times New Roman" w:hAnsi="Times New Roman" w:cs="Times New Roman"/>
                <w:sz w:val="24"/>
                <w:szCs w:val="24"/>
              </w:rPr>
              <w:t xml:space="preserve">elektroniskās ierīces un </w:t>
            </w:r>
            <w:r>
              <w:rPr>
                <w:rFonts w:ascii="Times New Roman" w:hAnsi="Times New Roman" w:cs="Times New Roman"/>
                <w:sz w:val="24"/>
                <w:szCs w:val="24"/>
              </w:rPr>
              <w:t>iekārtas tehnisko pasi e</w:t>
            </w:r>
            <w:r w:rsidR="00653FAD">
              <w:rPr>
                <w:rFonts w:ascii="Times New Roman" w:hAnsi="Times New Roman" w:cs="Times New Roman"/>
                <w:sz w:val="24"/>
                <w:szCs w:val="24"/>
              </w:rPr>
              <w:t>lektronisk</w:t>
            </w:r>
            <w:r>
              <w:rPr>
                <w:rFonts w:ascii="Times New Roman" w:hAnsi="Times New Roman" w:cs="Times New Roman"/>
                <w:sz w:val="24"/>
                <w:szCs w:val="24"/>
              </w:rPr>
              <w:t xml:space="preserve">ā formātā </w:t>
            </w:r>
            <w:r w:rsidR="00653FAD">
              <w:rPr>
                <w:rFonts w:ascii="Times New Roman" w:hAnsi="Times New Roman" w:cs="Times New Roman"/>
                <w:sz w:val="24"/>
                <w:szCs w:val="24"/>
              </w:rPr>
              <w:t xml:space="preserve">un </w:t>
            </w:r>
            <w:r>
              <w:rPr>
                <w:rFonts w:ascii="Times New Roman" w:hAnsi="Times New Roman" w:cs="Times New Roman"/>
                <w:sz w:val="24"/>
                <w:szCs w:val="24"/>
              </w:rPr>
              <w:t xml:space="preserve">elektroniski papildinot </w:t>
            </w:r>
            <w:r w:rsidR="00653FAD">
              <w:rPr>
                <w:rFonts w:ascii="Times New Roman" w:hAnsi="Times New Roman" w:cs="Times New Roman"/>
                <w:sz w:val="24"/>
                <w:szCs w:val="24"/>
              </w:rPr>
              <w:t xml:space="preserve">ierakstus tajā, </w:t>
            </w:r>
            <w:r>
              <w:rPr>
                <w:rFonts w:ascii="Times New Roman" w:hAnsi="Times New Roman" w:cs="Times New Roman"/>
                <w:sz w:val="24"/>
                <w:szCs w:val="24"/>
              </w:rPr>
              <w:t xml:space="preserve">apkalpojošajam dienestam nav nepieciešams fiziski apmeklēt nodokļu maksātāju, jo šīs darbības </w:t>
            </w:r>
            <w:r w:rsidR="00653FAD">
              <w:rPr>
                <w:rFonts w:ascii="Times New Roman" w:hAnsi="Times New Roman" w:cs="Times New Roman"/>
                <w:sz w:val="24"/>
                <w:szCs w:val="24"/>
              </w:rPr>
              <w:t xml:space="preserve">var </w:t>
            </w:r>
            <w:r>
              <w:rPr>
                <w:rFonts w:ascii="Times New Roman" w:hAnsi="Times New Roman" w:cs="Times New Roman"/>
                <w:sz w:val="24"/>
                <w:szCs w:val="24"/>
              </w:rPr>
              <w:t xml:space="preserve">veikt </w:t>
            </w:r>
            <w:r w:rsidR="00653FAD">
              <w:rPr>
                <w:rFonts w:ascii="Times New Roman" w:hAnsi="Times New Roman" w:cs="Times New Roman"/>
                <w:sz w:val="24"/>
                <w:szCs w:val="24"/>
              </w:rPr>
              <w:t xml:space="preserve">attālināti, tādā veidā samazinās </w:t>
            </w:r>
            <w:r>
              <w:rPr>
                <w:rFonts w:ascii="Times New Roman" w:hAnsi="Times New Roman" w:cs="Times New Roman"/>
                <w:sz w:val="24"/>
                <w:szCs w:val="24"/>
              </w:rPr>
              <w:t xml:space="preserve">apkalpojošo dienestu </w:t>
            </w:r>
            <w:r w:rsidR="00D101AB">
              <w:rPr>
                <w:rFonts w:ascii="Times New Roman" w:hAnsi="Times New Roman" w:cs="Times New Roman"/>
                <w:sz w:val="24"/>
                <w:szCs w:val="24"/>
              </w:rPr>
              <w:t xml:space="preserve">administratīvais </w:t>
            </w:r>
            <w:r w:rsidR="00FC1C32">
              <w:rPr>
                <w:rFonts w:ascii="Times New Roman" w:hAnsi="Times New Roman" w:cs="Times New Roman"/>
                <w:sz w:val="24"/>
                <w:szCs w:val="24"/>
              </w:rPr>
              <w:t>slogs</w:t>
            </w:r>
            <w:r>
              <w:rPr>
                <w:rFonts w:ascii="Times New Roman" w:hAnsi="Times New Roman" w:cs="Times New Roman"/>
                <w:sz w:val="24"/>
                <w:szCs w:val="24"/>
              </w:rPr>
              <w:t xml:space="preserve"> tehniskās pases sagatavošanā un uzturēšanā, kā arī samazinās nodokļu maksātāju izmaksas par apkalpojošo dienestu veiktajām darbībām</w:t>
            </w:r>
            <w:r w:rsidR="00FC1C32">
              <w:rPr>
                <w:rFonts w:ascii="Times New Roman" w:hAnsi="Times New Roman" w:cs="Times New Roman"/>
                <w:sz w:val="24"/>
                <w:szCs w:val="24"/>
              </w:rPr>
              <w:t>.</w:t>
            </w:r>
            <w:r w:rsidR="00DC3BFA">
              <w:rPr>
                <w:rFonts w:ascii="Times New Roman" w:hAnsi="Times New Roman" w:cs="Times New Roman"/>
                <w:sz w:val="24"/>
                <w:szCs w:val="24"/>
              </w:rPr>
              <w:t xml:space="preserve"> </w:t>
            </w:r>
          </w:p>
          <w:p w14:paraId="748550F9" w14:textId="77777777" w:rsidR="001B09DB" w:rsidRPr="00DF434B" w:rsidRDefault="006A521C" w:rsidP="0072161C">
            <w:pPr>
              <w:spacing w:after="0" w:line="240" w:lineRule="auto"/>
              <w:ind w:firstLine="416"/>
              <w:jc w:val="both"/>
              <w:rPr>
                <w:rFonts w:ascii="Times New Roman" w:hAnsi="Times New Roman" w:cs="Times New Roman"/>
                <w:sz w:val="24"/>
                <w:szCs w:val="24"/>
              </w:rPr>
            </w:pPr>
            <w:r w:rsidRPr="00DF434B">
              <w:rPr>
                <w:rFonts w:ascii="Times New Roman" w:hAnsi="Times New Roman" w:cs="Times New Roman"/>
                <w:sz w:val="24"/>
                <w:szCs w:val="24"/>
              </w:rPr>
              <w:t>N</w:t>
            </w:r>
            <w:r w:rsidR="0080292F" w:rsidRPr="00DF434B">
              <w:rPr>
                <w:rFonts w:ascii="Times New Roman" w:hAnsi="Times New Roman" w:cs="Times New Roman"/>
                <w:sz w:val="24"/>
                <w:szCs w:val="24"/>
              </w:rPr>
              <w:t>oteik</w:t>
            </w:r>
            <w:r w:rsidR="00EB4095" w:rsidRPr="00DF434B">
              <w:rPr>
                <w:rFonts w:ascii="Times New Roman" w:hAnsi="Times New Roman" w:cs="Times New Roman"/>
                <w:sz w:val="24"/>
                <w:szCs w:val="24"/>
              </w:rPr>
              <w:t>umu projekts nodrošina vienotu izpratni</w:t>
            </w:r>
            <w:r w:rsidR="0080292F" w:rsidRPr="00DF434B">
              <w:rPr>
                <w:rFonts w:ascii="Times New Roman" w:hAnsi="Times New Roman" w:cs="Times New Roman"/>
                <w:sz w:val="24"/>
                <w:szCs w:val="24"/>
              </w:rPr>
              <w:t xml:space="preserve"> elektronisko ierīču un iekārtu </w:t>
            </w:r>
            <w:r w:rsidRPr="00DF434B">
              <w:rPr>
                <w:rFonts w:ascii="Times New Roman" w:hAnsi="Times New Roman" w:cs="Times New Roman"/>
                <w:sz w:val="24"/>
                <w:szCs w:val="24"/>
              </w:rPr>
              <w:t>reģistrācijas kārtībā VID</w:t>
            </w:r>
            <w:r w:rsidR="00073F7C" w:rsidRPr="00DF434B">
              <w:rPr>
                <w:rFonts w:ascii="Times New Roman" w:hAnsi="Times New Roman" w:cs="Times New Roman"/>
                <w:sz w:val="24"/>
                <w:szCs w:val="24"/>
              </w:rPr>
              <w:t xml:space="preserve"> attiecībā uz</w:t>
            </w:r>
            <w:r w:rsidRPr="00DF434B">
              <w:rPr>
                <w:rFonts w:ascii="Times New Roman" w:hAnsi="Times New Roman" w:cs="Times New Roman"/>
                <w:sz w:val="24"/>
                <w:szCs w:val="24"/>
              </w:rPr>
              <w:t>:</w:t>
            </w:r>
          </w:p>
          <w:p w14:paraId="39805E43" w14:textId="79A302F5" w:rsidR="001B09DB" w:rsidRPr="00DF434B" w:rsidRDefault="006A521C" w:rsidP="0072161C">
            <w:pPr>
              <w:spacing w:after="0" w:line="240" w:lineRule="auto"/>
              <w:ind w:firstLine="416"/>
              <w:jc w:val="both"/>
              <w:rPr>
                <w:rFonts w:ascii="Times New Roman" w:hAnsi="Times New Roman" w:cs="Times New Roman"/>
                <w:sz w:val="24"/>
                <w:szCs w:val="24"/>
              </w:rPr>
            </w:pPr>
            <w:r w:rsidRPr="00DF434B">
              <w:rPr>
                <w:rFonts w:ascii="Times New Roman" w:hAnsi="Times New Roman" w:cs="Times New Roman"/>
                <w:sz w:val="24"/>
                <w:szCs w:val="24"/>
              </w:rPr>
              <w:lastRenderedPageBreak/>
              <w:t>-</w:t>
            </w:r>
            <w:r w:rsidR="00073F7C" w:rsidRPr="00DF434B">
              <w:rPr>
                <w:rFonts w:ascii="Times New Roman" w:hAnsi="Times New Roman" w:cs="Times New Roman"/>
                <w:sz w:val="24"/>
                <w:szCs w:val="24"/>
              </w:rPr>
              <w:t xml:space="preserve"> taksometru skaitītāju </w:t>
            </w:r>
            <w:r w:rsidR="00102FCA" w:rsidRPr="00DF434B">
              <w:rPr>
                <w:rFonts w:ascii="Times New Roman" w:hAnsi="Times New Roman" w:cs="Times New Roman"/>
                <w:sz w:val="24"/>
                <w:szCs w:val="24"/>
              </w:rPr>
              <w:t>apkalpojošo dienestu</w:t>
            </w:r>
            <w:r w:rsidR="00073F7C" w:rsidRPr="00DF434B">
              <w:rPr>
                <w:rFonts w:ascii="Times New Roman" w:hAnsi="Times New Roman" w:cs="Times New Roman"/>
                <w:sz w:val="24"/>
                <w:szCs w:val="24"/>
              </w:rPr>
              <w:t xml:space="preserve"> pienākumu </w:t>
            </w:r>
            <w:r w:rsidR="009E6412" w:rsidRPr="00DF434B">
              <w:rPr>
                <w:rFonts w:ascii="Times New Roman" w:hAnsi="Times New Roman" w:cs="Times New Roman"/>
                <w:sz w:val="24"/>
                <w:szCs w:val="24"/>
              </w:rPr>
              <w:t>veikt</w:t>
            </w:r>
            <w:r w:rsidR="00073F7C" w:rsidRPr="00DF434B">
              <w:rPr>
                <w:rFonts w:ascii="Times New Roman" w:hAnsi="Times New Roman" w:cs="Times New Roman"/>
                <w:sz w:val="24"/>
                <w:szCs w:val="24"/>
              </w:rPr>
              <w:t xml:space="preserve"> taksometru skaitīt</w:t>
            </w:r>
            <w:r w:rsidR="00102FCA" w:rsidRPr="00DF434B">
              <w:rPr>
                <w:rFonts w:ascii="Times New Roman" w:hAnsi="Times New Roman" w:cs="Times New Roman"/>
                <w:sz w:val="24"/>
                <w:szCs w:val="24"/>
              </w:rPr>
              <w:t xml:space="preserve">āju modeļu  </w:t>
            </w:r>
            <w:r w:rsidR="00B96DC7">
              <w:rPr>
                <w:rFonts w:ascii="Times New Roman" w:hAnsi="Times New Roman" w:cs="Times New Roman"/>
                <w:sz w:val="24"/>
                <w:szCs w:val="24"/>
              </w:rPr>
              <w:t>(</w:t>
            </w:r>
            <w:r w:rsidR="00102FCA" w:rsidRPr="00DF434B">
              <w:rPr>
                <w:rFonts w:ascii="Times New Roman" w:hAnsi="Times New Roman" w:cs="Times New Roman"/>
                <w:sz w:val="24"/>
                <w:szCs w:val="24"/>
              </w:rPr>
              <w:t>modifikāciju</w:t>
            </w:r>
            <w:r w:rsidR="00B96DC7">
              <w:rPr>
                <w:rFonts w:ascii="Times New Roman" w:hAnsi="Times New Roman" w:cs="Times New Roman"/>
                <w:sz w:val="24"/>
                <w:szCs w:val="24"/>
              </w:rPr>
              <w:t>)</w:t>
            </w:r>
            <w:r w:rsidR="00102FCA" w:rsidRPr="00DF434B">
              <w:rPr>
                <w:rFonts w:ascii="Times New Roman" w:hAnsi="Times New Roman" w:cs="Times New Roman"/>
                <w:sz w:val="24"/>
                <w:szCs w:val="24"/>
              </w:rPr>
              <w:t xml:space="preserve"> re</w:t>
            </w:r>
            <w:r w:rsidR="002D25B2" w:rsidRPr="00DF434B">
              <w:rPr>
                <w:rFonts w:ascii="Times New Roman" w:hAnsi="Times New Roman" w:cs="Times New Roman"/>
                <w:sz w:val="24"/>
                <w:szCs w:val="24"/>
              </w:rPr>
              <w:t>ģist</w:t>
            </w:r>
            <w:r w:rsidR="00102FCA" w:rsidRPr="00DF434B">
              <w:rPr>
                <w:rFonts w:ascii="Times New Roman" w:hAnsi="Times New Roman" w:cs="Times New Roman"/>
                <w:sz w:val="24"/>
                <w:szCs w:val="24"/>
              </w:rPr>
              <w:t>rāciju</w:t>
            </w:r>
            <w:r w:rsidR="0080292F" w:rsidRPr="00DF434B">
              <w:rPr>
                <w:rFonts w:ascii="Times New Roman" w:hAnsi="Times New Roman" w:cs="Times New Roman"/>
                <w:sz w:val="24"/>
                <w:szCs w:val="24"/>
              </w:rPr>
              <w:t xml:space="preserve"> </w:t>
            </w:r>
            <w:r w:rsidR="00102FCA" w:rsidRPr="00DF434B">
              <w:rPr>
                <w:rFonts w:ascii="Times New Roman" w:hAnsi="Times New Roman" w:cs="Times New Roman"/>
                <w:sz w:val="24"/>
                <w:szCs w:val="24"/>
              </w:rPr>
              <w:t>VID vienotajā datubāzē (reģis</w:t>
            </w:r>
            <w:r w:rsidRPr="00DF434B">
              <w:rPr>
                <w:rFonts w:ascii="Times New Roman" w:hAnsi="Times New Roman" w:cs="Times New Roman"/>
                <w:sz w:val="24"/>
                <w:szCs w:val="24"/>
              </w:rPr>
              <w:t>trā);</w:t>
            </w:r>
          </w:p>
          <w:p w14:paraId="0CAD0948" w14:textId="0413A79D" w:rsidR="001B09DB" w:rsidRDefault="006A521C" w:rsidP="0072161C">
            <w:pPr>
              <w:spacing w:after="0" w:line="240" w:lineRule="auto"/>
              <w:ind w:firstLine="416"/>
              <w:jc w:val="both"/>
              <w:rPr>
                <w:rFonts w:ascii="Times New Roman" w:hAnsi="Times New Roman" w:cs="Times New Roman"/>
                <w:sz w:val="24"/>
                <w:szCs w:val="24"/>
              </w:rPr>
            </w:pPr>
            <w:r w:rsidRPr="00DF434B">
              <w:rPr>
                <w:rFonts w:ascii="Times New Roman" w:hAnsi="Times New Roman" w:cs="Times New Roman"/>
                <w:sz w:val="24"/>
                <w:szCs w:val="24"/>
              </w:rPr>
              <w:t xml:space="preserve">- </w:t>
            </w:r>
            <w:r w:rsidR="008A1755" w:rsidRPr="00DF434B">
              <w:rPr>
                <w:rFonts w:ascii="Times New Roman" w:hAnsi="Times New Roman" w:cs="Times New Roman"/>
                <w:sz w:val="24"/>
                <w:szCs w:val="24"/>
              </w:rPr>
              <w:t xml:space="preserve">iesniedzamo informāciju VID, reģistrējot </w:t>
            </w:r>
            <w:r w:rsidR="00A61333" w:rsidRPr="00DF434B">
              <w:rPr>
                <w:rFonts w:ascii="Times New Roman" w:hAnsi="Times New Roman" w:cs="Times New Roman"/>
                <w:sz w:val="24"/>
                <w:szCs w:val="24"/>
              </w:rPr>
              <w:t xml:space="preserve">elektroniskās  </w:t>
            </w:r>
            <w:r w:rsidR="008A1755" w:rsidRPr="00DF434B">
              <w:rPr>
                <w:rFonts w:ascii="Times New Roman" w:hAnsi="Times New Roman" w:cs="Times New Roman"/>
                <w:sz w:val="24"/>
                <w:szCs w:val="24"/>
              </w:rPr>
              <w:t>ierīces vai iekārtas modeli VID;</w:t>
            </w:r>
          </w:p>
          <w:p w14:paraId="5D3A8A4D" w14:textId="7DB55B40" w:rsidR="001B09DB" w:rsidRPr="00DF434B" w:rsidRDefault="006A521C" w:rsidP="00073B17">
            <w:pPr>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 xml:space="preserve">- </w:t>
            </w:r>
            <w:r w:rsidRPr="00400B0C">
              <w:rPr>
                <w:rFonts w:ascii="Times New Roman" w:hAnsi="Times New Roman" w:cs="Times New Roman"/>
                <w:sz w:val="24"/>
                <w:szCs w:val="24"/>
              </w:rPr>
              <w:t xml:space="preserve">apkalpojošā dienesta pienākumu, izmantojot VID elektroniskās deklarēšanas sistēmu, </w:t>
            </w:r>
            <w:r>
              <w:rPr>
                <w:rFonts w:ascii="Times New Roman" w:hAnsi="Times New Roman" w:cs="Times New Roman"/>
                <w:sz w:val="24"/>
                <w:szCs w:val="24"/>
              </w:rPr>
              <w:t>noteiktā</w:t>
            </w:r>
            <w:r w:rsidRPr="00400B0C">
              <w:rPr>
                <w:rFonts w:ascii="Times New Roman" w:hAnsi="Times New Roman" w:cs="Times New Roman"/>
                <w:sz w:val="24"/>
                <w:szCs w:val="24"/>
              </w:rPr>
              <w:t xml:space="preserve"> laikā informēt VID  par</w:t>
            </w:r>
            <w:r w:rsidRPr="00F26BB3">
              <w:rPr>
                <w:rFonts w:ascii="Times New Roman" w:hAnsi="Times New Roman" w:cs="Times New Roman"/>
                <w:sz w:val="24"/>
                <w:szCs w:val="24"/>
              </w:rPr>
              <w:t xml:space="preserve"> kases aparāta, hibrīda kases aparāta, kases sistēmas, specializētās ierīces vai iekārtas uzstādīšanu, uzstādīšanas vietas adreses maiņu, lietošanas izbeigšanu</w:t>
            </w:r>
            <w:r w:rsidRPr="00400B0C">
              <w:rPr>
                <w:rFonts w:ascii="Times New Roman" w:hAnsi="Times New Roman" w:cs="Times New Roman"/>
                <w:sz w:val="24"/>
                <w:szCs w:val="24"/>
              </w:rPr>
              <w:t>,</w:t>
            </w:r>
            <w:r w:rsidRPr="00F26BB3">
              <w:rPr>
                <w:rFonts w:ascii="Times New Roman" w:hAnsi="Times New Roman" w:cs="Times New Roman"/>
                <w:sz w:val="24"/>
                <w:szCs w:val="24"/>
              </w:rPr>
              <w:t xml:space="preserve"> lietošanas pārtraukšanu uz laiku</w:t>
            </w:r>
            <w:r>
              <w:rPr>
                <w:rFonts w:ascii="Times New Roman" w:hAnsi="Times New Roman" w:cs="Times New Roman"/>
                <w:sz w:val="24"/>
                <w:szCs w:val="24"/>
              </w:rPr>
              <w:t>, kā arī lietotāja pienākumu apstiprināt iesniegto ziņojumu.</w:t>
            </w:r>
          </w:p>
          <w:p w14:paraId="29D89C11" w14:textId="12278D9E" w:rsidR="00702EF8" w:rsidRPr="00DF434B" w:rsidRDefault="006A521C" w:rsidP="0044732F">
            <w:pPr>
              <w:spacing w:after="0" w:line="240" w:lineRule="auto"/>
              <w:ind w:firstLine="416"/>
              <w:jc w:val="both"/>
              <w:rPr>
                <w:rFonts w:ascii="Times New Roman" w:hAnsi="Times New Roman" w:cs="Times New Roman"/>
                <w:sz w:val="24"/>
                <w:szCs w:val="24"/>
              </w:rPr>
            </w:pPr>
            <w:r w:rsidRPr="00DF434B">
              <w:rPr>
                <w:rFonts w:ascii="Times New Roman" w:hAnsi="Times New Roman" w:cs="Times New Roman"/>
                <w:sz w:val="24"/>
                <w:szCs w:val="24"/>
              </w:rPr>
              <w:t xml:space="preserve">Atbilstības pārbaudes institūcijai </w:t>
            </w:r>
            <w:r w:rsidR="003F1704" w:rsidRPr="00DF434B">
              <w:rPr>
                <w:rFonts w:ascii="Times New Roman" w:hAnsi="Times New Roman" w:cs="Times New Roman"/>
                <w:sz w:val="24"/>
                <w:szCs w:val="24"/>
              </w:rPr>
              <w:t xml:space="preserve">noteikumu </w:t>
            </w:r>
            <w:r w:rsidR="00931A3A" w:rsidRPr="00DF434B">
              <w:rPr>
                <w:rFonts w:ascii="Times New Roman" w:hAnsi="Times New Roman" w:cs="Times New Roman"/>
                <w:sz w:val="24"/>
                <w:szCs w:val="24"/>
              </w:rPr>
              <w:t>projektā</w:t>
            </w:r>
            <w:r w:rsidR="003F1704" w:rsidRPr="00DF434B">
              <w:rPr>
                <w:rFonts w:ascii="Times New Roman" w:hAnsi="Times New Roman" w:cs="Times New Roman"/>
                <w:sz w:val="24"/>
                <w:szCs w:val="24"/>
              </w:rPr>
              <w:t xml:space="preserve"> paredzētais </w:t>
            </w:r>
            <w:r w:rsidRPr="00DF434B">
              <w:rPr>
                <w:rFonts w:ascii="Times New Roman" w:hAnsi="Times New Roman" w:cs="Times New Roman"/>
                <w:sz w:val="24"/>
                <w:szCs w:val="24"/>
              </w:rPr>
              <w:t xml:space="preserve">pienākums sagatavot un izsniegt apkalpojošam dienestam atteikumu izsniegt atbilstības apliecinājumu, ja </w:t>
            </w:r>
            <w:r w:rsidR="00D33986" w:rsidRPr="00DF434B">
              <w:rPr>
                <w:rFonts w:ascii="Times New Roman" w:hAnsi="Times New Roman" w:cs="Times New Roman"/>
                <w:sz w:val="24"/>
                <w:szCs w:val="24"/>
              </w:rPr>
              <w:t xml:space="preserve">apkalpojošais dienests </w:t>
            </w:r>
            <w:r w:rsidRPr="00DF434B">
              <w:rPr>
                <w:rFonts w:ascii="Times New Roman" w:hAnsi="Times New Roman" w:cs="Times New Roman"/>
                <w:sz w:val="24"/>
                <w:szCs w:val="24"/>
              </w:rPr>
              <w:t xml:space="preserve">konstatētās neatbilstības </w:t>
            </w:r>
            <w:r w:rsidR="00D33986" w:rsidRPr="00DF434B">
              <w:rPr>
                <w:rFonts w:ascii="Times New Roman" w:hAnsi="Times New Roman" w:cs="Times New Roman"/>
                <w:sz w:val="24"/>
                <w:szCs w:val="24"/>
              </w:rPr>
              <w:t xml:space="preserve">nav </w:t>
            </w:r>
            <w:r w:rsidRPr="00DF434B">
              <w:rPr>
                <w:rFonts w:ascii="Times New Roman" w:hAnsi="Times New Roman" w:cs="Times New Roman"/>
                <w:sz w:val="24"/>
                <w:szCs w:val="24"/>
              </w:rPr>
              <w:t>novērs</w:t>
            </w:r>
            <w:r w:rsidR="00D33986" w:rsidRPr="00DF434B">
              <w:rPr>
                <w:rFonts w:ascii="Times New Roman" w:hAnsi="Times New Roman" w:cs="Times New Roman"/>
                <w:sz w:val="24"/>
                <w:szCs w:val="24"/>
              </w:rPr>
              <w:t>i</w:t>
            </w:r>
            <w:r w:rsidRPr="00DF434B">
              <w:rPr>
                <w:rFonts w:ascii="Times New Roman" w:hAnsi="Times New Roman" w:cs="Times New Roman"/>
                <w:sz w:val="24"/>
                <w:szCs w:val="24"/>
              </w:rPr>
              <w:t xml:space="preserve">s </w:t>
            </w:r>
            <w:r w:rsidR="003F1704" w:rsidRPr="00DF434B">
              <w:rPr>
                <w:rFonts w:ascii="Times New Roman" w:hAnsi="Times New Roman" w:cs="Times New Roman"/>
                <w:color w:val="000000"/>
                <w:sz w:val="24"/>
                <w:szCs w:val="24"/>
              </w:rPr>
              <w:t xml:space="preserve"> institūcijas norādītajā termiņā, bet ne vēlāk kā </w:t>
            </w:r>
            <w:r w:rsidR="00FC72C0">
              <w:rPr>
                <w:rFonts w:ascii="Times New Roman" w:hAnsi="Times New Roman" w:cs="Times New Roman"/>
                <w:sz w:val="24"/>
                <w:szCs w:val="24"/>
              </w:rPr>
              <w:t>sešu</w:t>
            </w:r>
            <w:r w:rsidR="003F1704" w:rsidRPr="00DF434B">
              <w:rPr>
                <w:rFonts w:ascii="Times New Roman" w:hAnsi="Times New Roman" w:cs="Times New Roman"/>
                <w:sz w:val="24"/>
                <w:szCs w:val="24"/>
              </w:rPr>
              <w:t xml:space="preserve"> mēnešu laikā no atbilstības pārbaudes uzsākšanas brīža</w:t>
            </w:r>
            <w:r w:rsidRPr="00DF434B">
              <w:rPr>
                <w:rFonts w:ascii="Times New Roman" w:hAnsi="Times New Roman" w:cs="Times New Roman"/>
                <w:sz w:val="24"/>
                <w:szCs w:val="24"/>
              </w:rPr>
              <w:t xml:space="preserve">, </w:t>
            </w:r>
            <w:r w:rsidR="00B13BED">
              <w:rPr>
                <w:rFonts w:ascii="Times New Roman" w:hAnsi="Times New Roman" w:cs="Times New Roman"/>
                <w:sz w:val="24"/>
                <w:szCs w:val="24"/>
              </w:rPr>
              <w:t xml:space="preserve">un tīmekļa vietnē publiskot atbilstības pārbaudē esošās elektroniskās ierīces un iekārtas, </w:t>
            </w:r>
            <w:r w:rsidRPr="00DF434B">
              <w:rPr>
                <w:rFonts w:ascii="Times New Roman" w:hAnsi="Times New Roman" w:cs="Times New Roman"/>
                <w:sz w:val="24"/>
                <w:szCs w:val="24"/>
              </w:rPr>
              <w:t>nerada būtisku papildu administratīvo slogu</w:t>
            </w:r>
            <w:r w:rsidR="001963FD">
              <w:rPr>
                <w:rFonts w:ascii="Times New Roman" w:hAnsi="Times New Roman" w:cs="Times New Roman"/>
                <w:sz w:val="24"/>
                <w:szCs w:val="24"/>
              </w:rPr>
              <w:t xml:space="preserve">. </w:t>
            </w:r>
            <w:r w:rsidR="003A7677">
              <w:rPr>
                <w:rFonts w:ascii="Times New Roman" w:hAnsi="Times New Roman" w:cs="Times New Roman"/>
                <w:sz w:val="24"/>
                <w:szCs w:val="24"/>
              </w:rPr>
              <w:t>Noteikumu projektā ietvertais n</w:t>
            </w:r>
            <w:r w:rsidR="001963FD">
              <w:rPr>
                <w:rFonts w:ascii="Times New Roman" w:hAnsi="Times New Roman" w:cs="Times New Roman"/>
                <w:sz w:val="24"/>
                <w:szCs w:val="24"/>
              </w:rPr>
              <w:t>ormatīvais regulējums nodrošinās</w:t>
            </w:r>
            <w:r w:rsidR="00103D7C">
              <w:rPr>
                <w:rFonts w:ascii="Times New Roman" w:hAnsi="Times New Roman" w:cs="Times New Roman"/>
                <w:sz w:val="24"/>
                <w:szCs w:val="24"/>
              </w:rPr>
              <w:t xml:space="preserve"> tehniskām prasībām atbilstošu elektronisko ierīču un iekārtu modeļu pieejamību, </w:t>
            </w:r>
            <w:r w:rsidR="001963FD">
              <w:rPr>
                <w:rFonts w:ascii="Times New Roman" w:hAnsi="Times New Roman" w:cs="Times New Roman"/>
                <w:sz w:val="24"/>
                <w:szCs w:val="24"/>
              </w:rPr>
              <w:t>paātrinā</w:t>
            </w:r>
            <w:r w:rsidR="003A7677">
              <w:rPr>
                <w:rFonts w:ascii="Times New Roman" w:hAnsi="Times New Roman" w:cs="Times New Roman"/>
                <w:sz w:val="24"/>
                <w:szCs w:val="24"/>
              </w:rPr>
              <w:t>sies</w:t>
            </w:r>
            <w:r w:rsidR="001963FD">
              <w:rPr>
                <w:rFonts w:ascii="Times New Roman" w:hAnsi="Times New Roman" w:cs="Times New Roman"/>
                <w:sz w:val="24"/>
                <w:szCs w:val="24"/>
              </w:rPr>
              <w:t xml:space="preserve"> elektronisko ierīču un iekārtu nomaiņa pret tehniskajām prasībām atbilstošu kases aparātu, hibrīda kases aparātu, kases sistēmu, specializēto ierīci vai iekārtu, tādējādi sekmējot kases aparātu reformas gaitu.</w:t>
            </w:r>
            <w:r w:rsidR="00103D7C">
              <w:rPr>
                <w:rFonts w:ascii="Times New Roman" w:hAnsi="Times New Roman" w:cs="Times New Roman"/>
                <w:sz w:val="24"/>
                <w:szCs w:val="24"/>
              </w:rPr>
              <w:t xml:space="preserve"> </w:t>
            </w:r>
          </w:p>
          <w:p w14:paraId="75E807D2" w14:textId="77777777" w:rsidR="0072161C" w:rsidRPr="00DF434B" w:rsidRDefault="006A521C" w:rsidP="0044732F">
            <w:pPr>
              <w:spacing w:after="0" w:line="240" w:lineRule="auto"/>
              <w:ind w:firstLine="416"/>
              <w:jc w:val="both"/>
              <w:rPr>
                <w:rFonts w:ascii="Times New Roman" w:hAnsi="Times New Roman" w:cs="Times New Roman"/>
                <w:sz w:val="24"/>
                <w:szCs w:val="24"/>
              </w:rPr>
            </w:pPr>
            <w:r w:rsidRPr="00DF434B">
              <w:rPr>
                <w:rFonts w:ascii="Times New Roman" w:hAnsi="Times New Roman" w:cs="Times New Roman"/>
                <w:sz w:val="24"/>
                <w:szCs w:val="24"/>
              </w:rPr>
              <w:t xml:space="preserve"> </w:t>
            </w:r>
          </w:p>
        </w:tc>
      </w:tr>
      <w:tr w:rsidR="00AD0FD2" w14:paraId="746FA45D" w14:textId="77777777" w:rsidTr="00DF750E">
        <w:trPr>
          <w:trHeight w:val="357"/>
        </w:trPr>
        <w:tc>
          <w:tcPr>
            <w:tcW w:w="431" w:type="dxa"/>
          </w:tcPr>
          <w:p w14:paraId="2DEB6509"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3.</w:t>
            </w:r>
          </w:p>
        </w:tc>
        <w:tc>
          <w:tcPr>
            <w:tcW w:w="2231" w:type="dxa"/>
          </w:tcPr>
          <w:p w14:paraId="3A8FD9D8" w14:textId="77777777" w:rsidR="00A37FA3"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Administratīvo izmaksu monetārs novērtējums</w:t>
            </w:r>
          </w:p>
        </w:tc>
        <w:tc>
          <w:tcPr>
            <w:tcW w:w="6383" w:type="dxa"/>
            <w:gridSpan w:val="2"/>
            <w:shd w:val="clear" w:color="auto" w:fill="auto"/>
          </w:tcPr>
          <w:p w14:paraId="3BA50990" w14:textId="77777777" w:rsidR="002B5CEE" w:rsidRPr="00DF434B" w:rsidRDefault="006A521C" w:rsidP="002B5CEE">
            <w:pPr>
              <w:spacing w:after="0" w:line="240" w:lineRule="auto"/>
              <w:ind w:firstLine="39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Noteikumu projekts šo jomu neskar.</w:t>
            </w:r>
          </w:p>
          <w:p w14:paraId="456CA7D6" w14:textId="77777777" w:rsidR="00A37FA3" w:rsidRPr="00DF434B" w:rsidRDefault="00A37FA3" w:rsidP="002B5CEE">
            <w:pPr>
              <w:spacing w:after="0" w:line="240" w:lineRule="auto"/>
              <w:ind w:firstLine="416"/>
              <w:jc w:val="both"/>
              <w:rPr>
                <w:rFonts w:ascii="Times New Roman" w:eastAsia="Times New Roman" w:hAnsi="Times New Roman" w:cs="Times New Roman"/>
                <w:sz w:val="24"/>
                <w:szCs w:val="24"/>
                <w:lang w:eastAsia="lv-LV"/>
              </w:rPr>
            </w:pPr>
          </w:p>
        </w:tc>
      </w:tr>
      <w:tr w:rsidR="00AD0FD2" w14:paraId="17B0C4E2" w14:textId="77777777" w:rsidTr="00DF750E">
        <w:trPr>
          <w:trHeight w:val="357"/>
        </w:trPr>
        <w:tc>
          <w:tcPr>
            <w:tcW w:w="431" w:type="dxa"/>
            <w:tcBorders>
              <w:bottom w:val="single" w:sz="4" w:space="0" w:color="auto"/>
            </w:tcBorders>
          </w:tcPr>
          <w:p w14:paraId="7A018C00" w14:textId="77777777" w:rsidR="007B78DB"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4. </w:t>
            </w:r>
          </w:p>
        </w:tc>
        <w:tc>
          <w:tcPr>
            <w:tcW w:w="2231" w:type="dxa"/>
            <w:tcBorders>
              <w:bottom w:val="single" w:sz="4" w:space="0" w:color="auto"/>
            </w:tcBorders>
          </w:tcPr>
          <w:p w14:paraId="2864E4E5" w14:textId="77777777" w:rsidR="007B78DB"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Atbilstības izmaksu monetārs novērtējums</w:t>
            </w:r>
          </w:p>
        </w:tc>
        <w:tc>
          <w:tcPr>
            <w:tcW w:w="6383" w:type="dxa"/>
            <w:gridSpan w:val="2"/>
            <w:tcBorders>
              <w:bottom w:val="single" w:sz="4" w:space="0" w:color="auto"/>
            </w:tcBorders>
          </w:tcPr>
          <w:p w14:paraId="41ADF9A3" w14:textId="6E515C17" w:rsidR="002B5CEE" w:rsidRPr="00DF434B" w:rsidRDefault="00213AEA" w:rsidP="002B5CEE">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6A521C" w:rsidRPr="00DF434B">
              <w:rPr>
                <w:rFonts w:ascii="Times New Roman" w:eastAsia="Times New Roman" w:hAnsi="Times New Roman" w:cs="Times New Roman"/>
                <w:sz w:val="24"/>
                <w:szCs w:val="24"/>
                <w:lang w:eastAsia="lv-LV"/>
              </w:rPr>
              <w:t>zmaksas lietotājiem, lai noslēgtu rakstiskus līgumus ar apkalpojošiem dienestiem, ir iespējams novērtēt tikai aptuveni.</w:t>
            </w:r>
          </w:p>
          <w:p w14:paraId="4A4EB0E4" w14:textId="77777777" w:rsidR="002B5CEE" w:rsidRPr="00DF434B" w:rsidRDefault="006A521C" w:rsidP="002B5CEE">
            <w:pPr>
              <w:spacing w:after="0" w:line="240" w:lineRule="auto"/>
              <w:ind w:firstLine="416"/>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Aprēķinā ietvertas līguma sagatavošanas izmaksas.</w:t>
            </w:r>
          </w:p>
          <w:p w14:paraId="47E4EA07" w14:textId="1278126B" w:rsidR="002B5CEE" w:rsidRPr="00DF434B" w:rsidRDefault="006A521C" w:rsidP="002B5CEE">
            <w:pPr>
              <w:spacing w:after="0" w:line="240" w:lineRule="auto"/>
              <w:ind w:firstLine="416"/>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Subjektu skaits, uz ko attiecas noteikumu projektā noteiktā prasība slēgt līgumus ar apkalpojošiem dienestiem</w:t>
            </w:r>
            <w:r w:rsidR="00C25E09">
              <w:rPr>
                <w:rFonts w:ascii="Times New Roman" w:eastAsia="Times New Roman" w:hAnsi="Times New Roman" w:cs="Times New Roman"/>
                <w:sz w:val="24"/>
                <w:szCs w:val="24"/>
                <w:lang w:eastAsia="lv-LV"/>
              </w:rPr>
              <w:t>,</w:t>
            </w:r>
            <w:r w:rsidRPr="00DF434B">
              <w:rPr>
                <w:rFonts w:ascii="Times New Roman" w:eastAsia="Times New Roman" w:hAnsi="Times New Roman" w:cs="Times New Roman"/>
                <w:sz w:val="24"/>
                <w:szCs w:val="24"/>
                <w:lang w:eastAsia="lv-LV"/>
              </w:rPr>
              <w:t xml:space="preserve"> ir </w:t>
            </w:r>
            <w:r w:rsidR="00F91330" w:rsidRPr="00DF434B">
              <w:rPr>
                <w:rFonts w:ascii="Times New Roman" w:eastAsia="Times New Roman" w:hAnsi="Times New Roman" w:cs="Times New Roman"/>
                <w:sz w:val="24"/>
                <w:szCs w:val="24"/>
                <w:lang w:eastAsia="lv-LV"/>
              </w:rPr>
              <w:t>1</w:t>
            </w:r>
            <w:r w:rsidR="00C25E09">
              <w:rPr>
                <w:rFonts w:ascii="Times New Roman" w:eastAsia="Times New Roman" w:hAnsi="Times New Roman" w:cs="Times New Roman"/>
                <w:sz w:val="24"/>
                <w:szCs w:val="24"/>
                <w:lang w:eastAsia="lv-LV"/>
              </w:rPr>
              <w:t> </w:t>
            </w:r>
            <w:r w:rsidR="00F91330" w:rsidRPr="00DF434B">
              <w:rPr>
                <w:rFonts w:ascii="Times New Roman" w:eastAsia="Times New Roman" w:hAnsi="Times New Roman" w:cs="Times New Roman"/>
                <w:sz w:val="24"/>
                <w:szCs w:val="24"/>
                <w:lang w:eastAsia="lv-LV"/>
              </w:rPr>
              <w:t>12</w:t>
            </w:r>
            <w:r w:rsidR="0093148E">
              <w:rPr>
                <w:rFonts w:ascii="Times New Roman" w:eastAsia="Times New Roman" w:hAnsi="Times New Roman" w:cs="Times New Roman"/>
                <w:sz w:val="24"/>
                <w:szCs w:val="24"/>
                <w:lang w:eastAsia="lv-LV"/>
              </w:rPr>
              <w:t>4</w:t>
            </w:r>
            <w:r w:rsidRPr="00DF434B">
              <w:rPr>
                <w:rFonts w:ascii="Times New Roman" w:eastAsia="Times New Roman" w:hAnsi="Times New Roman" w:cs="Times New Roman"/>
                <w:sz w:val="24"/>
                <w:szCs w:val="24"/>
                <w:lang w:eastAsia="lv-LV"/>
              </w:rPr>
              <w:t xml:space="preserve"> specializēto ierīču un iekārtu </w:t>
            </w:r>
            <w:r w:rsidR="00987427" w:rsidRPr="00DF434B">
              <w:rPr>
                <w:rFonts w:ascii="Times New Roman" w:eastAsia="Times New Roman" w:hAnsi="Times New Roman" w:cs="Times New Roman"/>
                <w:sz w:val="24"/>
                <w:szCs w:val="24"/>
                <w:lang w:eastAsia="lv-LV"/>
              </w:rPr>
              <w:t>lietotāj</w:t>
            </w:r>
            <w:r w:rsidR="00987427">
              <w:rPr>
                <w:rFonts w:ascii="Times New Roman" w:eastAsia="Times New Roman" w:hAnsi="Times New Roman" w:cs="Times New Roman"/>
                <w:sz w:val="24"/>
                <w:szCs w:val="24"/>
                <w:lang w:eastAsia="lv-LV"/>
              </w:rPr>
              <w:t>i</w:t>
            </w:r>
            <w:r w:rsidRPr="00DF434B">
              <w:rPr>
                <w:rFonts w:ascii="Times New Roman" w:eastAsia="Times New Roman" w:hAnsi="Times New Roman" w:cs="Times New Roman"/>
                <w:sz w:val="24"/>
                <w:szCs w:val="24"/>
                <w:lang w:eastAsia="lv-LV"/>
              </w:rPr>
              <w:t>.</w:t>
            </w:r>
          </w:p>
          <w:p w14:paraId="33F2E829" w14:textId="46D81E57" w:rsidR="002B5CEE" w:rsidRPr="00961EBB" w:rsidRDefault="006A521C" w:rsidP="002B5CEE">
            <w:pPr>
              <w:spacing w:after="0" w:line="240" w:lineRule="auto"/>
              <w:ind w:firstLine="416"/>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sz w:val="24"/>
                <w:szCs w:val="24"/>
                <w:lang w:eastAsia="lv-LV"/>
              </w:rPr>
              <w:t xml:space="preserve">Atbilstoši Centrālās statistikas pārvaldes datiem 2017.gadā </w:t>
            </w:r>
            <w:r w:rsidRPr="00DF434B">
              <w:rPr>
                <w:sz w:val="24"/>
                <w:szCs w:val="24"/>
              </w:rPr>
              <w:t xml:space="preserve"> </w:t>
            </w:r>
            <w:r w:rsidRPr="00DF434B">
              <w:rPr>
                <w:rFonts w:ascii="Times New Roman" w:eastAsia="Times New Roman" w:hAnsi="Times New Roman" w:cs="Times New Roman"/>
                <w:sz w:val="24"/>
                <w:szCs w:val="24"/>
                <w:lang w:eastAsia="lv-LV"/>
              </w:rPr>
              <w:t>vienas stundas darbaspēka izmaksas</w:t>
            </w:r>
            <w:r w:rsidRPr="00DF434B">
              <w:rPr>
                <w:bCs/>
                <w:sz w:val="24"/>
                <w:szCs w:val="24"/>
              </w:rPr>
              <w:t xml:space="preserve"> j</w:t>
            </w:r>
            <w:r w:rsidRPr="00DF434B">
              <w:rPr>
                <w:rFonts w:ascii="Times New Roman" w:eastAsia="Times New Roman" w:hAnsi="Times New Roman" w:cs="Times New Roman"/>
                <w:bCs/>
                <w:sz w:val="24"/>
                <w:szCs w:val="24"/>
                <w:lang w:eastAsia="lv-LV"/>
              </w:rPr>
              <w:t>uridiskajiem un grāmatvedības pakalpojumiem bija 7</w:t>
            </w:r>
            <w:r w:rsidR="00566E85">
              <w:rPr>
                <w:rFonts w:ascii="Times New Roman" w:eastAsia="Times New Roman" w:hAnsi="Times New Roman" w:cs="Times New Roman"/>
                <w:bCs/>
                <w:sz w:val="24"/>
                <w:szCs w:val="24"/>
                <w:lang w:eastAsia="lv-LV"/>
              </w:rPr>
              <w:t>,</w:t>
            </w:r>
            <w:r w:rsidRPr="00DF434B">
              <w:rPr>
                <w:rFonts w:ascii="Times New Roman" w:eastAsia="Times New Roman" w:hAnsi="Times New Roman" w:cs="Times New Roman"/>
                <w:bCs/>
                <w:sz w:val="24"/>
                <w:szCs w:val="24"/>
                <w:lang w:eastAsia="lv-LV"/>
              </w:rPr>
              <w:t xml:space="preserve">56 </w:t>
            </w:r>
            <w:r w:rsidRPr="00DF434B">
              <w:rPr>
                <w:rFonts w:ascii="Times New Roman" w:eastAsia="Times New Roman" w:hAnsi="Times New Roman" w:cs="Times New Roman"/>
                <w:bCs/>
                <w:i/>
                <w:sz w:val="24"/>
                <w:szCs w:val="24"/>
                <w:lang w:eastAsia="lv-LV"/>
              </w:rPr>
              <w:t>euro</w:t>
            </w:r>
            <w:r w:rsidRPr="00DF434B">
              <w:rPr>
                <w:rFonts w:ascii="Times New Roman" w:eastAsia="Times New Roman" w:hAnsi="Times New Roman" w:cs="Times New Roman"/>
                <w:bCs/>
                <w:sz w:val="24"/>
                <w:szCs w:val="24"/>
                <w:lang w:eastAsia="lv-LV"/>
              </w:rPr>
              <w:t>.</w:t>
            </w:r>
            <w:r>
              <w:rPr>
                <w:rStyle w:val="FootnoteReference"/>
                <w:rFonts w:ascii="Times New Roman" w:eastAsia="Times New Roman" w:hAnsi="Times New Roman" w:cs="Times New Roman"/>
                <w:bCs/>
                <w:sz w:val="24"/>
                <w:szCs w:val="24"/>
                <w:lang w:eastAsia="lv-LV"/>
              </w:rPr>
              <w:footnoteReference w:id="4"/>
            </w:r>
          </w:p>
          <w:p w14:paraId="08C129AA" w14:textId="127099E1" w:rsidR="002B5CEE" w:rsidRPr="00DF434B" w:rsidRDefault="006A521C" w:rsidP="002B5CEE">
            <w:pPr>
              <w:spacing w:after="0" w:line="240" w:lineRule="auto"/>
              <w:ind w:firstLine="416"/>
              <w:jc w:val="both"/>
              <w:rPr>
                <w:rFonts w:ascii="Times New Roman" w:eastAsia="Times New Roman" w:hAnsi="Times New Roman" w:cs="Times New Roman"/>
                <w:sz w:val="24"/>
                <w:szCs w:val="24"/>
                <w:lang w:eastAsia="lv-LV"/>
              </w:rPr>
            </w:pPr>
            <w:r w:rsidRPr="00FC6054">
              <w:rPr>
                <w:rFonts w:ascii="Times New Roman" w:eastAsia="Times New Roman" w:hAnsi="Times New Roman" w:cs="Times New Roman"/>
                <w:sz w:val="24"/>
                <w:szCs w:val="24"/>
                <w:lang w:eastAsia="lv-LV"/>
              </w:rPr>
              <w:t xml:space="preserve">Ministru kabineta noteikumos Nr.96 </w:t>
            </w:r>
            <w:r>
              <w:rPr>
                <w:rFonts w:ascii="Times New Roman" w:eastAsia="Times New Roman" w:hAnsi="Times New Roman" w:cs="Times New Roman"/>
                <w:sz w:val="24"/>
                <w:szCs w:val="24"/>
                <w:lang w:eastAsia="lv-LV"/>
              </w:rPr>
              <w:t xml:space="preserve">līguma darbības termiņš nav noteikts. </w:t>
            </w:r>
            <w:r w:rsidR="00CD0587" w:rsidRPr="00DF434B">
              <w:rPr>
                <w:rFonts w:ascii="Times New Roman" w:eastAsia="Times New Roman" w:hAnsi="Times New Roman" w:cs="Times New Roman"/>
                <w:sz w:val="24"/>
                <w:szCs w:val="24"/>
                <w:lang w:eastAsia="lv-LV"/>
              </w:rPr>
              <w:t>Tiek pieņemts, ka līgumi ar apkalpojošo dienestu tiek slēgti</w:t>
            </w:r>
            <w:r w:rsidR="00D16D72">
              <w:rPr>
                <w:rFonts w:ascii="Times New Roman" w:eastAsia="Times New Roman" w:hAnsi="Times New Roman" w:cs="Times New Roman"/>
                <w:sz w:val="24"/>
                <w:szCs w:val="24"/>
                <w:lang w:eastAsia="lv-LV"/>
              </w:rPr>
              <w:t xml:space="preserve"> iegādājoties un uzstādot iekārtu</w:t>
            </w:r>
            <w:r w:rsidR="00CD0587" w:rsidRPr="00DF434B">
              <w:rPr>
                <w:rFonts w:ascii="Times New Roman" w:eastAsia="Times New Roman" w:hAnsi="Times New Roman" w:cs="Times New Roman"/>
                <w:sz w:val="24"/>
                <w:szCs w:val="24"/>
                <w:lang w:eastAsia="lv-LV"/>
              </w:rPr>
              <w:t xml:space="preserve">, līguma sagatavošanai nepieciešamas </w:t>
            </w:r>
            <w:r w:rsidR="00FC72C0">
              <w:rPr>
                <w:rFonts w:ascii="Times New Roman" w:eastAsia="Times New Roman" w:hAnsi="Times New Roman" w:cs="Times New Roman"/>
                <w:sz w:val="24"/>
                <w:szCs w:val="24"/>
                <w:lang w:eastAsia="lv-LV"/>
              </w:rPr>
              <w:t>divas</w:t>
            </w:r>
            <w:r w:rsidR="00CD0587" w:rsidRPr="00DF434B">
              <w:rPr>
                <w:rFonts w:ascii="Times New Roman" w:eastAsia="Times New Roman" w:hAnsi="Times New Roman" w:cs="Times New Roman"/>
                <w:sz w:val="24"/>
                <w:szCs w:val="24"/>
                <w:lang w:eastAsia="lv-LV"/>
              </w:rPr>
              <w:t xml:space="preserve"> stundas.</w:t>
            </w:r>
          </w:p>
          <w:p w14:paraId="365964E8" w14:textId="6AA69334" w:rsidR="002B5CEE" w:rsidRPr="00DF434B" w:rsidRDefault="006A521C" w:rsidP="00073B17">
            <w:pPr>
              <w:spacing w:after="0" w:line="240" w:lineRule="auto"/>
              <w:ind w:firstLine="416"/>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Līdz ar to:</w:t>
            </w:r>
          </w:p>
          <w:p w14:paraId="1E80EEAD" w14:textId="30B6DD35" w:rsidR="002B5CEE" w:rsidRPr="00DF434B" w:rsidRDefault="006A521C" w:rsidP="002B5CEE">
            <w:pPr>
              <w:spacing w:after="0" w:line="240" w:lineRule="auto"/>
              <w:ind w:firstLine="416"/>
              <w:jc w:val="both"/>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i/>
                <w:sz w:val="24"/>
                <w:szCs w:val="24"/>
                <w:lang w:eastAsia="lv-LV"/>
              </w:rPr>
              <w:t>C</w:t>
            </w:r>
            <w:r w:rsidR="00F91330" w:rsidRPr="00DF434B">
              <w:rPr>
                <w:rFonts w:ascii="Times New Roman" w:eastAsia="Times New Roman" w:hAnsi="Times New Roman" w:cs="Times New Roman"/>
                <w:i/>
                <w:sz w:val="24"/>
                <w:szCs w:val="24"/>
                <w:vertAlign w:val="subscript"/>
                <w:lang w:eastAsia="lv-LV"/>
              </w:rPr>
              <w:t>atbilstības</w:t>
            </w:r>
            <w:r w:rsidRPr="00DF434B">
              <w:rPr>
                <w:rFonts w:ascii="Times New Roman" w:eastAsia="Times New Roman" w:hAnsi="Times New Roman" w:cs="Times New Roman"/>
                <w:i/>
                <w:sz w:val="24"/>
                <w:szCs w:val="24"/>
                <w:vertAlign w:val="subscript"/>
                <w:lang w:eastAsia="lv-LV"/>
              </w:rPr>
              <w:t xml:space="preserve"> izmaksas </w:t>
            </w:r>
            <w:r w:rsidRPr="00DF434B">
              <w:rPr>
                <w:rFonts w:ascii="Times New Roman" w:eastAsia="Times New Roman" w:hAnsi="Times New Roman" w:cs="Times New Roman"/>
                <w:i/>
                <w:sz w:val="24"/>
                <w:szCs w:val="24"/>
                <w:lang w:eastAsia="lv-LV"/>
              </w:rPr>
              <w:t xml:space="preserve">= </w:t>
            </w:r>
            <w:r w:rsidR="00981766" w:rsidRPr="00DF434B">
              <w:rPr>
                <w:rFonts w:ascii="Times New Roman" w:eastAsia="Times New Roman" w:hAnsi="Times New Roman" w:cs="Times New Roman"/>
                <w:i/>
                <w:sz w:val="24"/>
                <w:szCs w:val="24"/>
                <w:lang w:eastAsia="lv-LV"/>
              </w:rPr>
              <w:t>1 12</w:t>
            </w:r>
            <w:r w:rsidR="0093148E">
              <w:rPr>
                <w:rFonts w:ascii="Times New Roman" w:eastAsia="Times New Roman" w:hAnsi="Times New Roman" w:cs="Times New Roman"/>
                <w:i/>
                <w:sz w:val="24"/>
                <w:szCs w:val="24"/>
                <w:lang w:eastAsia="lv-LV"/>
              </w:rPr>
              <w:t>4</w:t>
            </w:r>
            <w:r w:rsidRPr="00DF434B">
              <w:rPr>
                <w:rFonts w:ascii="Times New Roman" w:eastAsia="Times New Roman" w:hAnsi="Times New Roman" w:cs="Times New Roman"/>
                <w:i/>
                <w:sz w:val="24"/>
                <w:szCs w:val="24"/>
                <w:lang w:eastAsia="lv-LV"/>
              </w:rPr>
              <w:t xml:space="preserve"> (specializēto ierīču un iekārtu lietotāju skaits) x 2 (nepieciešamo stundu skaits viena līguma noslēgšanai) x 7,56 euro (vienas stundas darbaspēka izmaksas) =</w:t>
            </w:r>
            <w:r w:rsidR="00F91330" w:rsidRPr="00DF434B">
              <w:rPr>
                <w:rFonts w:ascii="Times New Roman" w:eastAsia="Times New Roman" w:hAnsi="Times New Roman" w:cs="Times New Roman"/>
                <w:i/>
                <w:sz w:val="24"/>
                <w:szCs w:val="24"/>
                <w:lang w:eastAsia="lv-LV"/>
              </w:rPr>
              <w:t xml:space="preserve"> </w:t>
            </w:r>
            <w:r w:rsidRPr="00DF434B">
              <w:rPr>
                <w:rFonts w:ascii="Times New Roman" w:eastAsia="Times New Roman" w:hAnsi="Times New Roman" w:cs="Times New Roman"/>
                <w:i/>
                <w:sz w:val="24"/>
                <w:szCs w:val="24"/>
                <w:lang w:eastAsia="lv-LV"/>
              </w:rPr>
              <w:t xml:space="preserve">  </w:t>
            </w:r>
          </w:p>
          <w:p w14:paraId="535126E2" w14:textId="274F5E80" w:rsidR="007B78DB" w:rsidRPr="00961EBB" w:rsidRDefault="006A521C" w:rsidP="00981766">
            <w:pPr>
              <w:spacing w:after="0" w:line="240" w:lineRule="auto"/>
              <w:jc w:val="both"/>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i/>
                <w:sz w:val="24"/>
                <w:szCs w:val="24"/>
                <w:lang w:eastAsia="lv-LV"/>
              </w:rPr>
              <w:t>16 </w:t>
            </w:r>
            <w:r w:rsidR="0093148E" w:rsidRPr="00DF434B">
              <w:rPr>
                <w:rFonts w:ascii="Times New Roman" w:eastAsia="Times New Roman" w:hAnsi="Times New Roman" w:cs="Times New Roman"/>
                <w:i/>
                <w:sz w:val="24"/>
                <w:szCs w:val="24"/>
                <w:lang w:eastAsia="lv-LV"/>
              </w:rPr>
              <w:t>9</w:t>
            </w:r>
            <w:r w:rsidR="0093148E">
              <w:rPr>
                <w:rFonts w:ascii="Times New Roman" w:eastAsia="Times New Roman" w:hAnsi="Times New Roman" w:cs="Times New Roman"/>
                <w:i/>
                <w:sz w:val="24"/>
                <w:szCs w:val="24"/>
                <w:lang w:eastAsia="lv-LV"/>
              </w:rPr>
              <w:t>95</w:t>
            </w:r>
            <w:r w:rsidR="0093148E" w:rsidRPr="00DF434B">
              <w:rPr>
                <w:rFonts w:ascii="Times New Roman" w:eastAsia="Times New Roman" w:hAnsi="Times New Roman" w:cs="Times New Roman"/>
                <w:sz w:val="24"/>
                <w:szCs w:val="24"/>
                <w:lang w:eastAsia="lv-LV"/>
              </w:rPr>
              <w:t xml:space="preserve"> </w:t>
            </w:r>
            <w:r w:rsidRPr="00DF434B">
              <w:rPr>
                <w:rFonts w:ascii="Times New Roman" w:eastAsia="Times New Roman" w:hAnsi="Times New Roman" w:cs="Times New Roman"/>
                <w:i/>
                <w:sz w:val="24"/>
                <w:szCs w:val="24"/>
                <w:lang w:eastAsia="lv-LV"/>
              </w:rPr>
              <w:t>euro</w:t>
            </w:r>
            <w:r w:rsidR="00981766" w:rsidRPr="00961EBB">
              <w:rPr>
                <w:rFonts w:ascii="Times New Roman" w:eastAsia="Times New Roman" w:hAnsi="Times New Roman" w:cs="Times New Roman"/>
                <w:i/>
                <w:sz w:val="24"/>
                <w:szCs w:val="24"/>
                <w:lang w:eastAsia="lv-LV"/>
              </w:rPr>
              <w:t>.</w:t>
            </w:r>
          </w:p>
          <w:p w14:paraId="1CC60F30" w14:textId="3F42DCC1" w:rsidR="00931A3A" w:rsidRDefault="00931A3A" w:rsidP="00981766">
            <w:pPr>
              <w:spacing w:after="0" w:line="240" w:lineRule="auto"/>
              <w:jc w:val="both"/>
              <w:rPr>
                <w:rFonts w:ascii="Times New Roman" w:eastAsia="Times New Roman" w:hAnsi="Times New Roman" w:cs="Times New Roman"/>
                <w:i/>
                <w:sz w:val="24"/>
                <w:szCs w:val="24"/>
                <w:lang w:eastAsia="lv-LV"/>
              </w:rPr>
            </w:pPr>
          </w:p>
          <w:p w14:paraId="031B9B7A" w14:textId="6601E329" w:rsidR="00E40482" w:rsidRDefault="006A521C" w:rsidP="00211350">
            <w:pPr>
              <w:spacing w:after="0" w:line="240" w:lineRule="auto"/>
              <w:ind w:firstLine="450"/>
              <w:jc w:val="both"/>
              <w:rPr>
                <w:rFonts w:ascii="Times New Roman" w:eastAsia="Times New Roman" w:hAnsi="Times New Roman" w:cs="Times New Roman"/>
                <w:sz w:val="24"/>
                <w:szCs w:val="24"/>
                <w:lang w:eastAsia="lv-LV"/>
              </w:rPr>
            </w:pPr>
            <w:r w:rsidRPr="00211350">
              <w:rPr>
                <w:rFonts w:ascii="Times New Roman" w:eastAsia="Times New Roman" w:hAnsi="Times New Roman" w:cs="Times New Roman"/>
                <w:sz w:val="24"/>
                <w:szCs w:val="24"/>
                <w:lang w:eastAsia="lv-LV"/>
              </w:rPr>
              <w:lastRenderedPageBreak/>
              <w:t xml:space="preserve">Apkalpojošā dienesta izmaksas </w:t>
            </w:r>
            <w:r w:rsidR="00810DF2" w:rsidRPr="00211350">
              <w:rPr>
                <w:rFonts w:ascii="Times New Roman" w:eastAsia="Times New Roman" w:hAnsi="Times New Roman" w:cs="Times New Roman"/>
                <w:sz w:val="24"/>
                <w:szCs w:val="24"/>
                <w:lang w:eastAsia="lv-LV"/>
              </w:rPr>
              <w:t xml:space="preserve">lietotājiem lietošanā esošo ~ 18 000 </w:t>
            </w:r>
            <w:r w:rsidR="008E7325" w:rsidRPr="008E7325">
              <w:rPr>
                <w:rFonts w:ascii="Times New Roman" w:eastAsia="Times New Roman" w:hAnsi="Times New Roman" w:cs="Times New Roman"/>
                <w:i/>
                <w:sz w:val="24"/>
                <w:szCs w:val="24"/>
                <w:lang w:eastAsia="lv-LV"/>
              </w:rPr>
              <w:t>CHD</w:t>
            </w:r>
            <w:r w:rsidR="008E7325">
              <w:rPr>
                <w:rFonts w:ascii="Times New Roman" w:eastAsia="Times New Roman" w:hAnsi="Times New Roman" w:cs="Times New Roman"/>
                <w:sz w:val="24"/>
                <w:szCs w:val="24"/>
                <w:lang w:eastAsia="lv-LV"/>
              </w:rPr>
              <w:t xml:space="preserve"> </w:t>
            </w:r>
            <w:r w:rsidR="00810DF2" w:rsidRPr="00211350">
              <w:rPr>
                <w:rFonts w:ascii="Times New Roman" w:eastAsia="Times New Roman" w:hAnsi="Times New Roman" w:cs="Times New Roman"/>
                <w:sz w:val="24"/>
                <w:szCs w:val="24"/>
                <w:lang w:eastAsia="lv-LV"/>
              </w:rPr>
              <w:t>kases aparātu pielāgošanai vai nomaiņai nav iespējams novērtēt</w:t>
            </w:r>
            <w:r w:rsidR="00ED3749" w:rsidRPr="00211350">
              <w:rPr>
                <w:rFonts w:ascii="Times New Roman" w:eastAsia="Times New Roman" w:hAnsi="Times New Roman" w:cs="Times New Roman"/>
                <w:sz w:val="24"/>
                <w:szCs w:val="24"/>
                <w:lang w:eastAsia="lv-LV"/>
              </w:rPr>
              <w:t xml:space="preserve">, jo ņemot vērā labo praksi pasaulē, ja konstatētās neatbilstības ir ražošanas procesa kļūda, tad visas izmaksas sedz iekārtas ražotājs. </w:t>
            </w:r>
          </w:p>
          <w:p w14:paraId="6B4D833E" w14:textId="3DD067B1" w:rsidR="00211350" w:rsidRPr="00DF434B" w:rsidRDefault="00211350" w:rsidP="00605EF5">
            <w:pPr>
              <w:spacing w:after="0" w:line="240" w:lineRule="auto"/>
              <w:ind w:firstLine="450"/>
              <w:jc w:val="both"/>
              <w:rPr>
                <w:rFonts w:ascii="Times New Roman" w:eastAsia="Times New Roman" w:hAnsi="Times New Roman" w:cs="Times New Roman"/>
                <w:sz w:val="24"/>
                <w:szCs w:val="24"/>
                <w:lang w:eastAsia="lv-LV"/>
              </w:rPr>
            </w:pPr>
          </w:p>
        </w:tc>
      </w:tr>
      <w:tr w:rsidR="00AD0FD2" w14:paraId="3588E8A2" w14:textId="77777777" w:rsidTr="00DF750E">
        <w:trPr>
          <w:trHeight w:val="410"/>
        </w:trPr>
        <w:tc>
          <w:tcPr>
            <w:tcW w:w="431" w:type="dxa"/>
            <w:tcBorders>
              <w:bottom w:val="single" w:sz="4" w:space="0" w:color="auto"/>
              <w:right w:val="single" w:sz="4" w:space="0" w:color="auto"/>
            </w:tcBorders>
          </w:tcPr>
          <w:p w14:paraId="737DC02E" w14:textId="77777777" w:rsidR="007411E0"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5.</w:t>
            </w:r>
          </w:p>
        </w:tc>
        <w:tc>
          <w:tcPr>
            <w:tcW w:w="2231" w:type="dxa"/>
            <w:tcBorders>
              <w:left w:val="single" w:sz="4" w:space="0" w:color="auto"/>
              <w:bottom w:val="single" w:sz="4" w:space="0" w:color="auto"/>
            </w:tcBorders>
          </w:tcPr>
          <w:p w14:paraId="3A4299C0" w14:textId="77777777" w:rsidR="007411E0" w:rsidRPr="00DF434B" w:rsidRDefault="006A521C" w:rsidP="00A37FA3">
            <w:pPr>
              <w:spacing w:after="0" w:line="240" w:lineRule="auto"/>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6383" w:type="dxa"/>
            <w:gridSpan w:val="2"/>
            <w:tcBorders>
              <w:left w:val="nil"/>
              <w:bottom w:val="single" w:sz="4" w:space="0" w:color="auto"/>
            </w:tcBorders>
          </w:tcPr>
          <w:p w14:paraId="2403558C" w14:textId="5CA7A8DE" w:rsidR="00605EF5" w:rsidRPr="002658CB" w:rsidRDefault="00605EF5" w:rsidP="00605EF5">
            <w:pPr>
              <w:spacing w:after="0" w:line="240" w:lineRule="auto"/>
              <w:ind w:firstLine="4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Informācijas ievadīšana VID elektroniskajā deklarēšanas sistēmā par veiktajām darbībām ar elektroniskajām ierīcēm un iekārtām (</w:t>
            </w:r>
            <w:r w:rsidRPr="002658CB">
              <w:rPr>
                <w:rFonts w:ascii="Times New Roman" w:eastAsia="Times New Roman" w:hAnsi="Times New Roman" w:cs="Times New Roman"/>
                <w:sz w:val="24"/>
                <w:szCs w:val="24"/>
                <w:lang w:eastAsia="lv-LV"/>
              </w:rPr>
              <w:t>uzstādīšana, uzstādīšana citā darbības vietā, lietošanas izbeigšana, lietošanas pārtraukšana</w:t>
            </w:r>
            <w:r>
              <w:rPr>
                <w:rFonts w:ascii="Times New Roman" w:eastAsia="Times New Roman" w:hAnsi="Times New Roman" w:cs="Times New Roman"/>
                <w:sz w:val="24"/>
                <w:szCs w:val="24"/>
                <w:lang w:eastAsia="lv-LV"/>
              </w:rPr>
              <w:t>)</w:t>
            </w:r>
            <w:r w:rsidRPr="002658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nerada apkalpojošiem dienestiem un lietotājiem papildu administratīvās izmaksas, jo ar noteikumu projektu tiek precizēta jau šobrīd esošā informācijas iesniegšanas kārtība.</w:t>
            </w:r>
          </w:p>
          <w:p w14:paraId="28112A1A" w14:textId="77777777" w:rsidR="007411E0" w:rsidRPr="00DF434B" w:rsidRDefault="007411E0" w:rsidP="00B25702">
            <w:pPr>
              <w:spacing w:after="0" w:line="240" w:lineRule="auto"/>
              <w:ind w:firstLine="284"/>
              <w:rPr>
                <w:rFonts w:ascii="Times New Roman" w:eastAsia="Times New Roman" w:hAnsi="Times New Roman" w:cs="Times New Roman"/>
                <w:sz w:val="24"/>
                <w:szCs w:val="24"/>
                <w:lang w:eastAsia="lv-LV"/>
              </w:rPr>
            </w:pPr>
          </w:p>
        </w:tc>
      </w:tr>
      <w:tr w:rsidR="00AD0FD2" w14:paraId="159DF1E6" w14:textId="77777777" w:rsidTr="00DF750E">
        <w:trPr>
          <w:trHeight w:val="330"/>
        </w:trPr>
        <w:tc>
          <w:tcPr>
            <w:tcW w:w="431" w:type="dxa"/>
            <w:tcBorders>
              <w:top w:val="single" w:sz="4" w:space="0" w:color="auto"/>
              <w:left w:val="nil"/>
              <w:bottom w:val="single" w:sz="4" w:space="0" w:color="auto"/>
              <w:right w:val="nil"/>
            </w:tcBorders>
          </w:tcPr>
          <w:p w14:paraId="605169BD" w14:textId="77777777" w:rsidR="00AC5167" w:rsidRPr="00DF434B" w:rsidRDefault="00AC5167" w:rsidP="00A37FA3">
            <w:pPr>
              <w:spacing w:after="0" w:line="240" w:lineRule="auto"/>
              <w:jc w:val="both"/>
              <w:rPr>
                <w:rFonts w:ascii="Times New Roman" w:eastAsia="Times New Roman" w:hAnsi="Times New Roman" w:cs="Times New Roman"/>
                <w:sz w:val="24"/>
                <w:szCs w:val="24"/>
                <w:lang w:eastAsia="lv-LV"/>
              </w:rPr>
            </w:pPr>
          </w:p>
        </w:tc>
        <w:tc>
          <w:tcPr>
            <w:tcW w:w="2231" w:type="dxa"/>
            <w:tcBorders>
              <w:top w:val="single" w:sz="4" w:space="0" w:color="auto"/>
              <w:left w:val="nil"/>
              <w:bottom w:val="single" w:sz="4" w:space="0" w:color="auto"/>
              <w:right w:val="nil"/>
            </w:tcBorders>
          </w:tcPr>
          <w:p w14:paraId="2E525E2A" w14:textId="77777777" w:rsidR="00AC5167" w:rsidRPr="00DF434B" w:rsidRDefault="00AC5167" w:rsidP="00A37FA3">
            <w:pPr>
              <w:spacing w:after="0" w:line="240" w:lineRule="auto"/>
              <w:jc w:val="both"/>
              <w:rPr>
                <w:rFonts w:ascii="Times New Roman" w:eastAsia="Times New Roman" w:hAnsi="Times New Roman" w:cs="Times New Roman"/>
                <w:sz w:val="24"/>
                <w:szCs w:val="24"/>
                <w:lang w:eastAsia="lv-LV"/>
              </w:rPr>
            </w:pPr>
          </w:p>
        </w:tc>
        <w:tc>
          <w:tcPr>
            <w:tcW w:w="6383" w:type="dxa"/>
            <w:gridSpan w:val="2"/>
            <w:tcBorders>
              <w:top w:val="single" w:sz="4" w:space="0" w:color="auto"/>
              <w:left w:val="nil"/>
              <w:bottom w:val="single" w:sz="4" w:space="0" w:color="auto"/>
              <w:right w:val="nil"/>
            </w:tcBorders>
          </w:tcPr>
          <w:p w14:paraId="28F33751" w14:textId="77777777" w:rsidR="00AC5167" w:rsidRPr="00DF434B" w:rsidRDefault="00AC5167" w:rsidP="00B25702">
            <w:pPr>
              <w:spacing w:after="0" w:line="240" w:lineRule="auto"/>
              <w:ind w:firstLine="284"/>
              <w:rPr>
                <w:rFonts w:ascii="Times New Roman" w:eastAsia="Times New Roman" w:hAnsi="Times New Roman" w:cs="Times New Roman"/>
                <w:sz w:val="24"/>
                <w:szCs w:val="24"/>
                <w:lang w:eastAsia="lv-LV"/>
              </w:rPr>
            </w:pPr>
          </w:p>
        </w:tc>
      </w:tr>
      <w:tr w:rsidR="00297BC6" w14:paraId="6081858E" w14:textId="77777777" w:rsidTr="00DF750E">
        <w:trPr>
          <w:trHeight w:val="438"/>
        </w:trPr>
        <w:tc>
          <w:tcPr>
            <w:tcW w:w="9045" w:type="dxa"/>
            <w:gridSpan w:val="4"/>
            <w:tcBorders>
              <w:top w:val="single" w:sz="4" w:space="0" w:color="auto"/>
              <w:bottom w:val="single" w:sz="4" w:space="0" w:color="auto"/>
            </w:tcBorders>
            <w:vAlign w:val="center"/>
          </w:tcPr>
          <w:p w14:paraId="6755C55E" w14:textId="77777777" w:rsidR="00B25702" w:rsidRPr="00DF434B" w:rsidRDefault="006A521C" w:rsidP="00B2570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III. Tiesību akta projekta ietekme uz valsts budžetu un pašvaldību budžetiem</w:t>
            </w:r>
          </w:p>
        </w:tc>
      </w:tr>
      <w:tr w:rsidR="00297BC6" w14:paraId="2C47D7DA" w14:textId="77777777" w:rsidTr="00DF750E">
        <w:trPr>
          <w:trHeight w:val="438"/>
        </w:trPr>
        <w:tc>
          <w:tcPr>
            <w:tcW w:w="9045" w:type="dxa"/>
            <w:gridSpan w:val="4"/>
            <w:tcBorders>
              <w:bottom w:val="single" w:sz="4" w:space="0" w:color="auto"/>
            </w:tcBorders>
            <w:vAlign w:val="center"/>
          </w:tcPr>
          <w:p w14:paraId="63ED93B1" w14:textId="77777777" w:rsidR="00B25702" w:rsidRPr="00DF434B" w:rsidRDefault="006A521C" w:rsidP="00B2570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i/>
                <w:sz w:val="24"/>
                <w:szCs w:val="24"/>
                <w:lang w:eastAsia="lv-LV"/>
              </w:rPr>
              <w:t>Noteikumu projekts šo jomu neskar.</w:t>
            </w:r>
          </w:p>
        </w:tc>
      </w:tr>
      <w:tr w:rsidR="00297BC6" w14:paraId="6F67B9C1" w14:textId="77777777" w:rsidTr="00DF750E">
        <w:trPr>
          <w:trHeight w:val="234"/>
        </w:trPr>
        <w:tc>
          <w:tcPr>
            <w:tcW w:w="9045" w:type="dxa"/>
            <w:gridSpan w:val="4"/>
            <w:tcBorders>
              <w:top w:val="single" w:sz="4" w:space="0" w:color="auto"/>
              <w:left w:val="nil"/>
              <w:bottom w:val="single" w:sz="4" w:space="0" w:color="auto"/>
              <w:right w:val="nil"/>
            </w:tcBorders>
            <w:vAlign w:val="center"/>
          </w:tcPr>
          <w:p w14:paraId="5B3084E9" w14:textId="77777777" w:rsidR="00AC5167" w:rsidRPr="00DF434B"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r w:rsidR="00297BC6" w14:paraId="44A8FA73" w14:textId="77777777" w:rsidTr="00DF750E">
        <w:trPr>
          <w:trHeight w:val="438"/>
        </w:trPr>
        <w:tc>
          <w:tcPr>
            <w:tcW w:w="9045" w:type="dxa"/>
            <w:gridSpan w:val="4"/>
            <w:tcBorders>
              <w:top w:val="single" w:sz="4" w:space="0" w:color="auto"/>
              <w:bottom w:val="single" w:sz="4" w:space="0" w:color="auto"/>
            </w:tcBorders>
            <w:vAlign w:val="center"/>
          </w:tcPr>
          <w:p w14:paraId="794E1C84" w14:textId="77777777" w:rsidR="00B25702"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b/>
                <w:bCs/>
                <w:sz w:val="24"/>
                <w:szCs w:val="24"/>
                <w:lang w:eastAsia="lv-LV"/>
              </w:rPr>
              <w:t>IV. Tiesību akta projekta ietekme uz spēkā esošo tiesību normu sistēmu</w:t>
            </w:r>
          </w:p>
        </w:tc>
      </w:tr>
      <w:tr w:rsidR="00297BC6" w14:paraId="1BB366F8" w14:textId="77777777" w:rsidTr="00DF750E">
        <w:trPr>
          <w:trHeight w:val="438"/>
        </w:trPr>
        <w:tc>
          <w:tcPr>
            <w:tcW w:w="9045" w:type="dxa"/>
            <w:gridSpan w:val="4"/>
            <w:tcBorders>
              <w:bottom w:val="single" w:sz="4" w:space="0" w:color="auto"/>
            </w:tcBorders>
            <w:vAlign w:val="center"/>
          </w:tcPr>
          <w:p w14:paraId="219CE96B" w14:textId="77777777" w:rsidR="00B25702"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i/>
                <w:sz w:val="24"/>
                <w:szCs w:val="24"/>
                <w:lang w:eastAsia="lv-LV"/>
              </w:rPr>
              <w:t>Noteikumu projekts šo jomu neskar.</w:t>
            </w:r>
          </w:p>
        </w:tc>
      </w:tr>
      <w:tr w:rsidR="00297BC6" w14:paraId="3192B68E" w14:textId="77777777" w:rsidTr="00DF750E">
        <w:trPr>
          <w:trHeight w:val="180"/>
        </w:trPr>
        <w:tc>
          <w:tcPr>
            <w:tcW w:w="9045" w:type="dxa"/>
            <w:gridSpan w:val="4"/>
            <w:tcBorders>
              <w:top w:val="single" w:sz="4" w:space="0" w:color="auto"/>
              <w:left w:val="nil"/>
              <w:bottom w:val="single" w:sz="4" w:space="0" w:color="auto"/>
              <w:right w:val="nil"/>
            </w:tcBorders>
            <w:vAlign w:val="center"/>
          </w:tcPr>
          <w:p w14:paraId="4C81FB4E" w14:textId="77777777" w:rsidR="00AC5167" w:rsidRPr="00DF434B"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r w:rsidR="00297BC6" w14:paraId="0AB0B009" w14:textId="77777777" w:rsidTr="00DF750E">
        <w:trPr>
          <w:trHeight w:val="438"/>
        </w:trPr>
        <w:tc>
          <w:tcPr>
            <w:tcW w:w="9045" w:type="dxa"/>
            <w:gridSpan w:val="4"/>
            <w:tcBorders>
              <w:top w:val="single" w:sz="4" w:space="0" w:color="auto"/>
              <w:bottom w:val="single" w:sz="4" w:space="0" w:color="auto"/>
            </w:tcBorders>
            <w:vAlign w:val="center"/>
          </w:tcPr>
          <w:p w14:paraId="6472298B" w14:textId="77777777" w:rsidR="00076D10"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b/>
                <w:sz w:val="24"/>
                <w:szCs w:val="24"/>
                <w:lang w:eastAsia="lv-LV"/>
              </w:rPr>
              <w:t>V. Tiesību akta projekta atbilstība Latvijas Republikas starptautiskajām saistībām</w:t>
            </w:r>
          </w:p>
        </w:tc>
      </w:tr>
      <w:tr w:rsidR="00297BC6" w14:paraId="2DC12586" w14:textId="77777777" w:rsidTr="00DF750E">
        <w:trPr>
          <w:trHeight w:val="438"/>
        </w:trPr>
        <w:tc>
          <w:tcPr>
            <w:tcW w:w="9045" w:type="dxa"/>
            <w:gridSpan w:val="4"/>
            <w:tcBorders>
              <w:bottom w:val="single" w:sz="4" w:space="0" w:color="auto"/>
            </w:tcBorders>
            <w:vAlign w:val="center"/>
          </w:tcPr>
          <w:p w14:paraId="375E0A62" w14:textId="77777777" w:rsidR="00076D10" w:rsidRPr="00DF434B" w:rsidRDefault="006A521C"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i/>
                <w:sz w:val="24"/>
                <w:szCs w:val="24"/>
                <w:lang w:eastAsia="lv-LV"/>
              </w:rPr>
              <w:t>Noteikumu projekts šo jomu neskar.</w:t>
            </w:r>
          </w:p>
        </w:tc>
      </w:tr>
      <w:tr w:rsidR="00297BC6" w14:paraId="7626683B" w14:textId="77777777" w:rsidTr="00DF750E">
        <w:trPr>
          <w:trHeight w:val="268"/>
        </w:trPr>
        <w:tc>
          <w:tcPr>
            <w:tcW w:w="9045" w:type="dxa"/>
            <w:gridSpan w:val="4"/>
            <w:tcBorders>
              <w:top w:val="single" w:sz="4" w:space="0" w:color="auto"/>
              <w:left w:val="nil"/>
              <w:bottom w:val="nil"/>
              <w:right w:val="nil"/>
            </w:tcBorders>
            <w:vAlign w:val="center"/>
          </w:tcPr>
          <w:p w14:paraId="65C949F0" w14:textId="77777777" w:rsidR="00AC5167" w:rsidRPr="00DF434B"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bl>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661"/>
        <w:gridCol w:w="23"/>
        <w:gridCol w:w="5952"/>
      </w:tblGrid>
      <w:tr w:rsidR="00297BC6" w14:paraId="6680C6E0" w14:textId="77777777" w:rsidTr="008B54CB">
        <w:trPr>
          <w:gridBefore w:val="1"/>
          <w:wBefore w:w="32" w:type="dxa"/>
          <w:trHeight w:val="485"/>
          <w:jc w:val="center"/>
        </w:trPr>
        <w:tc>
          <w:tcPr>
            <w:tcW w:w="9053" w:type="dxa"/>
            <w:gridSpan w:val="5"/>
            <w:tcBorders>
              <w:top w:val="single" w:sz="4" w:space="0" w:color="auto"/>
              <w:left w:val="single" w:sz="4" w:space="0" w:color="auto"/>
              <w:bottom w:val="single" w:sz="4" w:space="0" w:color="auto"/>
              <w:right w:val="single" w:sz="4" w:space="0" w:color="auto"/>
            </w:tcBorders>
            <w:vAlign w:val="center"/>
          </w:tcPr>
          <w:p w14:paraId="3A799CCA" w14:textId="77777777" w:rsidR="00A37FA3" w:rsidRPr="00DF434B" w:rsidRDefault="006A521C" w:rsidP="00A37FA3">
            <w:pPr>
              <w:spacing w:after="0"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VI. Sabiedrības līdzdalība un komunikācijas aktivitātes</w:t>
            </w:r>
          </w:p>
        </w:tc>
      </w:tr>
      <w:tr w:rsidR="00297BC6" w14:paraId="78AF3617" w14:textId="77777777" w:rsidTr="008B54CB">
        <w:trPr>
          <w:gridBefore w:val="1"/>
          <w:wBefore w:w="32" w:type="dxa"/>
          <w:trHeight w:val="553"/>
          <w:jc w:val="center"/>
        </w:trPr>
        <w:tc>
          <w:tcPr>
            <w:tcW w:w="417" w:type="dxa"/>
            <w:gridSpan w:val="2"/>
          </w:tcPr>
          <w:p w14:paraId="755A62E0" w14:textId="77777777" w:rsidR="00A37FA3" w:rsidRPr="00DF434B"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1.</w:t>
            </w:r>
          </w:p>
        </w:tc>
        <w:tc>
          <w:tcPr>
            <w:tcW w:w="2684" w:type="dxa"/>
            <w:gridSpan w:val="2"/>
          </w:tcPr>
          <w:p w14:paraId="279033F9" w14:textId="77777777" w:rsidR="00A37FA3" w:rsidRPr="00DF434B" w:rsidRDefault="006A521C" w:rsidP="00A37FA3">
            <w:pPr>
              <w:tabs>
                <w:tab w:val="left" w:pos="170"/>
              </w:tabs>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952" w:type="dxa"/>
          </w:tcPr>
          <w:p w14:paraId="3D0EECEC" w14:textId="2647C622" w:rsidR="00213AEA" w:rsidRDefault="00603575" w:rsidP="00603575">
            <w:pPr>
              <w:spacing w:after="0" w:line="240" w:lineRule="auto"/>
              <w:ind w:firstLine="284"/>
              <w:jc w:val="both"/>
              <w:rPr>
                <w:rFonts w:ascii="Times New Roman" w:hAnsi="Times New Roman" w:cs="Times New Roman"/>
                <w:sz w:val="24"/>
                <w:szCs w:val="24"/>
              </w:rPr>
            </w:pPr>
            <w:r w:rsidRPr="00603575">
              <w:rPr>
                <w:rFonts w:ascii="Times New Roman" w:hAnsi="Times New Roman" w:cs="Times New Roman"/>
                <w:sz w:val="24"/>
                <w:szCs w:val="24"/>
              </w:rPr>
              <w:t xml:space="preserve">Informācija par </w:t>
            </w:r>
            <w:r w:rsidR="00213AEA">
              <w:rPr>
                <w:rFonts w:ascii="Times New Roman" w:hAnsi="Times New Roman" w:cs="Times New Roman"/>
                <w:sz w:val="24"/>
                <w:szCs w:val="24"/>
              </w:rPr>
              <w:t xml:space="preserve">noteikumu </w:t>
            </w:r>
            <w:r w:rsidRPr="00603575">
              <w:rPr>
                <w:rFonts w:ascii="Times New Roman" w:hAnsi="Times New Roman" w:cs="Times New Roman"/>
                <w:sz w:val="24"/>
                <w:szCs w:val="24"/>
              </w:rPr>
              <w:t xml:space="preserve">projekta izstrādi ir publicēta Finanšu ministrijas tīmekļvietnē sadaļā “Sabiedrības līdzdalība” – “Tiesību aktu projekti” – “Nodokļu politika”. Līdz ar to sabiedrības pārstāvji varēja līdzdarboties </w:t>
            </w:r>
            <w:r w:rsidR="00213AEA">
              <w:rPr>
                <w:rFonts w:ascii="Times New Roman" w:hAnsi="Times New Roman" w:cs="Times New Roman"/>
                <w:sz w:val="24"/>
                <w:szCs w:val="24"/>
              </w:rPr>
              <w:t xml:space="preserve">noteikumu </w:t>
            </w:r>
            <w:r w:rsidRPr="00603575">
              <w:rPr>
                <w:rFonts w:ascii="Times New Roman" w:hAnsi="Times New Roman" w:cs="Times New Roman"/>
                <w:sz w:val="24"/>
                <w:szCs w:val="24"/>
              </w:rPr>
              <w:t>projekta izstrādē, rakstveidā sniedzot viedokļus par projektu</w:t>
            </w:r>
            <w:r>
              <w:rPr>
                <w:rFonts w:ascii="Times New Roman" w:hAnsi="Times New Roman" w:cs="Times New Roman"/>
                <w:sz w:val="24"/>
                <w:szCs w:val="24"/>
              </w:rPr>
              <w:t>.</w:t>
            </w:r>
          </w:p>
          <w:p w14:paraId="7C703BB3" w14:textId="72AC2B68" w:rsidR="002F0B66" w:rsidRPr="00DF434B" w:rsidRDefault="002F0B66">
            <w:pPr>
              <w:spacing w:after="0" w:line="240" w:lineRule="auto"/>
              <w:ind w:firstLine="284"/>
              <w:jc w:val="both"/>
              <w:rPr>
                <w:rFonts w:ascii="Times New Roman" w:eastAsia="Calibri" w:hAnsi="Times New Roman" w:cs="Times New Roman"/>
                <w:sz w:val="24"/>
                <w:szCs w:val="24"/>
              </w:rPr>
            </w:pPr>
          </w:p>
        </w:tc>
      </w:tr>
      <w:tr w:rsidR="00297BC6" w14:paraId="72D6D43E" w14:textId="77777777" w:rsidTr="008B54CB">
        <w:trPr>
          <w:gridBefore w:val="1"/>
          <w:wBefore w:w="32" w:type="dxa"/>
          <w:trHeight w:val="339"/>
          <w:jc w:val="center"/>
        </w:trPr>
        <w:tc>
          <w:tcPr>
            <w:tcW w:w="417" w:type="dxa"/>
            <w:gridSpan w:val="2"/>
          </w:tcPr>
          <w:p w14:paraId="74BAF821" w14:textId="3213C21F" w:rsidR="00A37FA3" w:rsidRPr="00DF434B"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2.</w:t>
            </w:r>
          </w:p>
        </w:tc>
        <w:tc>
          <w:tcPr>
            <w:tcW w:w="2684" w:type="dxa"/>
            <w:gridSpan w:val="2"/>
          </w:tcPr>
          <w:p w14:paraId="43CDF9DB" w14:textId="77777777" w:rsidR="00A37FA3" w:rsidRPr="00DF434B" w:rsidRDefault="006A521C" w:rsidP="00A37FA3">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līdzdalība projekta izstrādē </w:t>
            </w:r>
          </w:p>
        </w:tc>
        <w:tc>
          <w:tcPr>
            <w:tcW w:w="5952" w:type="dxa"/>
          </w:tcPr>
          <w:p w14:paraId="7CADF0B7" w14:textId="694F7F5E" w:rsidR="00213AEA" w:rsidRPr="0057693B" w:rsidRDefault="0057693B" w:rsidP="0057693B">
            <w:pPr>
              <w:spacing w:after="0" w:line="240" w:lineRule="auto"/>
              <w:ind w:firstLine="340"/>
              <w:jc w:val="both"/>
              <w:rPr>
                <w:rFonts w:ascii="Times New Roman" w:eastAsia="Times New Roman" w:hAnsi="Times New Roman" w:cs="Times New Roman"/>
                <w:sz w:val="24"/>
                <w:szCs w:val="24"/>
                <w:lang w:eastAsia="lv-LV"/>
              </w:rPr>
            </w:pPr>
            <w:r w:rsidRPr="0057693B">
              <w:rPr>
                <w:rFonts w:ascii="Times New Roman" w:eastAsia="Times New Roman" w:hAnsi="Times New Roman" w:cs="Times New Roman"/>
                <w:sz w:val="24"/>
                <w:szCs w:val="24"/>
                <w:lang w:eastAsia="lv-LV"/>
              </w:rPr>
              <w:t xml:space="preserve">Sabiedrības pārstāvji varēja līdzdarboties </w:t>
            </w:r>
            <w:r w:rsidR="00213AEA">
              <w:rPr>
                <w:rFonts w:ascii="Times New Roman" w:eastAsia="Times New Roman" w:hAnsi="Times New Roman" w:cs="Times New Roman"/>
                <w:sz w:val="24"/>
                <w:szCs w:val="24"/>
                <w:lang w:eastAsia="lv-LV"/>
              </w:rPr>
              <w:t xml:space="preserve">noteikumu </w:t>
            </w:r>
            <w:r w:rsidRPr="0057693B">
              <w:rPr>
                <w:rFonts w:ascii="Times New Roman" w:eastAsia="Times New Roman" w:hAnsi="Times New Roman" w:cs="Times New Roman"/>
                <w:sz w:val="24"/>
                <w:szCs w:val="24"/>
                <w:lang w:eastAsia="lv-LV"/>
              </w:rPr>
              <w:t xml:space="preserve">projekta izstrādē, rakstveidā sniedzot </w:t>
            </w:r>
            <w:r>
              <w:rPr>
                <w:rFonts w:ascii="Times New Roman" w:eastAsia="Times New Roman" w:hAnsi="Times New Roman" w:cs="Times New Roman"/>
                <w:sz w:val="24"/>
                <w:szCs w:val="24"/>
                <w:lang w:eastAsia="lv-LV"/>
              </w:rPr>
              <w:t>priekšlikumus projektam</w:t>
            </w:r>
            <w:r w:rsidRPr="00576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 kuru informācija 2018.gada 10.jūlijā publicēta</w:t>
            </w:r>
            <w:r w:rsidRPr="0057693B">
              <w:rPr>
                <w:rFonts w:ascii="Times New Roman" w:eastAsia="Times New Roman" w:hAnsi="Times New Roman" w:cs="Times New Roman"/>
                <w:sz w:val="24"/>
                <w:szCs w:val="24"/>
                <w:lang w:eastAsia="lv-LV"/>
              </w:rPr>
              <w:t xml:space="preserve"> Finanšu ministrijas tīmekļvietnē sadaļā “Sabiedrības līdzdalība” – “Tiesību aktu projekti” – “Nodokļu politika”, adrese:</w:t>
            </w:r>
          </w:p>
          <w:p w14:paraId="059E4262" w14:textId="77777777" w:rsidR="00213AEA" w:rsidRPr="00EF3310" w:rsidRDefault="008E14AF" w:rsidP="00EF3310">
            <w:pPr>
              <w:spacing w:after="0" w:line="240" w:lineRule="auto"/>
              <w:ind w:firstLine="340"/>
              <w:jc w:val="both"/>
              <w:rPr>
                <w:rFonts w:ascii="Times New Roman" w:eastAsia="Calibri" w:hAnsi="Times New Roman" w:cs="Times New Roman"/>
                <w:color w:val="0070C0"/>
                <w:sz w:val="24"/>
                <w:szCs w:val="24"/>
                <w:u w:val="single"/>
                <w:shd w:val="clear" w:color="auto" w:fill="FFFFFF"/>
              </w:rPr>
            </w:pPr>
            <w:hyperlink r:id="rId9" w:history="1">
              <w:r w:rsidR="00213AEA" w:rsidRPr="00EF3310">
                <w:rPr>
                  <w:rStyle w:val="Hyperlink"/>
                  <w:rFonts w:ascii="Times New Roman" w:eastAsia="Calibri" w:hAnsi="Times New Roman" w:cs="Times New Roman"/>
                  <w:color w:val="0070C0"/>
                  <w:sz w:val="24"/>
                  <w:szCs w:val="24"/>
                  <w:shd w:val="clear" w:color="auto" w:fill="FFFFFF"/>
                </w:rPr>
                <w:t>http://www.fm.gov.lv/lv/sabiedribas_lidzdaliba/</w:t>
              </w:r>
            </w:hyperlink>
          </w:p>
          <w:p w14:paraId="23656E76" w14:textId="77777777" w:rsidR="00213AEA" w:rsidRPr="00EF3310" w:rsidRDefault="00213AEA" w:rsidP="00213AEA">
            <w:pPr>
              <w:spacing w:after="0" w:line="240" w:lineRule="auto"/>
              <w:jc w:val="both"/>
              <w:rPr>
                <w:rFonts w:ascii="Times New Roman" w:eastAsia="Calibri" w:hAnsi="Times New Roman" w:cs="Times New Roman"/>
                <w:color w:val="0070C0"/>
                <w:sz w:val="24"/>
                <w:szCs w:val="24"/>
                <w:u w:val="single"/>
                <w:shd w:val="clear" w:color="auto" w:fill="FFFFFF"/>
              </w:rPr>
            </w:pPr>
            <w:r w:rsidRPr="00EF3310">
              <w:rPr>
                <w:rFonts w:ascii="Times New Roman" w:eastAsia="Calibri" w:hAnsi="Times New Roman" w:cs="Times New Roman"/>
                <w:color w:val="0070C0"/>
                <w:sz w:val="24"/>
                <w:szCs w:val="24"/>
                <w:u w:val="single"/>
                <w:shd w:val="clear" w:color="auto" w:fill="FFFFFF"/>
              </w:rPr>
              <w:t>tiesibu_aktu_projekti/nodoklu_politika/#project484</w:t>
            </w:r>
          </w:p>
          <w:p w14:paraId="07107E1F" w14:textId="301E32DC" w:rsidR="00783347" w:rsidRDefault="00783347" w:rsidP="002F27CA">
            <w:pPr>
              <w:spacing w:after="0" w:line="240" w:lineRule="auto"/>
              <w:ind w:firstLine="340"/>
              <w:jc w:val="both"/>
              <w:rPr>
                <w:rFonts w:ascii="Times New Roman" w:eastAsia="Calibri" w:hAnsi="Times New Roman" w:cs="Times New Roman"/>
                <w:sz w:val="24"/>
                <w:szCs w:val="24"/>
              </w:rPr>
            </w:pPr>
            <w:r w:rsidRPr="00DF434B">
              <w:rPr>
                <w:rFonts w:ascii="Times New Roman" w:eastAsia="Times New Roman" w:hAnsi="Times New Roman" w:cs="Times New Roman"/>
                <w:sz w:val="24"/>
                <w:szCs w:val="24"/>
                <w:lang w:eastAsia="lv-LV"/>
              </w:rPr>
              <w:t xml:space="preserve">Noteikumu projekta regulējums attiecībā uz Padziļinātās sadarbības programmas dalībniekiem paredzēto atviegloto kārtību kases sistēmu reģistrēto programmu atbilstības pārbaudes veikšanai ir sagatavots, ņemot vērā Latvijas Pārtikas tirgotāju asociācijas, </w:t>
            </w:r>
            <w:r w:rsidRPr="00DF434B">
              <w:rPr>
                <w:rFonts w:ascii="Times New Roman" w:eastAsia="Calibri" w:hAnsi="Times New Roman" w:cs="Times New Roman"/>
                <w:sz w:val="24"/>
                <w:szCs w:val="24"/>
              </w:rPr>
              <w:t>Latvijas Tirdzniecības un rūpniecības kameras,</w:t>
            </w:r>
            <w:r w:rsidRPr="00DF434B">
              <w:rPr>
                <w:sz w:val="24"/>
                <w:szCs w:val="24"/>
              </w:rPr>
              <w:t xml:space="preserve"> </w:t>
            </w:r>
            <w:r w:rsidRPr="00DF434B">
              <w:rPr>
                <w:rFonts w:ascii="Times New Roman" w:eastAsia="Calibri" w:hAnsi="Times New Roman" w:cs="Times New Roman"/>
                <w:sz w:val="24"/>
                <w:szCs w:val="24"/>
              </w:rPr>
              <w:t xml:space="preserve">Latvijas Degvielas Tirgotāju asociācijas </w:t>
            </w:r>
            <w:r w:rsidRPr="00DF434B">
              <w:rPr>
                <w:rFonts w:ascii="Times New Roman" w:eastAsia="Calibri" w:hAnsi="Times New Roman" w:cs="Times New Roman"/>
                <w:sz w:val="24"/>
                <w:szCs w:val="24"/>
              </w:rPr>
              <w:lastRenderedPageBreak/>
              <w:t xml:space="preserve">un mazumtirgotāju sniegto informāciju par konstatētajām problēmām </w:t>
            </w:r>
            <w:r>
              <w:rPr>
                <w:rFonts w:ascii="Times New Roman" w:eastAsia="Calibri" w:hAnsi="Times New Roman" w:cs="Times New Roman"/>
                <w:sz w:val="24"/>
                <w:szCs w:val="24"/>
              </w:rPr>
              <w:t xml:space="preserve">sarežģītu </w:t>
            </w:r>
            <w:r w:rsidRPr="00DF434B">
              <w:rPr>
                <w:rFonts w:ascii="Times New Roman" w:eastAsia="Calibri" w:hAnsi="Times New Roman" w:cs="Times New Roman"/>
                <w:sz w:val="24"/>
                <w:szCs w:val="24"/>
              </w:rPr>
              <w:t>kases sistēmu atbilstības nodrošināšanā.</w:t>
            </w:r>
          </w:p>
          <w:p w14:paraId="2837F696" w14:textId="771027B5" w:rsidR="00783347" w:rsidRDefault="00783347" w:rsidP="002F27CA">
            <w:pPr>
              <w:spacing w:after="0" w:line="240" w:lineRule="auto"/>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Regulējums attiecībā uz </w:t>
            </w:r>
            <w:r w:rsidRPr="00783347">
              <w:rPr>
                <w:rFonts w:ascii="Times New Roman" w:eastAsia="Calibri" w:hAnsi="Times New Roman" w:cs="Times New Roman"/>
                <w:sz w:val="24"/>
                <w:szCs w:val="24"/>
              </w:rPr>
              <w:t>elektroniskās tehniskās pases ieviešanai un informācijas par veiktajām darbībām ar elektroniskajām ierīcēm un iekārtām iesniegšanai elektroniskā formā VID elektroniskās deklarēšanas sistēmā</w:t>
            </w:r>
            <w:r>
              <w:rPr>
                <w:rFonts w:ascii="Times New Roman" w:eastAsia="Calibri" w:hAnsi="Times New Roman" w:cs="Times New Roman"/>
                <w:sz w:val="24"/>
                <w:szCs w:val="24"/>
              </w:rPr>
              <w:t xml:space="preserve"> ir izstrādāts, ievērojot </w:t>
            </w:r>
            <w:r w:rsidR="00565B61">
              <w:rPr>
                <w:rFonts w:ascii="Times New Roman" w:eastAsia="Calibri" w:hAnsi="Times New Roman" w:cs="Times New Roman"/>
                <w:sz w:val="24"/>
                <w:szCs w:val="24"/>
              </w:rPr>
              <w:t>lielo nodokļu maksātāju</w:t>
            </w:r>
            <w:r w:rsidR="00A93800">
              <w:rPr>
                <w:rFonts w:ascii="Times New Roman" w:eastAsia="Calibri" w:hAnsi="Times New Roman" w:cs="Times New Roman"/>
                <w:sz w:val="24"/>
                <w:szCs w:val="24"/>
              </w:rPr>
              <w:t xml:space="preserve"> </w:t>
            </w:r>
            <w:r w:rsidR="00B2490C">
              <w:rPr>
                <w:rFonts w:ascii="Times New Roman" w:eastAsia="Calibri" w:hAnsi="Times New Roman" w:cs="Times New Roman"/>
                <w:sz w:val="24"/>
                <w:szCs w:val="24"/>
              </w:rPr>
              <w:t xml:space="preserve">(lielo tirdzniecības tīklu) </w:t>
            </w:r>
            <w:r w:rsidR="00A93800">
              <w:rPr>
                <w:rFonts w:ascii="Times New Roman" w:eastAsia="Calibri" w:hAnsi="Times New Roman" w:cs="Times New Roman"/>
                <w:sz w:val="24"/>
                <w:szCs w:val="24"/>
              </w:rPr>
              <w:t xml:space="preserve">iesniegtos ierosinājumus. </w:t>
            </w:r>
          </w:p>
          <w:p w14:paraId="57BC6E0D" w14:textId="5EE27489" w:rsidR="003E7AFD" w:rsidRPr="00DF434B" w:rsidRDefault="003E7AFD" w:rsidP="001D0266">
            <w:pPr>
              <w:spacing w:after="0" w:line="240" w:lineRule="auto"/>
              <w:jc w:val="both"/>
              <w:rPr>
                <w:rFonts w:ascii="Times New Roman" w:eastAsia="Times New Roman" w:hAnsi="Times New Roman" w:cs="Times New Roman"/>
                <w:sz w:val="24"/>
                <w:szCs w:val="24"/>
                <w:lang w:eastAsia="lv-LV"/>
              </w:rPr>
            </w:pPr>
          </w:p>
        </w:tc>
      </w:tr>
      <w:tr w:rsidR="00297BC6" w14:paraId="77CE22A4" w14:textId="77777777" w:rsidTr="008B54CB">
        <w:trPr>
          <w:gridBefore w:val="1"/>
          <w:wBefore w:w="32" w:type="dxa"/>
          <w:trHeight w:val="375"/>
          <w:jc w:val="center"/>
        </w:trPr>
        <w:tc>
          <w:tcPr>
            <w:tcW w:w="417" w:type="dxa"/>
            <w:gridSpan w:val="2"/>
            <w:tcBorders>
              <w:bottom w:val="single" w:sz="4" w:space="0" w:color="auto"/>
            </w:tcBorders>
          </w:tcPr>
          <w:p w14:paraId="36994177" w14:textId="77777777" w:rsidR="00A37FA3" w:rsidRPr="00DF434B"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lastRenderedPageBreak/>
              <w:t>3.</w:t>
            </w:r>
          </w:p>
        </w:tc>
        <w:tc>
          <w:tcPr>
            <w:tcW w:w="2684" w:type="dxa"/>
            <w:gridSpan w:val="2"/>
            <w:tcBorders>
              <w:bottom w:val="single" w:sz="4" w:space="0" w:color="auto"/>
            </w:tcBorders>
          </w:tcPr>
          <w:p w14:paraId="30713E49" w14:textId="77777777" w:rsidR="00A37FA3" w:rsidRPr="00DF434B" w:rsidRDefault="006A521C" w:rsidP="00A37FA3">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līdzdalības rezultāti </w:t>
            </w:r>
          </w:p>
        </w:tc>
        <w:tc>
          <w:tcPr>
            <w:tcW w:w="5952" w:type="dxa"/>
            <w:tcBorders>
              <w:bottom w:val="single" w:sz="4" w:space="0" w:color="auto"/>
            </w:tcBorders>
          </w:tcPr>
          <w:p w14:paraId="57F31E31" w14:textId="60AD4D53" w:rsidR="00783347" w:rsidRDefault="00783347" w:rsidP="006E240A">
            <w:pPr>
              <w:spacing w:after="0" w:line="240" w:lineRule="auto"/>
              <w:ind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Noteikumu projekta regulējums attiecībā uz</w:t>
            </w:r>
            <w:r w:rsidRPr="00DF434B">
              <w:rPr>
                <w:rFonts w:ascii="Times New Roman" w:eastAsia="Times New Roman" w:hAnsi="Times New Roman" w:cs="Times New Roman"/>
                <w:sz w:val="24"/>
                <w:szCs w:val="24"/>
                <w:lang w:eastAsia="lv-LV"/>
              </w:rPr>
              <w:t xml:space="preserve"> Padziļinātās sadarbības programmas dalībniekiem paredzēto atviegloto kārtību kases sistēmu reģistrēto programmu atbilstības pārbaudes veikšanai</w:t>
            </w:r>
            <w:r>
              <w:rPr>
                <w:rFonts w:ascii="Times New Roman" w:eastAsia="Times New Roman" w:hAnsi="Times New Roman" w:cs="Times New Roman"/>
                <w:sz w:val="24"/>
                <w:szCs w:val="24"/>
                <w:lang w:eastAsia="lv-LV"/>
              </w:rPr>
              <w:t xml:space="preserve">, elektroniskās tehniskās pases ieviešanai un informācijas par veiktajām darbībām ar elektroniskajām ierīcēm un iekārtām iesniegšanai elektroniskā formā VID elektroniskās deklarēšanas sistēmā ir sagatavots, ņemot vērā nozares uzņēmumu un to pārstāvošo sabiedrisko organizāciju sniegto informāciju. </w:t>
            </w:r>
          </w:p>
          <w:p w14:paraId="3387205B" w14:textId="426CC475" w:rsidR="0057693B" w:rsidRPr="00DF434B" w:rsidRDefault="0057693B" w:rsidP="006E240A">
            <w:pPr>
              <w:spacing w:after="0" w:line="240" w:lineRule="auto"/>
              <w:ind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Priekšlikumi no sabiedrības pārstāvjiem pēc informācijas publicēšanas </w:t>
            </w:r>
            <w:r w:rsidRPr="0057693B">
              <w:rPr>
                <w:rFonts w:ascii="Times New Roman" w:eastAsia="Times New Roman" w:hAnsi="Times New Roman" w:cs="Times New Roman"/>
                <w:sz w:val="24"/>
                <w:szCs w:val="24"/>
                <w:lang w:eastAsia="lv-LV"/>
              </w:rPr>
              <w:t>Finanšu ministrijas tīmekļvietnē</w:t>
            </w:r>
            <w:r>
              <w:rPr>
                <w:rFonts w:ascii="Times New Roman" w:eastAsia="Times New Roman" w:hAnsi="Times New Roman" w:cs="Times New Roman"/>
                <w:sz w:val="24"/>
                <w:szCs w:val="24"/>
                <w:lang w:eastAsia="lv-LV"/>
              </w:rPr>
              <w:t xml:space="preserve"> nav saņemti.</w:t>
            </w:r>
          </w:p>
          <w:p w14:paraId="5CC47520" w14:textId="63D18B01" w:rsidR="00A37FA3" w:rsidRPr="00DF434B" w:rsidRDefault="00A37FA3" w:rsidP="0057693B">
            <w:pPr>
              <w:spacing w:after="0" w:line="240" w:lineRule="auto"/>
              <w:ind w:firstLine="311"/>
              <w:jc w:val="both"/>
              <w:rPr>
                <w:rFonts w:ascii="Times New Roman" w:eastAsia="Times New Roman" w:hAnsi="Times New Roman" w:cs="Times New Roman"/>
                <w:sz w:val="24"/>
                <w:szCs w:val="24"/>
                <w:lang w:eastAsia="lv-LV"/>
              </w:rPr>
            </w:pPr>
          </w:p>
        </w:tc>
      </w:tr>
      <w:tr w:rsidR="00297BC6" w14:paraId="2FB718EC" w14:textId="77777777" w:rsidTr="008B54CB">
        <w:trPr>
          <w:gridBefore w:val="1"/>
          <w:wBefore w:w="32" w:type="dxa"/>
          <w:trHeight w:val="321"/>
          <w:jc w:val="center"/>
        </w:trPr>
        <w:tc>
          <w:tcPr>
            <w:tcW w:w="417" w:type="dxa"/>
            <w:gridSpan w:val="2"/>
            <w:tcBorders>
              <w:bottom w:val="single" w:sz="4" w:space="0" w:color="auto"/>
            </w:tcBorders>
          </w:tcPr>
          <w:p w14:paraId="3A13DB80" w14:textId="77777777" w:rsidR="00A37FA3" w:rsidRPr="00DF434B" w:rsidRDefault="006A521C" w:rsidP="00A37FA3">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4.</w:t>
            </w:r>
          </w:p>
        </w:tc>
        <w:tc>
          <w:tcPr>
            <w:tcW w:w="2684" w:type="dxa"/>
            <w:gridSpan w:val="2"/>
            <w:tcBorders>
              <w:bottom w:val="single" w:sz="4" w:space="0" w:color="auto"/>
            </w:tcBorders>
          </w:tcPr>
          <w:p w14:paraId="26D882F6" w14:textId="77777777" w:rsidR="00A37FA3" w:rsidRPr="00DF434B" w:rsidRDefault="006A521C" w:rsidP="00076D10">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5952" w:type="dxa"/>
            <w:tcBorders>
              <w:bottom w:val="single" w:sz="4" w:space="0" w:color="auto"/>
            </w:tcBorders>
          </w:tcPr>
          <w:p w14:paraId="5B24D974" w14:textId="77777777" w:rsidR="00A37FA3" w:rsidRPr="00DF434B" w:rsidRDefault="006A521C" w:rsidP="00A37FA3">
            <w:pPr>
              <w:spacing w:after="0" w:line="240" w:lineRule="auto"/>
              <w:ind w:firstLine="284"/>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Nav.</w:t>
            </w:r>
          </w:p>
        </w:tc>
      </w:tr>
      <w:tr w:rsidR="00297BC6" w14:paraId="201755BB" w14:textId="77777777" w:rsidTr="008B54CB">
        <w:trPr>
          <w:gridBefore w:val="1"/>
          <w:wBefore w:w="32" w:type="dxa"/>
          <w:trHeight w:val="321"/>
          <w:jc w:val="center"/>
        </w:trPr>
        <w:tc>
          <w:tcPr>
            <w:tcW w:w="417" w:type="dxa"/>
            <w:gridSpan w:val="2"/>
            <w:tcBorders>
              <w:top w:val="single" w:sz="4" w:space="0" w:color="auto"/>
              <w:left w:val="nil"/>
              <w:bottom w:val="nil"/>
              <w:right w:val="nil"/>
            </w:tcBorders>
          </w:tcPr>
          <w:p w14:paraId="1E43F126" w14:textId="77777777" w:rsidR="00AC5167" w:rsidRPr="00DF434B" w:rsidRDefault="00AC5167" w:rsidP="00A37FA3">
            <w:pPr>
              <w:spacing w:after="0" w:line="240" w:lineRule="auto"/>
              <w:ind w:left="57" w:right="57"/>
              <w:rPr>
                <w:rFonts w:ascii="Times New Roman" w:eastAsia="Times New Roman" w:hAnsi="Times New Roman" w:cs="Times New Roman"/>
                <w:bCs/>
                <w:sz w:val="24"/>
                <w:szCs w:val="24"/>
                <w:lang w:eastAsia="lv-LV"/>
              </w:rPr>
            </w:pPr>
          </w:p>
        </w:tc>
        <w:tc>
          <w:tcPr>
            <w:tcW w:w="2684" w:type="dxa"/>
            <w:gridSpan w:val="2"/>
            <w:tcBorders>
              <w:top w:val="single" w:sz="4" w:space="0" w:color="auto"/>
              <w:left w:val="nil"/>
              <w:bottom w:val="nil"/>
              <w:right w:val="nil"/>
            </w:tcBorders>
          </w:tcPr>
          <w:p w14:paraId="2F87095C" w14:textId="77777777" w:rsidR="00AC5167" w:rsidRPr="00DF434B" w:rsidRDefault="00AC5167" w:rsidP="00076D10">
            <w:pPr>
              <w:spacing w:after="0" w:line="240" w:lineRule="auto"/>
              <w:ind w:left="57" w:right="57"/>
              <w:rPr>
                <w:rFonts w:ascii="Times New Roman" w:eastAsia="Times New Roman" w:hAnsi="Times New Roman" w:cs="Times New Roman"/>
                <w:sz w:val="24"/>
                <w:szCs w:val="24"/>
                <w:lang w:eastAsia="lv-LV"/>
              </w:rPr>
            </w:pPr>
          </w:p>
        </w:tc>
        <w:tc>
          <w:tcPr>
            <w:tcW w:w="5952" w:type="dxa"/>
            <w:tcBorders>
              <w:top w:val="single" w:sz="4" w:space="0" w:color="auto"/>
              <w:left w:val="nil"/>
              <w:bottom w:val="nil"/>
              <w:right w:val="nil"/>
            </w:tcBorders>
          </w:tcPr>
          <w:p w14:paraId="6A7EDDFE" w14:textId="77777777" w:rsidR="00AC5167" w:rsidRPr="00DF434B" w:rsidRDefault="00AC5167" w:rsidP="00A37FA3">
            <w:pPr>
              <w:spacing w:after="0" w:line="240" w:lineRule="auto"/>
              <w:ind w:firstLine="284"/>
              <w:jc w:val="both"/>
              <w:rPr>
                <w:rFonts w:ascii="Times New Roman" w:eastAsia="Times New Roman" w:hAnsi="Times New Roman" w:cs="Times New Roman"/>
                <w:sz w:val="24"/>
                <w:szCs w:val="24"/>
                <w:lang w:eastAsia="lv-LV"/>
              </w:rPr>
            </w:pPr>
          </w:p>
        </w:tc>
      </w:tr>
      <w:tr w:rsidR="00297BC6" w14:paraId="5F7E3121" w14:textId="77777777" w:rsidTr="008B54CB">
        <w:tblPrEx>
          <w:tblCellMar>
            <w:top w:w="28" w:type="dxa"/>
            <w:left w:w="28" w:type="dxa"/>
            <w:bottom w:w="28" w:type="dxa"/>
            <w:right w:w="28" w:type="dxa"/>
          </w:tblCellMar>
        </w:tblPrEx>
        <w:trPr>
          <w:jc w:val="center"/>
        </w:trPr>
        <w:tc>
          <w:tcPr>
            <w:tcW w:w="9085" w:type="dxa"/>
            <w:gridSpan w:val="6"/>
            <w:tcBorders>
              <w:top w:val="single" w:sz="4" w:space="0" w:color="auto"/>
            </w:tcBorders>
          </w:tcPr>
          <w:p w14:paraId="3A40B576" w14:textId="77777777" w:rsidR="00A37FA3" w:rsidRPr="00DF434B" w:rsidRDefault="006A521C" w:rsidP="00A37FA3">
            <w:pPr>
              <w:spacing w:after="0"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VII. Tiesību akta projekta izpildes nodrošināšana un tās ietekme uz institūcijām</w:t>
            </w:r>
          </w:p>
        </w:tc>
      </w:tr>
      <w:tr w:rsidR="00297BC6" w14:paraId="71225D6F" w14:textId="77777777" w:rsidTr="008B54CB">
        <w:tblPrEx>
          <w:tblCellMar>
            <w:top w:w="28" w:type="dxa"/>
            <w:left w:w="28" w:type="dxa"/>
            <w:bottom w:w="28" w:type="dxa"/>
            <w:right w:w="28" w:type="dxa"/>
          </w:tblCellMar>
        </w:tblPrEx>
        <w:trPr>
          <w:trHeight w:val="427"/>
          <w:jc w:val="center"/>
        </w:trPr>
        <w:tc>
          <w:tcPr>
            <w:tcW w:w="426" w:type="dxa"/>
            <w:gridSpan w:val="2"/>
          </w:tcPr>
          <w:p w14:paraId="072FA0D9" w14:textId="77777777" w:rsidR="00A37FA3" w:rsidRPr="00DF434B" w:rsidRDefault="006A521C" w:rsidP="00A37FA3">
            <w:pPr>
              <w:spacing w:after="0" w:line="240" w:lineRule="auto"/>
              <w:ind w:left="57" w:right="57"/>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1.</w:t>
            </w:r>
          </w:p>
        </w:tc>
        <w:tc>
          <w:tcPr>
            <w:tcW w:w="2684" w:type="dxa"/>
            <w:gridSpan w:val="2"/>
          </w:tcPr>
          <w:p w14:paraId="493A60D9"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Projekta izpildē iesaistītās institūcijas </w:t>
            </w:r>
          </w:p>
        </w:tc>
        <w:tc>
          <w:tcPr>
            <w:tcW w:w="5975" w:type="dxa"/>
            <w:gridSpan w:val="2"/>
          </w:tcPr>
          <w:p w14:paraId="5FA251A0" w14:textId="10160EA3" w:rsidR="00A37FA3" w:rsidRPr="00DF434B" w:rsidRDefault="006A521C" w:rsidP="00B930F2">
            <w:pPr>
              <w:spacing w:after="0" w:line="240" w:lineRule="auto"/>
              <w:ind w:left="-28" w:right="57" w:firstLine="292"/>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VID, jo n</w:t>
            </w:r>
            <w:r w:rsidR="00234D81" w:rsidRPr="00DF434B">
              <w:rPr>
                <w:rFonts w:ascii="Times New Roman" w:eastAsia="Times New Roman" w:hAnsi="Times New Roman" w:cs="Times New Roman"/>
                <w:bCs/>
                <w:sz w:val="24"/>
                <w:szCs w:val="24"/>
                <w:lang w:eastAsia="lv-LV"/>
              </w:rPr>
              <w:t xml:space="preserve">odokļu un citu maksājumu reģistrēšanas elektronisko ierīču un iekārtu lietošanas kārtības uzraudzību veic </w:t>
            </w:r>
            <w:r w:rsidR="00BD2CAB" w:rsidRPr="00DF434B">
              <w:rPr>
                <w:rFonts w:ascii="Times New Roman" w:eastAsia="Times New Roman" w:hAnsi="Times New Roman" w:cs="Times New Roman"/>
                <w:bCs/>
                <w:sz w:val="24"/>
                <w:szCs w:val="24"/>
                <w:lang w:eastAsia="lv-LV"/>
              </w:rPr>
              <w:t>VID</w:t>
            </w:r>
            <w:r w:rsidR="00234D81" w:rsidRPr="00DF434B">
              <w:rPr>
                <w:rFonts w:ascii="Times New Roman" w:eastAsia="Times New Roman" w:hAnsi="Times New Roman" w:cs="Times New Roman"/>
                <w:bCs/>
                <w:sz w:val="24"/>
                <w:szCs w:val="24"/>
                <w:lang w:eastAsia="lv-LV"/>
              </w:rPr>
              <w:t>.</w:t>
            </w:r>
          </w:p>
        </w:tc>
      </w:tr>
      <w:tr w:rsidR="00297BC6" w14:paraId="40F58FAA" w14:textId="77777777" w:rsidTr="008B54CB">
        <w:tblPrEx>
          <w:tblCellMar>
            <w:top w:w="28" w:type="dxa"/>
            <w:left w:w="28" w:type="dxa"/>
            <w:bottom w:w="28" w:type="dxa"/>
            <w:right w:w="28" w:type="dxa"/>
          </w:tblCellMar>
        </w:tblPrEx>
        <w:trPr>
          <w:trHeight w:val="463"/>
          <w:jc w:val="center"/>
        </w:trPr>
        <w:tc>
          <w:tcPr>
            <w:tcW w:w="426" w:type="dxa"/>
            <w:gridSpan w:val="2"/>
          </w:tcPr>
          <w:p w14:paraId="4E676442" w14:textId="77777777" w:rsidR="00A37FA3" w:rsidRPr="00DF434B" w:rsidRDefault="006A521C" w:rsidP="00A37FA3">
            <w:pPr>
              <w:spacing w:after="0" w:line="240" w:lineRule="auto"/>
              <w:ind w:left="57" w:right="57"/>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2.</w:t>
            </w:r>
          </w:p>
        </w:tc>
        <w:tc>
          <w:tcPr>
            <w:tcW w:w="2684" w:type="dxa"/>
            <w:gridSpan w:val="2"/>
          </w:tcPr>
          <w:p w14:paraId="6F7E1868"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Projekta izpildes ietekme uz pārvaldes funkcijām un institucionālo struktūru.</w:t>
            </w:r>
          </w:p>
          <w:p w14:paraId="537B4537" w14:textId="77777777" w:rsidR="00A37FA3" w:rsidRPr="00DF434B" w:rsidRDefault="00A37FA3" w:rsidP="00A37FA3">
            <w:pPr>
              <w:spacing w:after="0" w:line="240" w:lineRule="auto"/>
              <w:ind w:left="57" w:right="57"/>
              <w:jc w:val="both"/>
              <w:rPr>
                <w:rFonts w:ascii="Times New Roman" w:eastAsia="Times New Roman" w:hAnsi="Times New Roman" w:cs="Times New Roman"/>
                <w:sz w:val="24"/>
                <w:szCs w:val="24"/>
                <w:lang w:eastAsia="lv-LV"/>
              </w:rPr>
            </w:pPr>
          </w:p>
          <w:p w14:paraId="3B1B3D80" w14:textId="77777777" w:rsidR="00A37FA3" w:rsidRPr="00DF434B" w:rsidRDefault="006A521C" w:rsidP="00A37FA3">
            <w:pPr>
              <w:spacing w:after="0" w:line="240" w:lineRule="auto"/>
              <w:ind w:left="57" w:right="57"/>
              <w:jc w:val="both"/>
              <w:rPr>
                <w:rFonts w:ascii="Times New Roman" w:eastAsia="Times New Roman" w:hAnsi="Times New Roman" w:cs="Times New Roman"/>
                <w:b/>
                <w:sz w:val="24"/>
                <w:szCs w:val="24"/>
                <w:lang w:eastAsia="lv-LV"/>
              </w:rPr>
            </w:pPr>
            <w:r w:rsidRPr="00DF434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Pr="00DF434B">
              <w:rPr>
                <w:rFonts w:ascii="Times New Roman" w:eastAsia="Times New Roman" w:hAnsi="Times New Roman" w:cs="Times New Roman"/>
                <w:b/>
                <w:sz w:val="24"/>
                <w:szCs w:val="24"/>
                <w:lang w:eastAsia="lv-LV"/>
              </w:rPr>
              <w:t xml:space="preserve"> </w:t>
            </w:r>
          </w:p>
        </w:tc>
        <w:tc>
          <w:tcPr>
            <w:tcW w:w="5975" w:type="dxa"/>
            <w:gridSpan w:val="2"/>
          </w:tcPr>
          <w:p w14:paraId="1F132E45" w14:textId="0B4AAD4D" w:rsidR="00A37FA3" w:rsidRPr="00DF434B" w:rsidRDefault="006A521C" w:rsidP="00A37FA3">
            <w:pPr>
              <w:spacing w:after="0" w:line="240" w:lineRule="auto"/>
              <w:ind w:left="-28" w:firstLine="292"/>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Noteikumu projekts neparedz jaunu institūciju izveidi vai esošo institūciju likvidāciju vai reorganizāciju.</w:t>
            </w:r>
            <w:r w:rsidR="00211350">
              <w:rPr>
                <w:rFonts w:ascii="Times New Roman" w:eastAsia="Times New Roman" w:hAnsi="Times New Roman" w:cs="Times New Roman"/>
                <w:sz w:val="24"/>
                <w:szCs w:val="24"/>
                <w:lang w:eastAsia="lv-LV"/>
              </w:rPr>
              <w:t xml:space="preserve"> Noteikumu projekts neparedz jaunu funkciju noteikšanu VID.</w:t>
            </w:r>
          </w:p>
          <w:p w14:paraId="3DE2CD95" w14:textId="32F6C836" w:rsidR="00A37FA3" w:rsidRPr="00DF434B" w:rsidRDefault="006F1B6C" w:rsidP="00A37FA3">
            <w:pPr>
              <w:spacing w:after="0" w:line="240" w:lineRule="auto"/>
              <w:ind w:left="-28" w:firstLine="2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tiks realizēts VID esošo cilvēkresursu un finanšu līdzekļu ietvaros.</w:t>
            </w:r>
          </w:p>
        </w:tc>
      </w:tr>
      <w:tr w:rsidR="00297BC6" w14:paraId="0CA9C36A" w14:textId="77777777" w:rsidTr="008B54CB">
        <w:tblPrEx>
          <w:tblCellMar>
            <w:top w:w="28" w:type="dxa"/>
            <w:left w:w="28" w:type="dxa"/>
            <w:bottom w:w="28" w:type="dxa"/>
            <w:right w:w="28" w:type="dxa"/>
          </w:tblCellMar>
        </w:tblPrEx>
        <w:trPr>
          <w:trHeight w:val="217"/>
          <w:jc w:val="center"/>
        </w:trPr>
        <w:tc>
          <w:tcPr>
            <w:tcW w:w="426" w:type="dxa"/>
            <w:gridSpan w:val="2"/>
          </w:tcPr>
          <w:p w14:paraId="279551FD"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3.</w:t>
            </w:r>
          </w:p>
        </w:tc>
        <w:tc>
          <w:tcPr>
            <w:tcW w:w="2684" w:type="dxa"/>
            <w:gridSpan w:val="2"/>
          </w:tcPr>
          <w:p w14:paraId="26771999" w14:textId="77777777" w:rsidR="00A37FA3" w:rsidRPr="00DF434B" w:rsidRDefault="006A521C" w:rsidP="00A37FA3">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5975" w:type="dxa"/>
            <w:gridSpan w:val="2"/>
          </w:tcPr>
          <w:p w14:paraId="421DCF62" w14:textId="77777777" w:rsidR="00A37FA3" w:rsidRPr="00DF434B" w:rsidRDefault="006A521C" w:rsidP="00A37FA3">
            <w:pPr>
              <w:spacing w:after="0" w:line="240" w:lineRule="auto"/>
              <w:ind w:left="-28" w:right="57" w:firstLine="292"/>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Nav.</w:t>
            </w:r>
          </w:p>
        </w:tc>
      </w:tr>
    </w:tbl>
    <w:p w14:paraId="67BA60B1" w14:textId="77777777" w:rsidR="00A37FA3" w:rsidRPr="00DF434B" w:rsidRDefault="00A37FA3" w:rsidP="00A37FA3">
      <w:pPr>
        <w:tabs>
          <w:tab w:val="left" w:pos="5760"/>
        </w:tabs>
        <w:spacing w:after="0" w:line="240" w:lineRule="auto"/>
        <w:jc w:val="both"/>
        <w:rPr>
          <w:rFonts w:ascii="Times New Roman" w:eastAsia="Times New Roman" w:hAnsi="Times New Roman" w:cs="Times New Roman"/>
          <w:sz w:val="24"/>
          <w:szCs w:val="24"/>
          <w:lang w:eastAsia="lv-LV"/>
        </w:rPr>
      </w:pPr>
    </w:p>
    <w:p w14:paraId="741C666D" w14:textId="77777777" w:rsidR="004B7032" w:rsidRPr="00DF434B" w:rsidRDefault="004B7032" w:rsidP="00A37FA3">
      <w:pPr>
        <w:tabs>
          <w:tab w:val="left" w:pos="5760"/>
        </w:tabs>
        <w:spacing w:after="0" w:line="240" w:lineRule="auto"/>
        <w:jc w:val="both"/>
        <w:rPr>
          <w:rFonts w:ascii="Times New Roman" w:eastAsia="Times New Roman" w:hAnsi="Times New Roman" w:cs="Times New Roman"/>
          <w:sz w:val="24"/>
          <w:szCs w:val="24"/>
          <w:lang w:eastAsia="lv-LV"/>
        </w:rPr>
      </w:pPr>
    </w:p>
    <w:p w14:paraId="009254AB" w14:textId="15FB0C64" w:rsidR="00B94167" w:rsidRPr="00DF434B" w:rsidRDefault="006A521C" w:rsidP="00A37FA3">
      <w:pPr>
        <w:spacing w:after="0" w:line="240" w:lineRule="auto"/>
        <w:jc w:val="both"/>
        <w:rPr>
          <w:rFonts w:ascii="Times New Roman" w:eastAsia="Times New Roman" w:hAnsi="Times New Roman" w:cs="Times New Roman"/>
          <w:bCs/>
          <w:sz w:val="24"/>
          <w:szCs w:val="24"/>
          <w:lang w:eastAsia="lv-LV"/>
        </w:rPr>
      </w:pPr>
      <w:r w:rsidRPr="00DF434B">
        <w:rPr>
          <w:rFonts w:ascii="Times New Roman" w:hAnsi="Times New Roman" w:cs="Times New Roman"/>
          <w:sz w:val="24"/>
          <w:szCs w:val="24"/>
          <w:lang w:val="de-DE"/>
        </w:rPr>
        <w:t>Finanšu ministre</w:t>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r>
      <w:r w:rsidRPr="00DF434B">
        <w:rPr>
          <w:rFonts w:ascii="Times New Roman" w:hAnsi="Times New Roman" w:cs="Times New Roman"/>
          <w:sz w:val="24"/>
          <w:szCs w:val="24"/>
          <w:lang w:val="de-DE"/>
        </w:rPr>
        <w:tab/>
        <w:t>D.Reizniece-Ozola</w:t>
      </w:r>
    </w:p>
    <w:p w14:paraId="08C6DB59" w14:textId="77777777" w:rsidR="00D14268" w:rsidRPr="00DF434B" w:rsidRDefault="00D14268" w:rsidP="00A37FA3">
      <w:pPr>
        <w:spacing w:after="0" w:line="240" w:lineRule="auto"/>
        <w:jc w:val="both"/>
        <w:rPr>
          <w:rFonts w:ascii="Times New Roman" w:eastAsia="Times New Roman" w:hAnsi="Times New Roman" w:cs="Times New Roman"/>
          <w:bCs/>
          <w:sz w:val="24"/>
          <w:szCs w:val="24"/>
          <w:lang w:eastAsia="lv-LV"/>
        </w:rPr>
      </w:pPr>
    </w:p>
    <w:p w14:paraId="4FD993CA" w14:textId="77777777" w:rsidR="00CC6776" w:rsidRPr="00DF434B" w:rsidRDefault="00CC6776" w:rsidP="00A37FA3">
      <w:pPr>
        <w:spacing w:after="0" w:line="240" w:lineRule="auto"/>
        <w:jc w:val="both"/>
        <w:rPr>
          <w:rFonts w:ascii="Times New Roman" w:eastAsia="Times New Roman" w:hAnsi="Times New Roman" w:cs="Times New Roman"/>
          <w:bCs/>
          <w:sz w:val="24"/>
          <w:szCs w:val="24"/>
          <w:lang w:eastAsia="lv-LV"/>
        </w:rPr>
      </w:pPr>
    </w:p>
    <w:p w14:paraId="3EB3A757" w14:textId="0A2BD72F" w:rsidR="00EE4162" w:rsidRDefault="00EE4162" w:rsidP="00CD6822">
      <w:pPr>
        <w:spacing w:after="0" w:line="240" w:lineRule="auto"/>
        <w:jc w:val="both"/>
        <w:rPr>
          <w:rFonts w:ascii="Times New Roman" w:eastAsia="Calibri" w:hAnsi="Times New Roman" w:cs="Times New Roman"/>
          <w:sz w:val="24"/>
          <w:szCs w:val="24"/>
          <w:shd w:val="clear" w:color="auto" w:fill="FFFFFF"/>
        </w:rPr>
      </w:pPr>
    </w:p>
    <w:p w14:paraId="4DACE036" w14:textId="7DCD0E89" w:rsidR="00AC5167" w:rsidRPr="001D0266" w:rsidRDefault="006A521C" w:rsidP="00CD6822">
      <w:pPr>
        <w:spacing w:after="0" w:line="240" w:lineRule="auto"/>
        <w:jc w:val="both"/>
        <w:rPr>
          <w:rFonts w:ascii="Times New Roman" w:eastAsia="Calibri" w:hAnsi="Times New Roman" w:cs="Times New Roman"/>
          <w:sz w:val="20"/>
          <w:szCs w:val="20"/>
          <w:shd w:val="clear" w:color="auto" w:fill="FFFFFF"/>
        </w:rPr>
      </w:pPr>
      <w:r w:rsidRPr="001D0266">
        <w:rPr>
          <w:rFonts w:ascii="Times New Roman" w:eastAsia="Calibri" w:hAnsi="Times New Roman" w:cs="Times New Roman"/>
          <w:sz w:val="20"/>
          <w:szCs w:val="20"/>
          <w:shd w:val="clear" w:color="auto" w:fill="FFFFFF"/>
        </w:rPr>
        <w:t>Kalniņa 67121634</w:t>
      </w:r>
    </w:p>
    <w:p w14:paraId="7C22470A" w14:textId="48B1F9D9" w:rsidR="00746114" w:rsidRPr="001D0266" w:rsidRDefault="008E14AF" w:rsidP="00CD6822">
      <w:pPr>
        <w:spacing w:after="0" w:line="240" w:lineRule="auto"/>
        <w:jc w:val="both"/>
        <w:rPr>
          <w:rFonts w:ascii="Times New Roman" w:eastAsia="Calibri" w:hAnsi="Times New Roman" w:cs="Times New Roman"/>
          <w:sz w:val="20"/>
          <w:szCs w:val="20"/>
          <w:shd w:val="clear" w:color="auto" w:fill="FFFFFF"/>
        </w:rPr>
      </w:pPr>
      <w:hyperlink r:id="rId10" w:history="1">
        <w:r w:rsidR="00126DC1" w:rsidRPr="001D0266">
          <w:rPr>
            <w:rStyle w:val="Hyperlink"/>
            <w:rFonts w:ascii="Times New Roman" w:eastAsia="Calibri" w:hAnsi="Times New Roman" w:cs="Times New Roman"/>
            <w:sz w:val="20"/>
            <w:szCs w:val="20"/>
            <w:shd w:val="clear" w:color="auto" w:fill="FFFFFF"/>
          </w:rPr>
          <w:t>Agate.Kalniņa@vid.gov.lv</w:t>
        </w:r>
      </w:hyperlink>
    </w:p>
    <w:p w14:paraId="23FD83E2" w14:textId="7212FD02" w:rsidR="00EE4162" w:rsidRPr="001D0266" w:rsidRDefault="00EE4162" w:rsidP="00CD6822">
      <w:pPr>
        <w:spacing w:after="0" w:line="240" w:lineRule="auto"/>
        <w:jc w:val="both"/>
        <w:rPr>
          <w:rFonts w:ascii="Times New Roman" w:eastAsia="Calibri" w:hAnsi="Times New Roman" w:cs="Times New Roman"/>
          <w:sz w:val="20"/>
          <w:szCs w:val="20"/>
          <w:shd w:val="clear" w:color="auto" w:fill="FFFFFF"/>
        </w:rPr>
      </w:pPr>
    </w:p>
    <w:p w14:paraId="5D812A2A" w14:textId="0C1E0C89" w:rsidR="00EE4162" w:rsidRPr="001D0266" w:rsidRDefault="006A521C" w:rsidP="00CD6822">
      <w:pPr>
        <w:spacing w:after="0" w:line="240" w:lineRule="auto"/>
        <w:jc w:val="both"/>
        <w:rPr>
          <w:rFonts w:ascii="Times New Roman" w:eastAsia="Calibri" w:hAnsi="Times New Roman" w:cs="Times New Roman"/>
          <w:sz w:val="20"/>
          <w:szCs w:val="20"/>
          <w:shd w:val="clear" w:color="auto" w:fill="FFFFFF"/>
        </w:rPr>
      </w:pPr>
      <w:r w:rsidRPr="001D0266">
        <w:rPr>
          <w:rFonts w:ascii="Times New Roman" w:eastAsia="Calibri" w:hAnsi="Times New Roman" w:cs="Times New Roman"/>
          <w:sz w:val="20"/>
          <w:szCs w:val="20"/>
          <w:shd w:val="clear" w:color="auto" w:fill="FFFFFF"/>
        </w:rPr>
        <w:t>Dureņa 67121641</w:t>
      </w:r>
    </w:p>
    <w:p w14:paraId="22377A48" w14:textId="63CFC0B5" w:rsidR="00213AEA" w:rsidRPr="00703E93" w:rsidRDefault="008E14AF" w:rsidP="00CD6822">
      <w:pPr>
        <w:spacing w:after="0" w:line="240" w:lineRule="auto"/>
        <w:jc w:val="both"/>
        <w:rPr>
          <w:rFonts w:ascii="Times New Roman" w:eastAsia="Calibri" w:hAnsi="Times New Roman" w:cs="Times New Roman"/>
          <w:sz w:val="20"/>
          <w:szCs w:val="20"/>
          <w:shd w:val="clear" w:color="auto" w:fill="FFFFFF"/>
        </w:rPr>
      </w:pPr>
      <w:hyperlink r:id="rId11" w:history="1">
        <w:r w:rsidR="00126DC1" w:rsidRPr="001D0266">
          <w:rPr>
            <w:rStyle w:val="Hyperlink"/>
            <w:rFonts w:ascii="Times New Roman" w:eastAsia="Calibri" w:hAnsi="Times New Roman" w:cs="Times New Roman"/>
            <w:sz w:val="20"/>
            <w:szCs w:val="20"/>
            <w:shd w:val="clear" w:color="auto" w:fill="FFFFFF"/>
          </w:rPr>
          <w:t>Karina.Durena@vid.gov.lv</w:t>
        </w:r>
      </w:hyperlink>
    </w:p>
    <w:sectPr w:rsidR="00213AEA" w:rsidRPr="00703E93" w:rsidSect="00701A32">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966BE" w14:textId="77777777" w:rsidR="008F4B67" w:rsidRDefault="008F4B67">
      <w:pPr>
        <w:spacing w:after="0" w:line="240" w:lineRule="auto"/>
      </w:pPr>
      <w:r>
        <w:separator/>
      </w:r>
    </w:p>
  </w:endnote>
  <w:endnote w:type="continuationSeparator" w:id="0">
    <w:p w14:paraId="629A60F8" w14:textId="77777777" w:rsidR="008F4B67" w:rsidRDefault="008F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B18E" w14:textId="11D2CA2A" w:rsidR="009C68FB" w:rsidRPr="00177796" w:rsidRDefault="006A521C" w:rsidP="00017236">
    <w:pPr>
      <w:pStyle w:val="Footer"/>
      <w:jc w:val="both"/>
      <w:rPr>
        <w:rFonts w:ascii="Times New Roman" w:hAnsi="Times New Roman"/>
        <w:sz w:val="20"/>
        <w:szCs w:val="20"/>
      </w:rPr>
    </w:pPr>
    <w:r>
      <w:rPr>
        <w:rFonts w:ascii="Times New Roman" w:hAnsi="Times New Roman"/>
        <w:sz w:val="20"/>
        <w:szCs w:val="20"/>
      </w:rPr>
      <w:t>FMAnot_</w:t>
    </w:r>
    <w:r w:rsidR="003E3872">
      <w:rPr>
        <w:rFonts w:ascii="Times New Roman" w:hAnsi="Times New Roman"/>
        <w:sz w:val="20"/>
        <w:szCs w:val="20"/>
      </w:rPr>
      <w:t>0511</w:t>
    </w:r>
    <w:r w:rsidR="003E029D">
      <w:rPr>
        <w:rFonts w:ascii="Times New Roman" w:hAnsi="Times New Roman"/>
        <w:sz w:val="20"/>
        <w:szCs w:val="20"/>
      </w:rPr>
      <w:t>18</w:t>
    </w:r>
    <w:r>
      <w:rPr>
        <w:rFonts w:ascii="Times New Roman" w:hAnsi="Times New Roman"/>
        <w:sz w:val="20"/>
        <w:szCs w:val="20"/>
      </w:rPr>
      <w:t>_groz96</w:t>
    </w:r>
  </w:p>
  <w:p w14:paraId="0BCE7C4A" w14:textId="77777777" w:rsidR="009C68FB" w:rsidRPr="00017236" w:rsidRDefault="009C68FB" w:rsidP="00017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3F3B" w14:textId="582BFEB8" w:rsidR="009C68FB" w:rsidRPr="00177796" w:rsidRDefault="006A521C" w:rsidP="00701A32">
    <w:pPr>
      <w:pStyle w:val="Footer"/>
      <w:jc w:val="both"/>
      <w:rPr>
        <w:rFonts w:ascii="Times New Roman" w:hAnsi="Times New Roman"/>
        <w:sz w:val="20"/>
        <w:szCs w:val="20"/>
      </w:rPr>
    </w:pPr>
    <w:r>
      <w:rPr>
        <w:rFonts w:ascii="Times New Roman" w:hAnsi="Times New Roman"/>
        <w:sz w:val="20"/>
        <w:szCs w:val="20"/>
      </w:rPr>
      <w:t>FMAnot_</w:t>
    </w:r>
    <w:r w:rsidR="003E3872">
      <w:rPr>
        <w:rFonts w:ascii="Times New Roman" w:hAnsi="Times New Roman"/>
        <w:sz w:val="20"/>
        <w:szCs w:val="20"/>
      </w:rPr>
      <w:t>0511</w:t>
    </w:r>
    <w:r w:rsidR="00A0525F">
      <w:rPr>
        <w:rFonts w:ascii="Times New Roman" w:hAnsi="Times New Roman"/>
        <w:sz w:val="20"/>
        <w:szCs w:val="20"/>
      </w:rPr>
      <w:t>18</w:t>
    </w:r>
    <w:r>
      <w:rPr>
        <w:rFonts w:ascii="Times New Roman" w:hAnsi="Times New Roman"/>
        <w:sz w:val="20"/>
        <w:szCs w:val="20"/>
      </w:rPr>
      <w:t>_groz96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FF179" w14:textId="77777777" w:rsidR="008F4B67" w:rsidRDefault="008F4B67" w:rsidP="00FD4D5F">
      <w:pPr>
        <w:spacing w:after="0" w:line="240" w:lineRule="auto"/>
      </w:pPr>
      <w:r>
        <w:separator/>
      </w:r>
    </w:p>
  </w:footnote>
  <w:footnote w:type="continuationSeparator" w:id="0">
    <w:p w14:paraId="6813DA78" w14:textId="77777777" w:rsidR="008F4B67" w:rsidRDefault="008F4B67" w:rsidP="00FD4D5F">
      <w:pPr>
        <w:spacing w:after="0" w:line="240" w:lineRule="auto"/>
      </w:pPr>
      <w:r>
        <w:continuationSeparator/>
      </w:r>
    </w:p>
  </w:footnote>
  <w:footnote w:id="1">
    <w:p w14:paraId="51EC1C32" w14:textId="0ACAF3E5" w:rsidR="00A64E04" w:rsidRPr="00A64E04" w:rsidRDefault="00A64E04" w:rsidP="00A64E04">
      <w:pPr>
        <w:pStyle w:val="FootnoteText"/>
        <w:jc w:val="both"/>
        <w:rPr>
          <w:rFonts w:ascii="Times New Roman" w:hAnsi="Times New Roman" w:cs="Times New Roman"/>
        </w:rPr>
      </w:pPr>
      <w:r w:rsidRPr="00A64E04">
        <w:rPr>
          <w:rStyle w:val="FootnoteReference"/>
          <w:rFonts w:ascii="Times New Roman" w:hAnsi="Times New Roman" w:cs="Times New Roman"/>
        </w:rPr>
        <w:footnoteRef/>
      </w:r>
      <w:r w:rsidRPr="00A64E04">
        <w:rPr>
          <w:rFonts w:ascii="Times New Roman" w:hAnsi="Times New Roman" w:cs="Times New Roman"/>
        </w:rPr>
        <w:t xml:space="preserve"> Ministru kabineta 2015. gada 15. decembrī noteikumi Nr. 744 “Grozījumi Ministru kabineta 2014. gada 11. februāra noteikumos Nr. 96 "Nodokļu un citu maksājumu reģistrēšanas elektronisko ierīč</w:t>
      </w:r>
      <w:r w:rsidR="00BB6BD1">
        <w:rPr>
          <w:rFonts w:ascii="Times New Roman" w:hAnsi="Times New Roman" w:cs="Times New Roman"/>
        </w:rPr>
        <w:t>u un iekārtu lietošanas kārtība”</w:t>
      </w:r>
      <w:r w:rsidRPr="00A64E04">
        <w:rPr>
          <w:rFonts w:ascii="Times New Roman" w:hAnsi="Times New Roman" w:cs="Times New Roman"/>
        </w:rPr>
        <w:t>”</w:t>
      </w:r>
    </w:p>
  </w:footnote>
  <w:footnote w:id="2">
    <w:p w14:paraId="6E4BE4C4" w14:textId="4B73D11D" w:rsidR="00AD0FD2" w:rsidRDefault="00AD0FD2">
      <w:pPr>
        <w:pStyle w:val="FootnoteText"/>
      </w:pPr>
      <w:r>
        <w:rPr>
          <w:rStyle w:val="FootnoteReference"/>
        </w:rPr>
        <w:footnoteRef/>
      </w:r>
      <w:r>
        <w:t xml:space="preserve"> </w:t>
      </w:r>
      <w:r w:rsidRPr="00A64E04">
        <w:rPr>
          <w:rFonts w:ascii="Times New Roman" w:hAnsi="Times New Roman" w:cs="Times New Roman"/>
        </w:rPr>
        <w:t>Ministru kabineta 20</w:t>
      </w:r>
      <w:r>
        <w:rPr>
          <w:rFonts w:ascii="Times New Roman" w:hAnsi="Times New Roman" w:cs="Times New Roman"/>
        </w:rPr>
        <w:t>14. gada 11. februāra noteikumu</w:t>
      </w:r>
      <w:r w:rsidRPr="00A64E04">
        <w:rPr>
          <w:rFonts w:ascii="Times New Roman" w:hAnsi="Times New Roman" w:cs="Times New Roman"/>
        </w:rPr>
        <w:t xml:space="preserve"> Nr. 96</w:t>
      </w:r>
      <w:r>
        <w:rPr>
          <w:rFonts w:ascii="Times New Roman" w:hAnsi="Times New Roman" w:cs="Times New Roman"/>
        </w:rPr>
        <w:t> 141.</w:t>
      </w:r>
      <w:r w:rsidRPr="00AD0FD2">
        <w:rPr>
          <w:rFonts w:ascii="Times New Roman" w:hAnsi="Times New Roman" w:cs="Times New Roman"/>
          <w:vertAlign w:val="superscript"/>
        </w:rPr>
        <w:t>5</w:t>
      </w:r>
      <w:r>
        <w:rPr>
          <w:rFonts w:ascii="Times New Roman" w:hAnsi="Times New Roman" w:cs="Times New Roman"/>
        </w:rPr>
        <w:t xml:space="preserve"> punkts</w:t>
      </w:r>
    </w:p>
  </w:footnote>
  <w:footnote w:id="3">
    <w:p w14:paraId="3511DBA2" w14:textId="79356F9A" w:rsidR="00AD0FD2" w:rsidRDefault="00AD0FD2">
      <w:pPr>
        <w:pStyle w:val="FootnoteText"/>
      </w:pPr>
      <w:r>
        <w:rPr>
          <w:rStyle w:val="FootnoteReference"/>
        </w:rPr>
        <w:footnoteRef/>
      </w:r>
      <w:r>
        <w:t xml:space="preserve"> </w:t>
      </w:r>
      <w:r w:rsidRPr="00A64E04">
        <w:rPr>
          <w:rFonts w:ascii="Times New Roman" w:hAnsi="Times New Roman" w:cs="Times New Roman"/>
        </w:rPr>
        <w:t>Ministru kabineta 20</w:t>
      </w:r>
      <w:r>
        <w:rPr>
          <w:rFonts w:ascii="Times New Roman" w:hAnsi="Times New Roman" w:cs="Times New Roman"/>
        </w:rPr>
        <w:t>14. gada 11. februāra noteikumu</w:t>
      </w:r>
      <w:r w:rsidRPr="00A64E04">
        <w:rPr>
          <w:rFonts w:ascii="Times New Roman" w:hAnsi="Times New Roman" w:cs="Times New Roman"/>
        </w:rPr>
        <w:t xml:space="preserve"> Nr. 96</w:t>
      </w:r>
      <w:r>
        <w:rPr>
          <w:rFonts w:ascii="Times New Roman" w:hAnsi="Times New Roman" w:cs="Times New Roman"/>
        </w:rPr>
        <w:t> 141.</w:t>
      </w:r>
      <w:r w:rsidRPr="00AD0FD2">
        <w:rPr>
          <w:rFonts w:ascii="Times New Roman" w:hAnsi="Times New Roman" w:cs="Times New Roman"/>
          <w:vertAlign w:val="superscript"/>
        </w:rPr>
        <w:t>3</w:t>
      </w:r>
      <w:r>
        <w:rPr>
          <w:rFonts w:ascii="Times New Roman" w:hAnsi="Times New Roman" w:cs="Times New Roman"/>
        </w:rPr>
        <w:t xml:space="preserve"> punkts</w:t>
      </w:r>
    </w:p>
  </w:footnote>
  <w:footnote w:id="4">
    <w:p w14:paraId="718C959B" w14:textId="77777777" w:rsidR="009C68FB" w:rsidRDefault="006A521C" w:rsidP="002B5CEE">
      <w:pPr>
        <w:pStyle w:val="FootnoteText"/>
      </w:pPr>
      <w:r>
        <w:rPr>
          <w:rStyle w:val="FootnoteReference"/>
        </w:rPr>
        <w:footnoteRef/>
      </w:r>
      <w:hyperlink r:id="rId1" w:history="1">
        <w:r w:rsidRPr="000F5295">
          <w:rPr>
            <w:rStyle w:val="Hyperlink"/>
            <w:rFonts w:ascii="Times New Roman" w:hAnsi="Times New Roman" w:cs="Times New Roman"/>
          </w:rPr>
          <w:t>http://data.csb.gov.lv/pxweb/lv/Sociala/Sociala__ikgad__dsp_izmaksas/DI0010_euro.px/table/tableViewLayout2/?rxid=6c40e18b-4710-46ba-8734-3855e809cd3c</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A6CC" w14:textId="77777777" w:rsidR="009C68FB" w:rsidRDefault="006A521C" w:rsidP="00701A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0C5C9" w14:textId="77777777" w:rsidR="009C68FB" w:rsidRDefault="009C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2E44" w14:textId="33413FC5" w:rsidR="009C68FB" w:rsidRPr="00D62C1A" w:rsidRDefault="006A521C" w:rsidP="00701A32">
    <w:pPr>
      <w:pStyle w:val="Header"/>
      <w:framePr w:wrap="around" w:vAnchor="text" w:hAnchor="margin" w:xAlign="center" w:y="1"/>
      <w:rPr>
        <w:rStyle w:val="PageNumber"/>
        <w:rFonts w:ascii="Times New Roman" w:hAnsi="Times New Roman"/>
        <w:sz w:val="24"/>
        <w:szCs w:val="24"/>
      </w:rPr>
    </w:pPr>
    <w:r w:rsidRPr="00D62C1A">
      <w:rPr>
        <w:rStyle w:val="PageNumber"/>
        <w:rFonts w:ascii="Times New Roman" w:hAnsi="Times New Roman"/>
        <w:sz w:val="24"/>
        <w:szCs w:val="24"/>
      </w:rPr>
      <w:fldChar w:fldCharType="begin"/>
    </w:r>
    <w:r w:rsidRPr="00D62C1A">
      <w:rPr>
        <w:rStyle w:val="PageNumber"/>
        <w:rFonts w:ascii="Times New Roman" w:hAnsi="Times New Roman"/>
        <w:sz w:val="24"/>
        <w:szCs w:val="24"/>
      </w:rPr>
      <w:instrText xml:space="preserve">PAGE  </w:instrText>
    </w:r>
    <w:r w:rsidRPr="00D62C1A">
      <w:rPr>
        <w:rStyle w:val="PageNumber"/>
        <w:rFonts w:ascii="Times New Roman" w:hAnsi="Times New Roman"/>
        <w:sz w:val="24"/>
        <w:szCs w:val="24"/>
      </w:rPr>
      <w:fldChar w:fldCharType="separate"/>
    </w:r>
    <w:r w:rsidR="008E14AF">
      <w:rPr>
        <w:rStyle w:val="PageNumber"/>
        <w:rFonts w:ascii="Times New Roman" w:hAnsi="Times New Roman"/>
        <w:noProof/>
        <w:sz w:val="24"/>
        <w:szCs w:val="24"/>
      </w:rPr>
      <w:t>15</w:t>
    </w:r>
    <w:r w:rsidRPr="00D62C1A">
      <w:rPr>
        <w:rStyle w:val="PageNumber"/>
        <w:rFonts w:ascii="Times New Roman" w:hAnsi="Times New Roman"/>
        <w:sz w:val="24"/>
        <w:szCs w:val="24"/>
      </w:rPr>
      <w:fldChar w:fldCharType="end"/>
    </w:r>
  </w:p>
  <w:p w14:paraId="14FF9F47" w14:textId="77777777" w:rsidR="009C68FB" w:rsidRDefault="009C68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4474A8B"/>
    <w:multiLevelType w:val="hybridMultilevel"/>
    <w:tmpl w:val="ACC21FD0"/>
    <w:lvl w:ilvl="0" w:tplc="D1F07AEE">
      <w:start w:val="1"/>
      <w:numFmt w:val="decimal"/>
      <w:lvlText w:val="%1."/>
      <w:lvlJc w:val="left"/>
      <w:pPr>
        <w:ind w:left="720" w:hanging="360"/>
      </w:pPr>
    </w:lvl>
    <w:lvl w:ilvl="1" w:tplc="75EAFAC8">
      <w:start w:val="1"/>
      <w:numFmt w:val="lowerLetter"/>
      <w:lvlText w:val="%2."/>
      <w:lvlJc w:val="left"/>
      <w:pPr>
        <w:ind w:left="1440" w:hanging="360"/>
      </w:pPr>
    </w:lvl>
    <w:lvl w:ilvl="2" w:tplc="93D61838">
      <w:start w:val="1"/>
      <w:numFmt w:val="lowerRoman"/>
      <w:lvlText w:val="%3."/>
      <w:lvlJc w:val="right"/>
      <w:pPr>
        <w:ind w:left="2160" w:hanging="180"/>
      </w:pPr>
    </w:lvl>
    <w:lvl w:ilvl="3" w:tplc="84AE7774">
      <w:start w:val="1"/>
      <w:numFmt w:val="decimal"/>
      <w:lvlText w:val="%4."/>
      <w:lvlJc w:val="left"/>
      <w:pPr>
        <w:ind w:left="2880" w:hanging="360"/>
      </w:pPr>
    </w:lvl>
    <w:lvl w:ilvl="4" w:tplc="35707CE8">
      <w:start w:val="1"/>
      <w:numFmt w:val="lowerLetter"/>
      <w:lvlText w:val="%5."/>
      <w:lvlJc w:val="left"/>
      <w:pPr>
        <w:ind w:left="3600" w:hanging="360"/>
      </w:pPr>
    </w:lvl>
    <w:lvl w:ilvl="5" w:tplc="591053FE">
      <w:start w:val="1"/>
      <w:numFmt w:val="lowerRoman"/>
      <w:lvlText w:val="%6."/>
      <w:lvlJc w:val="right"/>
      <w:pPr>
        <w:ind w:left="4320" w:hanging="180"/>
      </w:pPr>
    </w:lvl>
    <w:lvl w:ilvl="6" w:tplc="AACA8330">
      <w:start w:val="1"/>
      <w:numFmt w:val="decimal"/>
      <w:lvlText w:val="%7."/>
      <w:lvlJc w:val="left"/>
      <w:pPr>
        <w:ind w:left="5040" w:hanging="360"/>
      </w:pPr>
    </w:lvl>
    <w:lvl w:ilvl="7" w:tplc="67B0210C">
      <w:start w:val="1"/>
      <w:numFmt w:val="lowerLetter"/>
      <w:lvlText w:val="%8."/>
      <w:lvlJc w:val="left"/>
      <w:pPr>
        <w:ind w:left="5760" w:hanging="360"/>
      </w:pPr>
    </w:lvl>
    <w:lvl w:ilvl="8" w:tplc="406CF1F2">
      <w:start w:val="1"/>
      <w:numFmt w:val="lowerRoman"/>
      <w:lvlText w:val="%9."/>
      <w:lvlJc w:val="right"/>
      <w:pPr>
        <w:ind w:left="6480" w:hanging="180"/>
      </w:pPr>
    </w:lvl>
  </w:abstractNum>
  <w:abstractNum w:abstractNumId="1" w15:restartNumberingAfterBreak="1">
    <w:nsid w:val="6EE3446E"/>
    <w:multiLevelType w:val="hybridMultilevel"/>
    <w:tmpl w:val="CB26F440"/>
    <w:lvl w:ilvl="0" w:tplc="8C5A0420">
      <w:start w:val="2015"/>
      <w:numFmt w:val="bullet"/>
      <w:lvlText w:val="-"/>
      <w:lvlJc w:val="left"/>
      <w:pPr>
        <w:ind w:left="644" w:hanging="360"/>
      </w:pPr>
      <w:rPr>
        <w:rFonts w:ascii="Times New Roman" w:eastAsia="Times New Roman" w:hAnsi="Times New Roman" w:cs="Times New Roman" w:hint="default"/>
      </w:rPr>
    </w:lvl>
    <w:lvl w:ilvl="1" w:tplc="BCB29016" w:tentative="1">
      <w:start w:val="1"/>
      <w:numFmt w:val="bullet"/>
      <w:lvlText w:val="o"/>
      <w:lvlJc w:val="left"/>
      <w:pPr>
        <w:ind w:left="1364" w:hanging="360"/>
      </w:pPr>
      <w:rPr>
        <w:rFonts w:ascii="Courier New" w:hAnsi="Courier New" w:cs="Courier New" w:hint="default"/>
      </w:rPr>
    </w:lvl>
    <w:lvl w:ilvl="2" w:tplc="3A3443DC" w:tentative="1">
      <w:start w:val="1"/>
      <w:numFmt w:val="bullet"/>
      <w:lvlText w:val=""/>
      <w:lvlJc w:val="left"/>
      <w:pPr>
        <w:ind w:left="2084" w:hanging="360"/>
      </w:pPr>
      <w:rPr>
        <w:rFonts w:ascii="Wingdings" w:hAnsi="Wingdings" w:hint="default"/>
      </w:rPr>
    </w:lvl>
    <w:lvl w:ilvl="3" w:tplc="DD3CE882" w:tentative="1">
      <w:start w:val="1"/>
      <w:numFmt w:val="bullet"/>
      <w:lvlText w:val=""/>
      <w:lvlJc w:val="left"/>
      <w:pPr>
        <w:ind w:left="2804" w:hanging="360"/>
      </w:pPr>
      <w:rPr>
        <w:rFonts w:ascii="Symbol" w:hAnsi="Symbol" w:hint="default"/>
      </w:rPr>
    </w:lvl>
    <w:lvl w:ilvl="4" w:tplc="446E9AF4" w:tentative="1">
      <w:start w:val="1"/>
      <w:numFmt w:val="bullet"/>
      <w:lvlText w:val="o"/>
      <w:lvlJc w:val="left"/>
      <w:pPr>
        <w:ind w:left="3524" w:hanging="360"/>
      </w:pPr>
      <w:rPr>
        <w:rFonts w:ascii="Courier New" w:hAnsi="Courier New" w:cs="Courier New" w:hint="default"/>
      </w:rPr>
    </w:lvl>
    <w:lvl w:ilvl="5" w:tplc="001EB672" w:tentative="1">
      <w:start w:val="1"/>
      <w:numFmt w:val="bullet"/>
      <w:lvlText w:val=""/>
      <w:lvlJc w:val="left"/>
      <w:pPr>
        <w:ind w:left="4244" w:hanging="360"/>
      </w:pPr>
      <w:rPr>
        <w:rFonts w:ascii="Wingdings" w:hAnsi="Wingdings" w:hint="default"/>
      </w:rPr>
    </w:lvl>
    <w:lvl w:ilvl="6" w:tplc="DD826922" w:tentative="1">
      <w:start w:val="1"/>
      <w:numFmt w:val="bullet"/>
      <w:lvlText w:val=""/>
      <w:lvlJc w:val="left"/>
      <w:pPr>
        <w:ind w:left="4964" w:hanging="360"/>
      </w:pPr>
      <w:rPr>
        <w:rFonts w:ascii="Symbol" w:hAnsi="Symbol" w:hint="default"/>
      </w:rPr>
    </w:lvl>
    <w:lvl w:ilvl="7" w:tplc="A8D805B6" w:tentative="1">
      <w:start w:val="1"/>
      <w:numFmt w:val="bullet"/>
      <w:lvlText w:val="o"/>
      <w:lvlJc w:val="left"/>
      <w:pPr>
        <w:ind w:left="5684" w:hanging="360"/>
      </w:pPr>
      <w:rPr>
        <w:rFonts w:ascii="Courier New" w:hAnsi="Courier New" w:cs="Courier New" w:hint="default"/>
      </w:rPr>
    </w:lvl>
    <w:lvl w:ilvl="8" w:tplc="50B822E8" w:tentative="1">
      <w:start w:val="1"/>
      <w:numFmt w:val="bullet"/>
      <w:lvlText w:val=""/>
      <w:lvlJc w:val="left"/>
      <w:pPr>
        <w:ind w:left="64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A3"/>
    <w:rsid w:val="00002E38"/>
    <w:rsid w:val="00004272"/>
    <w:rsid w:val="00004F12"/>
    <w:rsid w:val="00005941"/>
    <w:rsid w:val="00006A95"/>
    <w:rsid w:val="00007607"/>
    <w:rsid w:val="00007A35"/>
    <w:rsid w:val="00010530"/>
    <w:rsid w:val="00013344"/>
    <w:rsid w:val="00014928"/>
    <w:rsid w:val="00017236"/>
    <w:rsid w:val="00017547"/>
    <w:rsid w:val="00027279"/>
    <w:rsid w:val="00031B44"/>
    <w:rsid w:val="00040F79"/>
    <w:rsid w:val="00042BC3"/>
    <w:rsid w:val="00043D22"/>
    <w:rsid w:val="00043D6E"/>
    <w:rsid w:val="000443A8"/>
    <w:rsid w:val="000536E1"/>
    <w:rsid w:val="00053AB5"/>
    <w:rsid w:val="00055919"/>
    <w:rsid w:val="00062239"/>
    <w:rsid w:val="0006309F"/>
    <w:rsid w:val="0007040B"/>
    <w:rsid w:val="00071AAC"/>
    <w:rsid w:val="000728FA"/>
    <w:rsid w:val="00073B17"/>
    <w:rsid w:val="00073F1B"/>
    <w:rsid w:val="00073F7C"/>
    <w:rsid w:val="00076D10"/>
    <w:rsid w:val="00080B9D"/>
    <w:rsid w:val="00090F68"/>
    <w:rsid w:val="000919DD"/>
    <w:rsid w:val="0009226F"/>
    <w:rsid w:val="00092702"/>
    <w:rsid w:val="00095FF0"/>
    <w:rsid w:val="000A11C8"/>
    <w:rsid w:val="000A6C9E"/>
    <w:rsid w:val="000B4CAC"/>
    <w:rsid w:val="000B577D"/>
    <w:rsid w:val="000B65F9"/>
    <w:rsid w:val="000D2D73"/>
    <w:rsid w:val="000D5244"/>
    <w:rsid w:val="000E1CA3"/>
    <w:rsid w:val="000E1E0E"/>
    <w:rsid w:val="000E2DDA"/>
    <w:rsid w:val="000E565C"/>
    <w:rsid w:val="000E5CE6"/>
    <w:rsid w:val="000E5E57"/>
    <w:rsid w:val="000E6A60"/>
    <w:rsid w:val="000F2A91"/>
    <w:rsid w:val="000F5295"/>
    <w:rsid w:val="000F794F"/>
    <w:rsid w:val="00102FCA"/>
    <w:rsid w:val="001039A3"/>
    <w:rsid w:val="00103A14"/>
    <w:rsid w:val="00103D7C"/>
    <w:rsid w:val="001048CC"/>
    <w:rsid w:val="00106263"/>
    <w:rsid w:val="00110B0F"/>
    <w:rsid w:val="00110EBC"/>
    <w:rsid w:val="0011158A"/>
    <w:rsid w:val="00114AA6"/>
    <w:rsid w:val="001203CC"/>
    <w:rsid w:val="00121330"/>
    <w:rsid w:val="00123256"/>
    <w:rsid w:val="00125096"/>
    <w:rsid w:val="0012594B"/>
    <w:rsid w:val="00126A63"/>
    <w:rsid w:val="00126DC1"/>
    <w:rsid w:val="0013142C"/>
    <w:rsid w:val="00132E51"/>
    <w:rsid w:val="001404D0"/>
    <w:rsid w:val="00146E14"/>
    <w:rsid w:val="00154D48"/>
    <w:rsid w:val="00155129"/>
    <w:rsid w:val="00155815"/>
    <w:rsid w:val="00156598"/>
    <w:rsid w:val="00157DDD"/>
    <w:rsid w:val="0016125C"/>
    <w:rsid w:val="00161975"/>
    <w:rsid w:val="00162BD2"/>
    <w:rsid w:val="0016598E"/>
    <w:rsid w:val="001660F4"/>
    <w:rsid w:val="00172A7F"/>
    <w:rsid w:val="00173055"/>
    <w:rsid w:val="00173549"/>
    <w:rsid w:val="00174CA0"/>
    <w:rsid w:val="00175E25"/>
    <w:rsid w:val="00177796"/>
    <w:rsid w:val="001836DB"/>
    <w:rsid w:val="00185099"/>
    <w:rsid w:val="001863C0"/>
    <w:rsid w:val="001863F3"/>
    <w:rsid w:val="00186A75"/>
    <w:rsid w:val="00187D5F"/>
    <w:rsid w:val="001963FD"/>
    <w:rsid w:val="001972CA"/>
    <w:rsid w:val="0019760A"/>
    <w:rsid w:val="00197B55"/>
    <w:rsid w:val="001A0B6E"/>
    <w:rsid w:val="001A404A"/>
    <w:rsid w:val="001B09DB"/>
    <w:rsid w:val="001B0A59"/>
    <w:rsid w:val="001B3272"/>
    <w:rsid w:val="001B32F1"/>
    <w:rsid w:val="001C3434"/>
    <w:rsid w:val="001D0266"/>
    <w:rsid w:val="001D11DC"/>
    <w:rsid w:val="001D1A64"/>
    <w:rsid w:val="001D1C65"/>
    <w:rsid w:val="001D2282"/>
    <w:rsid w:val="001D3D5A"/>
    <w:rsid w:val="001D5FF3"/>
    <w:rsid w:val="001E144F"/>
    <w:rsid w:val="001E533A"/>
    <w:rsid w:val="001E56C8"/>
    <w:rsid w:val="001F59CE"/>
    <w:rsid w:val="001F6344"/>
    <w:rsid w:val="00201920"/>
    <w:rsid w:val="00202168"/>
    <w:rsid w:val="00202CCC"/>
    <w:rsid w:val="00202D86"/>
    <w:rsid w:val="00204BA1"/>
    <w:rsid w:val="00211350"/>
    <w:rsid w:val="002118CE"/>
    <w:rsid w:val="00212E53"/>
    <w:rsid w:val="00213AEA"/>
    <w:rsid w:val="002165EB"/>
    <w:rsid w:val="002208FE"/>
    <w:rsid w:val="00220F3E"/>
    <w:rsid w:val="002214E1"/>
    <w:rsid w:val="00221C66"/>
    <w:rsid w:val="002233F5"/>
    <w:rsid w:val="00223C73"/>
    <w:rsid w:val="00234D81"/>
    <w:rsid w:val="00237667"/>
    <w:rsid w:val="00240E2E"/>
    <w:rsid w:val="00244B29"/>
    <w:rsid w:val="00244D48"/>
    <w:rsid w:val="002462B6"/>
    <w:rsid w:val="00254A22"/>
    <w:rsid w:val="00260304"/>
    <w:rsid w:val="002607A3"/>
    <w:rsid w:val="002658CB"/>
    <w:rsid w:val="00265B84"/>
    <w:rsid w:val="00267D10"/>
    <w:rsid w:val="00270B5D"/>
    <w:rsid w:val="00271A53"/>
    <w:rsid w:val="002736AC"/>
    <w:rsid w:val="00274ADC"/>
    <w:rsid w:val="00275C3F"/>
    <w:rsid w:val="00277046"/>
    <w:rsid w:val="002808D8"/>
    <w:rsid w:val="002826F7"/>
    <w:rsid w:val="00283ED6"/>
    <w:rsid w:val="00284016"/>
    <w:rsid w:val="002846F1"/>
    <w:rsid w:val="002907F4"/>
    <w:rsid w:val="0029087F"/>
    <w:rsid w:val="00291EB6"/>
    <w:rsid w:val="00292C20"/>
    <w:rsid w:val="00295931"/>
    <w:rsid w:val="00296CD9"/>
    <w:rsid w:val="00297BC6"/>
    <w:rsid w:val="00297CFF"/>
    <w:rsid w:val="00297E7E"/>
    <w:rsid w:val="002A1967"/>
    <w:rsid w:val="002A2305"/>
    <w:rsid w:val="002A32C0"/>
    <w:rsid w:val="002A48F1"/>
    <w:rsid w:val="002B5CEE"/>
    <w:rsid w:val="002B6D1A"/>
    <w:rsid w:val="002B6FA4"/>
    <w:rsid w:val="002C031E"/>
    <w:rsid w:val="002C14B0"/>
    <w:rsid w:val="002D25B2"/>
    <w:rsid w:val="002D5D84"/>
    <w:rsid w:val="002E4183"/>
    <w:rsid w:val="002E475C"/>
    <w:rsid w:val="002E7B67"/>
    <w:rsid w:val="002F0B66"/>
    <w:rsid w:val="002F27CA"/>
    <w:rsid w:val="002F4851"/>
    <w:rsid w:val="002F50D6"/>
    <w:rsid w:val="002F7AF2"/>
    <w:rsid w:val="00300302"/>
    <w:rsid w:val="0030323D"/>
    <w:rsid w:val="003034B3"/>
    <w:rsid w:val="00312489"/>
    <w:rsid w:val="003130BF"/>
    <w:rsid w:val="0031635E"/>
    <w:rsid w:val="003170BE"/>
    <w:rsid w:val="00321639"/>
    <w:rsid w:val="00322483"/>
    <w:rsid w:val="0032299E"/>
    <w:rsid w:val="00323FFD"/>
    <w:rsid w:val="00324D69"/>
    <w:rsid w:val="00330849"/>
    <w:rsid w:val="00333E7B"/>
    <w:rsid w:val="0033487A"/>
    <w:rsid w:val="00337A38"/>
    <w:rsid w:val="00341F99"/>
    <w:rsid w:val="0034481C"/>
    <w:rsid w:val="00345F4A"/>
    <w:rsid w:val="00350EBC"/>
    <w:rsid w:val="00353E23"/>
    <w:rsid w:val="003541A8"/>
    <w:rsid w:val="00354F4E"/>
    <w:rsid w:val="0036553E"/>
    <w:rsid w:val="00377024"/>
    <w:rsid w:val="00381229"/>
    <w:rsid w:val="00382951"/>
    <w:rsid w:val="0038387F"/>
    <w:rsid w:val="003879FB"/>
    <w:rsid w:val="00390B31"/>
    <w:rsid w:val="0039261A"/>
    <w:rsid w:val="00395110"/>
    <w:rsid w:val="003956D0"/>
    <w:rsid w:val="0039795C"/>
    <w:rsid w:val="003A0252"/>
    <w:rsid w:val="003A06BE"/>
    <w:rsid w:val="003A290F"/>
    <w:rsid w:val="003A36BB"/>
    <w:rsid w:val="003A5265"/>
    <w:rsid w:val="003A7677"/>
    <w:rsid w:val="003B18B1"/>
    <w:rsid w:val="003B1F7C"/>
    <w:rsid w:val="003B29FD"/>
    <w:rsid w:val="003B336D"/>
    <w:rsid w:val="003C16F2"/>
    <w:rsid w:val="003C28C8"/>
    <w:rsid w:val="003C3138"/>
    <w:rsid w:val="003C337B"/>
    <w:rsid w:val="003C57E7"/>
    <w:rsid w:val="003C7A29"/>
    <w:rsid w:val="003D54A7"/>
    <w:rsid w:val="003E029D"/>
    <w:rsid w:val="003E3081"/>
    <w:rsid w:val="003E3872"/>
    <w:rsid w:val="003E42B8"/>
    <w:rsid w:val="003E5E8C"/>
    <w:rsid w:val="003E660F"/>
    <w:rsid w:val="003E7AFD"/>
    <w:rsid w:val="003F1704"/>
    <w:rsid w:val="003F4C9B"/>
    <w:rsid w:val="003F5FAC"/>
    <w:rsid w:val="004007E9"/>
    <w:rsid w:val="00400B0C"/>
    <w:rsid w:val="00401C6C"/>
    <w:rsid w:val="0040419A"/>
    <w:rsid w:val="004116EF"/>
    <w:rsid w:val="00415129"/>
    <w:rsid w:val="0041595D"/>
    <w:rsid w:val="0042111D"/>
    <w:rsid w:val="004237DB"/>
    <w:rsid w:val="00423F82"/>
    <w:rsid w:val="00425402"/>
    <w:rsid w:val="00425921"/>
    <w:rsid w:val="00426DFC"/>
    <w:rsid w:val="00427A7E"/>
    <w:rsid w:val="00431867"/>
    <w:rsid w:val="00431BB6"/>
    <w:rsid w:val="0043295D"/>
    <w:rsid w:val="00432A34"/>
    <w:rsid w:val="0043352F"/>
    <w:rsid w:val="004338A2"/>
    <w:rsid w:val="00436D92"/>
    <w:rsid w:val="00437369"/>
    <w:rsid w:val="0044328D"/>
    <w:rsid w:val="00445040"/>
    <w:rsid w:val="00445B51"/>
    <w:rsid w:val="0044732F"/>
    <w:rsid w:val="00455C7B"/>
    <w:rsid w:val="00464567"/>
    <w:rsid w:val="00467140"/>
    <w:rsid w:val="0047119A"/>
    <w:rsid w:val="00472927"/>
    <w:rsid w:val="00477A8F"/>
    <w:rsid w:val="004910D5"/>
    <w:rsid w:val="00492E92"/>
    <w:rsid w:val="0049682C"/>
    <w:rsid w:val="00496D37"/>
    <w:rsid w:val="004A18DE"/>
    <w:rsid w:val="004A346C"/>
    <w:rsid w:val="004A5DB0"/>
    <w:rsid w:val="004B1672"/>
    <w:rsid w:val="004B17F4"/>
    <w:rsid w:val="004B1C04"/>
    <w:rsid w:val="004B2412"/>
    <w:rsid w:val="004B24C6"/>
    <w:rsid w:val="004B3BBF"/>
    <w:rsid w:val="004B7032"/>
    <w:rsid w:val="004C1126"/>
    <w:rsid w:val="004C2E3C"/>
    <w:rsid w:val="004D3257"/>
    <w:rsid w:val="004D435B"/>
    <w:rsid w:val="004D5BE1"/>
    <w:rsid w:val="004D799D"/>
    <w:rsid w:val="004E24D6"/>
    <w:rsid w:val="004F357D"/>
    <w:rsid w:val="004F3739"/>
    <w:rsid w:val="004F39D4"/>
    <w:rsid w:val="004F4428"/>
    <w:rsid w:val="004F762F"/>
    <w:rsid w:val="00500719"/>
    <w:rsid w:val="00500AD5"/>
    <w:rsid w:val="00500AE2"/>
    <w:rsid w:val="00501473"/>
    <w:rsid w:val="0050216E"/>
    <w:rsid w:val="00503F79"/>
    <w:rsid w:val="00503FCA"/>
    <w:rsid w:val="00510A5D"/>
    <w:rsid w:val="005113E8"/>
    <w:rsid w:val="00511689"/>
    <w:rsid w:val="00512B7C"/>
    <w:rsid w:val="0051375A"/>
    <w:rsid w:val="00514C04"/>
    <w:rsid w:val="00515506"/>
    <w:rsid w:val="00520DF8"/>
    <w:rsid w:val="00521138"/>
    <w:rsid w:val="00521780"/>
    <w:rsid w:val="00524979"/>
    <w:rsid w:val="00527DE3"/>
    <w:rsid w:val="005357FD"/>
    <w:rsid w:val="00537267"/>
    <w:rsid w:val="00541C0B"/>
    <w:rsid w:val="00542081"/>
    <w:rsid w:val="005443D5"/>
    <w:rsid w:val="00552356"/>
    <w:rsid w:val="00553C84"/>
    <w:rsid w:val="005540DE"/>
    <w:rsid w:val="00555503"/>
    <w:rsid w:val="00556C55"/>
    <w:rsid w:val="00561AA4"/>
    <w:rsid w:val="00562CA9"/>
    <w:rsid w:val="00563600"/>
    <w:rsid w:val="00564DE0"/>
    <w:rsid w:val="00565B61"/>
    <w:rsid w:val="00565F3F"/>
    <w:rsid w:val="005667A0"/>
    <w:rsid w:val="00566E85"/>
    <w:rsid w:val="005721A1"/>
    <w:rsid w:val="00575E81"/>
    <w:rsid w:val="0057693B"/>
    <w:rsid w:val="005776AC"/>
    <w:rsid w:val="0058562D"/>
    <w:rsid w:val="00586B55"/>
    <w:rsid w:val="005877D5"/>
    <w:rsid w:val="00591BCA"/>
    <w:rsid w:val="005958CD"/>
    <w:rsid w:val="005A02C9"/>
    <w:rsid w:val="005A5911"/>
    <w:rsid w:val="005B50A9"/>
    <w:rsid w:val="005B715D"/>
    <w:rsid w:val="005C19FA"/>
    <w:rsid w:val="005C7C52"/>
    <w:rsid w:val="005E11ED"/>
    <w:rsid w:val="005E1672"/>
    <w:rsid w:val="005E7F48"/>
    <w:rsid w:val="005F1455"/>
    <w:rsid w:val="005F60AD"/>
    <w:rsid w:val="005F70F3"/>
    <w:rsid w:val="00602F18"/>
    <w:rsid w:val="00603575"/>
    <w:rsid w:val="006050F3"/>
    <w:rsid w:val="00605EF5"/>
    <w:rsid w:val="006074FF"/>
    <w:rsid w:val="0061437C"/>
    <w:rsid w:val="00614E08"/>
    <w:rsid w:val="00615585"/>
    <w:rsid w:val="006229E7"/>
    <w:rsid w:val="00623753"/>
    <w:rsid w:val="006246BA"/>
    <w:rsid w:val="0062591B"/>
    <w:rsid w:val="00626309"/>
    <w:rsid w:val="00626C7D"/>
    <w:rsid w:val="00630146"/>
    <w:rsid w:val="00630611"/>
    <w:rsid w:val="00633348"/>
    <w:rsid w:val="006340A8"/>
    <w:rsid w:val="00634F40"/>
    <w:rsid w:val="006363F9"/>
    <w:rsid w:val="00636BC0"/>
    <w:rsid w:val="0064603D"/>
    <w:rsid w:val="00646127"/>
    <w:rsid w:val="006522D7"/>
    <w:rsid w:val="00653FAD"/>
    <w:rsid w:val="00655379"/>
    <w:rsid w:val="00655E47"/>
    <w:rsid w:val="00655E9C"/>
    <w:rsid w:val="00660B3B"/>
    <w:rsid w:val="0066687D"/>
    <w:rsid w:val="006670B8"/>
    <w:rsid w:val="006705FE"/>
    <w:rsid w:val="00673693"/>
    <w:rsid w:val="00674F53"/>
    <w:rsid w:val="0068020F"/>
    <w:rsid w:val="00683900"/>
    <w:rsid w:val="0068411C"/>
    <w:rsid w:val="00684442"/>
    <w:rsid w:val="006854F6"/>
    <w:rsid w:val="00690176"/>
    <w:rsid w:val="006905D2"/>
    <w:rsid w:val="00690755"/>
    <w:rsid w:val="00692B64"/>
    <w:rsid w:val="006968FC"/>
    <w:rsid w:val="00696E46"/>
    <w:rsid w:val="006A3D6B"/>
    <w:rsid w:val="006A521C"/>
    <w:rsid w:val="006A6935"/>
    <w:rsid w:val="006A75E8"/>
    <w:rsid w:val="006A7A1B"/>
    <w:rsid w:val="006A7C5B"/>
    <w:rsid w:val="006B273E"/>
    <w:rsid w:val="006B2FA7"/>
    <w:rsid w:val="006B7693"/>
    <w:rsid w:val="006C1BA8"/>
    <w:rsid w:val="006C216C"/>
    <w:rsid w:val="006D0C5F"/>
    <w:rsid w:val="006D39CB"/>
    <w:rsid w:val="006E0625"/>
    <w:rsid w:val="006E1153"/>
    <w:rsid w:val="006E240A"/>
    <w:rsid w:val="006E2488"/>
    <w:rsid w:val="006E2657"/>
    <w:rsid w:val="006E70CD"/>
    <w:rsid w:val="006E7BBA"/>
    <w:rsid w:val="006F16BB"/>
    <w:rsid w:val="006F1B6C"/>
    <w:rsid w:val="006F1F4D"/>
    <w:rsid w:val="006F31DC"/>
    <w:rsid w:val="006F5B66"/>
    <w:rsid w:val="006F63BC"/>
    <w:rsid w:val="00700D0D"/>
    <w:rsid w:val="00701A32"/>
    <w:rsid w:val="00702EF8"/>
    <w:rsid w:val="00703E93"/>
    <w:rsid w:val="00706272"/>
    <w:rsid w:val="007073A1"/>
    <w:rsid w:val="00707CD0"/>
    <w:rsid w:val="00707D79"/>
    <w:rsid w:val="00713246"/>
    <w:rsid w:val="00717EF2"/>
    <w:rsid w:val="0072126F"/>
    <w:rsid w:val="0072161C"/>
    <w:rsid w:val="00722887"/>
    <w:rsid w:val="00724E11"/>
    <w:rsid w:val="0072678E"/>
    <w:rsid w:val="00730940"/>
    <w:rsid w:val="00734CDD"/>
    <w:rsid w:val="007352F6"/>
    <w:rsid w:val="007367AF"/>
    <w:rsid w:val="00737E1E"/>
    <w:rsid w:val="0074079C"/>
    <w:rsid w:val="007411E0"/>
    <w:rsid w:val="00743680"/>
    <w:rsid w:val="00746114"/>
    <w:rsid w:val="00746D02"/>
    <w:rsid w:val="007531A7"/>
    <w:rsid w:val="00754FD7"/>
    <w:rsid w:val="00756472"/>
    <w:rsid w:val="007572CB"/>
    <w:rsid w:val="007579F0"/>
    <w:rsid w:val="00762542"/>
    <w:rsid w:val="007643A8"/>
    <w:rsid w:val="00764A3B"/>
    <w:rsid w:val="00764C54"/>
    <w:rsid w:val="007658AD"/>
    <w:rsid w:val="00765E9D"/>
    <w:rsid w:val="00766098"/>
    <w:rsid w:val="00766972"/>
    <w:rsid w:val="00770F2A"/>
    <w:rsid w:val="00773102"/>
    <w:rsid w:val="00774B4E"/>
    <w:rsid w:val="007757B3"/>
    <w:rsid w:val="0077596E"/>
    <w:rsid w:val="00780866"/>
    <w:rsid w:val="007831A5"/>
    <w:rsid w:val="00783347"/>
    <w:rsid w:val="00796775"/>
    <w:rsid w:val="007A3A04"/>
    <w:rsid w:val="007A4211"/>
    <w:rsid w:val="007A6427"/>
    <w:rsid w:val="007B3BF2"/>
    <w:rsid w:val="007B6BDC"/>
    <w:rsid w:val="007B6D91"/>
    <w:rsid w:val="007B6F5F"/>
    <w:rsid w:val="007B78DB"/>
    <w:rsid w:val="007C2C3D"/>
    <w:rsid w:val="007C2D73"/>
    <w:rsid w:val="007C352D"/>
    <w:rsid w:val="007C4E60"/>
    <w:rsid w:val="007D53BC"/>
    <w:rsid w:val="007D7716"/>
    <w:rsid w:val="007E0D83"/>
    <w:rsid w:val="007E579C"/>
    <w:rsid w:val="007F040E"/>
    <w:rsid w:val="007F3319"/>
    <w:rsid w:val="007F49EF"/>
    <w:rsid w:val="007F525E"/>
    <w:rsid w:val="0080292F"/>
    <w:rsid w:val="00802ADF"/>
    <w:rsid w:val="00804274"/>
    <w:rsid w:val="00807904"/>
    <w:rsid w:val="008105FD"/>
    <w:rsid w:val="00810DF2"/>
    <w:rsid w:val="008119F0"/>
    <w:rsid w:val="00812A2B"/>
    <w:rsid w:val="00814175"/>
    <w:rsid w:val="008163DF"/>
    <w:rsid w:val="00817607"/>
    <w:rsid w:val="008178E2"/>
    <w:rsid w:val="00820591"/>
    <w:rsid w:val="00820A9F"/>
    <w:rsid w:val="00820D09"/>
    <w:rsid w:val="00821F8A"/>
    <w:rsid w:val="008300EE"/>
    <w:rsid w:val="00832C71"/>
    <w:rsid w:val="008402BD"/>
    <w:rsid w:val="00842A31"/>
    <w:rsid w:val="00843A3D"/>
    <w:rsid w:val="0084506D"/>
    <w:rsid w:val="00845CCF"/>
    <w:rsid w:val="00846F48"/>
    <w:rsid w:val="00846F65"/>
    <w:rsid w:val="00853CFD"/>
    <w:rsid w:val="00857F03"/>
    <w:rsid w:val="00861467"/>
    <w:rsid w:val="008617C2"/>
    <w:rsid w:val="00863B83"/>
    <w:rsid w:val="008644CA"/>
    <w:rsid w:val="00864AEA"/>
    <w:rsid w:val="008700B2"/>
    <w:rsid w:val="008720BB"/>
    <w:rsid w:val="008722F2"/>
    <w:rsid w:val="0087298C"/>
    <w:rsid w:val="00873C57"/>
    <w:rsid w:val="0088075A"/>
    <w:rsid w:val="00882505"/>
    <w:rsid w:val="00884211"/>
    <w:rsid w:val="00884CF7"/>
    <w:rsid w:val="00885A27"/>
    <w:rsid w:val="008A1755"/>
    <w:rsid w:val="008A551D"/>
    <w:rsid w:val="008A7E91"/>
    <w:rsid w:val="008B00C8"/>
    <w:rsid w:val="008B02C0"/>
    <w:rsid w:val="008B0E39"/>
    <w:rsid w:val="008B4206"/>
    <w:rsid w:val="008B453A"/>
    <w:rsid w:val="008B54CB"/>
    <w:rsid w:val="008C26B8"/>
    <w:rsid w:val="008C4DE2"/>
    <w:rsid w:val="008C535F"/>
    <w:rsid w:val="008C7690"/>
    <w:rsid w:val="008D242A"/>
    <w:rsid w:val="008D40F3"/>
    <w:rsid w:val="008E0772"/>
    <w:rsid w:val="008E14AF"/>
    <w:rsid w:val="008E192C"/>
    <w:rsid w:val="008E5C7E"/>
    <w:rsid w:val="008E6618"/>
    <w:rsid w:val="008E6FB7"/>
    <w:rsid w:val="008E7325"/>
    <w:rsid w:val="008F0556"/>
    <w:rsid w:val="008F0AA9"/>
    <w:rsid w:val="008F3DD0"/>
    <w:rsid w:val="008F451A"/>
    <w:rsid w:val="008F4B67"/>
    <w:rsid w:val="008F57B6"/>
    <w:rsid w:val="008F79D9"/>
    <w:rsid w:val="009021DF"/>
    <w:rsid w:val="00904C1F"/>
    <w:rsid w:val="00905168"/>
    <w:rsid w:val="00907F6A"/>
    <w:rsid w:val="009115FF"/>
    <w:rsid w:val="00914675"/>
    <w:rsid w:val="00915058"/>
    <w:rsid w:val="00916DF0"/>
    <w:rsid w:val="00917B69"/>
    <w:rsid w:val="00920CF6"/>
    <w:rsid w:val="0093148E"/>
    <w:rsid w:val="00931A3A"/>
    <w:rsid w:val="00933848"/>
    <w:rsid w:val="009366CC"/>
    <w:rsid w:val="00937DDA"/>
    <w:rsid w:val="00941094"/>
    <w:rsid w:val="00945769"/>
    <w:rsid w:val="00945FDF"/>
    <w:rsid w:val="009479EB"/>
    <w:rsid w:val="00952A96"/>
    <w:rsid w:val="00955FFB"/>
    <w:rsid w:val="0095639C"/>
    <w:rsid w:val="00957434"/>
    <w:rsid w:val="00957DF9"/>
    <w:rsid w:val="00961EBB"/>
    <w:rsid w:val="00963E5D"/>
    <w:rsid w:val="009640D9"/>
    <w:rsid w:val="00966922"/>
    <w:rsid w:val="009675EB"/>
    <w:rsid w:val="00970555"/>
    <w:rsid w:val="00973EE6"/>
    <w:rsid w:val="00976DD2"/>
    <w:rsid w:val="009773CB"/>
    <w:rsid w:val="009808B7"/>
    <w:rsid w:val="00981766"/>
    <w:rsid w:val="00982454"/>
    <w:rsid w:val="00984DA0"/>
    <w:rsid w:val="00984F5E"/>
    <w:rsid w:val="00987427"/>
    <w:rsid w:val="00987872"/>
    <w:rsid w:val="00993DB0"/>
    <w:rsid w:val="00996643"/>
    <w:rsid w:val="009A476E"/>
    <w:rsid w:val="009B46D9"/>
    <w:rsid w:val="009B5482"/>
    <w:rsid w:val="009C3D5A"/>
    <w:rsid w:val="009C55CD"/>
    <w:rsid w:val="009C68FB"/>
    <w:rsid w:val="009C742F"/>
    <w:rsid w:val="009D1FCB"/>
    <w:rsid w:val="009D34FA"/>
    <w:rsid w:val="009D39DD"/>
    <w:rsid w:val="009D5930"/>
    <w:rsid w:val="009D6405"/>
    <w:rsid w:val="009E5542"/>
    <w:rsid w:val="009E5548"/>
    <w:rsid w:val="009E5EF8"/>
    <w:rsid w:val="009E6412"/>
    <w:rsid w:val="009F6196"/>
    <w:rsid w:val="00A008EA"/>
    <w:rsid w:val="00A01865"/>
    <w:rsid w:val="00A050C1"/>
    <w:rsid w:val="00A0525F"/>
    <w:rsid w:val="00A16801"/>
    <w:rsid w:val="00A22A38"/>
    <w:rsid w:val="00A2695A"/>
    <w:rsid w:val="00A27713"/>
    <w:rsid w:val="00A3102B"/>
    <w:rsid w:val="00A37FA3"/>
    <w:rsid w:val="00A40551"/>
    <w:rsid w:val="00A4444F"/>
    <w:rsid w:val="00A460AD"/>
    <w:rsid w:val="00A46BA5"/>
    <w:rsid w:val="00A52B79"/>
    <w:rsid w:val="00A53814"/>
    <w:rsid w:val="00A5448E"/>
    <w:rsid w:val="00A55B98"/>
    <w:rsid w:val="00A61333"/>
    <w:rsid w:val="00A620DA"/>
    <w:rsid w:val="00A6347C"/>
    <w:rsid w:val="00A64E04"/>
    <w:rsid w:val="00A7284E"/>
    <w:rsid w:val="00A80997"/>
    <w:rsid w:val="00A81AD8"/>
    <w:rsid w:val="00A83E4C"/>
    <w:rsid w:val="00A874FC"/>
    <w:rsid w:val="00A900A0"/>
    <w:rsid w:val="00A935E2"/>
    <w:rsid w:val="00A93800"/>
    <w:rsid w:val="00A947F7"/>
    <w:rsid w:val="00A95B20"/>
    <w:rsid w:val="00A97E6C"/>
    <w:rsid w:val="00AA2B43"/>
    <w:rsid w:val="00AA47DE"/>
    <w:rsid w:val="00AA6028"/>
    <w:rsid w:val="00AA76D1"/>
    <w:rsid w:val="00AB09B1"/>
    <w:rsid w:val="00AB1468"/>
    <w:rsid w:val="00AB31FA"/>
    <w:rsid w:val="00AB3E96"/>
    <w:rsid w:val="00AB48EE"/>
    <w:rsid w:val="00AB4E6A"/>
    <w:rsid w:val="00AB79E6"/>
    <w:rsid w:val="00AB7BBC"/>
    <w:rsid w:val="00AC117B"/>
    <w:rsid w:val="00AC3B77"/>
    <w:rsid w:val="00AC5167"/>
    <w:rsid w:val="00AD0FD2"/>
    <w:rsid w:val="00AD7E0D"/>
    <w:rsid w:val="00AE1306"/>
    <w:rsid w:val="00AE61BC"/>
    <w:rsid w:val="00AE659B"/>
    <w:rsid w:val="00AF0851"/>
    <w:rsid w:val="00AF0BCD"/>
    <w:rsid w:val="00AF5136"/>
    <w:rsid w:val="00AF6388"/>
    <w:rsid w:val="00AF7076"/>
    <w:rsid w:val="00B010AA"/>
    <w:rsid w:val="00B02E85"/>
    <w:rsid w:val="00B048B8"/>
    <w:rsid w:val="00B04A89"/>
    <w:rsid w:val="00B070EC"/>
    <w:rsid w:val="00B07B5E"/>
    <w:rsid w:val="00B10616"/>
    <w:rsid w:val="00B108B8"/>
    <w:rsid w:val="00B13BED"/>
    <w:rsid w:val="00B15A00"/>
    <w:rsid w:val="00B15A94"/>
    <w:rsid w:val="00B22693"/>
    <w:rsid w:val="00B2490C"/>
    <w:rsid w:val="00B25702"/>
    <w:rsid w:val="00B30D49"/>
    <w:rsid w:val="00B31D3E"/>
    <w:rsid w:val="00B3255D"/>
    <w:rsid w:val="00B33BDA"/>
    <w:rsid w:val="00B4129C"/>
    <w:rsid w:val="00B50A69"/>
    <w:rsid w:val="00B5672D"/>
    <w:rsid w:val="00B57729"/>
    <w:rsid w:val="00B60492"/>
    <w:rsid w:val="00B60F75"/>
    <w:rsid w:val="00B626A0"/>
    <w:rsid w:val="00B62C08"/>
    <w:rsid w:val="00B644D9"/>
    <w:rsid w:val="00B74A2B"/>
    <w:rsid w:val="00B75C51"/>
    <w:rsid w:val="00B81A2C"/>
    <w:rsid w:val="00B858D7"/>
    <w:rsid w:val="00B930F2"/>
    <w:rsid w:val="00B94167"/>
    <w:rsid w:val="00B963B8"/>
    <w:rsid w:val="00B96DC7"/>
    <w:rsid w:val="00B96FFF"/>
    <w:rsid w:val="00BA0CBE"/>
    <w:rsid w:val="00BA4870"/>
    <w:rsid w:val="00BA665C"/>
    <w:rsid w:val="00BA7147"/>
    <w:rsid w:val="00BB22A1"/>
    <w:rsid w:val="00BB2E87"/>
    <w:rsid w:val="00BB3845"/>
    <w:rsid w:val="00BB6BD1"/>
    <w:rsid w:val="00BB6C1F"/>
    <w:rsid w:val="00BC3113"/>
    <w:rsid w:val="00BC4363"/>
    <w:rsid w:val="00BC6896"/>
    <w:rsid w:val="00BD14A5"/>
    <w:rsid w:val="00BD2CAB"/>
    <w:rsid w:val="00BD7F24"/>
    <w:rsid w:val="00BE14B5"/>
    <w:rsid w:val="00BE553E"/>
    <w:rsid w:val="00BE6CD6"/>
    <w:rsid w:val="00BF06AD"/>
    <w:rsid w:val="00BF0E7D"/>
    <w:rsid w:val="00BF66DB"/>
    <w:rsid w:val="00C01DBE"/>
    <w:rsid w:val="00C0495F"/>
    <w:rsid w:val="00C04F01"/>
    <w:rsid w:val="00C10F06"/>
    <w:rsid w:val="00C12706"/>
    <w:rsid w:val="00C12C92"/>
    <w:rsid w:val="00C1377B"/>
    <w:rsid w:val="00C166AE"/>
    <w:rsid w:val="00C171DD"/>
    <w:rsid w:val="00C219FE"/>
    <w:rsid w:val="00C22E59"/>
    <w:rsid w:val="00C25E09"/>
    <w:rsid w:val="00C275DC"/>
    <w:rsid w:val="00C3135A"/>
    <w:rsid w:val="00C33238"/>
    <w:rsid w:val="00C35E63"/>
    <w:rsid w:val="00C35F80"/>
    <w:rsid w:val="00C36EA0"/>
    <w:rsid w:val="00C4596B"/>
    <w:rsid w:val="00C50DC4"/>
    <w:rsid w:val="00C553D3"/>
    <w:rsid w:val="00C56A5F"/>
    <w:rsid w:val="00C5734A"/>
    <w:rsid w:val="00C61187"/>
    <w:rsid w:val="00C622F6"/>
    <w:rsid w:val="00C62D9D"/>
    <w:rsid w:val="00C64024"/>
    <w:rsid w:val="00C64142"/>
    <w:rsid w:val="00C6748B"/>
    <w:rsid w:val="00C77015"/>
    <w:rsid w:val="00C811BD"/>
    <w:rsid w:val="00C83083"/>
    <w:rsid w:val="00C8379A"/>
    <w:rsid w:val="00C851B9"/>
    <w:rsid w:val="00C87B17"/>
    <w:rsid w:val="00C87C4E"/>
    <w:rsid w:val="00C912B4"/>
    <w:rsid w:val="00C9491D"/>
    <w:rsid w:val="00C965FA"/>
    <w:rsid w:val="00C96CFC"/>
    <w:rsid w:val="00CA505E"/>
    <w:rsid w:val="00CA56E7"/>
    <w:rsid w:val="00CA7584"/>
    <w:rsid w:val="00CA7BC3"/>
    <w:rsid w:val="00CA7CC9"/>
    <w:rsid w:val="00CB794E"/>
    <w:rsid w:val="00CC126D"/>
    <w:rsid w:val="00CC6776"/>
    <w:rsid w:val="00CD0587"/>
    <w:rsid w:val="00CD6585"/>
    <w:rsid w:val="00CD6822"/>
    <w:rsid w:val="00CE2377"/>
    <w:rsid w:val="00CE5981"/>
    <w:rsid w:val="00CE7768"/>
    <w:rsid w:val="00CF31B0"/>
    <w:rsid w:val="00CF6768"/>
    <w:rsid w:val="00CF77EE"/>
    <w:rsid w:val="00D01FA2"/>
    <w:rsid w:val="00D0531C"/>
    <w:rsid w:val="00D05EF6"/>
    <w:rsid w:val="00D101AB"/>
    <w:rsid w:val="00D107F0"/>
    <w:rsid w:val="00D13292"/>
    <w:rsid w:val="00D14268"/>
    <w:rsid w:val="00D1657B"/>
    <w:rsid w:val="00D16D72"/>
    <w:rsid w:val="00D21B5D"/>
    <w:rsid w:val="00D238AC"/>
    <w:rsid w:val="00D26142"/>
    <w:rsid w:val="00D26C54"/>
    <w:rsid w:val="00D33668"/>
    <w:rsid w:val="00D33986"/>
    <w:rsid w:val="00D34513"/>
    <w:rsid w:val="00D357CD"/>
    <w:rsid w:val="00D377F7"/>
    <w:rsid w:val="00D3786B"/>
    <w:rsid w:val="00D41EBC"/>
    <w:rsid w:val="00D423DF"/>
    <w:rsid w:val="00D50D80"/>
    <w:rsid w:val="00D52B7C"/>
    <w:rsid w:val="00D52CB3"/>
    <w:rsid w:val="00D55723"/>
    <w:rsid w:val="00D56C37"/>
    <w:rsid w:val="00D62225"/>
    <w:rsid w:val="00D62C1A"/>
    <w:rsid w:val="00D651A6"/>
    <w:rsid w:val="00D65601"/>
    <w:rsid w:val="00D70755"/>
    <w:rsid w:val="00D709FB"/>
    <w:rsid w:val="00D72CB6"/>
    <w:rsid w:val="00D74156"/>
    <w:rsid w:val="00D75FAF"/>
    <w:rsid w:val="00D767E6"/>
    <w:rsid w:val="00D7771C"/>
    <w:rsid w:val="00D77B01"/>
    <w:rsid w:val="00D77C66"/>
    <w:rsid w:val="00D80FEB"/>
    <w:rsid w:val="00D821AC"/>
    <w:rsid w:val="00D827C9"/>
    <w:rsid w:val="00D857C9"/>
    <w:rsid w:val="00D926D5"/>
    <w:rsid w:val="00D95EE6"/>
    <w:rsid w:val="00DA05F2"/>
    <w:rsid w:val="00DA1A02"/>
    <w:rsid w:val="00DA1A22"/>
    <w:rsid w:val="00DA3B3D"/>
    <w:rsid w:val="00DA5AC1"/>
    <w:rsid w:val="00DA7FAA"/>
    <w:rsid w:val="00DB5E2E"/>
    <w:rsid w:val="00DC1778"/>
    <w:rsid w:val="00DC278F"/>
    <w:rsid w:val="00DC3BFA"/>
    <w:rsid w:val="00DC54D4"/>
    <w:rsid w:val="00DC7A54"/>
    <w:rsid w:val="00DD0901"/>
    <w:rsid w:val="00DD1B6E"/>
    <w:rsid w:val="00DD48C8"/>
    <w:rsid w:val="00DD521C"/>
    <w:rsid w:val="00DD7BBB"/>
    <w:rsid w:val="00DD7EF1"/>
    <w:rsid w:val="00DE1340"/>
    <w:rsid w:val="00DE363C"/>
    <w:rsid w:val="00DF14EB"/>
    <w:rsid w:val="00DF21CB"/>
    <w:rsid w:val="00DF2785"/>
    <w:rsid w:val="00DF434B"/>
    <w:rsid w:val="00DF750E"/>
    <w:rsid w:val="00E0339B"/>
    <w:rsid w:val="00E04319"/>
    <w:rsid w:val="00E06E0A"/>
    <w:rsid w:val="00E1072C"/>
    <w:rsid w:val="00E111CD"/>
    <w:rsid w:val="00E116E9"/>
    <w:rsid w:val="00E134A4"/>
    <w:rsid w:val="00E16166"/>
    <w:rsid w:val="00E23993"/>
    <w:rsid w:val="00E32481"/>
    <w:rsid w:val="00E40482"/>
    <w:rsid w:val="00E44EE9"/>
    <w:rsid w:val="00E47F75"/>
    <w:rsid w:val="00E53B11"/>
    <w:rsid w:val="00E5481E"/>
    <w:rsid w:val="00E5638F"/>
    <w:rsid w:val="00E61559"/>
    <w:rsid w:val="00E647DA"/>
    <w:rsid w:val="00E64BFC"/>
    <w:rsid w:val="00E66045"/>
    <w:rsid w:val="00E70AF3"/>
    <w:rsid w:val="00E7185D"/>
    <w:rsid w:val="00E71B85"/>
    <w:rsid w:val="00E72908"/>
    <w:rsid w:val="00E72A94"/>
    <w:rsid w:val="00E731D7"/>
    <w:rsid w:val="00E77493"/>
    <w:rsid w:val="00E77A32"/>
    <w:rsid w:val="00E850E1"/>
    <w:rsid w:val="00E85620"/>
    <w:rsid w:val="00E92AFC"/>
    <w:rsid w:val="00E954CA"/>
    <w:rsid w:val="00EA713A"/>
    <w:rsid w:val="00EB232E"/>
    <w:rsid w:val="00EB4095"/>
    <w:rsid w:val="00EB7FF1"/>
    <w:rsid w:val="00EC133A"/>
    <w:rsid w:val="00EC22E4"/>
    <w:rsid w:val="00ED34BB"/>
    <w:rsid w:val="00ED3749"/>
    <w:rsid w:val="00ED5F1A"/>
    <w:rsid w:val="00ED6630"/>
    <w:rsid w:val="00EE3248"/>
    <w:rsid w:val="00EE4162"/>
    <w:rsid w:val="00EE6C78"/>
    <w:rsid w:val="00EF3310"/>
    <w:rsid w:val="00EF3A21"/>
    <w:rsid w:val="00EF634B"/>
    <w:rsid w:val="00EF6A8B"/>
    <w:rsid w:val="00F00212"/>
    <w:rsid w:val="00F04E6D"/>
    <w:rsid w:val="00F07732"/>
    <w:rsid w:val="00F10690"/>
    <w:rsid w:val="00F10DCA"/>
    <w:rsid w:val="00F15FF4"/>
    <w:rsid w:val="00F16388"/>
    <w:rsid w:val="00F170C4"/>
    <w:rsid w:val="00F21CB5"/>
    <w:rsid w:val="00F22318"/>
    <w:rsid w:val="00F23BA0"/>
    <w:rsid w:val="00F2583E"/>
    <w:rsid w:val="00F26BB3"/>
    <w:rsid w:val="00F27447"/>
    <w:rsid w:val="00F333CD"/>
    <w:rsid w:val="00F334E1"/>
    <w:rsid w:val="00F33B6A"/>
    <w:rsid w:val="00F3495B"/>
    <w:rsid w:val="00F435BB"/>
    <w:rsid w:val="00F44DE1"/>
    <w:rsid w:val="00F45EB8"/>
    <w:rsid w:val="00F47234"/>
    <w:rsid w:val="00F47FFB"/>
    <w:rsid w:val="00F50268"/>
    <w:rsid w:val="00F508D0"/>
    <w:rsid w:val="00F56879"/>
    <w:rsid w:val="00F56993"/>
    <w:rsid w:val="00F56B12"/>
    <w:rsid w:val="00F6320F"/>
    <w:rsid w:val="00F67BD4"/>
    <w:rsid w:val="00F7324A"/>
    <w:rsid w:val="00F732D0"/>
    <w:rsid w:val="00F75150"/>
    <w:rsid w:val="00F820A3"/>
    <w:rsid w:val="00F83FCB"/>
    <w:rsid w:val="00F869A5"/>
    <w:rsid w:val="00F87535"/>
    <w:rsid w:val="00F91330"/>
    <w:rsid w:val="00F931A3"/>
    <w:rsid w:val="00F957B4"/>
    <w:rsid w:val="00F95EFE"/>
    <w:rsid w:val="00FA053B"/>
    <w:rsid w:val="00FA6977"/>
    <w:rsid w:val="00FA7C97"/>
    <w:rsid w:val="00FB03B7"/>
    <w:rsid w:val="00FB481C"/>
    <w:rsid w:val="00FB55EC"/>
    <w:rsid w:val="00FB7541"/>
    <w:rsid w:val="00FC1059"/>
    <w:rsid w:val="00FC1C32"/>
    <w:rsid w:val="00FC5B59"/>
    <w:rsid w:val="00FC6054"/>
    <w:rsid w:val="00FC72C0"/>
    <w:rsid w:val="00FD0280"/>
    <w:rsid w:val="00FD236E"/>
    <w:rsid w:val="00FD23AB"/>
    <w:rsid w:val="00FD4D5F"/>
    <w:rsid w:val="00FE39D2"/>
    <w:rsid w:val="00FE5745"/>
    <w:rsid w:val="00FE74D6"/>
    <w:rsid w:val="00FE7DC9"/>
    <w:rsid w:val="00FF0D20"/>
    <w:rsid w:val="00FF2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C7784B"/>
  <w15:docId w15:val="{092864BC-38EE-4B4F-B590-A6A4C207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FA3"/>
  </w:style>
  <w:style w:type="paragraph" w:styleId="Footer">
    <w:name w:val="footer"/>
    <w:basedOn w:val="Normal"/>
    <w:link w:val="FooterChar"/>
    <w:uiPriority w:val="99"/>
    <w:unhideWhenUsed/>
    <w:rsid w:val="00A37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FA3"/>
  </w:style>
  <w:style w:type="character" w:styleId="PageNumber">
    <w:name w:val="page number"/>
    <w:rsid w:val="00A37FA3"/>
  </w:style>
  <w:style w:type="character" w:styleId="Hyperlink">
    <w:name w:val="Hyperlink"/>
    <w:basedOn w:val="DefaultParagraphFont"/>
    <w:uiPriority w:val="99"/>
    <w:unhideWhenUsed/>
    <w:rsid w:val="00A37FA3"/>
    <w:rPr>
      <w:color w:val="0000FF" w:themeColor="hyperlink"/>
      <w:u w:val="single"/>
    </w:rPr>
  </w:style>
  <w:style w:type="paragraph" w:styleId="BalloonText">
    <w:name w:val="Balloon Text"/>
    <w:basedOn w:val="Normal"/>
    <w:link w:val="BalloonTextChar"/>
    <w:uiPriority w:val="99"/>
    <w:semiHidden/>
    <w:unhideWhenUsed/>
    <w:rsid w:val="00244D48"/>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44D48"/>
    <w:rPr>
      <w:rFonts w:ascii="Calibri" w:hAnsi="Calibri"/>
      <w:sz w:val="16"/>
      <w:szCs w:val="16"/>
    </w:rPr>
  </w:style>
  <w:style w:type="character" w:customStyle="1" w:styleId="note4">
    <w:name w:val="note4"/>
    <w:basedOn w:val="DefaultParagraphFont"/>
    <w:rsid w:val="00970555"/>
  </w:style>
  <w:style w:type="character" w:styleId="CommentReference">
    <w:name w:val="annotation reference"/>
    <w:basedOn w:val="DefaultParagraphFont"/>
    <w:uiPriority w:val="99"/>
    <w:semiHidden/>
    <w:unhideWhenUsed/>
    <w:rsid w:val="008F79D9"/>
    <w:rPr>
      <w:sz w:val="16"/>
      <w:szCs w:val="16"/>
    </w:rPr>
  </w:style>
  <w:style w:type="paragraph" w:styleId="CommentText">
    <w:name w:val="annotation text"/>
    <w:basedOn w:val="Normal"/>
    <w:link w:val="CommentTextChar"/>
    <w:uiPriority w:val="99"/>
    <w:unhideWhenUsed/>
    <w:rsid w:val="008F79D9"/>
    <w:pPr>
      <w:spacing w:line="240" w:lineRule="auto"/>
    </w:pPr>
    <w:rPr>
      <w:sz w:val="20"/>
      <w:szCs w:val="20"/>
    </w:rPr>
  </w:style>
  <w:style w:type="character" w:customStyle="1" w:styleId="CommentTextChar">
    <w:name w:val="Comment Text Char"/>
    <w:basedOn w:val="DefaultParagraphFont"/>
    <w:link w:val="CommentText"/>
    <w:uiPriority w:val="99"/>
    <w:rsid w:val="008F79D9"/>
    <w:rPr>
      <w:sz w:val="20"/>
      <w:szCs w:val="20"/>
    </w:rPr>
  </w:style>
  <w:style w:type="paragraph" w:styleId="CommentSubject">
    <w:name w:val="annotation subject"/>
    <w:basedOn w:val="CommentText"/>
    <w:next w:val="CommentText"/>
    <w:link w:val="CommentSubjectChar"/>
    <w:uiPriority w:val="99"/>
    <w:semiHidden/>
    <w:unhideWhenUsed/>
    <w:rsid w:val="008F79D9"/>
    <w:rPr>
      <w:b/>
      <w:bCs/>
    </w:rPr>
  </w:style>
  <w:style w:type="character" w:customStyle="1" w:styleId="CommentSubjectChar">
    <w:name w:val="Comment Subject Char"/>
    <w:basedOn w:val="CommentTextChar"/>
    <w:link w:val="CommentSubject"/>
    <w:uiPriority w:val="99"/>
    <w:semiHidden/>
    <w:rsid w:val="008F79D9"/>
    <w:rPr>
      <w:b/>
      <w:bCs/>
      <w:sz w:val="20"/>
      <w:szCs w:val="20"/>
    </w:rPr>
  </w:style>
  <w:style w:type="character" w:styleId="Strong">
    <w:name w:val="Strong"/>
    <w:basedOn w:val="DefaultParagraphFont"/>
    <w:uiPriority w:val="22"/>
    <w:qFormat/>
    <w:rsid w:val="00F47234"/>
    <w:rPr>
      <w:b/>
      <w:bCs/>
    </w:rPr>
  </w:style>
  <w:style w:type="paragraph" w:styleId="ListParagraph">
    <w:name w:val="List Paragraph"/>
    <w:basedOn w:val="Normal"/>
    <w:uiPriority w:val="34"/>
    <w:qFormat/>
    <w:rsid w:val="007411E0"/>
    <w:pPr>
      <w:ind w:left="720"/>
      <w:contextualSpacing/>
    </w:pPr>
  </w:style>
  <w:style w:type="character" w:customStyle="1" w:styleId="UnresolvedMention">
    <w:name w:val="Unresolved Mention"/>
    <w:basedOn w:val="DefaultParagraphFont"/>
    <w:uiPriority w:val="99"/>
    <w:semiHidden/>
    <w:unhideWhenUsed/>
    <w:rsid w:val="00DF14EB"/>
    <w:rPr>
      <w:color w:val="808080"/>
      <w:shd w:val="clear" w:color="auto" w:fill="E6E6E6"/>
    </w:rPr>
  </w:style>
  <w:style w:type="paragraph" w:styleId="FootnoteText">
    <w:name w:val="footnote text"/>
    <w:basedOn w:val="Normal"/>
    <w:link w:val="FootnoteTextChar"/>
    <w:uiPriority w:val="99"/>
    <w:semiHidden/>
    <w:unhideWhenUsed/>
    <w:rsid w:val="00AF5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36"/>
    <w:rPr>
      <w:sz w:val="20"/>
      <w:szCs w:val="20"/>
    </w:rPr>
  </w:style>
  <w:style w:type="character" w:styleId="FootnoteReference">
    <w:name w:val="footnote reference"/>
    <w:basedOn w:val="DefaultParagraphFont"/>
    <w:uiPriority w:val="99"/>
    <w:semiHidden/>
    <w:unhideWhenUsed/>
    <w:rsid w:val="00AF5136"/>
    <w:rPr>
      <w:vertAlign w:val="superscript"/>
    </w:rPr>
  </w:style>
  <w:style w:type="character" w:styleId="FollowedHyperlink">
    <w:name w:val="FollowedHyperlink"/>
    <w:basedOn w:val="DefaultParagraphFont"/>
    <w:uiPriority w:val="99"/>
    <w:semiHidden/>
    <w:unhideWhenUsed/>
    <w:rsid w:val="00445040"/>
    <w:rPr>
      <w:color w:val="800080" w:themeColor="followedHyperlink"/>
      <w:u w:val="single"/>
    </w:rPr>
  </w:style>
  <w:style w:type="paragraph" w:styleId="Revision">
    <w:name w:val="Revision"/>
    <w:hidden/>
    <w:uiPriority w:val="99"/>
    <w:semiHidden/>
    <w:rsid w:val="003C16F2"/>
    <w:pPr>
      <w:spacing w:after="0" w:line="240" w:lineRule="auto"/>
    </w:pPr>
  </w:style>
  <w:style w:type="paragraph" w:styleId="NormalWeb">
    <w:name w:val="Normal (Web)"/>
    <w:basedOn w:val="Normal"/>
    <w:uiPriority w:val="99"/>
    <w:semiHidden/>
    <w:unhideWhenUsed/>
    <w:rsid w:val="000E5C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630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467">
      <w:bodyDiv w:val="1"/>
      <w:marLeft w:val="0"/>
      <w:marRight w:val="0"/>
      <w:marTop w:val="0"/>
      <w:marBottom w:val="0"/>
      <w:divBdr>
        <w:top w:val="none" w:sz="0" w:space="0" w:color="auto"/>
        <w:left w:val="none" w:sz="0" w:space="0" w:color="auto"/>
        <w:bottom w:val="none" w:sz="0" w:space="0" w:color="auto"/>
        <w:right w:val="none" w:sz="0" w:space="0" w:color="auto"/>
      </w:divBdr>
      <w:divsChild>
        <w:div w:id="1876307708">
          <w:marLeft w:val="0"/>
          <w:marRight w:val="0"/>
          <w:marTop w:val="0"/>
          <w:marBottom w:val="0"/>
          <w:divBdr>
            <w:top w:val="none" w:sz="0" w:space="0" w:color="auto"/>
            <w:left w:val="none" w:sz="0" w:space="0" w:color="auto"/>
            <w:bottom w:val="none" w:sz="0" w:space="0" w:color="auto"/>
            <w:right w:val="none" w:sz="0" w:space="0" w:color="auto"/>
          </w:divBdr>
        </w:div>
        <w:div w:id="36204078">
          <w:marLeft w:val="0"/>
          <w:marRight w:val="0"/>
          <w:marTop w:val="0"/>
          <w:marBottom w:val="0"/>
          <w:divBdr>
            <w:top w:val="none" w:sz="0" w:space="0" w:color="auto"/>
            <w:left w:val="none" w:sz="0" w:space="0" w:color="auto"/>
            <w:bottom w:val="none" w:sz="0" w:space="0" w:color="auto"/>
            <w:right w:val="none" w:sz="0" w:space="0" w:color="auto"/>
          </w:divBdr>
        </w:div>
      </w:divsChild>
    </w:div>
    <w:div w:id="463694553">
      <w:bodyDiv w:val="1"/>
      <w:marLeft w:val="0"/>
      <w:marRight w:val="0"/>
      <w:marTop w:val="0"/>
      <w:marBottom w:val="0"/>
      <w:divBdr>
        <w:top w:val="none" w:sz="0" w:space="0" w:color="auto"/>
        <w:left w:val="none" w:sz="0" w:space="0" w:color="auto"/>
        <w:bottom w:val="none" w:sz="0" w:space="0" w:color="auto"/>
        <w:right w:val="none" w:sz="0" w:space="0" w:color="auto"/>
      </w:divBdr>
    </w:div>
    <w:div w:id="11434974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587">
          <w:marLeft w:val="0"/>
          <w:marRight w:val="0"/>
          <w:marTop w:val="0"/>
          <w:marBottom w:val="0"/>
          <w:divBdr>
            <w:top w:val="none" w:sz="0" w:space="0" w:color="auto"/>
            <w:left w:val="none" w:sz="0" w:space="0" w:color="auto"/>
            <w:bottom w:val="none" w:sz="0" w:space="0" w:color="auto"/>
            <w:right w:val="none" w:sz="0" w:space="0" w:color="auto"/>
          </w:divBdr>
        </w:div>
        <w:div w:id="424037903">
          <w:marLeft w:val="0"/>
          <w:marRight w:val="0"/>
          <w:marTop w:val="0"/>
          <w:marBottom w:val="0"/>
          <w:divBdr>
            <w:top w:val="none" w:sz="0" w:space="0" w:color="auto"/>
            <w:left w:val="none" w:sz="0" w:space="0" w:color="auto"/>
            <w:bottom w:val="none" w:sz="0" w:space="0" w:color="auto"/>
            <w:right w:val="none" w:sz="0" w:space="0" w:color="auto"/>
          </w:divBdr>
        </w:div>
      </w:divsChild>
    </w:div>
    <w:div w:id="1299922971">
      <w:bodyDiv w:val="1"/>
      <w:marLeft w:val="0"/>
      <w:marRight w:val="0"/>
      <w:marTop w:val="0"/>
      <w:marBottom w:val="0"/>
      <w:divBdr>
        <w:top w:val="none" w:sz="0" w:space="0" w:color="auto"/>
        <w:left w:val="none" w:sz="0" w:space="0" w:color="auto"/>
        <w:bottom w:val="none" w:sz="0" w:space="0" w:color="auto"/>
        <w:right w:val="none" w:sz="0" w:space="0" w:color="auto"/>
      </w:divBdr>
      <w:divsChild>
        <w:div w:id="1710644697">
          <w:marLeft w:val="0"/>
          <w:marRight w:val="0"/>
          <w:marTop w:val="0"/>
          <w:marBottom w:val="0"/>
          <w:divBdr>
            <w:top w:val="none" w:sz="0" w:space="0" w:color="auto"/>
            <w:left w:val="none" w:sz="0" w:space="0" w:color="auto"/>
            <w:bottom w:val="none" w:sz="0" w:space="0" w:color="auto"/>
            <w:right w:val="none" w:sz="0" w:space="0" w:color="auto"/>
          </w:divBdr>
        </w:div>
        <w:div w:id="2144225510">
          <w:marLeft w:val="0"/>
          <w:marRight w:val="0"/>
          <w:marTop w:val="0"/>
          <w:marBottom w:val="0"/>
          <w:divBdr>
            <w:top w:val="none" w:sz="0" w:space="0" w:color="auto"/>
            <w:left w:val="none" w:sz="0" w:space="0" w:color="auto"/>
            <w:bottom w:val="none" w:sz="0" w:space="0" w:color="auto"/>
            <w:right w:val="none" w:sz="0" w:space="0" w:color="auto"/>
          </w:divBdr>
        </w:div>
      </w:divsChild>
    </w:div>
    <w:div w:id="18226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5486-noteikumi-par-nodoklu-un-citu-maksajumu-registresanas-elektronisko-iericu-un-iekartu-tehniskajam-prasib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a.Durena@vi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ate.Kalni&#326;a@vid.gov.lv" TargetMode="External"/><Relationship Id="rId4" Type="http://schemas.openxmlformats.org/officeDocument/2006/relationships/settings" Target="settings.xml"/><Relationship Id="rId9" Type="http://schemas.openxmlformats.org/officeDocument/2006/relationships/hyperlink" Target="http://www.fm.gov.lv/lv/sabiedribas_lidzdalib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ata.csb.gov.lv/pxweb/lv/Sociala/Sociala__ikgad__dsp_izmaksas/DI0010_euro.px/table/tableViewLayout2/?rxid=6c40e18b-4710-46ba-8734-3855e809cd3c"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B101-508E-4376-B628-64BA1777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26268</Words>
  <Characters>14974</Characters>
  <Application>Microsoft Office Word</Application>
  <DocSecurity>0</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11. februāra noteikumos Nr. 96 "Nodokļu un citu maksājumu reģistrēšanas elektronisko ierīču un iekārtu lietošanas kārtība""</vt:lpstr>
      <vt:lpstr>Grozījumi Ministru kabineta 2015.gada 16.jūnija noteikumos Nr.318 "Elektronisko izsoļu vietnes noteikumi"</vt:lpstr>
    </vt:vector>
  </TitlesOfParts>
  <Company>Finanšu ministrija</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grozījumiem Ministru kabineta 2014. gada 11. februāra noteikumos Nr. 96 "Nodokļu un citu maksājumu reģistrēšanas elektronisko ierīču un iekārtu lietošanas kārtība"</dc:title>
  <dc:subject>Anotācija</dc:subject>
  <dc:creator>Agate.Kalnina@vid.gov.lv</dc:creator>
  <dc:description>67121634, agate.kalnina@vid.gov.lv</dc:description>
  <cp:lastModifiedBy>Agate Kalniņa</cp:lastModifiedBy>
  <cp:revision>5</cp:revision>
  <cp:lastPrinted>2018-10-23T11:14:00Z</cp:lastPrinted>
  <dcterms:created xsi:type="dcterms:W3CDTF">2018-11-07T13:48:00Z</dcterms:created>
  <dcterms:modified xsi:type="dcterms:W3CDTF">2018-11-09T10:05:00Z</dcterms:modified>
</cp:coreProperties>
</file>