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06408" w14:textId="77777777" w:rsidR="00554B17" w:rsidRDefault="00554B17" w:rsidP="001D3984">
      <w:pPr>
        <w:spacing w:after="0" w:line="240" w:lineRule="auto"/>
        <w:rPr>
          <w:rFonts w:ascii="Times New Roman" w:hAnsi="Times New Roman"/>
          <w:sz w:val="20"/>
          <w:szCs w:val="20"/>
        </w:rPr>
      </w:pPr>
    </w:p>
    <w:p w14:paraId="6E2A781F" w14:textId="77777777"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14:paraId="6E4F28B5" w14:textId="77777777"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2293"/>
        <w:gridCol w:w="530"/>
        <w:gridCol w:w="2157"/>
      </w:tblGrid>
      <w:tr w:rsidR="00914649" w:rsidRPr="00DB1877" w14:paraId="6BF93ECE" w14:textId="77777777" w:rsidTr="00230EAE">
        <w:tc>
          <w:tcPr>
            <w:tcW w:w="2293" w:type="dxa"/>
            <w:tcBorders>
              <w:bottom w:val="single" w:sz="4" w:space="0" w:color="auto"/>
            </w:tcBorders>
            <w:shd w:val="clear" w:color="auto" w:fill="auto"/>
            <w:vAlign w:val="bottom"/>
          </w:tcPr>
          <w:p w14:paraId="6DD993DF" w14:textId="72B275E1" w:rsidR="00914649" w:rsidRPr="00DB1877" w:rsidRDefault="00B90F64" w:rsidP="00AD26FB">
            <w:pPr>
              <w:spacing w:after="0" w:line="240" w:lineRule="auto"/>
              <w:rPr>
                <w:rFonts w:ascii="Times New Roman" w:hAnsi="Times New Roman"/>
                <w:sz w:val="24"/>
              </w:rPr>
            </w:pPr>
            <w:r w:rsidRPr="00DB1877">
              <w:rPr>
                <w:rFonts w:ascii="Times New Roman" w:hAnsi="Times New Roman"/>
                <w:sz w:val="24"/>
              </w:rPr>
              <w:t xml:space="preserve">  </w:t>
            </w:r>
            <w:r w:rsidR="00364FAF" w:rsidRPr="00DB1877">
              <w:rPr>
                <w:rFonts w:ascii="Times New Roman" w:hAnsi="Times New Roman"/>
                <w:sz w:val="24"/>
              </w:rPr>
              <w:t xml:space="preserve">   </w:t>
            </w:r>
            <w:r w:rsidR="00D5024F" w:rsidRPr="00DB1877">
              <w:rPr>
                <w:rFonts w:ascii="Times New Roman" w:hAnsi="Times New Roman"/>
                <w:sz w:val="24"/>
              </w:rPr>
              <w:t xml:space="preserve">    </w:t>
            </w:r>
            <w:r w:rsidR="00DE023B">
              <w:rPr>
                <w:rFonts w:ascii="Times New Roman" w:hAnsi="Times New Roman"/>
                <w:sz w:val="24"/>
              </w:rPr>
              <w:t>07.</w:t>
            </w:r>
            <w:r w:rsidR="00AD26FB">
              <w:rPr>
                <w:rFonts w:ascii="Times New Roman" w:hAnsi="Times New Roman"/>
                <w:sz w:val="24"/>
              </w:rPr>
              <w:t>1</w:t>
            </w:r>
            <w:r w:rsidR="001D6230">
              <w:rPr>
                <w:rFonts w:ascii="Times New Roman" w:hAnsi="Times New Roman"/>
                <w:sz w:val="24"/>
              </w:rPr>
              <w:t>2</w:t>
            </w:r>
            <w:r w:rsidR="00252584" w:rsidRPr="00DB1877">
              <w:rPr>
                <w:rFonts w:ascii="Times New Roman" w:hAnsi="Times New Roman"/>
                <w:sz w:val="24"/>
              </w:rPr>
              <w:t>.2018.</w:t>
            </w:r>
          </w:p>
        </w:tc>
        <w:tc>
          <w:tcPr>
            <w:tcW w:w="504" w:type="dxa"/>
            <w:shd w:val="clear" w:color="auto" w:fill="auto"/>
            <w:vAlign w:val="bottom"/>
          </w:tcPr>
          <w:p w14:paraId="4F0AD669" w14:textId="77777777" w:rsidR="00914649" w:rsidRPr="00DB1877" w:rsidRDefault="00914649" w:rsidP="00F705BF">
            <w:pPr>
              <w:spacing w:after="0" w:line="240" w:lineRule="auto"/>
              <w:rPr>
                <w:rFonts w:ascii="Times New Roman" w:hAnsi="Times New Roman"/>
                <w:sz w:val="24"/>
              </w:rPr>
            </w:pPr>
            <w:r w:rsidRPr="00DB1877">
              <w:rPr>
                <w:rFonts w:ascii="Times New Roman" w:hAnsi="Times New Roman"/>
                <w:sz w:val="24"/>
              </w:rPr>
              <w:t>Nr.</w:t>
            </w:r>
          </w:p>
        </w:tc>
        <w:tc>
          <w:tcPr>
            <w:tcW w:w="2157" w:type="dxa"/>
            <w:tcBorders>
              <w:bottom w:val="single" w:sz="4" w:space="0" w:color="auto"/>
            </w:tcBorders>
            <w:shd w:val="clear" w:color="auto" w:fill="auto"/>
            <w:vAlign w:val="bottom"/>
          </w:tcPr>
          <w:p w14:paraId="6DD0527C" w14:textId="7F0B4D34" w:rsidR="00914649" w:rsidRPr="00DB1877" w:rsidRDefault="00D5024F" w:rsidP="001A70E0">
            <w:pPr>
              <w:spacing w:after="0" w:line="240" w:lineRule="auto"/>
              <w:rPr>
                <w:rFonts w:ascii="Times New Roman" w:hAnsi="Times New Roman"/>
                <w:sz w:val="24"/>
              </w:rPr>
            </w:pPr>
            <w:r w:rsidRPr="00DB1877">
              <w:rPr>
                <w:rFonts w:ascii="Times New Roman" w:hAnsi="Times New Roman"/>
                <w:sz w:val="24"/>
              </w:rPr>
              <w:t xml:space="preserve">  </w:t>
            </w:r>
            <w:r w:rsidR="00252584" w:rsidRPr="00DB1877">
              <w:rPr>
                <w:rFonts w:ascii="Times New Roman" w:hAnsi="Times New Roman"/>
                <w:sz w:val="24"/>
              </w:rPr>
              <w:t>4.3-4/5-VK</w:t>
            </w:r>
            <w:r w:rsidR="004F44EA" w:rsidRPr="00DB1877">
              <w:rPr>
                <w:rFonts w:ascii="Times New Roman" w:hAnsi="Times New Roman"/>
                <w:sz w:val="24"/>
              </w:rPr>
              <w:t>/</w:t>
            </w:r>
            <w:r w:rsidR="00AD26FB">
              <w:rPr>
                <w:rFonts w:ascii="Times New Roman" w:hAnsi="Times New Roman"/>
                <w:sz w:val="24"/>
              </w:rPr>
              <w:t>5977</w:t>
            </w:r>
          </w:p>
        </w:tc>
      </w:tr>
      <w:tr w:rsidR="00914649" w:rsidRPr="00F705BF" w14:paraId="63109578" w14:textId="77777777" w:rsidTr="00230EAE">
        <w:tc>
          <w:tcPr>
            <w:tcW w:w="2293" w:type="dxa"/>
            <w:tcBorders>
              <w:top w:val="single" w:sz="4" w:space="0" w:color="auto"/>
            </w:tcBorders>
            <w:shd w:val="clear" w:color="auto" w:fill="auto"/>
            <w:vAlign w:val="bottom"/>
          </w:tcPr>
          <w:p w14:paraId="53EB4412" w14:textId="77777777" w:rsidR="00914649" w:rsidRPr="00F705BF" w:rsidRDefault="00914649" w:rsidP="00F705BF">
            <w:pPr>
              <w:spacing w:after="0" w:line="240" w:lineRule="auto"/>
              <w:rPr>
                <w:rFonts w:ascii="Times New Roman" w:hAnsi="Times New Roman"/>
                <w:sz w:val="20"/>
                <w:szCs w:val="20"/>
              </w:rPr>
            </w:pPr>
          </w:p>
        </w:tc>
        <w:tc>
          <w:tcPr>
            <w:tcW w:w="504" w:type="dxa"/>
            <w:shd w:val="clear" w:color="auto" w:fill="auto"/>
            <w:vAlign w:val="bottom"/>
          </w:tcPr>
          <w:p w14:paraId="039F3B49" w14:textId="77777777" w:rsidR="00914649" w:rsidRPr="00F705BF"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0EB223B5" w14:textId="77777777" w:rsidR="00914649" w:rsidRPr="00F705BF" w:rsidRDefault="00914649" w:rsidP="00F705BF">
            <w:pPr>
              <w:spacing w:after="0" w:line="240" w:lineRule="auto"/>
              <w:rPr>
                <w:rFonts w:ascii="Times New Roman" w:hAnsi="Times New Roman"/>
                <w:sz w:val="20"/>
                <w:szCs w:val="20"/>
              </w:rPr>
            </w:pPr>
          </w:p>
        </w:tc>
      </w:tr>
    </w:tbl>
    <w:p w14:paraId="0003C952" w14:textId="145E4090" w:rsidR="00B63F2C" w:rsidRDefault="00B63F2C" w:rsidP="00252584">
      <w:pPr>
        <w:tabs>
          <w:tab w:val="left" w:pos="8760"/>
        </w:tabs>
        <w:spacing w:after="0"/>
        <w:ind w:right="-6"/>
        <w:jc w:val="right"/>
        <w:rPr>
          <w:rFonts w:ascii="Times New Roman" w:hAnsi="Times New Roman"/>
          <w:b/>
          <w:sz w:val="28"/>
          <w:szCs w:val="28"/>
        </w:rPr>
      </w:pPr>
      <w:bookmarkStart w:id="0" w:name="_GoBack"/>
      <w:bookmarkEnd w:id="0"/>
      <w:r w:rsidRPr="00D4323E">
        <w:rPr>
          <w:rFonts w:ascii="Times New Roman" w:hAnsi="Times New Roman"/>
          <w:b/>
          <w:sz w:val="28"/>
          <w:szCs w:val="28"/>
        </w:rPr>
        <w:t>Valsts kancelejai</w:t>
      </w:r>
    </w:p>
    <w:p w14:paraId="26A243AF" w14:textId="77777777" w:rsidR="005A4048" w:rsidRDefault="005A4048" w:rsidP="00252584">
      <w:pPr>
        <w:tabs>
          <w:tab w:val="left" w:pos="8760"/>
        </w:tabs>
        <w:spacing w:after="0"/>
        <w:ind w:right="-6"/>
        <w:jc w:val="right"/>
        <w:rPr>
          <w:rFonts w:ascii="Times New Roman" w:hAnsi="Times New Roman"/>
          <w:b/>
          <w:sz w:val="28"/>
          <w:szCs w:val="28"/>
        </w:rPr>
      </w:pPr>
    </w:p>
    <w:p w14:paraId="2A052135" w14:textId="0AF85587" w:rsidR="00230EAE" w:rsidRPr="00252584" w:rsidRDefault="00B63F2C" w:rsidP="00252584">
      <w:pPr>
        <w:tabs>
          <w:tab w:val="left" w:pos="4962"/>
          <w:tab w:val="left" w:pos="8760"/>
          <w:tab w:val="right" w:pos="9091"/>
        </w:tabs>
        <w:spacing w:after="0"/>
        <w:ind w:right="-6"/>
        <w:rPr>
          <w:rFonts w:ascii="Times New Roman" w:hAnsi="Times New Roman"/>
          <w:b/>
          <w:sz w:val="28"/>
          <w:szCs w:val="28"/>
        </w:rPr>
      </w:pPr>
      <w:r w:rsidRPr="00D4323E">
        <w:rPr>
          <w:rFonts w:ascii="Times New Roman" w:hAnsi="Times New Roman"/>
          <w:b/>
          <w:sz w:val="28"/>
          <w:szCs w:val="28"/>
        </w:rPr>
        <w:tab/>
        <w:t xml:space="preserve"> </w:t>
      </w:r>
    </w:p>
    <w:p w14:paraId="05754AC3" w14:textId="77777777" w:rsidR="005A4048" w:rsidRDefault="00230EAE" w:rsidP="004F44EA">
      <w:pPr>
        <w:pStyle w:val="Footer"/>
        <w:rPr>
          <w:rFonts w:ascii="Times New Roman" w:hAnsi="Times New Roman"/>
          <w:i/>
          <w:iCs/>
          <w:sz w:val="24"/>
          <w:szCs w:val="24"/>
        </w:rPr>
      </w:pPr>
      <w:r w:rsidRPr="00D4323E">
        <w:rPr>
          <w:rFonts w:ascii="Times New Roman" w:hAnsi="Times New Roman"/>
          <w:i/>
          <w:iCs/>
          <w:sz w:val="24"/>
          <w:szCs w:val="24"/>
        </w:rPr>
        <w:t xml:space="preserve">Par </w:t>
      </w:r>
      <w:r w:rsidR="005A4048">
        <w:rPr>
          <w:rFonts w:ascii="Times New Roman" w:hAnsi="Times New Roman"/>
          <w:i/>
          <w:iCs/>
          <w:sz w:val="24"/>
          <w:szCs w:val="24"/>
        </w:rPr>
        <w:t>Ministru kabineta sēdes protokollēmuma projektu</w:t>
      </w:r>
    </w:p>
    <w:p w14:paraId="794982E5" w14:textId="77777777" w:rsidR="00CA1864" w:rsidRDefault="00CA1864" w:rsidP="00CA1864">
      <w:pPr>
        <w:pStyle w:val="Footer"/>
        <w:rPr>
          <w:rFonts w:ascii="Times New Roman" w:hAnsi="Times New Roman"/>
          <w:i/>
          <w:iCs/>
          <w:sz w:val="24"/>
          <w:szCs w:val="24"/>
        </w:rPr>
      </w:pPr>
      <w:r>
        <w:rPr>
          <w:rFonts w:ascii="Times New Roman" w:hAnsi="Times New Roman"/>
          <w:i/>
          <w:iCs/>
          <w:sz w:val="24"/>
          <w:szCs w:val="24"/>
        </w:rPr>
        <w:t>“</w:t>
      </w:r>
      <w:r w:rsidRPr="00CA1864">
        <w:rPr>
          <w:rFonts w:ascii="Times New Roman" w:hAnsi="Times New Roman"/>
          <w:i/>
          <w:iCs/>
          <w:sz w:val="24"/>
          <w:szCs w:val="24"/>
        </w:rPr>
        <w:t>Par  Ministru kabineta 2018.gada 13.novembra sēdes</w:t>
      </w:r>
    </w:p>
    <w:p w14:paraId="136352F7" w14:textId="77777777" w:rsidR="00CA1864" w:rsidRDefault="00CA1864" w:rsidP="00CA1864">
      <w:pPr>
        <w:pStyle w:val="Footer"/>
        <w:rPr>
          <w:rFonts w:ascii="Times New Roman" w:hAnsi="Times New Roman"/>
          <w:i/>
          <w:iCs/>
          <w:sz w:val="24"/>
          <w:szCs w:val="24"/>
        </w:rPr>
      </w:pPr>
      <w:r w:rsidRPr="00CA1864">
        <w:rPr>
          <w:rFonts w:ascii="Times New Roman" w:hAnsi="Times New Roman"/>
          <w:i/>
          <w:iCs/>
          <w:sz w:val="24"/>
          <w:szCs w:val="24"/>
        </w:rPr>
        <w:t xml:space="preserve">protokollēmuma (prot. Nr.52 49.§) “Informatīvais </w:t>
      </w:r>
    </w:p>
    <w:p w14:paraId="52C9F1D9" w14:textId="77777777" w:rsidR="00CA1864" w:rsidRDefault="00CA1864" w:rsidP="00CA1864">
      <w:pPr>
        <w:pStyle w:val="Footer"/>
        <w:rPr>
          <w:rFonts w:ascii="Times New Roman" w:hAnsi="Times New Roman"/>
          <w:i/>
          <w:iCs/>
          <w:sz w:val="24"/>
          <w:szCs w:val="24"/>
        </w:rPr>
      </w:pPr>
      <w:r w:rsidRPr="00CA1864">
        <w:rPr>
          <w:rFonts w:ascii="Times New Roman" w:hAnsi="Times New Roman"/>
          <w:i/>
          <w:iCs/>
          <w:sz w:val="24"/>
          <w:szCs w:val="24"/>
        </w:rPr>
        <w:t xml:space="preserve">ziņojums “Par risinājumu no akcīzes nodokļa </w:t>
      </w:r>
    </w:p>
    <w:p w14:paraId="5127C6EB" w14:textId="77777777" w:rsidR="00CA1864" w:rsidRDefault="00CA1864" w:rsidP="00CA1864">
      <w:pPr>
        <w:pStyle w:val="Footer"/>
        <w:rPr>
          <w:rFonts w:ascii="Times New Roman" w:hAnsi="Times New Roman"/>
          <w:i/>
          <w:iCs/>
          <w:sz w:val="24"/>
          <w:szCs w:val="24"/>
        </w:rPr>
      </w:pPr>
      <w:r w:rsidRPr="00CA1864">
        <w:rPr>
          <w:rFonts w:ascii="Times New Roman" w:hAnsi="Times New Roman"/>
          <w:i/>
          <w:iCs/>
          <w:sz w:val="24"/>
          <w:szCs w:val="24"/>
        </w:rPr>
        <w:t>atbrīvotās dīzeļdegvielas pieejamības uzlabošanai</w:t>
      </w:r>
    </w:p>
    <w:p w14:paraId="5A3128AA" w14:textId="77777777" w:rsidR="00CA1864" w:rsidRDefault="00CA1864" w:rsidP="00CA1864">
      <w:pPr>
        <w:pStyle w:val="Footer"/>
        <w:rPr>
          <w:rFonts w:ascii="Times New Roman" w:hAnsi="Times New Roman"/>
          <w:i/>
          <w:iCs/>
          <w:sz w:val="24"/>
          <w:szCs w:val="24"/>
        </w:rPr>
      </w:pPr>
      <w:r w:rsidRPr="00CA1864">
        <w:rPr>
          <w:rFonts w:ascii="Times New Roman" w:hAnsi="Times New Roman"/>
          <w:i/>
          <w:iCs/>
          <w:sz w:val="24"/>
          <w:szCs w:val="24"/>
        </w:rPr>
        <w:t>zvejas kuģos piekrastes ūdeņos un iekšējos ūdeņos””</w:t>
      </w:r>
    </w:p>
    <w:p w14:paraId="21D7AACC" w14:textId="457DF42C" w:rsidR="00230EAE" w:rsidRPr="00D4323E" w:rsidRDefault="00CA1864" w:rsidP="004F44EA">
      <w:pPr>
        <w:pStyle w:val="Footer"/>
        <w:rPr>
          <w:rFonts w:ascii="Times New Roman" w:hAnsi="Times New Roman"/>
          <w:i/>
          <w:sz w:val="24"/>
          <w:szCs w:val="24"/>
        </w:rPr>
      </w:pPr>
      <w:r w:rsidRPr="00CA1864">
        <w:rPr>
          <w:rFonts w:ascii="Times New Roman" w:hAnsi="Times New Roman"/>
          <w:i/>
          <w:iCs/>
          <w:sz w:val="24"/>
          <w:szCs w:val="24"/>
        </w:rPr>
        <w:t xml:space="preserve"> 2.punktā dotā uzdevuma izpildi</w:t>
      </w:r>
      <w:r w:rsidR="005A4048">
        <w:rPr>
          <w:rFonts w:ascii="Times New Roman" w:hAnsi="Times New Roman"/>
          <w:i/>
          <w:sz w:val="24"/>
          <w:szCs w:val="24"/>
        </w:rPr>
        <w:t>”</w:t>
      </w:r>
    </w:p>
    <w:p w14:paraId="4A0C8B25" w14:textId="77777777" w:rsidR="00F463EE" w:rsidRDefault="00F463EE" w:rsidP="00F463EE">
      <w:pPr>
        <w:spacing w:after="0" w:line="240" w:lineRule="auto"/>
        <w:jc w:val="both"/>
        <w:rPr>
          <w:rFonts w:ascii="Times New Roman" w:hAnsi="Times New Roman"/>
          <w:i/>
          <w:sz w:val="24"/>
          <w:szCs w:val="24"/>
        </w:rPr>
      </w:pPr>
    </w:p>
    <w:p w14:paraId="31247B28" w14:textId="55013052" w:rsidR="00F463EE" w:rsidRPr="00E53704" w:rsidRDefault="00E357F8" w:rsidP="00D5051C">
      <w:pPr>
        <w:spacing w:after="0" w:line="240" w:lineRule="auto"/>
        <w:ind w:firstLine="567"/>
        <w:jc w:val="both"/>
        <w:rPr>
          <w:rFonts w:ascii="Times New Roman" w:hAnsi="Times New Roman"/>
          <w:bCs/>
          <w:kern w:val="32"/>
          <w:sz w:val="27"/>
          <w:szCs w:val="27"/>
        </w:rPr>
      </w:pPr>
      <w:r>
        <w:rPr>
          <w:rFonts w:ascii="Times New Roman" w:hAnsi="Times New Roman"/>
          <w:bCs/>
          <w:sz w:val="27"/>
          <w:szCs w:val="27"/>
        </w:rPr>
        <w:t>Saskaņā ar</w:t>
      </w:r>
      <w:r w:rsidR="00F463EE" w:rsidRPr="00384E9F">
        <w:rPr>
          <w:rFonts w:ascii="Times New Roman" w:hAnsi="Times New Roman"/>
          <w:bCs/>
          <w:sz w:val="27"/>
          <w:szCs w:val="27"/>
        </w:rPr>
        <w:t xml:space="preserve"> Ministru kabineta 2009.gada 7.aprīļa noteikumu Nr.300 </w:t>
      </w:r>
      <w:r w:rsidR="00F463EE" w:rsidRPr="00384E9F">
        <w:rPr>
          <w:rFonts w:ascii="Times New Roman" w:eastAsia="Times New Roman" w:hAnsi="Times New Roman"/>
          <w:bCs/>
          <w:kern w:val="32"/>
          <w:sz w:val="27"/>
          <w:szCs w:val="27"/>
          <w:lang w:eastAsia="lv-LV"/>
        </w:rPr>
        <w:t>„</w:t>
      </w:r>
      <w:r w:rsidR="00F463EE" w:rsidRPr="00384E9F">
        <w:rPr>
          <w:rFonts w:ascii="Times New Roman" w:hAnsi="Times New Roman"/>
          <w:bCs/>
          <w:sz w:val="27"/>
          <w:szCs w:val="27"/>
        </w:rPr>
        <w:t>Ministru</w:t>
      </w:r>
      <w:r w:rsidR="00670614">
        <w:rPr>
          <w:rFonts w:ascii="Times New Roman" w:hAnsi="Times New Roman"/>
          <w:bCs/>
          <w:sz w:val="27"/>
          <w:szCs w:val="27"/>
        </w:rPr>
        <w:t xml:space="preserve"> kabineta kārtības rullis” </w:t>
      </w:r>
      <w:r w:rsidR="00575096">
        <w:rPr>
          <w:rFonts w:ascii="Times New Roman" w:hAnsi="Times New Roman"/>
          <w:bCs/>
          <w:sz w:val="27"/>
          <w:szCs w:val="27"/>
        </w:rPr>
        <w:t>244.</w:t>
      </w:r>
      <w:r w:rsidR="00F463EE" w:rsidRPr="00384E9F">
        <w:rPr>
          <w:rFonts w:ascii="Times New Roman" w:hAnsi="Times New Roman"/>
          <w:bCs/>
          <w:sz w:val="27"/>
          <w:szCs w:val="27"/>
        </w:rPr>
        <w:t>punktu</w:t>
      </w:r>
      <w:r w:rsidR="00F463EE" w:rsidRPr="00384E9F">
        <w:rPr>
          <w:rFonts w:ascii="Times New Roman" w:hAnsi="Times New Roman"/>
          <w:kern w:val="32"/>
          <w:sz w:val="27"/>
          <w:szCs w:val="27"/>
        </w:rPr>
        <w:t xml:space="preserve">, </w:t>
      </w:r>
      <w:r w:rsidR="00F463EE" w:rsidRPr="00384E9F">
        <w:rPr>
          <w:rFonts w:ascii="Times New Roman" w:hAnsi="Times New Roman"/>
          <w:bCs/>
          <w:kern w:val="32"/>
          <w:sz w:val="27"/>
          <w:szCs w:val="27"/>
        </w:rPr>
        <w:t>iesniedzu izskatīšanai Ministru kabinet</w:t>
      </w:r>
      <w:r>
        <w:rPr>
          <w:rFonts w:ascii="Times New Roman" w:hAnsi="Times New Roman"/>
          <w:bCs/>
          <w:kern w:val="32"/>
          <w:sz w:val="27"/>
          <w:szCs w:val="27"/>
        </w:rPr>
        <w:t>a sēdē</w:t>
      </w:r>
      <w:r w:rsidR="00F463EE" w:rsidRPr="00384E9F">
        <w:rPr>
          <w:rFonts w:ascii="Times New Roman" w:hAnsi="Times New Roman"/>
          <w:bCs/>
          <w:kern w:val="32"/>
          <w:sz w:val="27"/>
          <w:szCs w:val="27"/>
        </w:rPr>
        <w:t xml:space="preserve"> </w:t>
      </w:r>
      <w:r w:rsidR="00575096">
        <w:rPr>
          <w:rFonts w:ascii="Times New Roman" w:hAnsi="Times New Roman"/>
          <w:bCs/>
          <w:kern w:val="32"/>
          <w:sz w:val="27"/>
          <w:szCs w:val="27"/>
        </w:rPr>
        <w:t>Ministru kabineta sēdes protokollēmuma</w:t>
      </w:r>
      <w:r w:rsidR="005A4048">
        <w:rPr>
          <w:rFonts w:ascii="Times New Roman" w:hAnsi="Times New Roman"/>
          <w:bCs/>
          <w:kern w:val="32"/>
          <w:sz w:val="27"/>
          <w:szCs w:val="27"/>
        </w:rPr>
        <w:t xml:space="preserve"> projektu</w:t>
      </w:r>
      <w:r w:rsidR="00575096">
        <w:rPr>
          <w:rFonts w:ascii="Times New Roman" w:hAnsi="Times New Roman"/>
          <w:bCs/>
          <w:kern w:val="32"/>
          <w:sz w:val="27"/>
          <w:szCs w:val="27"/>
        </w:rPr>
        <w:t xml:space="preserve"> “</w:t>
      </w:r>
      <w:r w:rsidR="00D5051C" w:rsidRPr="00D5051C">
        <w:rPr>
          <w:rFonts w:ascii="Times New Roman" w:hAnsi="Times New Roman"/>
          <w:bCs/>
          <w:kern w:val="32"/>
          <w:sz w:val="27"/>
          <w:szCs w:val="27"/>
        </w:rPr>
        <w:t>Par  Ministru kabin</w:t>
      </w:r>
      <w:r w:rsidR="00D5051C">
        <w:rPr>
          <w:rFonts w:ascii="Times New Roman" w:hAnsi="Times New Roman"/>
          <w:bCs/>
          <w:kern w:val="32"/>
          <w:sz w:val="27"/>
          <w:szCs w:val="27"/>
        </w:rPr>
        <w:t xml:space="preserve">eta 2018.gada 13.novembra sēdes </w:t>
      </w:r>
      <w:r w:rsidR="00D5051C" w:rsidRPr="00D5051C">
        <w:rPr>
          <w:rFonts w:ascii="Times New Roman" w:hAnsi="Times New Roman"/>
          <w:bCs/>
          <w:kern w:val="32"/>
          <w:sz w:val="27"/>
          <w:szCs w:val="27"/>
        </w:rPr>
        <w:t>protokollēmuma (pr</w:t>
      </w:r>
      <w:r w:rsidR="00D5051C">
        <w:rPr>
          <w:rFonts w:ascii="Times New Roman" w:hAnsi="Times New Roman"/>
          <w:bCs/>
          <w:kern w:val="32"/>
          <w:sz w:val="27"/>
          <w:szCs w:val="27"/>
        </w:rPr>
        <w:t xml:space="preserve">ot. Nr.52 49.§) “Informatīvais </w:t>
      </w:r>
      <w:r w:rsidR="00D5051C" w:rsidRPr="00D5051C">
        <w:rPr>
          <w:rFonts w:ascii="Times New Roman" w:hAnsi="Times New Roman"/>
          <w:bCs/>
          <w:kern w:val="32"/>
          <w:sz w:val="27"/>
          <w:szCs w:val="27"/>
        </w:rPr>
        <w:t>ziņojums “Par</w:t>
      </w:r>
      <w:r w:rsidR="00D5051C">
        <w:rPr>
          <w:rFonts w:ascii="Times New Roman" w:hAnsi="Times New Roman"/>
          <w:bCs/>
          <w:kern w:val="32"/>
          <w:sz w:val="27"/>
          <w:szCs w:val="27"/>
        </w:rPr>
        <w:t xml:space="preserve"> risinājumu no akcīzes nodokļa </w:t>
      </w:r>
      <w:r w:rsidR="00D5051C" w:rsidRPr="00D5051C">
        <w:rPr>
          <w:rFonts w:ascii="Times New Roman" w:hAnsi="Times New Roman"/>
          <w:bCs/>
          <w:kern w:val="32"/>
          <w:sz w:val="27"/>
          <w:szCs w:val="27"/>
        </w:rPr>
        <w:t>atbrīvotās dīzeļde</w:t>
      </w:r>
      <w:r w:rsidR="00D5051C">
        <w:rPr>
          <w:rFonts w:ascii="Times New Roman" w:hAnsi="Times New Roman"/>
          <w:bCs/>
          <w:kern w:val="32"/>
          <w:sz w:val="27"/>
          <w:szCs w:val="27"/>
        </w:rPr>
        <w:t xml:space="preserve">gvielas pieejamības uzlabošanai </w:t>
      </w:r>
      <w:r w:rsidR="00D5051C" w:rsidRPr="00D5051C">
        <w:rPr>
          <w:rFonts w:ascii="Times New Roman" w:hAnsi="Times New Roman"/>
          <w:bCs/>
          <w:kern w:val="32"/>
          <w:sz w:val="27"/>
          <w:szCs w:val="27"/>
        </w:rPr>
        <w:t>zvejas kuģos piekras</w:t>
      </w:r>
      <w:r w:rsidR="00D5051C">
        <w:rPr>
          <w:rFonts w:ascii="Times New Roman" w:hAnsi="Times New Roman"/>
          <w:bCs/>
          <w:kern w:val="32"/>
          <w:sz w:val="27"/>
          <w:szCs w:val="27"/>
        </w:rPr>
        <w:t xml:space="preserve">tes ūdeņos un iekšējos ūdeņos”” </w:t>
      </w:r>
      <w:r w:rsidR="00D5051C" w:rsidRPr="00D5051C">
        <w:rPr>
          <w:rFonts w:ascii="Times New Roman" w:hAnsi="Times New Roman"/>
          <w:bCs/>
          <w:kern w:val="32"/>
          <w:sz w:val="27"/>
          <w:szCs w:val="27"/>
        </w:rPr>
        <w:t>2.punktā dotā uzdevuma izpildi”</w:t>
      </w:r>
      <w:r w:rsidR="00E53704">
        <w:rPr>
          <w:rFonts w:ascii="Times New Roman" w:hAnsi="Times New Roman"/>
          <w:bCs/>
          <w:kern w:val="32"/>
          <w:sz w:val="27"/>
          <w:szCs w:val="27"/>
        </w:rPr>
        <w:t xml:space="preserve"> </w:t>
      </w:r>
      <w:r w:rsidR="00F463EE" w:rsidRPr="00384E9F">
        <w:rPr>
          <w:rFonts w:ascii="Times New Roman" w:eastAsia="Times New Roman" w:hAnsi="Times New Roman"/>
          <w:bCs/>
          <w:kern w:val="32"/>
          <w:sz w:val="27"/>
          <w:szCs w:val="27"/>
          <w:lang w:eastAsia="lv-LV"/>
        </w:rPr>
        <w:t xml:space="preserve">(turpmāk </w:t>
      </w:r>
      <w:r>
        <w:rPr>
          <w:rFonts w:ascii="Times New Roman" w:eastAsia="Times New Roman" w:hAnsi="Times New Roman"/>
          <w:bCs/>
          <w:kern w:val="32"/>
          <w:sz w:val="27"/>
          <w:szCs w:val="27"/>
          <w:lang w:eastAsia="lv-LV"/>
        </w:rPr>
        <w:t>–</w:t>
      </w:r>
      <w:r w:rsidR="00F463EE" w:rsidRPr="00384E9F">
        <w:rPr>
          <w:rFonts w:ascii="Times New Roman" w:eastAsia="Times New Roman" w:hAnsi="Times New Roman"/>
          <w:bCs/>
          <w:kern w:val="32"/>
          <w:sz w:val="27"/>
          <w:szCs w:val="27"/>
          <w:lang w:eastAsia="lv-LV"/>
        </w:rPr>
        <w:t xml:space="preserve"> </w:t>
      </w:r>
      <w:r w:rsidR="00AA7705">
        <w:rPr>
          <w:rFonts w:ascii="Times New Roman" w:eastAsia="Times New Roman" w:hAnsi="Times New Roman"/>
          <w:bCs/>
          <w:kern w:val="32"/>
          <w:sz w:val="27"/>
          <w:szCs w:val="27"/>
          <w:lang w:eastAsia="lv-LV"/>
        </w:rPr>
        <w:t xml:space="preserve"> </w:t>
      </w:r>
      <w:r w:rsidR="00E53704">
        <w:rPr>
          <w:rFonts w:ascii="Times New Roman" w:eastAsia="Times New Roman" w:hAnsi="Times New Roman"/>
          <w:bCs/>
          <w:kern w:val="32"/>
          <w:sz w:val="27"/>
          <w:szCs w:val="27"/>
          <w:lang w:eastAsia="lv-LV"/>
        </w:rPr>
        <w:t>protokollēmuma</w:t>
      </w:r>
      <w:r w:rsidR="00AA7705">
        <w:rPr>
          <w:rFonts w:ascii="Times New Roman" w:eastAsia="Times New Roman" w:hAnsi="Times New Roman"/>
          <w:bCs/>
          <w:kern w:val="32"/>
          <w:sz w:val="27"/>
          <w:szCs w:val="27"/>
          <w:lang w:eastAsia="lv-LV"/>
        </w:rPr>
        <w:t xml:space="preserve"> </w:t>
      </w:r>
      <w:r w:rsidR="00F463EE" w:rsidRPr="00384E9F">
        <w:rPr>
          <w:rFonts w:ascii="Times New Roman" w:eastAsia="Times New Roman" w:hAnsi="Times New Roman"/>
          <w:bCs/>
          <w:kern w:val="32"/>
          <w:sz w:val="27"/>
          <w:szCs w:val="27"/>
          <w:lang w:eastAsia="lv-LV"/>
        </w:rPr>
        <w:t>projekts).</w:t>
      </w:r>
    </w:p>
    <w:p w14:paraId="5261819A" w14:textId="4A1ADFB4" w:rsidR="002C08E0" w:rsidRPr="00384E9F" w:rsidRDefault="002C08E0" w:rsidP="00126BC8">
      <w:pPr>
        <w:spacing w:after="0" w:line="240" w:lineRule="auto"/>
        <w:jc w:val="both"/>
        <w:rPr>
          <w:rFonts w:ascii="Times New Roman" w:hAnsi="Times New Roman"/>
          <w:sz w:val="27"/>
          <w:szCs w:val="27"/>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30"/>
        <w:gridCol w:w="2526"/>
        <w:gridCol w:w="6089"/>
      </w:tblGrid>
      <w:tr w:rsidR="005772DF" w:rsidRPr="00384E9F" w14:paraId="45E53266" w14:textId="77777777" w:rsidTr="005C3F2C">
        <w:trPr>
          <w:trHeight w:val="824"/>
        </w:trPr>
        <w:tc>
          <w:tcPr>
            <w:tcW w:w="290" w:type="pct"/>
            <w:tcBorders>
              <w:top w:val="outset" w:sz="6" w:space="0" w:color="auto"/>
              <w:bottom w:val="outset" w:sz="6" w:space="0" w:color="auto"/>
              <w:right w:val="outset" w:sz="6" w:space="0" w:color="auto"/>
            </w:tcBorders>
          </w:tcPr>
          <w:p w14:paraId="42576104"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1.</w:t>
            </w:r>
          </w:p>
        </w:tc>
        <w:tc>
          <w:tcPr>
            <w:tcW w:w="1381" w:type="pct"/>
            <w:tcBorders>
              <w:top w:val="outset" w:sz="6" w:space="0" w:color="auto"/>
              <w:left w:val="outset" w:sz="6" w:space="0" w:color="auto"/>
              <w:bottom w:val="outset" w:sz="6" w:space="0" w:color="auto"/>
              <w:right w:val="outset" w:sz="6" w:space="0" w:color="auto"/>
            </w:tcBorders>
          </w:tcPr>
          <w:p w14:paraId="2D31A2CE" w14:textId="77777777" w:rsidR="00A6048E"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Iesniegšanas pamatojums</w:t>
            </w:r>
          </w:p>
          <w:p w14:paraId="27E63348" w14:textId="18D061D5" w:rsidR="00056406" w:rsidRDefault="00056406" w:rsidP="00DF4A8A">
            <w:pPr>
              <w:rPr>
                <w:rFonts w:ascii="Times New Roman" w:hAnsi="Times New Roman"/>
                <w:sz w:val="27"/>
                <w:szCs w:val="27"/>
                <w:lang w:eastAsia="lv-LV"/>
              </w:rPr>
            </w:pPr>
          </w:p>
          <w:p w14:paraId="2C3DA54B" w14:textId="77777777" w:rsidR="00056406" w:rsidRPr="00056406" w:rsidRDefault="00056406" w:rsidP="00056406">
            <w:pPr>
              <w:rPr>
                <w:rFonts w:ascii="Times New Roman" w:hAnsi="Times New Roman"/>
                <w:sz w:val="27"/>
                <w:szCs w:val="27"/>
                <w:lang w:eastAsia="lv-LV"/>
              </w:rPr>
            </w:pPr>
          </w:p>
          <w:p w14:paraId="5F7DB0A8" w14:textId="77777777" w:rsidR="00056406" w:rsidRPr="00056406" w:rsidRDefault="00056406" w:rsidP="00056406">
            <w:pPr>
              <w:rPr>
                <w:rFonts w:ascii="Times New Roman" w:hAnsi="Times New Roman"/>
                <w:sz w:val="27"/>
                <w:szCs w:val="27"/>
                <w:lang w:eastAsia="lv-LV"/>
              </w:rPr>
            </w:pPr>
          </w:p>
          <w:p w14:paraId="3230F2CC" w14:textId="77777777" w:rsidR="00056406" w:rsidRPr="00056406" w:rsidRDefault="00056406" w:rsidP="00056406">
            <w:pPr>
              <w:rPr>
                <w:rFonts w:ascii="Times New Roman" w:hAnsi="Times New Roman"/>
                <w:sz w:val="27"/>
                <w:szCs w:val="27"/>
                <w:lang w:eastAsia="lv-LV"/>
              </w:rPr>
            </w:pPr>
          </w:p>
          <w:p w14:paraId="01B54233" w14:textId="77777777" w:rsidR="00056406" w:rsidRPr="00056406" w:rsidRDefault="00056406" w:rsidP="00056406">
            <w:pPr>
              <w:rPr>
                <w:rFonts w:ascii="Times New Roman" w:hAnsi="Times New Roman"/>
                <w:sz w:val="27"/>
                <w:szCs w:val="27"/>
                <w:lang w:eastAsia="lv-LV"/>
              </w:rPr>
            </w:pPr>
          </w:p>
          <w:p w14:paraId="5D1E86F3" w14:textId="77777777" w:rsidR="00056406" w:rsidRPr="00056406" w:rsidRDefault="00056406" w:rsidP="00056406">
            <w:pPr>
              <w:rPr>
                <w:rFonts w:ascii="Times New Roman" w:hAnsi="Times New Roman"/>
                <w:sz w:val="27"/>
                <w:szCs w:val="27"/>
                <w:lang w:eastAsia="lv-LV"/>
              </w:rPr>
            </w:pPr>
          </w:p>
          <w:p w14:paraId="0D45DCE8" w14:textId="21B94F28" w:rsidR="005772DF" w:rsidRPr="00056406" w:rsidRDefault="005772DF" w:rsidP="00056406">
            <w:pPr>
              <w:jc w:val="center"/>
              <w:rPr>
                <w:rFonts w:ascii="Times New Roman" w:hAnsi="Times New Roman"/>
                <w:sz w:val="27"/>
                <w:szCs w:val="27"/>
                <w:lang w:eastAsia="lv-LV"/>
              </w:rPr>
            </w:pPr>
          </w:p>
        </w:tc>
        <w:tc>
          <w:tcPr>
            <w:tcW w:w="3329" w:type="pct"/>
            <w:tcBorders>
              <w:top w:val="outset" w:sz="6" w:space="0" w:color="auto"/>
              <w:left w:val="outset" w:sz="6" w:space="0" w:color="auto"/>
              <w:bottom w:val="outset" w:sz="6" w:space="0" w:color="auto"/>
            </w:tcBorders>
          </w:tcPr>
          <w:p w14:paraId="144FB419" w14:textId="275E3269" w:rsidR="005772DF" w:rsidRDefault="00E53704" w:rsidP="00AA7705">
            <w:pPr>
              <w:widowControl/>
              <w:spacing w:after="0" w:line="240" w:lineRule="auto"/>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Ministru kabineta 2018.gada 1</w:t>
            </w:r>
            <w:r w:rsidR="0090373C">
              <w:rPr>
                <w:rFonts w:ascii="Times New Roman" w:eastAsia="Times New Roman" w:hAnsi="Times New Roman"/>
                <w:sz w:val="27"/>
                <w:szCs w:val="27"/>
                <w:lang w:eastAsia="lv-LV"/>
              </w:rPr>
              <w:t>3</w:t>
            </w:r>
            <w:r>
              <w:rPr>
                <w:rFonts w:ascii="Times New Roman" w:eastAsia="Times New Roman" w:hAnsi="Times New Roman"/>
                <w:sz w:val="27"/>
                <w:szCs w:val="27"/>
                <w:lang w:eastAsia="lv-LV"/>
              </w:rPr>
              <w:t>.</w:t>
            </w:r>
            <w:r w:rsidR="0090373C">
              <w:rPr>
                <w:rFonts w:ascii="Times New Roman" w:eastAsia="Times New Roman" w:hAnsi="Times New Roman"/>
                <w:sz w:val="27"/>
                <w:szCs w:val="27"/>
                <w:lang w:eastAsia="lv-LV"/>
              </w:rPr>
              <w:t>novembr</w:t>
            </w:r>
            <w:r>
              <w:rPr>
                <w:rFonts w:ascii="Times New Roman" w:eastAsia="Times New Roman" w:hAnsi="Times New Roman"/>
                <w:sz w:val="27"/>
                <w:szCs w:val="27"/>
                <w:lang w:eastAsia="lv-LV"/>
              </w:rPr>
              <w:t xml:space="preserve">a sēdes protokollēmuma </w:t>
            </w:r>
            <w:r w:rsidRPr="00E53704">
              <w:rPr>
                <w:rFonts w:ascii="Times New Roman" w:eastAsia="Times New Roman" w:hAnsi="Times New Roman"/>
                <w:sz w:val="27"/>
                <w:szCs w:val="27"/>
                <w:lang w:eastAsia="lv-LV"/>
              </w:rPr>
              <w:t>(prot. Nr.</w:t>
            </w:r>
            <w:r w:rsidR="00D5051C">
              <w:rPr>
                <w:rFonts w:ascii="Times New Roman" w:eastAsia="Times New Roman" w:hAnsi="Times New Roman"/>
                <w:sz w:val="27"/>
                <w:szCs w:val="27"/>
                <w:lang w:eastAsia="lv-LV"/>
              </w:rPr>
              <w:t>52</w:t>
            </w:r>
            <w:r w:rsidRPr="00E53704">
              <w:rPr>
                <w:rFonts w:ascii="Times New Roman" w:eastAsia="Times New Roman" w:hAnsi="Times New Roman"/>
                <w:sz w:val="27"/>
                <w:szCs w:val="27"/>
                <w:lang w:eastAsia="lv-LV"/>
              </w:rPr>
              <w:t xml:space="preserve"> </w:t>
            </w:r>
            <w:r w:rsidR="00D5051C">
              <w:rPr>
                <w:rFonts w:ascii="Times New Roman" w:eastAsia="Times New Roman" w:hAnsi="Times New Roman"/>
                <w:sz w:val="27"/>
                <w:szCs w:val="27"/>
                <w:lang w:eastAsia="lv-LV"/>
              </w:rPr>
              <w:t>49</w:t>
            </w:r>
            <w:r w:rsidRPr="00E53704">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2.punktā</w:t>
            </w:r>
            <w:r w:rsidR="00572426">
              <w:rPr>
                <w:rFonts w:ascii="Times New Roman" w:eastAsia="Times New Roman" w:hAnsi="Times New Roman"/>
                <w:sz w:val="27"/>
                <w:szCs w:val="27"/>
                <w:lang w:eastAsia="lv-LV"/>
              </w:rPr>
              <w:t xml:space="preserve"> ir uzdots</w:t>
            </w:r>
            <w:r>
              <w:rPr>
                <w:rFonts w:ascii="Times New Roman" w:eastAsia="Times New Roman" w:hAnsi="Times New Roman"/>
                <w:sz w:val="27"/>
                <w:szCs w:val="27"/>
                <w:lang w:eastAsia="lv-LV"/>
              </w:rPr>
              <w:t xml:space="preserve"> </w:t>
            </w:r>
            <w:r w:rsidRPr="00E53704">
              <w:rPr>
                <w:rFonts w:ascii="Times New Roman" w:eastAsia="Times New Roman" w:hAnsi="Times New Roman"/>
                <w:sz w:val="27"/>
                <w:szCs w:val="27"/>
                <w:lang w:eastAsia="lv-LV"/>
              </w:rPr>
              <w:t xml:space="preserve">Finanšu ministrijai </w:t>
            </w:r>
            <w:r w:rsidR="0090373C" w:rsidRPr="0090373C">
              <w:rPr>
                <w:rFonts w:ascii="Times New Roman" w:eastAsia="Times New Roman" w:hAnsi="Times New Roman"/>
                <w:sz w:val="27"/>
                <w:szCs w:val="27"/>
                <w:lang w:eastAsia="lv-LV"/>
              </w:rPr>
              <w:t xml:space="preserve">līdz 2018.gada 1.decembrim sagatavot un finanšu ministram iesniegt izskatīšanai Ministru kabinetā grozījumus likumā "Par akcīzes nodokli", kas paredz dīzeļdegvielai, kuru izmanto kā degvielu kuģos zvejai iekšējos ūdeņos un zvejai piekrastes ūdeņos, piemērot samazinātu akcīzes nodokļa likmi atbilstoši likuma 14.panta </w:t>
            </w:r>
            <w:r w:rsidR="0090373C">
              <w:rPr>
                <w:rFonts w:ascii="Times New Roman" w:eastAsia="Times New Roman" w:hAnsi="Times New Roman"/>
                <w:sz w:val="27"/>
                <w:szCs w:val="27"/>
                <w:lang w:eastAsia="lv-LV"/>
              </w:rPr>
              <w:t>2.</w:t>
            </w:r>
            <w:r w:rsidR="0090373C" w:rsidRPr="0090373C">
              <w:rPr>
                <w:rFonts w:ascii="Times New Roman" w:eastAsia="Times New Roman" w:hAnsi="Times New Roman"/>
                <w:sz w:val="27"/>
                <w:szCs w:val="27"/>
                <w:vertAlign w:val="superscript"/>
                <w:lang w:eastAsia="lv-LV"/>
              </w:rPr>
              <w:t>2</w:t>
            </w:r>
            <w:r w:rsidR="0090373C" w:rsidRPr="0090373C">
              <w:rPr>
                <w:rFonts w:ascii="Times New Roman" w:eastAsia="Times New Roman" w:hAnsi="Times New Roman"/>
                <w:sz w:val="27"/>
                <w:szCs w:val="27"/>
                <w:lang w:eastAsia="lv-LV"/>
              </w:rPr>
              <w:t xml:space="preserve"> daļā noteiktajam apmēram, vienlaikus paredzot akcīzes nodokļa atmaksu par dīzeļdegvielu, kuru izmanto zvejai piekrastes ūdeņos.</w:t>
            </w:r>
          </w:p>
          <w:p w14:paraId="20C20772" w14:textId="3E09536A" w:rsidR="00936C50" w:rsidRDefault="0090373C" w:rsidP="00CC5BFA">
            <w:pPr>
              <w:widowControl/>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 xml:space="preserve">Ņemot vērā, ka likumprojektā “Grozījumi likumā  “Par akcīzes nodokli” </w:t>
            </w:r>
            <w:r w:rsidR="008C7053">
              <w:rPr>
                <w:rFonts w:ascii="Times New Roman" w:eastAsia="Times New Roman" w:hAnsi="Times New Roman"/>
                <w:sz w:val="27"/>
                <w:szCs w:val="27"/>
              </w:rPr>
              <w:t xml:space="preserve">(turpmāk – likumprojekts) </w:t>
            </w:r>
            <w:r w:rsidR="00936C50">
              <w:rPr>
                <w:rFonts w:ascii="Times New Roman" w:eastAsia="Times New Roman" w:hAnsi="Times New Roman"/>
                <w:sz w:val="27"/>
                <w:szCs w:val="27"/>
              </w:rPr>
              <w:t xml:space="preserve">piedāvātā risinājuma rezultātā varētu </w:t>
            </w:r>
            <w:r>
              <w:rPr>
                <w:rFonts w:ascii="Times New Roman" w:eastAsia="Times New Roman" w:hAnsi="Times New Roman"/>
                <w:sz w:val="27"/>
                <w:szCs w:val="27"/>
              </w:rPr>
              <w:t xml:space="preserve">rasties </w:t>
            </w:r>
            <w:r w:rsidR="008C7053" w:rsidRPr="008C7053">
              <w:rPr>
                <w:rFonts w:ascii="Times New Roman" w:eastAsia="Times New Roman" w:hAnsi="Times New Roman"/>
                <w:sz w:val="27"/>
                <w:szCs w:val="27"/>
              </w:rPr>
              <w:t xml:space="preserve">negatīva fiskālā ietekme, kas, ņemot vērā nelielo patērētās </w:t>
            </w:r>
            <w:r w:rsidR="008C7053" w:rsidRPr="008C7053">
              <w:rPr>
                <w:rFonts w:ascii="Times New Roman" w:eastAsia="Times New Roman" w:hAnsi="Times New Roman"/>
                <w:sz w:val="27"/>
                <w:szCs w:val="27"/>
              </w:rPr>
              <w:lastRenderedPageBreak/>
              <w:t xml:space="preserve">dīzeļdegvielas apjomu, vērtējama kā nebūtiska. Savukārt fiskālā ietekme no akcīzes nodokļa atmaksas par dīzeļdegvielu, kuru izmanto kā degvielu zvejas kuģos piekrastes ūdeņos, vērtējama kā neitrāla, jo arī pašlaik minētā dīzeļdegviela ir atbrīvota no akcīzes nodokļa. </w:t>
            </w:r>
            <w:r w:rsidR="008C7053">
              <w:rPr>
                <w:rFonts w:ascii="Times New Roman" w:eastAsia="Times New Roman" w:hAnsi="Times New Roman"/>
                <w:sz w:val="27"/>
                <w:szCs w:val="27"/>
              </w:rPr>
              <w:t>L</w:t>
            </w:r>
            <w:r w:rsidR="00936C50">
              <w:rPr>
                <w:rFonts w:ascii="Times New Roman" w:eastAsia="Times New Roman" w:hAnsi="Times New Roman"/>
                <w:sz w:val="27"/>
                <w:szCs w:val="27"/>
              </w:rPr>
              <w:t xml:space="preserve">īdz ar to būtu lietderīgi </w:t>
            </w:r>
            <w:r w:rsidR="0050144B">
              <w:rPr>
                <w:rFonts w:ascii="Times New Roman" w:eastAsia="Times New Roman" w:hAnsi="Times New Roman"/>
                <w:sz w:val="27"/>
                <w:szCs w:val="27"/>
              </w:rPr>
              <w:t xml:space="preserve">šo </w:t>
            </w:r>
            <w:r w:rsidR="008C7053">
              <w:rPr>
                <w:rFonts w:ascii="Times New Roman" w:eastAsia="Times New Roman" w:hAnsi="Times New Roman"/>
                <w:sz w:val="27"/>
                <w:szCs w:val="27"/>
              </w:rPr>
              <w:t>likumprojektu</w:t>
            </w:r>
            <w:r w:rsidR="0050144B">
              <w:rPr>
                <w:rFonts w:ascii="Times New Roman" w:eastAsia="Times New Roman" w:hAnsi="Times New Roman"/>
                <w:sz w:val="27"/>
                <w:szCs w:val="27"/>
              </w:rPr>
              <w:t xml:space="preserve"> </w:t>
            </w:r>
            <w:r w:rsidR="00936C50">
              <w:rPr>
                <w:rFonts w:ascii="Times New Roman" w:eastAsia="Times New Roman" w:hAnsi="Times New Roman"/>
                <w:sz w:val="27"/>
                <w:szCs w:val="27"/>
              </w:rPr>
              <w:t xml:space="preserve">skatīt kopā ar </w:t>
            </w:r>
            <w:r w:rsidR="008C7053">
              <w:rPr>
                <w:rFonts w:ascii="Times New Roman" w:eastAsia="Times New Roman" w:hAnsi="Times New Roman"/>
                <w:sz w:val="27"/>
                <w:szCs w:val="27"/>
              </w:rPr>
              <w:t>likumprojektu “Par valsts budžetu 2019.gadam” pavadošo likumprojektu paketē.</w:t>
            </w:r>
          </w:p>
          <w:p w14:paraId="454A13C4" w14:textId="374E620C" w:rsidR="00CC5BFA" w:rsidRPr="004033D8" w:rsidRDefault="008C7053" w:rsidP="00884A98">
            <w:pPr>
              <w:widowControl/>
              <w:spacing w:after="0" w:line="240" w:lineRule="auto"/>
              <w:jc w:val="both"/>
              <w:rPr>
                <w:rFonts w:ascii="Times New Roman" w:eastAsia="Times New Roman" w:hAnsi="Times New Roman"/>
                <w:sz w:val="27"/>
                <w:szCs w:val="27"/>
              </w:rPr>
            </w:pPr>
            <w:r>
              <w:rPr>
                <w:rFonts w:ascii="Times New Roman" w:eastAsia="Times New Roman" w:hAnsi="Times New Roman"/>
                <w:sz w:val="27"/>
                <w:szCs w:val="27"/>
              </w:rPr>
              <w:t>Ņemot vērā minēto,</w:t>
            </w:r>
            <w:r w:rsidR="00CC5BFA">
              <w:rPr>
                <w:rFonts w:ascii="Times New Roman" w:eastAsia="Times New Roman" w:hAnsi="Times New Roman"/>
                <w:sz w:val="27"/>
                <w:szCs w:val="27"/>
              </w:rPr>
              <w:t xml:space="preserve"> Finanšu ministrija </w:t>
            </w:r>
            <w:r w:rsidR="00870CDA">
              <w:rPr>
                <w:rFonts w:ascii="Times New Roman" w:eastAsia="Times New Roman" w:hAnsi="Times New Roman"/>
                <w:sz w:val="27"/>
                <w:szCs w:val="27"/>
              </w:rPr>
              <w:t xml:space="preserve">ir sagatavojusi protokollēmuma projektu, kas paredz </w:t>
            </w:r>
            <w:r w:rsidR="00FF4D1B">
              <w:rPr>
                <w:rFonts w:ascii="Times New Roman" w:eastAsia="Times New Roman" w:hAnsi="Times New Roman"/>
                <w:sz w:val="27"/>
                <w:szCs w:val="27"/>
              </w:rPr>
              <w:t xml:space="preserve">Ministru kabineta </w:t>
            </w:r>
            <w:r w:rsidR="00870CDA">
              <w:rPr>
                <w:rFonts w:ascii="Times New Roman" w:eastAsia="Times New Roman" w:hAnsi="Times New Roman"/>
                <w:sz w:val="27"/>
                <w:szCs w:val="27"/>
                <w:lang w:eastAsia="lv-LV"/>
              </w:rPr>
              <w:t xml:space="preserve">2018.gada </w:t>
            </w:r>
            <w:r>
              <w:rPr>
                <w:rFonts w:ascii="Times New Roman" w:eastAsia="Times New Roman" w:hAnsi="Times New Roman"/>
                <w:sz w:val="27"/>
                <w:szCs w:val="27"/>
                <w:lang w:eastAsia="lv-LV"/>
              </w:rPr>
              <w:t>13</w:t>
            </w:r>
            <w:r w:rsidR="00870CDA">
              <w:rPr>
                <w:rFonts w:ascii="Times New Roman" w:eastAsia="Times New Roman" w:hAnsi="Times New Roman"/>
                <w:sz w:val="27"/>
                <w:szCs w:val="27"/>
                <w:lang w:eastAsia="lv-LV"/>
              </w:rPr>
              <w:t>.</w:t>
            </w:r>
            <w:r>
              <w:rPr>
                <w:rFonts w:ascii="Times New Roman" w:eastAsia="Times New Roman" w:hAnsi="Times New Roman"/>
                <w:sz w:val="27"/>
                <w:szCs w:val="27"/>
                <w:lang w:eastAsia="lv-LV"/>
              </w:rPr>
              <w:t>novembr</w:t>
            </w:r>
            <w:r w:rsidR="00870CDA">
              <w:rPr>
                <w:rFonts w:ascii="Times New Roman" w:eastAsia="Times New Roman" w:hAnsi="Times New Roman"/>
                <w:sz w:val="27"/>
                <w:szCs w:val="27"/>
                <w:lang w:eastAsia="lv-LV"/>
              </w:rPr>
              <w:t xml:space="preserve">a sēdes protokollēmuma </w:t>
            </w:r>
            <w:r w:rsidR="00870CDA" w:rsidRPr="00E53704">
              <w:rPr>
                <w:rFonts w:ascii="Times New Roman" w:eastAsia="Times New Roman" w:hAnsi="Times New Roman"/>
                <w:sz w:val="27"/>
                <w:szCs w:val="27"/>
                <w:lang w:eastAsia="lv-LV"/>
              </w:rPr>
              <w:t>(prot. Nr.</w:t>
            </w:r>
            <w:r>
              <w:rPr>
                <w:rFonts w:ascii="Times New Roman" w:eastAsia="Times New Roman" w:hAnsi="Times New Roman"/>
                <w:sz w:val="27"/>
                <w:szCs w:val="27"/>
                <w:lang w:eastAsia="lv-LV"/>
              </w:rPr>
              <w:t>52</w:t>
            </w:r>
            <w:r w:rsidR="00870CDA" w:rsidRPr="00E53704">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49</w:t>
            </w:r>
            <w:r w:rsidR="00870CDA" w:rsidRPr="00E53704">
              <w:rPr>
                <w:rFonts w:ascii="Times New Roman" w:eastAsia="Times New Roman" w:hAnsi="Times New Roman"/>
                <w:sz w:val="27"/>
                <w:szCs w:val="27"/>
                <w:lang w:eastAsia="lv-LV"/>
              </w:rPr>
              <w:t xml:space="preserve">.§) </w:t>
            </w:r>
            <w:r w:rsidR="00870CDA">
              <w:rPr>
                <w:rFonts w:ascii="Times New Roman" w:eastAsia="Times New Roman" w:hAnsi="Times New Roman"/>
                <w:sz w:val="27"/>
                <w:szCs w:val="27"/>
                <w:lang w:eastAsia="lv-LV"/>
              </w:rPr>
              <w:t xml:space="preserve">2.punktā dotā uzdevuma </w:t>
            </w:r>
            <w:r w:rsidR="00884A98">
              <w:rPr>
                <w:rFonts w:ascii="Times New Roman" w:eastAsia="Times New Roman" w:hAnsi="Times New Roman"/>
                <w:sz w:val="27"/>
                <w:szCs w:val="27"/>
                <w:lang w:eastAsia="lv-LV"/>
              </w:rPr>
              <w:t>izpildi</w:t>
            </w:r>
            <w:r w:rsidR="00870CDA">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 xml:space="preserve">noteikt </w:t>
            </w:r>
            <w:r w:rsidRPr="008C7053">
              <w:rPr>
                <w:rFonts w:ascii="Times New Roman" w:eastAsia="Times New Roman" w:hAnsi="Times New Roman"/>
                <w:sz w:val="27"/>
                <w:szCs w:val="27"/>
                <w:lang w:eastAsia="lv-LV"/>
              </w:rPr>
              <w:t>atbilstoši 2019.gada valsts budžeta pavadošo likumprojektu virzības plānam.</w:t>
            </w:r>
          </w:p>
        </w:tc>
      </w:tr>
      <w:tr w:rsidR="005772DF" w:rsidRPr="00384E9F" w14:paraId="47160215" w14:textId="77777777" w:rsidTr="00120D26">
        <w:trPr>
          <w:trHeight w:val="537"/>
        </w:trPr>
        <w:tc>
          <w:tcPr>
            <w:tcW w:w="290" w:type="pct"/>
            <w:tcBorders>
              <w:top w:val="outset" w:sz="6" w:space="0" w:color="auto"/>
              <w:bottom w:val="outset" w:sz="6" w:space="0" w:color="auto"/>
              <w:right w:val="outset" w:sz="6" w:space="0" w:color="auto"/>
            </w:tcBorders>
          </w:tcPr>
          <w:p w14:paraId="04CB57FD"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lastRenderedPageBreak/>
              <w:t>2.</w:t>
            </w:r>
          </w:p>
        </w:tc>
        <w:tc>
          <w:tcPr>
            <w:tcW w:w="1381" w:type="pct"/>
            <w:tcBorders>
              <w:top w:val="outset" w:sz="6" w:space="0" w:color="auto"/>
              <w:left w:val="outset" w:sz="6" w:space="0" w:color="auto"/>
              <w:bottom w:val="outset" w:sz="6" w:space="0" w:color="auto"/>
              <w:right w:val="outset" w:sz="6" w:space="0" w:color="auto"/>
            </w:tcBorders>
          </w:tcPr>
          <w:p w14:paraId="07FB2BBA"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Valsts sekretāru sanāksmes datums un numurs</w:t>
            </w:r>
          </w:p>
        </w:tc>
        <w:tc>
          <w:tcPr>
            <w:tcW w:w="3329" w:type="pct"/>
            <w:tcBorders>
              <w:top w:val="outset" w:sz="6" w:space="0" w:color="auto"/>
              <w:left w:val="outset" w:sz="6" w:space="0" w:color="auto"/>
              <w:bottom w:val="outset" w:sz="6" w:space="0" w:color="auto"/>
            </w:tcBorders>
          </w:tcPr>
          <w:p w14:paraId="49C9357E" w14:textId="2ACACC2D" w:rsidR="005772DF" w:rsidRPr="004033D8" w:rsidRDefault="00120D26" w:rsidP="00120D26">
            <w:pPr>
              <w:spacing w:line="240" w:lineRule="auto"/>
              <w:jc w:val="both"/>
              <w:rPr>
                <w:rFonts w:ascii="Times New Roman" w:hAnsi="Times New Roman"/>
                <w:sz w:val="27"/>
                <w:szCs w:val="27"/>
                <w:lang w:eastAsia="lv-LV"/>
              </w:rPr>
            </w:pPr>
            <w:r>
              <w:rPr>
                <w:rFonts w:ascii="Times New Roman" w:eastAsia="Times New Roman" w:hAnsi="Times New Roman"/>
                <w:sz w:val="27"/>
                <w:szCs w:val="27"/>
              </w:rPr>
              <w:t xml:space="preserve">Saskaņā ar </w:t>
            </w:r>
            <w:r w:rsidRPr="00384E9F">
              <w:rPr>
                <w:rFonts w:ascii="Times New Roman" w:hAnsi="Times New Roman"/>
                <w:bCs/>
                <w:sz w:val="27"/>
                <w:szCs w:val="27"/>
              </w:rPr>
              <w:t xml:space="preserve">Ministru kabineta 2009.gada 7.aprīļa noteikumu Nr.300 </w:t>
            </w:r>
            <w:r w:rsidRPr="00384E9F">
              <w:rPr>
                <w:rFonts w:ascii="Times New Roman" w:eastAsia="Times New Roman" w:hAnsi="Times New Roman"/>
                <w:bCs/>
                <w:kern w:val="32"/>
                <w:sz w:val="27"/>
                <w:szCs w:val="27"/>
                <w:lang w:eastAsia="lv-LV"/>
              </w:rPr>
              <w:t>„</w:t>
            </w:r>
            <w:r w:rsidRPr="00384E9F">
              <w:rPr>
                <w:rFonts w:ascii="Times New Roman" w:hAnsi="Times New Roman"/>
                <w:bCs/>
                <w:sz w:val="27"/>
                <w:szCs w:val="27"/>
              </w:rPr>
              <w:t>Ministru</w:t>
            </w:r>
            <w:r>
              <w:rPr>
                <w:rFonts w:ascii="Times New Roman" w:hAnsi="Times New Roman"/>
                <w:bCs/>
                <w:sz w:val="27"/>
                <w:szCs w:val="27"/>
              </w:rPr>
              <w:t xml:space="preserve"> kabineta kārtības rullis” 73.1.apakš</w:t>
            </w:r>
            <w:r w:rsidRPr="00384E9F">
              <w:rPr>
                <w:rFonts w:ascii="Times New Roman" w:hAnsi="Times New Roman"/>
                <w:bCs/>
                <w:sz w:val="27"/>
                <w:szCs w:val="27"/>
              </w:rPr>
              <w:t>punktu</w:t>
            </w:r>
            <w:r>
              <w:rPr>
                <w:rFonts w:ascii="Times New Roman" w:hAnsi="Times New Roman"/>
                <w:bCs/>
                <w:sz w:val="27"/>
                <w:szCs w:val="27"/>
              </w:rPr>
              <w:t xml:space="preserve"> valsts sekretāru sanāksmē nav nepieciešams izsludināt Ministru kabineta sēdes protokollēmuma projektu par Ministru kabineta sēdes protokollēmumā ministrijai dotā uzdevuma izpildi.</w:t>
            </w:r>
          </w:p>
        </w:tc>
      </w:tr>
      <w:tr w:rsidR="005772DF" w:rsidRPr="00384E9F" w14:paraId="7FE81FCF" w14:textId="77777777" w:rsidTr="00120D26">
        <w:trPr>
          <w:trHeight w:val="963"/>
        </w:trPr>
        <w:tc>
          <w:tcPr>
            <w:tcW w:w="290" w:type="pct"/>
            <w:tcBorders>
              <w:top w:val="outset" w:sz="6" w:space="0" w:color="auto"/>
              <w:bottom w:val="outset" w:sz="6" w:space="0" w:color="auto"/>
              <w:right w:val="outset" w:sz="6" w:space="0" w:color="auto"/>
            </w:tcBorders>
          </w:tcPr>
          <w:p w14:paraId="325ABB44" w14:textId="77777777" w:rsidR="005772DF" w:rsidRPr="00384E9F" w:rsidRDefault="005772DF" w:rsidP="00F555D1">
            <w:pPr>
              <w:rPr>
                <w:rFonts w:ascii="Times New Roman" w:hAnsi="Times New Roman"/>
                <w:sz w:val="27"/>
                <w:szCs w:val="27"/>
                <w:lang w:eastAsia="lv-LV"/>
              </w:rPr>
            </w:pPr>
            <w:r w:rsidRPr="00384E9F">
              <w:rPr>
                <w:rFonts w:ascii="Times New Roman" w:hAnsi="Times New Roman"/>
                <w:sz w:val="27"/>
                <w:szCs w:val="27"/>
                <w:lang w:eastAsia="lv-LV"/>
              </w:rPr>
              <w:t>3.</w:t>
            </w:r>
          </w:p>
        </w:tc>
        <w:tc>
          <w:tcPr>
            <w:tcW w:w="1381" w:type="pct"/>
            <w:tcBorders>
              <w:top w:val="outset" w:sz="6" w:space="0" w:color="auto"/>
              <w:left w:val="outset" w:sz="6" w:space="0" w:color="auto"/>
              <w:bottom w:val="outset" w:sz="6" w:space="0" w:color="auto"/>
              <w:right w:val="outset" w:sz="6" w:space="0" w:color="auto"/>
            </w:tcBorders>
          </w:tcPr>
          <w:p w14:paraId="23BF44DC" w14:textId="107AA926" w:rsidR="005772DF" w:rsidRPr="00645BD0" w:rsidRDefault="005772DF" w:rsidP="00645BD0">
            <w:pPr>
              <w:rPr>
                <w:rFonts w:ascii="Times New Roman" w:hAnsi="Times New Roman"/>
                <w:sz w:val="27"/>
                <w:szCs w:val="27"/>
                <w:lang w:eastAsia="lv-LV"/>
              </w:rPr>
            </w:pPr>
            <w:r w:rsidRPr="00384E9F">
              <w:rPr>
                <w:rFonts w:ascii="Times New Roman" w:hAnsi="Times New Roman"/>
                <w:sz w:val="27"/>
                <w:szCs w:val="27"/>
                <w:lang w:eastAsia="lv-LV"/>
              </w:rPr>
              <w:t>Informācija par saskaņojumiem</w:t>
            </w:r>
          </w:p>
        </w:tc>
        <w:tc>
          <w:tcPr>
            <w:tcW w:w="3329" w:type="pct"/>
            <w:tcBorders>
              <w:top w:val="outset" w:sz="6" w:space="0" w:color="auto"/>
              <w:left w:val="outset" w:sz="6" w:space="0" w:color="auto"/>
              <w:bottom w:val="outset" w:sz="6" w:space="0" w:color="auto"/>
            </w:tcBorders>
          </w:tcPr>
          <w:p w14:paraId="691FB177" w14:textId="39E7E311" w:rsidR="00211ECD" w:rsidRPr="004033D8" w:rsidRDefault="00120D26" w:rsidP="007E6EDB">
            <w:pPr>
              <w:spacing w:after="0" w:line="240" w:lineRule="auto"/>
              <w:jc w:val="both"/>
              <w:rPr>
                <w:rFonts w:ascii="Times New Roman" w:hAnsi="Times New Roman"/>
                <w:sz w:val="27"/>
                <w:szCs w:val="27"/>
              </w:rPr>
            </w:pPr>
            <w:r>
              <w:rPr>
                <w:rFonts w:ascii="Times New Roman" w:hAnsi="Times New Roman"/>
                <w:sz w:val="27"/>
                <w:szCs w:val="27"/>
                <w:lang w:eastAsia="lv-LV"/>
              </w:rPr>
              <w:t>Protokollēmuma projekts ir saskaņots ar Zemkopības ministriju.</w:t>
            </w:r>
          </w:p>
        </w:tc>
      </w:tr>
      <w:tr w:rsidR="005772DF" w:rsidRPr="00384E9F" w14:paraId="665C0C71" w14:textId="77777777" w:rsidTr="00F555D1">
        <w:tc>
          <w:tcPr>
            <w:tcW w:w="290" w:type="pct"/>
            <w:tcBorders>
              <w:top w:val="outset" w:sz="6" w:space="0" w:color="auto"/>
              <w:bottom w:val="outset" w:sz="6" w:space="0" w:color="auto"/>
              <w:right w:val="outset" w:sz="6" w:space="0" w:color="auto"/>
            </w:tcBorders>
          </w:tcPr>
          <w:p w14:paraId="07193287" w14:textId="77777777" w:rsidR="005772DF" w:rsidRPr="00384E9F" w:rsidRDefault="002039B5" w:rsidP="00F555D1">
            <w:pPr>
              <w:rPr>
                <w:rFonts w:ascii="Times New Roman" w:hAnsi="Times New Roman"/>
                <w:sz w:val="27"/>
                <w:szCs w:val="27"/>
                <w:lang w:eastAsia="lv-LV"/>
              </w:rPr>
            </w:pPr>
            <w:r w:rsidRPr="00384E9F">
              <w:rPr>
                <w:rFonts w:ascii="Times New Roman" w:hAnsi="Times New Roman"/>
                <w:sz w:val="27"/>
                <w:szCs w:val="27"/>
                <w:lang w:eastAsia="lv-LV"/>
              </w:rPr>
              <w:t>4</w:t>
            </w:r>
            <w:r w:rsidR="005772DF"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6CB40EED" w14:textId="77777777" w:rsidR="005772DF" w:rsidRPr="00384E9F" w:rsidRDefault="002039B5" w:rsidP="00F555D1">
            <w:pPr>
              <w:rPr>
                <w:rFonts w:ascii="Times New Roman" w:hAnsi="Times New Roman"/>
                <w:sz w:val="27"/>
                <w:szCs w:val="27"/>
                <w:lang w:eastAsia="lv-LV"/>
              </w:rPr>
            </w:pPr>
            <w:r w:rsidRPr="00384E9F">
              <w:rPr>
                <w:rFonts w:ascii="Times New Roman" w:hAnsi="Times New Roman"/>
                <w:sz w:val="27"/>
                <w:szCs w:val="27"/>
                <w:lang w:eastAsia="lv-LV"/>
              </w:rPr>
              <w:t>Informācija</w:t>
            </w:r>
            <w:r w:rsidR="005772DF" w:rsidRPr="00384E9F">
              <w:rPr>
                <w:rFonts w:ascii="Times New Roman" w:hAnsi="Times New Roman"/>
                <w:sz w:val="27"/>
                <w:szCs w:val="27"/>
                <w:lang w:eastAsia="lv-LV"/>
              </w:rPr>
              <w:t xml:space="preserve"> par saskaņojumu ar Eiropas Savienības institūcijām</w:t>
            </w:r>
          </w:p>
        </w:tc>
        <w:tc>
          <w:tcPr>
            <w:tcW w:w="3329" w:type="pct"/>
            <w:tcBorders>
              <w:top w:val="outset" w:sz="6" w:space="0" w:color="auto"/>
              <w:left w:val="outset" w:sz="6" w:space="0" w:color="auto"/>
              <w:bottom w:val="outset" w:sz="6" w:space="0" w:color="auto"/>
            </w:tcBorders>
          </w:tcPr>
          <w:p w14:paraId="52AD888B" w14:textId="77777777" w:rsidR="005772DF" w:rsidRPr="00384E9F" w:rsidRDefault="005772DF" w:rsidP="00EE2D32">
            <w:pPr>
              <w:jc w:val="both"/>
              <w:rPr>
                <w:rFonts w:ascii="Times New Roman" w:hAnsi="Times New Roman"/>
                <w:sz w:val="27"/>
                <w:szCs w:val="27"/>
                <w:lang w:eastAsia="lv-LV"/>
              </w:rPr>
            </w:pPr>
            <w:r w:rsidRPr="00384E9F">
              <w:rPr>
                <w:rFonts w:ascii="Times New Roman" w:hAnsi="Times New Roman"/>
                <w:iCs/>
                <w:sz w:val="27"/>
                <w:szCs w:val="27"/>
                <w:lang w:eastAsia="lv-LV"/>
              </w:rPr>
              <w:t>Nav attiecināms.</w:t>
            </w:r>
          </w:p>
        </w:tc>
      </w:tr>
      <w:tr w:rsidR="00230EAE" w:rsidRPr="00384E9F" w14:paraId="5952F812" w14:textId="77777777" w:rsidTr="00F555D1">
        <w:tc>
          <w:tcPr>
            <w:tcW w:w="290" w:type="pct"/>
            <w:tcBorders>
              <w:top w:val="outset" w:sz="6" w:space="0" w:color="auto"/>
              <w:bottom w:val="outset" w:sz="6" w:space="0" w:color="auto"/>
              <w:right w:val="outset" w:sz="6" w:space="0" w:color="auto"/>
            </w:tcBorders>
          </w:tcPr>
          <w:p w14:paraId="745643FB"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5</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2C7AFAD5" w14:textId="77777777" w:rsidR="00230EAE" w:rsidRPr="00384E9F" w:rsidRDefault="00230EAE" w:rsidP="00230EAE">
            <w:pPr>
              <w:rPr>
                <w:rFonts w:ascii="Times New Roman" w:hAnsi="Times New Roman"/>
                <w:sz w:val="27"/>
                <w:szCs w:val="27"/>
                <w:lang w:eastAsia="lv-LV"/>
              </w:rPr>
            </w:pPr>
            <w:r w:rsidRPr="00384E9F">
              <w:rPr>
                <w:rFonts w:ascii="Times New Roman" w:hAnsi="Times New Roman"/>
                <w:sz w:val="27"/>
                <w:szCs w:val="27"/>
                <w:lang w:eastAsia="lv-LV"/>
              </w:rPr>
              <w:t>Politikas joma</w:t>
            </w:r>
          </w:p>
        </w:tc>
        <w:tc>
          <w:tcPr>
            <w:tcW w:w="3329" w:type="pct"/>
            <w:tcBorders>
              <w:top w:val="outset" w:sz="6" w:space="0" w:color="auto"/>
              <w:left w:val="outset" w:sz="6" w:space="0" w:color="auto"/>
              <w:bottom w:val="outset" w:sz="6" w:space="0" w:color="auto"/>
            </w:tcBorders>
          </w:tcPr>
          <w:p w14:paraId="04F58098" w14:textId="77777777" w:rsidR="00230EAE" w:rsidRPr="00384E9F" w:rsidRDefault="00230EAE" w:rsidP="00230EAE">
            <w:pPr>
              <w:ind w:right="104"/>
              <w:jc w:val="both"/>
              <w:rPr>
                <w:rFonts w:ascii="Times New Roman" w:hAnsi="Times New Roman"/>
                <w:sz w:val="27"/>
                <w:szCs w:val="27"/>
              </w:rPr>
            </w:pPr>
            <w:r w:rsidRPr="00384E9F">
              <w:rPr>
                <w:rFonts w:ascii="Times New Roman" w:hAnsi="Times New Roman"/>
                <w:sz w:val="27"/>
                <w:szCs w:val="27"/>
              </w:rPr>
              <w:t>Budžeta un finanšu politikas joma.</w:t>
            </w:r>
          </w:p>
        </w:tc>
      </w:tr>
      <w:tr w:rsidR="00230EAE" w:rsidRPr="00384E9F" w14:paraId="30499E12" w14:textId="77777777" w:rsidTr="00F555D1">
        <w:tc>
          <w:tcPr>
            <w:tcW w:w="290" w:type="pct"/>
            <w:tcBorders>
              <w:top w:val="outset" w:sz="6" w:space="0" w:color="auto"/>
              <w:bottom w:val="outset" w:sz="6" w:space="0" w:color="auto"/>
              <w:right w:val="outset" w:sz="6" w:space="0" w:color="auto"/>
            </w:tcBorders>
          </w:tcPr>
          <w:p w14:paraId="5F03B4DC"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6</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78506185" w14:textId="5D2F4545" w:rsidR="00230EAE" w:rsidRPr="00384E9F" w:rsidRDefault="002039B5" w:rsidP="0000703C">
            <w:pPr>
              <w:rPr>
                <w:rFonts w:ascii="Times New Roman" w:hAnsi="Times New Roman"/>
                <w:sz w:val="27"/>
                <w:szCs w:val="27"/>
                <w:lang w:eastAsia="lv-LV"/>
              </w:rPr>
            </w:pPr>
            <w:r w:rsidRPr="00384E9F">
              <w:rPr>
                <w:rFonts w:ascii="Times New Roman" w:hAnsi="Times New Roman"/>
                <w:sz w:val="27"/>
                <w:szCs w:val="27"/>
                <w:lang w:eastAsia="lv-LV"/>
              </w:rPr>
              <w:t>Atbildīgā amatpersona</w:t>
            </w:r>
          </w:p>
        </w:tc>
        <w:tc>
          <w:tcPr>
            <w:tcW w:w="3329" w:type="pct"/>
            <w:tcBorders>
              <w:top w:val="outset" w:sz="6" w:space="0" w:color="auto"/>
              <w:left w:val="outset" w:sz="6" w:space="0" w:color="auto"/>
              <w:bottom w:val="outset" w:sz="6" w:space="0" w:color="auto"/>
            </w:tcBorders>
          </w:tcPr>
          <w:p w14:paraId="6733261A" w14:textId="625F2F49" w:rsidR="00230EAE" w:rsidRPr="00384E9F" w:rsidRDefault="003D7C08" w:rsidP="00120D26">
            <w:pPr>
              <w:spacing w:after="0" w:line="240" w:lineRule="auto"/>
              <w:jc w:val="both"/>
              <w:rPr>
                <w:rFonts w:ascii="Times New Roman" w:hAnsi="Times New Roman"/>
                <w:sz w:val="27"/>
                <w:szCs w:val="27"/>
              </w:rPr>
            </w:pPr>
            <w:r>
              <w:rPr>
                <w:rFonts w:ascii="Times New Roman" w:hAnsi="Times New Roman"/>
                <w:iCs/>
                <w:sz w:val="27"/>
                <w:szCs w:val="27"/>
                <w:lang w:eastAsia="lv-LV"/>
              </w:rPr>
              <w:t>Juris Lukss</w:t>
            </w:r>
            <w:r w:rsidR="00CB22F3" w:rsidRPr="00384E9F">
              <w:rPr>
                <w:rFonts w:ascii="Times New Roman" w:hAnsi="Times New Roman"/>
                <w:iCs/>
                <w:sz w:val="27"/>
                <w:szCs w:val="27"/>
                <w:lang w:eastAsia="lv-LV"/>
              </w:rPr>
              <w:t xml:space="preserve">, Finanšu ministrijas Netiešo nodokļu departamenta Muitas un akcīzes nodokļa </w:t>
            </w:r>
            <w:r w:rsidR="00D5024F">
              <w:rPr>
                <w:rFonts w:ascii="Times New Roman" w:hAnsi="Times New Roman"/>
                <w:iCs/>
                <w:sz w:val="27"/>
                <w:szCs w:val="27"/>
                <w:lang w:eastAsia="lv-LV"/>
              </w:rPr>
              <w:t xml:space="preserve">nodaļas </w:t>
            </w:r>
            <w:r w:rsidR="00120D26">
              <w:rPr>
                <w:rFonts w:ascii="Times New Roman" w:hAnsi="Times New Roman"/>
                <w:iCs/>
                <w:sz w:val="27"/>
                <w:szCs w:val="27"/>
                <w:lang w:eastAsia="lv-LV"/>
              </w:rPr>
              <w:t>vecākais referents</w:t>
            </w:r>
            <w:r w:rsidR="00CB22F3" w:rsidRPr="00384E9F">
              <w:rPr>
                <w:rFonts w:ascii="Times New Roman" w:hAnsi="Times New Roman"/>
                <w:iCs/>
                <w:sz w:val="27"/>
                <w:szCs w:val="27"/>
                <w:lang w:eastAsia="lv-LV"/>
              </w:rPr>
              <w:t>.</w:t>
            </w:r>
          </w:p>
        </w:tc>
      </w:tr>
      <w:tr w:rsidR="00230EAE" w:rsidRPr="00384E9F" w14:paraId="169578F4" w14:textId="77777777" w:rsidTr="00F555D1">
        <w:tc>
          <w:tcPr>
            <w:tcW w:w="290" w:type="pct"/>
            <w:tcBorders>
              <w:top w:val="outset" w:sz="6" w:space="0" w:color="auto"/>
              <w:bottom w:val="outset" w:sz="6" w:space="0" w:color="auto"/>
              <w:right w:val="outset" w:sz="6" w:space="0" w:color="auto"/>
            </w:tcBorders>
          </w:tcPr>
          <w:p w14:paraId="1341DE3A"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7</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60F707B2" w14:textId="77777777" w:rsidR="00230EAE" w:rsidRPr="00384E9F" w:rsidRDefault="00230EAE" w:rsidP="00230EAE">
            <w:pPr>
              <w:rPr>
                <w:rFonts w:ascii="Times New Roman" w:hAnsi="Times New Roman"/>
                <w:sz w:val="27"/>
                <w:szCs w:val="27"/>
                <w:lang w:eastAsia="lv-LV"/>
              </w:rPr>
            </w:pPr>
            <w:r w:rsidRPr="00384E9F">
              <w:rPr>
                <w:rFonts w:ascii="Times New Roman" w:hAnsi="Times New Roman"/>
                <w:sz w:val="27"/>
                <w:szCs w:val="27"/>
                <w:lang w:eastAsia="lv-LV"/>
              </w:rPr>
              <w:t>Uzaicināmās personas</w:t>
            </w:r>
          </w:p>
        </w:tc>
        <w:tc>
          <w:tcPr>
            <w:tcW w:w="3329" w:type="pct"/>
            <w:tcBorders>
              <w:top w:val="outset" w:sz="6" w:space="0" w:color="auto"/>
              <w:left w:val="outset" w:sz="6" w:space="0" w:color="auto"/>
              <w:bottom w:val="outset" w:sz="6" w:space="0" w:color="auto"/>
            </w:tcBorders>
          </w:tcPr>
          <w:p w14:paraId="15BB2F18" w14:textId="148AD1D4" w:rsidR="00CB7FD5" w:rsidRDefault="00FF4D1B" w:rsidP="00A0299F">
            <w:pPr>
              <w:spacing w:after="0" w:line="240" w:lineRule="auto"/>
              <w:ind w:right="104"/>
              <w:jc w:val="both"/>
              <w:rPr>
                <w:rFonts w:ascii="Times New Roman" w:hAnsi="Times New Roman"/>
                <w:sz w:val="27"/>
                <w:szCs w:val="27"/>
              </w:rPr>
            </w:pPr>
            <w:r w:rsidRPr="00E357F8">
              <w:rPr>
                <w:rFonts w:ascii="Times New Roman" w:hAnsi="Times New Roman"/>
                <w:sz w:val="27"/>
                <w:szCs w:val="27"/>
              </w:rPr>
              <w:t>Solvita Āmare-Pilka</w:t>
            </w:r>
            <w:r>
              <w:rPr>
                <w:rFonts w:ascii="Times New Roman" w:hAnsi="Times New Roman"/>
                <w:sz w:val="27"/>
                <w:szCs w:val="27"/>
              </w:rPr>
              <w:t>, Finanšu ministrijas</w:t>
            </w:r>
            <w:r w:rsidRPr="00384E9F">
              <w:rPr>
                <w:rFonts w:ascii="Times New Roman" w:hAnsi="Times New Roman"/>
                <w:sz w:val="27"/>
                <w:szCs w:val="27"/>
              </w:rPr>
              <w:t xml:space="preserve"> </w:t>
            </w:r>
            <w:r w:rsidR="00CB7FD5" w:rsidRPr="00384E9F">
              <w:rPr>
                <w:rFonts w:ascii="Times New Roman" w:hAnsi="Times New Roman"/>
                <w:sz w:val="27"/>
                <w:szCs w:val="27"/>
              </w:rPr>
              <w:t>Netiešo nodokļu departament</w:t>
            </w:r>
            <w:r w:rsidR="0000703C" w:rsidRPr="00384E9F">
              <w:rPr>
                <w:rFonts w:ascii="Times New Roman" w:hAnsi="Times New Roman"/>
                <w:sz w:val="27"/>
                <w:szCs w:val="27"/>
              </w:rPr>
              <w:t>a direktore.</w:t>
            </w:r>
          </w:p>
          <w:p w14:paraId="7FEF3371" w14:textId="57A47818" w:rsidR="00623603" w:rsidRPr="00384E9F" w:rsidRDefault="00623603" w:rsidP="00120D26">
            <w:pPr>
              <w:spacing w:after="0" w:line="240" w:lineRule="auto"/>
              <w:ind w:right="104"/>
              <w:jc w:val="both"/>
              <w:rPr>
                <w:rFonts w:ascii="Times New Roman" w:hAnsi="Times New Roman"/>
                <w:sz w:val="27"/>
                <w:szCs w:val="27"/>
              </w:rPr>
            </w:pPr>
          </w:p>
        </w:tc>
      </w:tr>
      <w:tr w:rsidR="00230EAE" w:rsidRPr="00384E9F" w14:paraId="257E5A12" w14:textId="77777777" w:rsidTr="00F555D1">
        <w:tc>
          <w:tcPr>
            <w:tcW w:w="290" w:type="pct"/>
            <w:tcBorders>
              <w:top w:val="outset" w:sz="6" w:space="0" w:color="auto"/>
              <w:bottom w:val="outset" w:sz="6" w:space="0" w:color="auto"/>
              <w:right w:val="outset" w:sz="6" w:space="0" w:color="auto"/>
            </w:tcBorders>
          </w:tcPr>
          <w:p w14:paraId="7F4DE8B3" w14:textId="77777777" w:rsidR="00230EAE" w:rsidRPr="00384E9F" w:rsidRDefault="002039B5" w:rsidP="00230EAE">
            <w:pPr>
              <w:rPr>
                <w:rFonts w:ascii="Times New Roman" w:hAnsi="Times New Roman"/>
                <w:sz w:val="27"/>
                <w:szCs w:val="27"/>
                <w:lang w:eastAsia="lv-LV"/>
              </w:rPr>
            </w:pPr>
            <w:r w:rsidRPr="00384E9F">
              <w:rPr>
                <w:rFonts w:ascii="Times New Roman" w:hAnsi="Times New Roman"/>
                <w:sz w:val="27"/>
                <w:szCs w:val="27"/>
                <w:lang w:eastAsia="lv-LV"/>
              </w:rPr>
              <w:t>8</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6AE526D7" w14:textId="77777777" w:rsidR="00230EAE" w:rsidRPr="00384E9F" w:rsidRDefault="00230EAE" w:rsidP="00230EAE">
            <w:pPr>
              <w:rPr>
                <w:rFonts w:ascii="Times New Roman" w:hAnsi="Times New Roman"/>
                <w:sz w:val="27"/>
                <w:szCs w:val="27"/>
                <w:lang w:eastAsia="lv-LV"/>
              </w:rPr>
            </w:pPr>
            <w:r w:rsidRPr="00384E9F">
              <w:rPr>
                <w:rFonts w:ascii="Times New Roman" w:hAnsi="Times New Roman"/>
                <w:sz w:val="27"/>
                <w:szCs w:val="27"/>
                <w:lang w:eastAsia="lv-LV"/>
              </w:rPr>
              <w:t>Projekta ierobežotas pieejamības statuss</w:t>
            </w:r>
          </w:p>
        </w:tc>
        <w:tc>
          <w:tcPr>
            <w:tcW w:w="3329" w:type="pct"/>
            <w:tcBorders>
              <w:top w:val="outset" w:sz="6" w:space="0" w:color="auto"/>
              <w:left w:val="outset" w:sz="6" w:space="0" w:color="auto"/>
              <w:bottom w:val="outset" w:sz="6" w:space="0" w:color="auto"/>
            </w:tcBorders>
          </w:tcPr>
          <w:p w14:paraId="74100435" w14:textId="44818A88" w:rsidR="00230EAE" w:rsidRPr="00384E9F" w:rsidRDefault="00120D26" w:rsidP="00230EAE">
            <w:pPr>
              <w:pStyle w:val="PlainText"/>
              <w:ind w:right="104"/>
              <w:jc w:val="both"/>
              <w:rPr>
                <w:rFonts w:ascii="Times New Roman" w:hAnsi="Times New Roman"/>
                <w:sz w:val="27"/>
                <w:szCs w:val="27"/>
              </w:rPr>
            </w:pPr>
            <w:r>
              <w:rPr>
                <w:rFonts w:ascii="Times New Roman" w:hAnsi="Times New Roman"/>
                <w:iCs/>
                <w:sz w:val="27"/>
                <w:szCs w:val="27"/>
                <w:lang w:eastAsia="lv-LV"/>
              </w:rPr>
              <w:t>Protokollēmuma</w:t>
            </w:r>
            <w:r w:rsidR="003D7C08">
              <w:rPr>
                <w:rFonts w:ascii="Times New Roman" w:hAnsi="Times New Roman"/>
                <w:iCs/>
                <w:sz w:val="27"/>
                <w:szCs w:val="27"/>
                <w:lang w:eastAsia="lv-LV"/>
              </w:rPr>
              <w:t xml:space="preserve"> </w:t>
            </w:r>
            <w:r w:rsidR="00230EAE" w:rsidRPr="00384E9F">
              <w:rPr>
                <w:rFonts w:ascii="Times New Roman" w:hAnsi="Times New Roman"/>
                <w:iCs/>
                <w:sz w:val="27"/>
                <w:szCs w:val="27"/>
                <w:lang w:eastAsia="lv-LV"/>
              </w:rPr>
              <w:t>projektam nav piešķirts ierobežotas pieejamības statuss.</w:t>
            </w:r>
          </w:p>
        </w:tc>
      </w:tr>
      <w:tr w:rsidR="00230EAE" w:rsidRPr="00384E9F" w14:paraId="0C496614" w14:textId="77777777" w:rsidTr="00F555D1">
        <w:tc>
          <w:tcPr>
            <w:tcW w:w="290" w:type="pct"/>
            <w:tcBorders>
              <w:top w:val="outset" w:sz="6" w:space="0" w:color="auto"/>
              <w:bottom w:val="outset" w:sz="6" w:space="0" w:color="auto"/>
              <w:right w:val="outset" w:sz="6" w:space="0" w:color="auto"/>
            </w:tcBorders>
          </w:tcPr>
          <w:p w14:paraId="7B521EE8" w14:textId="77777777" w:rsidR="00230EAE" w:rsidRPr="00384E9F" w:rsidRDefault="002039B5" w:rsidP="002039B5">
            <w:pPr>
              <w:rPr>
                <w:rFonts w:ascii="Times New Roman" w:hAnsi="Times New Roman"/>
                <w:sz w:val="27"/>
                <w:szCs w:val="27"/>
                <w:lang w:eastAsia="lv-LV"/>
              </w:rPr>
            </w:pPr>
            <w:r w:rsidRPr="00384E9F">
              <w:rPr>
                <w:rFonts w:ascii="Times New Roman" w:hAnsi="Times New Roman"/>
                <w:sz w:val="27"/>
                <w:szCs w:val="27"/>
                <w:lang w:eastAsia="lv-LV"/>
              </w:rPr>
              <w:t>9</w:t>
            </w:r>
            <w:r w:rsidR="00230EAE" w:rsidRPr="00384E9F">
              <w:rPr>
                <w:rFonts w:ascii="Times New Roman" w:hAnsi="Times New Roman"/>
                <w:sz w:val="27"/>
                <w:szCs w:val="27"/>
                <w:lang w:eastAsia="lv-LV"/>
              </w:rPr>
              <w:t>.</w:t>
            </w:r>
          </w:p>
        </w:tc>
        <w:tc>
          <w:tcPr>
            <w:tcW w:w="1381" w:type="pct"/>
            <w:tcBorders>
              <w:top w:val="outset" w:sz="6" w:space="0" w:color="auto"/>
              <w:left w:val="outset" w:sz="6" w:space="0" w:color="auto"/>
              <w:bottom w:val="outset" w:sz="6" w:space="0" w:color="auto"/>
              <w:right w:val="outset" w:sz="6" w:space="0" w:color="auto"/>
            </w:tcBorders>
          </w:tcPr>
          <w:p w14:paraId="1878973B" w14:textId="77777777" w:rsidR="00230EAE" w:rsidRPr="00384E9F" w:rsidRDefault="00230EAE" w:rsidP="002039B5">
            <w:pPr>
              <w:rPr>
                <w:rFonts w:ascii="Times New Roman" w:hAnsi="Times New Roman"/>
                <w:sz w:val="27"/>
                <w:szCs w:val="27"/>
                <w:lang w:eastAsia="lv-LV"/>
              </w:rPr>
            </w:pPr>
            <w:r w:rsidRPr="00384E9F">
              <w:rPr>
                <w:rFonts w:ascii="Times New Roman" w:hAnsi="Times New Roman"/>
                <w:sz w:val="27"/>
                <w:szCs w:val="27"/>
                <w:lang w:eastAsia="lv-LV"/>
              </w:rPr>
              <w:t>Cita informācija</w:t>
            </w:r>
          </w:p>
        </w:tc>
        <w:tc>
          <w:tcPr>
            <w:tcW w:w="3329" w:type="pct"/>
            <w:tcBorders>
              <w:top w:val="outset" w:sz="6" w:space="0" w:color="auto"/>
              <w:left w:val="outset" w:sz="6" w:space="0" w:color="auto"/>
              <w:bottom w:val="outset" w:sz="6" w:space="0" w:color="auto"/>
            </w:tcBorders>
          </w:tcPr>
          <w:p w14:paraId="654E6A1A" w14:textId="5D3A3F0B" w:rsidR="00230EAE" w:rsidRPr="00384E9F" w:rsidRDefault="00230EAE" w:rsidP="00D034AA">
            <w:pPr>
              <w:ind w:left="-30" w:right="104"/>
              <w:jc w:val="both"/>
              <w:rPr>
                <w:rFonts w:ascii="Times New Roman" w:hAnsi="Times New Roman"/>
                <w:sz w:val="27"/>
                <w:szCs w:val="27"/>
                <w:lang w:eastAsia="lv-LV"/>
              </w:rPr>
            </w:pPr>
            <w:r w:rsidRPr="00384E9F">
              <w:rPr>
                <w:rFonts w:ascii="Times New Roman" w:hAnsi="Times New Roman"/>
                <w:sz w:val="27"/>
                <w:szCs w:val="27"/>
                <w:lang w:eastAsia="lv-LV"/>
              </w:rPr>
              <w:t>Nav.</w:t>
            </w:r>
          </w:p>
        </w:tc>
      </w:tr>
    </w:tbl>
    <w:p w14:paraId="3675AFD3" w14:textId="77777777" w:rsidR="002337DD" w:rsidRPr="00670614" w:rsidRDefault="002337DD" w:rsidP="005772DF">
      <w:pPr>
        <w:pStyle w:val="Heading1"/>
        <w:spacing w:before="0" w:after="0"/>
        <w:rPr>
          <w:rFonts w:ascii="Times New Roman" w:hAnsi="Times New Roman"/>
          <w:b w:val="0"/>
          <w:sz w:val="27"/>
          <w:szCs w:val="27"/>
        </w:rPr>
      </w:pPr>
    </w:p>
    <w:p w14:paraId="5BE6F337" w14:textId="77777777" w:rsidR="005772DF" w:rsidRPr="00670614" w:rsidRDefault="005772DF" w:rsidP="005772DF">
      <w:pPr>
        <w:pStyle w:val="Heading1"/>
        <w:spacing w:before="0" w:after="0"/>
        <w:rPr>
          <w:rFonts w:ascii="Times New Roman" w:hAnsi="Times New Roman"/>
          <w:b w:val="0"/>
          <w:i/>
          <w:sz w:val="27"/>
          <w:szCs w:val="27"/>
          <w:u w:val="single"/>
        </w:rPr>
      </w:pPr>
      <w:r w:rsidRPr="00670614">
        <w:rPr>
          <w:rFonts w:ascii="Times New Roman" w:hAnsi="Times New Roman"/>
          <w:b w:val="0"/>
          <w:sz w:val="27"/>
          <w:szCs w:val="27"/>
        </w:rPr>
        <w:t>Pielikumā:</w:t>
      </w:r>
    </w:p>
    <w:p w14:paraId="460D5C59" w14:textId="3B4E9B40" w:rsidR="005772DF" w:rsidRPr="00135292" w:rsidRDefault="00B71599" w:rsidP="00A0299F">
      <w:pPr>
        <w:pStyle w:val="PlainText"/>
        <w:numPr>
          <w:ilvl w:val="0"/>
          <w:numId w:val="12"/>
        </w:numPr>
        <w:ind w:left="0" w:right="-1" w:firstLine="360"/>
        <w:jc w:val="both"/>
        <w:rPr>
          <w:rFonts w:ascii="Times New Roman" w:hAnsi="Times New Roman"/>
          <w:sz w:val="27"/>
          <w:szCs w:val="27"/>
        </w:rPr>
      </w:pPr>
      <w:r w:rsidRPr="00AC6E86">
        <w:rPr>
          <w:rFonts w:ascii="Times New Roman" w:hAnsi="Times New Roman"/>
          <w:sz w:val="28"/>
          <w:szCs w:val="28"/>
        </w:rPr>
        <w:t xml:space="preserve">Ministru kabineta sēdes </w:t>
      </w:r>
      <w:r>
        <w:rPr>
          <w:rFonts w:ascii="Times New Roman" w:hAnsi="Times New Roman"/>
          <w:sz w:val="28"/>
          <w:szCs w:val="28"/>
        </w:rPr>
        <w:t>p</w:t>
      </w:r>
      <w:r w:rsidR="00870CDA">
        <w:rPr>
          <w:rFonts w:ascii="Times New Roman" w:hAnsi="Times New Roman"/>
          <w:sz w:val="27"/>
          <w:szCs w:val="27"/>
        </w:rPr>
        <w:t>rotokollēmuma</w:t>
      </w:r>
      <w:r w:rsidR="00E62E93" w:rsidRPr="00135292">
        <w:rPr>
          <w:rFonts w:ascii="Times New Roman" w:hAnsi="Times New Roman"/>
          <w:sz w:val="27"/>
          <w:szCs w:val="27"/>
        </w:rPr>
        <w:t xml:space="preserve"> p</w:t>
      </w:r>
      <w:r w:rsidR="00A0299F" w:rsidRPr="00135292">
        <w:rPr>
          <w:rFonts w:ascii="Times New Roman" w:hAnsi="Times New Roman"/>
          <w:sz w:val="27"/>
          <w:szCs w:val="27"/>
        </w:rPr>
        <w:t>rojekts (datne</w:t>
      </w:r>
      <w:r w:rsidR="00A336F3">
        <w:rPr>
          <w:rFonts w:ascii="Times New Roman" w:hAnsi="Times New Roman"/>
          <w:sz w:val="27"/>
          <w:szCs w:val="27"/>
        </w:rPr>
        <w:t>:</w:t>
      </w:r>
      <w:r w:rsidR="00CA13F8" w:rsidRPr="00135292">
        <w:rPr>
          <w:rFonts w:ascii="Times New Roman" w:hAnsi="Times New Roman"/>
          <w:sz w:val="27"/>
          <w:szCs w:val="27"/>
        </w:rPr>
        <w:t xml:space="preserve"> </w:t>
      </w:r>
      <w:r w:rsidR="003E78E5" w:rsidRPr="00135292">
        <w:rPr>
          <w:rFonts w:ascii="Times New Roman" w:hAnsi="Times New Roman"/>
          <w:sz w:val="27"/>
          <w:szCs w:val="27"/>
        </w:rPr>
        <w:t>FM</w:t>
      </w:r>
      <w:r>
        <w:rPr>
          <w:rFonts w:ascii="Times New Roman" w:hAnsi="Times New Roman"/>
          <w:sz w:val="27"/>
          <w:szCs w:val="27"/>
        </w:rPr>
        <w:t>Pro</w:t>
      </w:r>
      <w:r w:rsidR="00E62E93" w:rsidRPr="00135292">
        <w:rPr>
          <w:rFonts w:ascii="Times New Roman" w:hAnsi="Times New Roman"/>
          <w:sz w:val="27"/>
          <w:szCs w:val="27"/>
        </w:rPr>
        <w:t>t</w:t>
      </w:r>
      <w:r w:rsidR="003E78E5" w:rsidRPr="00135292">
        <w:rPr>
          <w:rFonts w:ascii="Times New Roman" w:hAnsi="Times New Roman"/>
          <w:sz w:val="27"/>
          <w:szCs w:val="27"/>
        </w:rPr>
        <w:t>_</w:t>
      </w:r>
      <w:r w:rsidR="00D766D4">
        <w:rPr>
          <w:rFonts w:ascii="Times New Roman" w:hAnsi="Times New Roman"/>
          <w:sz w:val="27"/>
          <w:szCs w:val="27"/>
        </w:rPr>
        <w:t>0412</w:t>
      </w:r>
      <w:r w:rsidR="00D308E2">
        <w:rPr>
          <w:rFonts w:ascii="Times New Roman" w:hAnsi="Times New Roman"/>
          <w:sz w:val="27"/>
          <w:szCs w:val="27"/>
        </w:rPr>
        <w:t>9</w:t>
      </w:r>
      <w:r w:rsidR="003E78E5" w:rsidRPr="00135292">
        <w:rPr>
          <w:rFonts w:ascii="Times New Roman" w:hAnsi="Times New Roman"/>
          <w:sz w:val="27"/>
          <w:szCs w:val="27"/>
        </w:rPr>
        <w:t>18_</w:t>
      </w:r>
      <w:r w:rsidR="00E62E93" w:rsidRPr="00135292">
        <w:rPr>
          <w:rFonts w:ascii="Times New Roman" w:hAnsi="Times New Roman"/>
          <w:sz w:val="27"/>
          <w:szCs w:val="27"/>
        </w:rPr>
        <w:t>mk_</w:t>
      </w:r>
      <w:r>
        <w:rPr>
          <w:rFonts w:ascii="Times New Roman" w:hAnsi="Times New Roman"/>
          <w:sz w:val="27"/>
          <w:szCs w:val="27"/>
        </w:rPr>
        <w:t>prot_</w:t>
      </w:r>
      <w:r w:rsidR="00D766D4">
        <w:rPr>
          <w:rFonts w:ascii="Times New Roman" w:hAnsi="Times New Roman"/>
          <w:sz w:val="27"/>
          <w:szCs w:val="27"/>
        </w:rPr>
        <w:t>52</w:t>
      </w:r>
      <w:r w:rsidR="005772DF" w:rsidRPr="00135292">
        <w:rPr>
          <w:rFonts w:ascii="Times New Roman" w:hAnsi="Times New Roman"/>
          <w:sz w:val="27"/>
          <w:szCs w:val="27"/>
        </w:rPr>
        <w:t xml:space="preserve">) uz </w:t>
      </w:r>
      <w:r w:rsidR="00870CDA">
        <w:rPr>
          <w:rFonts w:ascii="Times New Roman" w:hAnsi="Times New Roman"/>
          <w:sz w:val="27"/>
          <w:szCs w:val="27"/>
        </w:rPr>
        <w:t>1</w:t>
      </w:r>
      <w:r w:rsidR="00F7302C" w:rsidRPr="00135292">
        <w:rPr>
          <w:rFonts w:ascii="Times New Roman" w:hAnsi="Times New Roman"/>
          <w:sz w:val="27"/>
          <w:szCs w:val="27"/>
        </w:rPr>
        <w:t xml:space="preserve"> </w:t>
      </w:r>
      <w:r w:rsidR="005772DF" w:rsidRPr="00135292">
        <w:rPr>
          <w:rFonts w:ascii="Times New Roman" w:hAnsi="Times New Roman"/>
          <w:sz w:val="27"/>
          <w:szCs w:val="27"/>
        </w:rPr>
        <w:t>lp.;</w:t>
      </w:r>
    </w:p>
    <w:p w14:paraId="63C406A2" w14:textId="51F17BC4" w:rsidR="00D73DAD" w:rsidRDefault="00D73DAD" w:rsidP="00D73DAD">
      <w:pPr>
        <w:pStyle w:val="PlainText"/>
        <w:numPr>
          <w:ilvl w:val="0"/>
          <w:numId w:val="12"/>
        </w:numPr>
        <w:ind w:left="0" w:right="-1" w:firstLine="360"/>
        <w:jc w:val="both"/>
        <w:rPr>
          <w:rFonts w:ascii="Times New Roman" w:hAnsi="Times New Roman"/>
          <w:sz w:val="27"/>
          <w:szCs w:val="27"/>
        </w:rPr>
      </w:pPr>
      <w:r>
        <w:rPr>
          <w:rFonts w:ascii="Times New Roman" w:hAnsi="Times New Roman"/>
          <w:sz w:val="27"/>
          <w:szCs w:val="27"/>
        </w:rPr>
        <w:t xml:space="preserve">Zemkopības ministrijas 2018.gada </w:t>
      </w:r>
      <w:r w:rsidR="00D766D4" w:rsidRPr="00D766D4">
        <w:rPr>
          <w:rFonts w:ascii="Times New Roman" w:hAnsi="Times New Roman"/>
          <w:sz w:val="27"/>
          <w:szCs w:val="27"/>
        </w:rPr>
        <w:t>4</w:t>
      </w:r>
      <w:r w:rsidR="00B71599" w:rsidRPr="00D766D4">
        <w:rPr>
          <w:rFonts w:ascii="Times New Roman" w:hAnsi="Times New Roman"/>
          <w:sz w:val="27"/>
          <w:szCs w:val="27"/>
        </w:rPr>
        <w:t>.</w:t>
      </w:r>
      <w:r w:rsidR="00D766D4" w:rsidRPr="00D766D4">
        <w:rPr>
          <w:rFonts w:ascii="Times New Roman" w:hAnsi="Times New Roman"/>
          <w:sz w:val="27"/>
          <w:szCs w:val="27"/>
        </w:rPr>
        <w:t>dec</w:t>
      </w:r>
      <w:r w:rsidR="00D308E2" w:rsidRPr="00D766D4">
        <w:rPr>
          <w:rFonts w:ascii="Times New Roman" w:hAnsi="Times New Roman"/>
          <w:sz w:val="27"/>
          <w:szCs w:val="27"/>
        </w:rPr>
        <w:t>embrī</w:t>
      </w:r>
      <w:r w:rsidR="00D308E2">
        <w:rPr>
          <w:rFonts w:ascii="Times New Roman" w:hAnsi="Times New Roman"/>
          <w:sz w:val="27"/>
          <w:szCs w:val="27"/>
        </w:rPr>
        <w:t xml:space="preserve"> </w:t>
      </w:r>
      <w:r w:rsidR="008D16C1">
        <w:rPr>
          <w:rFonts w:ascii="Times New Roman" w:hAnsi="Times New Roman"/>
          <w:sz w:val="27"/>
          <w:szCs w:val="27"/>
        </w:rPr>
        <w:t>elektroniski sniegtais</w:t>
      </w:r>
      <w:r>
        <w:rPr>
          <w:rFonts w:ascii="Times New Roman" w:hAnsi="Times New Roman"/>
          <w:sz w:val="27"/>
          <w:szCs w:val="27"/>
        </w:rPr>
        <w:t xml:space="preserve"> atzinums (datne</w:t>
      </w:r>
      <w:r w:rsidR="00CD6D1C">
        <w:rPr>
          <w:rFonts w:ascii="Times New Roman" w:hAnsi="Times New Roman"/>
          <w:sz w:val="27"/>
          <w:szCs w:val="27"/>
        </w:rPr>
        <w:t>:</w:t>
      </w:r>
      <w:r w:rsidR="00B25592">
        <w:rPr>
          <w:rFonts w:ascii="Times New Roman" w:hAnsi="Times New Roman"/>
          <w:sz w:val="27"/>
          <w:szCs w:val="27"/>
        </w:rPr>
        <w:t xml:space="preserve"> ZMAtz_</w:t>
      </w:r>
      <w:r w:rsidR="00D766D4" w:rsidRPr="00D766D4">
        <w:rPr>
          <w:rFonts w:ascii="Times New Roman" w:hAnsi="Times New Roman"/>
          <w:sz w:val="27"/>
          <w:szCs w:val="27"/>
        </w:rPr>
        <w:t>04</w:t>
      </w:r>
      <w:r w:rsidR="008C7053" w:rsidRPr="00D766D4">
        <w:rPr>
          <w:rFonts w:ascii="Times New Roman" w:hAnsi="Times New Roman"/>
          <w:sz w:val="27"/>
          <w:szCs w:val="27"/>
        </w:rPr>
        <w:t>12</w:t>
      </w:r>
      <w:r w:rsidR="00D308E2" w:rsidRPr="00D766D4">
        <w:rPr>
          <w:rFonts w:ascii="Times New Roman" w:hAnsi="Times New Roman"/>
          <w:sz w:val="27"/>
          <w:szCs w:val="27"/>
        </w:rPr>
        <w:t>18</w:t>
      </w:r>
      <w:r w:rsidR="00D766D4">
        <w:rPr>
          <w:rFonts w:ascii="Times New Roman" w:hAnsi="Times New Roman"/>
          <w:sz w:val="27"/>
          <w:szCs w:val="27"/>
        </w:rPr>
        <w:t>_mk_prot_52</w:t>
      </w:r>
      <w:r>
        <w:rPr>
          <w:rFonts w:ascii="Times New Roman" w:hAnsi="Times New Roman"/>
          <w:sz w:val="27"/>
          <w:szCs w:val="27"/>
        </w:rPr>
        <w:t xml:space="preserve">) uz </w:t>
      </w:r>
      <w:r w:rsidR="008D16C1">
        <w:rPr>
          <w:rFonts w:ascii="Times New Roman" w:hAnsi="Times New Roman"/>
          <w:sz w:val="27"/>
          <w:szCs w:val="27"/>
        </w:rPr>
        <w:t>1</w:t>
      </w:r>
      <w:r>
        <w:rPr>
          <w:rFonts w:ascii="Times New Roman" w:hAnsi="Times New Roman"/>
          <w:sz w:val="27"/>
          <w:szCs w:val="27"/>
        </w:rPr>
        <w:t xml:space="preserve"> lp.</w:t>
      </w:r>
    </w:p>
    <w:p w14:paraId="6B0FD621" w14:textId="77777777" w:rsidR="00135292" w:rsidRPr="00384E9F" w:rsidRDefault="00135292" w:rsidP="00135292">
      <w:pPr>
        <w:pStyle w:val="PlainText"/>
        <w:ind w:left="360" w:right="-1"/>
        <w:jc w:val="both"/>
        <w:rPr>
          <w:rFonts w:ascii="Times New Roman" w:hAnsi="Times New Roman"/>
          <w:sz w:val="27"/>
          <w:szCs w:val="27"/>
        </w:rPr>
      </w:pPr>
    </w:p>
    <w:p w14:paraId="3DAD6420" w14:textId="77777777" w:rsidR="00D37903" w:rsidRDefault="00D37903" w:rsidP="00AD0DCD">
      <w:pPr>
        <w:tabs>
          <w:tab w:val="left" w:pos="6663"/>
        </w:tabs>
        <w:spacing w:after="0" w:line="240" w:lineRule="auto"/>
        <w:rPr>
          <w:rFonts w:ascii="Times New Roman" w:hAnsi="Times New Roman"/>
          <w:sz w:val="28"/>
          <w:szCs w:val="28"/>
        </w:rPr>
      </w:pPr>
    </w:p>
    <w:p w14:paraId="23843901" w14:textId="5D2709BC" w:rsidR="0027431D" w:rsidRPr="00D4323E" w:rsidRDefault="00567D36" w:rsidP="00AD0DCD">
      <w:pPr>
        <w:tabs>
          <w:tab w:val="left" w:pos="6663"/>
        </w:tabs>
        <w:spacing w:after="0" w:line="240" w:lineRule="auto"/>
        <w:rPr>
          <w:rFonts w:ascii="Times New Roman" w:hAnsi="Times New Roman"/>
          <w:sz w:val="28"/>
          <w:szCs w:val="28"/>
        </w:rPr>
      </w:pPr>
      <w:r w:rsidRPr="00D4323E">
        <w:rPr>
          <w:rFonts w:ascii="Times New Roman" w:hAnsi="Times New Roman"/>
          <w:sz w:val="28"/>
          <w:szCs w:val="28"/>
        </w:rPr>
        <w:t>Finanšu m</w:t>
      </w:r>
      <w:r w:rsidR="006A2953" w:rsidRPr="00D4323E">
        <w:rPr>
          <w:rFonts w:ascii="Times New Roman" w:hAnsi="Times New Roman"/>
          <w:sz w:val="28"/>
          <w:szCs w:val="28"/>
        </w:rPr>
        <w:t>inistre</w:t>
      </w:r>
      <w:r w:rsidR="0027431D" w:rsidRPr="00D4323E">
        <w:rPr>
          <w:rFonts w:ascii="Times New Roman" w:hAnsi="Times New Roman"/>
          <w:sz w:val="28"/>
          <w:szCs w:val="28"/>
        </w:rPr>
        <w:t xml:space="preserve">                                                    </w:t>
      </w:r>
      <w:r w:rsidRPr="00D4323E">
        <w:rPr>
          <w:rFonts w:ascii="Times New Roman" w:hAnsi="Times New Roman"/>
          <w:sz w:val="28"/>
          <w:szCs w:val="28"/>
        </w:rPr>
        <w:t xml:space="preserve">               D.Reizniece-Ozola            </w:t>
      </w:r>
    </w:p>
    <w:p w14:paraId="78EC5581" w14:textId="32E130C8" w:rsidR="005A4ED5" w:rsidRPr="00D4323E" w:rsidRDefault="00230EAE" w:rsidP="0027431D">
      <w:pPr>
        <w:spacing w:after="0" w:line="240" w:lineRule="auto"/>
        <w:rPr>
          <w:rFonts w:ascii="Times New Roman" w:hAnsi="Times New Roman"/>
          <w:sz w:val="28"/>
          <w:szCs w:val="28"/>
        </w:rPr>
      </w:pPr>
      <w:r w:rsidRPr="00D4323E">
        <w:rPr>
          <w:rFonts w:ascii="Times New Roman" w:hAnsi="Times New Roman"/>
          <w:sz w:val="28"/>
          <w:szCs w:val="28"/>
        </w:rPr>
        <w:t xml:space="preserve">                                                                               </w:t>
      </w:r>
      <w:r w:rsidR="00426301" w:rsidRPr="00D4323E">
        <w:rPr>
          <w:rFonts w:ascii="Times New Roman" w:hAnsi="Times New Roman"/>
          <w:sz w:val="28"/>
          <w:szCs w:val="28"/>
        </w:rPr>
        <w:t xml:space="preserve">                     </w:t>
      </w:r>
      <w:r w:rsidRPr="00D4323E">
        <w:rPr>
          <w:rFonts w:ascii="Times New Roman" w:hAnsi="Times New Roman"/>
          <w:sz w:val="28"/>
          <w:szCs w:val="28"/>
        </w:rPr>
        <w:t xml:space="preserve">    </w:t>
      </w:r>
      <w:r w:rsidR="00107281" w:rsidRPr="00D4323E">
        <w:rPr>
          <w:rFonts w:ascii="Times New Roman" w:hAnsi="Times New Roman"/>
          <w:sz w:val="28"/>
          <w:szCs w:val="28"/>
        </w:rPr>
        <w:t xml:space="preserve"> </w:t>
      </w:r>
      <w:r w:rsidRPr="00D4323E">
        <w:rPr>
          <w:rFonts w:ascii="Times New Roman" w:hAnsi="Times New Roman"/>
          <w:sz w:val="28"/>
          <w:szCs w:val="28"/>
        </w:rPr>
        <w:t xml:space="preserve"> </w:t>
      </w:r>
    </w:p>
    <w:p w14:paraId="3735B160" w14:textId="77777777" w:rsidR="00D37903" w:rsidRDefault="00D37903" w:rsidP="00EE2D32">
      <w:pPr>
        <w:pStyle w:val="naiskr"/>
        <w:spacing w:before="0" w:after="0"/>
        <w:rPr>
          <w:sz w:val="20"/>
          <w:szCs w:val="20"/>
          <w:lang w:eastAsia="en-US"/>
        </w:rPr>
      </w:pPr>
    </w:p>
    <w:p w14:paraId="7C387A4A" w14:textId="77777777" w:rsidR="00D37903" w:rsidRDefault="00D37903" w:rsidP="00EE2D32">
      <w:pPr>
        <w:pStyle w:val="naiskr"/>
        <w:spacing w:before="0" w:after="0"/>
        <w:rPr>
          <w:sz w:val="20"/>
          <w:szCs w:val="20"/>
          <w:lang w:eastAsia="en-US"/>
        </w:rPr>
      </w:pPr>
    </w:p>
    <w:p w14:paraId="51A99219" w14:textId="77777777" w:rsidR="00D37903" w:rsidRDefault="00D37903" w:rsidP="00EE2D32">
      <w:pPr>
        <w:pStyle w:val="naiskr"/>
        <w:spacing w:before="0" w:after="0"/>
        <w:rPr>
          <w:sz w:val="20"/>
          <w:szCs w:val="20"/>
          <w:lang w:eastAsia="en-US"/>
        </w:rPr>
      </w:pPr>
    </w:p>
    <w:p w14:paraId="75FF4AE6" w14:textId="77777777" w:rsidR="00D37903" w:rsidRDefault="00D37903" w:rsidP="00EE2D32">
      <w:pPr>
        <w:pStyle w:val="naiskr"/>
        <w:spacing w:before="0" w:after="0"/>
        <w:rPr>
          <w:sz w:val="20"/>
          <w:szCs w:val="20"/>
          <w:lang w:eastAsia="en-US"/>
        </w:rPr>
      </w:pPr>
    </w:p>
    <w:p w14:paraId="03CB3162" w14:textId="77777777" w:rsidR="00D37903" w:rsidRDefault="00D37903" w:rsidP="00EE2D32">
      <w:pPr>
        <w:pStyle w:val="naiskr"/>
        <w:spacing w:before="0" w:after="0"/>
        <w:rPr>
          <w:sz w:val="20"/>
          <w:szCs w:val="20"/>
          <w:lang w:eastAsia="en-US"/>
        </w:rPr>
      </w:pPr>
    </w:p>
    <w:p w14:paraId="1D9925A9" w14:textId="1E66489C" w:rsidR="002337DD" w:rsidRPr="00107281" w:rsidRDefault="00135292" w:rsidP="00EE2D32">
      <w:pPr>
        <w:pStyle w:val="naiskr"/>
        <w:spacing w:before="0" w:after="0"/>
        <w:rPr>
          <w:sz w:val="20"/>
          <w:szCs w:val="20"/>
          <w:lang w:eastAsia="en-US"/>
        </w:rPr>
      </w:pPr>
      <w:r>
        <w:rPr>
          <w:sz w:val="20"/>
          <w:szCs w:val="20"/>
          <w:lang w:eastAsia="en-US"/>
        </w:rPr>
        <w:t>Lukss 67083846</w:t>
      </w:r>
    </w:p>
    <w:p w14:paraId="1746782C" w14:textId="618F1AA1" w:rsidR="00DB7BB8" w:rsidRDefault="00313C88" w:rsidP="005A4A35">
      <w:pPr>
        <w:pStyle w:val="naiskr"/>
        <w:spacing w:before="0" w:after="0"/>
        <w:rPr>
          <w:sz w:val="20"/>
          <w:szCs w:val="20"/>
          <w:lang w:eastAsia="en-US"/>
        </w:rPr>
      </w:pPr>
      <w:hyperlink r:id="rId7" w:history="1">
        <w:r w:rsidR="00135292" w:rsidRPr="006C3C12">
          <w:rPr>
            <w:rStyle w:val="Hyperlink"/>
            <w:sz w:val="20"/>
            <w:szCs w:val="20"/>
            <w:lang w:eastAsia="en-US"/>
          </w:rPr>
          <w:t>Juris.Lukss@fm.gov.lv</w:t>
        </w:r>
      </w:hyperlink>
    </w:p>
    <w:p w14:paraId="7A6174A0" w14:textId="77777777" w:rsidR="00AD2169" w:rsidRPr="00DB7BB8" w:rsidRDefault="00AD2169" w:rsidP="005A4A35">
      <w:pPr>
        <w:pStyle w:val="naiskr"/>
        <w:spacing w:before="0" w:after="0"/>
        <w:rPr>
          <w:sz w:val="20"/>
          <w:szCs w:val="20"/>
          <w:lang w:eastAsia="en-US"/>
        </w:rPr>
      </w:pPr>
    </w:p>
    <w:sectPr w:rsidR="00AD2169" w:rsidRPr="00DB7BB8" w:rsidSect="00120D26">
      <w:headerReference w:type="default" r:id="rId8"/>
      <w:footerReference w:type="default" r:id="rId9"/>
      <w:headerReference w:type="first" r:id="rId10"/>
      <w:foot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88D4D" w14:textId="77777777" w:rsidR="00313C88" w:rsidRDefault="00313C88">
      <w:pPr>
        <w:spacing w:after="0" w:line="240" w:lineRule="auto"/>
      </w:pPr>
      <w:r>
        <w:separator/>
      </w:r>
    </w:p>
  </w:endnote>
  <w:endnote w:type="continuationSeparator" w:id="0">
    <w:p w14:paraId="563EA621" w14:textId="77777777" w:rsidR="00313C88" w:rsidRDefault="0031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489" w14:textId="4AB702F7" w:rsidR="00A0299F" w:rsidRDefault="00A0299F" w:rsidP="00A0299F">
    <w:pPr>
      <w:pStyle w:val="Footer"/>
      <w:jc w:val="both"/>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884A98">
      <w:rPr>
        <w:rFonts w:ascii="Times New Roman" w:hAnsi="Times New Roman"/>
        <w:noProof/>
      </w:rPr>
      <w:t>FMPav_301118_mk_prot_52.docx</w:t>
    </w:r>
    <w:r>
      <w:rPr>
        <w:rFonts w:ascii="Times New Roman" w:hAnsi="Times New Roman"/>
      </w:rPr>
      <w:fldChar w:fldCharType="end"/>
    </w:r>
  </w:p>
  <w:p w14:paraId="7EBFB761" w14:textId="77777777" w:rsidR="00EE2D32" w:rsidRPr="00EE2D32" w:rsidRDefault="00EE2D32" w:rsidP="00EE2D32">
    <w:pPr>
      <w:pStyle w:val="Footer"/>
      <w:jc w:val="both"/>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3823" w14:textId="2735ADD8" w:rsidR="00B53F26" w:rsidRDefault="005A4ED5" w:rsidP="00EE2D32">
    <w:pPr>
      <w:pStyle w:val="Footer"/>
      <w:jc w:val="both"/>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sidR="00884A98">
      <w:rPr>
        <w:rFonts w:ascii="Times New Roman" w:hAnsi="Times New Roman"/>
        <w:noProof/>
      </w:rPr>
      <w:t>FMPav_301118_mk_prot_52.docx</w:t>
    </w:r>
    <w:r>
      <w:rPr>
        <w:rFonts w:ascii="Times New Roman" w:hAnsi="Times New Roman"/>
      </w:rPr>
      <w:fldChar w:fldCharType="end"/>
    </w:r>
  </w:p>
  <w:p w14:paraId="6605502F" w14:textId="77777777" w:rsidR="00EE2D32" w:rsidRPr="00EE2D32" w:rsidRDefault="00EE2D32" w:rsidP="00EE2D32">
    <w:pPr>
      <w:pStyle w:val="Footer"/>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901E" w14:textId="77777777" w:rsidR="00313C88" w:rsidRDefault="00313C88">
      <w:pPr>
        <w:spacing w:after="0" w:line="240" w:lineRule="auto"/>
      </w:pPr>
      <w:r>
        <w:separator/>
      </w:r>
    </w:p>
  </w:footnote>
  <w:footnote w:type="continuationSeparator" w:id="0">
    <w:p w14:paraId="56169931" w14:textId="77777777" w:rsidR="00313C88" w:rsidRDefault="00313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047242"/>
      <w:docPartObj>
        <w:docPartGallery w:val="Page Numbers (Top of Page)"/>
        <w:docPartUnique/>
      </w:docPartObj>
    </w:sdtPr>
    <w:sdtEndPr>
      <w:rPr>
        <w:rFonts w:ascii="Times New Roman" w:hAnsi="Times New Roman"/>
        <w:noProof/>
        <w:sz w:val="24"/>
        <w:szCs w:val="24"/>
      </w:rPr>
    </w:sdtEndPr>
    <w:sdtContent>
      <w:p w14:paraId="5D750994" w14:textId="6E79005E" w:rsidR="00EE2D32" w:rsidRPr="00EE2D32" w:rsidRDefault="00EE2D32">
        <w:pPr>
          <w:pStyle w:val="Header"/>
          <w:jc w:val="center"/>
          <w:rPr>
            <w:rFonts w:ascii="Times New Roman" w:hAnsi="Times New Roman"/>
            <w:sz w:val="24"/>
            <w:szCs w:val="24"/>
          </w:rPr>
        </w:pPr>
        <w:r w:rsidRPr="00EE2D32">
          <w:rPr>
            <w:rFonts w:ascii="Times New Roman" w:hAnsi="Times New Roman"/>
            <w:sz w:val="24"/>
            <w:szCs w:val="24"/>
          </w:rPr>
          <w:fldChar w:fldCharType="begin"/>
        </w:r>
        <w:r w:rsidRPr="00EE2D32">
          <w:rPr>
            <w:rFonts w:ascii="Times New Roman" w:hAnsi="Times New Roman"/>
            <w:sz w:val="24"/>
            <w:szCs w:val="24"/>
          </w:rPr>
          <w:instrText xml:space="preserve"> PAGE   \* MERGEFORMAT </w:instrText>
        </w:r>
        <w:r w:rsidRPr="00EE2D32">
          <w:rPr>
            <w:rFonts w:ascii="Times New Roman" w:hAnsi="Times New Roman"/>
            <w:sz w:val="24"/>
            <w:szCs w:val="24"/>
          </w:rPr>
          <w:fldChar w:fldCharType="separate"/>
        </w:r>
        <w:r w:rsidR="00DE023B">
          <w:rPr>
            <w:rFonts w:ascii="Times New Roman" w:hAnsi="Times New Roman"/>
            <w:noProof/>
            <w:sz w:val="24"/>
            <w:szCs w:val="24"/>
          </w:rPr>
          <w:t>2</w:t>
        </w:r>
        <w:r w:rsidRPr="00EE2D32">
          <w:rPr>
            <w:rFonts w:ascii="Times New Roman" w:hAnsi="Times New Roman"/>
            <w:noProof/>
            <w:sz w:val="24"/>
            <w:szCs w:val="24"/>
          </w:rPr>
          <w:fldChar w:fldCharType="end"/>
        </w:r>
      </w:p>
    </w:sdtContent>
  </w:sdt>
  <w:p w14:paraId="6DFD68E3" w14:textId="77777777" w:rsidR="00EE2D32" w:rsidRDefault="00EE2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2983" w14:textId="77777777" w:rsidR="00604C34" w:rsidRDefault="00604C34" w:rsidP="00604C34">
    <w:pPr>
      <w:pStyle w:val="Header"/>
      <w:jc w:val="right"/>
      <w:rPr>
        <w:rFonts w:ascii="Times New Roman" w:hAnsi="Times New Roman"/>
        <w:noProof/>
        <w:lang w:eastAsia="lv-LV"/>
      </w:rPr>
    </w:pPr>
  </w:p>
  <w:p w14:paraId="156F71AA" w14:textId="77777777" w:rsidR="00604C34" w:rsidRDefault="001D1D2E"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59776" behindDoc="1" locked="0" layoutInCell="1" allowOverlap="1" wp14:anchorId="11D74CC7" wp14:editId="0BA92EF6">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r w:rsidR="00D1108C">
      <w:rPr>
        <w:rFonts w:ascii="Times New Roman" w:hAnsi="Times New Roman"/>
        <w:noProof/>
        <w:lang w:eastAsia="lv-LV"/>
      </w:rPr>
      <w:tab/>
    </w:r>
  </w:p>
  <w:p w14:paraId="6F684FF6" w14:textId="77777777" w:rsidR="00604C34" w:rsidRDefault="00604C34" w:rsidP="00604C34">
    <w:pPr>
      <w:pStyle w:val="Header"/>
      <w:jc w:val="right"/>
      <w:rPr>
        <w:rFonts w:ascii="Times New Roman" w:hAnsi="Times New Roman"/>
        <w:noProof/>
        <w:lang w:eastAsia="lv-LV"/>
      </w:rPr>
    </w:pPr>
  </w:p>
  <w:p w14:paraId="0FD07BF8" w14:textId="77777777" w:rsidR="00604C34" w:rsidRDefault="00604C34" w:rsidP="00604C34">
    <w:pPr>
      <w:pStyle w:val="Header"/>
      <w:jc w:val="right"/>
      <w:rPr>
        <w:rFonts w:ascii="Times New Roman" w:hAnsi="Times New Roman"/>
        <w:noProof/>
        <w:lang w:eastAsia="lv-LV"/>
      </w:rPr>
    </w:pPr>
  </w:p>
  <w:p w14:paraId="4C308646" w14:textId="77777777" w:rsidR="00604C34" w:rsidRPr="00604C34" w:rsidRDefault="00604C34" w:rsidP="00604C34">
    <w:pPr>
      <w:pStyle w:val="Header"/>
      <w:jc w:val="right"/>
      <w:rPr>
        <w:rFonts w:ascii="Times New Roman" w:hAnsi="Times New Roman"/>
        <w:noProof/>
        <w:lang w:eastAsia="lv-LV"/>
      </w:rPr>
    </w:pPr>
  </w:p>
  <w:p w14:paraId="7C9C1992" w14:textId="77777777" w:rsidR="00C85880" w:rsidRDefault="00C85880" w:rsidP="001D3984">
    <w:pPr>
      <w:pStyle w:val="Header"/>
      <w:jc w:val="center"/>
      <w:rPr>
        <w:rFonts w:ascii="Times New Roman" w:hAnsi="Times New Roman"/>
      </w:rPr>
    </w:pPr>
  </w:p>
  <w:p w14:paraId="0B8DF6B2" w14:textId="77777777" w:rsidR="00554B17" w:rsidRDefault="00554B17" w:rsidP="001D1D2E">
    <w:pPr>
      <w:pStyle w:val="Header"/>
      <w:jc w:val="center"/>
      <w:rPr>
        <w:rFonts w:ascii="Times New Roman" w:hAnsi="Times New Roman"/>
      </w:rPr>
    </w:pPr>
  </w:p>
  <w:p w14:paraId="603DB97E" w14:textId="77777777" w:rsidR="00C85880" w:rsidRDefault="00C85880" w:rsidP="00554B17">
    <w:pPr>
      <w:pStyle w:val="Header"/>
      <w:jc w:val="right"/>
      <w:rPr>
        <w:rFonts w:ascii="Times New Roman" w:hAnsi="Times New Roman"/>
      </w:rPr>
    </w:pPr>
  </w:p>
  <w:p w14:paraId="3B0204C5" w14:textId="77777777" w:rsidR="00554B17" w:rsidRDefault="00C85880"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77DC5EB" w14:textId="77777777" w:rsidR="00C85880" w:rsidRPr="001D1D2E" w:rsidRDefault="00C85880"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747B3D79" wp14:editId="36F24E4F">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3EC1E"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margin" anchory="page"/>
            </v:group>
          </w:pict>
        </mc:Fallback>
      </mc:AlternateContent>
    </w:r>
  </w:p>
  <w:p w14:paraId="0F1EA5BC" w14:textId="77777777" w:rsidR="00E54046" w:rsidRPr="00D1108C" w:rsidRDefault="00D1108C"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001560D5" w:rsidRPr="00D1108C">
      <w:rPr>
        <w:noProof/>
        <w:color w:val="000000"/>
        <w:lang w:eastAsia="lv-LV"/>
      </w:rPr>
      <mc:AlternateContent>
        <mc:Choice Requires="wps">
          <w:drawing>
            <wp:anchor distT="0" distB="0" distL="114300" distR="114300" simplePos="0" relativeHeight="251658752" behindDoc="1" locked="0" layoutInCell="1" allowOverlap="1" wp14:anchorId="08B2F037" wp14:editId="53B61458">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F037"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10632CAA" w14:textId="77777777" w:rsidR="00E54046" w:rsidRDefault="00E54046"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sidR="006C7C0F">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sidR="006C7C0F">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685971E5"/>
    <w:multiLevelType w:val="hybridMultilevel"/>
    <w:tmpl w:val="D380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DF"/>
    <w:rsid w:val="00006384"/>
    <w:rsid w:val="0000703C"/>
    <w:rsid w:val="0000739B"/>
    <w:rsid w:val="00012E94"/>
    <w:rsid w:val="00014082"/>
    <w:rsid w:val="00022F91"/>
    <w:rsid w:val="000260CE"/>
    <w:rsid w:val="00030349"/>
    <w:rsid w:val="00031963"/>
    <w:rsid w:val="00036362"/>
    <w:rsid w:val="0005414C"/>
    <w:rsid w:val="00056406"/>
    <w:rsid w:val="00073F67"/>
    <w:rsid w:val="00092DCD"/>
    <w:rsid w:val="00094A6C"/>
    <w:rsid w:val="000B2EB7"/>
    <w:rsid w:val="000B6B8D"/>
    <w:rsid w:val="000F6EF8"/>
    <w:rsid w:val="00102D11"/>
    <w:rsid w:val="00103E6D"/>
    <w:rsid w:val="00107281"/>
    <w:rsid w:val="00114E9F"/>
    <w:rsid w:val="00120D26"/>
    <w:rsid w:val="001231D4"/>
    <w:rsid w:val="00124173"/>
    <w:rsid w:val="00126451"/>
    <w:rsid w:val="00126BC8"/>
    <w:rsid w:val="00126F64"/>
    <w:rsid w:val="0013101E"/>
    <w:rsid w:val="00135292"/>
    <w:rsid w:val="00143999"/>
    <w:rsid w:val="001473E6"/>
    <w:rsid w:val="00151A52"/>
    <w:rsid w:val="001560D5"/>
    <w:rsid w:val="001673C4"/>
    <w:rsid w:val="00176908"/>
    <w:rsid w:val="001A70E0"/>
    <w:rsid w:val="001B73EE"/>
    <w:rsid w:val="001D1D2E"/>
    <w:rsid w:val="001D3984"/>
    <w:rsid w:val="001D6230"/>
    <w:rsid w:val="001E069C"/>
    <w:rsid w:val="002039B5"/>
    <w:rsid w:val="002055BA"/>
    <w:rsid w:val="00211ECD"/>
    <w:rsid w:val="00214EAC"/>
    <w:rsid w:val="002168C2"/>
    <w:rsid w:val="00223EE1"/>
    <w:rsid w:val="00223F68"/>
    <w:rsid w:val="00230EAE"/>
    <w:rsid w:val="0023234F"/>
    <w:rsid w:val="002337DD"/>
    <w:rsid w:val="00252584"/>
    <w:rsid w:val="0027431D"/>
    <w:rsid w:val="00274905"/>
    <w:rsid w:val="00275B9E"/>
    <w:rsid w:val="002762B9"/>
    <w:rsid w:val="002B3077"/>
    <w:rsid w:val="002B4378"/>
    <w:rsid w:val="002C08E0"/>
    <w:rsid w:val="002E04D3"/>
    <w:rsid w:val="002E1474"/>
    <w:rsid w:val="002E3495"/>
    <w:rsid w:val="002F6CDC"/>
    <w:rsid w:val="002F782A"/>
    <w:rsid w:val="003037C6"/>
    <w:rsid w:val="00313C88"/>
    <w:rsid w:val="00323025"/>
    <w:rsid w:val="00324DA5"/>
    <w:rsid w:val="003372C6"/>
    <w:rsid w:val="00340C88"/>
    <w:rsid w:val="00343F9F"/>
    <w:rsid w:val="0034725F"/>
    <w:rsid w:val="00357A06"/>
    <w:rsid w:val="00364FAF"/>
    <w:rsid w:val="00365DD4"/>
    <w:rsid w:val="00375DA1"/>
    <w:rsid w:val="003770AE"/>
    <w:rsid w:val="00377567"/>
    <w:rsid w:val="00384E9F"/>
    <w:rsid w:val="00392709"/>
    <w:rsid w:val="00392D4F"/>
    <w:rsid w:val="00396817"/>
    <w:rsid w:val="003A34F9"/>
    <w:rsid w:val="003C5E8B"/>
    <w:rsid w:val="003D0E1A"/>
    <w:rsid w:val="003D49EC"/>
    <w:rsid w:val="003D7C08"/>
    <w:rsid w:val="003E3486"/>
    <w:rsid w:val="003E78E5"/>
    <w:rsid w:val="003F6FA9"/>
    <w:rsid w:val="004033D8"/>
    <w:rsid w:val="00426301"/>
    <w:rsid w:val="00444A96"/>
    <w:rsid w:val="00482ADC"/>
    <w:rsid w:val="004840BD"/>
    <w:rsid w:val="00493308"/>
    <w:rsid w:val="004B5526"/>
    <w:rsid w:val="004C6717"/>
    <w:rsid w:val="004E5D92"/>
    <w:rsid w:val="004F249D"/>
    <w:rsid w:val="004F44EA"/>
    <w:rsid w:val="0050144B"/>
    <w:rsid w:val="00511D9D"/>
    <w:rsid w:val="00526512"/>
    <w:rsid w:val="00535564"/>
    <w:rsid w:val="00554B17"/>
    <w:rsid w:val="00567D36"/>
    <w:rsid w:val="00572426"/>
    <w:rsid w:val="00575096"/>
    <w:rsid w:val="005772DF"/>
    <w:rsid w:val="0059173F"/>
    <w:rsid w:val="005A0CB1"/>
    <w:rsid w:val="005A264D"/>
    <w:rsid w:val="005A4048"/>
    <w:rsid w:val="005A4A35"/>
    <w:rsid w:val="005A4ED5"/>
    <w:rsid w:val="005B363B"/>
    <w:rsid w:val="005B5DB6"/>
    <w:rsid w:val="005C3F2C"/>
    <w:rsid w:val="005C520D"/>
    <w:rsid w:val="005D0F63"/>
    <w:rsid w:val="005D5D6F"/>
    <w:rsid w:val="005D662E"/>
    <w:rsid w:val="005F5161"/>
    <w:rsid w:val="005F656D"/>
    <w:rsid w:val="005F7B58"/>
    <w:rsid w:val="006042C8"/>
    <w:rsid w:val="00604C34"/>
    <w:rsid w:val="006172A6"/>
    <w:rsid w:val="00621BCD"/>
    <w:rsid w:val="00623603"/>
    <w:rsid w:val="00624590"/>
    <w:rsid w:val="00630052"/>
    <w:rsid w:val="00636017"/>
    <w:rsid w:val="00637899"/>
    <w:rsid w:val="006436CE"/>
    <w:rsid w:val="00645BD0"/>
    <w:rsid w:val="006465F4"/>
    <w:rsid w:val="0065259D"/>
    <w:rsid w:val="00652F78"/>
    <w:rsid w:val="00653F8E"/>
    <w:rsid w:val="006541F3"/>
    <w:rsid w:val="00663C3A"/>
    <w:rsid w:val="0066762C"/>
    <w:rsid w:val="00670614"/>
    <w:rsid w:val="00672BEE"/>
    <w:rsid w:val="006858E1"/>
    <w:rsid w:val="00691A8C"/>
    <w:rsid w:val="006A2953"/>
    <w:rsid w:val="006C1639"/>
    <w:rsid w:val="006C7C0F"/>
    <w:rsid w:val="006F544F"/>
    <w:rsid w:val="0071471F"/>
    <w:rsid w:val="00715594"/>
    <w:rsid w:val="00717C06"/>
    <w:rsid w:val="007302A8"/>
    <w:rsid w:val="007471FE"/>
    <w:rsid w:val="007474FB"/>
    <w:rsid w:val="007704BD"/>
    <w:rsid w:val="007775EB"/>
    <w:rsid w:val="00787D01"/>
    <w:rsid w:val="00796573"/>
    <w:rsid w:val="007A2555"/>
    <w:rsid w:val="007B3BA5"/>
    <w:rsid w:val="007B48EC"/>
    <w:rsid w:val="007D781E"/>
    <w:rsid w:val="007E4D1F"/>
    <w:rsid w:val="007E6EDB"/>
    <w:rsid w:val="007F40AF"/>
    <w:rsid w:val="007F6C7F"/>
    <w:rsid w:val="00815277"/>
    <w:rsid w:val="008222DF"/>
    <w:rsid w:val="008266C6"/>
    <w:rsid w:val="00850E22"/>
    <w:rsid w:val="00870CDA"/>
    <w:rsid w:val="00873FDA"/>
    <w:rsid w:val="00876A8F"/>
    <w:rsid w:val="00876C21"/>
    <w:rsid w:val="00877DEC"/>
    <w:rsid w:val="00884A98"/>
    <w:rsid w:val="008873CB"/>
    <w:rsid w:val="00895121"/>
    <w:rsid w:val="008C7053"/>
    <w:rsid w:val="008D16C1"/>
    <w:rsid w:val="008E0CDA"/>
    <w:rsid w:val="008E79C8"/>
    <w:rsid w:val="008F0B58"/>
    <w:rsid w:val="0090373C"/>
    <w:rsid w:val="00911823"/>
    <w:rsid w:val="009121D9"/>
    <w:rsid w:val="00914154"/>
    <w:rsid w:val="00914649"/>
    <w:rsid w:val="00923D72"/>
    <w:rsid w:val="00936C50"/>
    <w:rsid w:val="009518AB"/>
    <w:rsid w:val="00954D5A"/>
    <w:rsid w:val="00957434"/>
    <w:rsid w:val="00965A48"/>
    <w:rsid w:val="00967EA5"/>
    <w:rsid w:val="009B34FC"/>
    <w:rsid w:val="009B66B9"/>
    <w:rsid w:val="009C1A41"/>
    <w:rsid w:val="009D20B9"/>
    <w:rsid w:val="009E74C6"/>
    <w:rsid w:val="009E7C48"/>
    <w:rsid w:val="009E7CA4"/>
    <w:rsid w:val="00A0299F"/>
    <w:rsid w:val="00A2020B"/>
    <w:rsid w:val="00A27234"/>
    <w:rsid w:val="00A336F3"/>
    <w:rsid w:val="00A359CB"/>
    <w:rsid w:val="00A41446"/>
    <w:rsid w:val="00A6048E"/>
    <w:rsid w:val="00A777FE"/>
    <w:rsid w:val="00A81A79"/>
    <w:rsid w:val="00A84767"/>
    <w:rsid w:val="00A87777"/>
    <w:rsid w:val="00AA2417"/>
    <w:rsid w:val="00AA2D63"/>
    <w:rsid w:val="00AA7705"/>
    <w:rsid w:val="00AB26D3"/>
    <w:rsid w:val="00AD0DCD"/>
    <w:rsid w:val="00AD2169"/>
    <w:rsid w:val="00AD26FB"/>
    <w:rsid w:val="00AE43D7"/>
    <w:rsid w:val="00AF6E40"/>
    <w:rsid w:val="00B0246A"/>
    <w:rsid w:val="00B25592"/>
    <w:rsid w:val="00B35B72"/>
    <w:rsid w:val="00B370D5"/>
    <w:rsid w:val="00B53F26"/>
    <w:rsid w:val="00B55050"/>
    <w:rsid w:val="00B618A4"/>
    <w:rsid w:val="00B63323"/>
    <w:rsid w:val="00B63F2C"/>
    <w:rsid w:val="00B657F8"/>
    <w:rsid w:val="00B71599"/>
    <w:rsid w:val="00B90F64"/>
    <w:rsid w:val="00B93003"/>
    <w:rsid w:val="00B96153"/>
    <w:rsid w:val="00BF560D"/>
    <w:rsid w:val="00C00DCE"/>
    <w:rsid w:val="00C17ECF"/>
    <w:rsid w:val="00C214C4"/>
    <w:rsid w:val="00C26D6E"/>
    <w:rsid w:val="00C34D78"/>
    <w:rsid w:val="00C3569B"/>
    <w:rsid w:val="00C37D91"/>
    <w:rsid w:val="00C42A85"/>
    <w:rsid w:val="00C47B8F"/>
    <w:rsid w:val="00C47F57"/>
    <w:rsid w:val="00C53826"/>
    <w:rsid w:val="00C561C0"/>
    <w:rsid w:val="00C7099C"/>
    <w:rsid w:val="00C808D9"/>
    <w:rsid w:val="00C85880"/>
    <w:rsid w:val="00C87F4B"/>
    <w:rsid w:val="00C93D47"/>
    <w:rsid w:val="00CA13F8"/>
    <w:rsid w:val="00CA1864"/>
    <w:rsid w:val="00CB1D29"/>
    <w:rsid w:val="00CB22F3"/>
    <w:rsid w:val="00CB7FD5"/>
    <w:rsid w:val="00CC5BFA"/>
    <w:rsid w:val="00CC7D33"/>
    <w:rsid w:val="00CD2BEC"/>
    <w:rsid w:val="00CD3F07"/>
    <w:rsid w:val="00CD6D1C"/>
    <w:rsid w:val="00CE6313"/>
    <w:rsid w:val="00D034AA"/>
    <w:rsid w:val="00D1108C"/>
    <w:rsid w:val="00D21D96"/>
    <w:rsid w:val="00D21FA6"/>
    <w:rsid w:val="00D22165"/>
    <w:rsid w:val="00D308E2"/>
    <w:rsid w:val="00D37903"/>
    <w:rsid w:val="00D4323E"/>
    <w:rsid w:val="00D5024F"/>
    <w:rsid w:val="00D5051C"/>
    <w:rsid w:val="00D55B4B"/>
    <w:rsid w:val="00D6530B"/>
    <w:rsid w:val="00D73DAD"/>
    <w:rsid w:val="00D766D4"/>
    <w:rsid w:val="00D83410"/>
    <w:rsid w:val="00D85C18"/>
    <w:rsid w:val="00D86675"/>
    <w:rsid w:val="00D90A40"/>
    <w:rsid w:val="00D95EEE"/>
    <w:rsid w:val="00DA4C55"/>
    <w:rsid w:val="00DA5BDF"/>
    <w:rsid w:val="00DB1877"/>
    <w:rsid w:val="00DB29F2"/>
    <w:rsid w:val="00DB7BB8"/>
    <w:rsid w:val="00DC1972"/>
    <w:rsid w:val="00DC726C"/>
    <w:rsid w:val="00DE023B"/>
    <w:rsid w:val="00DE0C23"/>
    <w:rsid w:val="00DF4A8A"/>
    <w:rsid w:val="00E037FF"/>
    <w:rsid w:val="00E20B52"/>
    <w:rsid w:val="00E2365F"/>
    <w:rsid w:val="00E357F8"/>
    <w:rsid w:val="00E365CE"/>
    <w:rsid w:val="00E36937"/>
    <w:rsid w:val="00E53704"/>
    <w:rsid w:val="00E54046"/>
    <w:rsid w:val="00E54714"/>
    <w:rsid w:val="00E561CF"/>
    <w:rsid w:val="00E62E93"/>
    <w:rsid w:val="00E65337"/>
    <w:rsid w:val="00E7406E"/>
    <w:rsid w:val="00E81A4D"/>
    <w:rsid w:val="00E866EC"/>
    <w:rsid w:val="00EC2889"/>
    <w:rsid w:val="00ED3F03"/>
    <w:rsid w:val="00EE2D32"/>
    <w:rsid w:val="00F16FAC"/>
    <w:rsid w:val="00F34268"/>
    <w:rsid w:val="00F403E6"/>
    <w:rsid w:val="00F4492B"/>
    <w:rsid w:val="00F463EE"/>
    <w:rsid w:val="00F50F08"/>
    <w:rsid w:val="00F60586"/>
    <w:rsid w:val="00F705BF"/>
    <w:rsid w:val="00F7302C"/>
    <w:rsid w:val="00F944DC"/>
    <w:rsid w:val="00F97CE9"/>
    <w:rsid w:val="00FB5A1C"/>
    <w:rsid w:val="00FC621C"/>
    <w:rsid w:val="00FC7D79"/>
    <w:rsid w:val="00FF4D1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78A5"/>
  <w15:docId w15:val="{3AAB63C7-C451-4384-B5F7-4FECD239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5772DF"/>
    <w:pPr>
      <w:keepNext/>
      <w:widowControl/>
      <w:spacing w:before="240" w:after="60" w:line="240" w:lineRule="auto"/>
      <w:jc w:val="both"/>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72DF"/>
    <w:rPr>
      <w:rFonts w:ascii="Calibri Light" w:eastAsia="Times New Roman" w:hAnsi="Calibri Light"/>
      <w:b/>
      <w:bCs/>
      <w:kern w:val="32"/>
      <w:sz w:val="32"/>
      <w:szCs w:val="32"/>
      <w:lang w:eastAsia="en-US"/>
    </w:rPr>
  </w:style>
  <w:style w:type="paragraph" w:customStyle="1" w:styleId="naiskr">
    <w:name w:val="naiskr"/>
    <w:basedOn w:val="Normal"/>
    <w:rsid w:val="005772DF"/>
    <w:pPr>
      <w:widowControl/>
      <w:spacing w:before="75" w:after="75"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D3F07"/>
    <w:rPr>
      <w:sz w:val="16"/>
      <w:szCs w:val="16"/>
    </w:rPr>
  </w:style>
  <w:style w:type="paragraph" w:styleId="CommentText">
    <w:name w:val="annotation text"/>
    <w:basedOn w:val="Normal"/>
    <w:link w:val="CommentTextChar"/>
    <w:uiPriority w:val="99"/>
    <w:semiHidden/>
    <w:unhideWhenUsed/>
    <w:rsid w:val="00CD3F07"/>
    <w:pPr>
      <w:spacing w:line="240" w:lineRule="auto"/>
    </w:pPr>
    <w:rPr>
      <w:sz w:val="20"/>
      <w:szCs w:val="20"/>
    </w:rPr>
  </w:style>
  <w:style w:type="character" w:customStyle="1" w:styleId="CommentTextChar">
    <w:name w:val="Comment Text Char"/>
    <w:basedOn w:val="DefaultParagraphFont"/>
    <w:link w:val="CommentText"/>
    <w:uiPriority w:val="99"/>
    <w:semiHidden/>
    <w:rsid w:val="00CD3F07"/>
    <w:rPr>
      <w:lang w:eastAsia="en-US"/>
    </w:rPr>
  </w:style>
  <w:style w:type="paragraph" w:styleId="CommentSubject">
    <w:name w:val="annotation subject"/>
    <w:basedOn w:val="CommentText"/>
    <w:next w:val="CommentText"/>
    <w:link w:val="CommentSubjectChar"/>
    <w:uiPriority w:val="99"/>
    <w:semiHidden/>
    <w:unhideWhenUsed/>
    <w:rsid w:val="00CD3F07"/>
    <w:rPr>
      <w:b/>
      <w:bCs/>
    </w:rPr>
  </w:style>
  <w:style w:type="character" w:customStyle="1" w:styleId="CommentSubjectChar">
    <w:name w:val="Comment Subject Char"/>
    <w:basedOn w:val="CommentTextChar"/>
    <w:link w:val="CommentSubject"/>
    <w:uiPriority w:val="99"/>
    <w:semiHidden/>
    <w:rsid w:val="00CD3F07"/>
    <w:rPr>
      <w:b/>
      <w:bCs/>
      <w:lang w:eastAsia="en-US"/>
    </w:rPr>
  </w:style>
  <w:style w:type="paragraph" w:styleId="ListParagraph">
    <w:name w:val="List Paragraph"/>
    <w:basedOn w:val="Normal"/>
    <w:uiPriority w:val="34"/>
    <w:qFormat/>
    <w:rsid w:val="002F782A"/>
    <w:pPr>
      <w:ind w:left="720"/>
      <w:contextualSpacing/>
    </w:pPr>
  </w:style>
  <w:style w:type="character" w:customStyle="1" w:styleId="Heading10">
    <w:name w:val="Heading #1"/>
    <w:basedOn w:val="DefaultParagraphFont"/>
    <w:rsid w:val="00F463EE"/>
    <w:rPr>
      <w:rFonts w:ascii="Arial" w:eastAsia="Arial" w:hAnsi="Arial" w:cs="Arial"/>
      <w:b/>
      <w:bCs/>
      <w:i w:val="0"/>
      <w:iCs w:val="0"/>
      <w:smallCaps w:val="0"/>
      <w:strike w:val="0"/>
      <w:color w:val="000000"/>
      <w:spacing w:val="0"/>
      <w:w w:val="100"/>
      <w:position w:val="0"/>
      <w:sz w:val="30"/>
      <w:szCs w:val="30"/>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Lukss@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2508</Words>
  <Characters>1430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Pavadvēstule par  Ministru kabineta 2018.gada 17.jūlija sēdes protokollēmumā (prot. Nr.33 7.§) Noteikumu projekts „Grozījumi Ministru kabineta 2007.gada 31.jūlija noteikumos Nr.525 „Kārtība, kādā atsevišķiem naftas produktiem piemēro samazinātu akcīzes no</vt:lpstr>
    </vt:vector>
  </TitlesOfParts>
  <Manager>juris.lukss@fm.gov.lv</Manager>
  <Company>Finanšu ministrija</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 par Ministru kabineta 2018.gada 13.novembra sēdes protokollēmuma (prot. Nr.52 49.§) “Informatīvais ziņojums “Par risinājumu no akcīzes nodokļa atbrīvotās dīzeļdegvielas pieejamības uzlabošanai zvejas kuģos piekrastes ūdeņos un iekšējos ūdeņos”” 2.punktā dotā uzdevuma izpildi"</dc:title>
  <dc:subject>Pavadvēstule</dc:subject>
  <dc:creator>juris.lukss@fm.gov.lv</dc:creator>
  <dc:description>Juris.Lukss@fm.gov.lv, 67083846</dc:description>
  <cp:lastModifiedBy>Gunta Puidīte</cp:lastModifiedBy>
  <cp:revision>6</cp:revision>
  <cp:lastPrinted>2018-11-30T10:23:00Z</cp:lastPrinted>
  <dcterms:created xsi:type="dcterms:W3CDTF">2018-12-04T15:26:00Z</dcterms:created>
  <dcterms:modified xsi:type="dcterms:W3CDTF">2018-12-07T08:46:00Z</dcterms:modified>
  <cp:contentStatus>FM pavadvēstule Valsts kanceleijai par Noteikumu projekta „Grozījumi Ministru kabineta 2007.gada 31.jūlija noteikumos Nr.525 „Kārtība, kādā atsevišķiem naftas produktiem piemēro samazinātu akcīzes nodokļa likmi vai atbrīvojumu no akcīzes nodokļa”” iesniegšanu izskatīšanai MK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