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E85D" w14:textId="66871627" w:rsidR="00D36248" w:rsidRPr="00D82E83" w:rsidRDefault="00D36248" w:rsidP="00974202">
      <w:pPr>
        <w:rPr>
          <w:rFonts w:ascii="Times New Roman" w:hAnsi="Times New Roman" w:cs="Times New Roman"/>
          <w:sz w:val="28"/>
          <w:szCs w:val="28"/>
        </w:rPr>
      </w:pPr>
    </w:p>
    <w:p w14:paraId="2A2003B0" w14:textId="77777777" w:rsidR="00D36248" w:rsidRPr="00D82E83" w:rsidRDefault="00D36248" w:rsidP="00974202">
      <w:pPr>
        <w:rPr>
          <w:rFonts w:ascii="Times New Roman" w:hAnsi="Times New Roman" w:cs="Times New Roman"/>
          <w:sz w:val="28"/>
          <w:szCs w:val="28"/>
        </w:rPr>
      </w:pPr>
    </w:p>
    <w:p w14:paraId="03100A22" w14:textId="33365CF8" w:rsidR="00C310EB" w:rsidRPr="00D82E83" w:rsidRDefault="00C310EB" w:rsidP="0097420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D82E83">
        <w:rPr>
          <w:rFonts w:ascii="Times New Roman" w:hAnsi="Times New Roman" w:cs="Times New Roman"/>
          <w:sz w:val="28"/>
          <w:szCs w:val="28"/>
        </w:rPr>
        <w:t>2018. </w:t>
      </w:r>
      <w:proofErr w:type="spellStart"/>
      <w:r w:rsidRPr="00D82E83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 xml:space="preserve"> </w:t>
      </w:r>
      <w:r w:rsidR="00B3354C" w:rsidRPr="00B3354C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="00B3354C" w:rsidRPr="00B3354C">
        <w:rPr>
          <w:rFonts w:ascii="Times New Roman" w:hAnsi="Times New Roman" w:cs="Times New Roman"/>
          <w:sz w:val="28"/>
          <w:szCs w:val="28"/>
        </w:rPr>
        <w:t>decembrī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2E83">
        <w:rPr>
          <w:rFonts w:ascii="Times New Roman" w:hAnsi="Times New Roman" w:cs="Times New Roman"/>
          <w:sz w:val="28"/>
          <w:szCs w:val="28"/>
        </w:rPr>
        <w:t>Instrukcija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8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>.</w:t>
      </w:r>
      <w:r w:rsidR="00B3354C">
        <w:rPr>
          <w:rFonts w:ascii="Times New Roman" w:hAnsi="Times New Roman" w:cs="Times New Roman"/>
          <w:sz w:val="28"/>
          <w:szCs w:val="28"/>
        </w:rPr>
        <w:t> 8</w:t>
      </w:r>
    </w:p>
    <w:p w14:paraId="19615AF3" w14:textId="05E130C3" w:rsidR="00C310EB" w:rsidRPr="00D82E83" w:rsidRDefault="00C310EB" w:rsidP="0097420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2E83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D82E83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E8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2E83">
        <w:rPr>
          <w:rFonts w:ascii="Times New Roman" w:hAnsi="Times New Roman" w:cs="Times New Roman"/>
          <w:sz w:val="28"/>
          <w:szCs w:val="28"/>
        </w:rPr>
        <w:t>. </w:t>
      </w:r>
      <w:proofErr w:type="gramEnd"/>
      <w:r w:rsidR="00B3354C">
        <w:rPr>
          <w:rFonts w:ascii="Times New Roman" w:hAnsi="Times New Roman" w:cs="Times New Roman"/>
          <w:sz w:val="28"/>
          <w:szCs w:val="28"/>
        </w:rPr>
        <w:t>59</w:t>
      </w:r>
      <w:r w:rsidRPr="00D82E83">
        <w:rPr>
          <w:rFonts w:ascii="Times New Roman" w:hAnsi="Times New Roman" w:cs="Times New Roman"/>
          <w:sz w:val="28"/>
          <w:szCs w:val="28"/>
        </w:rPr>
        <w:t> </w:t>
      </w:r>
      <w:r w:rsidR="00B3354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D82E83">
        <w:rPr>
          <w:rFonts w:ascii="Times New Roman" w:hAnsi="Times New Roman" w:cs="Times New Roman"/>
          <w:sz w:val="28"/>
          <w:szCs w:val="28"/>
        </w:rPr>
        <w:t>. §)</w:t>
      </w:r>
    </w:p>
    <w:p w14:paraId="4596E5EC" w14:textId="16598355" w:rsidR="00D36248" w:rsidRPr="00D82E83" w:rsidRDefault="00D36248" w:rsidP="00974202">
      <w:pP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B02B745" w14:textId="1026AA6F" w:rsidR="00C230E5" w:rsidRPr="00D82E83" w:rsidRDefault="005608AD" w:rsidP="009742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Instrukcija par valsts budžeta tāmēm</w:t>
      </w:r>
    </w:p>
    <w:p w14:paraId="223DAEE8" w14:textId="77777777" w:rsidR="00C230E5" w:rsidRPr="00D82E83" w:rsidRDefault="00C230E5" w:rsidP="009742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378131C5" w14:textId="77777777" w:rsidR="00713F2E" w:rsidRPr="00D82E83" w:rsidRDefault="00C230E5" w:rsidP="00974202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Izdota saskaņā ar </w:t>
      </w:r>
    </w:p>
    <w:p w14:paraId="04D46B37" w14:textId="627EDA15" w:rsidR="00D36248" w:rsidRPr="00D82E83" w:rsidRDefault="00E303FF" w:rsidP="00974202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hyperlink r:id="rId6" w:tgtFrame="_blank" w:history="1">
        <w:r w:rsidR="00C230E5" w:rsidRPr="00D82E83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Likuma par budžetu un finanšu vadību</w:t>
        </w:r>
      </w:hyperlink>
      <w:r w:rsidR="00C230E5" w:rsidRPr="00D82E8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</w:p>
    <w:p w14:paraId="336BAFC8" w14:textId="725F19BF" w:rsidR="00C230E5" w:rsidRPr="00D82E83" w:rsidRDefault="00E303FF" w:rsidP="00974202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  <w:hyperlink r:id="rId7" w:anchor="p2" w:tgtFrame="_blank" w:history="1">
        <w:r w:rsidR="00C230E5" w:rsidRPr="00D82E83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2.</w:t>
        </w:r>
        <w:r w:rsidR="00713F2E" w:rsidRPr="00D82E83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 </w:t>
        </w:r>
        <w:r w:rsidR="00C230E5" w:rsidRPr="00D82E83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panta</w:t>
        </w:r>
      </w:hyperlink>
      <w:r w:rsidR="00C230E5" w:rsidRPr="00D82E8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trešo daļu</w:t>
      </w:r>
    </w:p>
    <w:p w14:paraId="454359A8" w14:textId="77777777" w:rsidR="00C230E5" w:rsidRPr="00D82E83" w:rsidRDefault="00C230E5" w:rsidP="0097420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67A2D9E4" w14:textId="414DBD5E" w:rsidR="00A87B58" w:rsidRPr="00D82E83" w:rsidRDefault="00C230E5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-416092"/>
      <w:bookmarkStart w:id="2" w:name="p1"/>
      <w:bookmarkEnd w:id="1"/>
      <w:bookmarkEnd w:id="2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A87B5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Instrukcija nosaka</w:t>
      </w:r>
      <w:r w:rsidR="00A87B5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340A88E9" w14:textId="77094432" w:rsidR="00A87B58" w:rsidRPr="00D82E83" w:rsidRDefault="00A87B58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1.1. 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kārtību, kādā valsts budžeta 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izpildītāj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(turpmāk – iestāde) sagatavo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apstiprina valsts budžeta programmu, apakšprogrammu un pasākumu tām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tāme) kārtējam gadam (turpmāk – 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 gads) un nodrošina t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ās</w:t>
      </w:r>
      <w:r w:rsidR="006306D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izpildi;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1EF9A5DE" w14:textId="38551703" w:rsidR="00C230E5" w:rsidRPr="00D82E83" w:rsidRDefault="00A87B58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1.2. 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tāmes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glabā</w:t>
      </w:r>
      <w:r w:rsidR="0081682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šanas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publicēšan</w:t>
      </w:r>
      <w:r w:rsidR="0081682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as 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nosacījumus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2020981" w14:textId="77777777" w:rsidR="00713F2E" w:rsidRPr="00D82E83" w:rsidRDefault="00713F2E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5CEF0B" w14:textId="7AE19ED1" w:rsidR="00C230E5" w:rsidRPr="00D82E83" w:rsidRDefault="00C230E5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-465686"/>
      <w:bookmarkStart w:id="4" w:name="p2"/>
      <w:bookmarkEnd w:id="3"/>
      <w:bookmarkEnd w:id="4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 sagatavo </w:t>
      </w:r>
      <w:r w:rsidR="00FF74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atbilstošu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</w:t>
      </w:r>
      <w:r w:rsidR="004341C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katram </w:t>
      </w:r>
      <w:r w:rsidR="004341C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kasē reģistrētam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finansēšanas plān</w:t>
      </w:r>
      <w:r w:rsidR="004341C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0A4B5815" w14:textId="1E0C3FDE" w:rsidR="00C230E5" w:rsidRPr="00D82E83" w:rsidRDefault="00C230E5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</w:t>
      </w:r>
      <w:r w:rsidR="00B05124" w:rsidRPr="00D82E83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pamatbudžeta programmas, apakšprogrammas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pasākuma resursu izdevumu segšanai un plānoto izdevumu </w:t>
      </w:r>
      <w:r w:rsidR="008E1326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tāmi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 gadam </w:t>
      </w:r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šīs instrukcijas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pielikum</w:t>
      </w:r>
      <w:r w:rsidR="0070697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077EE45D" w14:textId="33E433D2" w:rsidR="00C230E5" w:rsidRPr="00D82E83" w:rsidRDefault="00C230E5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2.2.</w:t>
      </w:r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speciālā sociālās apdrošinā</w:t>
      </w:r>
      <w:r w:rsidR="00281BE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šanas budžeta programmas, apakš</w:t>
      </w:r>
      <w:r w:rsidR="0043530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programmas un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pasākuma ieņēmumu un plānoto izdevumu </w:t>
      </w:r>
      <w:r w:rsidR="008E1326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tāmi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 gadam </w:t>
      </w:r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šīs instrukcijas </w:t>
      </w:r>
      <w:hyperlink r:id="rId8" w:anchor="piel2" w:tgtFrame="_blank" w:history="1">
        <w:r w:rsidRPr="00D82E83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2.</w:t>
        </w:r>
        <w:r w:rsidR="00176E35" w:rsidRPr="00D82E83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 </w:t>
        </w:r>
        <w:r w:rsidRPr="00D82E83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pielikum</w:t>
        </w:r>
        <w:r w:rsidR="004C56C6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u</w:t>
        </w:r>
      </w:hyperlink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070894BB" w14:textId="77777777" w:rsidR="00713F2E" w:rsidRPr="00D82E83" w:rsidRDefault="00713F2E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386A4A4" w14:textId="6023076A" w:rsidR="00810D71" w:rsidRPr="00D82E83" w:rsidRDefault="00810D71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Šīs instrukcijas 2.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tām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DB17B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3340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 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sagatavo</w:t>
      </w:r>
      <w:r w:rsidR="00780FF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izmantojot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3340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kases e-pakalpojum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 sistēmu</w:t>
      </w:r>
      <w:r w:rsidR="00DB17B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2634D" w:rsidRP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DB17B8" w:rsidRP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eTāmes</w:t>
      </w:r>
      <w:proofErr w:type="spellEnd"/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 w:rsidR="008E1326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turpmāk 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sistēma "</w:t>
      </w:r>
      <w:proofErr w:type="spellStart"/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Tāmes</w:t>
      </w:r>
      <w:proofErr w:type="spellEnd"/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Sistēmu "</w:t>
      </w:r>
      <w:proofErr w:type="spellStart"/>
      <w:r w:rsid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eTāmes</w:t>
      </w:r>
      <w:proofErr w:type="spellEnd"/>
      <w:r w:rsid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" </w:t>
      </w:r>
      <w:r w:rsidR="006A3AE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lieto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3340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kārtībai</w:t>
      </w:r>
      <w:r w:rsidR="00A3340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kādā Valsts kase nodrošina elektronisko informācijas apmaiņu</w:t>
      </w:r>
      <w:r w:rsidR="00DB17B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6D1D067" w14:textId="77777777" w:rsidR="00713F2E" w:rsidRPr="00D82E83" w:rsidRDefault="00713F2E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A22CD34" w14:textId="7ACE7AA7" w:rsidR="001173B1" w:rsidRPr="00D82E83" w:rsidRDefault="00AA7B7D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īs instrukcijas 2.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9432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minētās 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es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datu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 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sistēmā "</w:t>
      </w:r>
      <w:proofErr w:type="spellStart"/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proofErr w:type="spellEnd"/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ievada 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manuāl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vai 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augšupielād</w:t>
      </w:r>
      <w:r w:rsidR="000044AD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ē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Valsts kases </w:t>
      </w:r>
      <w:r w:rsidR="00720F8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tīmekļ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vietnē publicēto elektronisko datu apmaiņas 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datnes </w:t>
      </w:r>
      <w:r w:rsidR="001173B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formātu.</w:t>
      </w:r>
    </w:p>
    <w:p w14:paraId="387D51BB" w14:textId="77777777" w:rsidR="00435303" w:rsidRPr="00D82E83" w:rsidRDefault="00435303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E1ED3C" w14:textId="7C5FF646" w:rsidR="00B8220C" w:rsidRDefault="00435303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bookmarkStart w:id="5" w:name="p-416094"/>
      <w:bookmarkStart w:id="6" w:name="p3"/>
      <w:bookmarkEnd w:id="5"/>
      <w:bookmarkEnd w:id="6"/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Iestāde klasifikācijas kodu un to nosaukumu tāmē piemēro saskaņā ar normatīvajiem aktiem par budžet</w:t>
      </w:r>
      <w:r w:rsidR="00493A7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ieņēmumu klasifikāciju (kodu zemākajā detalizācijas pakāpē – piecas zīmes), budžet</w:t>
      </w:r>
      <w:r w:rsidR="00493A7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izdevumu klasifikāciju atbilstoši ekonomiskajām kategorijām (kodu zemākajā detalizācijas pakāpē – četras zīmes) 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un budžet</w:t>
      </w:r>
      <w:r w:rsidR="00493A7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finansēšanas klasifikāciju </w:t>
      </w:r>
      <w:proofErr w:type="gramStart"/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proofErr w:type="gramEnd"/>
      <w:r w:rsidR="00265D10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kodu zemākajā detalizācijas pakāpē – desmit zīmes</w:t>
      </w:r>
      <w:r w:rsidR="00B8220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).</w:t>
      </w:r>
    </w:p>
    <w:p w14:paraId="0877D138" w14:textId="77777777" w:rsidR="00D80355" w:rsidRPr="00D82E83" w:rsidRDefault="00D80355" w:rsidP="00974202">
      <w:pPr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lv-LV" w:eastAsia="lv-LV"/>
        </w:rPr>
      </w:pPr>
    </w:p>
    <w:p w14:paraId="74EAF494" w14:textId="77777777" w:rsidR="004C56C6" w:rsidRDefault="004C56C6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3E5FDAB" w14:textId="2592343E" w:rsidR="00AB7169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 šīs instrukcijas 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713F2E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tām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sagatavo 10 darbdienu laikā pēc finansēšanas plāna </w:t>
      </w:r>
      <w:r w:rsidR="00F44DA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reģistrēšanas Valsts kasē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AB716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Ja, sākoties saimnieciskajam gadam, nav stājies spēkā gadskārtējais valsts budžeta likums, tāmju sagatavošanas termiņu un nosacījumus nosaka finanšu ministrs.</w:t>
      </w:r>
    </w:p>
    <w:p w14:paraId="03BD49A3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E486418" w14:textId="7C50F98B" w:rsidR="00C43A92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15DA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Šīs instrukcijas 2.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minēto t</w:t>
      </w:r>
      <w:r w:rsidR="00B65E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ām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B65E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129C9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</w:t>
      </w:r>
      <w:r w:rsidR="00F44DA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7407DFDF" w14:textId="6FFAE575" w:rsidR="00AE7A94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AE7A9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A9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 darbdienu laikā pēc finansēšanas plāna grozījumu reģistrēšanas Valsts kasē;</w:t>
      </w:r>
    </w:p>
    <w:p w14:paraId="2A9ED92A" w14:textId="552F0A04" w:rsidR="00C43A92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E7A9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80FA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ja 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faktiskie izdevumi (pēc naudas plūsmas) vismaz vienā izdevumu kategorijā (ceturtajā zīmē) pārsniedz tāmē šai kategorijai apstiprināto izdevumu apjomu par vairāk </w:t>
      </w:r>
      <w:r w:rsidR="004C56C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 15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%;</w:t>
      </w:r>
    </w:p>
    <w:p w14:paraId="195689F5" w14:textId="4C01D914" w:rsidR="00B65E13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E7A9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C43A9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80FA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pēc iestādes, nozares ministrijas vai Finanšu ministrijas iniciatīvas.</w:t>
      </w:r>
    </w:p>
    <w:p w14:paraId="69E40C7B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1E0C073" w14:textId="0FF1B7FE" w:rsidR="006121A4" w:rsidRPr="00D82E83" w:rsidRDefault="00F4652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Šīs instrukcijas 2.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minētaj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tām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piešķir numuru, kas atbilst attiecīgās programm</w:t>
      </w:r>
      <w:r w:rsidR="006306D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as, apakšprogrammas vai pasākuma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finansēšanas plānam. Gada laikā </w:t>
      </w:r>
      <w:r w:rsidR="00015DA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precizējot tāmi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015DA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veido nākamo tāmes versiju</w:t>
      </w:r>
      <w:r w:rsidR="0074101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="00015DA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saglabā iepriekš piešķirto numuru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172160BE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643BD09" w14:textId="1456E399" w:rsidR="006121A4" w:rsidRPr="00D82E83" w:rsidRDefault="00CF27A4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Precizējot tām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(mainot tāmē apstiprināto līdzekļu izlietojumu – novirzot līdzekļus no viena izdevumu posteņa uz citu), </w:t>
      </w:r>
      <w:r w:rsidR="00D80FA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iestāde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nodrošina, ka šīs izmaiņas:</w:t>
      </w:r>
    </w:p>
    <w:p w14:paraId="1FB80A7E" w14:textId="0D07882F" w:rsidR="006121A4" w:rsidRPr="00D82E83" w:rsidRDefault="00CF27A4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neierobežo iespēju sasniegt programmu un apakšprogrammu rezultatīvos rādītājus;</w:t>
      </w:r>
    </w:p>
    <w:p w14:paraId="72773FF0" w14:textId="0F04032E" w:rsidR="006121A4" w:rsidRPr="00D82E83" w:rsidRDefault="00CF27A4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.2.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nodrošina valsts budžeta līdzekļu efektīvu izlietojumu;</w:t>
      </w:r>
    </w:p>
    <w:p w14:paraId="63DCD4EB" w14:textId="676E2D7E" w:rsidR="006121A4" w:rsidRPr="00D82E83" w:rsidRDefault="00CF27A4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.3.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121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nerada valsts sociālās apdrošināšanas obligāto iemaksu, komunālo maksājumu un citus parādus.</w:t>
      </w:r>
    </w:p>
    <w:p w14:paraId="63AFD04E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680B5EE" w14:textId="23A292B9" w:rsidR="00D36248" w:rsidRPr="00D82E83" w:rsidRDefault="000C603F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p-416100"/>
      <w:bookmarkStart w:id="8" w:name="p9"/>
      <w:bookmarkEnd w:id="7"/>
      <w:bookmarkEnd w:id="8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CF27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Iestāde sagatavo t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āmi par iestādes saņemtajiem ziedojumiem un dāvinājumiem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saskaņā ar šīs instrukcij</w:t>
      </w:r>
      <w:r w:rsidR="009742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3. pielikum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4101C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iestādei pieejamajā programmatūrā</w:t>
      </w:r>
      <w:hyperlink r:id="rId9" w:anchor="piel4" w:tgtFrame="_blank" w:history="1"/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Minēto</w:t>
      </w:r>
      <w:r w:rsidR="00A257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76E3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tāmi sagatavo 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n gadā </w:t>
      </w:r>
      <w:r w:rsidR="000C389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plānoto izdevumu apmēru, kas sedzams no 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faktiski saņemt</w:t>
      </w:r>
      <w:r w:rsidR="000C389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uz n gada sākumu atlikum</w:t>
      </w:r>
      <w:r w:rsidR="000C389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 esošiem ziedojumu un dāvinājumu līdzekļiem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bookmarkStart w:id="9" w:name="p-465692"/>
      <w:bookmarkStart w:id="10" w:name="p10"/>
      <w:bookmarkEnd w:id="9"/>
      <w:bookmarkEnd w:id="10"/>
    </w:p>
    <w:p w14:paraId="4C8B9FC4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43645AB" w14:textId="24CBEDB6" w:rsidR="00C61469" w:rsidRPr="00D82E83" w:rsidRDefault="00C61469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CF27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11AB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ām</w:t>
      </w:r>
      <w:r w:rsidR="00CE28D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apstiprina iestādes finanšu dienesta vadītājs (vai galvenais grāmatvedis) un paraksta iestādes vadītājs (vai viņa pilnvarotā amatpersona).</w:t>
      </w:r>
    </w:p>
    <w:p w14:paraId="2E9DC516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24E31EA" w14:textId="1D1DA7C1" w:rsidR="00D36248" w:rsidRPr="00D82E83" w:rsidRDefault="00D36248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CF27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C230E5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A3AE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udžeta programmai 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budžeta aizdevumi un to atmaksāšana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budžeta resora 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74.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Gadskārtējā valsts budžeta izpildes procesā pārdalām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ais finansējums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programmām tām</w:t>
      </w:r>
      <w:r w:rsidR="003F4A0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472E62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negatavo.</w:t>
      </w:r>
      <w:bookmarkStart w:id="11" w:name="p-416102"/>
      <w:bookmarkStart w:id="12" w:name="p11"/>
      <w:bookmarkStart w:id="13" w:name="p-416103"/>
      <w:bookmarkStart w:id="14" w:name="p12"/>
      <w:bookmarkEnd w:id="11"/>
      <w:bookmarkEnd w:id="12"/>
      <w:bookmarkEnd w:id="13"/>
      <w:bookmarkEnd w:id="14"/>
    </w:p>
    <w:p w14:paraId="7817FD41" w14:textId="77777777" w:rsidR="00B05124" w:rsidRPr="00D82E83" w:rsidRDefault="00B05124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983815" w14:textId="721E8933" w:rsidR="00B05124" w:rsidRPr="00D82E83" w:rsidRDefault="00B05124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1</w:t>
      </w:r>
      <w:r w:rsidR="00CF27A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Informatīviem mērķiem 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sistēmā "</w:t>
      </w:r>
      <w:proofErr w:type="spellStart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</w:t>
      </w:r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proofErr w:type="spellEnd"/>
      <w:r w:rsidR="000263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gramEnd"/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nodrošina </w:t>
      </w:r>
      <w:r w:rsidR="00D84740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budžeta programmu un apakšprogrammu 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tāmju kopsavilkuma </w:t>
      </w:r>
      <w:r w:rsid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pārskatu</w:t>
      </w:r>
      <w:r w:rsidRP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2DB2539" w14:textId="77777777" w:rsidR="00295906" w:rsidRDefault="00295906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61B5BE" w14:textId="2D0EFBB5" w:rsidR="00B05124" w:rsidRPr="00D82E83" w:rsidRDefault="00CF27A4" w:rsidP="009742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</w:t>
      </w:r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Valsts kase nodrošina 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sistēmā "</w:t>
      </w:r>
      <w:proofErr w:type="spellStart"/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eTām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es</w:t>
      </w:r>
      <w:proofErr w:type="spellEnd"/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B0512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iesniegto datu un elektronisko dokumentu saglabāšanu piecus gadus, ja iestāde ievēro šīs instrukcijas prasības un kārtību, kādā Valsts kase nodrošina elektronisko informācijas apmaiņu.</w:t>
      </w:r>
    </w:p>
    <w:p w14:paraId="123C7AA7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1B04716" w14:textId="17730572" w:rsidR="00D36248" w:rsidRPr="00D82E83" w:rsidRDefault="00C536DD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 </w:t>
      </w:r>
      <w:r w:rsidR="00DB17B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normatīvajos aktos par informācijas ievietošanu internetā noteiktajā tīmekļvietnes sadaļā 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EC428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udžet</w:t>
      </w:r>
      <w:r w:rsidR="00EC428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B17B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publicē saiti uz </w:t>
      </w:r>
      <w:r w:rsidR="009B33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kases tīmekļvietnes sadaļu, kur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9B33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tiek 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publicētas</w:t>
      </w:r>
      <w:r w:rsidR="009B33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visu </w:t>
      </w:r>
      <w:r w:rsidR="0070479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budžeta programmu un apakšprogrammu</w:t>
      </w:r>
      <w:r w:rsidR="009B33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aktuāl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ās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B3313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tām</w:t>
      </w:r>
      <w:r w:rsidR="00216B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es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1FB335B8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BE96165" w14:textId="63F0831E" w:rsidR="003A392F" w:rsidRPr="00D82E83" w:rsidRDefault="00812F75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Atzīt par spēku zaudējušu Ministru kabineta 2009.</w:t>
      </w:r>
      <w:r w:rsidR="00EC428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20.</w:t>
      </w:r>
      <w:r w:rsidR="00EC428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janvāra instrukciju Nr.</w:t>
      </w:r>
      <w:r w:rsidR="00EC428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 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Kārtība, kādā valsts budžeta iestādes sagatavo un apstiprina valsts budžeta programmu, apakšprogrammu un pasākumu tāmes kārtējam gadam</w:t>
      </w:r>
      <w:r w:rsidR="00C310E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Start"/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proofErr w:type="gramEnd"/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Vēstnesis, 2009, 23.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2011, 202.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2013, 69., 179.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A392F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nr.).</w:t>
      </w:r>
    </w:p>
    <w:p w14:paraId="57187D4D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AD24ECB" w14:textId="195B3914" w:rsidR="006E10A2" w:rsidRPr="00D82E83" w:rsidRDefault="006E10A2" w:rsidP="00974202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17. </w:t>
      </w:r>
      <w:r w:rsidR="002959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Iestāde </w:t>
      </w:r>
      <w:r w:rsidR="00295906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D82E83">
        <w:rPr>
          <w:rFonts w:ascii="Times New Roman" w:hAnsi="Times New Roman" w:cs="Times New Roman"/>
          <w:sz w:val="28"/>
          <w:szCs w:val="28"/>
          <w:lang w:val="lv-LV"/>
        </w:rPr>
        <w:t xml:space="preserve">ēc 2019. gada finansēšanas plāna reģistrēšanas Valsts kasē pirmreizējo </w:t>
      </w:r>
      <w:r w:rsidR="00CF27A4" w:rsidRPr="00D82E83">
        <w:rPr>
          <w:rFonts w:ascii="Times New Roman" w:hAnsi="Times New Roman" w:cs="Times New Roman"/>
          <w:sz w:val="28"/>
          <w:szCs w:val="28"/>
          <w:lang w:val="lv-LV"/>
        </w:rPr>
        <w:t>šīs instrukcijas 2</w:t>
      </w:r>
      <w:r w:rsidR="00C310EB" w:rsidRPr="00D82E83">
        <w:rPr>
          <w:rFonts w:ascii="Times New Roman" w:hAnsi="Times New Roman" w:cs="Times New Roman"/>
          <w:sz w:val="28"/>
          <w:szCs w:val="28"/>
          <w:lang w:val="lv-LV"/>
        </w:rPr>
        <w:t>. p</w:t>
      </w:r>
      <w:r w:rsidR="00CF27A4" w:rsidRPr="00D82E83">
        <w:rPr>
          <w:rFonts w:ascii="Times New Roman" w:hAnsi="Times New Roman" w:cs="Times New Roman"/>
          <w:sz w:val="28"/>
          <w:szCs w:val="28"/>
          <w:lang w:val="lv-LV"/>
        </w:rPr>
        <w:t xml:space="preserve">unktā minēto </w:t>
      </w:r>
      <w:r w:rsidRPr="00D82E83">
        <w:rPr>
          <w:rFonts w:ascii="Times New Roman" w:hAnsi="Times New Roman" w:cs="Times New Roman"/>
          <w:sz w:val="28"/>
          <w:szCs w:val="28"/>
          <w:lang w:val="lv-LV"/>
        </w:rPr>
        <w:t xml:space="preserve">tāmi </w:t>
      </w:r>
      <w:r w:rsidR="00216BF9">
        <w:rPr>
          <w:rFonts w:ascii="Times New Roman" w:hAnsi="Times New Roman" w:cs="Times New Roman"/>
          <w:sz w:val="28"/>
          <w:szCs w:val="28"/>
          <w:lang w:val="lv-LV"/>
        </w:rPr>
        <w:t>sistēmā "</w:t>
      </w:r>
      <w:proofErr w:type="spellStart"/>
      <w:r w:rsidRPr="00D82E83">
        <w:rPr>
          <w:rFonts w:ascii="Times New Roman" w:hAnsi="Times New Roman" w:cs="Times New Roman"/>
          <w:sz w:val="28"/>
          <w:szCs w:val="28"/>
          <w:lang w:val="lv-LV"/>
        </w:rPr>
        <w:t>eTām</w:t>
      </w:r>
      <w:r w:rsidR="00216BF9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D82E83">
        <w:rPr>
          <w:rFonts w:ascii="Times New Roman" w:hAnsi="Times New Roman" w:cs="Times New Roman"/>
          <w:sz w:val="28"/>
          <w:szCs w:val="28"/>
          <w:lang w:val="lv-LV"/>
        </w:rPr>
        <w:t>s</w:t>
      </w:r>
      <w:proofErr w:type="spellEnd"/>
      <w:r w:rsidR="0029590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82E83">
        <w:rPr>
          <w:rFonts w:ascii="Times New Roman" w:hAnsi="Times New Roman" w:cs="Times New Roman"/>
          <w:sz w:val="28"/>
          <w:szCs w:val="28"/>
          <w:lang w:val="lv-LV"/>
        </w:rPr>
        <w:t xml:space="preserve"> sagatavo:</w:t>
      </w:r>
    </w:p>
    <w:p w14:paraId="01259B97" w14:textId="20541EAC" w:rsidR="006E10A2" w:rsidRPr="00D82E83" w:rsidRDefault="006E10A2" w:rsidP="00974202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2E83">
        <w:rPr>
          <w:rFonts w:ascii="Times New Roman" w:hAnsi="Times New Roman" w:cs="Times New Roman"/>
          <w:sz w:val="28"/>
          <w:szCs w:val="28"/>
          <w:lang w:val="lv-LV"/>
        </w:rPr>
        <w:tab/>
        <w:t>17.1. 20 darbdienu laikā, ja līdz 2019. gadam tāmi sagatavoja manuāli;</w:t>
      </w:r>
    </w:p>
    <w:p w14:paraId="23E274D3" w14:textId="6E0CAE1E" w:rsidR="006E10A2" w:rsidRPr="00D82E83" w:rsidRDefault="006E10A2" w:rsidP="00974202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hAnsi="Times New Roman" w:cs="Times New Roman"/>
          <w:sz w:val="28"/>
          <w:szCs w:val="28"/>
          <w:lang w:val="lv-LV"/>
        </w:rPr>
        <w:tab/>
        <w:t xml:space="preserve">17.2. 40 darbdienu laikā, </w:t>
      </w:r>
      <w:proofErr w:type="gramStart"/>
      <w:r w:rsidRPr="00D82E83">
        <w:rPr>
          <w:rFonts w:ascii="Times New Roman" w:hAnsi="Times New Roman" w:cs="Times New Roman"/>
          <w:sz w:val="28"/>
          <w:szCs w:val="28"/>
          <w:lang w:val="lv-LV"/>
        </w:rPr>
        <w:t>ja līdz 2019. gadam tāmes</w:t>
      </w:r>
      <w:proofErr w:type="gramEnd"/>
      <w:r w:rsidRPr="00D82E83">
        <w:rPr>
          <w:rFonts w:ascii="Times New Roman" w:hAnsi="Times New Roman" w:cs="Times New Roman"/>
          <w:sz w:val="28"/>
          <w:szCs w:val="28"/>
          <w:lang w:val="lv-LV"/>
        </w:rPr>
        <w:t xml:space="preserve"> sagatavošanai izmantoja un turpina izmantot specializēto risinājumu.</w:t>
      </w:r>
    </w:p>
    <w:p w14:paraId="0A902026" w14:textId="77777777" w:rsidR="00D65A21" w:rsidRPr="00D82E83" w:rsidRDefault="00D65A21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13D4A36" w14:textId="40DEF759" w:rsidR="00D36248" w:rsidRPr="00D82E83" w:rsidRDefault="00812F75" w:rsidP="009742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18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222B4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Instrukcija</w:t>
      </w:r>
      <w:r w:rsidR="00D3624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stājas spēkā 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2019.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1.</w:t>
      </w:r>
      <w:r w:rsidR="00D65A21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46518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janvārī</w:t>
      </w:r>
      <w:r w:rsidR="008802BB" w:rsidRPr="00D82E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71262E0" w14:textId="77777777" w:rsidR="00B05A87" w:rsidRPr="00D82E83" w:rsidRDefault="00B05A87" w:rsidP="00974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803CA" w14:textId="77777777" w:rsidR="00B05A87" w:rsidRPr="00D82E83" w:rsidRDefault="00B05A87" w:rsidP="00974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6431C" w14:textId="77777777" w:rsidR="00B05A87" w:rsidRPr="00D82E83" w:rsidRDefault="00B05A87" w:rsidP="009742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B597" w14:textId="4CC6F8C9" w:rsidR="00B05A87" w:rsidRPr="00D82E83" w:rsidRDefault="00B05A87" w:rsidP="0097420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2E83">
        <w:rPr>
          <w:sz w:val="28"/>
          <w:szCs w:val="28"/>
        </w:rPr>
        <w:t>Ministru prezidents</w:t>
      </w:r>
      <w:r w:rsidRPr="00D82E83">
        <w:rPr>
          <w:sz w:val="28"/>
          <w:szCs w:val="28"/>
        </w:rPr>
        <w:tab/>
        <w:t xml:space="preserve">Māris Kučinskis </w:t>
      </w:r>
    </w:p>
    <w:p w14:paraId="4F4835B3" w14:textId="77777777" w:rsidR="00B05A87" w:rsidRPr="00D82E83" w:rsidRDefault="00B05A87" w:rsidP="009742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40F7AF" w14:textId="77777777" w:rsidR="00B05A87" w:rsidRPr="00D82E83" w:rsidRDefault="00B05A87" w:rsidP="009742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6ABE60" w14:textId="77777777" w:rsidR="00B05A87" w:rsidRPr="00D82E83" w:rsidRDefault="00B05A87" w:rsidP="009742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1665DB" w14:textId="77777777" w:rsidR="00B05A87" w:rsidRPr="00D82E83" w:rsidRDefault="00B05A87" w:rsidP="0097420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2E83">
        <w:rPr>
          <w:sz w:val="28"/>
          <w:szCs w:val="28"/>
        </w:rPr>
        <w:t>Finanšu ministre</w:t>
      </w:r>
      <w:r w:rsidRPr="00D82E83">
        <w:rPr>
          <w:sz w:val="28"/>
          <w:szCs w:val="28"/>
        </w:rPr>
        <w:tab/>
        <w:t>Dana Reizniece-Ozola</w:t>
      </w:r>
    </w:p>
    <w:sectPr w:rsidR="00B05A87" w:rsidRPr="00D82E83" w:rsidSect="00D82E8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4926" w14:textId="77777777" w:rsidR="00C72E5C" w:rsidRDefault="00C72E5C" w:rsidP="00C06D09">
      <w:r>
        <w:separator/>
      </w:r>
    </w:p>
  </w:endnote>
  <w:endnote w:type="continuationSeparator" w:id="0">
    <w:p w14:paraId="734493DF" w14:textId="77777777" w:rsidR="00C72E5C" w:rsidRDefault="00C72E5C" w:rsidP="00C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939" w14:textId="77777777" w:rsidR="00C310EB" w:rsidRPr="00C310EB" w:rsidRDefault="00C310EB" w:rsidP="00C310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S2492_8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42F2" w14:textId="790DF7CA" w:rsidR="00C310EB" w:rsidRPr="00C310EB" w:rsidRDefault="00C310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S2492_8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8DBD" w14:textId="77777777" w:rsidR="00C72E5C" w:rsidRDefault="00C72E5C" w:rsidP="00C06D09">
      <w:r>
        <w:separator/>
      </w:r>
    </w:p>
  </w:footnote>
  <w:footnote w:type="continuationSeparator" w:id="0">
    <w:p w14:paraId="5181BE38" w14:textId="77777777" w:rsidR="00C72E5C" w:rsidRDefault="00C72E5C" w:rsidP="00C0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000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1A4695" w14:textId="760A02D0" w:rsidR="00C72E5C" w:rsidRPr="00C310EB" w:rsidRDefault="00C72E5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1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10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1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2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10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785C" w14:textId="15C6587E" w:rsidR="00C310EB" w:rsidRDefault="00C310EB">
    <w:pPr>
      <w:pStyle w:val="Header"/>
      <w:rPr>
        <w:rFonts w:ascii="Times New Roman" w:hAnsi="Times New Roman" w:cs="Times New Roman"/>
        <w:sz w:val="24"/>
        <w:szCs w:val="24"/>
      </w:rPr>
    </w:pPr>
  </w:p>
  <w:p w14:paraId="7BFF4AD9" w14:textId="539623E8" w:rsidR="00C310EB" w:rsidRPr="00A142D0" w:rsidRDefault="00C310EB" w:rsidP="00501350">
    <w:pPr>
      <w:pStyle w:val="Header"/>
    </w:pPr>
    <w:r>
      <w:rPr>
        <w:noProof/>
      </w:rPr>
      <w:drawing>
        <wp:inline distT="0" distB="0" distL="0" distR="0" wp14:anchorId="70DA2661" wp14:editId="6E9E8D0D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1D"/>
    <w:rsid w:val="000044AD"/>
    <w:rsid w:val="00015DA2"/>
    <w:rsid w:val="0002634D"/>
    <w:rsid w:val="000751FE"/>
    <w:rsid w:val="000B4B8E"/>
    <w:rsid w:val="000C389F"/>
    <w:rsid w:val="000C603F"/>
    <w:rsid w:val="000F52D2"/>
    <w:rsid w:val="00111ABF"/>
    <w:rsid w:val="001173B1"/>
    <w:rsid w:val="0014554F"/>
    <w:rsid w:val="00176C29"/>
    <w:rsid w:val="00176E35"/>
    <w:rsid w:val="002129C9"/>
    <w:rsid w:val="00216BF9"/>
    <w:rsid w:val="002563E7"/>
    <w:rsid w:val="00265D10"/>
    <w:rsid w:val="00267AD6"/>
    <w:rsid w:val="00281BE4"/>
    <w:rsid w:val="00295906"/>
    <w:rsid w:val="002D0E64"/>
    <w:rsid w:val="002F721C"/>
    <w:rsid w:val="00327286"/>
    <w:rsid w:val="00365D4F"/>
    <w:rsid w:val="003704EA"/>
    <w:rsid w:val="0038007D"/>
    <w:rsid w:val="003874C2"/>
    <w:rsid w:val="003A392F"/>
    <w:rsid w:val="003E248D"/>
    <w:rsid w:val="003E7DC5"/>
    <w:rsid w:val="003F4A0F"/>
    <w:rsid w:val="004341C4"/>
    <w:rsid w:val="00435303"/>
    <w:rsid w:val="00451A4E"/>
    <w:rsid w:val="004545B5"/>
    <w:rsid w:val="00454668"/>
    <w:rsid w:val="00472E62"/>
    <w:rsid w:val="00493A74"/>
    <w:rsid w:val="004A0198"/>
    <w:rsid w:val="004C50F4"/>
    <w:rsid w:val="004C56C6"/>
    <w:rsid w:val="00517FDD"/>
    <w:rsid w:val="005608AD"/>
    <w:rsid w:val="00573ED3"/>
    <w:rsid w:val="005A7223"/>
    <w:rsid w:val="006121A4"/>
    <w:rsid w:val="0061712C"/>
    <w:rsid w:val="006204BD"/>
    <w:rsid w:val="006306D1"/>
    <w:rsid w:val="00630CCA"/>
    <w:rsid w:val="006A3AE1"/>
    <w:rsid w:val="006E10A2"/>
    <w:rsid w:val="007013CF"/>
    <w:rsid w:val="00704798"/>
    <w:rsid w:val="0070697D"/>
    <w:rsid w:val="00713F2E"/>
    <w:rsid w:val="00720F8C"/>
    <w:rsid w:val="0074101C"/>
    <w:rsid w:val="00780FFB"/>
    <w:rsid w:val="00794329"/>
    <w:rsid w:val="00810D71"/>
    <w:rsid w:val="00812F75"/>
    <w:rsid w:val="0081682B"/>
    <w:rsid w:val="0083226F"/>
    <w:rsid w:val="00845776"/>
    <w:rsid w:val="00846518"/>
    <w:rsid w:val="008802BB"/>
    <w:rsid w:val="00885232"/>
    <w:rsid w:val="008E1326"/>
    <w:rsid w:val="008E4BD3"/>
    <w:rsid w:val="009045F8"/>
    <w:rsid w:val="009222B4"/>
    <w:rsid w:val="00946518"/>
    <w:rsid w:val="00952270"/>
    <w:rsid w:val="00974202"/>
    <w:rsid w:val="009A5B65"/>
    <w:rsid w:val="009A7638"/>
    <w:rsid w:val="009B3313"/>
    <w:rsid w:val="009E7699"/>
    <w:rsid w:val="00A1335B"/>
    <w:rsid w:val="00A25748"/>
    <w:rsid w:val="00A33404"/>
    <w:rsid w:val="00A343F0"/>
    <w:rsid w:val="00A815A3"/>
    <w:rsid w:val="00A87B58"/>
    <w:rsid w:val="00AA7B7D"/>
    <w:rsid w:val="00AB7169"/>
    <w:rsid w:val="00AE5C99"/>
    <w:rsid w:val="00AE7A94"/>
    <w:rsid w:val="00B05124"/>
    <w:rsid w:val="00B05A87"/>
    <w:rsid w:val="00B3354C"/>
    <w:rsid w:val="00B65E13"/>
    <w:rsid w:val="00B75679"/>
    <w:rsid w:val="00B8220C"/>
    <w:rsid w:val="00B867D3"/>
    <w:rsid w:val="00BC3290"/>
    <w:rsid w:val="00BC7170"/>
    <w:rsid w:val="00BF371D"/>
    <w:rsid w:val="00C06D09"/>
    <w:rsid w:val="00C22714"/>
    <w:rsid w:val="00C230E5"/>
    <w:rsid w:val="00C310EB"/>
    <w:rsid w:val="00C43A92"/>
    <w:rsid w:val="00C536DD"/>
    <w:rsid w:val="00C61469"/>
    <w:rsid w:val="00C72E5C"/>
    <w:rsid w:val="00C953D7"/>
    <w:rsid w:val="00CB58F8"/>
    <w:rsid w:val="00CB7802"/>
    <w:rsid w:val="00CE28D3"/>
    <w:rsid w:val="00CF27A4"/>
    <w:rsid w:val="00D137B4"/>
    <w:rsid w:val="00D36248"/>
    <w:rsid w:val="00D42314"/>
    <w:rsid w:val="00D4671D"/>
    <w:rsid w:val="00D65A21"/>
    <w:rsid w:val="00D80355"/>
    <w:rsid w:val="00D80FAC"/>
    <w:rsid w:val="00D82E83"/>
    <w:rsid w:val="00D84740"/>
    <w:rsid w:val="00DB17B8"/>
    <w:rsid w:val="00DC5302"/>
    <w:rsid w:val="00DC65E2"/>
    <w:rsid w:val="00DE15E8"/>
    <w:rsid w:val="00DE2268"/>
    <w:rsid w:val="00E05BB4"/>
    <w:rsid w:val="00E14FC3"/>
    <w:rsid w:val="00E907CD"/>
    <w:rsid w:val="00EA6B48"/>
    <w:rsid w:val="00EC428F"/>
    <w:rsid w:val="00ED29D5"/>
    <w:rsid w:val="00EF18A6"/>
    <w:rsid w:val="00F44DAC"/>
    <w:rsid w:val="00F46529"/>
    <w:rsid w:val="00F60860"/>
    <w:rsid w:val="00F915AC"/>
    <w:rsid w:val="00F97EE3"/>
    <w:rsid w:val="00FD0597"/>
    <w:rsid w:val="00FF1E41"/>
    <w:rsid w:val="00FF74C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7640"/>
  <w15:docId w15:val="{B8714DDF-EE5D-4683-91B3-44D9BC4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248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C230E5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customStyle="1" w:styleId="labojumupamats1">
    <w:name w:val="labojumu_pamats1"/>
    <w:basedOn w:val="Normal"/>
    <w:rsid w:val="00C230E5"/>
    <w:pPr>
      <w:spacing w:before="45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36248"/>
    <w:rPr>
      <w:rFonts w:ascii="Arial" w:eastAsia="Calibri" w:hAnsi="Arial" w:cs="Times New Roman"/>
      <w:b/>
      <w:bCs/>
      <w:i/>
      <w:iCs/>
      <w:sz w:val="28"/>
      <w:szCs w:val="28"/>
      <w:lang w:val="lv-LV"/>
    </w:rPr>
  </w:style>
  <w:style w:type="paragraph" w:styleId="Header">
    <w:name w:val="header"/>
    <w:basedOn w:val="Normal"/>
    <w:link w:val="HeaderChar"/>
    <w:unhideWhenUsed/>
    <w:rsid w:val="00C06D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6D09"/>
  </w:style>
  <w:style w:type="paragraph" w:styleId="Footer">
    <w:name w:val="footer"/>
    <w:basedOn w:val="Normal"/>
    <w:link w:val="FooterChar"/>
    <w:uiPriority w:val="99"/>
    <w:unhideWhenUsed/>
    <w:rsid w:val="00C06D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09"/>
  </w:style>
  <w:style w:type="paragraph" w:styleId="Revision">
    <w:name w:val="Revision"/>
    <w:hidden/>
    <w:uiPriority w:val="99"/>
    <w:semiHidden/>
    <w:rsid w:val="00713F2E"/>
  </w:style>
  <w:style w:type="character" w:styleId="Hyperlink">
    <w:name w:val="Hyperlink"/>
    <w:basedOn w:val="DefaultParagraphFont"/>
    <w:uiPriority w:val="99"/>
    <w:unhideWhenUsed/>
    <w:rsid w:val="008852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EA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B05A87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74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419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27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0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4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625-kartiba-kada-valsts-budzeta-iestades-sagatavo-un-apstiprina-valsts-budzeta-programmu-apaksprogrammu-un-pasakumu-tames-karteja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8057-likums-par-budzetu-un-finansu-vadib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8057-likums-par-budzetu-un-finansu-vadib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kumi.lv/ta/id/187625-kartiba-kada-valsts-budzeta-iestades-sagatavo-un-apstiprina-valsts-budzeta-programmu-apaksprogrammu-un-pasakumu-tames-kartej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Instrukcija par valsts budžeta tāmēm</vt:lpstr>
      <vt:lpstr>Kārtība, kādā valsts budžeta iestādes sagatavo un apstiprina valsts budžeta programmu, apakšprogrammu un pasākumu tāmes kārtējam gadam</vt:lpstr>
    </vt:vector>
  </TitlesOfParts>
  <Manager>ineta.valmane@fm.gov.lv</Manager>
  <Company>Finanšu ministrija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Instrukcija par valsts budžeta tāmēm</dc:title>
  <dc:subject>MK instrukcijas projekts</dc:subject>
  <dc:creator/>
  <dc:description>ineta.valmane@fm.gov.lv
t.67083969</dc:description>
  <cp:lastModifiedBy>Leontine Babkina</cp:lastModifiedBy>
  <cp:revision>24</cp:revision>
  <cp:lastPrinted>2018-12-06T11:29:00Z</cp:lastPrinted>
  <dcterms:created xsi:type="dcterms:W3CDTF">2018-11-15T15:04:00Z</dcterms:created>
  <dcterms:modified xsi:type="dcterms:W3CDTF">2018-12-12T12:15:00Z</dcterms:modified>
</cp:coreProperties>
</file>