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14DD" w14:textId="7F059261" w:rsidR="00551952" w:rsidRDefault="009E1178" w:rsidP="0055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</w:t>
      </w:r>
      <w:r w:rsidR="00DF14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oteikumu projekta</w:t>
      </w:r>
      <w:r w:rsidR="003827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</w:t>
      </w:r>
      <w:r w:rsidR="00DF14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2010. gada 21. jūnija noteikumos Nr. 557 “Valsts drošības iestāžu amatpersonu un darbinieku veselības apr</w:t>
      </w:r>
      <w:r w:rsidR="000C1A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ūpes izdevumu apmaksas kārtība”</w:t>
      </w:r>
      <w:r w:rsidR="003827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4D15A9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7A824040" w14:textId="77777777" w:rsidR="009E1178" w:rsidRDefault="009E1178" w:rsidP="0055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382704" w:rsidRPr="00AD37B6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E807A9" w:rsidRPr="00AD37B6" w14:paraId="0ECAF3D8" w14:textId="77777777" w:rsidTr="00DC4EF3">
        <w:trPr>
          <w:cantSplit/>
          <w:trHeight w:val="1204"/>
        </w:trPr>
        <w:tc>
          <w:tcPr>
            <w:tcW w:w="3430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37388820" w14:textId="69C1A057" w:rsidR="00382704" w:rsidRPr="00E533B3" w:rsidRDefault="00A95558" w:rsidP="00A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3FED0B53" w14:textId="77777777" w:rsidR="00551952" w:rsidRPr="00551952" w:rsidRDefault="00551952" w:rsidP="00551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"/>
        <w:gridCol w:w="2785"/>
        <w:gridCol w:w="5746"/>
      </w:tblGrid>
      <w:tr w:rsidR="00F13FF0" w:rsidRPr="00B9527F" w14:paraId="7FD91FED" w14:textId="77777777" w:rsidTr="00551952">
        <w:trPr>
          <w:trHeight w:val="237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26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206B6A">
        <w:trPr>
          <w:trHeight w:val="405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00A1F" w14:textId="09CC69BC" w:rsidR="006D0B58" w:rsidRDefault="00ED0304" w:rsidP="00E807A9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="001811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</w:t>
            </w:r>
            <w:r w:rsidR="000F25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1811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“Grozījumi Valsts drošības iestāžu likumā”</w:t>
            </w:r>
            <w:r w:rsidR="00181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BA69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Stājas</w:t>
            </w:r>
            <w:r w:rsidR="00A955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spēkā 2019. gada 1. janvārī.</w:t>
            </w:r>
          </w:p>
          <w:p w14:paraId="030FB660" w14:textId="14C24157" w:rsidR="00ED0304" w:rsidRDefault="00ED0304" w:rsidP="00E807A9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2.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ikum</w:t>
            </w:r>
            <w:r w:rsidR="008D3AC6">
              <w:rPr>
                <w:rFonts w:ascii="Times New Roman" w:eastAsia="Times New Roman" w:hAnsi="Times New Roman"/>
                <w:sz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“</w:t>
            </w:r>
            <w:r w:rsidR="008D3AC6">
              <w:rPr>
                <w:rFonts w:ascii="Times New Roman" w:eastAsia="Times New Roman" w:hAnsi="Times New Roman"/>
                <w:sz w:val="24"/>
                <w:lang w:eastAsia="lv-LV"/>
              </w:rPr>
              <w:t xml:space="preserve">Grozījumi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un pašvaldību institūciju amatpersonu un darbinieku atlīdzības likumā”</w:t>
            </w:r>
            <w:r w:rsidR="008D3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 Stājas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spēkā 2019. gada 1. janvārī.</w:t>
            </w:r>
          </w:p>
          <w:p w14:paraId="49F4407E" w14:textId="4A7DC58C" w:rsidR="00214820" w:rsidRPr="00E807A9" w:rsidRDefault="00214820" w:rsidP="00BA694D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3.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</w:t>
            </w:r>
            <w:r w:rsidR="00BA694D">
              <w:rPr>
                <w:rFonts w:ascii="Times New Roman" w:eastAsia="Times New Roman" w:hAnsi="Times New Roman"/>
                <w:sz w:val="24"/>
                <w:lang w:eastAsia="lv-LV"/>
              </w:rPr>
              <w:t>ums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 w:rsidR="00BA69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”. Stājas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spēkā 2019. gada 1. janvārī.</w:t>
            </w:r>
          </w:p>
        </w:tc>
      </w:tr>
      <w:tr w:rsidR="00F13FF0" w:rsidRPr="00B9527F" w14:paraId="27BA0D56" w14:textId="77777777" w:rsidTr="00206B6A">
        <w:trPr>
          <w:trHeight w:val="465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05E5DF1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D43848" w14:textId="03FCDE95" w:rsidR="00D66F04" w:rsidRDefault="00133B18" w:rsidP="00A95558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33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</w:t>
            </w:r>
            <w:r w:rsidR="00C0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2010. gada 21. jūnija noteikumi</w:t>
            </w:r>
            <w:r w:rsidRPr="00133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Nr. 557 “Valsts drošības iestāžu amatpersonu un darbinieku veselības aprūpes izdevumu apmaksas kārtība”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C0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(turpmāk – Noteikumi)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nosaka apmaksātas veselības aprūpes saņemšanas nosacījumus, apmaksājamo pakalpojumu veidus un apmaksas kārtību, kā arī veselības aprūpes pakalpojumus un neapmaksājamo</w:t>
            </w:r>
            <w:r w:rsidR="00E8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 izdevumus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valsts drošības iestāžu amatpersonām un darbiniekiem. </w:t>
            </w:r>
            <w:r w:rsidR="006D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Taču </w:t>
            </w:r>
            <w:r w:rsidR="00C0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2. punkts paredz, ka Noteikumi neattiecas uz Drošības policijas (turpmāk – Iestāde) amatpersonām ar speciālajām dienesta pakāpēm.</w:t>
            </w:r>
            <w:r w:rsidR="00843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Pašreiz uz Iestādes amatpersonām ar speciālajām dienesta pakāpēm attiecas </w:t>
            </w:r>
            <w:r w:rsidR="00843036">
              <w:rPr>
                <w:rFonts w:ascii="Times New Roman" w:hAnsi="Times New Roman" w:cs="Times New Roman"/>
                <w:sz w:val="24"/>
                <w:szCs w:val="24"/>
              </w:rPr>
              <w:t>Ministru kabineta 2010. gada 21. jūnija noteikumi Nr. 569 “Kārtība, kādā Iekšlietu ministrijas sistēmas iestāžu un Ieslodzījuma vietu pārvaldes amatpersonas ar speciālo dienesta pakāpi saņem apmaksātus veselības aprūpes pakalpojumus”.</w:t>
            </w:r>
          </w:p>
          <w:p w14:paraId="485F5598" w14:textId="1D005B43" w:rsidR="00206B6A" w:rsidRDefault="005133DF" w:rsidP="00206B6A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6F10" w:rsidRPr="00C97F1F">
              <w:rPr>
                <w:rFonts w:ascii="Times New Roman" w:hAnsi="Times New Roman" w:cs="Times New Roman"/>
                <w:sz w:val="24"/>
                <w:szCs w:val="24"/>
              </w:rPr>
              <w:t>Likum</w:t>
            </w:r>
            <w:r w:rsidR="00BA694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056F10" w:rsidRPr="00C97F1F">
              <w:rPr>
                <w:rFonts w:ascii="Times New Roman" w:hAnsi="Times New Roman" w:cs="Times New Roman"/>
                <w:sz w:val="24"/>
                <w:szCs w:val="24"/>
              </w:rPr>
              <w:t xml:space="preserve"> “Grozījumi Iekšlietu ministrijas sistēmas iestāžu un Ieslodzījuma vietu pārvaldes amatpersonu ar speciālajām dienesta pakāpēm dienesta gaitas likumā” un “Grozījumi Valsts d</w:t>
            </w:r>
            <w:r w:rsidR="00056F10">
              <w:rPr>
                <w:rFonts w:ascii="Times New Roman" w:hAnsi="Times New Roman" w:cs="Times New Roman"/>
                <w:sz w:val="24"/>
                <w:szCs w:val="24"/>
              </w:rPr>
              <w:t>rošības iestāžu likumā”</w:t>
            </w:r>
            <w:r w:rsidR="00056F10" w:rsidRPr="004B0990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BA694D">
              <w:rPr>
                <w:rFonts w:ascii="Times New Roman" w:hAnsi="Times New Roman" w:cs="Times New Roman"/>
                <w:sz w:val="24"/>
                <w:szCs w:val="24"/>
              </w:rPr>
              <w:t>edzēti grozījumi, kas paredz no 2019. gada 1. janvāra</w:t>
            </w:r>
            <w:r w:rsidR="0005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F10" w:rsidRPr="004B0990">
              <w:rPr>
                <w:rFonts w:ascii="Times New Roman" w:hAnsi="Times New Roman" w:cs="Times New Roman"/>
                <w:sz w:val="24"/>
                <w:szCs w:val="24"/>
              </w:rPr>
              <w:t xml:space="preserve">no Iekšlietu ministrijas sistēmas </w:t>
            </w:r>
            <w:r w:rsidR="00056F10" w:rsidRPr="00C97F1F">
              <w:rPr>
                <w:rFonts w:ascii="Times New Roman" w:hAnsi="Times New Roman" w:cs="Times New Roman"/>
                <w:sz w:val="24"/>
                <w:szCs w:val="24"/>
              </w:rPr>
              <w:t>iestāžu un Ieslodzījuma vietu pārvaldes amatpersonu ar speciālajām dienesta pakāpēm dienesta gaitas</w:t>
            </w:r>
            <w:r w:rsidR="00056F10" w:rsidRPr="004B0990">
              <w:rPr>
                <w:rFonts w:ascii="Times New Roman" w:hAnsi="Times New Roman" w:cs="Times New Roman"/>
                <w:sz w:val="24"/>
                <w:szCs w:val="24"/>
              </w:rPr>
              <w:t xml:space="preserve"> tiesiskā regulējuma loka</w:t>
            </w:r>
            <w:r w:rsidR="0005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F10" w:rsidRPr="004B0990">
              <w:rPr>
                <w:rFonts w:ascii="Times New Roman" w:hAnsi="Times New Roman" w:cs="Times New Roman"/>
                <w:sz w:val="24"/>
                <w:szCs w:val="24"/>
              </w:rPr>
              <w:t>izslē</w:t>
            </w:r>
            <w:r w:rsidR="00056F10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="00056F10" w:rsidRPr="004B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36">
              <w:rPr>
                <w:rFonts w:ascii="Times New Roman" w:hAnsi="Times New Roman" w:cs="Times New Roman"/>
                <w:sz w:val="24"/>
                <w:szCs w:val="24"/>
              </w:rPr>
              <w:t>Iestādi</w:t>
            </w:r>
            <w:r w:rsidR="00056F10">
              <w:rPr>
                <w:rFonts w:ascii="Times New Roman" w:hAnsi="Times New Roman" w:cs="Times New Roman"/>
                <w:sz w:val="24"/>
                <w:szCs w:val="24"/>
              </w:rPr>
              <w:t xml:space="preserve">, to aizvietojot ar dienesta gaitas regulējumu, kas attiecināms uz valsts drošības iestādēm. </w:t>
            </w:r>
          </w:p>
          <w:p w14:paraId="6568E09C" w14:textId="77777777" w:rsidR="003460DB" w:rsidRDefault="00E81748" w:rsidP="00206B6A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Ņemot vērā minēto, ir nepieciešams noteikt vienlīdzīgus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apmaksātas veselības aprūpes saņemšanas nosacījumus, apmaksājamo pakalpojumu veidus un apmaksas kārtību, kā arī veselības aprūpes pakalpojumus un neapmaksājamos izdevumus visu valsts drošības iestāžu amatpersonām un darbiniekiem.</w:t>
            </w:r>
            <w:r w:rsidR="0021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A73C57">
              <w:rPr>
                <w:rFonts w:ascii="Times New Roman" w:hAnsi="Times New Roman" w:cs="Times New Roman"/>
                <w:sz w:val="24"/>
                <w:szCs w:val="24"/>
              </w:rPr>
              <w:t>Projekts paredz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C57">
              <w:rPr>
                <w:rFonts w:ascii="Times New Roman" w:hAnsi="Times New Roman" w:cs="Times New Roman"/>
                <w:sz w:val="24"/>
                <w:szCs w:val="24"/>
              </w:rPr>
              <w:t>svītrot Noteikumos 2. punktu, kas paredz to neattiecināšanu uz Iestādes amatpersonām ar speciālajām dienesta pakāpēm.</w:t>
            </w:r>
          </w:p>
          <w:p w14:paraId="394854F5" w14:textId="3E5DEEB1" w:rsidR="00D11C35" w:rsidRPr="00BA694D" w:rsidRDefault="005133DF" w:rsidP="005133DF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1C35" w:rsidRPr="00BA694D">
              <w:rPr>
                <w:rFonts w:ascii="Times New Roman" w:hAnsi="Times New Roman" w:cs="Times New Roman"/>
                <w:sz w:val="24"/>
                <w:szCs w:val="24"/>
              </w:rPr>
              <w:t xml:space="preserve">Projekts paredz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11C35" w:rsidRPr="00BA694D">
              <w:rPr>
                <w:rFonts w:ascii="Times New Roman" w:hAnsi="Times New Roman" w:cs="Times New Roman"/>
                <w:sz w:val="24"/>
                <w:szCs w:val="24"/>
              </w:rPr>
              <w:t>recizēt Noteikumu izdošanas tiesisk</w:t>
            </w:r>
            <w:r w:rsidR="003E5A0A" w:rsidRPr="00BA69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11C35" w:rsidRPr="00BA694D">
              <w:rPr>
                <w:rFonts w:ascii="Times New Roman" w:hAnsi="Times New Roman" w:cs="Times New Roman"/>
                <w:sz w:val="24"/>
                <w:szCs w:val="24"/>
              </w:rPr>
              <w:t xml:space="preserve"> pamat</w:t>
            </w:r>
            <w:r w:rsidR="003E5A0A" w:rsidRPr="00BA694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1C35" w:rsidRPr="00BA694D">
              <w:rPr>
                <w:rFonts w:ascii="Times New Roman" w:hAnsi="Times New Roman" w:cs="Times New Roman"/>
                <w:sz w:val="24"/>
                <w:szCs w:val="24"/>
              </w:rPr>
              <w:t xml:space="preserve"> atbilstoši Valsts un pašvaldību institūciju amatpersonu un darbinieku atlīdzības likuma 39. panta pirmajai daļai</w:t>
            </w:r>
            <w:r w:rsidR="00547A73">
              <w:rPr>
                <w:rFonts w:ascii="Times New Roman" w:hAnsi="Times New Roman" w:cs="Times New Roman"/>
                <w:sz w:val="24"/>
                <w:szCs w:val="24"/>
              </w:rPr>
              <w:t xml:space="preserve">, ko paredz likums “Grozījumi </w:t>
            </w:r>
            <w:r w:rsidR="00547A73" w:rsidRPr="00BA694D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</w:t>
            </w:r>
            <w:r w:rsidR="00547A73">
              <w:rPr>
                <w:rFonts w:ascii="Times New Roman" w:hAnsi="Times New Roman" w:cs="Times New Roman"/>
                <w:sz w:val="24"/>
                <w:szCs w:val="24"/>
              </w:rPr>
              <w:t>ā”, kas stājas spēkā 2019. gada 1. janvārī.</w:t>
            </w:r>
          </w:p>
          <w:p w14:paraId="6B89FCF4" w14:textId="349ABED7" w:rsidR="002A3F4F" w:rsidRPr="003E5A0A" w:rsidRDefault="005133DF" w:rsidP="00A335E3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3E5A0A" w:rsidRPr="00BA6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Nepieciešams noteikt, ka noteikumi stājas spēkā 2019. gada 1. janvārī, ņemot vērā, ka Projektā ietvertais regulējums ir saistīts ar grozījumiem Valsts drošības iestāžu likumā, </w:t>
            </w:r>
            <w:r w:rsidR="003E5A0A" w:rsidRPr="00BA69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Iekšlietu ministrijas sistēmas iestāžu un Ieslodzījuma vietu pārvaldes amatpersonu ar speciālajām dienesta pakāpēm dienesta gaitas likumā un </w:t>
            </w:r>
            <w:r w:rsidR="003E5A0A" w:rsidRPr="00BA694D">
              <w:rPr>
                <w:rFonts w:ascii="Times New Roman" w:eastAsia="Times New Roman" w:hAnsi="Times New Roman" w:cs="Times New Roman"/>
                <w:sz w:val="24"/>
                <w:szCs w:val="24"/>
              </w:rPr>
              <w:t>Valsts un pašvaldību institūciju amatpersonu un darbinieku atlīdzības likumā</w:t>
            </w:r>
            <w:r w:rsidR="003E5A0A" w:rsidRPr="00BA694D">
              <w:rPr>
                <w:rFonts w:ascii="Times New Roman" w:hAnsi="Times New Roman" w:cs="Times New Roman"/>
                <w:bCs/>
                <w:sz w:val="24"/>
                <w:szCs w:val="24"/>
              </w:rPr>
              <w:t>, kas stāsies spēkā 2019. gada 1. janvārī.</w:t>
            </w:r>
          </w:p>
        </w:tc>
      </w:tr>
      <w:tr w:rsidR="00F13FF0" w:rsidRPr="00B9527F" w14:paraId="39F73ACE" w14:textId="77777777" w:rsidTr="00206B6A">
        <w:trPr>
          <w:trHeight w:val="465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26F01D63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6269E66B" w:rsidR="00AA3B77" w:rsidRPr="00AB46DD" w:rsidRDefault="00DF14F6" w:rsidP="00A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ministrija, </w:t>
            </w:r>
            <w:r w:rsidR="00206B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iestādes</w:t>
            </w:r>
            <w:r w:rsidR="00AB46DD" w:rsidRPr="00AB46DD">
              <w:rPr>
                <w:rFonts w:ascii="Times New Roman" w:hAnsi="Times New Roman" w:cs="Times New Roman"/>
                <w:sz w:val="24"/>
              </w:rPr>
              <w:t>.</w:t>
            </w:r>
            <w:r w:rsidR="00AB46DD" w:rsidRPr="00AB46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B9527F" w14:paraId="03CD0B32" w14:textId="77777777" w:rsidTr="00206B6A"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4FD4709" w:rsidR="004D15A9" w:rsidRPr="00B9527F" w:rsidRDefault="005D7598" w:rsidP="005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likumā “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Grozījumi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un pašvaldību institūciju amatpersonu un darbinieku atlīdzības likumā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paredzētās izmaiņas, Iekšlietu ministrijai, plānojot 2019. gada budžetu, jautājumā par veselības aprūpes pakalpojumu izdevumu segšanu Iestādes amatpersonām, jāveic apropriācijas pārdale atbilstoši </w:t>
            </w:r>
            <w:r w:rsidR="00C22E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programmām (apakšprogra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mmām</w:t>
            </w:r>
            <w:r w:rsidRPr="002679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DC4EF3" w:rsidRPr="002679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(informācija klasificēta)</w:t>
            </w:r>
            <w:r w:rsidRPr="002679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551952" w:rsidRPr="00551952" w:rsidRDefault="00551952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206B6A">
        <w:trPr>
          <w:trHeight w:val="465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6A43047B" w:rsidR="00305493" w:rsidRPr="008F40AA" w:rsidRDefault="00206B6A" w:rsidP="001E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attiecas uz valsts drošības iestādēm un to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amatpersonām,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savukārt plašāku institūciju vai personu loku  neietekmē.</w:t>
            </w:r>
          </w:p>
        </w:tc>
      </w:tr>
      <w:tr w:rsidR="00F13FF0" w:rsidRPr="00B9527F" w14:paraId="09227F87" w14:textId="77777777" w:rsidTr="00206B6A">
        <w:trPr>
          <w:trHeight w:val="510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31A6B34" w:rsidR="001139C6" w:rsidRPr="00B9527F" w:rsidRDefault="00B16873" w:rsidP="00A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Administratīvais slogs </w:t>
            </w:r>
            <w:r w:rsidR="000D6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Iestādes </w:t>
            </w:r>
            <w:r w:rsidR="003D32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amatpersonu kompensācijas pieteikumu izskatīšanā tiks pār</w:t>
            </w:r>
            <w:r w:rsidR="00214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nests no Iekšlietu ministrijas v</w:t>
            </w:r>
            <w:r w:rsidR="003D32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eselības un sporta centra uz </w:t>
            </w:r>
            <w:r w:rsidR="00A955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Iestādi</w:t>
            </w:r>
            <w:r w:rsidR="003D32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955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B9527F" w14:paraId="423B2CA8" w14:textId="77777777" w:rsidTr="00206B6A">
        <w:trPr>
          <w:trHeight w:val="510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69B90E82" w:rsidR="00AF6DCA" w:rsidRPr="00AF6DCA" w:rsidRDefault="00A95558" w:rsidP="00A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</w:rPr>
              <w:t>Iestādei</w:t>
            </w:r>
            <w:r w:rsidR="005137AA">
              <w:rPr>
                <w:rFonts w:ascii="Times New Roman" w:hAnsi="Times New Roman" w:cs="Times New Roman"/>
                <w:sz w:val="24"/>
              </w:rPr>
              <w:t xml:space="preserve"> Projekts nerada administratīvās izmaksas, kas pārsniedz noteikto līmeni, pie kura jāveic novērtējums</w:t>
            </w:r>
            <w:r w:rsidR="00F74B8D">
              <w:rPr>
                <w:rFonts w:ascii="Times New Roman" w:hAnsi="Times New Roman" w:cs="Times New Roman"/>
                <w:sz w:val="24"/>
              </w:rPr>
              <w:t xml:space="preserve">, jo šobrīd </w:t>
            </w:r>
            <w:r>
              <w:rPr>
                <w:rFonts w:ascii="Times New Roman" w:hAnsi="Times New Roman" w:cs="Times New Roman"/>
                <w:sz w:val="24"/>
              </w:rPr>
              <w:t>Iestāde</w:t>
            </w:r>
            <w:r w:rsidR="003D326F">
              <w:rPr>
                <w:rFonts w:ascii="Times New Roman" w:hAnsi="Times New Roman" w:cs="Times New Roman"/>
                <w:sz w:val="24"/>
              </w:rPr>
              <w:t xml:space="preserve"> veic kompensāciju pieteikumu izskatīšanu attiecībā uz amatpersonām bez speciālajām dienesta pakāpēm.</w:t>
            </w:r>
            <w:r w:rsidR="00F74B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2EB5FC80" w14:textId="77777777" w:rsidTr="00206B6A">
        <w:trPr>
          <w:trHeight w:val="345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0988FB0" w:rsidR="001C7A1E" w:rsidRPr="00B9527F" w:rsidRDefault="00A95558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B9527F" w14:paraId="36ED7869" w14:textId="77777777" w:rsidTr="00206B6A">
        <w:trPr>
          <w:trHeight w:val="250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551952">
        <w:trPr>
          <w:trHeight w:val="11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16A4879B" w14:textId="77777777" w:rsidR="00263166" w:rsidRPr="00551952" w:rsidRDefault="00263166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D6912" w:rsidRPr="00B9527F" w14:paraId="31D26FB1" w14:textId="77777777" w:rsidTr="00397EAC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E2E75C" w14:textId="77777777" w:rsidR="000D6912" w:rsidRPr="00B9527F" w:rsidRDefault="000D6912" w:rsidP="00397EA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D6912" w:rsidRPr="00B9527F" w14:paraId="19F1F317" w14:textId="77777777" w:rsidTr="00397EAC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13A6C6" w14:textId="77777777" w:rsidR="000D6912" w:rsidRPr="00B9527F" w:rsidRDefault="000D6912" w:rsidP="00397EA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7145693B" w14:textId="77777777" w:rsidR="000D6912" w:rsidRDefault="000D6912" w:rsidP="00D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17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2"/>
      </w:tblGrid>
      <w:tr w:rsidR="00206B6A" w:rsidRPr="00AF42F0" w14:paraId="7DCE67E5" w14:textId="77777777" w:rsidTr="00DF6CB0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E7C97" w14:textId="77777777" w:rsidR="00206B6A" w:rsidRPr="000103AC" w:rsidRDefault="00206B6A" w:rsidP="00DF6CB0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06B6A" w:rsidRPr="00B9527F" w14:paraId="042FB7A6" w14:textId="77777777" w:rsidTr="00DF6CB0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4C17C" w14:textId="77777777" w:rsidR="00206B6A" w:rsidRPr="00A07F7B" w:rsidRDefault="00206B6A" w:rsidP="00DF6CB0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07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1A59BD8" w14:textId="77777777" w:rsidR="00551952" w:rsidRPr="00551952" w:rsidRDefault="00551952" w:rsidP="00D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39587A45" w14:textId="77777777" w:rsidR="00551952" w:rsidRPr="00551952" w:rsidRDefault="00551952" w:rsidP="00D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1ACA0B5" w:rsidR="008E4E93" w:rsidRPr="00BB4D7E" w:rsidRDefault="00BB0082" w:rsidP="003D3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61">
              <w:rPr>
                <w:rFonts w:ascii="Times New Roman" w:hAnsi="Times New Roman" w:cs="Times New Roman"/>
                <w:sz w:val="24"/>
                <w:szCs w:val="24"/>
              </w:rPr>
              <w:t xml:space="preserve">Sabiedrības līdzdalība nav plānota, jo Projekts skar tikai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drošības iestādes</w:t>
            </w:r>
            <w:r w:rsidRPr="00514B61">
              <w:rPr>
                <w:rFonts w:ascii="Times New Roman" w:hAnsi="Times New Roman" w:cs="Times New Roman"/>
                <w:sz w:val="24"/>
                <w:szCs w:val="24"/>
              </w:rPr>
              <w:t xml:space="preserve"> un to amatpersonas, savukārt sabiedrību kopumā neietekmē.</w:t>
            </w:r>
          </w:p>
        </w:tc>
      </w:tr>
      <w:tr w:rsidR="00F13FF0" w:rsidRPr="00B9527F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5720977B" w:rsidR="004D15A9" w:rsidRPr="005F191C" w:rsidRDefault="002644A5" w:rsidP="00A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3F6FCD1D" w:rsidR="004D15A9" w:rsidRPr="005F191C" w:rsidRDefault="002644A5" w:rsidP="00A8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551952">
        <w:trPr>
          <w:trHeight w:val="27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35123ED" w14:textId="77777777" w:rsidR="00551952" w:rsidRPr="00551952" w:rsidRDefault="00551952" w:rsidP="00D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6158EF46" w:rsidR="004D15A9" w:rsidRPr="005F191C" w:rsidRDefault="00206B6A" w:rsidP="0025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drošības iestādes.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B68EF" w14:textId="77777777" w:rsidR="002644A5" w:rsidRPr="00D9458F" w:rsidRDefault="002644A5" w:rsidP="002644A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2C20D9E4" w14:textId="77777777" w:rsidR="002644A5" w:rsidRDefault="002644A5" w:rsidP="00264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D248" w14:textId="2B1EF8F8" w:rsidR="00B229AC" w:rsidRPr="00267987" w:rsidRDefault="00DC4EF3" w:rsidP="0026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987">
              <w:rPr>
                <w:rFonts w:ascii="Times New Roman" w:hAnsi="Times New Roman" w:cs="Times New Roman"/>
                <w:sz w:val="24"/>
                <w:szCs w:val="24"/>
              </w:rPr>
              <w:t>Projekta izpilde tiks nodrošināta Iekšlietu ministrijas resoram piešķirto valsts budžeta līdzekļu un amata vietu ietvaros.</w:t>
            </w:r>
          </w:p>
        </w:tc>
      </w:tr>
      <w:tr w:rsidR="004D15A9" w:rsidRPr="00B9527F" w14:paraId="5062E92A" w14:textId="77777777" w:rsidTr="00551952">
        <w:trPr>
          <w:trHeight w:val="22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2381D82A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2BE02D0B" w14:textId="77777777" w:rsidR="00206B6A" w:rsidRPr="00B9527F" w:rsidRDefault="00206B6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11B272CE" w:rsidR="005F191C" w:rsidRPr="005F191C" w:rsidRDefault="005F191C" w:rsidP="00AD4188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="00AD4188">
        <w:rPr>
          <w:rFonts w:ascii="Times New Roman" w:hAnsi="Times New Roman" w:cs="Times New Roman"/>
          <w:sz w:val="24"/>
          <w:szCs w:val="24"/>
        </w:rPr>
        <w:t xml:space="preserve"> </w:t>
      </w:r>
      <w:r w:rsidR="00AD4188">
        <w:rPr>
          <w:rFonts w:ascii="Times New Roman" w:hAnsi="Times New Roman" w:cs="Times New Roman"/>
          <w:sz w:val="24"/>
          <w:szCs w:val="24"/>
        </w:rPr>
        <w:tab/>
      </w:r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F59BF" w14:textId="77777777" w:rsidR="00551952" w:rsidRDefault="0055195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1475E" w14:textId="3D355449" w:rsidR="005F191C" w:rsidRPr="00551952" w:rsidRDefault="00FC0DE9" w:rsidP="00551952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r w:rsidR="00AD4188">
        <w:rPr>
          <w:rFonts w:ascii="Times New Roman" w:hAnsi="Times New Roman" w:cs="Times New Roman"/>
          <w:sz w:val="24"/>
          <w:szCs w:val="24"/>
        </w:rPr>
        <w:t xml:space="preserve"> </w:t>
      </w:r>
      <w:r w:rsidR="00AD4188">
        <w:rPr>
          <w:rFonts w:ascii="Times New Roman" w:hAnsi="Times New Roman" w:cs="Times New Roman"/>
          <w:sz w:val="24"/>
          <w:szCs w:val="24"/>
        </w:rPr>
        <w:tab/>
      </w:r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14B3743F" w14:textId="77777777" w:rsidR="00551952" w:rsidRDefault="00551952" w:rsidP="00C07135">
      <w:pPr>
        <w:spacing w:after="0" w:line="240" w:lineRule="auto"/>
        <w:jc w:val="both"/>
        <w:rPr>
          <w:sz w:val="28"/>
          <w:szCs w:val="28"/>
        </w:rPr>
      </w:pPr>
    </w:p>
    <w:p w14:paraId="74D09F24" w14:textId="77777777" w:rsidR="005133DF" w:rsidRDefault="005133DF" w:rsidP="00C07135">
      <w:pPr>
        <w:spacing w:after="0" w:line="240" w:lineRule="auto"/>
        <w:jc w:val="both"/>
        <w:rPr>
          <w:sz w:val="28"/>
          <w:szCs w:val="28"/>
        </w:rPr>
      </w:pPr>
    </w:p>
    <w:p w14:paraId="1D2ABE2A" w14:textId="0EA88540" w:rsidR="002644A5" w:rsidRPr="007F3A88" w:rsidRDefault="00BA694D" w:rsidP="002644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A540A">
        <w:rPr>
          <w:rFonts w:ascii="Times New Roman" w:hAnsi="Times New Roman" w:cs="Times New Roman"/>
          <w:sz w:val="20"/>
          <w:szCs w:val="20"/>
        </w:rPr>
        <w:t>9</w:t>
      </w:r>
      <w:r w:rsidR="00DC4EF3">
        <w:rPr>
          <w:rFonts w:ascii="Times New Roman" w:hAnsi="Times New Roman" w:cs="Times New Roman"/>
          <w:sz w:val="20"/>
          <w:szCs w:val="20"/>
        </w:rPr>
        <w:t>.11</w:t>
      </w:r>
      <w:r w:rsidR="002644A5" w:rsidRPr="007F3A88">
        <w:rPr>
          <w:rFonts w:ascii="Times New Roman" w:hAnsi="Times New Roman" w:cs="Times New Roman"/>
          <w:sz w:val="20"/>
          <w:szCs w:val="20"/>
        </w:rPr>
        <w:t>.2018. 14:40</w:t>
      </w:r>
    </w:p>
    <w:p w14:paraId="7D585AD1" w14:textId="2C7119F8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fldChar w:fldCharType="begin"/>
      </w:r>
      <w:r w:rsidRPr="005F191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F191C">
        <w:rPr>
          <w:rFonts w:ascii="Times New Roman" w:hAnsi="Times New Roman" w:cs="Times New Roman"/>
          <w:sz w:val="20"/>
          <w:szCs w:val="20"/>
        </w:rPr>
        <w:fldChar w:fldCharType="separate"/>
      </w:r>
      <w:r w:rsidR="00221D4A">
        <w:rPr>
          <w:rFonts w:ascii="Times New Roman" w:hAnsi="Times New Roman" w:cs="Times New Roman"/>
          <w:noProof/>
          <w:sz w:val="20"/>
          <w:szCs w:val="20"/>
        </w:rPr>
        <w:t>818</w:t>
      </w:r>
      <w:r w:rsidRPr="005F191C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14:paraId="126B7B9B" w14:textId="1564482C" w:rsidR="00841836" w:rsidRPr="00551952" w:rsidRDefault="005F191C" w:rsidP="00551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t>67208949, juristi@dp.gov.lv</w:t>
      </w:r>
    </w:p>
    <w:sectPr w:rsidR="00841836" w:rsidRPr="00551952" w:rsidSect="0041743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FC4DA" w14:textId="77777777" w:rsidR="00B72D54" w:rsidRDefault="00B72D54" w:rsidP="004D15A9">
      <w:pPr>
        <w:spacing w:after="0" w:line="240" w:lineRule="auto"/>
      </w:pPr>
      <w:r>
        <w:separator/>
      </w:r>
    </w:p>
  </w:endnote>
  <w:endnote w:type="continuationSeparator" w:id="0">
    <w:p w14:paraId="5207E17E" w14:textId="77777777" w:rsidR="00B72D54" w:rsidRDefault="00B72D54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3BD5" w14:textId="323D4BD9" w:rsidR="00AF6DCA" w:rsidRPr="005F191C" w:rsidRDefault="00267987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IEMAnot_2</w:t>
    </w:r>
    <w:r w:rsidR="007A540A">
      <w:rPr>
        <w:rFonts w:ascii="Times New Roman" w:hAnsi="Times New Roman" w:cs="Times New Roman"/>
        <w:sz w:val="20"/>
        <w:szCs w:val="20"/>
      </w:rPr>
      <w:t>9</w:t>
    </w:r>
    <w:r w:rsidR="00DC4EF3">
      <w:rPr>
        <w:rFonts w:ascii="Times New Roman" w:hAnsi="Times New Roman" w:cs="Times New Roman"/>
        <w:sz w:val="20"/>
        <w:szCs w:val="20"/>
      </w:rPr>
      <w:t>11</w:t>
    </w:r>
    <w:r w:rsidR="009E1178">
      <w:rPr>
        <w:rFonts w:ascii="Times New Roman" w:hAnsi="Times New Roman" w:cs="Times New Roman"/>
        <w:sz w:val="20"/>
        <w:szCs w:val="20"/>
      </w:rPr>
      <w:t>2018_557_groz</w:t>
    </w:r>
    <w:r w:rsidR="00DC4EF3">
      <w:rPr>
        <w:rFonts w:ascii="Times New Roman" w:hAnsi="Times New Roman" w:cs="Times New Roman"/>
        <w:sz w:val="20"/>
        <w:szCs w:val="20"/>
      </w:rPr>
      <w:t>.1115</w:t>
    </w:r>
    <w:r w:rsidR="00181104">
      <w:rPr>
        <w:rFonts w:ascii="Times New Roman" w:hAnsi="Times New Roman" w:cs="Times New Roman"/>
        <w:sz w:val="20"/>
        <w:szCs w:val="20"/>
      </w:rPr>
      <w:t xml:space="preserve">; </w:t>
    </w:r>
    <w:r w:rsidR="00A95558">
      <w:rPr>
        <w:rFonts w:ascii="Times New Roman" w:hAnsi="Times New Roman" w:cs="Times New Roman"/>
        <w:sz w:val="20"/>
        <w:szCs w:val="20"/>
      </w:rPr>
      <w:t>Ministru kabineta n</w:t>
    </w:r>
    <w:r w:rsidR="00221D4A">
      <w:rPr>
        <w:rFonts w:ascii="Times New Roman" w:hAnsi="Times New Roman" w:cs="Times New Roman"/>
        <w:sz w:val="20"/>
        <w:szCs w:val="20"/>
      </w:rPr>
      <w:t>oteikumu projekta “Grozījumi</w:t>
    </w:r>
    <w:r w:rsidR="00181104" w:rsidRPr="00181104">
      <w:rPr>
        <w:rFonts w:ascii="Times New Roman" w:hAnsi="Times New Roman" w:cs="Times New Roman"/>
        <w:sz w:val="20"/>
        <w:szCs w:val="20"/>
      </w:rPr>
      <w:t xml:space="preserve"> Ministru kabineta 2010.</w:t>
    </w:r>
    <w:r w:rsidR="00221D4A">
      <w:rPr>
        <w:rFonts w:ascii="Times New Roman" w:hAnsi="Times New Roman" w:cs="Times New Roman"/>
        <w:sz w:val="20"/>
        <w:szCs w:val="20"/>
      </w:rPr>
      <w:t> </w:t>
    </w:r>
    <w:r w:rsidR="00181104" w:rsidRPr="00181104">
      <w:rPr>
        <w:rFonts w:ascii="Times New Roman" w:hAnsi="Times New Roman" w:cs="Times New Roman"/>
        <w:sz w:val="20"/>
        <w:szCs w:val="20"/>
      </w:rPr>
      <w:t>gada 21. jūnija noteikumos Nr. 557 “Valsts drošības iestāžu amatpersonu un darbinieku veselības aprūpes izdevumu apmaksas kārtība””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53710D2C" w:rsidR="00AF6DCA" w:rsidRPr="005F191C" w:rsidRDefault="00BA694D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IEMAnot_2</w:t>
    </w:r>
    <w:r w:rsidR="007A540A">
      <w:rPr>
        <w:rFonts w:ascii="Times New Roman" w:hAnsi="Times New Roman" w:cs="Times New Roman"/>
        <w:sz w:val="20"/>
        <w:szCs w:val="20"/>
      </w:rPr>
      <w:t>9</w:t>
    </w:r>
    <w:r w:rsidR="00DC4EF3">
      <w:rPr>
        <w:rFonts w:ascii="Times New Roman" w:hAnsi="Times New Roman" w:cs="Times New Roman"/>
        <w:sz w:val="20"/>
        <w:szCs w:val="20"/>
      </w:rPr>
      <w:t>11</w:t>
    </w:r>
    <w:r w:rsidR="009E1178">
      <w:rPr>
        <w:rFonts w:ascii="Times New Roman" w:hAnsi="Times New Roman" w:cs="Times New Roman"/>
        <w:sz w:val="20"/>
        <w:szCs w:val="20"/>
      </w:rPr>
      <w:t>2018_557_groz</w:t>
    </w:r>
    <w:r w:rsidR="00DC4EF3">
      <w:rPr>
        <w:rFonts w:ascii="Times New Roman" w:hAnsi="Times New Roman" w:cs="Times New Roman"/>
        <w:sz w:val="20"/>
        <w:szCs w:val="20"/>
      </w:rPr>
      <w:t>.1115</w:t>
    </w:r>
    <w:r w:rsidR="00AF6DCA" w:rsidRPr="005F191C">
      <w:rPr>
        <w:rFonts w:ascii="Times New Roman" w:hAnsi="Times New Roman" w:cs="Times New Roman"/>
        <w:sz w:val="20"/>
        <w:szCs w:val="20"/>
      </w:rPr>
      <w:t xml:space="preserve">; </w:t>
    </w:r>
    <w:r w:rsidR="00A95558">
      <w:rPr>
        <w:rFonts w:ascii="Times New Roman" w:hAnsi="Times New Roman" w:cs="Times New Roman"/>
        <w:sz w:val="20"/>
        <w:szCs w:val="20"/>
      </w:rPr>
      <w:t>Ministru kabineta n</w:t>
    </w:r>
    <w:r w:rsidR="00221D4A">
      <w:rPr>
        <w:rFonts w:ascii="Times New Roman" w:hAnsi="Times New Roman" w:cs="Times New Roman"/>
        <w:sz w:val="20"/>
        <w:szCs w:val="20"/>
      </w:rPr>
      <w:t>oteikumu projekta “Grozījumi</w:t>
    </w:r>
    <w:r w:rsidR="00181104" w:rsidRPr="00181104">
      <w:rPr>
        <w:rFonts w:ascii="Times New Roman" w:hAnsi="Times New Roman" w:cs="Times New Roman"/>
        <w:sz w:val="20"/>
        <w:szCs w:val="20"/>
      </w:rPr>
      <w:t xml:space="preserve"> Ministru kabineta 2010.</w:t>
    </w:r>
    <w:r w:rsidR="00221D4A">
      <w:rPr>
        <w:rFonts w:ascii="Times New Roman" w:hAnsi="Times New Roman" w:cs="Times New Roman"/>
        <w:sz w:val="20"/>
        <w:szCs w:val="20"/>
      </w:rPr>
      <w:t> </w:t>
    </w:r>
    <w:r w:rsidR="00181104" w:rsidRPr="00181104">
      <w:rPr>
        <w:rFonts w:ascii="Times New Roman" w:hAnsi="Times New Roman" w:cs="Times New Roman"/>
        <w:sz w:val="20"/>
        <w:szCs w:val="20"/>
      </w:rPr>
      <w:t xml:space="preserve">gada 21. jūnija noteikumos Nr. 557 “Valsts drošības iestāžu amatpersonu un darbinieku veselības aprūpes izdevumu apmaksas </w:t>
    </w:r>
    <w:r w:rsidR="00221D4A">
      <w:rPr>
        <w:rFonts w:ascii="Times New Roman" w:hAnsi="Times New Roman" w:cs="Times New Roman"/>
        <w:sz w:val="20"/>
        <w:szCs w:val="20"/>
      </w:rPr>
      <w:t>kārtība”</w:t>
    </w:r>
    <w:r w:rsidR="00181104" w:rsidRPr="00181104"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23E5" w14:textId="77777777" w:rsidR="00B72D54" w:rsidRDefault="00B72D54" w:rsidP="004D15A9">
      <w:pPr>
        <w:spacing w:after="0" w:line="240" w:lineRule="auto"/>
      </w:pPr>
      <w:r>
        <w:separator/>
      </w:r>
    </w:p>
  </w:footnote>
  <w:footnote w:type="continuationSeparator" w:id="0">
    <w:p w14:paraId="450C039F" w14:textId="77777777" w:rsidR="00B72D54" w:rsidRDefault="00B72D54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D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12A9"/>
    <w:rsid w:val="000158DF"/>
    <w:rsid w:val="0002190D"/>
    <w:rsid w:val="00022FCC"/>
    <w:rsid w:val="0002314D"/>
    <w:rsid w:val="00023A6E"/>
    <w:rsid w:val="00025233"/>
    <w:rsid w:val="00026A78"/>
    <w:rsid w:val="00026B70"/>
    <w:rsid w:val="00027590"/>
    <w:rsid w:val="00027620"/>
    <w:rsid w:val="00031256"/>
    <w:rsid w:val="000317E1"/>
    <w:rsid w:val="00033657"/>
    <w:rsid w:val="00044336"/>
    <w:rsid w:val="000552FE"/>
    <w:rsid w:val="00056F10"/>
    <w:rsid w:val="00060BCA"/>
    <w:rsid w:val="000800E0"/>
    <w:rsid w:val="00080D8C"/>
    <w:rsid w:val="0008129B"/>
    <w:rsid w:val="000A2465"/>
    <w:rsid w:val="000A368D"/>
    <w:rsid w:val="000B228C"/>
    <w:rsid w:val="000B7854"/>
    <w:rsid w:val="000B7F85"/>
    <w:rsid w:val="000C12C0"/>
    <w:rsid w:val="000C1A38"/>
    <w:rsid w:val="000C24F2"/>
    <w:rsid w:val="000D6912"/>
    <w:rsid w:val="000E05F5"/>
    <w:rsid w:val="000F25ED"/>
    <w:rsid w:val="000F4961"/>
    <w:rsid w:val="00101101"/>
    <w:rsid w:val="00101CD5"/>
    <w:rsid w:val="00110EFE"/>
    <w:rsid w:val="00112733"/>
    <w:rsid w:val="001139C6"/>
    <w:rsid w:val="001202FF"/>
    <w:rsid w:val="00122A6C"/>
    <w:rsid w:val="00130029"/>
    <w:rsid w:val="00132959"/>
    <w:rsid w:val="00133B18"/>
    <w:rsid w:val="00147651"/>
    <w:rsid w:val="0015107E"/>
    <w:rsid w:val="00167254"/>
    <w:rsid w:val="00170024"/>
    <w:rsid w:val="0017030E"/>
    <w:rsid w:val="00170C02"/>
    <w:rsid w:val="00171F7A"/>
    <w:rsid w:val="00176F15"/>
    <w:rsid w:val="00181104"/>
    <w:rsid w:val="001A27E7"/>
    <w:rsid w:val="001A452B"/>
    <w:rsid w:val="001C0FFB"/>
    <w:rsid w:val="001C7A1E"/>
    <w:rsid w:val="001E0CE5"/>
    <w:rsid w:val="001E33EC"/>
    <w:rsid w:val="001E57CB"/>
    <w:rsid w:val="001E6518"/>
    <w:rsid w:val="00204677"/>
    <w:rsid w:val="00206B6A"/>
    <w:rsid w:val="0020705B"/>
    <w:rsid w:val="002072BF"/>
    <w:rsid w:val="00207985"/>
    <w:rsid w:val="00214820"/>
    <w:rsid w:val="00221D4A"/>
    <w:rsid w:val="00225437"/>
    <w:rsid w:val="00226D89"/>
    <w:rsid w:val="00233155"/>
    <w:rsid w:val="00234A9A"/>
    <w:rsid w:val="00241708"/>
    <w:rsid w:val="002501C3"/>
    <w:rsid w:val="00251524"/>
    <w:rsid w:val="00263166"/>
    <w:rsid w:val="002644A5"/>
    <w:rsid w:val="00267987"/>
    <w:rsid w:val="0028388D"/>
    <w:rsid w:val="00284574"/>
    <w:rsid w:val="00285DD4"/>
    <w:rsid w:val="00292555"/>
    <w:rsid w:val="002927A4"/>
    <w:rsid w:val="002A3922"/>
    <w:rsid w:val="002A3F4F"/>
    <w:rsid w:val="002B0CD9"/>
    <w:rsid w:val="002B2AB3"/>
    <w:rsid w:val="002B67E3"/>
    <w:rsid w:val="002C22FC"/>
    <w:rsid w:val="002C41DE"/>
    <w:rsid w:val="002C7356"/>
    <w:rsid w:val="002C742D"/>
    <w:rsid w:val="002D060B"/>
    <w:rsid w:val="002D2810"/>
    <w:rsid w:val="002E1613"/>
    <w:rsid w:val="002E4191"/>
    <w:rsid w:val="002E5359"/>
    <w:rsid w:val="002E655D"/>
    <w:rsid w:val="002F0D41"/>
    <w:rsid w:val="00303F45"/>
    <w:rsid w:val="00305493"/>
    <w:rsid w:val="003141EE"/>
    <w:rsid w:val="00332A21"/>
    <w:rsid w:val="00336BFE"/>
    <w:rsid w:val="003460DB"/>
    <w:rsid w:val="00346A5A"/>
    <w:rsid w:val="00366148"/>
    <w:rsid w:val="00367752"/>
    <w:rsid w:val="0037160C"/>
    <w:rsid w:val="00380070"/>
    <w:rsid w:val="0038224C"/>
    <w:rsid w:val="00382704"/>
    <w:rsid w:val="00383264"/>
    <w:rsid w:val="003922B0"/>
    <w:rsid w:val="00394BC1"/>
    <w:rsid w:val="003968AD"/>
    <w:rsid w:val="003A2A0B"/>
    <w:rsid w:val="003A40DD"/>
    <w:rsid w:val="003A5338"/>
    <w:rsid w:val="003B3543"/>
    <w:rsid w:val="003C6ED6"/>
    <w:rsid w:val="003D326F"/>
    <w:rsid w:val="003D7E9D"/>
    <w:rsid w:val="003E1C79"/>
    <w:rsid w:val="003E5A0A"/>
    <w:rsid w:val="003E7472"/>
    <w:rsid w:val="003F5F0D"/>
    <w:rsid w:val="00403FB3"/>
    <w:rsid w:val="004131F6"/>
    <w:rsid w:val="0041691A"/>
    <w:rsid w:val="00417431"/>
    <w:rsid w:val="00417CF5"/>
    <w:rsid w:val="0042025D"/>
    <w:rsid w:val="00437441"/>
    <w:rsid w:val="00440DCC"/>
    <w:rsid w:val="00442308"/>
    <w:rsid w:val="004548A6"/>
    <w:rsid w:val="00461275"/>
    <w:rsid w:val="0047520F"/>
    <w:rsid w:val="0047574C"/>
    <w:rsid w:val="00475F45"/>
    <w:rsid w:val="0048561D"/>
    <w:rsid w:val="00490B18"/>
    <w:rsid w:val="0049295E"/>
    <w:rsid w:val="00493164"/>
    <w:rsid w:val="004940B9"/>
    <w:rsid w:val="00494B83"/>
    <w:rsid w:val="00497F79"/>
    <w:rsid w:val="004A0651"/>
    <w:rsid w:val="004A29D6"/>
    <w:rsid w:val="004B4E07"/>
    <w:rsid w:val="004C395E"/>
    <w:rsid w:val="004D15A9"/>
    <w:rsid w:val="004D2B29"/>
    <w:rsid w:val="004D36B2"/>
    <w:rsid w:val="004E2A41"/>
    <w:rsid w:val="004F3112"/>
    <w:rsid w:val="004F44DC"/>
    <w:rsid w:val="004F6F30"/>
    <w:rsid w:val="00507741"/>
    <w:rsid w:val="00507B11"/>
    <w:rsid w:val="00510282"/>
    <w:rsid w:val="005133DF"/>
    <w:rsid w:val="005137AA"/>
    <w:rsid w:val="00515CEE"/>
    <w:rsid w:val="00515DA1"/>
    <w:rsid w:val="005206CA"/>
    <w:rsid w:val="00547A73"/>
    <w:rsid w:val="00551952"/>
    <w:rsid w:val="00571733"/>
    <w:rsid w:val="005752ED"/>
    <w:rsid w:val="00576583"/>
    <w:rsid w:val="0058231F"/>
    <w:rsid w:val="00585268"/>
    <w:rsid w:val="005857C1"/>
    <w:rsid w:val="005919F4"/>
    <w:rsid w:val="00595E1C"/>
    <w:rsid w:val="005A152B"/>
    <w:rsid w:val="005C20FF"/>
    <w:rsid w:val="005C54FB"/>
    <w:rsid w:val="005D315A"/>
    <w:rsid w:val="005D3283"/>
    <w:rsid w:val="005D4E8A"/>
    <w:rsid w:val="005D7598"/>
    <w:rsid w:val="005E2ECE"/>
    <w:rsid w:val="005E5216"/>
    <w:rsid w:val="005F191C"/>
    <w:rsid w:val="005F5203"/>
    <w:rsid w:val="00600FF0"/>
    <w:rsid w:val="0060150A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7AF5"/>
    <w:rsid w:val="00661558"/>
    <w:rsid w:val="0068034D"/>
    <w:rsid w:val="00692214"/>
    <w:rsid w:val="006953D9"/>
    <w:rsid w:val="006A2195"/>
    <w:rsid w:val="006A76EA"/>
    <w:rsid w:val="006B150B"/>
    <w:rsid w:val="006B3585"/>
    <w:rsid w:val="006C2922"/>
    <w:rsid w:val="006C339E"/>
    <w:rsid w:val="006C5402"/>
    <w:rsid w:val="006D097F"/>
    <w:rsid w:val="006D0B58"/>
    <w:rsid w:val="006D377A"/>
    <w:rsid w:val="006E6938"/>
    <w:rsid w:val="006F0423"/>
    <w:rsid w:val="006F52DD"/>
    <w:rsid w:val="00704D91"/>
    <w:rsid w:val="0070538C"/>
    <w:rsid w:val="00705FA9"/>
    <w:rsid w:val="0071293B"/>
    <w:rsid w:val="00713854"/>
    <w:rsid w:val="00717394"/>
    <w:rsid w:val="00720D07"/>
    <w:rsid w:val="00720FBD"/>
    <w:rsid w:val="007217BB"/>
    <w:rsid w:val="00722181"/>
    <w:rsid w:val="00723E36"/>
    <w:rsid w:val="00740A3E"/>
    <w:rsid w:val="007428C1"/>
    <w:rsid w:val="00744EE7"/>
    <w:rsid w:val="007455B2"/>
    <w:rsid w:val="00761117"/>
    <w:rsid w:val="0076457C"/>
    <w:rsid w:val="007659C2"/>
    <w:rsid w:val="0079081E"/>
    <w:rsid w:val="007A050E"/>
    <w:rsid w:val="007A540A"/>
    <w:rsid w:val="007A5D6A"/>
    <w:rsid w:val="007A730A"/>
    <w:rsid w:val="007B08F7"/>
    <w:rsid w:val="007B514E"/>
    <w:rsid w:val="007B7F74"/>
    <w:rsid w:val="007C3DDB"/>
    <w:rsid w:val="007C5FF1"/>
    <w:rsid w:val="007C68F9"/>
    <w:rsid w:val="007D3DAE"/>
    <w:rsid w:val="007D3F4F"/>
    <w:rsid w:val="007D5BC8"/>
    <w:rsid w:val="007E6B77"/>
    <w:rsid w:val="007F1C8A"/>
    <w:rsid w:val="007F2FAA"/>
    <w:rsid w:val="007F52F8"/>
    <w:rsid w:val="00802FE7"/>
    <w:rsid w:val="0081203F"/>
    <w:rsid w:val="00813D5F"/>
    <w:rsid w:val="0082247C"/>
    <w:rsid w:val="00826B33"/>
    <w:rsid w:val="00841836"/>
    <w:rsid w:val="00843036"/>
    <w:rsid w:val="008665E0"/>
    <w:rsid w:val="00886B4E"/>
    <w:rsid w:val="008A1CD4"/>
    <w:rsid w:val="008A6173"/>
    <w:rsid w:val="008B46C8"/>
    <w:rsid w:val="008B65D3"/>
    <w:rsid w:val="008B673D"/>
    <w:rsid w:val="008C3B1B"/>
    <w:rsid w:val="008C477E"/>
    <w:rsid w:val="008C5CC0"/>
    <w:rsid w:val="008D3AC6"/>
    <w:rsid w:val="008D48CA"/>
    <w:rsid w:val="008D51E4"/>
    <w:rsid w:val="008E2F21"/>
    <w:rsid w:val="008E4346"/>
    <w:rsid w:val="008E4CAD"/>
    <w:rsid w:val="008E4E93"/>
    <w:rsid w:val="008E70AA"/>
    <w:rsid w:val="008F380F"/>
    <w:rsid w:val="008F40AA"/>
    <w:rsid w:val="008F4194"/>
    <w:rsid w:val="008F7F61"/>
    <w:rsid w:val="009100A2"/>
    <w:rsid w:val="009137D1"/>
    <w:rsid w:val="00921C2B"/>
    <w:rsid w:val="00930DAF"/>
    <w:rsid w:val="00937BCA"/>
    <w:rsid w:val="00945BB6"/>
    <w:rsid w:val="009518B3"/>
    <w:rsid w:val="00952FF4"/>
    <w:rsid w:val="009536F4"/>
    <w:rsid w:val="009539DD"/>
    <w:rsid w:val="009726CB"/>
    <w:rsid w:val="0097690A"/>
    <w:rsid w:val="00981061"/>
    <w:rsid w:val="0098335A"/>
    <w:rsid w:val="0098464F"/>
    <w:rsid w:val="00986533"/>
    <w:rsid w:val="009922A5"/>
    <w:rsid w:val="0099258A"/>
    <w:rsid w:val="00997954"/>
    <w:rsid w:val="009A36EB"/>
    <w:rsid w:val="009B1B72"/>
    <w:rsid w:val="009B2E11"/>
    <w:rsid w:val="009B6C1D"/>
    <w:rsid w:val="009B739F"/>
    <w:rsid w:val="009C6DBF"/>
    <w:rsid w:val="009E1178"/>
    <w:rsid w:val="009E3428"/>
    <w:rsid w:val="009E44BF"/>
    <w:rsid w:val="009F14F6"/>
    <w:rsid w:val="00A00DFE"/>
    <w:rsid w:val="00A02CC5"/>
    <w:rsid w:val="00A07648"/>
    <w:rsid w:val="00A1270F"/>
    <w:rsid w:val="00A20195"/>
    <w:rsid w:val="00A21556"/>
    <w:rsid w:val="00A21699"/>
    <w:rsid w:val="00A313E1"/>
    <w:rsid w:val="00A33329"/>
    <w:rsid w:val="00A335E3"/>
    <w:rsid w:val="00A37E28"/>
    <w:rsid w:val="00A432B1"/>
    <w:rsid w:val="00A4555F"/>
    <w:rsid w:val="00A53412"/>
    <w:rsid w:val="00A538EF"/>
    <w:rsid w:val="00A54978"/>
    <w:rsid w:val="00A559F5"/>
    <w:rsid w:val="00A60955"/>
    <w:rsid w:val="00A64835"/>
    <w:rsid w:val="00A73C57"/>
    <w:rsid w:val="00A73DA3"/>
    <w:rsid w:val="00A76D80"/>
    <w:rsid w:val="00A7720C"/>
    <w:rsid w:val="00A809CD"/>
    <w:rsid w:val="00A848CD"/>
    <w:rsid w:val="00A86704"/>
    <w:rsid w:val="00A87A29"/>
    <w:rsid w:val="00A91C11"/>
    <w:rsid w:val="00A94B78"/>
    <w:rsid w:val="00A95558"/>
    <w:rsid w:val="00A95650"/>
    <w:rsid w:val="00AA3B77"/>
    <w:rsid w:val="00AB46DD"/>
    <w:rsid w:val="00AB6562"/>
    <w:rsid w:val="00AD4188"/>
    <w:rsid w:val="00AD5640"/>
    <w:rsid w:val="00AD7806"/>
    <w:rsid w:val="00AE0458"/>
    <w:rsid w:val="00AE6DFE"/>
    <w:rsid w:val="00AE7F1D"/>
    <w:rsid w:val="00AF1FDD"/>
    <w:rsid w:val="00AF6DCA"/>
    <w:rsid w:val="00B101D1"/>
    <w:rsid w:val="00B16873"/>
    <w:rsid w:val="00B229AC"/>
    <w:rsid w:val="00B23A09"/>
    <w:rsid w:val="00B3105F"/>
    <w:rsid w:val="00B310C8"/>
    <w:rsid w:val="00B41EE6"/>
    <w:rsid w:val="00B45F1E"/>
    <w:rsid w:val="00B478C9"/>
    <w:rsid w:val="00B539AA"/>
    <w:rsid w:val="00B620BC"/>
    <w:rsid w:val="00B65B03"/>
    <w:rsid w:val="00B67249"/>
    <w:rsid w:val="00B72D54"/>
    <w:rsid w:val="00B74BB5"/>
    <w:rsid w:val="00B82830"/>
    <w:rsid w:val="00B8454A"/>
    <w:rsid w:val="00B87484"/>
    <w:rsid w:val="00B94ED7"/>
    <w:rsid w:val="00B9527F"/>
    <w:rsid w:val="00BA694D"/>
    <w:rsid w:val="00BB0082"/>
    <w:rsid w:val="00BB1F46"/>
    <w:rsid w:val="00BB4D7E"/>
    <w:rsid w:val="00BC5520"/>
    <w:rsid w:val="00BC6584"/>
    <w:rsid w:val="00BD2256"/>
    <w:rsid w:val="00BD7AD8"/>
    <w:rsid w:val="00BE6A1C"/>
    <w:rsid w:val="00BE7666"/>
    <w:rsid w:val="00BE7703"/>
    <w:rsid w:val="00BF6C77"/>
    <w:rsid w:val="00C00150"/>
    <w:rsid w:val="00C0153E"/>
    <w:rsid w:val="00C07135"/>
    <w:rsid w:val="00C10A98"/>
    <w:rsid w:val="00C113C2"/>
    <w:rsid w:val="00C20CC3"/>
    <w:rsid w:val="00C22E00"/>
    <w:rsid w:val="00C3094C"/>
    <w:rsid w:val="00C374DC"/>
    <w:rsid w:val="00C37C55"/>
    <w:rsid w:val="00C37C7A"/>
    <w:rsid w:val="00C40F88"/>
    <w:rsid w:val="00C54BA3"/>
    <w:rsid w:val="00C76567"/>
    <w:rsid w:val="00C81AAA"/>
    <w:rsid w:val="00C9172C"/>
    <w:rsid w:val="00C934D3"/>
    <w:rsid w:val="00CA11E0"/>
    <w:rsid w:val="00CB57B0"/>
    <w:rsid w:val="00CC36A4"/>
    <w:rsid w:val="00CC756D"/>
    <w:rsid w:val="00CD5722"/>
    <w:rsid w:val="00CD791A"/>
    <w:rsid w:val="00CE00FF"/>
    <w:rsid w:val="00D01006"/>
    <w:rsid w:val="00D02DFB"/>
    <w:rsid w:val="00D0424D"/>
    <w:rsid w:val="00D10FBA"/>
    <w:rsid w:val="00D11C35"/>
    <w:rsid w:val="00D232BE"/>
    <w:rsid w:val="00D313D5"/>
    <w:rsid w:val="00D332F3"/>
    <w:rsid w:val="00D37B45"/>
    <w:rsid w:val="00D456EF"/>
    <w:rsid w:val="00D6209F"/>
    <w:rsid w:val="00D651EE"/>
    <w:rsid w:val="00D66F04"/>
    <w:rsid w:val="00D76F34"/>
    <w:rsid w:val="00D85B1F"/>
    <w:rsid w:val="00D9329B"/>
    <w:rsid w:val="00D971D6"/>
    <w:rsid w:val="00DA29ED"/>
    <w:rsid w:val="00DA596D"/>
    <w:rsid w:val="00DA7066"/>
    <w:rsid w:val="00DB12BF"/>
    <w:rsid w:val="00DB2B8F"/>
    <w:rsid w:val="00DC2A57"/>
    <w:rsid w:val="00DC4EF3"/>
    <w:rsid w:val="00DD081E"/>
    <w:rsid w:val="00DE78C6"/>
    <w:rsid w:val="00DF14F6"/>
    <w:rsid w:val="00DF264D"/>
    <w:rsid w:val="00DF5B0A"/>
    <w:rsid w:val="00E04927"/>
    <w:rsid w:val="00E04933"/>
    <w:rsid w:val="00E104A9"/>
    <w:rsid w:val="00E24388"/>
    <w:rsid w:val="00E3181A"/>
    <w:rsid w:val="00E329FA"/>
    <w:rsid w:val="00E40A6C"/>
    <w:rsid w:val="00E413E4"/>
    <w:rsid w:val="00E47BA2"/>
    <w:rsid w:val="00E533B3"/>
    <w:rsid w:val="00E53F95"/>
    <w:rsid w:val="00E60E48"/>
    <w:rsid w:val="00E62003"/>
    <w:rsid w:val="00E62E1A"/>
    <w:rsid w:val="00E66466"/>
    <w:rsid w:val="00E807A9"/>
    <w:rsid w:val="00E8125E"/>
    <w:rsid w:val="00E81748"/>
    <w:rsid w:val="00E9316A"/>
    <w:rsid w:val="00EA00E5"/>
    <w:rsid w:val="00EA2AAB"/>
    <w:rsid w:val="00EA5A6D"/>
    <w:rsid w:val="00EB180B"/>
    <w:rsid w:val="00EC0EBC"/>
    <w:rsid w:val="00EC5FA8"/>
    <w:rsid w:val="00ED0304"/>
    <w:rsid w:val="00ED573E"/>
    <w:rsid w:val="00EE26B6"/>
    <w:rsid w:val="00EF286F"/>
    <w:rsid w:val="00F02152"/>
    <w:rsid w:val="00F03B13"/>
    <w:rsid w:val="00F13FF0"/>
    <w:rsid w:val="00F24BD8"/>
    <w:rsid w:val="00F315AB"/>
    <w:rsid w:val="00F648E1"/>
    <w:rsid w:val="00F733B7"/>
    <w:rsid w:val="00F74B8D"/>
    <w:rsid w:val="00F80388"/>
    <w:rsid w:val="00F94612"/>
    <w:rsid w:val="00F962F4"/>
    <w:rsid w:val="00F96AD4"/>
    <w:rsid w:val="00FA2F3F"/>
    <w:rsid w:val="00FB0FBF"/>
    <w:rsid w:val="00FC0DE9"/>
    <w:rsid w:val="00FC3B16"/>
    <w:rsid w:val="00FC45C8"/>
    <w:rsid w:val="00FF54FB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F9C6-E9EE-41DD-9AC8-ADE046BE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828</Words>
  <Characters>5870</Characters>
  <DocSecurity>0</DocSecurity>
  <Lines>195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2018-10-12T10:55:00Z</cp:lastPrinted>
  <dcterms:created xsi:type="dcterms:W3CDTF">2018-11-02T12:46:00Z</dcterms:created>
  <dcterms:modified xsi:type="dcterms:W3CDTF">2018-11-29T06:10:00Z</dcterms:modified>
</cp:coreProperties>
</file>