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72" w:rsidRPr="00620C01" w:rsidRDefault="00206D13" w:rsidP="00FA420F">
      <w:pPr>
        <w:jc w:val="right"/>
        <w:rPr>
          <w:color w:val="auto"/>
          <w:sz w:val="24"/>
          <w:szCs w:val="24"/>
        </w:rPr>
      </w:pPr>
      <w:r w:rsidRPr="00620C01">
        <w:rPr>
          <w:color w:val="auto"/>
        </w:rPr>
        <w:fldChar w:fldCharType="begin"/>
      </w:r>
      <w:r w:rsidRPr="00620C01">
        <w:rPr>
          <w:color w:val="auto"/>
        </w:rPr>
        <w:instrText xml:space="preserve"> HYPERLINK "https://likumi.lv/doc.php?id=268342" \l "piel1" \h </w:instrText>
      </w:r>
      <w:r w:rsidRPr="00620C01">
        <w:rPr>
          <w:color w:val="auto"/>
        </w:rPr>
        <w:fldChar w:fldCharType="separate"/>
      </w:r>
      <w:r w:rsidR="00D43AE1" w:rsidRPr="00620C01">
        <w:rPr>
          <w:color w:val="auto"/>
          <w:sz w:val="24"/>
          <w:szCs w:val="24"/>
        </w:rPr>
        <w:t>1</w:t>
      </w:r>
      <w:r w:rsidR="00E94AAD" w:rsidRPr="00620C01">
        <w:rPr>
          <w:color w:val="auto"/>
          <w:sz w:val="24"/>
          <w:szCs w:val="24"/>
        </w:rPr>
        <w:t>6</w:t>
      </w:r>
      <w:r w:rsidR="004D3C72" w:rsidRPr="00620C01">
        <w:rPr>
          <w:color w:val="auto"/>
          <w:sz w:val="24"/>
          <w:szCs w:val="24"/>
        </w:rPr>
        <w:t>.pielikums</w:t>
      </w:r>
      <w:r w:rsidRPr="00620C01">
        <w:rPr>
          <w:color w:val="auto"/>
          <w:sz w:val="24"/>
          <w:szCs w:val="24"/>
        </w:rPr>
        <w:fldChar w:fldCharType="end"/>
      </w:r>
      <w:r w:rsidR="004D3C72" w:rsidRPr="00620C01">
        <w:rPr>
          <w:color w:val="auto"/>
          <w:sz w:val="24"/>
          <w:szCs w:val="24"/>
        </w:rPr>
        <w:t> </w:t>
      </w:r>
      <w:r w:rsidR="004D3C72" w:rsidRPr="00620C01">
        <w:rPr>
          <w:color w:val="auto"/>
          <w:sz w:val="24"/>
          <w:szCs w:val="24"/>
        </w:rPr>
        <w:br/>
        <w:t>Ministru kabineta </w:t>
      </w:r>
      <w:r w:rsidR="004D3C72" w:rsidRPr="00620C01">
        <w:rPr>
          <w:color w:val="auto"/>
          <w:sz w:val="24"/>
          <w:szCs w:val="24"/>
        </w:rPr>
        <w:br/>
        <w:t>2018.gada ___.___________ noteikumiem Nr.___</w:t>
      </w:r>
    </w:p>
    <w:p w:rsidR="00B830D4" w:rsidRPr="00620C01" w:rsidRDefault="00B830D4" w:rsidP="00FA420F">
      <w:pPr>
        <w:rPr>
          <w:color w:val="auto"/>
          <w:sz w:val="20"/>
          <w:szCs w:val="20"/>
        </w:rPr>
      </w:pPr>
    </w:p>
    <w:p w:rsidR="00B830D4" w:rsidRPr="00620C01" w:rsidRDefault="00B830D4" w:rsidP="00FA420F">
      <w:pPr>
        <w:rPr>
          <w:color w:val="auto"/>
          <w:sz w:val="20"/>
          <w:szCs w:val="20"/>
        </w:rPr>
      </w:pPr>
    </w:p>
    <w:p w:rsidR="006E1AFC" w:rsidRPr="00620C01" w:rsidRDefault="006E1AFC" w:rsidP="00FA420F">
      <w:pPr>
        <w:rPr>
          <w:b/>
          <w:color w:val="auto"/>
        </w:rPr>
      </w:pPr>
      <w:r w:rsidRPr="00620C01">
        <w:rPr>
          <w:b/>
          <w:color w:val="auto"/>
        </w:rPr>
        <w:t xml:space="preserve">Speciālās pamatizglītības programmas </w:t>
      </w:r>
      <w:r w:rsidR="00767A2D" w:rsidRPr="00620C01">
        <w:rPr>
          <w:b/>
          <w:color w:val="auto"/>
        </w:rPr>
        <w:t>skolēn</w:t>
      </w:r>
      <w:r w:rsidRPr="00620C01">
        <w:rPr>
          <w:b/>
          <w:color w:val="auto"/>
        </w:rPr>
        <w:t xml:space="preserve">iem ar </w:t>
      </w:r>
      <w:r w:rsidR="00B64933" w:rsidRPr="00620C01">
        <w:rPr>
          <w:b/>
          <w:color w:val="auto"/>
        </w:rPr>
        <w:t>smagiem garīgās attīstības traucējumiem vai vairākiem smagiem attīstības traucējumiem</w:t>
      </w:r>
      <w:r w:rsidRPr="00620C01">
        <w:rPr>
          <w:b/>
          <w:color w:val="auto"/>
        </w:rPr>
        <w:t xml:space="preserve"> paraugs</w:t>
      </w:r>
    </w:p>
    <w:p w:rsidR="006E1AFC" w:rsidRPr="00620C01" w:rsidRDefault="006E1AFC" w:rsidP="00FA420F">
      <w:pPr>
        <w:ind w:firstLine="300"/>
        <w:rPr>
          <w:color w:val="auto"/>
        </w:rPr>
      </w:pPr>
      <w:r w:rsidRPr="00620C01">
        <w:rPr>
          <w:color w:val="auto"/>
        </w:rPr>
        <w:t xml:space="preserve"> (izglītības programmas kodi </w:t>
      </w:r>
      <w:r w:rsidR="00B64933" w:rsidRPr="00620C01">
        <w:rPr>
          <w:color w:val="auto"/>
        </w:rPr>
        <w:t>21015911</w:t>
      </w:r>
      <w:r w:rsidRPr="00620C01">
        <w:rPr>
          <w:color w:val="auto"/>
        </w:rPr>
        <w:t xml:space="preserve">, </w:t>
      </w:r>
      <w:r w:rsidR="00B64933" w:rsidRPr="00620C01">
        <w:rPr>
          <w:color w:val="auto"/>
        </w:rPr>
        <w:t>21015921</w:t>
      </w:r>
      <w:r w:rsidRPr="00620C01">
        <w:rPr>
          <w:color w:val="auto"/>
        </w:rPr>
        <w:t>)</w:t>
      </w:r>
      <w:r w:rsidR="00CB3153" w:rsidRPr="00620C01">
        <w:rPr>
          <w:color w:val="auto"/>
        </w:rPr>
        <w:t xml:space="preserve"> </w:t>
      </w:r>
    </w:p>
    <w:p w:rsidR="00B830D4" w:rsidRPr="00620C01" w:rsidRDefault="00B830D4" w:rsidP="00FA420F">
      <w:pPr>
        <w:pStyle w:val="Heading4"/>
        <w:spacing w:before="0" w:after="0"/>
        <w:jc w:val="both"/>
        <w:rPr>
          <w:color w:val="auto"/>
          <w:sz w:val="28"/>
          <w:szCs w:val="28"/>
        </w:rPr>
      </w:pPr>
    </w:p>
    <w:p w:rsidR="00B830D4" w:rsidRPr="00620C01" w:rsidRDefault="00867876" w:rsidP="00FA420F">
      <w:pPr>
        <w:ind w:firstLine="300"/>
        <w:rPr>
          <w:b/>
          <w:color w:val="auto"/>
        </w:rPr>
      </w:pPr>
      <w:r w:rsidRPr="00620C01">
        <w:rPr>
          <w:b/>
          <w:color w:val="auto"/>
        </w:rPr>
        <w:t>I. Izglītības programmas īstenošanas mērķi un uzdevumi</w:t>
      </w:r>
    </w:p>
    <w:p w:rsidR="001820A4" w:rsidRPr="00620C01" w:rsidRDefault="001820A4" w:rsidP="00FA420F">
      <w:pPr>
        <w:ind w:firstLine="720"/>
        <w:jc w:val="both"/>
        <w:rPr>
          <w:color w:val="auto"/>
        </w:rPr>
      </w:pPr>
    </w:p>
    <w:p w:rsidR="00985354" w:rsidRPr="00620C01" w:rsidRDefault="00867876" w:rsidP="00985354">
      <w:pPr>
        <w:shd w:val="clear" w:color="auto" w:fill="auto"/>
        <w:autoSpaceDE w:val="0"/>
        <w:autoSpaceDN w:val="0"/>
        <w:adjustRightInd w:val="0"/>
        <w:ind w:firstLine="720"/>
        <w:jc w:val="both"/>
        <w:rPr>
          <w:rFonts w:eastAsiaTheme="minorHAnsi"/>
          <w:strike/>
          <w:color w:val="auto"/>
          <w:lang w:eastAsia="en-US"/>
        </w:rPr>
      </w:pPr>
      <w:r w:rsidRPr="00620C01">
        <w:rPr>
          <w:color w:val="auto"/>
        </w:rPr>
        <w:t>1. </w:t>
      </w:r>
      <w:r w:rsidR="00827511" w:rsidRPr="00620C01">
        <w:rPr>
          <w:color w:val="auto"/>
        </w:rPr>
        <w:t>Speciālās pamatizglītības programmas</w:t>
      </w:r>
      <w:r w:rsidR="00E24F15" w:rsidRPr="00620C01">
        <w:rPr>
          <w:color w:val="auto"/>
        </w:rPr>
        <w:t xml:space="preserve"> </w:t>
      </w:r>
      <w:r w:rsidR="00767A2D" w:rsidRPr="00620C01">
        <w:rPr>
          <w:color w:val="auto"/>
        </w:rPr>
        <w:t>skolēn</w:t>
      </w:r>
      <w:r w:rsidR="00E24F15" w:rsidRPr="00620C01">
        <w:rPr>
          <w:color w:val="auto"/>
        </w:rPr>
        <w:t>iem ar smagiem garīgās attīstības traucējumiem vai vairākiem smagiem attīstības traucējumiem</w:t>
      </w:r>
      <w:r w:rsidR="00827511" w:rsidRPr="00620C01">
        <w:rPr>
          <w:color w:val="auto"/>
        </w:rPr>
        <w:t xml:space="preserve"> (turpmāk – izglītības programma) mērķis ir nodrošināt skolēna</w:t>
      </w:r>
      <w:r w:rsidR="009B2E58" w:rsidRPr="00620C01">
        <w:rPr>
          <w:color w:val="auto"/>
        </w:rPr>
        <w:t>m iespēju apgūt pamatprasmes atbilstoši viņa</w:t>
      </w:r>
      <w:r w:rsidR="00985354" w:rsidRPr="00620C01">
        <w:rPr>
          <w:color w:val="auto"/>
        </w:rPr>
        <w:t xml:space="preserve"> veselības stāvoklim, spējām un attīstības līmenim, nodrošinot attīstības traucējuma korekciju un kompensēšanu vai nodrošinot veselības saglabāšanu</w:t>
      </w:r>
      <w:r w:rsidR="00827511" w:rsidRPr="00620C01">
        <w:rPr>
          <w:rFonts w:eastAsiaTheme="minorHAnsi"/>
          <w:color w:val="auto"/>
          <w:lang w:eastAsia="en-US"/>
        </w:rPr>
        <w:t xml:space="preserve">, lai skolēns </w:t>
      </w:r>
      <w:r w:rsidR="00985354" w:rsidRPr="00620C01">
        <w:rPr>
          <w:rFonts w:eastAsiaTheme="minorHAnsi"/>
          <w:color w:val="auto"/>
          <w:lang w:eastAsia="en-US"/>
        </w:rPr>
        <w:t xml:space="preserve">varētu </w:t>
      </w:r>
      <w:r w:rsidR="00827511" w:rsidRPr="00620C01">
        <w:rPr>
          <w:color w:val="auto"/>
        </w:rPr>
        <w:t>iesaistīties sabiedrības dzīvē un veidoties par laimīgu personību</w:t>
      </w:r>
      <w:r w:rsidR="00B5639D" w:rsidRPr="00620C01">
        <w:rPr>
          <w:color w:val="auto"/>
        </w:rPr>
        <w:t>.</w:t>
      </w:r>
      <w:r w:rsidR="00827511" w:rsidRPr="00620C01" w:rsidDel="0073706C">
        <w:rPr>
          <w:rFonts w:eastAsiaTheme="minorHAnsi"/>
          <w:color w:val="auto"/>
          <w:lang w:eastAsia="en-US"/>
        </w:rPr>
        <w:t xml:space="preserve"> </w:t>
      </w:r>
    </w:p>
    <w:p w:rsidR="00F52A55" w:rsidRPr="00620C01" w:rsidRDefault="00F52A55" w:rsidP="00FA420F">
      <w:pPr>
        <w:ind w:firstLine="720"/>
        <w:jc w:val="both"/>
        <w:rPr>
          <w:color w:val="auto"/>
        </w:rPr>
      </w:pPr>
    </w:p>
    <w:p w:rsidR="006E1AFC" w:rsidRPr="00620C01" w:rsidRDefault="006E1AFC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 xml:space="preserve">2. </w:t>
      </w:r>
      <w:r w:rsidR="00B64933" w:rsidRPr="00620C01">
        <w:rPr>
          <w:color w:val="auto"/>
        </w:rPr>
        <w:t xml:space="preserve">Izglītības programmas uzdevums ir nodrošināt nepieciešamos atbalsta pasākumus un palīdzību mācību satura apguvē </w:t>
      </w:r>
      <w:r w:rsidR="00C4263C" w:rsidRPr="00620C01">
        <w:rPr>
          <w:color w:val="auto"/>
        </w:rPr>
        <w:t>skolēniem</w:t>
      </w:r>
      <w:r w:rsidR="00B64933" w:rsidRPr="00620C01">
        <w:rPr>
          <w:color w:val="auto"/>
        </w:rPr>
        <w:t xml:space="preserve"> ar </w:t>
      </w:r>
      <w:r w:rsidR="00C4263C" w:rsidRPr="00620C01">
        <w:rPr>
          <w:color w:val="auto"/>
        </w:rPr>
        <w:t xml:space="preserve">smagiem </w:t>
      </w:r>
      <w:r w:rsidR="00B64933" w:rsidRPr="00620C01">
        <w:rPr>
          <w:color w:val="auto"/>
        </w:rPr>
        <w:t xml:space="preserve">garīgās attīstības traucējumiem </w:t>
      </w:r>
      <w:r w:rsidR="00C4263C" w:rsidRPr="00620C01">
        <w:rPr>
          <w:color w:val="auto"/>
        </w:rPr>
        <w:t xml:space="preserve">vai vairākiem smagiem attīstības traucējumiem </w:t>
      </w:r>
      <w:r w:rsidR="00B64933" w:rsidRPr="00620C01">
        <w:rPr>
          <w:color w:val="auto"/>
        </w:rPr>
        <w:t>atbilstoši skolēnu veselības stāvoklim, spējām un attīstības līmenim</w:t>
      </w:r>
      <w:r w:rsidRPr="00620C01">
        <w:rPr>
          <w:color w:val="auto"/>
        </w:rPr>
        <w:t>.</w:t>
      </w:r>
    </w:p>
    <w:p w:rsidR="00F52A55" w:rsidRPr="00620C01" w:rsidRDefault="00F52A55" w:rsidP="00FA420F">
      <w:pPr>
        <w:ind w:firstLine="720"/>
        <w:jc w:val="both"/>
        <w:rPr>
          <w:color w:val="auto"/>
        </w:rPr>
      </w:pPr>
    </w:p>
    <w:p w:rsidR="00C4263C" w:rsidRPr="00620C01" w:rsidRDefault="00C4263C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 xml:space="preserve">3. </w:t>
      </w:r>
      <w:r w:rsidR="00305F5C" w:rsidRPr="00620C01">
        <w:rPr>
          <w:color w:val="auto"/>
        </w:rPr>
        <w:t>I</w:t>
      </w:r>
      <w:r w:rsidRPr="00620C01">
        <w:rPr>
          <w:color w:val="auto"/>
        </w:rPr>
        <w:t xml:space="preserve">zglītības programma paredz </w:t>
      </w:r>
      <w:r w:rsidR="00305F5C" w:rsidRPr="00620C01">
        <w:rPr>
          <w:color w:val="auto"/>
        </w:rPr>
        <w:t xml:space="preserve">katram skolēnam </w:t>
      </w:r>
      <w:r w:rsidRPr="00620C01">
        <w:rPr>
          <w:color w:val="auto"/>
        </w:rPr>
        <w:t>individuālā izglītības programmas apguves plāna izstrādi un īstenošanu</w:t>
      </w:r>
      <w:r w:rsidR="00F809AE" w:rsidRPr="00620C01">
        <w:rPr>
          <w:color w:val="auto"/>
        </w:rPr>
        <w:t>.</w:t>
      </w:r>
      <w:r w:rsidRPr="00620C01">
        <w:rPr>
          <w:color w:val="auto"/>
        </w:rPr>
        <w:t xml:space="preserve"> </w:t>
      </w:r>
    </w:p>
    <w:p w:rsidR="00F52A55" w:rsidRPr="00620C01" w:rsidRDefault="00F52A55" w:rsidP="00FA420F">
      <w:pPr>
        <w:ind w:firstLine="720"/>
        <w:jc w:val="both"/>
        <w:rPr>
          <w:color w:val="auto"/>
        </w:rPr>
      </w:pPr>
    </w:p>
    <w:p w:rsidR="00FA420F" w:rsidRPr="00620C01" w:rsidRDefault="00FA420F" w:rsidP="00FA420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GB"/>
        </w:rPr>
      </w:pPr>
      <w:r w:rsidRPr="00620C01">
        <w:rPr>
          <w:sz w:val="28"/>
          <w:szCs w:val="28"/>
          <w:highlight w:val="white"/>
          <w:lang w:eastAsia="en-GB"/>
        </w:rPr>
        <w:t>4. Īstenojot mazākumtautību izglītības programmu, tiek</w:t>
      </w:r>
      <w:r w:rsidRPr="00620C01">
        <w:rPr>
          <w:sz w:val="28"/>
          <w:szCs w:val="28"/>
          <w:lang w:eastAsia="en-GB"/>
        </w:rPr>
        <w:t>:</w:t>
      </w:r>
    </w:p>
    <w:p w:rsidR="00FA420F" w:rsidRPr="00620C01" w:rsidRDefault="00FA420F" w:rsidP="00FA420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GB"/>
        </w:rPr>
      </w:pPr>
      <w:r w:rsidRPr="00620C01">
        <w:rPr>
          <w:sz w:val="28"/>
          <w:szCs w:val="28"/>
          <w:highlight w:val="white"/>
          <w:lang w:eastAsia="en-GB"/>
        </w:rPr>
        <w:t>4.1. nodro</w:t>
      </w:r>
      <w:r w:rsidR="009B2E58" w:rsidRPr="00620C01">
        <w:rPr>
          <w:sz w:val="28"/>
          <w:szCs w:val="28"/>
          <w:highlight w:val="white"/>
          <w:lang w:eastAsia="en-GB"/>
        </w:rPr>
        <w:t>šināta etniskās kultūras apguve;</w:t>
      </w:r>
    </w:p>
    <w:p w:rsidR="00FA420F" w:rsidRPr="00620C01" w:rsidRDefault="00FA420F" w:rsidP="00FA420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highlight w:val="white"/>
          <w:lang w:eastAsia="en-GB"/>
        </w:rPr>
      </w:pPr>
      <w:r w:rsidRPr="00620C01">
        <w:rPr>
          <w:sz w:val="28"/>
          <w:szCs w:val="28"/>
          <w:lang w:eastAsia="en-GB"/>
        </w:rPr>
        <w:t>4.2. veicināta valsts valodas un</w:t>
      </w:r>
      <w:r w:rsidR="009B2E58" w:rsidRPr="00620C01">
        <w:rPr>
          <w:sz w:val="28"/>
          <w:szCs w:val="28"/>
          <w:lang w:eastAsia="en-GB"/>
        </w:rPr>
        <w:t xml:space="preserve"> mācību satura integrēta apguve;</w:t>
      </w:r>
      <w:r w:rsidRPr="00620C01">
        <w:rPr>
          <w:sz w:val="28"/>
          <w:szCs w:val="28"/>
          <w:lang w:eastAsia="en-GB"/>
        </w:rPr>
        <w:t xml:space="preserve"> </w:t>
      </w:r>
    </w:p>
    <w:p w:rsidR="00FA420F" w:rsidRPr="00620C01" w:rsidRDefault="00FA420F" w:rsidP="00FA420F">
      <w:pPr>
        <w:ind w:firstLine="720"/>
        <w:jc w:val="both"/>
        <w:rPr>
          <w:color w:val="auto"/>
          <w:lang w:eastAsia="en-GB"/>
        </w:rPr>
      </w:pPr>
      <w:r w:rsidRPr="00620C01">
        <w:rPr>
          <w:color w:val="auto"/>
          <w:lang w:eastAsia="en-GB"/>
        </w:rPr>
        <w:t>4.3. sekmēta skolēna integrācija Latvijas sabiedrībā.</w:t>
      </w:r>
    </w:p>
    <w:p w:rsidR="00FA420F" w:rsidRPr="00620C01" w:rsidRDefault="00FA420F" w:rsidP="00FA420F">
      <w:pPr>
        <w:ind w:firstLine="709"/>
        <w:jc w:val="both"/>
        <w:rPr>
          <w:color w:val="auto"/>
        </w:rPr>
      </w:pPr>
    </w:p>
    <w:p w:rsidR="00F809AE" w:rsidRPr="00620C01" w:rsidRDefault="00F809AE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contextualSpacing/>
        <w:rPr>
          <w:b/>
          <w:color w:val="auto"/>
          <w:lang w:eastAsia="en-GB"/>
        </w:rPr>
      </w:pPr>
      <w:r w:rsidRPr="00620C01">
        <w:rPr>
          <w:b/>
          <w:color w:val="auto"/>
          <w:lang w:eastAsia="en-GB"/>
        </w:rPr>
        <w:t>II. Izglītības saturs</w:t>
      </w:r>
    </w:p>
    <w:p w:rsidR="00F52A55" w:rsidRPr="00620C01" w:rsidRDefault="00F52A55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contextualSpacing/>
        <w:rPr>
          <w:b/>
          <w:color w:val="auto"/>
          <w:lang w:eastAsia="en-GB"/>
        </w:rPr>
      </w:pPr>
    </w:p>
    <w:p w:rsidR="00F809AE" w:rsidRPr="00620C01" w:rsidRDefault="00F809AE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720"/>
        <w:contextualSpacing/>
        <w:jc w:val="both"/>
        <w:rPr>
          <w:color w:val="auto"/>
        </w:rPr>
      </w:pPr>
      <w:r w:rsidRPr="00620C01">
        <w:rPr>
          <w:color w:val="auto"/>
          <w:lang w:eastAsia="en-GB"/>
        </w:rPr>
        <w:t>5.</w:t>
      </w:r>
      <w:r w:rsidRPr="00620C01">
        <w:rPr>
          <w:color w:val="auto"/>
        </w:rPr>
        <w:t xml:space="preserve"> Izglītības programmas saturu veido mācību priekšmetu</w:t>
      </w:r>
      <w:r w:rsidR="00F97DCF" w:rsidRPr="00620C01">
        <w:rPr>
          <w:color w:val="auto"/>
        </w:rPr>
        <w:t xml:space="preserve"> </w:t>
      </w:r>
      <w:r w:rsidRPr="00620C01">
        <w:rPr>
          <w:color w:val="auto"/>
        </w:rPr>
        <w:t>programmas un nepieciešamo atbalsta individuālo un grupu nodarbību  plāns.</w:t>
      </w:r>
    </w:p>
    <w:p w:rsidR="00F809AE" w:rsidRPr="00620C01" w:rsidRDefault="00F809AE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contextualSpacing/>
        <w:jc w:val="both"/>
        <w:rPr>
          <w:color w:val="auto"/>
        </w:rPr>
      </w:pPr>
    </w:p>
    <w:p w:rsidR="00F809AE" w:rsidRPr="00620C01" w:rsidRDefault="00F809AE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720"/>
        <w:contextualSpacing/>
        <w:jc w:val="both"/>
        <w:rPr>
          <w:color w:val="auto"/>
          <w:lang w:eastAsia="en-GB"/>
        </w:rPr>
      </w:pPr>
      <w:r w:rsidRPr="00620C01">
        <w:rPr>
          <w:color w:val="auto"/>
        </w:rPr>
        <w:t>6. Mācību priekšmetu</w:t>
      </w:r>
      <w:r w:rsidR="00F97DCF" w:rsidRPr="00620C01">
        <w:rPr>
          <w:color w:val="auto"/>
        </w:rPr>
        <w:t xml:space="preserve"> </w:t>
      </w:r>
      <w:r w:rsidRPr="00620C01">
        <w:rPr>
          <w:color w:val="auto"/>
        </w:rPr>
        <w:t>saturu īsteno atbilstoši katra skolēna individuālajam izglītības programmas apguves plānam.</w:t>
      </w:r>
    </w:p>
    <w:p w:rsidR="00F809AE" w:rsidRPr="00620C01" w:rsidRDefault="00F809AE" w:rsidP="00FA420F">
      <w:pPr>
        <w:ind w:firstLine="300"/>
        <w:jc w:val="both"/>
        <w:rPr>
          <w:color w:val="auto"/>
        </w:rPr>
      </w:pPr>
    </w:p>
    <w:p w:rsidR="00C96A89" w:rsidRPr="00620C01" w:rsidRDefault="00C96A89" w:rsidP="00C96A89">
      <w:pPr>
        <w:shd w:val="clear" w:color="auto" w:fill="auto"/>
        <w:rPr>
          <w:rFonts w:eastAsiaTheme="minorHAnsi"/>
          <w:b/>
          <w:color w:val="auto"/>
          <w:highlight w:val="none"/>
          <w:lang w:eastAsia="en-US"/>
        </w:rPr>
      </w:pPr>
      <w:r w:rsidRPr="00620C01">
        <w:rPr>
          <w:rFonts w:eastAsiaTheme="minorHAnsi"/>
          <w:b/>
          <w:color w:val="auto"/>
          <w:highlight w:val="none"/>
          <w:lang w:eastAsia="en-US"/>
        </w:rPr>
        <w:t>III. Prasības attiecībā uz iepriekš iegūto izglītību</w:t>
      </w:r>
    </w:p>
    <w:p w:rsidR="00F52A55" w:rsidRPr="00620C01" w:rsidRDefault="00F52A55" w:rsidP="00FA420F">
      <w:pPr>
        <w:ind w:firstLine="300"/>
        <w:rPr>
          <w:b/>
          <w:color w:val="auto"/>
        </w:rPr>
      </w:pPr>
    </w:p>
    <w:p w:rsidR="00B830D4" w:rsidRPr="00620C01" w:rsidRDefault="003D561E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7</w:t>
      </w:r>
      <w:r w:rsidR="00867876" w:rsidRPr="00620C01">
        <w:rPr>
          <w:color w:val="auto"/>
        </w:rPr>
        <w:t>.</w:t>
      </w:r>
      <w:r w:rsidR="003353E0" w:rsidRPr="00620C01">
        <w:rPr>
          <w:color w:val="auto"/>
        </w:rPr>
        <w:t xml:space="preserve"> Skolēnu uzņemšana 1.–9</w:t>
      </w:r>
      <w:r w:rsidR="00867876" w:rsidRPr="00620C01">
        <w:rPr>
          <w:color w:val="auto"/>
        </w:rPr>
        <w:t>.</w:t>
      </w:r>
      <w:r w:rsidR="00F97DCF" w:rsidRPr="00620C01">
        <w:rPr>
          <w:color w:val="auto"/>
        </w:rPr>
        <w:t xml:space="preserve"> </w:t>
      </w:r>
      <w:r w:rsidR="00867876" w:rsidRPr="00620C01">
        <w:rPr>
          <w:color w:val="auto"/>
        </w:rPr>
        <w:t xml:space="preserve">klasē notiek atbilstoši normatīvajiem aktiem, kas noteic kārtību, kādā </w:t>
      </w:r>
      <w:r w:rsidR="0085162B" w:rsidRPr="00620C01">
        <w:rPr>
          <w:color w:val="auto"/>
        </w:rPr>
        <w:t xml:space="preserve">izglītojamie </w:t>
      </w:r>
      <w:r w:rsidR="00867876" w:rsidRPr="00620C01">
        <w:rPr>
          <w:color w:val="auto"/>
        </w:rPr>
        <w:t xml:space="preserve">tiek uzņemti vispārējās izglītības </w:t>
      </w:r>
      <w:r w:rsidR="0085162B" w:rsidRPr="00620C01">
        <w:rPr>
          <w:color w:val="auto"/>
        </w:rPr>
        <w:lastRenderedPageBreak/>
        <w:t xml:space="preserve">programmās </w:t>
      </w:r>
      <w:r w:rsidR="00867876" w:rsidRPr="00620C01">
        <w:rPr>
          <w:color w:val="auto"/>
        </w:rPr>
        <w:t xml:space="preserve">un atskaitīti no tām, </w:t>
      </w:r>
      <w:r w:rsidR="0085162B" w:rsidRPr="00620C01">
        <w:rPr>
          <w:color w:val="auto"/>
        </w:rPr>
        <w:t xml:space="preserve">kā arī </w:t>
      </w:r>
      <w:r w:rsidR="00867876" w:rsidRPr="00620C01">
        <w:rPr>
          <w:color w:val="auto"/>
        </w:rPr>
        <w:t xml:space="preserve">obligātajām prasībām </w:t>
      </w:r>
      <w:r w:rsidR="0085162B" w:rsidRPr="00620C01">
        <w:rPr>
          <w:color w:val="auto"/>
        </w:rPr>
        <w:t xml:space="preserve">šajās programmās izglītojamo </w:t>
      </w:r>
      <w:r w:rsidR="00867876" w:rsidRPr="00620C01">
        <w:rPr>
          <w:color w:val="auto"/>
        </w:rPr>
        <w:t>pārcelšanai uz nākamo klasi.</w:t>
      </w:r>
    </w:p>
    <w:p w:rsidR="00827511" w:rsidRPr="00620C01" w:rsidRDefault="00827511" w:rsidP="00FA420F">
      <w:pPr>
        <w:ind w:firstLine="720"/>
        <w:jc w:val="both"/>
        <w:rPr>
          <w:color w:val="auto"/>
        </w:rPr>
      </w:pPr>
    </w:p>
    <w:p w:rsidR="006E1AFC" w:rsidRPr="00620C01" w:rsidRDefault="003D561E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8</w:t>
      </w:r>
      <w:r w:rsidR="006E1AFC" w:rsidRPr="00620C01">
        <w:rPr>
          <w:color w:val="auto"/>
        </w:rPr>
        <w:t xml:space="preserve">. </w:t>
      </w:r>
      <w:r w:rsidR="00B64933" w:rsidRPr="00620C01">
        <w:rPr>
          <w:color w:val="auto"/>
        </w:rPr>
        <w:t>Skolēnus</w:t>
      </w:r>
      <w:r w:rsidR="009B2E58" w:rsidRPr="00620C01">
        <w:rPr>
          <w:color w:val="auto"/>
        </w:rPr>
        <w:t xml:space="preserve"> izglītības programmā uzņem ar v</w:t>
      </w:r>
      <w:r w:rsidR="00B64933" w:rsidRPr="00620C01">
        <w:rPr>
          <w:color w:val="auto"/>
        </w:rPr>
        <w:t>alsts vai pašvaldības pedagoģiski medicīniskās komisijas atzinumu.</w:t>
      </w:r>
    </w:p>
    <w:p w:rsidR="00FF0608" w:rsidRPr="00620C01" w:rsidRDefault="00FF0608" w:rsidP="00FA420F">
      <w:pPr>
        <w:ind w:firstLine="300"/>
        <w:jc w:val="both"/>
        <w:rPr>
          <w:color w:val="auto"/>
        </w:rPr>
      </w:pPr>
    </w:p>
    <w:p w:rsidR="00185583" w:rsidRPr="00620C01" w:rsidRDefault="0085162B" w:rsidP="00FA420F">
      <w:pPr>
        <w:shd w:val="clear" w:color="auto" w:fill="auto"/>
        <w:rPr>
          <w:rFonts w:eastAsiaTheme="minorHAnsi"/>
          <w:b/>
          <w:color w:val="auto"/>
          <w:highlight w:val="none"/>
          <w:lang w:eastAsia="en-US"/>
        </w:rPr>
      </w:pPr>
      <w:r w:rsidRPr="00620C01">
        <w:rPr>
          <w:b/>
          <w:color w:val="auto"/>
        </w:rPr>
        <w:t>IV</w:t>
      </w:r>
      <w:r w:rsidR="00867876" w:rsidRPr="00620C01">
        <w:rPr>
          <w:b/>
          <w:color w:val="auto"/>
        </w:rPr>
        <w:t>. Pedagoģiskā procesa organizācijas principi un īstenošanas plāns</w:t>
      </w:r>
      <w:r w:rsidR="009B2E58" w:rsidRPr="00620C01">
        <w:rPr>
          <w:rFonts w:eastAsiaTheme="minorHAnsi"/>
          <w:b/>
          <w:color w:val="auto"/>
          <w:highlight w:val="none"/>
          <w:lang w:eastAsia="en-US"/>
        </w:rPr>
        <w:t>, tajā</w:t>
      </w:r>
      <w:r w:rsidR="00185583" w:rsidRPr="00620C01">
        <w:rPr>
          <w:rFonts w:eastAsiaTheme="minorHAnsi"/>
          <w:b/>
          <w:color w:val="auto"/>
          <w:highlight w:val="none"/>
          <w:lang w:eastAsia="en-US"/>
        </w:rPr>
        <w:t xml:space="preserve"> skaitā atbilstoši mācību priekšmetiem</w:t>
      </w:r>
      <w:r w:rsidR="00F97DCF" w:rsidRPr="00620C01">
        <w:rPr>
          <w:rFonts w:eastAsiaTheme="minorHAnsi"/>
          <w:b/>
          <w:color w:val="auto"/>
          <w:highlight w:val="none"/>
          <w:lang w:eastAsia="en-US"/>
        </w:rPr>
        <w:t xml:space="preserve"> </w:t>
      </w:r>
    </w:p>
    <w:p w:rsidR="00F52A55" w:rsidRPr="00620C01" w:rsidRDefault="00F52A55" w:rsidP="00FA420F">
      <w:pPr>
        <w:ind w:firstLine="300"/>
        <w:jc w:val="left"/>
        <w:rPr>
          <w:color w:val="auto"/>
        </w:rPr>
      </w:pPr>
    </w:p>
    <w:p w:rsidR="00B64933" w:rsidRPr="00620C01" w:rsidRDefault="003D561E" w:rsidP="00AE27CD">
      <w:pPr>
        <w:ind w:firstLine="720"/>
        <w:jc w:val="both"/>
        <w:rPr>
          <w:color w:val="auto"/>
        </w:rPr>
      </w:pPr>
      <w:r w:rsidRPr="00620C01">
        <w:rPr>
          <w:color w:val="auto"/>
        </w:rPr>
        <w:t>9</w:t>
      </w:r>
      <w:r w:rsidR="006E1AFC" w:rsidRPr="00620C01">
        <w:rPr>
          <w:color w:val="auto"/>
        </w:rPr>
        <w:t>.</w:t>
      </w:r>
      <w:r w:rsidR="006E1AFC" w:rsidRPr="00620C01">
        <w:rPr>
          <w:b/>
          <w:color w:val="auto"/>
        </w:rPr>
        <w:t xml:space="preserve"> </w:t>
      </w:r>
      <w:r w:rsidR="00B64933" w:rsidRPr="00620C01">
        <w:rPr>
          <w:color w:val="auto"/>
        </w:rPr>
        <w:t xml:space="preserve"> Izglītības iestāde izglītības programmā noteiktās prasības īsteno atbilstoši skolēna veselības stāvoklim, spējām un attīstības līmenim.</w:t>
      </w:r>
    </w:p>
    <w:p w:rsidR="00305F5C" w:rsidRPr="00620C01" w:rsidRDefault="00305F5C" w:rsidP="00AE27CD">
      <w:pPr>
        <w:jc w:val="both"/>
        <w:rPr>
          <w:color w:val="auto"/>
        </w:rPr>
      </w:pPr>
    </w:p>
    <w:p w:rsidR="006E1AFC" w:rsidRPr="00620C01" w:rsidRDefault="003D561E" w:rsidP="00AE27CD">
      <w:pPr>
        <w:ind w:firstLine="720"/>
        <w:jc w:val="both"/>
        <w:rPr>
          <w:color w:val="auto"/>
        </w:rPr>
      </w:pPr>
      <w:r w:rsidRPr="00620C01">
        <w:rPr>
          <w:color w:val="auto"/>
        </w:rPr>
        <w:t>10</w:t>
      </w:r>
      <w:r w:rsidR="00B64933" w:rsidRPr="00620C01">
        <w:rPr>
          <w:color w:val="auto"/>
        </w:rPr>
        <w:t>.</w:t>
      </w:r>
      <w:r w:rsidR="00FA420F" w:rsidRPr="00620C01">
        <w:rPr>
          <w:color w:val="auto"/>
        </w:rPr>
        <w:t xml:space="preserve"> </w:t>
      </w:r>
      <w:r w:rsidR="00B64933" w:rsidRPr="00620C01">
        <w:rPr>
          <w:color w:val="auto"/>
        </w:rPr>
        <w:t xml:space="preserve">Izglītības programmas īstenošana </w:t>
      </w:r>
      <w:r w:rsidR="00C4263C" w:rsidRPr="00620C01">
        <w:rPr>
          <w:color w:val="auto"/>
        </w:rPr>
        <w:t>skolēniem</w:t>
      </w:r>
      <w:r w:rsidR="00B64933" w:rsidRPr="00620C01">
        <w:rPr>
          <w:color w:val="auto"/>
        </w:rPr>
        <w:t xml:space="preserve"> paredzēta deviņiem gadiem. Atkarībā no </w:t>
      </w:r>
      <w:r w:rsidR="00C4263C" w:rsidRPr="00620C01">
        <w:rPr>
          <w:color w:val="auto"/>
        </w:rPr>
        <w:t>skolēna</w:t>
      </w:r>
      <w:r w:rsidR="00B64933" w:rsidRPr="00620C01">
        <w:rPr>
          <w:color w:val="auto"/>
        </w:rPr>
        <w:t xml:space="preserve"> veselības stāvokļa un izglītības iestādes iespējām izglītības programmas īstenošana var ilgt līdz 12 gadiem.</w:t>
      </w:r>
    </w:p>
    <w:p w:rsidR="00305F5C" w:rsidRPr="00620C01" w:rsidRDefault="00B64933" w:rsidP="00D63441">
      <w:pPr>
        <w:ind w:firstLine="720"/>
        <w:jc w:val="both"/>
        <w:rPr>
          <w:color w:val="auto"/>
        </w:rPr>
      </w:pPr>
      <w:r w:rsidRPr="00620C01">
        <w:rPr>
          <w:color w:val="auto"/>
        </w:rPr>
        <w:t xml:space="preserve"> </w:t>
      </w:r>
    </w:p>
    <w:p w:rsidR="00724D99" w:rsidRPr="00620C01" w:rsidRDefault="00F7662E" w:rsidP="00AE27CD">
      <w:pPr>
        <w:ind w:firstLine="720"/>
        <w:contextualSpacing/>
        <w:jc w:val="both"/>
        <w:rPr>
          <w:color w:val="auto"/>
        </w:rPr>
      </w:pPr>
      <w:r w:rsidRPr="00620C01">
        <w:rPr>
          <w:color w:val="auto"/>
        </w:rPr>
        <w:t>11</w:t>
      </w:r>
      <w:r w:rsidR="004B0146" w:rsidRPr="00620C01">
        <w:rPr>
          <w:color w:val="auto"/>
        </w:rPr>
        <w:t>. Izvērtējot skolēna spējas, attīstības līmeni un veselības stāvokli</w:t>
      </w:r>
      <w:r w:rsidR="00F809AE" w:rsidRPr="00620C01">
        <w:rPr>
          <w:color w:val="auto"/>
        </w:rPr>
        <w:t>,</w:t>
      </w:r>
      <w:r w:rsidR="004B0146" w:rsidRPr="00620C01">
        <w:rPr>
          <w:color w:val="auto"/>
        </w:rPr>
        <w:t xml:space="preserve"> skolēnam tiek veidots individuāls izglītības </w:t>
      </w:r>
      <w:r w:rsidR="00F809AE" w:rsidRPr="00620C01">
        <w:rPr>
          <w:color w:val="auto"/>
        </w:rPr>
        <w:t xml:space="preserve">programmas apguves </w:t>
      </w:r>
      <w:r w:rsidR="004B0146" w:rsidRPr="00620C01">
        <w:rPr>
          <w:color w:val="auto"/>
        </w:rPr>
        <w:t>plāns</w:t>
      </w:r>
      <w:r w:rsidR="009B2E58" w:rsidRPr="00620C01">
        <w:rPr>
          <w:color w:val="auto"/>
        </w:rPr>
        <w:t>,</w:t>
      </w:r>
      <w:r w:rsidR="004B0146" w:rsidRPr="00620C01">
        <w:rPr>
          <w:color w:val="auto"/>
        </w:rPr>
        <w:t xml:space="preserve"> par pamatu ņemot vienu no </w:t>
      </w:r>
      <w:r w:rsidR="00F809AE" w:rsidRPr="00620C01">
        <w:rPr>
          <w:color w:val="auto"/>
        </w:rPr>
        <w:t xml:space="preserve">diviem </w:t>
      </w:r>
      <w:r w:rsidR="004B0146" w:rsidRPr="00620C01">
        <w:rPr>
          <w:color w:val="auto"/>
        </w:rPr>
        <w:t>izglītības programmas mācību priekšmetu un stundu plānu variantiem</w:t>
      </w:r>
      <w:r w:rsidR="009B2E58" w:rsidRPr="00620C01">
        <w:rPr>
          <w:color w:val="auto"/>
        </w:rPr>
        <w:t>.</w:t>
      </w:r>
    </w:p>
    <w:p w:rsidR="008411ED" w:rsidRPr="00620C01" w:rsidRDefault="002F23EB" w:rsidP="009F3574">
      <w:pPr>
        <w:shd w:val="clear" w:color="auto" w:fill="auto"/>
        <w:jc w:val="right"/>
        <w:rPr>
          <w:bCs/>
          <w:color w:val="auto"/>
        </w:rPr>
      </w:pPr>
      <w:r w:rsidRPr="00620C01">
        <w:rPr>
          <w:bCs/>
          <w:color w:val="auto"/>
        </w:rPr>
        <w:t>1.</w:t>
      </w:r>
      <w:r w:rsidR="00ED6B42" w:rsidRPr="00620C01">
        <w:rPr>
          <w:bCs/>
          <w:color w:val="auto"/>
        </w:rPr>
        <w:t xml:space="preserve"> </w:t>
      </w:r>
      <w:r w:rsidR="008411ED" w:rsidRPr="00620C01">
        <w:rPr>
          <w:bCs/>
          <w:color w:val="auto"/>
        </w:rPr>
        <w:t>variants</w:t>
      </w:r>
      <w:r w:rsidR="000E40AE" w:rsidRPr="00620C01">
        <w:rPr>
          <w:bCs/>
          <w:color w:val="aut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20C01" w:rsidRPr="00620C01" w:rsidTr="00F52A55">
        <w:tc>
          <w:tcPr>
            <w:tcW w:w="2552" w:type="dxa"/>
          </w:tcPr>
          <w:p w:rsidR="00DF355F" w:rsidRPr="00620C01" w:rsidRDefault="00DF355F" w:rsidP="009E2763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Mācību jomas un mācību priekšmeti</w:t>
            </w:r>
            <w:r w:rsidR="00F97DCF"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1.kl.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2.kl.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3.kl.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4.kl.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5.kl.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6.kl.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7.kl.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8.kl.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9.kl.</w:t>
            </w: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b/>
                <w:bCs/>
                <w:color w:val="auto"/>
                <w:sz w:val="24"/>
                <w:szCs w:val="24"/>
                <w:highlight w:val="none"/>
              </w:rPr>
              <w:t>Valodu</w:t>
            </w:r>
          </w:p>
        </w:tc>
        <w:tc>
          <w:tcPr>
            <w:tcW w:w="6379" w:type="dxa"/>
            <w:gridSpan w:val="9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Latviešu valoda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b/>
                <w:bCs/>
                <w:color w:val="auto"/>
                <w:sz w:val="24"/>
                <w:szCs w:val="24"/>
                <w:highlight w:val="none"/>
              </w:rPr>
              <w:t>Sociālā un pilsoniskā</w:t>
            </w:r>
          </w:p>
        </w:tc>
        <w:tc>
          <w:tcPr>
            <w:tcW w:w="6379" w:type="dxa"/>
            <w:gridSpan w:val="9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Sociālās zinības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b/>
                <w:bCs/>
                <w:color w:val="auto"/>
                <w:sz w:val="24"/>
                <w:szCs w:val="24"/>
              </w:rPr>
              <w:t>Kultūras</w:t>
            </w:r>
            <w:r w:rsidR="00C664A3" w:rsidRPr="00620C01">
              <w:rPr>
                <w:b/>
                <w:bCs/>
                <w:color w:val="auto"/>
                <w:sz w:val="24"/>
                <w:szCs w:val="24"/>
              </w:rPr>
              <w:t xml:space="preserve"> izpratne</w:t>
            </w:r>
            <w:r w:rsidR="00C96A89" w:rsidRPr="00620C01">
              <w:rPr>
                <w:b/>
                <w:bCs/>
                <w:color w:val="auto"/>
                <w:sz w:val="24"/>
                <w:szCs w:val="24"/>
              </w:rPr>
              <w:t>s</w:t>
            </w:r>
            <w:r w:rsidR="00C664A3" w:rsidRPr="00620C01">
              <w:rPr>
                <w:b/>
                <w:bCs/>
                <w:color w:val="auto"/>
                <w:sz w:val="24"/>
                <w:szCs w:val="24"/>
              </w:rPr>
              <w:t xml:space="preserve"> un pašizpausme</w:t>
            </w:r>
            <w:r w:rsidR="00C96A89" w:rsidRPr="00620C01">
              <w:rPr>
                <w:b/>
                <w:bCs/>
                <w:color w:val="auto"/>
                <w:sz w:val="24"/>
                <w:szCs w:val="24"/>
              </w:rPr>
              <w:t>s</w:t>
            </w:r>
            <w:r w:rsidR="00C664A3" w:rsidRPr="00620C01">
              <w:rPr>
                <w:b/>
                <w:bCs/>
                <w:color w:val="auto"/>
                <w:sz w:val="24"/>
                <w:szCs w:val="24"/>
              </w:rPr>
              <w:t xml:space="preserve"> mākslā</w:t>
            </w:r>
          </w:p>
        </w:tc>
        <w:tc>
          <w:tcPr>
            <w:tcW w:w="6379" w:type="dxa"/>
            <w:gridSpan w:val="9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color w:val="auto"/>
                <w:sz w:val="24"/>
                <w:szCs w:val="24"/>
                <w:highlight w:val="none"/>
              </w:rPr>
              <w:t>Vizuālā māksla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Mūzika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Literatūra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b/>
                <w:bCs/>
                <w:color w:val="auto"/>
                <w:sz w:val="24"/>
                <w:szCs w:val="24"/>
                <w:highlight w:val="none"/>
              </w:rPr>
              <w:t>Dabaszinātņu</w:t>
            </w:r>
          </w:p>
        </w:tc>
        <w:tc>
          <w:tcPr>
            <w:tcW w:w="6379" w:type="dxa"/>
            <w:gridSpan w:val="9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Dabaszinības 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Matemātikas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Matemātika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Tehnoloģiju</w:t>
            </w:r>
          </w:p>
        </w:tc>
        <w:tc>
          <w:tcPr>
            <w:tcW w:w="6379" w:type="dxa"/>
            <w:gridSpan w:val="9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Dizains un tehnoloģijas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Datorika 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Veselība un fiziskās aktivitātes</w:t>
            </w:r>
          </w:p>
        </w:tc>
        <w:tc>
          <w:tcPr>
            <w:tcW w:w="6379" w:type="dxa"/>
            <w:gridSpan w:val="9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DF355F" w:rsidRPr="00620C01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Sports</w:t>
            </w:r>
            <w:r w:rsidR="00B41E4F"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 un veselība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F52A55" w:rsidRPr="00620C01" w:rsidTr="00F52A55">
        <w:tc>
          <w:tcPr>
            <w:tcW w:w="2552" w:type="dxa"/>
          </w:tcPr>
          <w:p w:rsidR="00DF355F" w:rsidRPr="00620C01" w:rsidRDefault="00E24F15" w:rsidP="00FA420F">
            <w:pPr>
              <w:shd w:val="clear" w:color="auto" w:fill="auto"/>
              <w:jc w:val="both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</w:t>
            </w:r>
            <w:r w:rsidR="00DF355F"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aksimālā mācību stundu slodze nedēļā</w:t>
            </w:r>
          </w:p>
        </w:tc>
        <w:tc>
          <w:tcPr>
            <w:tcW w:w="709" w:type="dxa"/>
            <w:vAlign w:val="center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22</w:t>
            </w:r>
          </w:p>
        </w:tc>
        <w:tc>
          <w:tcPr>
            <w:tcW w:w="708" w:type="dxa"/>
            <w:vAlign w:val="center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:rsidR="00DF355F" w:rsidRPr="00620C01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</w:tr>
    </w:tbl>
    <w:p w:rsidR="00F52A55" w:rsidRPr="00620C01" w:rsidRDefault="00F52A55" w:rsidP="00FA420F">
      <w:pPr>
        <w:shd w:val="clear" w:color="auto" w:fill="auto"/>
        <w:jc w:val="left"/>
        <w:rPr>
          <w:b/>
          <w:bCs/>
          <w:color w:val="auto"/>
          <w:sz w:val="24"/>
          <w:szCs w:val="24"/>
        </w:rPr>
      </w:pPr>
    </w:p>
    <w:p w:rsidR="007775E2" w:rsidRPr="00620C01" w:rsidRDefault="007775E2" w:rsidP="009F3574">
      <w:pPr>
        <w:shd w:val="clear" w:color="auto" w:fill="auto"/>
        <w:jc w:val="right"/>
        <w:rPr>
          <w:b/>
          <w:bCs/>
          <w:color w:val="auto"/>
        </w:rPr>
      </w:pPr>
      <w:r w:rsidRPr="00620C01">
        <w:rPr>
          <w:bCs/>
          <w:color w:val="auto"/>
        </w:rPr>
        <w:lastRenderedPageBreak/>
        <w:t xml:space="preserve">2. variants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20C01" w:rsidRPr="00620C01" w:rsidTr="00FA420F">
        <w:tc>
          <w:tcPr>
            <w:tcW w:w="2552" w:type="dxa"/>
          </w:tcPr>
          <w:p w:rsidR="007775E2" w:rsidRPr="00620C01" w:rsidRDefault="007775E2" w:rsidP="009E2763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Mācību jomas un mācību priekšmeti</w:t>
            </w:r>
            <w:r w:rsidR="00F97DCF"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1.kl.</w:t>
            </w:r>
          </w:p>
        </w:tc>
        <w:tc>
          <w:tcPr>
            <w:tcW w:w="708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2.kl.</w:t>
            </w:r>
          </w:p>
        </w:tc>
        <w:tc>
          <w:tcPr>
            <w:tcW w:w="709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3.kl.</w:t>
            </w:r>
          </w:p>
        </w:tc>
        <w:tc>
          <w:tcPr>
            <w:tcW w:w="709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4.kl.</w:t>
            </w:r>
          </w:p>
        </w:tc>
        <w:tc>
          <w:tcPr>
            <w:tcW w:w="709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5.kl</w:t>
            </w:r>
            <w:r w:rsidR="00921436"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.</w:t>
            </w:r>
          </w:p>
        </w:tc>
        <w:tc>
          <w:tcPr>
            <w:tcW w:w="708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6.kl.</w:t>
            </w:r>
          </w:p>
        </w:tc>
        <w:tc>
          <w:tcPr>
            <w:tcW w:w="709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7.kl.</w:t>
            </w:r>
          </w:p>
        </w:tc>
        <w:tc>
          <w:tcPr>
            <w:tcW w:w="709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8.kl.</w:t>
            </w:r>
          </w:p>
        </w:tc>
        <w:tc>
          <w:tcPr>
            <w:tcW w:w="709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9.kl.</w:t>
            </w:r>
          </w:p>
        </w:tc>
      </w:tr>
      <w:tr w:rsidR="00620C01" w:rsidRPr="00620C01" w:rsidTr="00FA420F">
        <w:tc>
          <w:tcPr>
            <w:tcW w:w="2552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color w:val="auto"/>
                <w:sz w:val="24"/>
                <w:szCs w:val="24"/>
                <w:highlight w:val="none"/>
              </w:rPr>
              <w:t>Saskarsme (</w:t>
            </w:r>
            <w:r w:rsidRPr="00620C01">
              <w:rPr>
                <w:i/>
                <w:iCs/>
                <w:color w:val="auto"/>
                <w:sz w:val="24"/>
                <w:szCs w:val="24"/>
                <w:highlight w:val="none"/>
              </w:rPr>
              <w:t>komunikācija, valodas uztvere, izpratne, lietošana</w:t>
            </w:r>
            <w:r w:rsidRPr="00620C01">
              <w:rPr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A420F">
        <w:tc>
          <w:tcPr>
            <w:tcW w:w="2552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color w:val="auto"/>
                <w:sz w:val="24"/>
                <w:szCs w:val="24"/>
                <w:highlight w:val="none"/>
              </w:rPr>
              <w:t>Sociālās zinības (</w:t>
            </w:r>
            <w:r w:rsidRPr="00620C01">
              <w:rPr>
                <w:i/>
                <w:iCs/>
                <w:color w:val="auto"/>
                <w:sz w:val="24"/>
                <w:szCs w:val="24"/>
                <w:highlight w:val="none"/>
              </w:rPr>
              <w:t>sociālās iemaņas</w:t>
            </w:r>
            <w:r w:rsidRPr="00620C01">
              <w:rPr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A420F">
        <w:tc>
          <w:tcPr>
            <w:tcW w:w="2552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color w:val="auto"/>
                <w:sz w:val="24"/>
                <w:szCs w:val="24"/>
                <w:highlight w:val="none"/>
              </w:rPr>
              <w:t>Vizuālā māksla (</w:t>
            </w:r>
            <w:r w:rsidRPr="00620C01">
              <w:rPr>
                <w:i/>
                <w:iCs/>
                <w:color w:val="auto"/>
                <w:sz w:val="24"/>
                <w:szCs w:val="24"/>
                <w:highlight w:val="none"/>
              </w:rPr>
              <w:t>pasaules izzināšana</w:t>
            </w:r>
            <w:r w:rsidRPr="00620C01">
              <w:rPr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A420F">
        <w:tc>
          <w:tcPr>
            <w:tcW w:w="2552" w:type="dxa"/>
          </w:tcPr>
          <w:p w:rsidR="007775E2" w:rsidRPr="00620C01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color w:val="auto"/>
                <w:sz w:val="24"/>
                <w:szCs w:val="24"/>
                <w:highlight w:val="none"/>
              </w:rPr>
              <w:t>Sports</w:t>
            </w:r>
            <w:r w:rsidR="009F3574" w:rsidRPr="00620C01">
              <w:rPr>
                <w:color w:val="auto"/>
                <w:sz w:val="24"/>
                <w:szCs w:val="24"/>
                <w:highlight w:val="none"/>
              </w:rPr>
              <w:t xml:space="preserve"> un veselība</w:t>
            </w:r>
            <w:r w:rsidRPr="00620C01">
              <w:rPr>
                <w:color w:val="auto"/>
                <w:sz w:val="24"/>
                <w:szCs w:val="24"/>
                <w:highlight w:val="none"/>
              </w:rPr>
              <w:t xml:space="preserve"> (</w:t>
            </w:r>
            <w:r w:rsidRPr="00620C01">
              <w:rPr>
                <w:i/>
                <w:iCs/>
                <w:color w:val="auto"/>
                <w:sz w:val="24"/>
                <w:szCs w:val="24"/>
                <w:highlight w:val="none"/>
              </w:rPr>
              <w:t>kustību attīstīšana)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7775E2" w:rsidRPr="00620C01" w:rsidTr="00FA420F">
        <w:tc>
          <w:tcPr>
            <w:tcW w:w="2552" w:type="dxa"/>
          </w:tcPr>
          <w:p w:rsidR="007775E2" w:rsidRPr="00620C01" w:rsidRDefault="00E24F15" w:rsidP="00FA420F">
            <w:pPr>
              <w:shd w:val="clear" w:color="auto" w:fill="auto"/>
              <w:jc w:val="left"/>
              <w:rPr>
                <w:rFonts w:eastAsia="Cambria"/>
                <w:b/>
                <w:i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i/>
                <w:color w:val="auto"/>
                <w:sz w:val="24"/>
                <w:szCs w:val="24"/>
                <w:highlight w:val="none"/>
                <w:lang w:eastAsia="en-US"/>
              </w:rPr>
              <w:t>M</w:t>
            </w:r>
            <w:r w:rsidR="007775E2" w:rsidRPr="00620C01">
              <w:rPr>
                <w:rFonts w:eastAsia="Cambria"/>
                <w:b/>
                <w:i/>
                <w:color w:val="auto"/>
                <w:sz w:val="24"/>
                <w:szCs w:val="24"/>
                <w:highlight w:val="none"/>
                <w:lang w:eastAsia="en-US"/>
              </w:rPr>
              <w:t>aksimālā mācību stundu slodze nedēļā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22</w:t>
            </w:r>
          </w:p>
        </w:tc>
        <w:tc>
          <w:tcPr>
            <w:tcW w:w="708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:rsidR="007775E2" w:rsidRPr="00620C01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</w:tr>
    </w:tbl>
    <w:p w:rsidR="007775E2" w:rsidRPr="00620C01" w:rsidRDefault="007775E2" w:rsidP="00FA420F">
      <w:pPr>
        <w:jc w:val="both"/>
        <w:rPr>
          <w:color w:val="auto"/>
        </w:rPr>
      </w:pPr>
    </w:p>
    <w:p w:rsidR="007775E2" w:rsidRPr="00620C01" w:rsidRDefault="00F7662E" w:rsidP="00AE27CD">
      <w:pPr>
        <w:ind w:firstLine="360"/>
        <w:contextualSpacing/>
        <w:jc w:val="both"/>
        <w:rPr>
          <w:i/>
          <w:color w:val="auto"/>
          <w:sz w:val="20"/>
          <w:szCs w:val="20"/>
        </w:rPr>
      </w:pPr>
      <w:r w:rsidRPr="00620C01">
        <w:rPr>
          <w:color w:val="auto"/>
        </w:rPr>
        <w:t>12</w:t>
      </w:r>
      <w:r w:rsidR="007775E2" w:rsidRPr="00620C01">
        <w:rPr>
          <w:color w:val="auto"/>
        </w:rPr>
        <w:t xml:space="preserve">. </w:t>
      </w:r>
      <w:r w:rsidR="00D43AEB" w:rsidRPr="00620C01">
        <w:rPr>
          <w:color w:val="auto"/>
        </w:rPr>
        <w:t xml:space="preserve">Mazākumtautību izglītības programmās, izvērtējot </w:t>
      </w:r>
      <w:r w:rsidR="007775E2" w:rsidRPr="00620C01">
        <w:rPr>
          <w:color w:val="auto"/>
        </w:rPr>
        <w:t>skolēna spējas, attīstības līmeni un veselības stāvokli, skolēnam tiek veidots individuāls izglītības programmas apguves plāns</w:t>
      </w:r>
      <w:r w:rsidR="00A17659" w:rsidRPr="00620C01">
        <w:rPr>
          <w:color w:val="auto"/>
        </w:rPr>
        <w:t>,</w:t>
      </w:r>
      <w:r w:rsidR="007775E2" w:rsidRPr="00620C01">
        <w:rPr>
          <w:color w:val="auto"/>
        </w:rPr>
        <w:t xml:space="preserve"> par pamatu ņemot vienu no diviem mācību priekšmetu un stundu plānu variantiem</w:t>
      </w:r>
      <w:r w:rsidR="00A17659" w:rsidRPr="00620C01">
        <w:rPr>
          <w:color w:val="auto"/>
        </w:rPr>
        <w:t>.</w:t>
      </w:r>
    </w:p>
    <w:p w:rsidR="007775E2" w:rsidRPr="00620C01" w:rsidRDefault="007775E2" w:rsidP="00FA420F">
      <w:pPr>
        <w:shd w:val="clear" w:color="auto" w:fill="auto"/>
        <w:jc w:val="left"/>
        <w:rPr>
          <w:bCs/>
          <w:color w:val="auto"/>
        </w:rPr>
      </w:pPr>
    </w:p>
    <w:p w:rsidR="008411ED" w:rsidRPr="00620C01" w:rsidRDefault="00F809AE" w:rsidP="009F3574">
      <w:pPr>
        <w:shd w:val="clear" w:color="auto" w:fill="auto"/>
        <w:jc w:val="right"/>
        <w:rPr>
          <w:b/>
          <w:bCs/>
          <w:color w:val="auto"/>
        </w:rPr>
      </w:pPr>
      <w:r w:rsidRPr="00620C01">
        <w:rPr>
          <w:bCs/>
          <w:color w:val="auto"/>
        </w:rPr>
        <w:t>1.</w:t>
      </w:r>
      <w:r w:rsidR="00ED6B42" w:rsidRPr="00620C01">
        <w:rPr>
          <w:bCs/>
          <w:color w:val="auto"/>
        </w:rPr>
        <w:t xml:space="preserve"> </w:t>
      </w:r>
      <w:r w:rsidRPr="00620C01">
        <w:rPr>
          <w:bCs/>
          <w:color w:val="auto"/>
        </w:rPr>
        <w:t>variants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20C01" w:rsidRPr="00620C01" w:rsidTr="00F52A55">
        <w:tc>
          <w:tcPr>
            <w:tcW w:w="2552" w:type="dxa"/>
          </w:tcPr>
          <w:p w:rsidR="00F809AE" w:rsidRPr="00620C01" w:rsidRDefault="00F809AE" w:rsidP="009E2763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Mācību jomas un mācību priekšmeti</w:t>
            </w:r>
            <w:r w:rsidR="00F97DCF"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1.kl.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2.kl.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3.kl.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4.kl.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5.kl.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6.kl.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7.kl.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8.kl.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9.kl.</w:t>
            </w: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b/>
                <w:bCs/>
                <w:color w:val="auto"/>
                <w:sz w:val="24"/>
                <w:szCs w:val="24"/>
                <w:highlight w:val="none"/>
              </w:rPr>
              <w:t>Valodu</w:t>
            </w:r>
          </w:p>
        </w:tc>
        <w:tc>
          <w:tcPr>
            <w:tcW w:w="6379" w:type="dxa"/>
            <w:gridSpan w:val="9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Latviešu valoda</w:t>
            </w:r>
            <w:r w:rsidR="00FA420F"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 un literatūra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AE27CD" w:rsidP="00AE27CD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Mazākumtautības </w:t>
            </w:r>
            <w:r w:rsidR="00F809AE"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valoda</w:t>
            </w:r>
            <w:r w:rsidR="00620C01"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 un literatūra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b/>
                <w:bCs/>
                <w:color w:val="auto"/>
                <w:sz w:val="24"/>
                <w:szCs w:val="24"/>
                <w:highlight w:val="none"/>
              </w:rPr>
              <w:t>Sociālā un pilsoniskā</w:t>
            </w:r>
          </w:p>
        </w:tc>
        <w:tc>
          <w:tcPr>
            <w:tcW w:w="6379" w:type="dxa"/>
            <w:gridSpan w:val="9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Sociālās zinības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b/>
                <w:bCs/>
                <w:color w:val="auto"/>
                <w:sz w:val="24"/>
                <w:szCs w:val="24"/>
              </w:rPr>
              <w:t>Kultūras izpratne</w:t>
            </w:r>
            <w:r w:rsidR="00C96A89" w:rsidRPr="00620C01">
              <w:rPr>
                <w:b/>
                <w:bCs/>
                <w:color w:val="auto"/>
                <w:sz w:val="24"/>
                <w:szCs w:val="24"/>
              </w:rPr>
              <w:t>s un pašizpausmes mākslā</w:t>
            </w:r>
          </w:p>
        </w:tc>
        <w:tc>
          <w:tcPr>
            <w:tcW w:w="6379" w:type="dxa"/>
            <w:gridSpan w:val="9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color w:val="auto"/>
                <w:sz w:val="24"/>
                <w:szCs w:val="24"/>
                <w:highlight w:val="none"/>
              </w:rPr>
              <w:t>Vizuālā māksla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Mūzika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b/>
                <w:bCs/>
                <w:color w:val="auto"/>
                <w:sz w:val="24"/>
                <w:szCs w:val="24"/>
                <w:highlight w:val="none"/>
              </w:rPr>
              <w:t>Dabaszinātņu</w:t>
            </w:r>
          </w:p>
        </w:tc>
        <w:tc>
          <w:tcPr>
            <w:tcW w:w="6379" w:type="dxa"/>
            <w:gridSpan w:val="9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Dabaszinības 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Matemātikas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Matemātika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Tehnoloģiju</w:t>
            </w:r>
          </w:p>
        </w:tc>
        <w:tc>
          <w:tcPr>
            <w:tcW w:w="6379" w:type="dxa"/>
            <w:gridSpan w:val="9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Dizains un tehnoloģijas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Datorika 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Veselība un fiziskās aktivitātes</w:t>
            </w:r>
          </w:p>
        </w:tc>
        <w:tc>
          <w:tcPr>
            <w:tcW w:w="6379" w:type="dxa"/>
            <w:gridSpan w:val="9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Sports</w:t>
            </w:r>
            <w:r w:rsidR="00B41E4F"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 un veselība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F809AE" w:rsidRPr="00620C01" w:rsidRDefault="00E24F15" w:rsidP="00FA420F">
            <w:pPr>
              <w:shd w:val="clear" w:color="auto" w:fill="auto"/>
              <w:jc w:val="both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</w:t>
            </w:r>
            <w:r w:rsidR="00F809AE"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aksimālā mācību stundu slodze nedēļā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22</w:t>
            </w:r>
          </w:p>
        </w:tc>
        <w:tc>
          <w:tcPr>
            <w:tcW w:w="708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:rsidR="00F809AE" w:rsidRPr="00620C01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</w:tr>
    </w:tbl>
    <w:p w:rsidR="00F809AE" w:rsidRPr="00620C01" w:rsidRDefault="00F809AE" w:rsidP="00FA420F">
      <w:pPr>
        <w:shd w:val="clear" w:color="auto" w:fill="auto"/>
        <w:jc w:val="left"/>
        <w:rPr>
          <w:b/>
          <w:bCs/>
          <w:color w:val="auto"/>
          <w:sz w:val="24"/>
          <w:szCs w:val="24"/>
        </w:rPr>
      </w:pPr>
    </w:p>
    <w:p w:rsidR="000E40AE" w:rsidRPr="00620C01" w:rsidRDefault="002F23EB" w:rsidP="009F3574">
      <w:pPr>
        <w:shd w:val="clear" w:color="auto" w:fill="auto"/>
        <w:jc w:val="right"/>
        <w:rPr>
          <w:b/>
          <w:bCs/>
          <w:color w:val="auto"/>
        </w:rPr>
      </w:pPr>
      <w:r w:rsidRPr="00620C01">
        <w:rPr>
          <w:bCs/>
          <w:color w:val="auto"/>
        </w:rPr>
        <w:t>2.</w:t>
      </w:r>
      <w:r w:rsidR="008411ED" w:rsidRPr="00620C01">
        <w:rPr>
          <w:bCs/>
          <w:color w:val="auto"/>
        </w:rPr>
        <w:t>variants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20C01" w:rsidRPr="00620C01" w:rsidTr="00F52A55">
        <w:tc>
          <w:tcPr>
            <w:tcW w:w="2552" w:type="dxa"/>
          </w:tcPr>
          <w:p w:rsidR="00D1732B" w:rsidRPr="00620C01" w:rsidRDefault="00D1732B" w:rsidP="009E2763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Mācību jomas un mācību priekšmeti</w:t>
            </w:r>
            <w:r w:rsidR="00F97DCF"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1.kl.</w:t>
            </w:r>
          </w:p>
        </w:tc>
        <w:tc>
          <w:tcPr>
            <w:tcW w:w="708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2.kl.</w:t>
            </w:r>
          </w:p>
        </w:tc>
        <w:tc>
          <w:tcPr>
            <w:tcW w:w="709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3.kl.</w:t>
            </w:r>
          </w:p>
        </w:tc>
        <w:tc>
          <w:tcPr>
            <w:tcW w:w="709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4.kl.</w:t>
            </w:r>
          </w:p>
        </w:tc>
        <w:tc>
          <w:tcPr>
            <w:tcW w:w="709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5.kl</w:t>
            </w:r>
            <w:r w:rsidR="00921436"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.</w:t>
            </w:r>
          </w:p>
        </w:tc>
        <w:tc>
          <w:tcPr>
            <w:tcW w:w="708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6.kl.</w:t>
            </w:r>
          </w:p>
        </w:tc>
        <w:tc>
          <w:tcPr>
            <w:tcW w:w="709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7.kl.</w:t>
            </w:r>
          </w:p>
        </w:tc>
        <w:tc>
          <w:tcPr>
            <w:tcW w:w="709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8.kl.</w:t>
            </w:r>
          </w:p>
        </w:tc>
        <w:tc>
          <w:tcPr>
            <w:tcW w:w="709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9.kl.</w:t>
            </w:r>
          </w:p>
        </w:tc>
      </w:tr>
      <w:tr w:rsidR="00620C01" w:rsidRPr="00620C01" w:rsidTr="00F52A55">
        <w:tc>
          <w:tcPr>
            <w:tcW w:w="2552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color w:val="auto"/>
                <w:sz w:val="24"/>
                <w:szCs w:val="24"/>
                <w:highlight w:val="none"/>
              </w:rPr>
              <w:t>Saskarsme (</w:t>
            </w:r>
            <w:r w:rsidRPr="00620C01">
              <w:rPr>
                <w:i/>
                <w:iCs/>
                <w:color w:val="auto"/>
                <w:sz w:val="24"/>
                <w:szCs w:val="24"/>
                <w:highlight w:val="none"/>
              </w:rPr>
              <w:t>komunikācija, valodas uztvere, izpratne, lietošana</w:t>
            </w:r>
            <w:r w:rsidRPr="00620C01">
              <w:rPr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color w:val="auto"/>
                <w:sz w:val="24"/>
                <w:szCs w:val="24"/>
                <w:highlight w:val="none"/>
              </w:rPr>
              <w:t>Sociālās zinības (</w:t>
            </w:r>
            <w:r w:rsidRPr="00620C01">
              <w:rPr>
                <w:i/>
                <w:iCs/>
                <w:color w:val="auto"/>
                <w:sz w:val="24"/>
                <w:szCs w:val="24"/>
                <w:highlight w:val="none"/>
              </w:rPr>
              <w:t>sociālās iemaņas</w:t>
            </w:r>
            <w:r w:rsidRPr="00620C01">
              <w:rPr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color w:val="auto"/>
                <w:sz w:val="24"/>
                <w:szCs w:val="24"/>
                <w:highlight w:val="none"/>
              </w:rPr>
              <w:t>Vizuālā māksla (</w:t>
            </w:r>
            <w:r w:rsidRPr="00620C01">
              <w:rPr>
                <w:i/>
                <w:iCs/>
                <w:color w:val="auto"/>
                <w:sz w:val="24"/>
                <w:szCs w:val="24"/>
                <w:highlight w:val="none"/>
              </w:rPr>
              <w:t>pasaules izzināšana</w:t>
            </w:r>
            <w:r w:rsidRPr="00620C01">
              <w:rPr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620C01" w:rsidRPr="00620C01" w:rsidTr="00F52A55">
        <w:tc>
          <w:tcPr>
            <w:tcW w:w="2552" w:type="dxa"/>
          </w:tcPr>
          <w:p w:rsidR="00D1732B" w:rsidRPr="00620C01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color w:val="auto"/>
                <w:sz w:val="24"/>
                <w:szCs w:val="24"/>
                <w:highlight w:val="none"/>
              </w:rPr>
              <w:t xml:space="preserve">Sports </w:t>
            </w:r>
            <w:r w:rsidR="00B41E4F" w:rsidRPr="00620C01">
              <w:rPr>
                <w:color w:val="auto"/>
                <w:sz w:val="24"/>
                <w:szCs w:val="24"/>
                <w:highlight w:val="none"/>
              </w:rPr>
              <w:t xml:space="preserve">un veselība </w:t>
            </w:r>
            <w:r w:rsidRPr="00620C01">
              <w:rPr>
                <w:color w:val="auto"/>
                <w:sz w:val="24"/>
                <w:szCs w:val="24"/>
                <w:highlight w:val="none"/>
              </w:rPr>
              <w:t>(</w:t>
            </w:r>
            <w:r w:rsidRPr="00620C01">
              <w:rPr>
                <w:i/>
                <w:iCs/>
                <w:color w:val="auto"/>
                <w:sz w:val="24"/>
                <w:szCs w:val="24"/>
                <w:highlight w:val="none"/>
              </w:rPr>
              <w:t>kustību attīstīšana)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F52A55" w:rsidRPr="00620C01" w:rsidTr="00F52A55">
        <w:tc>
          <w:tcPr>
            <w:tcW w:w="2552" w:type="dxa"/>
          </w:tcPr>
          <w:p w:rsidR="00D1732B" w:rsidRPr="00620C01" w:rsidRDefault="00E24F15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</w:t>
            </w:r>
            <w:r w:rsidR="00D1732B"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aksimālā mācību stundu slodze nedēļā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22</w:t>
            </w:r>
          </w:p>
        </w:tc>
        <w:tc>
          <w:tcPr>
            <w:tcW w:w="708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:rsidR="00D1732B" w:rsidRPr="00620C01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620C01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</w:tr>
    </w:tbl>
    <w:p w:rsidR="008411ED" w:rsidRPr="00620C01" w:rsidRDefault="008411ED" w:rsidP="00FA420F">
      <w:pPr>
        <w:jc w:val="both"/>
        <w:rPr>
          <w:color w:val="auto"/>
        </w:rPr>
      </w:pPr>
    </w:p>
    <w:p w:rsidR="00733FBF" w:rsidRPr="00620C01" w:rsidRDefault="00733FBF" w:rsidP="00FA420F">
      <w:pPr>
        <w:ind w:firstLine="720"/>
        <w:jc w:val="both"/>
        <w:rPr>
          <w:color w:val="auto"/>
        </w:rPr>
      </w:pPr>
    </w:p>
    <w:p w:rsidR="00E02A5C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13</w:t>
      </w:r>
      <w:r w:rsidR="001820A4" w:rsidRPr="00620C01">
        <w:rPr>
          <w:color w:val="auto"/>
        </w:rPr>
        <w:t xml:space="preserve">. </w:t>
      </w:r>
      <w:r w:rsidR="00E02A5C" w:rsidRPr="00620C01">
        <w:rPr>
          <w:color w:val="auto"/>
        </w:rPr>
        <w:t>Izglītības programmas mācību priekšmetu</w:t>
      </w:r>
      <w:r w:rsidR="00F97DCF" w:rsidRPr="00620C01">
        <w:rPr>
          <w:color w:val="auto"/>
        </w:rPr>
        <w:t xml:space="preserve"> </w:t>
      </w:r>
      <w:r w:rsidR="00E02A5C" w:rsidRPr="00620C01">
        <w:rPr>
          <w:color w:val="auto"/>
        </w:rPr>
        <w:t xml:space="preserve">un stundu plāns pielāgojams katra </w:t>
      </w:r>
      <w:r w:rsidR="00E24F15" w:rsidRPr="00620C01">
        <w:rPr>
          <w:color w:val="auto"/>
        </w:rPr>
        <w:t xml:space="preserve">skolēna </w:t>
      </w:r>
      <w:r w:rsidR="00E02A5C" w:rsidRPr="00620C01">
        <w:rPr>
          <w:color w:val="auto"/>
        </w:rPr>
        <w:t>veselības stāvoklim, spējām un attīstības līmenim. Stundu skaits nedēļā individuālajā plānā var būt mazāks par mācību priekšmetu</w:t>
      </w:r>
      <w:r w:rsidR="00F97DCF" w:rsidRPr="00620C01">
        <w:rPr>
          <w:color w:val="auto"/>
        </w:rPr>
        <w:t xml:space="preserve"> </w:t>
      </w:r>
      <w:r w:rsidR="00E02A5C" w:rsidRPr="00620C01">
        <w:rPr>
          <w:color w:val="auto"/>
        </w:rPr>
        <w:t>un stundu plānā maksimāli pieļaujamo.</w:t>
      </w:r>
    </w:p>
    <w:p w:rsidR="00FA420F" w:rsidRPr="00620C01" w:rsidRDefault="00FA420F" w:rsidP="00FA420F">
      <w:pPr>
        <w:ind w:firstLine="720"/>
        <w:jc w:val="both"/>
        <w:rPr>
          <w:color w:val="auto"/>
        </w:rPr>
      </w:pPr>
    </w:p>
    <w:p w:rsidR="00B830D4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14</w:t>
      </w:r>
      <w:r w:rsidR="00867876" w:rsidRPr="00620C01">
        <w:rPr>
          <w:color w:val="auto"/>
        </w:rPr>
        <w:t xml:space="preserve">. Valsts pamatizglītības standartā noteikto mērķu sasniegšanai izmanto daudzveidīgas mācību un audzināšanas darba formas, variējot to īstenošanas ilgumu atbilstoši mērķim un skolēnu </w:t>
      </w:r>
      <w:r w:rsidR="006E1AFC" w:rsidRPr="00620C01">
        <w:rPr>
          <w:color w:val="auto"/>
        </w:rPr>
        <w:t>speciālajām</w:t>
      </w:r>
      <w:r w:rsidR="00867876" w:rsidRPr="00620C01">
        <w:rPr>
          <w:color w:val="auto"/>
        </w:rPr>
        <w:t xml:space="preserve"> vajadzībām. Skolēnam plānotos sasniedzamos rezultātus sasniedz vienotā mācību un audzināšanas procesā, kas ietver gan darbu mācību stundās, gan ārpus kopējās mācību slodzes iekļautos pasākumus.</w:t>
      </w:r>
    </w:p>
    <w:p w:rsidR="00FA420F" w:rsidRPr="00620C01" w:rsidRDefault="00FA420F" w:rsidP="00FA420F">
      <w:pPr>
        <w:autoSpaceDE w:val="0"/>
        <w:autoSpaceDN w:val="0"/>
        <w:adjustRightInd w:val="0"/>
        <w:ind w:firstLine="720"/>
        <w:jc w:val="both"/>
        <w:rPr>
          <w:color w:val="auto"/>
        </w:rPr>
      </w:pPr>
    </w:p>
    <w:p w:rsidR="00B830D4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15</w:t>
      </w:r>
      <w:r w:rsidR="00867876" w:rsidRPr="00620C01">
        <w:rPr>
          <w:color w:val="auto"/>
        </w:rPr>
        <w:t>. Izglītības programmā ārpus kopējās mācību stundu slodzes tiek iekļautas:</w:t>
      </w:r>
    </w:p>
    <w:p w:rsidR="00B830D4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15</w:t>
      </w:r>
      <w:r w:rsidR="00867876" w:rsidRPr="00620C01">
        <w:rPr>
          <w:color w:val="auto"/>
        </w:rPr>
        <w:t>.1. klases stunda</w:t>
      </w:r>
      <w:r w:rsidR="009B2E58" w:rsidRPr="00620C01">
        <w:rPr>
          <w:color w:val="auto"/>
        </w:rPr>
        <w:t>s</w:t>
      </w:r>
      <w:r w:rsidR="00867876" w:rsidRPr="00620C01">
        <w:rPr>
          <w:color w:val="auto"/>
        </w:rPr>
        <w:t xml:space="preserve">, kuras tiek plānotas atbilstoši </w:t>
      </w:r>
      <w:r w:rsidR="00E02A5C" w:rsidRPr="00620C01">
        <w:rPr>
          <w:color w:val="auto"/>
        </w:rPr>
        <w:t xml:space="preserve">skolēnu </w:t>
      </w:r>
      <w:r w:rsidR="00491551" w:rsidRPr="00620C01">
        <w:rPr>
          <w:color w:val="auto"/>
        </w:rPr>
        <w:t xml:space="preserve">mācību un audzināšanas </w:t>
      </w:r>
      <w:r w:rsidR="00A17659" w:rsidRPr="00620C01">
        <w:rPr>
          <w:color w:val="auto"/>
        </w:rPr>
        <w:t>vajadzībām</w:t>
      </w:r>
      <w:r w:rsidR="0022681E" w:rsidRPr="00620C01">
        <w:rPr>
          <w:color w:val="auto"/>
        </w:rPr>
        <w:t>,</w:t>
      </w:r>
      <w:r w:rsidR="0022681E" w:rsidRPr="00620C01">
        <w:rPr>
          <w:rFonts w:eastAsiaTheme="minorHAnsi" w:cstheme="minorBidi"/>
          <w:color w:val="auto"/>
          <w:highlight w:val="none"/>
          <w:lang w:eastAsia="en-US"/>
        </w:rPr>
        <w:t xml:space="preserve"> iekļaujot tajās, piemēram, </w:t>
      </w:r>
      <w:r w:rsidR="0022681E" w:rsidRPr="00620C01">
        <w:rPr>
          <w:color w:val="auto"/>
        </w:rPr>
        <w:t>veselības izglītības un ceļu satiksmes drošības jautājumus</w:t>
      </w:r>
      <w:r w:rsidR="00867876" w:rsidRPr="00620C01">
        <w:rPr>
          <w:color w:val="auto"/>
        </w:rPr>
        <w:t>;</w:t>
      </w:r>
    </w:p>
    <w:p w:rsidR="00FF0608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15</w:t>
      </w:r>
      <w:r w:rsidR="00867876" w:rsidRPr="00620C01">
        <w:rPr>
          <w:color w:val="auto"/>
        </w:rPr>
        <w:t xml:space="preserve">.2. fakultatīvās nodarbības, kas tiek organizētas skolēnu grupai, ievērojot </w:t>
      </w:r>
      <w:r w:rsidR="009B12C7" w:rsidRPr="00620C01">
        <w:rPr>
          <w:color w:val="auto"/>
        </w:rPr>
        <w:t xml:space="preserve">skolēnu speciālās vajadzības, intereses un </w:t>
      </w:r>
      <w:r w:rsidR="00867876" w:rsidRPr="00620C01">
        <w:rPr>
          <w:color w:val="auto"/>
        </w:rPr>
        <w:t>brīvprātības principu (pamats – vecāku</w:t>
      </w:r>
      <w:r w:rsidR="009E2763" w:rsidRPr="00620C01">
        <w:rPr>
          <w:color w:val="auto"/>
        </w:rPr>
        <w:t xml:space="preserve"> vai </w:t>
      </w:r>
      <w:r w:rsidR="006E1AFC" w:rsidRPr="00620C01">
        <w:rPr>
          <w:color w:val="auto"/>
        </w:rPr>
        <w:t>likumisko pārstāvju</w:t>
      </w:r>
      <w:r w:rsidR="00867876" w:rsidRPr="00620C01">
        <w:rPr>
          <w:color w:val="auto"/>
        </w:rPr>
        <w:t xml:space="preserve"> iesniegums)</w:t>
      </w:r>
      <w:r w:rsidR="00F809AE" w:rsidRPr="00620C01">
        <w:rPr>
          <w:color w:val="auto"/>
        </w:rPr>
        <w:t>;</w:t>
      </w:r>
      <w:r w:rsidR="00867876" w:rsidRPr="00620C01">
        <w:rPr>
          <w:color w:val="auto"/>
        </w:rPr>
        <w:t xml:space="preserve"> </w:t>
      </w:r>
    </w:p>
    <w:p w:rsidR="00B830D4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15</w:t>
      </w:r>
      <w:r w:rsidR="00867876" w:rsidRPr="00620C01">
        <w:rPr>
          <w:color w:val="auto"/>
        </w:rPr>
        <w:t xml:space="preserve">.3. </w:t>
      </w:r>
      <w:r w:rsidR="00434D79" w:rsidRPr="00620C01">
        <w:rPr>
          <w:color w:val="auto"/>
        </w:rPr>
        <w:t xml:space="preserve">individuālās un grupu atbalsta nodarbības  </w:t>
      </w:r>
      <w:r w:rsidR="006E1AFC" w:rsidRPr="00620C01">
        <w:rPr>
          <w:color w:val="auto"/>
        </w:rPr>
        <w:t xml:space="preserve">atbilstoši katra </w:t>
      </w:r>
      <w:r w:rsidR="00867876" w:rsidRPr="00620C01">
        <w:rPr>
          <w:color w:val="auto"/>
        </w:rPr>
        <w:t>skolēn</w:t>
      </w:r>
      <w:r w:rsidR="006E1AFC" w:rsidRPr="00620C01">
        <w:rPr>
          <w:color w:val="auto"/>
        </w:rPr>
        <w:t xml:space="preserve">a </w:t>
      </w:r>
      <w:r w:rsidR="00434D79" w:rsidRPr="00620C01">
        <w:rPr>
          <w:color w:val="auto"/>
        </w:rPr>
        <w:t xml:space="preserve">individuālajām </w:t>
      </w:r>
      <w:r w:rsidR="006E1AFC" w:rsidRPr="00620C01">
        <w:rPr>
          <w:color w:val="auto"/>
        </w:rPr>
        <w:t>vajadzībām un attīstības dinamikai</w:t>
      </w:r>
      <w:r w:rsidR="00867876" w:rsidRPr="00620C01">
        <w:rPr>
          <w:color w:val="auto"/>
        </w:rPr>
        <w:t>;</w:t>
      </w:r>
    </w:p>
    <w:p w:rsidR="00B830D4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15</w:t>
      </w:r>
      <w:r w:rsidR="00867876" w:rsidRPr="00620C01">
        <w:rPr>
          <w:color w:val="auto"/>
        </w:rPr>
        <w:t>.</w:t>
      </w:r>
      <w:r w:rsidR="00185583" w:rsidRPr="00620C01">
        <w:rPr>
          <w:color w:val="auto"/>
        </w:rPr>
        <w:t>4</w:t>
      </w:r>
      <w:r w:rsidR="00867876" w:rsidRPr="00620C01">
        <w:rPr>
          <w:color w:val="auto"/>
        </w:rPr>
        <w:t>.</w:t>
      </w:r>
      <w:r w:rsidR="003D561E" w:rsidRPr="00620C01">
        <w:rPr>
          <w:color w:val="auto"/>
        </w:rPr>
        <w:t xml:space="preserve"> </w:t>
      </w:r>
      <w:r w:rsidR="00FA420F" w:rsidRPr="00620C01">
        <w:rPr>
          <w:rFonts w:eastAsiaTheme="minorHAnsi" w:cstheme="minorBidi"/>
          <w:color w:val="auto"/>
          <w:highlight w:val="none"/>
          <w:lang w:eastAsia="en-US"/>
        </w:rPr>
        <w:t xml:space="preserve">pasākumi atbilstoši </w:t>
      </w:r>
      <w:r w:rsidR="00FA420F" w:rsidRPr="00620C01">
        <w:rPr>
          <w:color w:val="auto"/>
        </w:rPr>
        <w:t>Ministru kabineta noteikumiem par izglītojamo audzināšanas vadlīnijām un informācijas, mācību līdzekļu, materiālu un mācību un audzināšanas metožu izvērtēšanas kārtību.</w:t>
      </w:r>
    </w:p>
    <w:p w:rsidR="00827511" w:rsidRPr="00620C01" w:rsidRDefault="00827511" w:rsidP="00FA420F">
      <w:pPr>
        <w:ind w:firstLine="720"/>
        <w:jc w:val="both"/>
        <w:rPr>
          <w:color w:val="auto"/>
        </w:rPr>
      </w:pPr>
    </w:p>
    <w:p w:rsidR="00B830D4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lastRenderedPageBreak/>
        <w:t>16</w:t>
      </w:r>
      <w:r w:rsidR="00867876" w:rsidRPr="00620C01">
        <w:rPr>
          <w:color w:val="auto"/>
        </w:rPr>
        <w:t>.</w:t>
      </w:r>
      <w:r w:rsidR="00827511" w:rsidRPr="00620C01">
        <w:rPr>
          <w:color w:val="auto"/>
        </w:rPr>
        <w:t xml:space="preserve"> N</w:t>
      </w:r>
      <w:r w:rsidR="00867876" w:rsidRPr="00620C01">
        <w:rPr>
          <w:color w:val="auto"/>
        </w:rPr>
        <w:t xml:space="preserve">odarbības ārpus kopējās mācību stundu slodzes plāno </w:t>
      </w:r>
      <w:r w:rsidR="00D84881" w:rsidRPr="00620C01">
        <w:rPr>
          <w:color w:val="auto"/>
        </w:rPr>
        <w:t xml:space="preserve">atbilstoši katra skolēna speciālajām vajadzībām </w:t>
      </w:r>
      <w:r w:rsidR="00867876" w:rsidRPr="00620C01">
        <w:rPr>
          <w:color w:val="auto"/>
        </w:rPr>
        <w:t>tā, lai tās atbalstītu mācību procesu, kas notiek mācību stundu ietvaros, līdz</w:t>
      </w:r>
      <w:r w:rsidR="009B12C7" w:rsidRPr="00620C01">
        <w:rPr>
          <w:color w:val="auto"/>
        </w:rPr>
        <w:t>s</w:t>
      </w:r>
      <w:r w:rsidR="00D84881" w:rsidRPr="00620C01">
        <w:rPr>
          <w:color w:val="auto"/>
        </w:rPr>
        <w:t xml:space="preserve">varojot </w:t>
      </w:r>
      <w:r w:rsidR="00867876" w:rsidRPr="00620C01">
        <w:rPr>
          <w:color w:val="auto"/>
        </w:rPr>
        <w:t>mācību formu dažādību, kuru izvēli nosaka skolēnam plānotais sasniedzamais rezultāts.</w:t>
      </w:r>
    </w:p>
    <w:p w:rsidR="007F78FE" w:rsidRPr="00620C01" w:rsidRDefault="007F78FE" w:rsidP="00FA420F">
      <w:pPr>
        <w:ind w:firstLine="720"/>
        <w:jc w:val="both"/>
        <w:rPr>
          <w:color w:val="auto"/>
        </w:rPr>
      </w:pPr>
    </w:p>
    <w:p w:rsidR="00B830D4" w:rsidRPr="00620C01" w:rsidRDefault="007F78FE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17</w:t>
      </w:r>
      <w:r w:rsidR="00867876" w:rsidRPr="00620C01">
        <w:rPr>
          <w:color w:val="auto"/>
        </w:rPr>
        <w:t xml:space="preserve">. </w:t>
      </w:r>
      <w:r w:rsidR="00185583" w:rsidRPr="00620C01">
        <w:rPr>
          <w:rFonts w:eastAsiaTheme="minorHAnsi" w:cstheme="minorBidi"/>
          <w:color w:val="auto"/>
          <w:highlight w:val="none"/>
          <w:lang w:eastAsia="en-US"/>
        </w:rPr>
        <w:t xml:space="preserve">Mācību satura īstenošanai izglītības iestāde vai pedagogs mācību līdzekļus izvēlas atbilstoši plānotajam skolēnam sasniedzamajam rezultātam un izmanto </w:t>
      </w:r>
      <w:r w:rsidR="00185583" w:rsidRPr="00620C01">
        <w:rPr>
          <w:color w:val="auto"/>
        </w:rPr>
        <w:t>Ministru kabineta noteikumos par izglītojamo audzināšanas vadlīnijām un informācijas, mācību līdzekļu, materiālu un mācību un audzināšanas metožu izvērtēšanas kārtību noteiktos kritērijus.</w:t>
      </w:r>
    </w:p>
    <w:p w:rsidR="007F78FE" w:rsidRPr="00620C01" w:rsidRDefault="007F78FE" w:rsidP="007F78FE">
      <w:pPr>
        <w:pStyle w:val="tvhtml"/>
        <w:shd w:val="clear" w:color="auto" w:fill="FFFFFF"/>
        <w:spacing w:line="293" w:lineRule="atLeast"/>
        <w:ind w:firstLine="709"/>
        <w:rPr>
          <w:sz w:val="28"/>
          <w:szCs w:val="28"/>
        </w:rPr>
      </w:pPr>
      <w:r w:rsidRPr="00620C01">
        <w:rPr>
          <w:sz w:val="28"/>
          <w:szCs w:val="28"/>
        </w:rPr>
        <w:t>18. Mācību stundās var iekļaut  2 – 3 minūšu dinamiskās pauzes skolēnu stājas attīstīšanai un nostiprināšanai.</w:t>
      </w:r>
    </w:p>
    <w:p w:rsidR="009F3574" w:rsidRPr="00620C01" w:rsidRDefault="00360124" w:rsidP="009F3574">
      <w:pPr>
        <w:ind w:firstLine="720"/>
        <w:jc w:val="both"/>
        <w:rPr>
          <w:color w:val="auto"/>
        </w:rPr>
      </w:pPr>
      <w:r w:rsidRPr="00620C01">
        <w:rPr>
          <w:color w:val="auto"/>
        </w:rPr>
        <w:t>19</w:t>
      </w:r>
      <w:r w:rsidR="00D84881" w:rsidRPr="00620C01">
        <w:rPr>
          <w:color w:val="auto"/>
        </w:rPr>
        <w:t xml:space="preserve">. Izglītības iestāde skolēnam ar </w:t>
      </w:r>
      <w:r w:rsidR="00E02A5C" w:rsidRPr="00620C01">
        <w:rPr>
          <w:color w:val="auto"/>
        </w:rPr>
        <w:t>smagiem garīgās attīstības traucējumiem vai vairākiem smagiem attīstības traucējumiem</w:t>
      </w:r>
      <w:r w:rsidR="00D84881" w:rsidRPr="00620C01">
        <w:rPr>
          <w:color w:val="auto"/>
        </w:rPr>
        <w:t xml:space="preserve"> nodrošina atbalsta </w:t>
      </w:r>
      <w:r w:rsidR="00F809AE" w:rsidRPr="00620C01">
        <w:rPr>
          <w:color w:val="auto"/>
        </w:rPr>
        <w:t xml:space="preserve">individuālās un grupu nodarbības </w:t>
      </w:r>
      <w:r w:rsidR="00D84881" w:rsidRPr="00620C01">
        <w:rPr>
          <w:color w:val="auto"/>
        </w:rPr>
        <w:t xml:space="preserve">atbilstoši skolēna </w:t>
      </w:r>
      <w:r w:rsidR="00491551" w:rsidRPr="00620C01">
        <w:rPr>
          <w:color w:val="auto"/>
        </w:rPr>
        <w:t xml:space="preserve">individuālajām </w:t>
      </w:r>
      <w:r w:rsidR="00D84881" w:rsidRPr="00620C01">
        <w:rPr>
          <w:color w:val="auto"/>
        </w:rPr>
        <w:t>vajadzībām</w:t>
      </w:r>
      <w:r w:rsidR="009F3574" w:rsidRPr="00620C01">
        <w:rPr>
          <w:color w:val="auto"/>
        </w:rPr>
        <w:t xml:space="preserve">, ievērojot </w:t>
      </w:r>
      <w:r w:rsidR="00A3418A" w:rsidRPr="00620C01">
        <w:rPr>
          <w:color w:val="auto"/>
        </w:rPr>
        <w:t>1</w:t>
      </w:r>
      <w:r w:rsidR="009F3574" w:rsidRPr="00620C01">
        <w:rPr>
          <w:color w:val="auto"/>
        </w:rPr>
        <w:t>.tabulā noteikto nodarbību skaitu:</w:t>
      </w:r>
    </w:p>
    <w:p w:rsidR="00DD4A68" w:rsidRPr="00620C01" w:rsidRDefault="00A3418A" w:rsidP="00A3418A">
      <w:pPr>
        <w:ind w:firstLine="720"/>
        <w:jc w:val="right"/>
        <w:rPr>
          <w:color w:val="auto"/>
        </w:rPr>
      </w:pPr>
      <w:r w:rsidRPr="00620C01">
        <w:rPr>
          <w:color w:val="auto"/>
        </w:rPr>
        <w:t>1.</w:t>
      </w:r>
      <w:r w:rsidR="00ED6B42" w:rsidRPr="00620C01">
        <w:rPr>
          <w:color w:val="auto"/>
        </w:rPr>
        <w:t xml:space="preserve"> </w:t>
      </w:r>
      <w:r w:rsidRPr="00620C01">
        <w:rPr>
          <w:color w:val="auto"/>
        </w:rPr>
        <w:t>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849"/>
        <w:gridCol w:w="709"/>
        <w:gridCol w:w="793"/>
        <w:gridCol w:w="643"/>
        <w:gridCol w:w="780"/>
        <w:gridCol w:w="643"/>
        <w:gridCol w:w="702"/>
        <w:gridCol w:w="701"/>
        <w:gridCol w:w="670"/>
      </w:tblGrid>
      <w:tr w:rsidR="00620C01" w:rsidRPr="00620C01" w:rsidTr="00A3418A">
        <w:tc>
          <w:tcPr>
            <w:tcW w:w="2797" w:type="dxa"/>
          </w:tcPr>
          <w:p w:rsidR="00DD4A68" w:rsidRPr="00620C01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</w:tcPr>
          <w:p w:rsidR="00DD4A68" w:rsidRPr="00620C01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1.kl.</w:t>
            </w:r>
          </w:p>
        </w:tc>
        <w:tc>
          <w:tcPr>
            <w:tcW w:w="709" w:type="dxa"/>
          </w:tcPr>
          <w:p w:rsidR="00DD4A68" w:rsidRPr="00620C01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2.kl.</w:t>
            </w:r>
          </w:p>
        </w:tc>
        <w:tc>
          <w:tcPr>
            <w:tcW w:w="793" w:type="dxa"/>
          </w:tcPr>
          <w:p w:rsidR="00DD4A68" w:rsidRPr="00620C01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3.kl.</w:t>
            </w:r>
          </w:p>
        </w:tc>
        <w:tc>
          <w:tcPr>
            <w:tcW w:w="643" w:type="dxa"/>
          </w:tcPr>
          <w:p w:rsidR="00DD4A68" w:rsidRPr="00620C01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4.kl.</w:t>
            </w:r>
          </w:p>
        </w:tc>
        <w:tc>
          <w:tcPr>
            <w:tcW w:w="780" w:type="dxa"/>
          </w:tcPr>
          <w:p w:rsidR="00DD4A68" w:rsidRPr="00620C01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5.kl.</w:t>
            </w:r>
          </w:p>
        </w:tc>
        <w:tc>
          <w:tcPr>
            <w:tcW w:w="643" w:type="dxa"/>
          </w:tcPr>
          <w:p w:rsidR="00DD4A68" w:rsidRPr="00620C01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6.kl.</w:t>
            </w:r>
          </w:p>
        </w:tc>
        <w:tc>
          <w:tcPr>
            <w:tcW w:w="702" w:type="dxa"/>
          </w:tcPr>
          <w:p w:rsidR="00DD4A68" w:rsidRPr="00620C01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7.kl.</w:t>
            </w:r>
          </w:p>
        </w:tc>
        <w:tc>
          <w:tcPr>
            <w:tcW w:w="701" w:type="dxa"/>
          </w:tcPr>
          <w:p w:rsidR="00DD4A68" w:rsidRPr="00620C01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8.kl.</w:t>
            </w:r>
          </w:p>
        </w:tc>
        <w:tc>
          <w:tcPr>
            <w:tcW w:w="670" w:type="dxa"/>
          </w:tcPr>
          <w:p w:rsidR="00DD4A68" w:rsidRPr="00620C01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9.kl.</w:t>
            </w:r>
          </w:p>
        </w:tc>
      </w:tr>
      <w:tr w:rsidR="00DD4A68" w:rsidRPr="00620C01" w:rsidTr="00A3418A">
        <w:tc>
          <w:tcPr>
            <w:tcW w:w="2797" w:type="dxa"/>
          </w:tcPr>
          <w:p w:rsidR="00DD4A68" w:rsidRPr="00620C01" w:rsidRDefault="00A3418A" w:rsidP="00A3418A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Individuālās vai </w:t>
            </w:r>
            <w:r w:rsidR="00DD4A68" w:rsidRPr="00620C01">
              <w:rPr>
                <w:rFonts w:ascii="Times New Roman" w:hAnsi="Times New Roman"/>
                <w:color w:val="auto"/>
                <w:sz w:val="24"/>
                <w:szCs w:val="24"/>
              </w:rPr>
              <w:t>grupu atbalsta nodarbības</w:t>
            </w:r>
          </w:p>
        </w:tc>
        <w:tc>
          <w:tcPr>
            <w:tcW w:w="849" w:type="dxa"/>
          </w:tcPr>
          <w:p w:rsidR="00DD4A68" w:rsidRPr="00620C01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D4A68" w:rsidRPr="00620C01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DD4A68" w:rsidRPr="00620C01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DD4A68" w:rsidRPr="00620C01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DD4A68" w:rsidRPr="00620C01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DD4A68" w:rsidRPr="00620C01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DD4A68" w:rsidRPr="00620C01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DD4A68" w:rsidRPr="00620C01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DD4A68" w:rsidRPr="00620C01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620C0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DD4A68" w:rsidRPr="00620C01" w:rsidRDefault="00DD4A68" w:rsidP="00FA420F">
      <w:pPr>
        <w:ind w:firstLine="720"/>
        <w:jc w:val="both"/>
        <w:rPr>
          <w:color w:val="auto"/>
        </w:rPr>
      </w:pPr>
    </w:p>
    <w:p w:rsidR="00C40D2E" w:rsidRPr="00620C01" w:rsidRDefault="00360124" w:rsidP="00C40D2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0C01">
        <w:rPr>
          <w:sz w:val="28"/>
          <w:szCs w:val="28"/>
        </w:rPr>
        <w:t>20</w:t>
      </w:r>
      <w:r w:rsidR="00C40D2E" w:rsidRPr="00620C01">
        <w:rPr>
          <w:sz w:val="28"/>
          <w:szCs w:val="28"/>
        </w:rPr>
        <w:t>. Individuālās un grupu atbalsta nodarbības vispārizglītojošajās klasēs iekļautiem skolēniem ar smagiem garīgās attīstības traucējumiem vai vairākiem smagiem attīstības traucējumiem nodrošina izglītības iestādei piešķirtā finansējuma ietvaros.</w:t>
      </w:r>
    </w:p>
    <w:p w:rsidR="00C40D2E" w:rsidRPr="00620C01" w:rsidRDefault="00C40D2E" w:rsidP="00C40D2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40D2E" w:rsidRPr="00620C01" w:rsidRDefault="00360124" w:rsidP="00C40D2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highlight w:val="white"/>
        </w:rPr>
      </w:pPr>
      <w:r w:rsidRPr="00620C01">
        <w:rPr>
          <w:sz w:val="28"/>
          <w:szCs w:val="28"/>
        </w:rPr>
        <w:t>21</w:t>
      </w:r>
      <w:r w:rsidR="00C40D2E" w:rsidRPr="00620C01">
        <w:rPr>
          <w:sz w:val="28"/>
          <w:szCs w:val="28"/>
        </w:rPr>
        <w:t>. Individuālajās un grupu atbalsta nodarbībās var apvienot vairāku klašu skolēnus</w:t>
      </w:r>
      <w:r w:rsidR="002F23EB" w:rsidRPr="00620C01">
        <w:rPr>
          <w:sz w:val="28"/>
          <w:szCs w:val="28"/>
        </w:rPr>
        <w:t>.</w:t>
      </w:r>
    </w:p>
    <w:p w:rsidR="00B830D4" w:rsidRPr="00620C01" w:rsidRDefault="00B830D4" w:rsidP="00FA420F">
      <w:pPr>
        <w:ind w:firstLine="300"/>
        <w:jc w:val="both"/>
        <w:rPr>
          <w:color w:val="auto"/>
        </w:rPr>
      </w:pPr>
    </w:p>
    <w:p w:rsidR="00B830D4" w:rsidRPr="00620C01" w:rsidRDefault="00867876" w:rsidP="00FA420F">
      <w:pPr>
        <w:ind w:firstLine="300"/>
        <w:rPr>
          <w:b/>
          <w:color w:val="auto"/>
        </w:rPr>
      </w:pPr>
      <w:r w:rsidRPr="00620C01">
        <w:rPr>
          <w:b/>
          <w:color w:val="auto"/>
        </w:rPr>
        <w:t>V. Mācību vides raksturojums</w:t>
      </w:r>
    </w:p>
    <w:p w:rsidR="001820A4" w:rsidRPr="00620C01" w:rsidRDefault="001820A4" w:rsidP="00FA420F">
      <w:pPr>
        <w:ind w:firstLine="300"/>
        <w:rPr>
          <w:b/>
          <w:color w:val="auto"/>
        </w:rPr>
      </w:pPr>
    </w:p>
    <w:p w:rsidR="00337443" w:rsidRPr="00620C01" w:rsidRDefault="00360124" w:rsidP="0022681E">
      <w:pPr>
        <w:ind w:firstLine="720"/>
        <w:jc w:val="both"/>
        <w:rPr>
          <w:color w:val="auto"/>
        </w:rPr>
      </w:pPr>
      <w:r w:rsidRPr="00620C01">
        <w:rPr>
          <w:color w:val="auto"/>
        </w:rPr>
        <w:t>22</w:t>
      </w:r>
      <w:r w:rsidR="00867876" w:rsidRPr="00620C01">
        <w:rPr>
          <w:color w:val="auto"/>
        </w:rPr>
        <w:t xml:space="preserve">. </w:t>
      </w:r>
      <w:r w:rsidR="0022681E" w:rsidRPr="00620C01">
        <w:rPr>
          <w:rFonts w:eastAsiaTheme="minorHAnsi" w:cstheme="minorBidi"/>
          <w:color w:val="auto"/>
          <w:highlight w:val="none"/>
          <w:lang w:eastAsia="en-US"/>
        </w:rPr>
        <w:t xml:space="preserve">Izglītības iestāde nodrošina normatīvajos aktos noteiktajām higiēnas prasībām </w:t>
      </w:r>
      <w:r w:rsidR="0022681E" w:rsidRPr="00620C01">
        <w:rPr>
          <w:rFonts w:eastAsiaTheme="minorHAnsi" w:cstheme="minorBidi"/>
          <w:color w:val="auto"/>
          <w:lang w:eastAsia="en-US"/>
        </w:rPr>
        <w:t>atbilstošu</w:t>
      </w:r>
      <w:r w:rsidR="0022681E" w:rsidRPr="00620C01">
        <w:rPr>
          <w:rFonts w:eastAsiaTheme="minorHAnsi" w:cstheme="minorBidi"/>
          <w:color w:val="auto"/>
          <w:highlight w:val="none"/>
          <w:lang w:eastAsia="en-US"/>
        </w:rPr>
        <w:t xml:space="preserve"> mācību procesu, iekļaujošu, intelektuālo un sociāli emocionālo attīstību un veselību veicinošu, fiziski un emocionāli drošu mācību vidi </w:t>
      </w:r>
      <w:r w:rsidR="0022681E" w:rsidRPr="00620C01">
        <w:rPr>
          <w:rFonts w:eastAsiaTheme="minorHAnsi" w:cstheme="minorBidi"/>
          <w:color w:val="auto"/>
          <w:lang w:eastAsia="en-US"/>
        </w:rPr>
        <w:t>atbilstoši</w:t>
      </w:r>
      <w:r w:rsidR="0022681E" w:rsidRPr="00620C01">
        <w:rPr>
          <w:rFonts w:eastAsiaTheme="minorHAnsi" w:cstheme="minorBidi"/>
          <w:color w:val="auto"/>
          <w:highlight w:val="none"/>
          <w:lang w:eastAsia="en-US"/>
        </w:rPr>
        <w:t xml:space="preserve"> skolēnu vecumposma vajadzībām un attīstības īpatnībām </w:t>
      </w:r>
      <w:r w:rsidR="0022681E" w:rsidRPr="00620C01">
        <w:rPr>
          <w:color w:val="auto"/>
        </w:rPr>
        <w:t>un universālā dizaina prasībām, piemēram, viegli uztverama informācija, ērta piekļuve, vides objektu kontrastējošs noformējums grīdā un iekštelpās.</w:t>
      </w:r>
    </w:p>
    <w:p w:rsidR="00ED6B42" w:rsidRPr="00620C01" w:rsidRDefault="00ED6B42" w:rsidP="0022681E">
      <w:pPr>
        <w:ind w:firstLine="720"/>
        <w:jc w:val="both"/>
        <w:rPr>
          <w:color w:val="auto"/>
        </w:rPr>
      </w:pPr>
    </w:p>
    <w:p w:rsidR="00767A2D" w:rsidRPr="00620C01" w:rsidRDefault="00767A2D" w:rsidP="00767A2D">
      <w:pPr>
        <w:shd w:val="clear" w:color="auto" w:fill="auto"/>
        <w:rPr>
          <w:rFonts w:eastAsiaTheme="minorHAnsi" w:cstheme="minorBidi"/>
          <w:b/>
          <w:color w:val="auto"/>
          <w:highlight w:val="none"/>
          <w:lang w:eastAsia="en-US"/>
        </w:rPr>
      </w:pPr>
      <w:r w:rsidRPr="00620C01">
        <w:rPr>
          <w:rFonts w:eastAsiaTheme="minorHAnsi" w:cstheme="minorBidi"/>
          <w:b/>
          <w:color w:val="auto"/>
          <w:highlight w:val="none"/>
          <w:lang w:eastAsia="en-US"/>
        </w:rPr>
        <w:t>V</w:t>
      </w:r>
      <w:r w:rsidR="00E44C70" w:rsidRPr="00620C01">
        <w:rPr>
          <w:rFonts w:eastAsiaTheme="minorHAnsi" w:cstheme="minorBidi"/>
          <w:b/>
          <w:color w:val="auto"/>
          <w:highlight w:val="none"/>
          <w:lang w:eastAsia="en-US"/>
        </w:rPr>
        <w:t>I</w:t>
      </w:r>
      <w:r w:rsidRPr="00620C01">
        <w:rPr>
          <w:rFonts w:eastAsiaTheme="minorHAnsi" w:cstheme="minorBidi"/>
          <w:b/>
          <w:color w:val="auto"/>
          <w:highlight w:val="none"/>
          <w:lang w:eastAsia="en-US"/>
        </w:rPr>
        <w:t>. Skolēnu mācību sasniegumu vērtēšanas kārtība</w:t>
      </w:r>
    </w:p>
    <w:p w:rsidR="001820A4" w:rsidRPr="00620C01" w:rsidRDefault="001820A4" w:rsidP="00FA420F">
      <w:pPr>
        <w:ind w:firstLine="300"/>
        <w:rPr>
          <w:b/>
          <w:strike/>
          <w:color w:val="auto"/>
        </w:rPr>
      </w:pPr>
    </w:p>
    <w:p w:rsidR="00B830D4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lastRenderedPageBreak/>
        <w:t>23</w:t>
      </w:r>
      <w:r w:rsidR="00867876" w:rsidRPr="00620C01">
        <w:rPr>
          <w:color w:val="auto"/>
        </w:rPr>
        <w:t>. Skolēnu iegūtās pamatizglītības vērtēšanas pamatprincipi</w:t>
      </w:r>
      <w:r w:rsidR="00F55917" w:rsidRPr="00620C01">
        <w:rPr>
          <w:color w:val="auto"/>
        </w:rPr>
        <w:t xml:space="preserve"> un </w:t>
      </w:r>
      <w:r w:rsidR="00867876" w:rsidRPr="00620C01">
        <w:rPr>
          <w:color w:val="auto"/>
        </w:rPr>
        <w:t xml:space="preserve">kārtība </w:t>
      </w:r>
      <w:r w:rsidR="00E02A5C" w:rsidRPr="00620C01">
        <w:rPr>
          <w:color w:val="auto"/>
        </w:rPr>
        <w:t xml:space="preserve">ir noteikti </w:t>
      </w:r>
      <w:r w:rsidR="007E16EA" w:rsidRPr="00620C01">
        <w:rPr>
          <w:color w:val="auto"/>
        </w:rPr>
        <w:t xml:space="preserve">normatīvajos aktos </w:t>
      </w:r>
      <w:r w:rsidR="00E02A5C" w:rsidRPr="00620C01">
        <w:rPr>
          <w:color w:val="auto"/>
        </w:rPr>
        <w:t>par mācību sasniegumu vērtēšanas kārtību speciālās izglītības programmās.</w:t>
      </w:r>
    </w:p>
    <w:p w:rsidR="001820A4" w:rsidRPr="00620C01" w:rsidRDefault="001820A4" w:rsidP="00FA420F">
      <w:pPr>
        <w:ind w:firstLine="720"/>
        <w:jc w:val="both"/>
        <w:rPr>
          <w:color w:val="auto"/>
        </w:rPr>
      </w:pPr>
    </w:p>
    <w:p w:rsidR="00FF0608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24</w:t>
      </w:r>
      <w:r w:rsidR="00291F39" w:rsidRPr="00620C01">
        <w:rPr>
          <w:color w:val="auto"/>
        </w:rPr>
        <w:t xml:space="preserve">. </w:t>
      </w:r>
      <w:r w:rsidR="00E24F15" w:rsidRPr="00620C01">
        <w:rPr>
          <w:color w:val="auto"/>
        </w:rPr>
        <w:t xml:space="preserve">Skolēni </w:t>
      </w:r>
      <w:r w:rsidR="00291F39" w:rsidRPr="00620C01">
        <w:rPr>
          <w:color w:val="auto"/>
        </w:rPr>
        <w:t>no valsts pārbaudes darbiem ir atbrīvoti.</w:t>
      </w:r>
    </w:p>
    <w:p w:rsidR="001820A4" w:rsidRPr="00620C01" w:rsidRDefault="001820A4" w:rsidP="00FA420F">
      <w:pPr>
        <w:ind w:firstLine="720"/>
        <w:jc w:val="both"/>
        <w:rPr>
          <w:color w:val="auto"/>
        </w:rPr>
      </w:pPr>
    </w:p>
    <w:p w:rsidR="00FF0608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25</w:t>
      </w:r>
      <w:r w:rsidR="00FF0608" w:rsidRPr="00620C01">
        <w:rPr>
          <w:color w:val="auto"/>
        </w:rPr>
        <w:t>.</w:t>
      </w:r>
      <w:r w:rsidR="00FF0608" w:rsidRPr="00620C01">
        <w:rPr>
          <w:color w:val="auto"/>
          <w:sz w:val="24"/>
          <w:szCs w:val="24"/>
          <w:lang w:eastAsia="en-GB"/>
        </w:rPr>
        <w:t xml:space="preserve"> </w:t>
      </w:r>
      <w:r w:rsidR="00FF0608" w:rsidRPr="00620C01">
        <w:rPr>
          <w:color w:val="auto"/>
          <w:lang w:eastAsia="en-GB"/>
        </w:rPr>
        <w:t xml:space="preserve">Izglītības iestāde izstrādā </w:t>
      </w:r>
      <w:r w:rsidR="00767A2D" w:rsidRPr="00620C01">
        <w:rPr>
          <w:rFonts w:eastAsiaTheme="minorHAnsi" w:cstheme="minorBidi"/>
          <w:color w:val="auto"/>
          <w:highlight w:val="none"/>
          <w:lang w:eastAsia="en-US"/>
        </w:rPr>
        <w:t>skolēnu mācību sasniegumu vērtēšanas kārtību</w:t>
      </w:r>
      <w:r w:rsidR="00FF0608" w:rsidRPr="00620C01">
        <w:rPr>
          <w:color w:val="auto"/>
          <w:lang w:eastAsia="en-GB"/>
        </w:rPr>
        <w:t>, nosakot</w:t>
      </w:r>
      <w:r w:rsidR="00767A2D" w:rsidRPr="00620C01">
        <w:rPr>
          <w:color w:val="auto"/>
          <w:lang w:eastAsia="en-GB"/>
        </w:rPr>
        <w:t>, piemēram,</w:t>
      </w:r>
      <w:r w:rsidR="00FF0608" w:rsidRPr="00620C01">
        <w:rPr>
          <w:color w:val="auto"/>
          <w:lang w:eastAsia="en-GB"/>
        </w:rPr>
        <w:t xml:space="preserve"> vērtēšanas mērķi, tās vietu mācību procesā, izteikšanas veidu, vecāku informēšanas kārtību, “</w:t>
      </w:r>
      <w:proofErr w:type="spellStart"/>
      <w:r w:rsidR="00FF0608" w:rsidRPr="00620C01">
        <w:rPr>
          <w:color w:val="auto"/>
          <w:lang w:eastAsia="en-GB"/>
        </w:rPr>
        <w:t>nv</w:t>
      </w:r>
      <w:proofErr w:type="spellEnd"/>
      <w:r w:rsidR="00FF0608" w:rsidRPr="00620C01">
        <w:rPr>
          <w:color w:val="auto"/>
          <w:lang w:eastAsia="en-GB"/>
        </w:rPr>
        <w:t>” (nav vē</w:t>
      </w:r>
      <w:r w:rsidR="00767A2D" w:rsidRPr="00620C01">
        <w:rPr>
          <w:color w:val="auto"/>
          <w:lang w:eastAsia="en-GB"/>
        </w:rPr>
        <w:t>rtējuma) izmantošanas gadījumus.</w:t>
      </w:r>
    </w:p>
    <w:p w:rsidR="001820A4" w:rsidRPr="00620C01" w:rsidRDefault="001820A4" w:rsidP="00FA420F">
      <w:pPr>
        <w:ind w:firstLine="720"/>
        <w:jc w:val="both"/>
        <w:rPr>
          <w:color w:val="auto"/>
          <w:highlight w:val="none"/>
        </w:rPr>
      </w:pPr>
    </w:p>
    <w:p w:rsidR="00B830D4" w:rsidRPr="00620C01" w:rsidRDefault="00360124" w:rsidP="00FA420F">
      <w:pPr>
        <w:ind w:firstLine="720"/>
        <w:jc w:val="both"/>
        <w:rPr>
          <w:color w:val="auto"/>
          <w:highlight w:val="none"/>
        </w:rPr>
      </w:pPr>
      <w:r w:rsidRPr="00620C01">
        <w:rPr>
          <w:color w:val="auto"/>
          <w:highlight w:val="none"/>
        </w:rPr>
        <w:t>26</w:t>
      </w:r>
      <w:r w:rsidR="00867876" w:rsidRPr="00620C01">
        <w:rPr>
          <w:color w:val="auto"/>
          <w:highlight w:val="none"/>
        </w:rPr>
        <w:t xml:space="preserve">. Skolēnu mācību snieguma vērtēšanas metodiskos paņēmienus un vērtēšanas kritērijus nosaka </w:t>
      </w:r>
      <w:r w:rsidR="009F3574" w:rsidRPr="00620C01">
        <w:rPr>
          <w:color w:val="auto"/>
          <w:highlight w:val="none"/>
        </w:rPr>
        <w:t>pedagogs</w:t>
      </w:r>
      <w:r w:rsidR="00867876" w:rsidRPr="00620C01">
        <w:rPr>
          <w:color w:val="auto"/>
          <w:highlight w:val="none"/>
        </w:rPr>
        <w:t>, ievērojot mācību jomā noteiktos skolēnam plānotos sasniedzamos rezultātus, izglītības iestādē īstenoto pamatizgl</w:t>
      </w:r>
      <w:r w:rsidR="00767A2D" w:rsidRPr="00620C01">
        <w:rPr>
          <w:color w:val="auto"/>
          <w:highlight w:val="none"/>
        </w:rPr>
        <w:t xml:space="preserve">ītības programmu un </w:t>
      </w:r>
      <w:r w:rsidR="00767A2D" w:rsidRPr="00620C01">
        <w:rPr>
          <w:color w:val="auto"/>
          <w:highlight w:val="none"/>
          <w:lang w:eastAsia="en-GB"/>
        </w:rPr>
        <w:t xml:space="preserve">izglītības iestādē izstrādāto </w:t>
      </w:r>
      <w:r w:rsidR="00767A2D" w:rsidRPr="00620C01">
        <w:rPr>
          <w:rFonts w:eastAsiaTheme="minorHAnsi" w:cstheme="minorBidi"/>
          <w:color w:val="auto"/>
          <w:highlight w:val="none"/>
          <w:lang w:eastAsia="en-US"/>
        </w:rPr>
        <w:t>skolēnu mācību sasniegumu vērtēšanas kārtību</w:t>
      </w:r>
      <w:r w:rsidR="00867876" w:rsidRPr="00620C01">
        <w:rPr>
          <w:color w:val="auto"/>
          <w:highlight w:val="none"/>
        </w:rPr>
        <w:t>.</w:t>
      </w:r>
    </w:p>
    <w:p w:rsidR="00827511" w:rsidRPr="00620C01" w:rsidRDefault="00827511" w:rsidP="00FA420F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85583" w:rsidRPr="00620C01" w:rsidRDefault="00360124" w:rsidP="00FA420F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620C01">
        <w:rPr>
          <w:rFonts w:eastAsiaTheme="minorHAnsi" w:cstheme="minorBidi"/>
          <w:sz w:val="28"/>
          <w:szCs w:val="28"/>
          <w:lang w:eastAsia="en-US"/>
        </w:rPr>
        <w:t>27</w:t>
      </w:r>
      <w:r w:rsidR="00185583" w:rsidRPr="00620C01">
        <w:rPr>
          <w:rFonts w:eastAsiaTheme="minorHAnsi" w:cstheme="minorBidi"/>
          <w:sz w:val="28"/>
          <w:szCs w:val="28"/>
          <w:lang w:eastAsia="en-US"/>
        </w:rPr>
        <w:t>. Izglītības programmas apguvi katrā klasē apliecina liecība</w:t>
      </w:r>
      <w:r w:rsidR="00250648" w:rsidRPr="00620C01">
        <w:rPr>
          <w:rFonts w:eastAsiaTheme="minorHAnsi" w:cstheme="minorBidi"/>
          <w:sz w:val="28"/>
          <w:szCs w:val="28"/>
          <w:lang w:eastAsia="en-US"/>
        </w:rPr>
        <w:t>, kas ietver skolēna snieguma vērtējumu katrā mācību priekšmetā mācību gada noslēgumā.</w:t>
      </w:r>
      <w:r w:rsidR="00185583" w:rsidRPr="00620C01">
        <w:rPr>
          <w:rFonts w:eastAsiaTheme="minorHAnsi" w:cstheme="minorBidi"/>
          <w:sz w:val="28"/>
          <w:szCs w:val="28"/>
          <w:lang w:eastAsia="en-US"/>
        </w:rPr>
        <w:t xml:space="preserve"> Skolēnu pārcelšana nākamajā klasē notiek atbilstoši normatīvajiem aktiem, kas noteic kārtību, kādā izglītojamie tiek uzņemti vispārējās izglītības iestādēs un atskaitīti no tām, un obligātajām prasī</w:t>
      </w:r>
      <w:r w:rsidR="00767A2D" w:rsidRPr="00620C01">
        <w:rPr>
          <w:rFonts w:eastAsiaTheme="minorHAnsi" w:cstheme="minorBidi"/>
          <w:sz w:val="28"/>
          <w:szCs w:val="28"/>
          <w:lang w:eastAsia="en-US"/>
        </w:rPr>
        <w:t>bām pārcelšanai uz nākamo klasi.</w:t>
      </w:r>
    </w:p>
    <w:p w:rsidR="00827511" w:rsidRPr="00620C01" w:rsidRDefault="00827511" w:rsidP="00FA420F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830D4" w:rsidRPr="00620C01" w:rsidRDefault="00867876" w:rsidP="00FA420F">
      <w:pPr>
        <w:ind w:firstLine="300"/>
        <w:rPr>
          <w:b/>
          <w:color w:val="auto"/>
        </w:rPr>
      </w:pPr>
      <w:r w:rsidRPr="00620C01">
        <w:rPr>
          <w:b/>
          <w:color w:val="auto"/>
        </w:rPr>
        <w:t>VI</w:t>
      </w:r>
      <w:r w:rsidR="00E44C70" w:rsidRPr="00620C01">
        <w:rPr>
          <w:b/>
          <w:color w:val="auto"/>
        </w:rPr>
        <w:t>I</w:t>
      </w:r>
      <w:r w:rsidRPr="00620C01">
        <w:rPr>
          <w:b/>
          <w:color w:val="auto"/>
        </w:rPr>
        <w:t>. Izglītības programmas īstenošanai nepieciešamā personāla, finanšu un materiālo līdzekļu izvērtējums un pamatojums</w:t>
      </w:r>
    </w:p>
    <w:p w:rsidR="00ED6B42" w:rsidRPr="00620C01" w:rsidRDefault="00ED6B42" w:rsidP="00FA420F">
      <w:pPr>
        <w:ind w:firstLine="300"/>
        <w:rPr>
          <w:b/>
          <w:color w:val="auto"/>
        </w:rPr>
      </w:pPr>
    </w:p>
    <w:p w:rsidR="00B830D4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28</w:t>
      </w:r>
      <w:r w:rsidR="00103DB9" w:rsidRPr="00620C01">
        <w:rPr>
          <w:color w:val="auto"/>
        </w:rPr>
        <w:t>.</w:t>
      </w:r>
      <w:r w:rsidR="00867876" w:rsidRPr="00620C01">
        <w:rPr>
          <w:color w:val="auto"/>
        </w:rPr>
        <w:t xml:space="preserve"> Izglītības programmas īstenošanā izglītības iestāde ievēro normatīvo aktu prasības, kas regulē izglītības iestāžu darbību.</w:t>
      </w:r>
    </w:p>
    <w:p w:rsidR="00E6162F" w:rsidRPr="00620C01" w:rsidRDefault="00E6162F" w:rsidP="00FA420F">
      <w:pPr>
        <w:ind w:firstLine="720"/>
        <w:jc w:val="both"/>
        <w:rPr>
          <w:color w:val="auto"/>
        </w:rPr>
      </w:pPr>
    </w:p>
    <w:p w:rsidR="00FF0608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29</w:t>
      </w:r>
      <w:r w:rsidR="00FF0608" w:rsidRPr="00620C01">
        <w:rPr>
          <w:color w:val="auto"/>
        </w:rPr>
        <w:t>. </w:t>
      </w:r>
      <w:r w:rsidR="00C40D2E" w:rsidRPr="00620C01">
        <w:rPr>
          <w:color w:val="auto"/>
        </w:rPr>
        <w:t xml:space="preserve">Izmaksas izglītības programmas īstenošanai sedz: </w:t>
      </w:r>
    </w:p>
    <w:p w:rsidR="00FF0608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29</w:t>
      </w:r>
      <w:r w:rsidR="00FF0608" w:rsidRPr="00620C01">
        <w:rPr>
          <w:color w:val="auto"/>
        </w:rPr>
        <w:t>.1. valsts dibinātā izglītības iestādē – no valsts budžeta;</w:t>
      </w:r>
    </w:p>
    <w:p w:rsidR="00FF0608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29</w:t>
      </w:r>
      <w:r w:rsidR="00FF0608" w:rsidRPr="00620C01">
        <w:rPr>
          <w:color w:val="auto"/>
        </w:rPr>
        <w:t>.2. pašvaldības dibinātā izglītības iestādē – no valsts un pašvaldības budžeta;</w:t>
      </w:r>
    </w:p>
    <w:p w:rsidR="00FF0608" w:rsidRPr="00620C01" w:rsidRDefault="00360124" w:rsidP="00FA420F">
      <w:pPr>
        <w:ind w:firstLine="720"/>
        <w:jc w:val="both"/>
        <w:rPr>
          <w:color w:val="auto"/>
        </w:rPr>
      </w:pPr>
      <w:r w:rsidRPr="00620C01">
        <w:rPr>
          <w:color w:val="auto"/>
        </w:rPr>
        <w:t>29</w:t>
      </w:r>
      <w:r w:rsidR="00FF0608" w:rsidRPr="00620C01">
        <w:rPr>
          <w:color w:val="auto"/>
        </w:rPr>
        <w:t>.3. privātpersonas dibinātā izglītības iestādē – no valsts</w:t>
      </w:r>
      <w:r w:rsidR="00717406" w:rsidRPr="00620C01">
        <w:rPr>
          <w:color w:val="auto"/>
        </w:rPr>
        <w:t xml:space="preserve">, pašvaldības </w:t>
      </w:r>
      <w:r w:rsidR="00FF0608" w:rsidRPr="00620C01">
        <w:rPr>
          <w:color w:val="auto"/>
        </w:rPr>
        <w:t>un privātā budžeta.</w:t>
      </w:r>
    </w:p>
    <w:p w:rsidR="001820A4" w:rsidRPr="00620C01" w:rsidRDefault="001820A4" w:rsidP="00FA420F">
      <w:pPr>
        <w:ind w:firstLine="720"/>
        <w:jc w:val="both"/>
        <w:rPr>
          <w:color w:val="auto"/>
        </w:rPr>
      </w:pPr>
    </w:p>
    <w:p w:rsidR="004D2497" w:rsidRPr="00620C01" w:rsidRDefault="00360124" w:rsidP="004D2497">
      <w:pPr>
        <w:ind w:firstLine="720"/>
        <w:jc w:val="both"/>
        <w:rPr>
          <w:color w:val="auto"/>
        </w:rPr>
      </w:pPr>
      <w:r w:rsidRPr="00620C01">
        <w:rPr>
          <w:color w:val="auto"/>
        </w:rPr>
        <w:t xml:space="preserve">30. </w:t>
      </w:r>
      <w:r w:rsidR="004D2497" w:rsidRPr="00620C01">
        <w:rPr>
          <w:rFonts w:eastAsiaTheme="minorHAnsi" w:cstheme="minorBidi"/>
          <w:color w:val="auto"/>
          <w:highlight w:val="none"/>
          <w:lang w:eastAsia="en-US"/>
        </w:rPr>
        <w:t xml:space="preserve">Apmaksājamo stundu skaitu mēnesī aprēķina atbilstoši izglītības iestādes vadītāja apstiprinātam </w:t>
      </w:r>
      <w:r w:rsidR="004D2497" w:rsidRPr="00620C01">
        <w:rPr>
          <w:rFonts w:eastAsiaTheme="minorHAnsi"/>
          <w:color w:val="auto"/>
          <w:highlight w:val="none"/>
          <w:lang w:eastAsia="en-US"/>
        </w:rPr>
        <w:t>mācību priekšmetu un stundu īstenošanas plānam</w:t>
      </w:r>
      <w:r w:rsidR="004D2497" w:rsidRPr="00620C01">
        <w:rPr>
          <w:rFonts w:eastAsiaTheme="minorHAnsi"/>
          <w:color w:val="auto"/>
        </w:rPr>
        <w:t xml:space="preserve"> un </w:t>
      </w:r>
      <w:r w:rsidR="004D2497" w:rsidRPr="00620C01">
        <w:rPr>
          <w:color w:val="auto"/>
        </w:rPr>
        <w:t>atbalsta individuālo nodarbību skaitam.</w:t>
      </w:r>
    </w:p>
    <w:p w:rsidR="004D2497" w:rsidRPr="00620C01" w:rsidRDefault="004D2497" w:rsidP="00FA420F">
      <w:pPr>
        <w:ind w:firstLine="720"/>
        <w:jc w:val="both"/>
        <w:rPr>
          <w:color w:val="auto"/>
        </w:rPr>
      </w:pPr>
    </w:p>
    <w:p w:rsidR="00C4191E" w:rsidRPr="00620C01" w:rsidRDefault="00C4191E" w:rsidP="00C4191E">
      <w:pPr>
        <w:shd w:val="clear" w:color="auto" w:fill="auto"/>
        <w:ind w:firstLine="720"/>
        <w:jc w:val="both"/>
        <w:rPr>
          <w:rFonts w:eastAsiaTheme="minorHAnsi" w:cstheme="minorBidi"/>
          <w:color w:val="auto"/>
          <w:highlight w:val="none"/>
          <w:lang w:eastAsia="en-US"/>
        </w:rPr>
      </w:pPr>
      <w:r w:rsidRPr="00620C01">
        <w:rPr>
          <w:rFonts w:eastAsiaTheme="minorHAnsi" w:cstheme="minorBidi"/>
          <w:color w:val="auto"/>
          <w:highlight w:val="none"/>
          <w:lang w:eastAsia="en-US"/>
        </w:rPr>
        <w:t>31. Pedagoga darba slodzi un darba samaksu nosaka atbilstoši normatīvajam regulējumam par pedagogu darba samaksu.</w:t>
      </w:r>
    </w:p>
    <w:p w:rsidR="00C4191E" w:rsidRPr="00620C01" w:rsidRDefault="00C4191E" w:rsidP="00FA420F">
      <w:pPr>
        <w:ind w:firstLine="720"/>
        <w:jc w:val="both"/>
        <w:rPr>
          <w:color w:val="auto"/>
        </w:rPr>
      </w:pPr>
    </w:p>
    <w:p w:rsidR="007E16EA" w:rsidRPr="00620C01" w:rsidRDefault="0022681E" w:rsidP="007E16EA">
      <w:pPr>
        <w:ind w:firstLine="720"/>
        <w:jc w:val="both"/>
        <w:rPr>
          <w:color w:val="auto"/>
        </w:rPr>
      </w:pPr>
      <w:r w:rsidRPr="00620C01">
        <w:rPr>
          <w:color w:val="auto"/>
        </w:rPr>
        <w:t>32</w:t>
      </w:r>
      <w:r w:rsidR="00FD4502" w:rsidRPr="00620C01">
        <w:rPr>
          <w:color w:val="auto"/>
        </w:rPr>
        <w:t xml:space="preserve">. </w:t>
      </w:r>
      <w:r w:rsidR="007E16EA" w:rsidRPr="00620C01">
        <w:rPr>
          <w:color w:val="auto"/>
        </w:rPr>
        <w:t>Izglītības iestādei apstiprinātā pedagogu darba samaksas fonda ietvaros ir tiesības atsevišķu mācību priekšmetu</w:t>
      </w:r>
      <w:r w:rsidR="00F97DCF" w:rsidRPr="00620C01">
        <w:rPr>
          <w:color w:val="auto"/>
        </w:rPr>
        <w:t xml:space="preserve"> </w:t>
      </w:r>
      <w:r w:rsidR="007E16EA" w:rsidRPr="00620C01">
        <w:rPr>
          <w:color w:val="auto"/>
        </w:rPr>
        <w:t>apguvei dalīt klasi grupās, kā arī apvienot ne vairāk kā divu viena izglītības posma klašu skolēnus atsevišķu mācību priekšmetu</w:t>
      </w:r>
      <w:r w:rsidR="00F97DCF" w:rsidRPr="00620C01">
        <w:rPr>
          <w:color w:val="auto"/>
        </w:rPr>
        <w:t xml:space="preserve"> </w:t>
      </w:r>
      <w:r w:rsidR="007E16EA" w:rsidRPr="00620C01">
        <w:rPr>
          <w:color w:val="auto"/>
        </w:rPr>
        <w:t>apguvei gan visās, gan daļā mācību stundu.</w:t>
      </w:r>
    </w:p>
    <w:p w:rsidR="007E16EA" w:rsidRPr="00620C01" w:rsidRDefault="007E16EA" w:rsidP="00FA420F">
      <w:pPr>
        <w:ind w:firstLine="720"/>
        <w:jc w:val="both"/>
        <w:rPr>
          <w:color w:val="auto"/>
        </w:rPr>
      </w:pPr>
    </w:p>
    <w:p w:rsidR="00B830D4" w:rsidRPr="00620C01" w:rsidRDefault="00B830D4" w:rsidP="007E16EA">
      <w:pPr>
        <w:ind w:firstLine="720"/>
        <w:jc w:val="both"/>
        <w:rPr>
          <w:color w:val="auto"/>
        </w:rPr>
      </w:pPr>
    </w:p>
    <w:p w:rsidR="00B830D4" w:rsidRPr="00620C01" w:rsidRDefault="00B830D4" w:rsidP="00FA420F">
      <w:pPr>
        <w:tabs>
          <w:tab w:val="left" w:pos="6804"/>
        </w:tabs>
        <w:ind w:firstLine="709"/>
        <w:jc w:val="both"/>
        <w:rPr>
          <w:color w:val="auto"/>
        </w:rPr>
      </w:pPr>
    </w:p>
    <w:p w:rsidR="00B830D4" w:rsidRPr="00620C01" w:rsidRDefault="00867876" w:rsidP="00FA420F">
      <w:pPr>
        <w:rPr>
          <w:color w:val="auto"/>
        </w:rPr>
      </w:pPr>
      <w:r w:rsidRPr="00620C01">
        <w:rPr>
          <w:color w:val="auto"/>
        </w:rPr>
        <w:t>Izglītības un zinātnes ministrs</w:t>
      </w:r>
      <w:r w:rsidRPr="00620C01">
        <w:rPr>
          <w:color w:val="auto"/>
        </w:rPr>
        <w:tab/>
      </w:r>
      <w:r w:rsidRPr="00620C01">
        <w:rPr>
          <w:color w:val="auto"/>
        </w:rPr>
        <w:tab/>
      </w:r>
      <w:r w:rsidRPr="00620C01">
        <w:rPr>
          <w:color w:val="auto"/>
        </w:rPr>
        <w:tab/>
      </w:r>
      <w:r w:rsidRPr="00620C01">
        <w:rPr>
          <w:color w:val="auto"/>
        </w:rPr>
        <w:tab/>
      </w:r>
      <w:r w:rsidRPr="00620C01">
        <w:rPr>
          <w:color w:val="auto"/>
        </w:rPr>
        <w:tab/>
      </w:r>
      <w:r w:rsidRPr="00620C01">
        <w:rPr>
          <w:color w:val="auto"/>
        </w:rPr>
        <w:tab/>
        <w:t>Kārlis Šadurskis</w:t>
      </w:r>
    </w:p>
    <w:p w:rsidR="00B830D4" w:rsidRPr="00620C01" w:rsidRDefault="00B830D4" w:rsidP="00FA420F">
      <w:pPr>
        <w:tabs>
          <w:tab w:val="left" w:pos="6804"/>
        </w:tabs>
        <w:ind w:firstLine="709"/>
        <w:jc w:val="both"/>
        <w:rPr>
          <w:color w:val="auto"/>
        </w:rPr>
      </w:pPr>
    </w:p>
    <w:p w:rsidR="00B830D4" w:rsidRPr="00620C01" w:rsidRDefault="00B830D4" w:rsidP="00FA420F">
      <w:pPr>
        <w:tabs>
          <w:tab w:val="left" w:pos="6804"/>
        </w:tabs>
        <w:ind w:firstLine="709"/>
        <w:jc w:val="both"/>
        <w:rPr>
          <w:color w:val="auto"/>
        </w:rPr>
      </w:pPr>
    </w:p>
    <w:p w:rsidR="002E552A" w:rsidRPr="00620C01" w:rsidRDefault="002E552A" w:rsidP="002E552A">
      <w:pPr>
        <w:jc w:val="both"/>
        <w:rPr>
          <w:color w:val="auto"/>
        </w:rPr>
      </w:pPr>
      <w:r w:rsidRPr="00620C01">
        <w:rPr>
          <w:color w:val="auto"/>
        </w:rPr>
        <w:t>Iesniedzējs:</w:t>
      </w:r>
    </w:p>
    <w:p w:rsidR="002E552A" w:rsidRPr="00620C01" w:rsidRDefault="002E552A" w:rsidP="002E552A">
      <w:pPr>
        <w:jc w:val="both"/>
        <w:rPr>
          <w:color w:val="auto"/>
        </w:rPr>
      </w:pPr>
      <w:r w:rsidRPr="00620C01">
        <w:rPr>
          <w:color w:val="auto"/>
        </w:rPr>
        <w:t>Izglītības un zinātnes ministrs                                                       Kārlis Šadurskis</w:t>
      </w:r>
    </w:p>
    <w:p w:rsidR="002E552A" w:rsidRPr="00620C01" w:rsidRDefault="002E552A" w:rsidP="002E552A">
      <w:pPr>
        <w:ind w:left="357"/>
        <w:jc w:val="both"/>
        <w:rPr>
          <w:color w:val="auto"/>
        </w:rPr>
      </w:pPr>
    </w:p>
    <w:p w:rsidR="002E552A" w:rsidRPr="00620C01" w:rsidRDefault="002E552A" w:rsidP="002E552A">
      <w:pPr>
        <w:jc w:val="both"/>
        <w:rPr>
          <w:color w:val="auto"/>
        </w:rPr>
      </w:pPr>
      <w:r w:rsidRPr="00620C01">
        <w:rPr>
          <w:color w:val="auto"/>
        </w:rPr>
        <w:t xml:space="preserve">Vizē: </w:t>
      </w:r>
    </w:p>
    <w:p w:rsidR="005E06F6" w:rsidRPr="005E06F6" w:rsidRDefault="005E06F6" w:rsidP="005E06F6">
      <w:pPr>
        <w:pBdr>
          <w:between w:val="nil"/>
        </w:pBdr>
        <w:contextualSpacing/>
        <w:jc w:val="left"/>
        <w:rPr>
          <w:color w:val="auto"/>
        </w:rPr>
      </w:pPr>
      <w:r w:rsidRPr="005E06F6">
        <w:rPr>
          <w:color w:val="auto"/>
        </w:rPr>
        <w:t xml:space="preserve">Valsts sekretāra vietniece – </w:t>
      </w:r>
    </w:p>
    <w:p w:rsidR="005E06F6" w:rsidRPr="005E06F6" w:rsidRDefault="005E06F6" w:rsidP="005E06F6">
      <w:pPr>
        <w:pBdr>
          <w:between w:val="nil"/>
        </w:pBdr>
        <w:contextualSpacing/>
        <w:jc w:val="left"/>
        <w:rPr>
          <w:color w:val="auto"/>
        </w:rPr>
      </w:pPr>
      <w:r w:rsidRPr="005E06F6">
        <w:rPr>
          <w:color w:val="auto"/>
        </w:rPr>
        <w:t>Politikas iniciatīvu un attīstības departamenta direktore,</w:t>
      </w:r>
    </w:p>
    <w:p w:rsidR="005E06F6" w:rsidRPr="005E06F6" w:rsidRDefault="005E06F6" w:rsidP="005E06F6">
      <w:pPr>
        <w:pBdr>
          <w:between w:val="nil"/>
        </w:pBdr>
        <w:contextualSpacing/>
        <w:jc w:val="left"/>
        <w:rPr>
          <w:color w:val="auto"/>
          <w:lang w:eastAsia="en-GB"/>
        </w:rPr>
      </w:pPr>
      <w:r w:rsidRPr="005E06F6">
        <w:rPr>
          <w:color w:val="auto"/>
        </w:rPr>
        <w:t>valsts sekretāra pienākumu izpildītāja</w:t>
      </w:r>
      <w:proofErr w:type="gramStart"/>
      <w:r w:rsidRPr="005E06F6">
        <w:rPr>
          <w:color w:val="auto"/>
        </w:rPr>
        <w:t xml:space="preserve">                                                 </w:t>
      </w:r>
      <w:proofErr w:type="gramEnd"/>
      <w:r w:rsidRPr="005E06F6">
        <w:rPr>
          <w:color w:val="auto"/>
        </w:rPr>
        <w:t>Gunta Arāja</w:t>
      </w:r>
    </w:p>
    <w:p w:rsidR="00B830D4" w:rsidRPr="005E06F6" w:rsidRDefault="00B830D4" w:rsidP="005E06F6">
      <w:pPr>
        <w:jc w:val="left"/>
        <w:rPr>
          <w:color w:val="auto"/>
        </w:rPr>
      </w:pPr>
    </w:p>
    <w:p w:rsidR="00B830D4" w:rsidRPr="00620C01" w:rsidRDefault="00867876" w:rsidP="00FA420F">
      <w:pPr>
        <w:jc w:val="both"/>
        <w:rPr>
          <w:color w:val="auto"/>
        </w:rPr>
      </w:pPr>
      <w:r w:rsidRPr="00620C01">
        <w:rPr>
          <w:color w:val="auto"/>
        </w:rPr>
        <w:tab/>
      </w:r>
      <w:r w:rsidRPr="00620C01">
        <w:rPr>
          <w:color w:val="auto"/>
        </w:rPr>
        <w:tab/>
      </w:r>
      <w:r w:rsidRPr="00620C01">
        <w:rPr>
          <w:color w:val="auto"/>
        </w:rPr>
        <w:tab/>
      </w:r>
      <w:r w:rsidRPr="00620C01">
        <w:rPr>
          <w:color w:val="auto"/>
        </w:rPr>
        <w:tab/>
      </w:r>
      <w:r w:rsidRPr="00620C01">
        <w:rPr>
          <w:color w:val="auto"/>
        </w:rPr>
        <w:tab/>
      </w:r>
      <w:r w:rsidRPr="00620C01">
        <w:rPr>
          <w:color w:val="auto"/>
        </w:rPr>
        <w:tab/>
      </w:r>
      <w:r w:rsidRPr="00620C01">
        <w:rPr>
          <w:color w:val="auto"/>
        </w:rPr>
        <w:tab/>
      </w:r>
    </w:p>
    <w:p w:rsidR="00B830D4" w:rsidRPr="00620C01" w:rsidRDefault="00B830D4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left"/>
        <w:rPr>
          <w:color w:val="auto"/>
        </w:rPr>
      </w:pPr>
      <w:bookmarkStart w:id="0" w:name="_GoBack"/>
      <w:bookmarkEnd w:id="0"/>
    </w:p>
    <w:sectPr w:rsidR="00B830D4" w:rsidRPr="00620C01" w:rsidSect="005058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77" w:rsidRDefault="00351E77">
      <w:r>
        <w:separator/>
      </w:r>
    </w:p>
  </w:endnote>
  <w:endnote w:type="continuationSeparator" w:id="0">
    <w:p w:rsidR="00351E77" w:rsidRDefault="0035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D7" w:rsidRDefault="004D6DD7" w:rsidP="00F52A55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both"/>
      <w:rPr>
        <w:color w:val="000000"/>
        <w:sz w:val="20"/>
        <w:szCs w:val="20"/>
      </w:rPr>
    </w:pPr>
  </w:p>
  <w:p w:rsidR="008916EF" w:rsidRDefault="00ED45FA" w:rsidP="008916EF">
    <w:pPr>
      <w:tabs>
        <w:tab w:val="center" w:pos="4513"/>
        <w:tab w:val="right" w:pos="9026"/>
      </w:tabs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IZMNOTP16_</w:t>
    </w:r>
    <w:r w:rsidR="008916EF">
      <w:rPr>
        <w:color w:val="000000"/>
        <w:sz w:val="20"/>
        <w:szCs w:val="20"/>
      </w:rPr>
      <w:t>2</w:t>
    </w:r>
    <w:r w:rsidR="00FE73E3">
      <w:rPr>
        <w:color w:val="000000"/>
        <w:sz w:val="20"/>
        <w:szCs w:val="20"/>
      </w:rPr>
      <w:t>6</w:t>
    </w:r>
    <w:r w:rsidR="008916EF">
      <w:rPr>
        <w:color w:val="000000"/>
        <w:sz w:val="20"/>
        <w:szCs w:val="20"/>
      </w:rPr>
      <w:t>1118_PS</w:t>
    </w:r>
  </w:p>
  <w:p w:rsidR="004D6DD7" w:rsidRDefault="004D6DD7" w:rsidP="00F52A55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4D6DD7" w:rsidRPr="00F52A55" w:rsidRDefault="004D6DD7" w:rsidP="00F52A55">
    <w:pPr>
      <w:pStyle w:val="Footer"/>
      <w:rPr>
        <w:rFonts w:eastAsia="Calibri"/>
        <w:highlight w:val="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EF" w:rsidRDefault="00ED45FA" w:rsidP="008916EF">
    <w:pPr>
      <w:tabs>
        <w:tab w:val="center" w:pos="4513"/>
        <w:tab w:val="right" w:pos="9026"/>
      </w:tabs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IZMNOTP16_</w:t>
    </w:r>
    <w:r w:rsidR="008916EF">
      <w:rPr>
        <w:color w:val="000000"/>
        <w:sz w:val="20"/>
        <w:szCs w:val="20"/>
      </w:rPr>
      <w:t>2</w:t>
    </w:r>
    <w:r w:rsidR="00FE73E3">
      <w:rPr>
        <w:color w:val="000000"/>
        <w:sz w:val="20"/>
        <w:szCs w:val="20"/>
      </w:rPr>
      <w:t>6</w:t>
    </w:r>
    <w:r w:rsidR="008916EF">
      <w:rPr>
        <w:color w:val="000000"/>
        <w:sz w:val="20"/>
        <w:szCs w:val="20"/>
      </w:rPr>
      <w:t>1118_PS</w:t>
    </w:r>
  </w:p>
  <w:p w:rsidR="004D6DD7" w:rsidRPr="008916EF" w:rsidRDefault="004D6DD7" w:rsidP="008916EF">
    <w:pPr>
      <w:pStyle w:val="Footer"/>
      <w:rPr>
        <w:rFonts w:eastAsia="Calibri"/>
        <w:highlight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77" w:rsidRDefault="00351E77">
      <w:r>
        <w:separator/>
      </w:r>
    </w:p>
  </w:footnote>
  <w:footnote w:type="continuationSeparator" w:id="0">
    <w:p w:rsidR="00351E77" w:rsidRDefault="0035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D7" w:rsidRDefault="004D6DD7" w:rsidP="001820A4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E06F6">
      <w:rPr>
        <w:noProof/>
        <w:color w:val="000000"/>
        <w:sz w:val="24"/>
        <w:szCs w:val="24"/>
      </w:rPr>
      <w:t>7</w:t>
    </w:r>
    <w:r>
      <w:rPr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ab/>
    </w:r>
  </w:p>
  <w:p w:rsidR="004D6DD7" w:rsidRDefault="004D6DD7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D7" w:rsidRDefault="004D6DD7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left" w:pos="6180"/>
        <w:tab w:val="right" w:pos="9071"/>
      </w:tabs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  <w:p w:rsidR="004D6DD7" w:rsidRDefault="004D6DD7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75D3"/>
    <w:multiLevelType w:val="multilevel"/>
    <w:tmpl w:val="F7A4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D4"/>
    <w:rsid w:val="00001F06"/>
    <w:rsid w:val="00006F66"/>
    <w:rsid w:val="00025162"/>
    <w:rsid w:val="0003652D"/>
    <w:rsid w:val="00041B00"/>
    <w:rsid w:val="0006044D"/>
    <w:rsid w:val="00066481"/>
    <w:rsid w:val="00072276"/>
    <w:rsid w:val="000E40AE"/>
    <w:rsid w:val="000E575D"/>
    <w:rsid w:val="000F1784"/>
    <w:rsid w:val="000F7431"/>
    <w:rsid w:val="00103DB9"/>
    <w:rsid w:val="00114859"/>
    <w:rsid w:val="001268C7"/>
    <w:rsid w:val="0013003E"/>
    <w:rsid w:val="00137740"/>
    <w:rsid w:val="001441DD"/>
    <w:rsid w:val="00146892"/>
    <w:rsid w:val="00161738"/>
    <w:rsid w:val="00167080"/>
    <w:rsid w:val="0017454F"/>
    <w:rsid w:val="00175EEC"/>
    <w:rsid w:val="001820A4"/>
    <w:rsid w:val="00185583"/>
    <w:rsid w:val="001A5B08"/>
    <w:rsid w:val="001F0FBE"/>
    <w:rsid w:val="00206D13"/>
    <w:rsid w:val="0021479C"/>
    <w:rsid w:val="002211D5"/>
    <w:rsid w:val="0022681E"/>
    <w:rsid w:val="00247ADF"/>
    <w:rsid w:val="00250648"/>
    <w:rsid w:val="00257F32"/>
    <w:rsid w:val="002739A6"/>
    <w:rsid w:val="002770B4"/>
    <w:rsid w:val="002810E1"/>
    <w:rsid w:val="00286946"/>
    <w:rsid w:val="00291043"/>
    <w:rsid w:val="00291F39"/>
    <w:rsid w:val="002E552A"/>
    <w:rsid w:val="002F23EB"/>
    <w:rsid w:val="00305F5C"/>
    <w:rsid w:val="003353E0"/>
    <w:rsid w:val="00337443"/>
    <w:rsid w:val="00351E77"/>
    <w:rsid w:val="00360124"/>
    <w:rsid w:val="003A3B84"/>
    <w:rsid w:val="003C036B"/>
    <w:rsid w:val="003D561E"/>
    <w:rsid w:val="003F04FB"/>
    <w:rsid w:val="0040711A"/>
    <w:rsid w:val="00434D79"/>
    <w:rsid w:val="00442AFA"/>
    <w:rsid w:val="00481D38"/>
    <w:rsid w:val="00491551"/>
    <w:rsid w:val="004A4D59"/>
    <w:rsid w:val="004B0146"/>
    <w:rsid w:val="004D2497"/>
    <w:rsid w:val="004D3C72"/>
    <w:rsid w:val="004D6DD7"/>
    <w:rsid w:val="004F23B8"/>
    <w:rsid w:val="0050588D"/>
    <w:rsid w:val="00507F36"/>
    <w:rsid w:val="005430E6"/>
    <w:rsid w:val="005512A4"/>
    <w:rsid w:val="005543BD"/>
    <w:rsid w:val="00584F8D"/>
    <w:rsid w:val="005B5906"/>
    <w:rsid w:val="005D41AB"/>
    <w:rsid w:val="005D5844"/>
    <w:rsid w:val="005E06F6"/>
    <w:rsid w:val="005F1C23"/>
    <w:rsid w:val="005F2D44"/>
    <w:rsid w:val="006004DB"/>
    <w:rsid w:val="00614DFD"/>
    <w:rsid w:val="00620C01"/>
    <w:rsid w:val="00670AAC"/>
    <w:rsid w:val="00692DD2"/>
    <w:rsid w:val="00692E6E"/>
    <w:rsid w:val="006B5787"/>
    <w:rsid w:val="006C4588"/>
    <w:rsid w:val="006D7365"/>
    <w:rsid w:val="006E1AFC"/>
    <w:rsid w:val="006F6431"/>
    <w:rsid w:val="00717406"/>
    <w:rsid w:val="00721716"/>
    <w:rsid w:val="00724D99"/>
    <w:rsid w:val="007338A9"/>
    <w:rsid w:val="00733FBF"/>
    <w:rsid w:val="00734B3D"/>
    <w:rsid w:val="0075405B"/>
    <w:rsid w:val="00767A2D"/>
    <w:rsid w:val="007775E2"/>
    <w:rsid w:val="007A0222"/>
    <w:rsid w:val="007A32E4"/>
    <w:rsid w:val="007E13BC"/>
    <w:rsid w:val="007E16EA"/>
    <w:rsid w:val="007F3955"/>
    <w:rsid w:val="007F78FE"/>
    <w:rsid w:val="00812736"/>
    <w:rsid w:val="00821FF9"/>
    <w:rsid w:val="00827511"/>
    <w:rsid w:val="008320CA"/>
    <w:rsid w:val="008411ED"/>
    <w:rsid w:val="0085162B"/>
    <w:rsid w:val="00867876"/>
    <w:rsid w:val="00877F15"/>
    <w:rsid w:val="00890705"/>
    <w:rsid w:val="008916EF"/>
    <w:rsid w:val="0089288F"/>
    <w:rsid w:val="008B6EE7"/>
    <w:rsid w:val="00921436"/>
    <w:rsid w:val="009409AD"/>
    <w:rsid w:val="00985354"/>
    <w:rsid w:val="00994F68"/>
    <w:rsid w:val="009B12C7"/>
    <w:rsid w:val="009B2E58"/>
    <w:rsid w:val="009C3C0D"/>
    <w:rsid w:val="009E2763"/>
    <w:rsid w:val="009E7344"/>
    <w:rsid w:val="009F3574"/>
    <w:rsid w:val="00A05599"/>
    <w:rsid w:val="00A065BB"/>
    <w:rsid w:val="00A17659"/>
    <w:rsid w:val="00A3418A"/>
    <w:rsid w:val="00A758AB"/>
    <w:rsid w:val="00A8476B"/>
    <w:rsid w:val="00A95B94"/>
    <w:rsid w:val="00AA6CC4"/>
    <w:rsid w:val="00AB20ED"/>
    <w:rsid w:val="00AC0259"/>
    <w:rsid w:val="00AC2A98"/>
    <w:rsid w:val="00AD76AD"/>
    <w:rsid w:val="00AE27CD"/>
    <w:rsid w:val="00B01376"/>
    <w:rsid w:val="00B12CFB"/>
    <w:rsid w:val="00B20169"/>
    <w:rsid w:val="00B34978"/>
    <w:rsid w:val="00B34FC8"/>
    <w:rsid w:val="00B35AF0"/>
    <w:rsid w:val="00B41E4F"/>
    <w:rsid w:val="00B44518"/>
    <w:rsid w:val="00B5639D"/>
    <w:rsid w:val="00B64933"/>
    <w:rsid w:val="00B653E9"/>
    <w:rsid w:val="00B77361"/>
    <w:rsid w:val="00B830D4"/>
    <w:rsid w:val="00B849A4"/>
    <w:rsid w:val="00BA6493"/>
    <w:rsid w:val="00BD0B60"/>
    <w:rsid w:val="00C1314A"/>
    <w:rsid w:val="00C35A2B"/>
    <w:rsid w:val="00C40D2E"/>
    <w:rsid w:val="00C4117E"/>
    <w:rsid w:val="00C4191E"/>
    <w:rsid w:val="00C4263C"/>
    <w:rsid w:val="00C664A3"/>
    <w:rsid w:val="00C96A89"/>
    <w:rsid w:val="00C97A4C"/>
    <w:rsid w:val="00CA25E0"/>
    <w:rsid w:val="00CA4DAF"/>
    <w:rsid w:val="00CB3153"/>
    <w:rsid w:val="00CC1B12"/>
    <w:rsid w:val="00CF5FE4"/>
    <w:rsid w:val="00D017D5"/>
    <w:rsid w:val="00D1732B"/>
    <w:rsid w:val="00D354AF"/>
    <w:rsid w:val="00D43AE1"/>
    <w:rsid w:val="00D43AEB"/>
    <w:rsid w:val="00D5516C"/>
    <w:rsid w:val="00D63441"/>
    <w:rsid w:val="00D6603A"/>
    <w:rsid w:val="00D84881"/>
    <w:rsid w:val="00D86505"/>
    <w:rsid w:val="00DA55DB"/>
    <w:rsid w:val="00DC2E52"/>
    <w:rsid w:val="00DC3565"/>
    <w:rsid w:val="00DD4A68"/>
    <w:rsid w:val="00DE55B5"/>
    <w:rsid w:val="00DF1297"/>
    <w:rsid w:val="00DF355F"/>
    <w:rsid w:val="00E02A5C"/>
    <w:rsid w:val="00E11888"/>
    <w:rsid w:val="00E24F15"/>
    <w:rsid w:val="00E418EF"/>
    <w:rsid w:val="00E44C70"/>
    <w:rsid w:val="00E4606D"/>
    <w:rsid w:val="00E6162F"/>
    <w:rsid w:val="00E62D42"/>
    <w:rsid w:val="00E644E4"/>
    <w:rsid w:val="00E824E3"/>
    <w:rsid w:val="00E852B0"/>
    <w:rsid w:val="00E85C3B"/>
    <w:rsid w:val="00E90CDA"/>
    <w:rsid w:val="00E94AAD"/>
    <w:rsid w:val="00EA16F5"/>
    <w:rsid w:val="00EA5F74"/>
    <w:rsid w:val="00ED45FA"/>
    <w:rsid w:val="00ED6B42"/>
    <w:rsid w:val="00EF24F9"/>
    <w:rsid w:val="00EF337A"/>
    <w:rsid w:val="00F223D3"/>
    <w:rsid w:val="00F30B4F"/>
    <w:rsid w:val="00F52A55"/>
    <w:rsid w:val="00F544AD"/>
    <w:rsid w:val="00F55917"/>
    <w:rsid w:val="00F75A63"/>
    <w:rsid w:val="00F7662E"/>
    <w:rsid w:val="00F809AE"/>
    <w:rsid w:val="00F97DCF"/>
    <w:rsid w:val="00FA420F"/>
    <w:rsid w:val="00FC6876"/>
    <w:rsid w:val="00FD4502"/>
    <w:rsid w:val="00FE73E3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892"/>
    <w:pPr>
      <w:shd w:val="clear" w:color="auto" w:fill="FFFFFF"/>
      <w:jc w:val="center"/>
    </w:pPr>
    <w:rPr>
      <w:color w:val="414142"/>
      <w:sz w:val="28"/>
      <w:szCs w:val="28"/>
      <w:highlight w:val="white"/>
    </w:rPr>
  </w:style>
  <w:style w:type="paragraph" w:styleId="Heading1">
    <w:name w:val="heading 1"/>
    <w:basedOn w:val="Normal"/>
    <w:next w:val="Normal"/>
    <w:rsid w:val="001468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468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46892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1468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46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468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4689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468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68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337443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  <w:highligh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84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881"/>
    <w:rPr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881"/>
    <w:rPr>
      <w:b/>
      <w:bCs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81"/>
    <w:rPr>
      <w:rFonts w:ascii="Tahoma" w:hAnsi="Tahoma" w:cs="Tahoma"/>
      <w:sz w:val="16"/>
      <w:szCs w:val="16"/>
      <w:shd w:val="clear" w:color="auto" w:fill="FFFFFF"/>
    </w:rPr>
  </w:style>
  <w:style w:type="table" w:styleId="TableGrid">
    <w:name w:val="Table Grid"/>
    <w:basedOn w:val="TableNormal"/>
    <w:uiPriority w:val="59"/>
    <w:rsid w:val="00DF355F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9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AE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809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AE"/>
    <w:rPr>
      <w:shd w:val="clear" w:color="auto" w:fill="FFFFFF"/>
    </w:rPr>
  </w:style>
  <w:style w:type="paragraph" w:customStyle="1" w:styleId="tvhtml">
    <w:name w:val="tv_html"/>
    <w:basedOn w:val="Normal"/>
    <w:rsid w:val="00185583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  <w:highlight w:val="none"/>
    </w:rPr>
  </w:style>
  <w:style w:type="paragraph" w:styleId="ListParagraph">
    <w:name w:val="List Paragraph"/>
    <w:basedOn w:val="Normal"/>
    <w:uiPriority w:val="34"/>
    <w:qFormat/>
    <w:rsid w:val="00985354"/>
    <w:pPr>
      <w:ind w:left="720"/>
      <w:contextualSpacing/>
    </w:pPr>
  </w:style>
  <w:style w:type="paragraph" w:styleId="NoSpacing">
    <w:name w:val="No Spacing"/>
    <w:uiPriority w:val="1"/>
    <w:qFormat/>
    <w:rsid w:val="00E11888"/>
    <w:rPr>
      <w:rFonts w:ascii="Cambria" w:eastAsia="Cambria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E11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892"/>
    <w:pPr>
      <w:shd w:val="clear" w:color="auto" w:fill="FFFFFF"/>
      <w:jc w:val="center"/>
    </w:pPr>
    <w:rPr>
      <w:color w:val="414142"/>
      <w:sz w:val="28"/>
      <w:szCs w:val="28"/>
      <w:highlight w:val="white"/>
    </w:rPr>
  </w:style>
  <w:style w:type="paragraph" w:styleId="Heading1">
    <w:name w:val="heading 1"/>
    <w:basedOn w:val="Normal"/>
    <w:next w:val="Normal"/>
    <w:rsid w:val="001468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468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46892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1468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46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468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4689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468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68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337443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  <w:highligh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84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881"/>
    <w:rPr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881"/>
    <w:rPr>
      <w:b/>
      <w:bCs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81"/>
    <w:rPr>
      <w:rFonts w:ascii="Tahoma" w:hAnsi="Tahoma" w:cs="Tahoma"/>
      <w:sz w:val="16"/>
      <w:szCs w:val="16"/>
      <w:shd w:val="clear" w:color="auto" w:fill="FFFFFF"/>
    </w:rPr>
  </w:style>
  <w:style w:type="table" w:styleId="TableGrid">
    <w:name w:val="Table Grid"/>
    <w:basedOn w:val="TableNormal"/>
    <w:uiPriority w:val="59"/>
    <w:rsid w:val="00DF355F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9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AE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809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AE"/>
    <w:rPr>
      <w:shd w:val="clear" w:color="auto" w:fill="FFFFFF"/>
    </w:rPr>
  </w:style>
  <w:style w:type="paragraph" w:customStyle="1" w:styleId="tvhtml">
    <w:name w:val="tv_html"/>
    <w:basedOn w:val="Normal"/>
    <w:rsid w:val="00185583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  <w:highlight w:val="none"/>
    </w:rPr>
  </w:style>
  <w:style w:type="paragraph" w:styleId="ListParagraph">
    <w:name w:val="List Paragraph"/>
    <w:basedOn w:val="Normal"/>
    <w:uiPriority w:val="34"/>
    <w:qFormat/>
    <w:rsid w:val="00985354"/>
    <w:pPr>
      <w:ind w:left="720"/>
      <w:contextualSpacing/>
    </w:pPr>
  </w:style>
  <w:style w:type="paragraph" w:styleId="NoSpacing">
    <w:name w:val="No Spacing"/>
    <w:uiPriority w:val="1"/>
    <w:qFormat/>
    <w:rsid w:val="00E11888"/>
    <w:rPr>
      <w:rFonts w:ascii="Cambria" w:eastAsia="Cambria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E11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F39BB-5B16-4BC5-98DB-33312C0A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7292</Words>
  <Characters>4158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Links>
    <vt:vector size="12" baseType="variant"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mailto:ineta.upeniece@visc.gov.lv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https://likumi.lv/doc.php?id=268342</vt:lpwstr>
      </vt:variant>
      <vt:variant>
        <vt:lpwstr>piel1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Speciālās pamatizglītības programmas skolēniem ar smagiem garīgās attīstības traucējumiem vai vairākiem smagiem attīstības traucējumiem paraugs</dc:title>
  <dc:creator>Liene Zeile;Guntra.Kaufmane@visc.gov.lv</dc:creator>
  <dc:description>Guntra Kaufmane T. 67814355; Liene Zeile T.67814439 	</dc:description>
  <cp:lastModifiedBy>Ivars Zemļanskis</cp:lastModifiedBy>
  <cp:revision>9</cp:revision>
  <cp:lastPrinted>2018-10-04T06:09:00Z</cp:lastPrinted>
  <dcterms:created xsi:type="dcterms:W3CDTF">2018-11-16T09:15:00Z</dcterms:created>
  <dcterms:modified xsi:type="dcterms:W3CDTF">2018-11-26T10:50:00Z</dcterms:modified>
</cp:coreProperties>
</file>