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EF2D6D" w:rsidP="00EF2D6D">
      <w:pPr>
        <w:spacing w:after="0" w:line="240" w:lineRule="auto"/>
        <w:jc w:val="center"/>
        <w:rPr>
          <w:rFonts w:ascii="Times New Roman" w:hAnsi="Times New Roman"/>
          <w:b/>
          <w:sz w:val="24"/>
          <w:szCs w:val="24"/>
        </w:rPr>
      </w:pPr>
      <w:bookmarkStart w:id="0" w:name="_GoBack"/>
      <w:bookmarkEnd w:id="0"/>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711EBE">
        <w:rPr>
          <w:rFonts w:ascii="Times New Roman" w:hAnsi="Times New Roman"/>
          <w:b/>
          <w:sz w:val="24"/>
          <w:szCs w:val="24"/>
        </w:rPr>
        <w:t>Studiju virzienu atvēršanas un akreditācijas noteikumi</w:t>
      </w:r>
      <w:r w:rsidR="00AC7447" w:rsidRPr="00EF2D6D">
        <w:rPr>
          <w:rFonts w:ascii="Times New Roman" w:hAnsi="Times New Roman"/>
          <w:b/>
          <w:sz w:val="24"/>
          <w:szCs w:val="24"/>
        </w:rPr>
        <w:t>” sākotnējās ietekmes novērtējuma ziņojums (anotācija)</w:t>
      </w:r>
    </w:p>
    <w:p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BF122F"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559AF">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00C559AF">
              <w:rPr>
                <w:rFonts w:ascii="Times New Roman" w:hAnsi="Times New Roman"/>
                <w:sz w:val="24"/>
                <w:szCs w:val="24"/>
              </w:rPr>
              <w:t>Studiju virzienu atvēršanas un akreditācijas noteikumi</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w:t>
            </w:r>
            <w:r w:rsidR="009651F3">
              <w:rPr>
                <w:rFonts w:ascii="Times New Roman" w:hAnsi="Times New Roman"/>
                <w:sz w:val="24"/>
                <w:szCs w:val="24"/>
              </w:rPr>
              <w:t xml:space="preserve">noteikt </w:t>
            </w:r>
            <w:r w:rsidR="00C559AF">
              <w:rPr>
                <w:rFonts w:ascii="Times New Roman" w:hAnsi="Times New Roman"/>
                <w:sz w:val="24"/>
                <w:szCs w:val="24"/>
              </w:rPr>
              <w:t>studiju virzienu atvēršanas un akreditācijas kārtību</w:t>
            </w:r>
            <w:r w:rsidR="00976E22">
              <w:rPr>
                <w:rFonts w:ascii="Times New Roman" w:hAnsi="Times New Roman"/>
                <w:sz w:val="24"/>
                <w:szCs w:val="24"/>
              </w:rPr>
              <w:t xml:space="preserve"> un noteikumus</w:t>
            </w:r>
            <w:r w:rsidR="00C559AF">
              <w:rPr>
                <w:rFonts w:ascii="Times New Roman" w:hAnsi="Times New Roman"/>
                <w:sz w:val="24"/>
                <w:szCs w:val="24"/>
              </w:rPr>
              <w:t>. Projekts stāsies spēkā 2019.gada 1.janvārī.</w:t>
            </w:r>
          </w:p>
        </w:tc>
      </w:tr>
    </w:tbl>
    <w:p w:rsidR="00CF4535" w:rsidRPr="00EF2D6D" w:rsidRDefault="00CF4535" w:rsidP="00372BDC">
      <w:pPr>
        <w:spacing w:after="0" w:line="240" w:lineRule="auto"/>
        <w:jc w:val="both"/>
        <w:rPr>
          <w:rFonts w:ascii="Times New Roman" w:hAnsi="Times New Roman"/>
          <w:b/>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B53DA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B53DA3">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B53DA3">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DB29ED" w:rsidRDefault="00AC7447" w:rsidP="00B53DA3">
            <w:pPr>
              <w:spacing w:after="0" w:line="240" w:lineRule="auto"/>
              <w:rPr>
                <w:rFonts w:ascii="Times New Roman" w:hAnsi="Times New Roman"/>
                <w:sz w:val="24"/>
                <w:szCs w:val="24"/>
              </w:rPr>
            </w:pPr>
            <w:r w:rsidRPr="00BF122F">
              <w:rPr>
                <w:rFonts w:ascii="Times New Roman" w:hAnsi="Times New Roman"/>
                <w:sz w:val="24"/>
                <w:szCs w:val="24"/>
              </w:rPr>
              <w:t>Pamatojums</w:t>
            </w:r>
          </w:p>
          <w:p w:rsidR="00DB29ED" w:rsidRPr="00DB29ED" w:rsidRDefault="00DB29ED" w:rsidP="00DB29ED">
            <w:pPr>
              <w:rPr>
                <w:rFonts w:ascii="Times New Roman" w:hAnsi="Times New Roman"/>
                <w:sz w:val="24"/>
                <w:szCs w:val="24"/>
              </w:rPr>
            </w:pPr>
          </w:p>
          <w:p w:rsidR="00DB29ED" w:rsidRPr="00DB29ED" w:rsidRDefault="00DB29ED" w:rsidP="00DB29ED">
            <w:pPr>
              <w:rPr>
                <w:rFonts w:ascii="Times New Roman" w:hAnsi="Times New Roman"/>
                <w:sz w:val="24"/>
                <w:szCs w:val="24"/>
              </w:rPr>
            </w:pPr>
          </w:p>
          <w:p w:rsidR="00DB29ED" w:rsidRPr="00DB29ED" w:rsidRDefault="00DB29ED" w:rsidP="00DB29ED">
            <w:pPr>
              <w:rPr>
                <w:rFonts w:ascii="Times New Roman" w:hAnsi="Times New Roman"/>
                <w:sz w:val="24"/>
                <w:szCs w:val="24"/>
              </w:rPr>
            </w:pPr>
          </w:p>
          <w:p w:rsidR="00DB29ED" w:rsidRDefault="00DB29ED" w:rsidP="00DB29ED">
            <w:pPr>
              <w:rPr>
                <w:rFonts w:ascii="Times New Roman" w:hAnsi="Times New Roman"/>
                <w:sz w:val="24"/>
                <w:szCs w:val="24"/>
              </w:rPr>
            </w:pPr>
          </w:p>
          <w:p w:rsidR="00DB29ED" w:rsidRDefault="00DB29ED" w:rsidP="00DB29ED">
            <w:pPr>
              <w:rPr>
                <w:rFonts w:ascii="Times New Roman" w:hAnsi="Times New Roman"/>
                <w:sz w:val="24"/>
                <w:szCs w:val="24"/>
              </w:rPr>
            </w:pPr>
          </w:p>
          <w:p w:rsidR="00AC7447" w:rsidRPr="00DB29ED" w:rsidRDefault="00AC7447" w:rsidP="00DB29ED">
            <w:pPr>
              <w:ind w:firstLine="720"/>
              <w:rPr>
                <w:rFonts w:ascii="Times New Roman" w:hAnsi="Times New Roman"/>
                <w:sz w:val="24"/>
                <w:szCs w:val="24"/>
              </w:rPr>
            </w:pPr>
          </w:p>
        </w:tc>
        <w:tc>
          <w:tcPr>
            <w:tcW w:w="3201" w:type="pct"/>
            <w:tcBorders>
              <w:top w:val="outset" w:sz="6" w:space="0" w:color="414142"/>
              <w:left w:val="outset" w:sz="6" w:space="0" w:color="414142"/>
              <w:bottom w:val="outset" w:sz="6" w:space="0" w:color="414142"/>
              <w:right w:val="outset" w:sz="6" w:space="0" w:color="414142"/>
            </w:tcBorders>
            <w:hideMark/>
          </w:tcPr>
          <w:p w:rsidR="00E303B2" w:rsidRDefault="00CF4535" w:rsidP="00B53DA3">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 xml:space="preserve">izstrādāts </w:t>
            </w:r>
            <w:r>
              <w:rPr>
                <w:rFonts w:ascii="Times New Roman" w:hAnsi="Times New Roman"/>
                <w:sz w:val="24"/>
                <w:szCs w:val="24"/>
              </w:rPr>
              <w:t>saskaņā ar</w:t>
            </w:r>
            <w:r w:rsidR="00622039">
              <w:rPr>
                <w:rFonts w:ascii="Times New Roman" w:hAnsi="Times New Roman"/>
                <w:sz w:val="24"/>
                <w:szCs w:val="24"/>
              </w:rPr>
              <w:t xml:space="preserve"> Augstskolu likuma</w:t>
            </w:r>
            <w:r w:rsidR="00711EBE">
              <w:rPr>
                <w:rFonts w:ascii="Times New Roman" w:hAnsi="Times New Roman"/>
                <w:sz w:val="24"/>
                <w:szCs w:val="24"/>
              </w:rPr>
              <w:t xml:space="preserve"> 55.</w:t>
            </w:r>
            <w:r w:rsidR="00711EBE">
              <w:rPr>
                <w:rFonts w:ascii="Times New Roman" w:hAnsi="Times New Roman"/>
                <w:sz w:val="24"/>
                <w:szCs w:val="24"/>
                <w:vertAlign w:val="superscript"/>
              </w:rPr>
              <w:t>3</w:t>
            </w:r>
            <w:r w:rsidR="00711EBE">
              <w:rPr>
                <w:rFonts w:ascii="Times New Roman" w:hAnsi="Times New Roman"/>
                <w:sz w:val="24"/>
                <w:szCs w:val="24"/>
              </w:rPr>
              <w:t>panta</w:t>
            </w:r>
            <w:r w:rsidR="009748B8">
              <w:rPr>
                <w:rFonts w:ascii="Times New Roman" w:hAnsi="Times New Roman"/>
                <w:sz w:val="24"/>
                <w:szCs w:val="24"/>
              </w:rPr>
              <w:t xml:space="preserve"> (redakcijā, kas stāsies spēkā 2019.gada 1.janvārī)</w:t>
            </w:r>
            <w:r w:rsidR="00711EBE">
              <w:rPr>
                <w:rFonts w:ascii="Times New Roman" w:hAnsi="Times New Roman"/>
                <w:sz w:val="24"/>
                <w:szCs w:val="24"/>
              </w:rPr>
              <w:t>:</w:t>
            </w:r>
          </w:p>
          <w:p w:rsidR="00E303B2" w:rsidRDefault="00E303B2" w:rsidP="00B53DA3">
            <w:pPr>
              <w:tabs>
                <w:tab w:val="left" w:pos="323"/>
              </w:tabs>
              <w:spacing w:after="0" w:line="240" w:lineRule="auto"/>
              <w:jc w:val="both"/>
              <w:rPr>
                <w:rFonts w:ascii="Times New Roman" w:hAnsi="Times New Roman"/>
                <w:sz w:val="24"/>
                <w:szCs w:val="24"/>
              </w:rPr>
            </w:pPr>
            <w:r>
              <w:rPr>
                <w:rFonts w:ascii="Times New Roman" w:hAnsi="Times New Roman"/>
                <w:sz w:val="24"/>
                <w:szCs w:val="24"/>
              </w:rPr>
              <w:t>- piekto daļu, kas nosaka, ka studiju virziena akreditācijas procesā Ministru kabineta noteiktajā kārtībā tiek novērtēts studiju virziens un tam atbilstošās studiju programmas;</w:t>
            </w:r>
          </w:p>
          <w:p w:rsidR="00711EBE" w:rsidRDefault="00711EBE" w:rsidP="00B53DA3">
            <w:pPr>
              <w:tabs>
                <w:tab w:val="left" w:pos="323"/>
              </w:tabs>
              <w:spacing w:after="0" w:line="240" w:lineRule="auto"/>
              <w:jc w:val="both"/>
              <w:rPr>
                <w:rFonts w:ascii="Times New Roman" w:hAnsi="Times New Roman"/>
                <w:sz w:val="24"/>
                <w:szCs w:val="24"/>
              </w:rPr>
            </w:pPr>
            <w:r>
              <w:rPr>
                <w:rFonts w:ascii="Times New Roman" w:hAnsi="Times New Roman"/>
                <w:sz w:val="24"/>
                <w:szCs w:val="24"/>
              </w:rPr>
              <w:t>- septīto daļu, kas nosaka, ka studiju virziena un tam atbilstošo studiju programmu akreditācijas prasības, tai skaitā novērtēšanas prasības, kā arī akreditācijas kārtību nosaka Ministru kabinets;</w:t>
            </w:r>
          </w:p>
          <w:p w:rsidR="00711EBE" w:rsidRPr="00CF4535" w:rsidRDefault="00711EBE" w:rsidP="00B53DA3">
            <w:pPr>
              <w:tabs>
                <w:tab w:val="left" w:pos="323"/>
              </w:tabs>
              <w:spacing w:after="0" w:line="240" w:lineRule="auto"/>
              <w:jc w:val="both"/>
              <w:rPr>
                <w:rFonts w:ascii="Times New Roman" w:hAnsi="Times New Roman"/>
                <w:sz w:val="24"/>
                <w:szCs w:val="24"/>
              </w:rPr>
            </w:pPr>
            <w:r>
              <w:rPr>
                <w:rFonts w:ascii="Times New Roman" w:hAnsi="Times New Roman"/>
                <w:sz w:val="24"/>
                <w:szCs w:val="24"/>
              </w:rPr>
              <w:t>- 12.daļu, kas nosaka, ka Ministru kabinets nosaka studiju virzienus augstākajā izglītībā, studiju virziena atvēršanas kārtību, studiju virziena akreditācijas un ārpuskārtas akreditācijas kārtību, studiju virziena akreditācijas lapas paraugu, kā arī Studiju kvalitātes komisijas tiesības un pienākumus studiju virziena akreditācijā un Apelācijas komisijas tiesības un pienākumus studiju virziena akreditācijā.</w:t>
            </w:r>
          </w:p>
        </w:tc>
      </w:tr>
      <w:tr w:rsidR="00AC7447" w:rsidRPr="00BF122F" w:rsidTr="00B53DA3">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tcPr>
          <w:p w:rsidR="00411578" w:rsidRPr="00411578" w:rsidRDefault="00411578" w:rsidP="00B53DA3">
            <w:pPr>
              <w:spacing w:after="0" w:line="240" w:lineRule="auto"/>
              <w:jc w:val="both"/>
              <w:rPr>
                <w:rFonts w:ascii="Times New Roman" w:hAnsi="Times New Roman"/>
                <w:bCs/>
                <w:sz w:val="24"/>
                <w:szCs w:val="24"/>
              </w:rPr>
            </w:pPr>
            <w:r w:rsidRPr="00411578">
              <w:rPr>
                <w:rFonts w:ascii="Times New Roman" w:hAnsi="Times New Roman"/>
                <w:bCs/>
                <w:sz w:val="24"/>
                <w:szCs w:val="24"/>
              </w:rPr>
              <w:t xml:space="preserve">Šobrīd </w:t>
            </w:r>
            <w:r>
              <w:rPr>
                <w:rFonts w:ascii="Times New Roman" w:hAnsi="Times New Roman"/>
                <w:bCs/>
                <w:sz w:val="24"/>
                <w:szCs w:val="24"/>
              </w:rPr>
              <w:t>studiju virzienu</w:t>
            </w:r>
            <w:r w:rsidRPr="00411578">
              <w:rPr>
                <w:rFonts w:ascii="Times New Roman" w:hAnsi="Times New Roman"/>
                <w:bCs/>
                <w:sz w:val="24"/>
                <w:szCs w:val="24"/>
              </w:rPr>
              <w:t xml:space="preserve"> akreditācijas kārtību un noteikumus nosaka Ministru kabineta 2015.</w:t>
            </w:r>
            <w:r>
              <w:rPr>
                <w:rFonts w:ascii="Times New Roman" w:hAnsi="Times New Roman"/>
                <w:bCs/>
                <w:sz w:val="24"/>
                <w:szCs w:val="24"/>
              </w:rPr>
              <w:t>gada14.jūlija noteikumi Nr.407 “</w:t>
            </w:r>
            <w:r w:rsidRPr="00411578">
              <w:rPr>
                <w:rFonts w:ascii="Times New Roman" w:hAnsi="Times New Roman"/>
                <w:bCs/>
                <w:sz w:val="24"/>
                <w:szCs w:val="24"/>
              </w:rPr>
              <w:t xml:space="preserve">Augstskolu, koledžu un studiju virzienu akreditācijas noteikumi” (turpmāk – akreditācijas noteikumi). Akreditācijas noteikumi paredz ne tikai </w:t>
            </w:r>
            <w:r>
              <w:rPr>
                <w:rFonts w:ascii="Times New Roman" w:hAnsi="Times New Roman"/>
                <w:bCs/>
                <w:sz w:val="24"/>
                <w:szCs w:val="24"/>
              </w:rPr>
              <w:t>studiju virzienu</w:t>
            </w:r>
            <w:r w:rsidRPr="00411578">
              <w:rPr>
                <w:rFonts w:ascii="Times New Roman" w:hAnsi="Times New Roman"/>
                <w:bCs/>
                <w:sz w:val="24"/>
                <w:szCs w:val="24"/>
              </w:rPr>
              <w:t xml:space="preserve"> akreditāciju, bet arī </w:t>
            </w:r>
            <w:r>
              <w:rPr>
                <w:rFonts w:ascii="Times New Roman" w:hAnsi="Times New Roman"/>
                <w:bCs/>
                <w:sz w:val="24"/>
                <w:szCs w:val="24"/>
              </w:rPr>
              <w:t>augstskolu un koledžu</w:t>
            </w:r>
            <w:r w:rsidRPr="00411578">
              <w:rPr>
                <w:rFonts w:ascii="Times New Roman" w:hAnsi="Times New Roman"/>
                <w:bCs/>
                <w:sz w:val="24"/>
                <w:szCs w:val="24"/>
              </w:rPr>
              <w:t xml:space="preserve"> akreditāciju. Līdz ar to akreditācijas </w:t>
            </w:r>
            <w:r w:rsidR="009748B8">
              <w:rPr>
                <w:rFonts w:ascii="Times New Roman" w:hAnsi="Times New Roman"/>
                <w:bCs/>
                <w:sz w:val="24"/>
                <w:szCs w:val="24"/>
              </w:rPr>
              <w:t>noteikumu</w:t>
            </w:r>
            <w:r>
              <w:rPr>
                <w:rFonts w:ascii="Times New Roman" w:hAnsi="Times New Roman"/>
                <w:bCs/>
                <w:sz w:val="24"/>
                <w:szCs w:val="24"/>
              </w:rPr>
              <w:t xml:space="preserve"> </w:t>
            </w:r>
            <w:r w:rsidRPr="00411578">
              <w:rPr>
                <w:rFonts w:ascii="Times New Roman" w:hAnsi="Times New Roman"/>
                <w:bCs/>
                <w:sz w:val="24"/>
                <w:szCs w:val="24"/>
              </w:rPr>
              <w:t xml:space="preserve">izdošanas pamats ir ne tikai </w:t>
            </w:r>
            <w:r>
              <w:rPr>
                <w:rFonts w:ascii="Times New Roman" w:hAnsi="Times New Roman"/>
                <w:bCs/>
                <w:sz w:val="24"/>
                <w:szCs w:val="24"/>
              </w:rPr>
              <w:t>Augstskolu likuma 55.</w:t>
            </w:r>
            <w:r>
              <w:rPr>
                <w:rFonts w:ascii="Times New Roman" w:hAnsi="Times New Roman"/>
                <w:bCs/>
                <w:sz w:val="24"/>
                <w:szCs w:val="24"/>
                <w:vertAlign w:val="superscript"/>
              </w:rPr>
              <w:t>3</w:t>
            </w:r>
            <w:r w:rsidRPr="00411578">
              <w:rPr>
                <w:rFonts w:ascii="Times New Roman" w:hAnsi="Times New Roman"/>
                <w:bCs/>
                <w:sz w:val="24"/>
                <w:szCs w:val="24"/>
              </w:rPr>
              <w:t>panta devītā daļa, bet arī Augstskolu likuma 9.panta pirmā daļa un Izglītības likuma 14.panta 8.un 10.punkts un 27.pants. Saeima 2018.gada 21</w:t>
            </w:r>
            <w:r w:rsidR="009748B8">
              <w:rPr>
                <w:rFonts w:ascii="Times New Roman" w:hAnsi="Times New Roman"/>
                <w:bCs/>
                <w:sz w:val="24"/>
                <w:szCs w:val="24"/>
              </w:rPr>
              <w:t>.jūnijā pieņēma likumu “</w:t>
            </w:r>
            <w:r w:rsidRPr="00411578">
              <w:rPr>
                <w:rFonts w:ascii="Times New Roman" w:hAnsi="Times New Roman"/>
                <w:bCs/>
                <w:sz w:val="24"/>
                <w:szCs w:val="24"/>
              </w:rPr>
              <w:t xml:space="preserve">Grozījumi Augstskolu likumā”, kas paredz izteikt jaunā </w:t>
            </w:r>
            <w:r>
              <w:rPr>
                <w:rFonts w:ascii="Times New Roman" w:hAnsi="Times New Roman"/>
                <w:bCs/>
                <w:sz w:val="24"/>
                <w:szCs w:val="24"/>
              </w:rPr>
              <w:t>redakcijā Augstskolu likuma 55.</w:t>
            </w:r>
            <w:r>
              <w:rPr>
                <w:rFonts w:ascii="Times New Roman" w:hAnsi="Times New Roman"/>
                <w:bCs/>
                <w:sz w:val="24"/>
                <w:szCs w:val="24"/>
                <w:vertAlign w:val="superscript"/>
              </w:rPr>
              <w:t>3</w:t>
            </w:r>
            <w:r w:rsidRPr="00411578">
              <w:rPr>
                <w:rFonts w:ascii="Times New Roman" w:hAnsi="Times New Roman"/>
                <w:bCs/>
                <w:sz w:val="24"/>
                <w:szCs w:val="24"/>
              </w:rPr>
              <w:t xml:space="preserve">pantu, līdz ar to </w:t>
            </w:r>
            <w:r w:rsidR="004901E1">
              <w:rPr>
                <w:rFonts w:ascii="Times New Roman" w:hAnsi="Times New Roman"/>
                <w:bCs/>
                <w:sz w:val="24"/>
                <w:szCs w:val="24"/>
              </w:rPr>
              <w:t xml:space="preserve">nepieciešams noteikt studiju virzienu atvēršanas un akreditācijas noteikumus, jo </w:t>
            </w:r>
            <w:r w:rsidR="009748B8">
              <w:rPr>
                <w:rFonts w:ascii="Times New Roman" w:hAnsi="Times New Roman"/>
                <w:bCs/>
                <w:sz w:val="24"/>
                <w:szCs w:val="24"/>
              </w:rPr>
              <w:t>ar 2018.gada 21.jūnija likuma “</w:t>
            </w:r>
            <w:r w:rsidRPr="00411578">
              <w:rPr>
                <w:rFonts w:ascii="Times New Roman" w:hAnsi="Times New Roman"/>
                <w:bCs/>
                <w:sz w:val="24"/>
                <w:szCs w:val="24"/>
              </w:rPr>
              <w:t xml:space="preserve">Grozījumi Augstskolu likumā” spēkā stāšanos 2019.gada 1.janvārī </w:t>
            </w:r>
            <w:r w:rsidR="004901E1">
              <w:rPr>
                <w:rFonts w:ascii="Times New Roman" w:hAnsi="Times New Roman"/>
                <w:bCs/>
                <w:sz w:val="24"/>
                <w:szCs w:val="24"/>
              </w:rPr>
              <w:t xml:space="preserve"> akreditācijas noteikumos ietvertie noteikumi par studiju virzienu akreditāciju </w:t>
            </w:r>
            <w:r w:rsidRPr="00411578">
              <w:rPr>
                <w:rFonts w:ascii="Times New Roman" w:hAnsi="Times New Roman"/>
                <w:bCs/>
                <w:sz w:val="24"/>
                <w:szCs w:val="24"/>
              </w:rPr>
              <w:t>zaudēs spēku.</w:t>
            </w:r>
          </w:p>
          <w:p w:rsidR="006D6C8F" w:rsidRDefault="00411578" w:rsidP="00B53DA3">
            <w:pPr>
              <w:spacing w:after="0" w:line="240" w:lineRule="auto"/>
              <w:jc w:val="both"/>
              <w:rPr>
                <w:rFonts w:ascii="Times New Roman" w:hAnsi="Times New Roman"/>
                <w:bCs/>
                <w:sz w:val="24"/>
                <w:szCs w:val="24"/>
              </w:rPr>
            </w:pPr>
            <w:r w:rsidRPr="00411578">
              <w:rPr>
                <w:rFonts w:ascii="Times New Roman" w:hAnsi="Times New Roman"/>
                <w:bCs/>
                <w:sz w:val="24"/>
                <w:szCs w:val="24"/>
              </w:rPr>
              <w:t>Līdz šim par augstskolu, koledžu un studiju virzienu akreditāciju tika izstrādāti vieni Ministru kabineta noteikumi, taču ņemot vērā to, ka</w:t>
            </w:r>
            <w:r>
              <w:rPr>
                <w:rFonts w:ascii="Times New Roman" w:hAnsi="Times New Roman"/>
                <w:bCs/>
                <w:sz w:val="24"/>
                <w:szCs w:val="24"/>
              </w:rPr>
              <w:t xml:space="preserve"> ar 2018.gada 21.jūnija likumu </w:t>
            </w:r>
            <w:r>
              <w:rPr>
                <w:rFonts w:ascii="Times New Roman" w:hAnsi="Times New Roman"/>
                <w:bCs/>
                <w:sz w:val="24"/>
                <w:szCs w:val="24"/>
              </w:rPr>
              <w:lastRenderedPageBreak/>
              <w:t>“</w:t>
            </w:r>
            <w:r w:rsidRPr="00411578">
              <w:rPr>
                <w:rFonts w:ascii="Times New Roman" w:hAnsi="Times New Roman"/>
                <w:bCs/>
                <w:sz w:val="24"/>
                <w:szCs w:val="24"/>
              </w:rPr>
              <w:t>Grozījumi Augstskolu likumā” ir paredzēts noteikt, ka studiju virziena novērtēšanu, kas ir studiju programmas akreditācijas sastāvdaļa, var veikt gan Akadēmiskās informācijas centrs, gan Eiropas augstākās izglītības kvalitātes nodrošināšanas reģistrā iekļauta kvalitātes nodrošināšanas aģentūra, kā arī noteikts, ka Akadēmiskās informācijas centrs nodrošina Studiju kvalitātes komisijas un Apelācijas komisijas tehnisko un organizatorisko darbību, ja tiktu izstrādāti vieni Ministru kabineta noteikumi, kas noteiktu gan studiju virzienu, gan augstskolu un koledžu akreditācijas kārtību, tajos Akadēmiskās informācijas centrs tiktu aprakstīts kā trīs atšķirīgu funkciju veicējs</w:t>
            </w:r>
            <w:r w:rsidR="009748B8">
              <w:rPr>
                <w:rFonts w:ascii="Times New Roman" w:hAnsi="Times New Roman"/>
                <w:bCs/>
                <w:sz w:val="24"/>
                <w:szCs w:val="24"/>
              </w:rPr>
              <w:t>, jo saskaņā ar Augstskolu likuma 9.panta pirmo daļu augstskolu un koledžu akreditāciju organizē Akadēmiskās informācijas centrs</w:t>
            </w:r>
            <w:r w:rsidRPr="00411578">
              <w:rPr>
                <w:rFonts w:ascii="Times New Roman" w:hAnsi="Times New Roman"/>
                <w:bCs/>
                <w:sz w:val="24"/>
                <w:szCs w:val="24"/>
              </w:rPr>
              <w:t xml:space="preserve">. Šādu Ministru kabineta noteikumu projekta uztveramība būtu apgrūtināta, līdz ar to projekts paredz noteikt tikai </w:t>
            </w:r>
            <w:r>
              <w:rPr>
                <w:rFonts w:ascii="Times New Roman" w:hAnsi="Times New Roman"/>
                <w:bCs/>
                <w:sz w:val="24"/>
                <w:szCs w:val="24"/>
              </w:rPr>
              <w:t>studiju virzienu</w:t>
            </w:r>
            <w:r w:rsidRPr="00411578">
              <w:rPr>
                <w:rFonts w:ascii="Times New Roman" w:hAnsi="Times New Roman"/>
                <w:bCs/>
                <w:sz w:val="24"/>
                <w:szCs w:val="24"/>
              </w:rPr>
              <w:t xml:space="preserve"> akreditācijas un ār</w:t>
            </w:r>
            <w:r>
              <w:rPr>
                <w:rFonts w:ascii="Times New Roman" w:hAnsi="Times New Roman"/>
                <w:bCs/>
                <w:sz w:val="24"/>
                <w:szCs w:val="24"/>
              </w:rPr>
              <w:t>pus</w:t>
            </w:r>
            <w:r w:rsidRPr="00411578">
              <w:rPr>
                <w:rFonts w:ascii="Times New Roman" w:hAnsi="Times New Roman"/>
                <w:bCs/>
                <w:sz w:val="24"/>
                <w:szCs w:val="24"/>
              </w:rPr>
              <w:t>kārtas akreditācijas kārtību.</w:t>
            </w:r>
          </w:p>
          <w:p w:rsidR="00411578" w:rsidRDefault="00455F49" w:rsidP="00B53DA3">
            <w:pPr>
              <w:spacing w:after="0" w:line="240" w:lineRule="auto"/>
              <w:jc w:val="both"/>
              <w:rPr>
                <w:rFonts w:ascii="Times New Roman" w:hAnsi="Times New Roman"/>
                <w:bCs/>
                <w:sz w:val="24"/>
                <w:szCs w:val="24"/>
              </w:rPr>
            </w:pPr>
            <w:r>
              <w:rPr>
                <w:rFonts w:ascii="Times New Roman" w:hAnsi="Times New Roman"/>
                <w:bCs/>
                <w:sz w:val="24"/>
                <w:szCs w:val="24"/>
              </w:rPr>
              <w:t>Studiju virzienu atvēršanas kārtību šobrīd nosaka Ministru kabineta 2015.gada 14.jūlija noteikumi Nr.408 “Studiju programmu licencēšanas noteikumi” (turpmāk – licencēšanas noteikumi). Ar 2018.gada 21.jūnija likumu</w:t>
            </w:r>
            <w:r w:rsidRPr="00455F49">
              <w:rPr>
                <w:rFonts w:ascii="Times New Roman" w:hAnsi="Times New Roman"/>
                <w:bCs/>
                <w:sz w:val="24"/>
                <w:szCs w:val="24"/>
              </w:rPr>
              <w:t xml:space="preserve"> “Grozījumi Augstskolu likumā”</w:t>
            </w:r>
            <w:r>
              <w:rPr>
                <w:rFonts w:ascii="Times New Roman" w:hAnsi="Times New Roman"/>
                <w:bCs/>
                <w:sz w:val="24"/>
                <w:szCs w:val="24"/>
              </w:rPr>
              <w:t xml:space="preserve"> studiju virzienu atvēršanas kārtību Ministru kabinetam deleģē noteikt Augstskolu likuma 55.</w:t>
            </w:r>
            <w:r>
              <w:rPr>
                <w:rFonts w:ascii="Times New Roman" w:hAnsi="Times New Roman"/>
                <w:bCs/>
                <w:sz w:val="24"/>
                <w:szCs w:val="24"/>
                <w:vertAlign w:val="superscript"/>
              </w:rPr>
              <w:t>3</w:t>
            </w:r>
            <w:r>
              <w:rPr>
                <w:rFonts w:ascii="Times New Roman" w:hAnsi="Times New Roman"/>
                <w:bCs/>
                <w:sz w:val="24"/>
                <w:szCs w:val="24"/>
              </w:rPr>
              <w:t>panta 12.daļa un vispārīgu studiju virzienu atvēršanas kārtību nosaka Augstskolu likuma 55.</w:t>
            </w:r>
            <w:r>
              <w:rPr>
                <w:rFonts w:ascii="Times New Roman" w:hAnsi="Times New Roman"/>
                <w:bCs/>
                <w:sz w:val="24"/>
                <w:szCs w:val="24"/>
                <w:vertAlign w:val="superscript"/>
              </w:rPr>
              <w:t>3</w:t>
            </w:r>
            <w:r>
              <w:rPr>
                <w:rFonts w:ascii="Times New Roman" w:hAnsi="Times New Roman"/>
                <w:bCs/>
                <w:sz w:val="24"/>
                <w:szCs w:val="24"/>
              </w:rPr>
              <w:t>panta pirmā daļa. Ņemot vērā minēto, projektā ir noteikta arī studiju virzienu atvēršanas kārtība, ko līdz šim regulēja licencēšanas noteikumi.</w:t>
            </w:r>
          </w:p>
          <w:p w:rsidR="00455F49" w:rsidRDefault="007E61DF" w:rsidP="00B53DA3">
            <w:pPr>
              <w:spacing w:after="0" w:line="240" w:lineRule="auto"/>
              <w:jc w:val="both"/>
              <w:rPr>
                <w:rFonts w:ascii="Times New Roman" w:hAnsi="Times New Roman"/>
                <w:bCs/>
                <w:sz w:val="24"/>
                <w:szCs w:val="24"/>
              </w:rPr>
            </w:pPr>
            <w:r>
              <w:rPr>
                <w:rFonts w:ascii="Times New Roman" w:hAnsi="Times New Roman"/>
                <w:bCs/>
                <w:sz w:val="24"/>
                <w:szCs w:val="24"/>
              </w:rPr>
              <w:t xml:space="preserve">Projekta </w:t>
            </w:r>
            <w:proofErr w:type="spellStart"/>
            <w:r>
              <w:rPr>
                <w:rFonts w:ascii="Times New Roman" w:hAnsi="Times New Roman"/>
                <w:bCs/>
                <w:sz w:val="24"/>
                <w:szCs w:val="24"/>
              </w:rPr>
              <w:t>II.nodaļa</w:t>
            </w:r>
            <w:proofErr w:type="spellEnd"/>
            <w:r w:rsidR="00733712">
              <w:rPr>
                <w:rFonts w:ascii="Times New Roman" w:hAnsi="Times New Roman"/>
                <w:bCs/>
                <w:sz w:val="24"/>
                <w:szCs w:val="24"/>
              </w:rPr>
              <w:t xml:space="preserve"> nosaka studiju virzienu akreditācijā iesaistītās institūcijas un to tiesības un pienākumus. Studiju virzienu akreditācijā ir iesaistīta Studiju kvalitātes komisija un Apelācijas komisija, kuras izveidota</w:t>
            </w:r>
            <w:r w:rsidR="009748B8">
              <w:rPr>
                <w:rFonts w:ascii="Times New Roman" w:hAnsi="Times New Roman"/>
                <w:bCs/>
                <w:sz w:val="24"/>
                <w:szCs w:val="24"/>
              </w:rPr>
              <w:t>s</w:t>
            </w:r>
            <w:r w:rsidR="00733712">
              <w:rPr>
                <w:rFonts w:ascii="Times New Roman" w:hAnsi="Times New Roman"/>
                <w:bCs/>
                <w:sz w:val="24"/>
                <w:szCs w:val="24"/>
              </w:rPr>
              <w:t xml:space="preserve"> Ministru kabineta noteikumos par studiju programmu </w:t>
            </w:r>
            <w:r w:rsidR="00AC59E3">
              <w:rPr>
                <w:rFonts w:ascii="Times New Roman" w:hAnsi="Times New Roman"/>
                <w:bCs/>
                <w:sz w:val="24"/>
                <w:szCs w:val="24"/>
              </w:rPr>
              <w:t>licencēšanu noteiktajā kārtībā.</w:t>
            </w:r>
          </w:p>
          <w:p w:rsidR="00E859AE" w:rsidRDefault="00AC59E3" w:rsidP="00B53DA3">
            <w:pPr>
              <w:spacing w:after="0" w:line="240" w:lineRule="auto"/>
              <w:jc w:val="both"/>
              <w:rPr>
                <w:rFonts w:ascii="Times New Roman" w:hAnsi="Times New Roman"/>
                <w:bCs/>
                <w:sz w:val="24"/>
                <w:szCs w:val="24"/>
              </w:rPr>
            </w:pPr>
            <w:r>
              <w:rPr>
                <w:rFonts w:ascii="Times New Roman" w:hAnsi="Times New Roman"/>
                <w:bCs/>
                <w:sz w:val="24"/>
                <w:szCs w:val="24"/>
              </w:rPr>
              <w:t>Saskaņā ar projekta 2</w:t>
            </w:r>
            <w:r w:rsidR="00211066">
              <w:rPr>
                <w:rFonts w:ascii="Times New Roman" w:hAnsi="Times New Roman"/>
                <w:bCs/>
                <w:sz w:val="24"/>
                <w:szCs w:val="24"/>
              </w:rPr>
              <w:t>.punktu Studiju kvalitātes komisija pieņem lēmumu ne tikai par studiju virzienu akreditāciju vai atteikumu akreditēt studiju virzienu, bet arī par izmaiņām studiju virziena akreditācijas lapā un izmaiņām studiju virzienam atbilstošajās studiju programmās. Šādas izmaiņas var tikt veiktas studij</w:t>
            </w:r>
            <w:r w:rsidR="009748B8">
              <w:rPr>
                <w:rFonts w:ascii="Times New Roman" w:hAnsi="Times New Roman"/>
                <w:bCs/>
                <w:sz w:val="24"/>
                <w:szCs w:val="24"/>
              </w:rPr>
              <w:t>u virziena akreditācijas termiņa</w:t>
            </w:r>
            <w:r w:rsidR="00211066">
              <w:rPr>
                <w:rFonts w:ascii="Times New Roman" w:hAnsi="Times New Roman"/>
                <w:bCs/>
                <w:sz w:val="24"/>
                <w:szCs w:val="24"/>
              </w:rPr>
              <w:t xml:space="preserve"> laikā, līdz ar to arī par šādām izmaiņām ir kompetenta lemt Studiju kvalitātes komisija. Studiju virziena akreditācijas lapā ir iekļauta studiju programmas raksturojoša informācija, līdz ar to izmaiņu rezultātā, ir jāveic tajā izmaiņas. Taču ir noteikts, ka ir tik būtiskas izmaiņas, par kuru pieļaujamību ir jālemj Studiju kvalitātes komisijai un tādu izmaiņu novērtēšanai </w:t>
            </w:r>
            <w:r w:rsidR="00E46489">
              <w:rPr>
                <w:rFonts w:ascii="Times New Roman" w:hAnsi="Times New Roman"/>
                <w:bCs/>
                <w:sz w:val="24"/>
                <w:szCs w:val="24"/>
              </w:rPr>
              <w:t>Akadēmiskās informācijas centrs</w:t>
            </w:r>
            <w:r w:rsidR="00211066">
              <w:rPr>
                <w:rFonts w:ascii="Times New Roman" w:hAnsi="Times New Roman"/>
                <w:bCs/>
                <w:sz w:val="24"/>
                <w:szCs w:val="24"/>
              </w:rPr>
              <w:t xml:space="preserve"> apstiprina ekspertu. Savukārt tās izmaiņ</w:t>
            </w:r>
            <w:r>
              <w:rPr>
                <w:rFonts w:ascii="Times New Roman" w:hAnsi="Times New Roman"/>
                <w:bCs/>
                <w:sz w:val="24"/>
                <w:szCs w:val="24"/>
              </w:rPr>
              <w:t>as, kas nav noteiktas projekta 2</w:t>
            </w:r>
            <w:r w:rsidR="00211066">
              <w:rPr>
                <w:rFonts w:ascii="Times New Roman" w:hAnsi="Times New Roman"/>
                <w:bCs/>
                <w:sz w:val="24"/>
                <w:szCs w:val="24"/>
              </w:rPr>
              <w:t>.3.apakšpunktā</w:t>
            </w:r>
            <w:r w:rsidR="001E02E4">
              <w:rPr>
                <w:rFonts w:ascii="Times New Roman" w:hAnsi="Times New Roman"/>
                <w:bCs/>
                <w:sz w:val="24"/>
                <w:szCs w:val="24"/>
              </w:rPr>
              <w:t>, ir vairāk tehniskas</w:t>
            </w:r>
            <w:r w:rsidR="00211066">
              <w:rPr>
                <w:rFonts w:ascii="Times New Roman" w:hAnsi="Times New Roman"/>
                <w:bCs/>
                <w:sz w:val="24"/>
                <w:szCs w:val="24"/>
              </w:rPr>
              <w:t xml:space="preserve"> un par tām Studiju </w:t>
            </w:r>
            <w:r w:rsidR="00211066">
              <w:rPr>
                <w:rFonts w:ascii="Times New Roman" w:hAnsi="Times New Roman"/>
                <w:bCs/>
                <w:sz w:val="24"/>
                <w:szCs w:val="24"/>
              </w:rPr>
              <w:lastRenderedPageBreak/>
              <w:t>kvalitātes komisija lemj bez eksperta novērtējuma.</w:t>
            </w:r>
            <w:r w:rsidR="006F37E4">
              <w:rPr>
                <w:rFonts w:ascii="Times New Roman" w:hAnsi="Times New Roman"/>
                <w:bCs/>
                <w:sz w:val="24"/>
                <w:szCs w:val="24"/>
              </w:rPr>
              <w:t xml:space="preserve"> Projekta 2.3.4.apakšpunkts paredz izmaiņas, kad</w:t>
            </w:r>
            <w:r w:rsidR="006F37E4" w:rsidRPr="006F37E4">
              <w:rPr>
                <w:rFonts w:ascii="Times New Roman" w:hAnsi="Times New Roman"/>
                <w:bCs/>
                <w:sz w:val="24"/>
                <w:szCs w:val="24"/>
              </w:rPr>
              <w:t xml:space="preserve"> studiju virziena akreditācijas periodā šim studiju virzienam atbil</w:t>
            </w:r>
            <w:r w:rsidR="006F37E4">
              <w:rPr>
                <w:rFonts w:ascii="Times New Roman" w:hAnsi="Times New Roman"/>
                <w:bCs/>
                <w:sz w:val="24"/>
                <w:szCs w:val="24"/>
              </w:rPr>
              <w:t>stošās studiju programmas ilguma vai apjoma izmaiņas</w:t>
            </w:r>
            <w:r w:rsidR="006F37E4" w:rsidRPr="006F37E4">
              <w:rPr>
                <w:rFonts w:ascii="Times New Roman" w:hAnsi="Times New Roman"/>
                <w:bCs/>
                <w:sz w:val="24"/>
                <w:szCs w:val="24"/>
              </w:rPr>
              <w:t xml:space="preserve"> pārsniedz 20 procentu no studiju virziena akreditācijas iesniegumā noteiktās studiju virzienam atbilstošās studiju programmas apjoma kredītpunktos</w:t>
            </w:r>
            <w:r w:rsidR="006F37E4">
              <w:rPr>
                <w:rFonts w:ascii="Times New Roman" w:hAnsi="Times New Roman"/>
                <w:bCs/>
                <w:sz w:val="24"/>
                <w:szCs w:val="24"/>
              </w:rPr>
              <w:t>. Minētais paredz, ka mainījies studiju programmas apjoms kredītpunktos vai studiju programmas ilgums gados. Vienlaikus izmaiņas studiju programmas apjomā kredītpunktos var būt saistītas ar izmaiņām studiju programmas saturā, piemēram, kad daļa studiju kursu tiek aizstāta ar pavisam citiem studiju kursiem.</w:t>
            </w:r>
            <w:r w:rsidR="00A63E89">
              <w:rPr>
                <w:rFonts w:ascii="Times New Roman" w:hAnsi="Times New Roman"/>
                <w:bCs/>
                <w:sz w:val="24"/>
                <w:szCs w:val="24"/>
              </w:rPr>
              <w:t xml:space="preserve"> Projekta 2.3.5.apakšpunkts </w:t>
            </w:r>
            <w:r w:rsidR="00991F4B">
              <w:rPr>
                <w:rFonts w:ascii="Times New Roman" w:hAnsi="Times New Roman"/>
                <w:bCs/>
                <w:sz w:val="24"/>
                <w:szCs w:val="24"/>
              </w:rPr>
              <w:t>paredz izmaiņas, kad</w:t>
            </w:r>
            <w:r w:rsidR="00991F4B" w:rsidRPr="00991F4B">
              <w:rPr>
                <w:rFonts w:ascii="Times New Roman" w:hAnsi="Times New Roman"/>
                <w:sz w:val="28"/>
                <w:szCs w:val="28"/>
              </w:rPr>
              <w:t xml:space="preserve"> </w:t>
            </w:r>
            <w:r w:rsidR="00991F4B" w:rsidRPr="00991F4B">
              <w:rPr>
                <w:rFonts w:ascii="Times New Roman" w:hAnsi="Times New Roman"/>
                <w:bCs/>
                <w:sz w:val="24"/>
                <w:szCs w:val="24"/>
              </w:rPr>
              <w:t xml:space="preserve">augstskolā vai koledžā attiecīgajā studiju virzienā vai studiju virzienam atbilstošajā studiju programmā strādājošā akadēmiskā personāla </w:t>
            </w:r>
            <w:r w:rsidR="00217C32">
              <w:rPr>
                <w:rFonts w:ascii="Times New Roman" w:hAnsi="Times New Roman"/>
                <w:bCs/>
                <w:sz w:val="24"/>
                <w:szCs w:val="24"/>
              </w:rPr>
              <w:t xml:space="preserve">kvalifikācijas pazemināšanās </w:t>
            </w:r>
            <w:r w:rsidR="00991F4B" w:rsidRPr="00991F4B">
              <w:rPr>
                <w:rFonts w:ascii="Times New Roman" w:hAnsi="Times New Roman"/>
                <w:bCs/>
                <w:sz w:val="24"/>
                <w:szCs w:val="24"/>
              </w:rPr>
              <w:t xml:space="preserve">kopš iepriekšējās studiju virziena akreditācijas, ja tās attiecas uz vismaz </w:t>
            </w:r>
            <w:r w:rsidR="00E46489">
              <w:rPr>
                <w:rFonts w:ascii="Times New Roman" w:hAnsi="Times New Roman"/>
                <w:bCs/>
                <w:sz w:val="24"/>
                <w:szCs w:val="24"/>
              </w:rPr>
              <w:t>2</w:t>
            </w:r>
            <w:r w:rsidR="00E21E76" w:rsidRPr="009E3F85">
              <w:rPr>
                <w:rFonts w:ascii="Times New Roman" w:hAnsi="Times New Roman"/>
                <w:bCs/>
                <w:sz w:val="24"/>
                <w:szCs w:val="24"/>
              </w:rPr>
              <w:t>0</w:t>
            </w:r>
            <w:r w:rsidR="00991F4B" w:rsidRPr="009E3F85">
              <w:rPr>
                <w:rFonts w:ascii="Times New Roman" w:hAnsi="Times New Roman"/>
                <w:bCs/>
                <w:sz w:val="24"/>
                <w:szCs w:val="24"/>
              </w:rPr>
              <w:t xml:space="preserve"> procentiem</w:t>
            </w:r>
            <w:r w:rsidR="00991F4B" w:rsidRPr="00991F4B">
              <w:rPr>
                <w:rFonts w:ascii="Times New Roman" w:hAnsi="Times New Roman"/>
                <w:bCs/>
                <w:sz w:val="24"/>
                <w:szCs w:val="24"/>
              </w:rPr>
              <w:t xml:space="preserve"> no attiecīgajā studiju virzienā strādājošā akadēmiskā personāla kopskaita vai ja vismaz 50 procentu no kopīgā akadēmiskā darba apjoma augstskolā vai koledžā attiecīgajā studiju virzienā (neietverot studiju programmas brīvās izvēles daļas, prakšu un gala pārbaudījumu īstenošanu) izpildi vairs nenodrošina akadēmiskais personāls, kura ievēlēšanas vieta ir attiecīgā augstskola vai koledža</w:t>
            </w:r>
            <w:r w:rsidR="00991F4B">
              <w:rPr>
                <w:rFonts w:ascii="Times New Roman" w:hAnsi="Times New Roman"/>
                <w:bCs/>
                <w:sz w:val="24"/>
                <w:szCs w:val="24"/>
              </w:rPr>
              <w:t xml:space="preserve">. Minētais paredz izmaiņas, kad nomainās </w:t>
            </w:r>
            <w:r w:rsidR="005D4608">
              <w:rPr>
                <w:rFonts w:ascii="Times New Roman" w:hAnsi="Times New Roman"/>
                <w:bCs/>
                <w:sz w:val="24"/>
                <w:szCs w:val="24"/>
              </w:rPr>
              <w:t xml:space="preserve">akadēmiskā personāla sastāvs attiecībā pret to akadēmisko personālu, kura kvalifikācija tika vērtēta studiju virziena akreditācijas laikā, vai samazinās akadēmiskā personāla skaits un studiju programmu īstenošanu nodrošina </w:t>
            </w:r>
            <w:proofErr w:type="spellStart"/>
            <w:r w:rsidR="005D4608">
              <w:rPr>
                <w:rFonts w:ascii="Times New Roman" w:hAnsi="Times New Roman"/>
                <w:bCs/>
                <w:sz w:val="24"/>
                <w:szCs w:val="24"/>
              </w:rPr>
              <w:t>viespasniedzēji</w:t>
            </w:r>
            <w:proofErr w:type="spellEnd"/>
            <w:r w:rsidR="005D4608">
              <w:rPr>
                <w:rFonts w:ascii="Times New Roman" w:hAnsi="Times New Roman"/>
                <w:bCs/>
                <w:sz w:val="24"/>
                <w:szCs w:val="24"/>
              </w:rPr>
              <w:t>.</w:t>
            </w:r>
          </w:p>
          <w:p w:rsidR="00211066" w:rsidRDefault="00211066" w:rsidP="00B53DA3">
            <w:pPr>
              <w:spacing w:after="0" w:line="240" w:lineRule="auto"/>
              <w:jc w:val="both"/>
              <w:rPr>
                <w:rFonts w:ascii="Times New Roman" w:hAnsi="Times New Roman"/>
                <w:bCs/>
                <w:sz w:val="24"/>
                <w:szCs w:val="24"/>
              </w:rPr>
            </w:pPr>
            <w:r>
              <w:rPr>
                <w:rFonts w:ascii="Times New Roman" w:hAnsi="Times New Roman"/>
                <w:bCs/>
                <w:sz w:val="24"/>
                <w:szCs w:val="24"/>
              </w:rPr>
              <w:t>Ņemot vērā to, ka Studiju kvalitātes komisijas lēmumi ir administratīvie akti un to apstrīdēšana notiek Administratīvā procesa likumā no</w:t>
            </w:r>
            <w:r w:rsidR="00AC59E3">
              <w:rPr>
                <w:rFonts w:ascii="Times New Roman" w:hAnsi="Times New Roman"/>
                <w:bCs/>
                <w:sz w:val="24"/>
                <w:szCs w:val="24"/>
              </w:rPr>
              <w:t>teiktajā kārtībā, tad projekta 3</w:t>
            </w:r>
            <w:r>
              <w:rPr>
                <w:rFonts w:ascii="Times New Roman" w:hAnsi="Times New Roman"/>
                <w:bCs/>
                <w:sz w:val="24"/>
                <w:szCs w:val="24"/>
              </w:rPr>
              <w:t xml:space="preserve">.punkts nosaka, </w:t>
            </w:r>
            <w:r w:rsidR="001E02E4">
              <w:rPr>
                <w:rFonts w:ascii="Times New Roman" w:hAnsi="Times New Roman"/>
                <w:bCs/>
                <w:sz w:val="24"/>
                <w:szCs w:val="24"/>
              </w:rPr>
              <w:t xml:space="preserve">ka </w:t>
            </w:r>
            <w:r>
              <w:rPr>
                <w:rFonts w:ascii="Times New Roman" w:hAnsi="Times New Roman"/>
                <w:bCs/>
                <w:sz w:val="24"/>
                <w:szCs w:val="24"/>
              </w:rPr>
              <w:t>Apelācijas komisija darbojas saskaņā ar Administratīvā procesa likumā noteikto kārtību un pieņem lēmumus par apstrīdētajiem Studiju kvalitātes komisijas lēmumiem atbilstoši Administratīvā procesa likumā noteiktajam.</w:t>
            </w:r>
          </w:p>
          <w:p w:rsidR="00AC59E3" w:rsidRDefault="00AC59E3" w:rsidP="00B53DA3">
            <w:pPr>
              <w:spacing w:after="0" w:line="240" w:lineRule="auto"/>
              <w:jc w:val="both"/>
              <w:rPr>
                <w:rFonts w:ascii="Times New Roman" w:hAnsi="Times New Roman"/>
                <w:bCs/>
                <w:sz w:val="24"/>
                <w:szCs w:val="24"/>
              </w:rPr>
            </w:pPr>
            <w:r>
              <w:rPr>
                <w:rFonts w:ascii="Times New Roman" w:hAnsi="Times New Roman"/>
                <w:bCs/>
                <w:sz w:val="24"/>
                <w:szCs w:val="24"/>
              </w:rPr>
              <w:t>Projekta 4.punktā ir noteikts, ka Studiju kvalitātes komisijai un Apelācijas komisijai ir Administratīvā procesa likumā noteiktās tiesības, kas, piemēram, ir tiesības iegūt lēmuma pieņemšanai nepieciešamo informāciju.</w:t>
            </w:r>
          </w:p>
          <w:p w:rsidR="00211066" w:rsidRDefault="00C50D69" w:rsidP="00B53DA3">
            <w:pPr>
              <w:spacing w:after="0" w:line="240" w:lineRule="auto"/>
              <w:jc w:val="both"/>
              <w:rPr>
                <w:rFonts w:ascii="Times New Roman" w:hAnsi="Times New Roman"/>
                <w:bCs/>
                <w:sz w:val="24"/>
                <w:szCs w:val="24"/>
              </w:rPr>
            </w:pPr>
            <w:r>
              <w:rPr>
                <w:rFonts w:ascii="Times New Roman" w:hAnsi="Times New Roman"/>
                <w:bCs/>
                <w:sz w:val="24"/>
                <w:szCs w:val="24"/>
              </w:rPr>
              <w:t xml:space="preserve">Projekta </w:t>
            </w:r>
            <w:proofErr w:type="spellStart"/>
            <w:r>
              <w:rPr>
                <w:rFonts w:ascii="Times New Roman" w:hAnsi="Times New Roman"/>
                <w:bCs/>
                <w:sz w:val="24"/>
                <w:szCs w:val="24"/>
              </w:rPr>
              <w:t>III.nodaļa</w:t>
            </w:r>
            <w:proofErr w:type="spellEnd"/>
            <w:r>
              <w:rPr>
                <w:rFonts w:ascii="Times New Roman" w:hAnsi="Times New Roman"/>
                <w:bCs/>
                <w:sz w:val="24"/>
                <w:szCs w:val="24"/>
              </w:rPr>
              <w:t xml:space="preserve"> nosaka studiju virzienu atvēršana</w:t>
            </w:r>
            <w:r w:rsidR="00AC59E3">
              <w:rPr>
                <w:rFonts w:ascii="Times New Roman" w:hAnsi="Times New Roman"/>
                <w:bCs/>
                <w:sz w:val="24"/>
                <w:szCs w:val="24"/>
              </w:rPr>
              <w:t>s kārtību, līdz ar to projekta 5</w:t>
            </w:r>
            <w:r>
              <w:rPr>
                <w:rFonts w:ascii="Times New Roman" w:hAnsi="Times New Roman"/>
                <w:bCs/>
                <w:sz w:val="24"/>
                <w:szCs w:val="24"/>
              </w:rPr>
              <w:t>.punktā ir noteikts, ka projekta 1.pielikumā ir uzskaitīti studiju virzieni. Studiju virzieni ir saturisk</w:t>
            </w:r>
            <w:r w:rsidR="001E02E4">
              <w:rPr>
                <w:rFonts w:ascii="Times New Roman" w:hAnsi="Times New Roman"/>
                <w:bCs/>
                <w:sz w:val="24"/>
                <w:szCs w:val="24"/>
              </w:rPr>
              <w:t>i līdzīgu studiju programmu grupa</w:t>
            </w:r>
            <w:r>
              <w:rPr>
                <w:rFonts w:ascii="Times New Roman" w:hAnsi="Times New Roman"/>
                <w:bCs/>
                <w:sz w:val="24"/>
                <w:szCs w:val="24"/>
              </w:rPr>
              <w:t xml:space="preserve">. </w:t>
            </w:r>
            <w:r w:rsidR="00C8322E" w:rsidRPr="00BB6664">
              <w:rPr>
                <w:rFonts w:ascii="Times New Roman" w:hAnsi="Times New Roman"/>
                <w:bCs/>
                <w:sz w:val="24"/>
                <w:szCs w:val="24"/>
              </w:rPr>
              <w:t xml:space="preserve">Atsevišķi ir izdalīts studiju virziens “Jūrniecība”, ņemot vērā jūrniecības jomas profesiju īpašās prasības un dažādo </w:t>
            </w:r>
            <w:r w:rsidR="00FF7EEB" w:rsidRPr="00BB6664">
              <w:rPr>
                <w:rFonts w:ascii="Times New Roman" w:hAnsi="Times New Roman"/>
                <w:bCs/>
                <w:sz w:val="24"/>
                <w:szCs w:val="24"/>
              </w:rPr>
              <w:t xml:space="preserve">jūrniecības </w:t>
            </w:r>
            <w:r w:rsidR="00C8322E" w:rsidRPr="00BB6664">
              <w:rPr>
                <w:rFonts w:ascii="Times New Roman" w:hAnsi="Times New Roman"/>
                <w:bCs/>
                <w:sz w:val="24"/>
                <w:szCs w:val="24"/>
              </w:rPr>
              <w:t>profesiju sasaisti</w:t>
            </w:r>
            <w:r w:rsidR="00FF7EEB" w:rsidRPr="00BB6664">
              <w:rPr>
                <w:rFonts w:ascii="Times New Roman" w:hAnsi="Times New Roman"/>
                <w:bCs/>
                <w:sz w:val="24"/>
                <w:szCs w:val="24"/>
              </w:rPr>
              <w:t xml:space="preserve">, un atsevišķi no šobrīd esošā studiju virziena “Lauksaimniecība, mežsaimniecība, zivsaimniecība, </w:t>
            </w:r>
            <w:r w:rsidR="00FF7EEB" w:rsidRPr="00BB6664">
              <w:rPr>
                <w:rFonts w:ascii="Times New Roman" w:hAnsi="Times New Roman"/>
                <w:bCs/>
                <w:sz w:val="24"/>
                <w:szCs w:val="24"/>
              </w:rPr>
              <w:lastRenderedPageBreak/>
              <w:t>veterinārmedicīna un pārtikas higiēna” nodalīts studiju virziens “Veterinārmedicīna”, tādējādi dodot iespēju šo studiju virzienu akreditēt specializētā veterinārmedicīnas kvalitātes nodrošināšanas aģentūrā.</w:t>
            </w:r>
            <w:r w:rsidR="009E3F85">
              <w:rPr>
                <w:rFonts w:ascii="Times New Roman" w:hAnsi="Times New Roman"/>
                <w:bCs/>
                <w:sz w:val="24"/>
                <w:szCs w:val="24"/>
              </w:rPr>
              <w:t xml:space="preserve"> Vienlaikus no studiju virziena “Izglītība, pedagoģija un sports” nodalīts studiju virziens “Sports”, ņemot vērā to, ka sports neatbilst izglītībai un pedagoģijai. Pāreja uz</w:t>
            </w:r>
            <w:r w:rsidR="00FF7EEB">
              <w:rPr>
                <w:rFonts w:ascii="Times New Roman" w:hAnsi="Times New Roman"/>
                <w:bCs/>
                <w:sz w:val="24"/>
                <w:szCs w:val="24"/>
              </w:rPr>
              <w:t xml:space="preserve"> jaunajiem studiju virzieniem notiks, kad pienāks brīdis akreditēt to studiju virzienu, kuram atbilstošās studiju programmas tiks iekļautas citā studiju virzienā. Proti, līdz Augstskolu likuma pārejas noteikumu 48.punktā (redakcijā, kas stāsies spēkā 2019.gada 1.janvārī) noteiktā termiņa beigām akreditēti ir tie studiju virzieni, kas noteikti Augstskolu likuma pārejas noteikumu 48.punktā (redakcijā, kas stāsies spēkā 2019.gada 1.janvārī), iesniedzot iesniegumu studiju virziena akreditācijai, augstskola vai koledža to iesniegs par jauno studiju virzienu, proti, par studiju virzienu “Jūrniecība” līdz </w:t>
            </w:r>
            <w:r w:rsidR="009E3F85">
              <w:rPr>
                <w:rFonts w:ascii="Times New Roman" w:hAnsi="Times New Roman"/>
                <w:bCs/>
                <w:sz w:val="24"/>
                <w:szCs w:val="24"/>
              </w:rPr>
              <w:t>2021.gada 31.decembrim,</w:t>
            </w:r>
            <w:r w:rsidR="00FF7EEB">
              <w:rPr>
                <w:rFonts w:ascii="Times New Roman" w:hAnsi="Times New Roman"/>
                <w:bCs/>
                <w:sz w:val="24"/>
                <w:szCs w:val="24"/>
              </w:rPr>
              <w:t xml:space="preserve"> par studiju virzienu “Lauksaimniecība, mežsaimniecība, zivsaimniecība un pārtikas higiēna” un studiju virzienu “Veterinārmedicīna” līdz 2021.gada 31.decembrim</w:t>
            </w:r>
            <w:r w:rsidR="009E3F85">
              <w:rPr>
                <w:rFonts w:ascii="Times New Roman" w:hAnsi="Times New Roman"/>
                <w:bCs/>
                <w:sz w:val="24"/>
                <w:szCs w:val="24"/>
              </w:rPr>
              <w:t>, savukārt par studiju virzienu “Izglītība un pedagoģija” un studiju virzienu “Sports” līdz 2023.gada 31.decembrim.</w:t>
            </w:r>
          </w:p>
          <w:p w:rsidR="00D40005" w:rsidRDefault="00D40005" w:rsidP="00B53DA3">
            <w:pPr>
              <w:spacing w:after="0" w:line="240" w:lineRule="auto"/>
              <w:jc w:val="both"/>
              <w:rPr>
                <w:rFonts w:ascii="Times New Roman" w:hAnsi="Times New Roman"/>
                <w:bCs/>
                <w:sz w:val="24"/>
                <w:szCs w:val="24"/>
              </w:rPr>
            </w:pPr>
            <w:r>
              <w:rPr>
                <w:rFonts w:ascii="Times New Roman" w:hAnsi="Times New Roman"/>
                <w:bCs/>
                <w:sz w:val="24"/>
                <w:szCs w:val="24"/>
              </w:rPr>
              <w:t>Augstskolu likuma 55.</w:t>
            </w:r>
            <w:r>
              <w:rPr>
                <w:rFonts w:ascii="Times New Roman" w:hAnsi="Times New Roman"/>
                <w:bCs/>
                <w:sz w:val="24"/>
                <w:szCs w:val="24"/>
                <w:vertAlign w:val="superscript"/>
              </w:rPr>
              <w:t>3</w:t>
            </w:r>
            <w:r>
              <w:rPr>
                <w:rFonts w:ascii="Times New Roman" w:hAnsi="Times New Roman"/>
                <w:bCs/>
                <w:sz w:val="24"/>
                <w:szCs w:val="24"/>
              </w:rPr>
              <w:t>panta pirmā daļa</w:t>
            </w:r>
            <w:r w:rsidR="00250801">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paredz, ka lēmumu par studiju virziena atvēršanu pieņem dibinātājs, līdz ar to valsts dibinātām augstskolām un koledžām tas arī turpmāk ir Ministru kabinets, savukārt pārējām augstskolām un koledžām tas ir to dibinātājs. Valsts dibinātu augstskolu koledžām dibinātājs ir attiecīgā valsts dibinātā augstskola.</w:t>
            </w:r>
            <w:r w:rsidR="00AC59E3">
              <w:rPr>
                <w:rFonts w:ascii="Times New Roman" w:hAnsi="Times New Roman"/>
                <w:bCs/>
                <w:sz w:val="24"/>
                <w:szCs w:val="24"/>
              </w:rPr>
              <w:t xml:space="preserve"> Projekta 6</w:t>
            </w:r>
            <w:r w:rsidR="00250801">
              <w:rPr>
                <w:rFonts w:ascii="Times New Roman" w:hAnsi="Times New Roman"/>
                <w:bCs/>
                <w:sz w:val="24"/>
                <w:szCs w:val="24"/>
              </w:rPr>
              <w:t xml:space="preserve">.punkts nosaka, </w:t>
            </w:r>
            <w:r w:rsidR="00AC59E3">
              <w:rPr>
                <w:rFonts w:ascii="Times New Roman" w:hAnsi="Times New Roman"/>
                <w:bCs/>
                <w:sz w:val="24"/>
                <w:szCs w:val="24"/>
              </w:rPr>
              <w:t>ka</w:t>
            </w:r>
            <w:r w:rsidR="00250801">
              <w:rPr>
                <w:rFonts w:ascii="Times New Roman" w:hAnsi="Times New Roman"/>
                <w:bCs/>
                <w:sz w:val="24"/>
                <w:szCs w:val="24"/>
              </w:rPr>
              <w:t xml:space="preserve"> valsts di</w:t>
            </w:r>
            <w:r w:rsidR="002D3B1A">
              <w:rPr>
                <w:rFonts w:ascii="Times New Roman" w:hAnsi="Times New Roman"/>
                <w:bCs/>
                <w:sz w:val="24"/>
                <w:szCs w:val="24"/>
              </w:rPr>
              <w:t>binātas augstskolas un koledžas</w:t>
            </w:r>
            <w:r w:rsidR="00250801">
              <w:rPr>
                <w:rFonts w:ascii="Times New Roman" w:hAnsi="Times New Roman"/>
                <w:bCs/>
                <w:sz w:val="24"/>
                <w:szCs w:val="24"/>
              </w:rPr>
              <w:t xml:space="preserve"> iesniedz iesniegumu jauna studiju virziena atvēršanai</w:t>
            </w:r>
            <w:r w:rsidR="00AC59E3">
              <w:rPr>
                <w:rFonts w:ascii="Times New Roman" w:hAnsi="Times New Roman"/>
                <w:bCs/>
                <w:sz w:val="24"/>
                <w:szCs w:val="24"/>
              </w:rPr>
              <w:t xml:space="preserve"> Augstskolu likumā noteiktajā </w:t>
            </w:r>
            <w:r w:rsidR="00E91D9F">
              <w:rPr>
                <w:rFonts w:ascii="Times New Roman" w:hAnsi="Times New Roman"/>
                <w:bCs/>
                <w:sz w:val="24"/>
                <w:szCs w:val="24"/>
              </w:rPr>
              <w:t>ministrijā</w:t>
            </w:r>
            <w:r w:rsidR="00250801">
              <w:rPr>
                <w:rFonts w:ascii="Times New Roman" w:hAnsi="Times New Roman"/>
                <w:bCs/>
                <w:sz w:val="24"/>
                <w:szCs w:val="24"/>
              </w:rPr>
              <w:t>, un nosaka, ka pārējās augstskolas un koledžas lūdz dibinātā</w:t>
            </w:r>
            <w:r w:rsidR="002D3B1A">
              <w:rPr>
                <w:rFonts w:ascii="Times New Roman" w:hAnsi="Times New Roman"/>
                <w:bCs/>
                <w:sz w:val="24"/>
                <w:szCs w:val="24"/>
              </w:rPr>
              <w:t>ja</w:t>
            </w:r>
            <w:r w:rsidR="00250801">
              <w:rPr>
                <w:rFonts w:ascii="Times New Roman" w:hAnsi="Times New Roman"/>
                <w:bCs/>
                <w:sz w:val="24"/>
                <w:szCs w:val="24"/>
              </w:rPr>
              <w:t>m pieņemt lēmumu par jauna studiju virziena atvēršanu.</w:t>
            </w:r>
          </w:p>
          <w:p w:rsidR="00250801" w:rsidRPr="001A38F1" w:rsidRDefault="00AC59E3" w:rsidP="00B53DA3">
            <w:pPr>
              <w:spacing w:after="0" w:line="240" w:lineRule="auto"/>
              <w:jc w:val="both"/>
              <w:rPr>
                <w:rFonts w:ascii="Times New Roman" w:hAnsi="Times New Roman"/>
                <w:bCs/>
                <w:sz w:val="24"/>
                <w:szCs w:val="24"/>
              </w:rPr>
            </w:pPr>
            <w:r>
              <w:rPr>
                <w:rFonts w:ascii="Times New Roman" w:hAnsi="Times New Roman"/>
                <w:bCs/>
                <w:sz w:val="24"/>
                <w:szCs w:val="24"/>
              </w:rPr>
              <w:t>Projekta 7</w:t>
            </w:r>
            <w:r w:rsidR="00250801">
              <w:rPr>
                <w:rFonts w:ascii="Times New Roman" w:hAnsi="Times New Roman"/>
                <w:bCs/>
                <w:sz w:val="24"/>
                <w:szCs w:val="24"/>
              </w:rPr>
              <w:t>.punktā ietverts informācijas apjoms, kas valsts dibinātai augstskolai vai koledžai jāiesniedz, lai varētu tikt pieņemts lēmums par jauna studij</w:t>
            </w:r>
            <w:r>
              <w:rPr>
                <w:rFonts w:ascii="Times New Roman" w:hAnsi="Times New Roman"/>
                <w:bCs/>
                <w:sz w:val="24"/>
                <w:szCs w:val="24"/>
              </w:rPr>
              <w:t>u virziena atvēršanu. Projekta 7</w:t>
            </w:r>
            <w:r w:rsidR="00250801">
              <w:rPr>
                <w:rFonts w:ascii="Times New Roman" w:hAnsi="Times New Roman"/>
                <w:bCs/>
                <w:sz w:val="24"/>
                <w:szCs w:val="24"/>
              </w:rPr>
              <w:t>.punktā norādītā informācija sniegs priekšstatu par augstskolai vai koledžai pieejamajiem resursiem, kā arī par augstskolai vai koledžai nepieciešamo resursu studiju virziena atvēršanai un tam atbilstošo studiju programmu īstenošanai nodrošināšanu. Vienlaikus augstskolas un koledžas sniegs informāciju par studiju virziena ietvaros licencējamo studiju programmu plānu, tādējādi informējot par augstskolas vai koledžas darbības attīstību jaunajā studiju virzienā, kā arī augstskolai un koledžai jaunā studiju virziena attīstībai ir j</w:t>
            </w:r>
            <w:r w:rsidR="002D3B1A">
              <w:rPr>
                <w:rFonts w:ascii="Times New Roman" w:hAnsi="Times New Roman"/>
                <w:bCs/>
                <w:sz w:val="24"/>
                <w:szCs w:val="24"/>
              </w:rPr>
              <w:t>āatbilst tās stratēģijai un</w:t>
            </w:r>
            <w:r w:rsidR="00250801">
              <w:rPr>
                <w:rFonts w:ascii="Times New Roman" w:hAnsi="Times New Roman"/>
                <w:bCs/>
                <w:sz w:val="24"/>
                <w:szCs w:val="24"/>
              </w:rPr>
              <w:t xml:space="preserve"> jābūt iekļautai tās stratēģijā, lai būtu iespējams izvērtēt, vai attiecīgajai valsts dibinātājai augstskolai vai koledžai nepieciešams </w:t>
            </w:r>
            <w:r w:rsidR="00AF08F3">
              <w:rPr>
                <w:rFonts w:ascii="Times New Roman" w:hAnsi="Times New Roman"/>
                <w:bCs/>
                <w:sz w:val="24"/>
                <w:szCs w:val="24"/>
              </w:rPr>
              <w:t xml:space="preserve">attīstīt </w:t>
            </w:r>
            <w:r w:rsidR="00AF08F3">
              <w:rPr>
                <w:rFonts w:ascii="Times New Roman" w:hAnsi="Times New Roman"/>
                <w:bCs/>
                <w:sz w:val="24"/>
                <w:szCs w:val="24"/>
              </w:rPr>
              <w:lastRenderedPageBreak/>
              <w:t xml:space="preserve">jaunu studiju </w:t>
            </w:r>
            <w:r w:rsidR="00AF08F3" w:rsidRPr="001A38F1">
              <w:rPr>
                <w:rFonts w:ascii="Times New Roman" w:hAnsi="Times New Roman"/>
                <w:bCs/>
                <w:sz w:val="24"/>
                <w:szCs w:val="24"/>
              </w:rPr>
              <w:t>virzienu</w:t>
            </w:r>
            <w:r w:rsidR="001A38F1" w:rsidRPr="001A38F1">
              <w:rPr>
                <w:rFonts w:ascii="Times New Roman" w:hAnsi="Times New Roman"/>
                <w:bCs/>
                <w:sz w:val="24"/>
                <w:szCs w:val="24"/>
              </w:rPr>
              <w:t>,</w:t>
            </w:r>
            <w:r w:rsidR="001A38F1" w:rsidRPr="001A38F1">
              <w:rPr>
                <w:rFonts w:ascii="Times New Roman" w:hAnsi="Times New Roman"/>
                <w:sz w:val="24"/>
                <w:szCs w:val="24"/>
              </w:rPr>
              <w:t xml:space="preserve"> tostarp informāciju par izveidoto un plānoto partnerību ar citām Latvijas un ārvalstu institūcijām un organizācijām studiju virziena īstenošanai</w:t>
            </w:r>
            <w:r w:rsidR="00AF08F3" w:rsidRPr="001A38F1">
              <w:rPr>
                <w:rFonts w:ascii="Times New Roman" w:hAnsi="Times New Roman"/>
                <w:bCs/>
                <w:sz w:val="24"/>
                <w:szCs w:val="24"/>
              </w:rPr>
              <w:t>.</w:t>
            </w:r>
          </w:p>
          <w:p w:rsidR="00AF08F3" w:rsidRDefault="00AF08F3" w:rsidP="00B53DA3">
            <w:pPr>
              <w:spacing w:after="0" w:line="240" w:lineRule="auto"/>
              <w:jc w:val="both"/>
              <w:rPr>
                <w:rFonts w:ascii="Times New Roman" w:hAnsi="Times New Roman"/>
                <w:bCs/>
                <w:sz w:val="24"/>
                <w:szCs w:val="24"/>
              </w:rPr>
            </w:pPr>
            <w:r>
              <w:rPr>
                <w:rFonts w:ascii="Times New Roman" w:hAnsi="Times New Roman"/>
                <w:bCs/>
                <w:sz w:val="24"/>
                <w:szCs w:val="24"/>
              </w:rPr>
              <w:t xml:space="preserve">Ņemot vērā to, ka lēmuma pieņemšanai ir nepieciešama </w:t>
            </w:r>
            <w:r w:rsidR="00AC59E3">
              <w:rPr>
                <w:rFonts w:ascii="Times New Roman" w:hAnsi="Times New Roman"/>
                <w:bCs/>
                <w:sz w:val="24"/>
                <w:szCs w:val="24"/>
              </w:rPr>
              <w:t>visa projekta 7</w:t>
            </w:r>
            <w:r>
              <w:rPr>
                <w:rFonts w:ascii="Times New Roman" w:hAnsi="Times New Roman"/>
                <w:bCs/>
                <w:sz w:val="24"/>
                <w:szCs w:val="24"/>
              </w:rPr>
              <w:t>.punktā minētā informāc</w:t>
            </w:r>
            <w:r w:rsidR="00AC59E3">
              <w:rPr>
                <w:rFonts w:ascii="Times New Roman" w:hAnsi="Times New Roman"/>
                <w:bCs/>
                <w:sz w:val="24"/>
                <w:szCs w:val="24"/>
              </w:rPr>
              <w:t>ija, institūcijai, kurā iesnieg</w:t>
            </w:r>
            <w:r w:rsidR="00E91D9F">
              <w:rPr>
                <w:rFonts w:ascii="Times New Roman" w:hAnsi="Times New Roman"/>
                <w:bCs/>
                <w:sz w:val="24"/>
                <w:szCs w:val="24"/>
              </w:rPr>
              <w:t>t</w:t>
            </w:r>
            <w:r>
              <w:rPr>
                <w:rFonts w:ascii="Times New Roman" w:hAnsi="Times New Roman"/>
                <w:bCs/>
                <w:sz w:val="24"/>
                <w:szCs w:val="24"/>
              </w:rPr>
              <w:t>s iesniegums jauna studiju virziena atvēršanai, ir jāpārbauda iesniegtā informāciju un jālūdz iesniegt trūkstošā informācija, ja nav iesniegta visa nepie</w:t>
            </w:r>
            <w:r w:rsidR="00AC59E3">
              <w:rPr>
                <w:rFonts w:ascii="Times New Roman" w:hAnsi="Times New Roman"/>
                <w:bCs/>
                <w:sz w:val="24"/>
                <w:szCs w:val="24"/>
              </w:rPr>
              <w:t xml:space="preserve">ciešamā informācija. Projekta </w:t>
            </w:r>
            <w:r w:rsidR="00E91D9F">
              <w:rPr>
                <w:rFonts w:ascii="Times New Roman" w:hAnsi="Times New Roman"/>
                <w:bCs/>
                <w:sz w:val="24"/>
                <w:szCs w:val="24"/>
              </w:rPr>
              <w:t>7.6.1</w:t>
            </w:r>
            <w:r>
              <w:rPr>
                <w:rFonts w:ascii="Times New Roman" w:hAnsi="Times New Roman"/>
                <w:bCs/>
                <w:sz w:val="24"/>
                <w:szCs w:val="24"/>
              </w:rPr>
              <w:t>.</w:t>
            </w:r>
            <w:r w:rsidR="00E91D9F">
              <w:rPr>
                <w:rFonts w:ascii="Times New Roman" w:hAnsi="Times New Roman"/>
                <w:bCs/>
                <w:sz w:val="24"/>
                <w:szCs w:val="24"/>
              </w:rPr>
              <w:t>apakš</w:t>
            </w:r>
            <w:r>
              <w:rPr>
                <w:rFonts w:ascii="Times New Roman" w:hAnsi="Times New Roman"/>
                <w:bCs/>
                <w:sz w:val="24"/>
                <w:szCs w:val="24"/>
              </w:rPr>
              <w:t xml:space="preserve">punkts tāpat kā šobrīd licencēšanas noteikumi paredz noteikt, kuras institūcijas sniedz </w:t>
            </w:r>
            <w:r w:rsidR="001A38F1">
              <w:rPr>
                <w:rFonts w:ascii="Times New Roman" w:hAnsi="Times New Roman"/>
                <w:bCs/>
                <w:sz w:val="24"/>
                <w:szCs w:val="24"/>
              </w:rPr>
              <w:t xml:space="preserve">atzinumus </w:t>
            </w:r>
            <w:r>
              <w:rPr>
                <w:rFonts w:ascii="Times New Roman" w:hAnsi="Times New Roman"/>
                <w:bCs/>
                <w:sz w:val="24"/>
                <w:szCs w:val="24"/>
              </w:rPr>
              <w:t>par jauna studiju virziena atvēršanas atbilstību valsts attīstības prioritātēm, kas ir tas informācijas avots, kurš tiek ņemts vērā, lai izvērtētu studiju virziena atbilstību valsts attīstības prioritātēm, kā to nosaka Augstskolu likuma 55.</w:t>
            </w:r>
            <w:r>
              <w:rPr>
                <w:rFonts w:ascii="Times New Roman" w:hAnsi="Times New Roman"/>
                <w:bCs/>
                <w:sz w:val="24"/>
                <w:szCs w:val="24"/>
                <w:vertAlign w:val="superscript"/>
              </w:rPr>
              <w:t>3</w:t>
            </w:r>
            <w:r>
              <w:rPr>
                <w:rFonts w:ascii="Times New Roman" w:hAnsi="Times New Roman"/>
                <w:bCs/>
                <w:sz w:val="24"/>
                <w:szCs w:val="24"/>
              </w:rPr>
              <w:t>panta pirmā daļa (redakcijā, kas stāsies spēkā 2019.gada 1.janvārī).</w:t>
            </w:r>
            <w:r w:rsidR="00E91D9F">
              <w:rPr>
                <w:rFonts w:ascii="Times New Roman" w:hAnsi="Times New Roman"/>
                <w:bCs/>
                <w:sz w:val="24"/>
                <w:szCs w:val="24"/>
              </w:rPr>
              <w:t xml:space="preserve"> Projekta 7.6.2.un 7.6.3.apakšpunkti </w:t>
            </w:r>
            <w:r w:rsidR="001A38F1">
              <w:rPr>
                <w:rFonts w:ascii="Times New Roman" w:hAnsi="Times New Roman"/>
                <w:bCs/>
                <w:sz w:val="24"/>
                <w:szCs w:val="24"/>
              </w:rPr>
              <w:t>nosaka</w:t>
            </w:r>
            <w:r w:rsidR="00E91D9F">
              <w:rPr>
                <w:rFonts w:ascii="Times New Roman" w:hAnsi="Times New Roman"/>
                <w:bCs/>
                <w:sz w:val="24"/>
                <w:szCs w:val="24"/>
              </w:rPr>
              <w:t xml:space="preserve"> Latvijas Darba devēju konfederācijas un Izglītības un zinātnes ministrijas</w:t>
            </w:r>
            <w:r w:rsidR="001A38F1">
              <w:rPr>
                <w:rFonts w:ascii="Times New Roman" w:hAnsi="Times New Roman"/>
                <w:bCs/>
                <w:sz w:val="24"/>
                <w:szCs w:val="24"/>
              </w:rPr>
              <w:t xml:space="preserve"> atzinumā norādāmo informāciju, ievērojot </w:t>
            </w:r>
            <w:proofErr w:type="spellStart"/>
            <w:r w:rsidR="001A38F1">
              <w:rPr>
                <w:rFonts w:ascii="Times New Roman" w:hAnsi="Times New Roman"/>
                <w:bCs/>
                <w:sz w:val="24"/>
                <w:szCs w:val="24"/>
              </w:rPr>
              <w:t>savu</w:t>
            </w:r>
            <w:r w:rsidR="00E91D9F">
              <w:rPr>
                <w:rFonts w:ascii="Times New Roman" w:hAnsi="Times New Roman"/>
                <w:bCs/>
                <w:sz w:val="24"/>
                <w:szCs w:val="24"/>
              </w:rPr>
              <w:t>kompetenci</w:t>
            </w:r>
            <w:proofErr w:type="spellEnd"/>
            <w:r w:rsidR="00E91D9F">
              <w:rPr>
                <w:rFonts w:ascii="Times New Roman" w:hAnsi="Times New Roman"/>
                <w:bCs/>
                <w:sz w:val="24"/>
                <w:szCs w:val="24"/>
              </w:rPr>
              <w:t xml:space="preserve"> studija virzienu atvēršanas gadījumā.</w:t>
            </w:r>
            <w:r w:rsidR="00F7437A">
              <w:rPr>
                <w:rFonts w:ascii="Times New Roman" w:hAnsi="Times New Roman"/>
                <w:bCs/>
                <w:sz w:val="24"/>
                <w:szCs w:val="24"/>
              </w:rPr>
              <w:t xml:space="preserve"> Izglītības un zinātnes ministrijai</w:t>
            </w:r>
            <w:r w:rsidR="00D41C88">
              <w:rPr>
                <w:rFonts w:ascii="Times New Roman" w:hAnsi="Times New Roman"/>
                <w:bCs/>
                <w:sz w:val="24"/>
                <w:szCs w:val="24"/>
              </w:rPr>
              <w:t xml:space="preserve"> ir jāsagatavo atzinums par studiju virziena atvēršanas atbilstību valsts attīstības prioritātēm, kā arī par tā atvēršanas lietderību, pamatojoties uz izglītības kvalitātes monitoringa sistēmā pieejamajiem datiem. Projekta 39.punkts paredz, ka nosacījums par izglītības kvalitātes monitoringa sistēmā esošajiem datiem stājas spēkā 2019.gada 1.jūlijā, jo šobrīd izglītības kvalitātes monitoringa sistēma tiek izstrādāta un ir plānots, ka tajā būs pieejami dažādi dati par augstskolas un koledžas darbību, kas sniegs priekšstatu par attiecīgā studiju virziena attīstības nepieciešamību.</w:t>
            </w:r>
            <w:r w:rsidR="00E91D9F">
              <w:rPr>
                <w:rFonts w:ascii="Times New Roman" w:hAnsi="Times New Roman"/>
                <w:bCs/>
                <w:sz w:val="24"/>
                <w:szCs w:val="24"/>
              </w:rPr>
              <w:t xml:space="preserve"> </w:t>
            </w:r>
            <w:r w:rsidR="00AC59E3">
              <w:rPr>
                <w:rFonts w:ascii="Times New Roman" w:hAnsi="Times New Roman"/>
                <w:bCs/>
                <w:sz w:val="24"/>
                <w:szCs w:val="24"/>
              </w:rPr>
              <w:t xml:space="preserve">Atbilstoši projekta </w:t>
            </w:r>
            <w:r w:rsidR="00E91D9F">
              <w:rPr>
                <w:rFonts w:ascii="Times New Roman" w:hAnsi="Times New Roman"/>
                <w:bCs/>
                <w:sz w:val="24"/>
                <w:szCs w:val="24"/>
              </w:rPr>
              <w:t>9</w:t>
            </w:r>
            <w:r w:rsidR="00FE05DE">
              <w:rPr>
                <w:rFonts w:ascii="Times New Roman" w:hAnsi="Times New Roman"/>
                <w:bCs/>
                <w:sz w:val="24"/>
                <w:szCs w:val="24"/>
              </w:rPr>
              <w:t>.punktā noteiktajam tiek sagatavots Ministru kabineta tiesību akta projekts par jauna studiju virziena atvēršanu vai atteikumu atvērt jaunu studiju virzienu.</w:t>
            </w:r>
            <w:r w:rsidR="002D3B1A">
              <w:rPr>
                <w:rFonts w:ascii="Times New Roman" w:hAnsi="Times New Roman"/>
                <w:bCs/>
                <w:sz w:val="24"/>
                <w:szCs w:val="24"/>
              </w:rPr>
              <w:t xml:space="preserve"> Šī tiesību akta projekta sagatavošanai nav noteikts termiņš, ņemot vērā to, ka Augstskolu likuma 55.</w:t>
            </w:r>
            <w:r w:rsidR="002D3B1A">
              <w:rPr>
                <w:rFonts w:ascii="Times New Roman" w:hAnsi="Times New Roman"/>
                <w:bCs/>
                <w:sz w:val="24"/>
                <w:szCs w:val="24"/>
                <w:vertAlign w:val="superscript"/>
              </w:rPr>
              <w:t>3</w:t>
            </w:r>
            <w:r w:rsidR="002D3B1A">
              <w:rPr>
                <w:rFonts w:ascii="Times New Roman" w:hAnsi="Times New Roman"/>
                <w:bCs/>
                <w:sz w:val="24"/>
                <w:szCs w:val="24"/>
              </w:rPr>
              <w:t>panta pirmā daļa paredz, ka Ministru kabineta lēmums nav administratīvais akts. Ņemot vērā minēto, tas būs jāsagatavo saprātīgā termiņā.</w:t>
            </w:r>
            <w:r w:rsidR="00FE05DE">
              <w:rPr>
                <w:rFonts w:ascii="Times New Roman" w:hAnsi="Times New Roman"/>
                <w:bCs/>
                <w:sz w:val="24"/>
                <w:szCs w:val="24"/>
              </w:rPr>
              <w:t xml:space="preserve"> Šim tiesību akta pr</w:t>
            </w:r>
            <w:r w:rsidR="00AC59E3">
              <w:rPr>
                <w:rFonts w:ascii="Times New Roman" w:hAnsi="Times New Roman"/>
                <w:bCs/>
                <w:sz w:val="24"/>
                <w:szCs w:val="24"/>
              </w:rPr>
              <w:t xml:space="preserve">ojektam pievienojama projekta </w:t>
            </w:r>
            <w:r w:rsidR="00E91D9F">
              <w:rPr>
                <w:rFonts w:ascii="Times New Roman" w:hAnsi="Times New Roman"/>
                <w:bCs/>
                <w:sz w:val="24"/>
                <w:szCs w:val="24"/>
              </w:rPr>
              <w:t>7.6</w:t>
            </w:r>
            <w:r w:rsidR="00FE05DE">
              <w:rPr>
                <w:rFonts w:ascii="Times New Roman" w:hAnsi="Times New Roman"/>
                <w:bCs/>
                <w:sz w:val="24"/>
                <w:szCs w:val="24"/>
              </w:rPr>
              <w:t>.</w:t>
            </w:r>
            <w:r w:rsidR="00E91D9F">
              <w:rPr>
                <w:rFonts w:ascii="Times New Roman" w:hAnsi="Times New Roman"/>
                <w:bCs/>
                <w:sz w:val="24"/>
                <w:szCs w:val="24"/>
              </w:rPr>
              <w:t>apakš</w:t>
            </w:r>
            <w:r w:rsidR="00FE05DE">
              <w:rPr>
                <w:rFonts w:ascii="Times New Roman" w:hAnsi="Times New Roman"/>
                <w:bCs/>
                <w:sz w:val="24"/>
                <w:szCs w:val="24"/>
              </w:rPr>
              <w:t xml:space="preserve">punktā noteikto institūciju </w:t>
            </w:r>
            <w:r w:rsidR="001A38F1">
              <w:rPr>
                <w:rFonts w:ascii="Times New Roman" w:hAnsi="Times New Roman"/>
                <w:bCs/>
                <w:sz w:val="24"/>
                <w:szCs w:val="24"/>
              </w:rPr>
              <w:t xml:space="preserve"> atzinumi. </w:t>
            </w:r>
            <w:r w:rsidR="002D3B1A">
              <w:rPr>
                <w:rFonts w:ascii="Times New Roman" w:hAnsi="Times New Roman"/>
                <w:bCs/>
                <w:sz w:val="24"/>
                <w:szCs w:val="24"/>
              </w:rPr>
              <w:t>.</w:t>
            </w:r>
          </w:p>
          <w:p w:rsidR="00FE05DE" w:rsidRDefault="00FE05DE" w:rsidP="00B53DA3">
            <w:pPr>
              <w:spacing w:after="0" w:line="240" w:lineRule="auto"/>
              <w:jc w:val="both"/>
              <w:rPr>
                <w:rFonts w:ascii="Times New Roman" w:hAnsi="Times New Roman"/>
                <w:bCs/>
                <w:sz w:val="24"/>
                <w:szCs w:val="24"/>
              </w:rPr>
            </w:pPr>
            <w:r>
              <w:rPr>
                <w:rFonts w:ascii="Times New Roman" w:hAnsi="Times New Roman"/>
                <w:bCs/>
                <w:sz w:val="24"/>
                <w:szCs w:val="24"/>
              </w:rPr>
              <w:t xml:space="preserve">Projekta </w:t>
            </w:r>
            <w:proofErr w:type="spellStart"/>
            <w:r>
              <w:rPr>
                <w:rFonts w:ascii="Times New Roman" w:hAnsi="Times New Roman"/>
                <w:bCs/>
                <w:sz w:val="24"/>
                <w:szCs w:val="24"/>
              </w:rPr>
              <w:t>IV.nodaļa</w:t>
            </w:r>
            <w:proofErr w:type="spellEnd"/>
            <w:r>
              <w:rPr>
                <w:rFonts w:ascii="Times New Roman" w:hAnsi="Times New Roman"/>
                <w:bCs/>
                <w:sz w:val="24"/>
                <w:szCs w:val="24"/>
              </w:rPr>
              <w:t xml:space="preserve"> nosaka studiju virziena novērtēšanas kārtību, kas saskaņā ar Augstskolu likuma 55.</w:t>
            </w:r>
            <w:r>
              <w:rPr>
                <w:rFonts w:ascii="Times New Roman" w:hAnsi="Times New Roman"/>
                <w:bCs/>
                <w:sz w:val="24"/>
                <w:szCs w:val="24"/>
                <w:vertAlign w:val="superscript"/>
              </w:rPr>
              <w:t>3</w:t>
            </w:r>
            <w:r>
              <w:rPr>
                <w:rFonts w:ascii="Times New Roman" w:hAnsi="Times New Roman"/>
                <w:bCs/>
                <w:sz w:val="24"/>
                <w:szCs w:val="24"/>
              </w:rPr>
              <w:t xml:space="preserve">panta trešo daļu (redakcijā, kas stāsies spēkā 2019.gada 1.janvārī) ir nodalīta no lēmuma par studiju virziena akreditāciju pieņemšanas. </w:t>
            </w:r>
            <w:r w:rsidR="00AC59E3">
              <w:t xml:space="preserve"> </w:t>
            </w:r>
            <w:r w:rsidR="00AC59E3" w:rsidRPr="00AC59E3">
              <w:rPr>
                <w:rFonts w:ascii="Times New Roman" w:hAnsi="Times New Roman"/>
                <w:bCs/>
                <w:sz w:val="24"/>
                <w:szCs w:val="24"/>
              </w:rPr>
              <w:t>Studiju virziena akreditācijas ietvaros veicamo studiju virziena novērtēšanu veic Akadēmiskās informācijas centrs kā Latvijas kvalitātes nodrošināšanas aģentūra vai Eiropas augstākās izglītības kvalitātes nodrošināšanas reģistrā iekļauta kvalitātes nodrošināšanas aģentūra. Vienlaikus s</w:t>
            </w:r>
            <w:r w:rsidR="00AC59E3">
              <w:rPr>
                <w:rFonts w:ascii="Times New Roman" w:hAnsi="Times New Roman"/>
                <w:bCs/>
                <w:sz w:val="24"/>
                <w:szCs w:val="24"/>
              </w:rPr>
              <w:t>askaņā ar Augstskolu likuma 55.</w:t>
            </w:r>
            <w:r w:rsidR="00AC59E3">
              <w:rPr>
                <w:rFonts w:ascii="Times New Roman" w:hAnsi="Times New Roman"/>
                <w:bCs/>
                <w:sz w:val="24"/>
                <w:szCs w:val="24"/>
                <w:vertAlign w:val="superscript"/>
              </w:rPr>
              <w:t>3</w:t>
            </w:r>
            <w:r w:rsidR="00AC59E3" w:rsidRPr="00AC59E3">
              <w:rPr>
                <w:rFonts w:ascii="Times New Roman" w:hAnsi="Times New Roman"/>
                <w:bCs/>
                <w:sz w:val="24"/>
                <w:szCs w:val="24"/>
              </w:rPr>
              <w:t xml:space="preserve">panta 11.daļā </w:t>
            </w:r>
            <w:r w:rsidR="00AC59E3" w:rsidRPr="00AC59E3">
              <w:rPr>
                <w:rFonts w:ascii="Times New Roman" w:hAnsi="Times New Roman"/>
                <w:bCs/>
                <w:sz w:val="24"/>
                <w:szCs w:val="24"/>
              </w:rPr>
              <w:lastRenderedPageBreak/>
              <w:t>noteikto Akadēmiskās informācijas centrs nodrošina Studiju kvalitātes komisijas un Apelācijas komisijas tehnisko un organizatorisko darbību. Līdz ar to Akadēmiskās informācijas centram ir divas funkcijas studiju virzienu akreditācijā. Ja augstskola vai koledža ir izvēlējusies novērtēšanu veikt pie Akadēmiskās informācijas centra, tad Akadēmiskās informācijas centrs veic studiju virziena novērtēšanu kā kvalitātes nodrošināšanas aģentūra, bet pēc tam, kad ir iesniegts iesniegums studiju virziena akreditācijai, darbojas kā Studiju kvalitātes komisijas sekretariāts.</w:t>
            </w:r>
            <w:r w:rsidR="00AC59E3">
              <w:rPr>
                <w:rFonts w:ascii="Times New Roman" w:hAnsi="Times New Roman"/>
                <w:bCs/>
                <w:sz w:val="24"/>
                <w:szCs w:val="24"/>
              </w:rPr>
              <w:t xml:space="preserve"> Projekta 1</w:t>
            </w:r>
            <w:r w:rsidR="00E91D9F">
              <w:rPr>
                <w:rFonts w:ascii="Times New Roman" w:hAnsi="Times New Roman"/>
                <w:bCs/>
                <w:sz w:val="24"/>
                <w:szCs w:val="24"/>
              </w:rPr>
              <w:t>0</w:t>
            </w:r>
            <w:r>
              <w:rPr>
                <w:rFonts w:ascii="Times New Roman" w:hAnsi="Times New Roman"/>
                <w:bCs/>
                <w:sz w:val="24"/>
                <w:szCs w:val="24"/>
              </w:rPr>
              <w:t xml:space="preserve">.punkts paredz, ka pirms augstskola vai koledža iesniedz iesniegumu studiju virziena akreditācijai, tā iesniedz iesniegumu studiju virziena novērtēšanai Eiropas augstākās izglītības kvalitātes nodrošināšanas reģistrā iekļautā kvalitātes nodrošināšanas aģentūrā vai Akadēmiskās </w:t>
            </w:r>
            <w:r w:rsidR="00AC59E3">
              <w:rPr>
                <w:rFonts w:ascii="Times New Roman" w:hAnsi="Times New Roman"/>
                <w:bCs/>
                <w:sz w:val="24"/>
                <w:szCs w:val="24"/>
              </w:rPr>
              <w:t>informācijas centrā. Projekta 1</w:t>
            </w:r>
            <w:r w:rsidR="00E91D9F">
              <w:rPr>
                <w:rFonts w:ascii="Times New Roman" w:hAnsi="Times New Roman"/>
                <w:bCs/>
                <w:sz w:val="24"/>
                <w:szCs w:val="24"/>
              </w:rPr>
              <w:t>0</w:t>
            </w:r>
            <w:r>
              <w:rPr>
                <w:rFonts w:ascii="Times New Roman" w:hAnsi="Times New Roman"/>
                <w:bCs/>
                <w:sz w:val="24"/>
                <w:szCs w:val="24"/>
              </w:rPr>
              <w:t>.punktā noteikts, ka iesnieguma</w:t>
            </w:r>
            <w:r w:rsidR="002D3B1A">
              <w:rPr>
                <w:rFonts w:ascii="Times New Roman" w:hAnsi="Times New Roman"/>
                <w:bCs/>
                <w:sz w:val="24"/>
                <w:szCs w:val="24"/>
              </w:rPr>
              <w:t>m</w:t>
            </w:r>
            <w:r>
              <w:rPr>
                <w:rFonts w:ascii="Times New Roman" w:hAnsi="Times New Roman"/>
                <w:bCs/>
                <w:sz w:val="24"/>
                <w:szCs w:val="24"/>
              </w:rPr>
              <w:t xml:space="preserve"> tiek pievienoti dokumenti, kurus noteicis attiecīgais novērtējuma veicējs. Lai arī projektā var tikt noteikta kārtība, kādā novērtēšanu veic ārvalstu kvalitātes nodrošināšanas aģentūras, tā nevar būt pārlieku detalizēta, ņemot vērā to, ka katrai kvalitātes nodrošināšanas aģentūrai ir savas iekšējās metodikas un procedūras, saskaņā ar kurām tās veic novērtēšanu</w:t>
            </w:r>
            <w:r w:rsidR="002D3B1A">
              <w:rPr>
                <w:rFonts w:ascii="Times New Roman" w:hAnsi="Times New Roman"/>
                <w:bCs/>
                <w:sz w:val="24"/>
                <w:szCs w:val="24"/>
              </w:rPr>
              <w:t xml:space="preserve"> un kuras atbilst Standartiem </w:t>
            </w:r>
            <w:r w:rsidR="00CA7287">
              <w:rPr>
                <w:rFonts w:ascii="Times New Roman" w:hAnsi="Times New Roman"/>
                <w:bCs/>
                <w:sz w:val="24"/>
                <w:szCs w:val="24"/>
              </w:rPr>
              <w:t>un vadlīnijām kvalitātes nodrošināšanai Eiropas augstākās izglītības telpā (turpmāk – ESG)</w:t>
            </w:r>
            <w:r>
              <w:rPr>
                <w:rFonts w:ascii="Times New Roman" w:hAnsi="Times New Roman"/>
                <w:bCs/>
                <w:sz w:val="24"/>
                <w:szCs w:val="24"/>
              </w:rPr>
              <w:t xml:space="preserve">. Vienlaikus projektā tiek ietverti nosacījumi, lai studiju virzieni tiktu novērtēti vienveidīgi, proti, </w:t>
            </w:r>
            <w:r w:rsidR="00AC59E3">
              <w:rPr>
                <w:rFonts w:ascii="Times New Roman" w:hAnsi="Times New Roman"/>
                <w:bCs/>
                <w:sz w:val="24"/>
                <w:szCs w:val="24"/>
              </w:rPr>
              <w:t>projekta 1</w:t>
            </w:r>
            <w:r w:rsidR="00E91D9F">
              <w:rPr>
                <w:rFonts w:ascii="Times New Roman" w:hAnsi="Times New Roman"/>
                <w:bCs/>
                <w:sz w:val="24"/>
                <w:szCs w:val="24"/>
              </w:rPr>
              <w:t>5</w:t>
            </w:r>
            <w:r w:rsidR="00952FFF">
              <w:rPr>
                <w:rFonts w:ascii="Times New Roman" w:hAnsi="Times New Roman"/>
                <w:bCs/>
                <w:sz w:val="24"/>
                <w:szCs w:val="24"/>
              </w:rPr>
              <w:t>.punkts nosaka kvalitātes nodrošināšanas aģentūrai pienākumu nodrošināt, ka studiju virziens tiek novērtēts saskaņā ar projekta 1</w:t>
            </w:r>
            <w:r w:rsidR="00E91D9F">
              <w:rPr>
                <w:rFonts w:ascii="Times New Roman" w:hAnsi="Times New Roman"/>
                <w:bCs/>
                <w:sz w:val="24"/>
                <w:szCs w:val="24"/>
              </w:rPr>
              <w:t>5</w:t>
            </w:r>
            <w:r w:rsidR="00952FFF">
              <w:rPr>
                <w:rFonts w:ascii="Times New Roman" w:hAnsi="Times New Roman"/>
                <w:bCs/>
                <w:sz w:val="24"/>
                <w:szCs w:val="24"/>
              </w:rPr>
              <w:t>punktā noteik</w:t>
            </w:r>
            <w:r w:rsidR="00AC59E3">
              <w:rPr>
                <w:rFonts w:ascii="Times New Roman" w:hAnsi="Times New Roman"/>
                <w:bCs/>
                <w:sz w:val="24"/>
                <w:szCs w:val="24"/>
              </w:rPr>
              <w:t>tajām prasībām, projekta 1</w:t>
            </w:r>
            <w:r w:rsidR="00E91D9F">
              <w:rPr>
                <w:rFonts w:ascii="Times New Roman" w:hAnsi="Times New Roman"/>
                <w:bCs/>
                <w:sz w:val="24"/>
                <w:szCs w:val="24"/>
              </w:rPr>
              <w:t>6</w:t>
            </w:r>
            <w:r w:rsidR="00952FFF">
              <w:rPr>
                <w:rFonts w:ascii="Times New Roman" w:hAnsi="Times New Roman"/>
                <w:bCs/>
                <w:sz w:val="24"/>
                <w:szCs w:val="24"/>
              </w:rPr>
              <w:t xml:space="preserve">.punkts nosaka kvalitātes nodrošināšanas aģentūrai pienākumu nodrošināt, ka studiju programma tiek </w:t>
            </w:r>
            <w:r w:rsidR="00AC59E3">
              <w:rPr>
                <w:rFonts w:ascii="Times New Roman" w:hAnsi="Times New Roman"/>
                <w:bCs/>
                <w:sz w:val="24"/>
                <w:szCs w:val="24"/>
              </w:rPr>
              <w:t>novērtēta saskaņā ar projekta 1</w:t>
            </w:r>
            <w:r w:rsidR="00E91D9F">
              <w:rPr>
                <w:rFonts w:ascii="Times New Roman" w:hAnsi="Times New Roman"/>
                <w:bCs/>
                <w:sz w:val="24"/>
                <w:szCs w:val="24"/>
              </w:rPr>
              <w:t>6</w:t>
            </w:r>
            <w:r w:rsidR="00952FFF">
              <w:rPr>
                <w:rFonts w:ascii="Times New Roman" w:hAnsi="Times New Roman"/>
                <w:bCs/>
                <w:sz w:val="24"/>
                <w:szCs w:val="24"/>
              </w:rPr>
              <w:t>.punktā noteikta</w:t>
            </w:r>
            <w:r w:rsidR="00AC59E3">
              <w:rPr>
                <w:rFonts w:ascii="Times New Roman" w:hAnsi="Times New Roman"/>
                <w:bCs/>
                <w:sz w:val="24"/>
                <w:szCs w:val="24"/>
              </w:rPr>
              <w:t>jām prasībām, kā arī projekta 1</w:t>
            </w:r>
            <w:r w:rsidR="00E91D9F">
              <w:rPr>
                <w:rFonts w:ascii="Times New Roman" w:hAnsi="Times New Roman"/>
                <w:bCs/>
                <w:sz w:val="24"/>
                <w:szCs w:val="24"/>
              </w:rPr>
              <w:t>7</w:t>
            </w:r>
            <w:r w:rsidR="00952FFF">
              <w:rPr>
                <w:rFonts w:ascii="Times New Roman" w:hAnsi="Times New Roman"/>
                <w:bCs/>
                <w:sz w:val="24"/>
                <w:szCs w:val="24"/>
              </w:rPr>
              <w:t>.punkts nosaka, ka kvalitātes nodrošināšanas aģentūrai jānodrošina, ka katrai studiju programmai tiek p</w:t>
            </w:r>
            <w:r w:rsidR="00AC59E3">
              <w:rPr>
                <w:rFonts w:ascii="Times New Roman" w:hAnsi="Times New Roman"/>
                <w:bCs/>
                <w:sz w:val="24"/>
                <w:szCs w:val="24"/>
              </w:rPr>
              <w:t xml:space="preserve">iešķirts </w:t>
            </w:r>
            <w:r w:rsidR="004E799C">
              <w:rPr>
                <w:rFonts w:ascii="Times New Roman" w:hAnsi="Times New Roman"/>
                <w:bCs/>
                <w:sz w:val="24"/>
                <w:szCs w:val="24"/>
              </w:rPr>
              <w:t xml:space="preserve"> individuāls </w:t>
            </w:r>
            <w:r w:rsidR="00AC59E3">
              <w:rPr>
                <w:rFonts w:ascii="Times New Roman" w:hAnsi="Times New Roman"/>
                <w:bCs/>
                <w:sz w:val="24"/>
                <w:szCs w:val="24"/>
              </w:rPr>
              <w:t>vērtējums atbilstoši 1</w:t>
            </w:r>
            <w:r w:rsidR="00E91D9F">
              <w:rPr>
                <w:rFonts w:ascii="Times New Roman" w:hAnsi="Times New Roman"/>
                <w:bCs/>
                <w:sz w:val="24"/>
                <w:szCs w:val="24"/>
              </w:rPr>
              <w:t>7</w:t>
            </w:r>
            <w:r w:rsidR="00952FFF">
              <w:rPr>
                <w:rFonts w:ascii="Times New Roman" w:hAnsi="Times New Roman"/>
                <w:bCs/>
                <w:sz w:val="24"/>
                <w:szCs w:val="24"/>
              </w:rPr>
              <w:t>.punktā noteiktajam</w:t>
            </w:r>
            <w:r w:rsidR="004E799C">
              <w:rPr>
                <w:rFonts w:ascii="Times New Roman" w:hAnsi="Times New Roman"/>
                <w:bCs/>
                <w:sz w:val="24"/>
                <w:szCs w:val="24"/>
              </w:rPr>
              <w:t xml:space="preserve"> (izcili, labi, viduvēji, neapmierinoši)</w:t>
            </w:r>
            <w:r w:rsidR="00952FFF">
              <w:rPr>
                <w:rFonts w:ascii="Times New Roman" w:hAnsi="Times New Roman"/>
                <w:bCs/>
                <w:sz w:val="24"/>
                <w:szCs w:val="24"/>
              </w:rPr>
              <w:t>. Tādējādi tiek nodrošināts, ka studiju virzieni un studiju programmas tiek novērtētas pēc vienādām prasībām, kas nodrošinās, ka lēmumi par studiju virzienu akreditāciju tiek pieņemti pēc vienādām prasībām.</w:t>
            </w:r>
            <w:r w:rsidR="007714FF">
              <w:rPr>
                <w:rFonts w:ascii="Times New Roman" w:hAnsi="Times New Roman"/>
                <w:bCs/>
                <w:sz w:val="24"/>
                <w:szCs w:val="24"/>
              </w:rPr>
              <w:t xml:space="preserve"> Ņemot </w:t>
            </w:r>
            <w:r w:rsidR="00AC59E3">
              <w:rPr>
                <w:rFonts w:ascii="Times New Roman" w:hAnsi="Times New Roman"/>
                <w:bCs/>
                <w:sz w:val="24"/>
                <w:szCs w:val="24"/>
              </w:rPr>
              <w:t>vērā projekta 1</w:t>
            </w:r>
            <w:r w:rsidR="00E91D9F">
              <w:rPr>
                <w:rFonts w:ascii="Times New Roman" w:hAnsi="Times New Roman"/>
                <w:bCs/>
                <w:sz w:val="24"/>
                <w:szCs w:val="24"/>
              </w:rPr>
              <w:t>5</w:t>
            </w:r>
            <w:r w:rsidR="00AC59E3">
              <w:rPr>
                <w:rFonts w:ascii="Times New Roman" w:hAnsi="Times New Roman"/>
                <w:bCs/>
                <w:sz w:val="24"/>
                <w:szCs w:val="24"/>
              </w:rPr>
              <w:t>., 1</w:t>
            </w:r>
            <w:r w:rsidR="00E91D9F">
              <w:rPr>
                <w:rFonts w:ascii="Times New Roman" w:hAnsi="Times New Roman"/>
                <w:bCs/>
                <w:sz w:val="24"/>
                <w:szCs w:val="24"/>
              </w:rPr>
              <w:t>6</w:t>
            </w:r>
            <w:r w:rsidR="00AC59E3">
              <w:rPr>
                <w:rFonts w:ascii="Times New Roman" w:hAnsi="Times New Roman"/>
                <w:bCs/>
                <w:sz w:val="24"/>
                <w:szCs w:val="24"/>
              </w:rPr>
              <w:t>.un 1</w:t>
            </w:r>
            <w:r w:rsidR="00E91D9F">
              <w:rPr>
                <w:rFonts w:ascii="Times New Roman" w:hAnsi="Times New Roman"/>
                <w:bCs/>
                <w:sz w:val="24"/>
                <w:szCs w:val="24"/>
              </w:rPr>
              <w:t>7</w:t>
            </w:r>
            <w:r w:rsidR="007714FF">
              <w:rPr>
                <w:rFonts w:ascii="Times New Roman" w:hAnsi="Times New Roman"/>
                <w:bCs/>
                <w:sz w:val="24"/>
                <w:szCs w:val="24"/>
              </w:rPr>
              <w:t>.punktā izdarīto vērtēšanu, kvalitātes nodrošināšanas aģentūrai būs jānodr</w:t>
            </w:r>
            <w:r w:rsidR="00AC59E3">
              <w:rPr>
                <w:rFonts w:ascii="Times New Roman" w:hAnsi="Times New Roman"/>
                <w:bCs/>
                <w:sz w:val="24"/>
                <w:szCs w:val="24"/>
              </w:rPr>
              <w:t xml:space="preserve">ošina, ka atbilstoši projekta </w:t>
            </w:r>
            <w:r w:rsidR="00E91D9F">
              <w:rPr>
                <w:rFonts w:ascii="Times New Roman" w:hAnsi="Times New Roman"/>
                <w:bCs/>
                <w:sz w:val="24"/>
                <w:szCs w:val="24"/>
              </w:rPr>
              <w:t>18</w:t>
            </w:r>
            <w:r w:rsidR="007714FF">
              <w:rPr>
                <w:rFonts w:ascii="Times New Roman" w:hAnsi="Times New Roman"/>
                <w:bCs/>
                <w:sz w:val="24"/>
                <w:szCs w:val="24"/>
              </w:rPr>
              <w:t>.punktā noteiktajam tiek sagatavots ekspertu kopīgais atzinums, kurā ir novērtētas visas prasības un sniegti vērtējumi, kas nepieciešami, lai pieņemtu lēmumu par studiju virziena akreditāciju.</w:t>
            </w:r>
            <w:r w:rsidR="00B4455F">
              <w:rPr>
                <w:rFonts w:ascii="Times New Roman" w:hAnsi="Times New Roman"/>
                <w:bCs/>
                <w:sz w:val="24"/>
                <w:szCs w:val="24"/>
              </w:rPr>
              <w:t xml:space="preserve"> Projekta 1</w:t>
            </w:r>
            <w:r w:rsidR="00E91D9F">
              <w:rPr>
                <w:rFonts w:ascii="Times New Roman" w:hAnsi="Times New Roman"/>
                <w:bCs/>
                <w:sz w:val="24"/>
                <w:szCs w:val="24"/>
              </w:rPr>
              <w:t>5</w:t>
            </w:r>
            <w:r w:rsidR="00B4455F">
              <w:rPr>
                <w:rFonts w:ascii="Times New Roman" w:hAnsi="Times New Roman"/>
                <w:bCs/>
                <w:sz w:val="24"/>
                <w:szCs w:val="24"/>
              </w:rPr>
              <w:t xml:space="preserve">.2.apakšpunktā ir noteikts, ka studiju virziena novērtēšanā jānovērtē mākslinieciskā jaunrade, ņemot vērā to, ka Augstskolu </w:t>
            </w:r>
            <w:r w:rsidR="00B4455F">
              <w:rPr>
                <w:rFonts w:ascii="Times New Roman" w:hAnsi="Times New Roman"/>
                <w:bCs/>
                <w:sz w:val="24"/>
                <w:szCs w:val="24"/>
              </w:rPr>
              <w:lastRenderedPageBreak/>
              <w:t>likumā ir ietverta VII</w:t>
            </w:r>
            <w:r w:rsidR="00CD4E03">
              <w:rPr>
                <w:rFonts w:ascii="Times New Roman" w:hAnsi="Times New Roman"/>
                <w:bCs/>
                <w:sz w:val="24"/>
                <w:szCs w:val="24"/>
              </w:rPr>
              <w:t>¹</w:t>
            </w:r>
            <w:r w:rsidR="00B4455F">
              <w:rPr>
                <w:rFonts w:ascii="Times New Roman" w:hAnsi="Times New Roman"/>
                <w:bCs/>
                <w:sz w:val="24"/>
                <w:szCs w:val="24"/>
              </w:rPr>
              <w:t>.nodaļa, kas regulē māksliniecisko jaunradi augstskolās.</w:t>
            </w:r>
          </w:p>
          <w:p w:rsidR="00952FFF" w:rsidRDefault="00AC59E3" w:rsidP="00B53DA3">
            <w:pPr>
              <w:spacing w:after="0" w:line="240" w:lineRule="auto"/>
              <w:jc w:val="both"/>
              <w:rPr>
                <w:rFonts w:ascii="Times New Roman" w:hAnsi="Times New Roman"/>
                <w:bCs/>
                <w:sz w:val="24"/>
                <w:szCs w:val="24"/>
              </w:rPr>
            </w:pPr>
            <w:r>
              <w:rPr>
                <w:rFonts w:ascii="Times New Roman" w:hAnsi="Times New Roman"/>
                <w:bCs/>
                <w:sz w:val="24"/>
                <w:szCs w:val="24"/>
              </w:rPr>
              <w:t>Projekta 1</w:t>
            </w:r>
            <w:r w:rsidR="00E91D9F">
              <w:rPr>
                <w:rFonts w:ascii="Times New Roman" w:hAnsi="Times New Roman"/>
                <w:bCs/>
                <w:sz w:val="24"/>
                <w:szCs w:val="24"/>
              </w:rPr>
              <w:t>2</w:t>
            </w:r>
            <w:r w:rsidR="00952FFF">
              <w:rPr>
                <w:rFonts w:ascii="Times New Roman" w:hAnsi="Times New Roman"/>
                <w:bCs/>
                <w:sz w:val="24"/>
                <w:szCs w:val="24"/>
              </w:rPr>
              <w:t>.punktā noteikt</w:t>
            </w:r>
            <w:r w:rsidR="00776D77">
              <w:rPr>
                <w:rFonts w:ascii="Times New Roman" w:hAnsi="Times New Roman"/>
                <w:bCs/>
                <w:sz w:val="24"/>
                <w:szCs w:val="24"/>
              </w:rPr>
              <w:t>s</w:t>
            </w:r>
            <w:r w:rsidR="00952FFF">
              <w:rPr>
                <w:rFonts w:ascii="Times New Roman" w:hAnsi="Times New Roman"/>
                <w:bCs/>
                <w:sz w:val="24"/>
                <w:szCs w:val="24"/>
              </w:rPr>
              <w:t xml:space="preserve">  kritērij</w:t>
            </w:r>
            <w:r w:rsidR="00E91D9F">
              <w:rPr>
                <w:rFonts w:ascii="Times New Roman" w:hAnsi="Times New Roman"/>
                <w:bCs/>
                <w:sz w:val="24"/>
                <w:szCs w:val="24"/>
              </w:rPr>
              <w:t>s</w:t>
            </w:r>
            <w:r w:rsidR="00952FFF">
              <w:rPr>
                <w:rFonts w:ascii="Times New Roman" w:hAnsi="Times New Roman"/>
                <w:bCs/>
                <w:sz w:val="24"/>
                <w:szCs w:val="24"/>
              </w:rPr>
              <w:t xml:space="preserve">, kas jāņem vērā augstskolai vai koledžai izvēloties studiju virziena novērtētāju. </w:t>
            </w:r>
            <w:r w:rsidR="00776D77">
              <w:rPr>
                <w:rFonts w:ascii="Times New Roman" w:hAnsi="Times New Roman"/>
                <w:bCs/>
                <w:sz w:val="24"/>
                <w:szCs w:val="24"/>
              </w:rPr>
              <w:t>P</w:t>
            </w:r>
            <w:r>
              <w:rPr>
                <w:rFonts w:ascii="Times New Roman" w:hAnsi="Times New Roman"/>
                <w:bCs/>
                <w:sz w:val="24"/>
                <w:szCs w:val="24"/>
              </w:rPr>
              <w:t>rojekta 14</w:t>
            </w:r>
            <w:r w:rsidR="00952FFF">
              <w:rPr>
                <w:rFonts w:ascii="Times New Roman" w:hAnsi="Times New Roman"/>
                <w:bCs/>
                <w:sz w:val="24"/>
                <w:szCs w:val="24"/>
              </w:rPr>
              <w:t xml:space="preserve">.punkts paredz, ka kvalitātes nodrošināšanas aģentūrai </w:t>
            </w:r>
            <w:r w:rsidR="00776D77">
              <w:rPr>
                <w:rFonts w:ascii="Times New Roman" w:hAnsi="Times New Roman"/>
                <w:bCs/>
                <w:sz w:val="24"/>
                <w:szCs w:val="24"/>
              </w:rPr>
              <w:t xml:space="preserve">rakstiski </w:t>
            </w:r>
            <w:r w:rsidR="00952FFF">
              <w:rPr>
                <w:rFonts w:ascii="Times New Roman" w:hAnsi="Times New Roman"/>
                <w:bCs/>
                <w:sz w:val="24"/>
                <w:szCs w:val="24"/>
              </w:rPr>
              <w:t>ir jāapliecina tās spēja veikt studiju virzienu novērtēšanu</w:t>
            </w:r>
            <w:r w:rsidR="00425142">
              <w:rPr>
                <w:rFonts w:ascii="Times New Roman" w:hAnsi="Times New Roman"/>
                <w:bCs/>
                <w:sz w:val="24"/>
                <w:szCs w:val="24"/>
              </w:rPr>
              <w:t xml:space="preserve"> atbilstoši normatīvajos aktos noteiktajai kārtībai</w:t>
            </w:r>
            <w:r w:rsidR="00952FFF">
              <w:rPr>
                <w:rFonts w:ascii="Times New Roman" w:hAnsi="Times New Roman"/>
                <w:bCs/>
                <w:sz w:val="24"/>
                <w:szCs w:val="24"/>
              </w:rPr>
              <w:t xml:space="preserve">. Šis </w:t>
            </w:r>
            <w:r w:rsidR="008A1744">
              <w:rPr>
                <w:rFonts w:ascii="Times New Roman" w:hAnsi="Times New Roman"/>
                <w:bCs/>
                <w:sz w:val="24"/>
                <w:szCs w:val="24"/>
              </w:rPr>
              <w:t xml:space="preserve">prasība </w:t>
            </w:r>
            <w:r w:rsidR="00952FFF">
              <w:rPr>
                <w:rFonts w:ascii="Times New Roman" w:hAnsi="Times New Roman"/>
                <w:bCs/>
                <w:sz w:val="24"/>
                <w:szCs w:val="24"/>
              </w:rPr>
              <w:t>ir būtisk</w:t>
            </w:r>
            <w:r w:rsidR="008A1744">
              <w:rPr>
                <w:rFonts w:ascii="Times New Roman" w:hAnsi="Times New Roman"/>
                <w:bCs/>
                <w:sz w:val="24"/>
                <w:szCs w:val="24"/>
              </w:rPr>
              <w:t>a</w:t>
            </w:r>
            <w:r w:rsidR="00952FFF">
              <w:rPr>
                <w:rFonts w:ascii="Times New Roman" w:hAnsi="Times New Roman"/>
                <w:bCs/>
                <w:sz w:val="24"/>
                <w:szCs w:val="24"/>
              </w:rPr>
              <w:t xml:space="preserve">, ņemot vērā to, ka studiju programmu grupu novērtēšana pastāv </w:t>
            </w:r>
            <w:r w:rsidR="00776D77">
              <w:rPr>
                <w:rFonts w:ascii="Times New Roman" w:hAnsi="Times New Roman"/>
                <w:bCs/>
                <w:sz w:val="24"/>
                <w:szCs w:val="24"/>
              </w:rPr>
              <w:t>nelielā skaitā</w:t>
            </w:r>
            <w:r w:rsidR="00952FFF">
              <w:rPr>
                <w:rFonts w:ascii="Times New Roman" w:hAnsi="Times New Roman"/>
                <w:bCs/>
                <w:sz w:val="24"/>
                <w:szCs w:val="24"/>
              </w:rPr>
              <w:t xml:space="preserve"> valst</w:t>
            </w:r>
            <w:r w:rsidR="00776D77">
              <w:rPr>
                <w:rFonts w:ascii="Times New Roman" w:hAnsi="Times New Roman"/>
                <w:bCs/>
                <w:sz w:val="24"/>
                <w:szCs w:val="24"/>
              </w:rPr>
              <w:t>u</w:t>
            </w:r>
            <w:r w:rsidR="00952FFF">
              <w:rPr>
                <w:rFonts w:ascii="Times New Roman" w:hAnsi="Times New Roman"/>
                <w:bCs/>
                <w:sz w:val="24"/>
                <w:szCs w:val="24"/>
              </w:rPr>
              <w:t xml:space="preserve">, līdz ar to citu valstu kvalitātes nodrošināšanas aģentūrām </w:t>
            </w:r>
            <w:r w:rsidR="00673510">
              <w:rPr>
                <w:rFonts w:ascii="Times New Roman" w:hAnsi="Times New Roman"/>
                <w:bCs/>
                <w:sz w:val="24"/>
                <w:szCs w:val="24"/>
              </w:rPr>
              <w:t>ir jāapliecina to izpratne studiju programmu grupu novērtēšanā</w:t>
            </w:r>
            <w:r w:rsidR="00952FFF">
              <w:rPr>
                <w:rFonts w:ascii="Times New Roman" w:hAnsi="Times New Roman"/>
                <w:bCs/>
                <w:sz w:val="24"/>
                <w:szCs w:val="24"/>
              </w:rPr>
              <w:t>.</w:t>
            </w:r>
            <w:r w:rsidR="00B4455F">
              <w:rPr>
                <w:rFonts w:ascii="Times New Roman" w:hAnsi="Times New Roman"/>
                <w:bCs/>
                <w:sz w:val="24"/>
                <w:szCs w:val="24"/>
              </w:rPr>
              <w:t xml:space="preserve"> </w:t>
            </w:r>
            <w:r w:rsidR="00425142">
              <w:rPr>
                <w:rFonts w:ascii="Times New Roman" w:hAnsi="Times New Roman"/>
                <w:bCs/>
                <w:sz w:val="24"/>
                <w:szCs w:val="24"/>
              </w:rPr>
              <w:t xml:space="preserve">Kā arī tiks nodrošināts augstāko izglītību reglamentējošo normatīvo aktu tulkojums, lai ārvalstu aģentūra varētu iepazīties ar Latvijas nacionālo regulējumu kvalitātes </w:t>
            </w:r>
            <w:r w:rsidR="00425142" w:rsidRPr="008A1744">
              <w:rPr>
                <w:rFonts w:ascii="Times New Roman" w:hAnsi="Times New Roman"/>
                <w:bCs/>
                <w:sz w:val="24"/>
                <w:szCs w:val="24"/>
              </w:rPr>
              <w:t>novērtēšanai, kas aģentūrai būs jāņem vērā veicot novērtējumu.</w:t>
            </w:r>
            <w:r w:rsidR="008A1744" w:rsidRPr="008A1744">
              <w:rPr>
                <w:rFonts w:ascii="Times New Roman" w:hAnsi="Times New Roman"/>
                <w:bCs/>
                <w:sz w:val="24"/>
                <w:szCs w:val="24"/>
              </w:rPr>
              <w:t xml:space="preserve"> Ar projekta 12.punktu ir noteikts, ka</w:t>
            </w:r>
            <w:r w:rsidR="008A1744" w:rsidRPr="008A1744">
              <w:rPr>
                <w:rFonts w:ascii="Times New Roman" w:hAnsi="Times New Roman"/>
                <w:color w:val="000000" w:themeColor="text1"/>
                <w:sz w:val="24"/>
                <w:szCs w:val="24"/>
              </w:rPr>
              <w:t xml:space="preserve"> augstskola vai koledža un aģentūra, abpusēji vienojoties, slēdz līgumu par studiju virziena novērtēšanu, atrunājot augstskolas vai koledžas un aģentūras tiesības, pienākumus, atbildību un pakalpojuma apmaksas kārtību. </w:t>
            </w:r>
            <w:r w:rsidR="008A1744" w:rsidRPr="008A1744">
              <w:rPr>
                <w:rFonts w:ascii="Times New Roman" w:hAnsi="Times New Roman"/>
                <w:sz w:val="24"/>
                <w:szCs w:val="24"/>
              </w:rPr>
              <w:t>Minētā līguma slēgšanas kārtību nosaka aģentūra. Augstskola var slēgt trīspusēju līgumu starp augstskolu, aģentūru un centru. A</w:t>
            </w:r>
            <w:r w:rsidR="008A1744">
              <w:rPr>
                <w:rFonts w:ascii="Times New Roman" w:hAnsi="Times New Roman"/>
                <w:sz w:val="24"/>
                <w:szCs w:val="24"/>
              </w:rPr>
              <w:t>kadēmiskās informācijas centrs</w:t>
            </w:r>
            <w:r w:rsidR="008A1744" w:rsidRPr="008A1744">
              <w:rPr>
                <w:rFonts w:ascii="Times New Roman" w:hAnsi="Times New Roman"/>
                <w:sz w:val="24"/>
                <w:szCs w:val="24"/>
              </w:rPr>
              <w:t xml:space="preserve"> publicē līguma satura izstrādes vadlīnijas.</w:t>
            </w:r>
            <w:r w:rsidR="008A1744">
              <w:rPr>
                <w:rFonts w:ascii="Times New Roman" w:hAnsi="Times New Roman"/>
                <w:sz w:val="28"/>
                <w:szCs w:val="28"/>
              </w:rPr>
              <w:t xml:space="preserve"> </w:t>
            </w:r>
            <w:r w:rsidR="00B4455F">
              <w:rPr>
                <w:rFonts w:ascii="Times New Roman" w:hAnsi="Times New Roman"/>
                <w:bCs/>
                <w:sz w:val="24"/>
                <w:szCs w:val="24"/>
              </w:rPr>
              <w:t>Projekta 1</w:t>
            </w:r>
            <w:r w:rsidR="00E91D9F">
              <w:rPr>
                <w:rFonts w:ascii="Times New Roman" w:hAnsi="Times New Roman"/>
                <w:bCs/>
                <w:sz w:val="24"/>
                <w:szCs w:val="24"/>
              </w:rPr>
              <w:t>4</w:t>
            </w:r>
            <w:r w:rsidR="00952FFF">
              <w:rPr>
                <w:rFonts w:ascii="Times New Roman" w:hAnsi="Times New Roman"/>
                <w:bCs/>
                <w:sz w:val="24"/>
                <w:szCs w:val="24"/>
              </w:rPr>
              <w:t xml:space="preserve">.punktā ir noteikts, ka </w:t>
            </w:r>
            <w:r w:rsidR="00790579">
              <w:rPr>
                <w:rFonts w:ascii="Times New Roman" w:hAnsi="Times New Roman"/>
                <w:bCs/>
                <w:sz w:val="24"/>
                <w:szCs w:val="24"/>
              </w:rPr>
              <w:t>studiju virziena novērtēšanai jāapstiprina vismaz pieci eksperti. Akreditācijas noteikumi šobrīd paredz, ka studiju virziena novērtēšanu veic pieci eksperti. Ņemot vērā to, ka studiju virzienā var būt liels skaits dažādu studiju programmu, tad var būt lietderīgi apstiprināt vairāk ekspertus, līdz ar to projekts tādu iespēju dod.</w:t>
            </w:r>
            <w:r w:rsidR="00CA7287">
              <w:rPr>
                <w:rFonts w:ascii="Times New Roman" w:hAnsi="Times New Roman"/>
                <w:bCs/>
                <w:sz w:val="24"/>
                <w:szCs w:val="24"/>
              </w:rPr>
              <w:t xml:space="preserve"> </w:t>
            </w:r>
            <w:r w:rsidR="00ED555F">
              <w:rPr>
                <w:rFonts w:ascii="Times New Roman" w:hAnsi="Times New Roman"/>
                <w:bCs/>
                <w:sz w:val="24"/>
                <w:szCs w:val="24"/>
              </w:rPr>
              <w:t>Pieci eksperti ir optimāls skaits</w:t>
            </w:r>
            <w:r w:rsidR="00CA7287">
              <w:rPr>
                <w:rFonts w:ascii="Times New Roman" w:hAnsi="Times New Roman"/>
                <w:bCs/>
                <w:sz w:val="24"/>
                <w:szCs w:val="24"/>
              </w:rPr>
              <w:t>, jo studiju programmas licencēšanā ir trīs eksperti, savukārt augstskolas vai koledžas akreditācijā ir septiņi eksperti.</w:t>
            </w:r>
            <w:r w:rsidR="00EA768E">
              <w:rPr>
                <w:rFonts w:ascii="Times New Roman" w:hAnsi="Times New Roman"/>
                <w:bCs/>
                <w:sz w:val="24"/>
                <w:szCs w:val="24"/>
              </w:rPr>
              <w:t xml:space="preserve"> Projekta 14.punkts arī paredz, ka studiju virziena novērtēšanā kā novērotāji piedalās Latvijas Studentu apvienības un Latvijas Izglītības un zinātnes darbinieku arodbiedrības deleģēti pārstāvji, kuru darbības kārtību nosaka</w:t>
            </w:r>
            <w:r w:rsidR="008A1744" w:rsidRPr="008A1744">
              <w:rPr>
                <w:rFonts w:ascii="Times New Roman" w:hAnsi="Times New Roman"/>
                <w:sz w:val="24"/>
                <w:szCs w:val="24"/>
              </w:rPr>
              <w:t xml:space="preserve"> A</w:t>
            </w:r>
            <w:r w:rsidR="008A1744">
              <w:rPr>
                <w:rFonts w:ascii="Times New Roman" w:hAnsi="Times New Roman"/>
                <w:sz w:val="24"/>
                <w:szCs w:val="24"/>
              </w:rPr>
              <w:t>kadēmiskās informācijas centrs</w:t>
            </w:r>
            <w:r w:rsidR="008A1744" w:rsidRPr="008A1744">
              <w:rPr>
                <w:rFonts w:ascii="Times New Roman" w:hAnsi="Times New Roman"/>
                <w:sz w:val="24"/>
                <w:szCs w:val="24"/>
              </w:rPr>
              <w:t xml:space="preserve"> </w:t>
            </w:r>
            <w:r w:rsidR="00EA768E">
              <w:rPr>
                <w:rFonts w:ascii="Times New Roman" w:hAnsi="Times New Roman"/>
                <w:bCs/>
                <w:sz w:val="24"/>
                <w:szCs w:val="24"/>
              </w:rPr>
              <w:t>.</w:t>
            </w:r>
          </w:p>
          <w:p w:rsidR="00790579" w:rsidRDefault="00B4455F" w:rsidP="00181BA2">
            <w:pPr>
              <w:spacing w:after="0" w:line="240" w:lineRule="auto"/>
              <w:jc w:val="both"/>
              <w:rPr>
                <w:rFonts w:ascii="Times New Roman" w:hAnsi="Times New Roman"/>
                <w:bCs/>
                <w:sz w:val="24"/>
                <w:szCs w:val="24"/>
              </w:rPr>
            </w:pPr>
            <w:r>
              <w:rPr>
                <w:rFonts w:ascii="Times New Roman" w:hAnsi="Times New Roman"/>
                <w:bCs/>
                <w:sz w:val="24"/>
                <w:szCs w:val="24"/>
              </w:rPr>
              <w:t>Projekta 1</w:t>
            </w:r>
            <w:r w:rsidR="00EA768E">
              <w:rPr>
                <w:rFonts w:ascii="Times New Roman" w:hAnsi="Times New Roman"/>
                <w:bCs/>
                <w:sz w:val="24"/>
                <w:szCs w:val="24"/>
              </w:rPr>
              <w:t>5</w:t>
            </w:r>
            <w:r w:rsidR="00790579">
              <w:rPr>
                <w:rFonts w:ascii="Times New Roman" w:hAnsi="Times New Roman"/>
                <w:bCs/>
                <w:sz w:val="24"/>
                <w:szCs w:val="24"/>
              </w:rPr>
              <w:t xml:space="preserve">.punktā ir noteiktas prasības, saskaņā ar kurām jānovērtē </w:t>
            </w:r>
            <w:r>
              <w:rPr>
                <w:rFonts w:ascii="Times New Roman" w:hAnsi="Times New Roman"/>
                <w:bCs/>
                <w:sz w:val="24"/>
                <w:szCs w:val="24"/>
              </w:rPr>
              <w:t>studiju virziens, un projekta 1</w:t>
            </w:r>
            <w:r w:rsidR="00EA768E">
              <w:rPr>
                <w:rFonts w:ascii="Times New Roman" w:hAnsi="Times New Roman"/>
                <w:bCs/>
                <w:sz w:val="24"/>
                <w:szCs w:val="24"/>
              </w:rPr>
              <w:t>6</w:t>
            </w:r>
            <w:r w:rsidR="00790579">
              <w:rPr>
                <w:rFonts w:ascii="Times New Roman" w:hAnsi="Times New Roman"/>
                <w:bCs/>
                <w:sz w:val="24"/>
                <w:szCs w:val="24"/>
              </w:rPr>
              <w:t>.punktā ir noteiktas prasības, saskaņā ar kurām jānovērtē studiju programmas. Studiju virziena un studiju programmu novērtēšanai ir noteiktas atšķirīgas prasības, ņemot vērā to, ka ir prasības, ko var novērtēt visam studiju virzienam kopumā, un ir prasības, kuras ir ļoti svarīgi novērtēt tikai attiecībā uz konkrētu studiju</w:t>
            </w:r>
            <w:r>
              <w:rPr>
                <w:rFonts w:ascii="Times New Roman" w:hAnsi="Times New Roman"/>
                <w:bCs/>
                <w:sz w:val="24"/>
                <w:szCs w:val="24"/>
              </w:rPr>
              <w:t xml:space="preserve"> programmu. </w:t>
            </w:r>
            <w:r w:rsidR="00EB1F59">
              <w:rPr>
                <w:rFonts w:ascii="Times New Roman" w:hAnsi="Times New Roman"/>
                <w:bCs/>
                <w:sz w:val="24"/>
                <w:szCs w:val="24"/>
              </w:rPr>
              <w:t>Projekta 1</w:t>
            </w:r>
            <w:r w:rsidR="00EA768E">
              <w:rPr>
                <w:rFonts w:ascii="Times New Roman" w:hAnsi="Times New Roman"/>
                <w:bCs/>
                <w:sz w:val="24"/>
                <w:szCs w:val="24"/>
              </w:rPr>
              <w:t>5</w:t>
            </w:r>
            <w:r w:rsidR="00EB1F59">
              <w:rPr>
                <w:rFonts w:ascii="Times New Roman" w:hAnsi="Times New Roman"/>
                <w:bCs/>
                <w:sz w:val="24"/>
                <w:szCs w:val="24"/>
              </w:rPr>
              <w:t xml:space="preserve">.2.apakšpunkts paredz, ka nepieciešams novērtēt zinātniskās pētniecības un mākslinieciskās jaunrades atbilstību zinātnes un mākslinieciskās jaunrades attīstības līmenim. Šāda prasība noteikta, ņemot vērā to, ka </w:t>
            </w:r>
            <w:r w:rsidR="00EB1F59" w:rsidRPr="00EB1F59">
              <w:rPr>
                <w:rFonts w:ascii="Times New Roman" w:hAnsi="Times New Roman"/>
                <w:sz w:val="24"/>
                <w:szCs w:val="24"/>
              </w:rPr>
              <w:t xml:space="preserve"> </w:t>
            </w:r>
            <w:r w:rsidR="00EB1F59" w:rsidRPr="00EB1F59">
              <w:rPr>
                <w:rFonts w:ascii="Times New Roman" w:hAnsi="Times New Roman"/>
                <w:bCs/>
                <w:sz w:val="24"/>
                <w:szCs w:val="24"/>
              </w:rPr>
              <w:t xml:space="preserve">Augstskolu likuma 5.panta pirmā daļa nosaka, ka augstskolas to autonomijas ietvaros nodrošina </w:t>
            </w:r>
            <w:r w:rsidR="00EB1F59" w:rsidRPr="00EB1F59">
              <w:rPr>
                <w:rFonts w:ascii="Times New Roman" w:hAnsi="Times New Roman"/>
                <w:bCs/>
                <w:sz w:val="24"/>
                <w:szCs w:val="24"/>
              </w:rPr>
              <w:lastRenderedPageBreak/>
              <w:t>studiju, pētniecības un mākslinieciskās jaunrades darba nedalāmību, un otrā daļa nosaka, ka augstskolas izstrādā studiju programmas, izraugās akadēmisko personālu, iekārto laboratorijas, darbnīcas, bibliotēkas un citas struktūras tā, lai studējošajam dotu iespēju iegūt zināšanas, akadēmisko izglītību un profesionālo prasmi atbilstoši zinātnes attīstības līmenim. Savukārt Augstskolu likuma 5.panta piektā daļa nosaka, ka augstskolas rūpējas par jauno zinātnieku sagatavošanu un nodrošina viņiem iespēju iekļauties pasaules akadēmiskajos procesos. Augstskolu likuma 26.panta otrā daļa paredz, ka augstskolas personālam darba pienākumi jāpilda tā, lai augstskola spētu īstenot savus uzdevumus. Augstskolu likuma 27.panta otrā daļa nosaka, ka augstskolas akadēmiskais personāls veic zinātniskos pētījumus, mākslinieciskās jaunrades darbu un piedalās studējošo izglītošanā. Augstskolu likuma 60.panta pirmā daļa nosaka, ka zinātniskā pētniecība ir ikvienas augstskolas darba neatņemama sastāvdaļa, un tās mērķis ir zinātnisku atziņu iegūšana, mācību un studiju zinātniska pamatošana un tālāka attīstīšana, praktiski svarīgu uzdevumu risināšana ar pētnieciskām metodēm. Augstskolu likuma 63.</w:t>
            </w:r>
            <w:r w:rsidR="00EB1F59" w:rsidRPr="00EB1F59">
              <w:rPr>
                <w:rFonts w:ascii="Times New Roman" w:hAnsi="Times New Roman"/>
                <w:bCs/>
                <w:sz w:val="24"/>
                <w:szCs w:val="24"/>
                <w:vertAlign w:val="superscript"/>
              </w:rPr>
              <w:t>1</w:t>
            </w:r>
            <w:r w:rsidR="00EB1F59" w:rsidRPr="00EB1F59">
              <w:rPr>
                <w:rFonts w:ascii="Times New Roman" w:hAnsi="Times New Roman"/>
                <w:bCs/>
                <w:sz w:val="24"/>
                <w:szCs w:val="24"/>
              </w:rPr>
              <w:t xml:space="preserve">panta pirmā daļa nosaka, kādās studiju programmās īsteno māksliniecisko jaunradi, savukārt otrā daļa nosaka, ka mākslinieciskās jaunrades mērķis ir mākslu studiju ietvaros nodrošināt mākslinieciski augstvērtīgu darbu veidošanas prasmju iegūšanu un attīstības praktiskās iemaņas unikālu māksliniecisku ideju īstenošanā, kā arī trešā daļa nosaka, ka mākslinieciskās jaunrades uzdevums ir mākslu studiju programmu ietvaros nodrošināt un attīstīt studiju, pētniecības un mākslinieciskās jaunrades darba vienotību, sekmēt izcilību un kvalitāti, konkurētspēju un eksportspēju. Ņemot vērā visu minēto, secināms, ka augstskolai jānodarbojas ar zinātnisko pētniecību un māksliniecisko jaunradi, kas nepieciešama, lai pamatotu studijas, savukārt lai tiktu iegūta mūsdienu līmenim atbilstoša izglītība, zinātniskajai pētniecībai un mākslinieciskajai jaunradei jābūt atbilstošai to attīstības līmenim, proti, aktuālai. Kas attiecās uz to, ka koledžas ar zinātnisko pētniecību un māksliniecisko jaunradi nodarbojas citādā līmenī, tad ir jāuzsver, ka tā kā </w:t>
            </w:r>
            <w:r w:rsidR="00EB1F59">
              <w:rPr>
                <w:rFonts w:ascii="Times New Roman" w:hAnsi="Times New Roman"/>
                <w:bCs/>
                <w:sz w:val="24"/>
                <w:szCs w:val="24"/>
              </w:rPr>
              <w:t>kvalitātes nodrošināšanas aģentūra</w:t>
            </w:r>
            <w:r w:rsidR="00EB1F59" w:rsidRPr="00EB1F59">
              <w:rPr>
                <w:rFonts w:ascii="Times New Roman" w:hAnsi="Times New Roman"/>
                <w:bCs/>
                <w:sz w:val="24"/>
                <w:szCs w:val="24"/>
              </w:rPr>
              <w:t xml:space="preserve"> izstrādās kritērijus, saskaņā ar kuriem novērtēt konkrēto prasību, tad ir dota iespēja noteikt katram studiju programmas veidam savus kritērijus, atbilstoši tam, kāda ir attiecīgo studiju programmu specifika.</w:t>
            </w:r>
            <w:r w:rsidR="00EB1F59">
              <w:rPr>
                <w:rFonts w:ascii="Times New Roman" w:hAnsi="Times New Roman"/>
                <w:bCs/>
                <w:sz w:val="24"/>
                <w:szCs w:val="24"/>
              </w:rPr>
              <w:t xml:space="preserve"> </w:t>
            </w:r>
            <w:r>
              <w:rPr>
                <w:rFonts w:ascii="Times New Roman" w:hAnsi="Times New Roman"/>
                <w:bCs/>
                <w:sz w:val="24"/>
                <w:szCs w:val="24"/>
              </w:rPr>
              <w:t>Savukārt projekta 1</w:t>
            </w:r>
            <w:r w:rsidR="00EA768E">
              <w:rPr>
                <w:rFonts w:ascii="Times New Roman" w:hAnsi="Times New Roman"/>
                <w:bCs/>
                <w:sz w:val="24"/>
                <w:szCs w:val="24"/>
              </w:rPr>
              <w:t>7</w:t>
            </w:r>
            <w:r w:rsidR="00790579">
              <w:rPr>
                <w:rFonts w:ascii="Times New Roman" w:hAnsi="Times New Roman"/>
                <w:bCs/>
                <w:sz w:val="24"/>
                <w:szCs w:val="24"/>
              </w:rPr>
              <w:t>.punktā ir noteikti vērtējumi, kurus piešķir studiju programmām, kas būs pamats lēmuma pieņemšanai par studiju virziena akreditāciju. Kā arī ļaus noteikt tās studiju programmas, kuras novērtētas kā neatbilstošas normatīv</w:t>
            </w:r>
            <w:r w:rsidR="004901E1">
              <w:rPr>
                <w:rFonts w:ascii="Times New Roman" w:hAnsi="Times New Roman"/>
                <w:bCs/>
                <w:sz w:val="24"/>
                <w:szCs w:val="24"/>
              </w:rPr>
              <w:t>o aktu prasībām (novērtētas neapmierinoši</w:t>
            </w:r>
            <w:r w:rsidR="00790579">
              <w:rPr>
                <w:rFonts w:ascii="Times New Roman" w:hAnsi="Times New Roman"/>
                <w:bCs/>
                <w:sz w:val="24"/>
                <w:szCs w:val="24"/>
              </w:rPr>
              <w:t>), līdz ar to saskaņā ar Augstskolu likuma 1.panta 1.</w:t>
            </w:r>
            <w:r w:rsidR="00790579">
              <w:rPr>
                <w:rFonts w:ascii="Times New Roman" w:hAnsi="Times New Roman"/>
                <w:bCs/>
                <w:sz w:val="24"/>
                <w:szCs w:val="24"/>
                <w:vertAlign w:val="superscript"/>
              </w:rPr>
              <w:t>1</w:t>
            </w:r>
            <w:r w:rsidR="00790579">
              <w:rPr>
                <w:rFonts w:ascii="Times New Roman" w:hAnsi="Times New Roman"/>
                <w:bCs/>
                <w:sz w:val="24"/>
                <w:szCs w:val="24"/>
              </w:rPr>
              <w:t xml:space="preserve">punktā noteikto netiks </w:t>
            </w:r>
            <w:r w:rsidR="00790579">
              <w:rPr>
                <w:rFonts w:ascii="Times New Roman" w:hAnsi="Times New Roman"/>
                <w:bCs/>
                <w:sz w:val="24"/>
                <w:szCs w:val="24"/>
              </w:rPr>
              <w:lastRenderedPageBreak/>
              <w:t>uzskatītas par akreditētām.</w:t>
            </w:r>
            <w:r w:rsidR="00CE15C7">
              <w:rPr>
                <w:rFonts w:ascii="Times New Roman" w:hAnsi="Times New Roman"/>
                <w:bCs/>
                <w:sz w:val="24"/>
                <w:szCs w:val="24"/>
              </w:rPr>
              <w:t xml:space="preserve"> Vienlaikus šādas studiju programmas būs piederīgas noteiktam studiju virzienam, jo atbilstoši Ministru kabineta noteikumu projekta “Studiju </w:t>
            </w:r>
            <w:r w:rsidR="008A1744">
              <w:rPr>
                <w:rFonts w:ascii="Times New Roman" w:hAnsi="Times New Roman"/>
                <w:bCs/>
                <w:sz w:val="24"/>
                <w:szCs w:val="24"/>
              </w:rPr>
              <w:t xml:space="preserve">virzienu </w:t>
            </w:r>
            <w:r w:rsidR="00CE15C7">
              <w:rPr>
                <w:rFonts w:ascii="Times New Roman" w:hAnsi="Times New Roman"/>
                <w:bCs/>
                <w:sz w:val="24"/>
                <w:szCs w:val="24"/>
              </w:rPr>
              <w:t>programmu licencēšanas noteikumi” (VSS-91</w:t>
            </w:r>
            <w:r w:rsidR="008A1744">
              <w:rPr>
                <w:rFonts w:ascii="Times New Roman" w:hAnsi="Times New Roman"/>
                <w:bCs/>
                <w:sz w:val="24"/>
                <w:szCs w:val="24"/>
              </w:rPr>
              <w:t>1</w:t>
            </w:r>
            <w:r w:rsidR="00CE15C7">
              <w:rPr>
                <w:rFonts w:ascii="Times New Roman" w:hAnsi="Times New Roman"/>
                <w:bCs/>
                <w:sz w:val="24"/>
                <w:szCs w:val="24"/>
              </w:rPr>
              <w:t xml:space="preserve">) </w:t>
            </w:r>
            <w:r w:rsidR="008A1744">
              <w:rPr>
                <w:rFonts w:ascii="Times New Roman" w:hAnsi="Times New Roman"/>
                <w:bCs/>
                <w:sz w:val="24"/>
                <w:szCs w:val="24"/>
              </w:rPr>
              <w:t>1.</w:t>
            </w:r>
            <w:r w:rsidR="00CE15C7">
              <w:rPr>
                <w:rFonts w:ascii="Times New Roman" w:hAnsi="Times New Roman"/>
                <w:bCs/>
                <w:sz w:val="24"/>
                <w:szCs w:val="24"/>
              </w:rPr>
              <w:t>pielikumam studiju programmas licencē tiek norādīts studiju virziens, kurā tiks īstenota konkrētā studiju programma.</w:t>
            </w:r>
            <w:r>
              <w:rPr>
                <w:rFonts w:ascii="Times New Roman" w:hAnsi="Times New Roman"/>
                <w:bCs/>
                <w:sz w:val="24"/>
                <w:szCs w:val="24"/>
              </w:rPr>
              <w:t xml:space="preserve"> Projekta 3</w:t>
            </w:r>
            <w:r w:rsidR="00EA768E">
              <w:rPr>
                <w:rFonts w:ascii="Times New Roman" w:hAnsi="Times New Roman"/>
                <w:bCs/>
                <w:sz w:val="24"/>
                <w:szCs w:val="24"/>
              </w:rPr>
              <w:t>0</w:t>
            </w:r>
            <w:r>
              <w:rPr>
                <w:rFonts w:ascii="Times New Roman" w:hAnsi="Times New Roman"/>
                <w:bCs/>
                <w:sz w:val="24"/>
                <w:szCs w:val="24"/>
              </w:rPr>
              <w:t xml:space="preserve">.punktā ir ietverts nosacījums, ka Augstskolu likumam atbilstošas </w:t>
            </w:r>
            <w:r w:rsidR="00181BA2">
              <w:rPr>
                <w:rFonts w:ascii="Times New Roman" w:hAnsi="Times New Roman"/>
                <w:bCs/>
                <w:sz w:val="24"/>
                <w:szCs w:val="24"/>
              </w:rPr>
              <w:t xml:space="preserve">un līdz ar to studiju virziena akreditācijas lapā iekļaujamas </w:t>
            </w:r>
            <w:r>
              <w:rPr>
                <w:rFonts w:ascii="Times New Roman" w:hAnsi="Times New Roman"/>
                <w:bCs/>
                <w:sz w:val="24"/>
                <w:szCs w:val="24"/>
              </w:rPr>
              <w:t>ir tās studiju programmas, kuras ir saņēmušas vērtējumu izcili, labi vai viduvēji, tādējādi tiek skaidri noteikts, kuras studiju programmas tiks uzskatītas par akreditētām</w:t>
            </w:r>
            <w:r w:rsidR="00330611">
              <w:rPr>
                <w:rFonts w:ascii="Times New Roman" w:hAnsi="Times New Roman"/>
                <w:bCs/>
                <w:sz w:val="24"/>
                <w:szCs w:val="24"/>
              </w:rPr>
              <w:t>, jo atbilstoši Augstskolu likuma 1.panta 1.</w:t>
            </w:r>
            <w:r w:rsidR="00330611">
              <w:rPr>
                <w:rFonts w:ascii="Times New Roman" w:hAnsi="Times New Roman"/>
                <w:bCs/>
                <w:sz w:val="24"/>
                <w:szCs w:val="24"/>
                <w:vertAlign w:val="superscript"/>
              </w:rPr>
              <w:t>1</w:t>
            </w:r>
            <w:r w:rsidR="00330611">
              <w:rPr>
                <w:rFonts w:ascii="Times New Roman" w:hAnsi="Times New Roman"/>
                <w:bCs/>
                <w:sz w:val="24"/>
                <w:szCs w:val="24"/>
              </w:rPr>
              <w:t>punktam (redakcijā, kas stāsies spēkā 2019.gada 1.janvārī) akreditēta studiju programma ir tā studiju programma, kas studiju virziena novērtēšanas procesā atzīta par atbilstošu Augstskolu likuma prasībām, proti, saņēmusi vērtējumu izcili, labi vai viduvēji, jo tā studiju programma, kas saņēmusi vērtējumu “neapmierinoši” uzskatāma par neatbilstošu Augstskolu likumā noteiktajam</w:t>
            </w:r>
            <w:r>
              <w:rPr>
                <w:rFonts w:ascii="Times New Roman" w:hAnsi="Times New Roman"/>
                <w:bCs/>
                <w:sz w:val="24"/>
                <w:szCs w:val="24"/>
              </w:rPr>
              <w:t>.</w:t>
            </w:r>
            <w:r w:rsidR="00151F52">
              <w:rPr>
                <w:rFonts w:ascii="Times New Roman" w:hAnsi="Times New Roman"/>
                <w:bCs/>
                <w:sz w:val="24"/>
                <w:szCs w:val="24"/>
              </w:rPr>
              <w:t xml:space="preserve"> </w:t>
            </w:r>
            <w:r w:rsidR="00181BA2" w:rsidRPr="00181BA2">
              <w:rPr>
                <w:rFonts w:ascii="Times New Roman" w:hAnsi="Times New Roman"/>
                <w:bCs/>
                <w:sz w:val="24"/>
                <w:szCs w:val="24"/>
              </w:rPr>
              <w:t>Augstskolām un koledžām ir divas iespējas, ko darīt ar tādām studiju programmām, kuras nav tikušas iekļautas akreditētā studiju virzienā, jo saņēmušas vērtējumu “neapmierinoši”. Pirmā iespēja ir lūgt atņemt studiju programmas licenci saskaņā ar Augstskolu likuma 55.</w:t>
            </w:r>
            <w:r w:rsidR="00181BA2" w:rsidRPr="00181BA2">
              <w:rPr>
                <w:rFonts w:ascii="Times New Roman" w:hAnsi="Times New Roman"/>
                <w:bCs/>
                <w:sz w:val="24"/>
                <w:szCs w:val="24"/>
                <w:vertAlign w:val="superscript"/>
              </w:rPr>
              <w:t>2</w:t>
            </w:r>
            <w:r w:rsidR="00181BA2" w:rsidRPr="00181BA2">
              <w:rPr>
                <w:rFonts w:ascii="Times New Roman" w:hAnsi="Times New Roman"/>
                <w:bCs/>
                <w:sz w:val="24"/>
                <w:szCs w:val="24"/>
              </w:rPr>
              <w:t>panta astotās daļas 9.punktā (redakcijā, kas stāsies spēkā 2019.gada 1.janvārī) noteikto. Šādu iespēju augstskolai vai koledžai būtu lietderīgāk izmantot pirms tiek pieņemts lēmums par studiju virziena akreditāciju, jo tas var ietekmēt termiņu, uz kādu studiju virziens var tikt akreditēts.</w:t>
            </w:r>
            <w:r w:rsidR="00330611">
              <w:rPr>
                <w:rFonts w:ascii="Times New Roman" w:hAnsi="Times New Roman"/>
                <w:bCs/>
                <w:sz w:val="24"/>
                <w:szCs w:val="24"/>
              </w:rPr>
              <w:t xml:space="preserve"> Proti, augstskola vai koledža Studiju kvalitātes komisijas sēdē var informēt Studiju kvalitātes komisiju, ka tā ir veikusi nepieciešamās darbības, lai varētu tikt pieņemts lēmums par studiju programmas licences atņemšanu, vai arī par šādu augstskolas vai koledžas lēmumu var informēt arī pirms Studiju kvalitātes komisijas sēdes, kurā tiks skatīts jautājums par attiecībā studiju virziena akreditāciju. Augstskolas un koledžas atbildība ir atbalstīt studiju programmas licences atņemšanu, ņemot vērā to, ka augstskolai un koledžai ir jānodrošina studējošo interešu aizsardzība.</w:t>
            </w:r>
            <w:r w:rsidR="00181BA2">
              <w:rPr>
                <w:rFonts w:ascii="Times New Roman" w:hAnsi="Times New Roman"/>
                <w:bCs/>
                <w:sz w:val="24"/>
                <w:szCs w:val="24"/>
              </w:rPr>
              <w:t xml:space="preserve"> </w:t>
            </w:r>
            <w:r w:rsidR="00181BA2" w:rsidRPr="00181BA2">
              <w:rPr>
                <w:rFonts w:ascii="Times New Roman" w:hAnsi="Times New Roman"/>
                <w:bCs/>
                <w:sz w:val="24"/>
                <w:szCs w:val="24"/>
              </w:rPr>
              <w:t>Otrā iespēja ir turpināt īstenot studiju programmu, veicot tajā uzlabojumus, vienlaikus informējot studējošos, ka valsts atzītu diplomu tie saņemt nevarēs</w:t>
            </w:r>
            <w:r w:rsidR="00330611">
              <w:rPr>
                <w:rFonts w:ascii="Times New Roman" w:hAnsi="Times New Roman"/>
                <w:bCs/>
                <w:sz w:val="24"/>
                <w:szCs w:val="24"/>
              </w:rPr>
              <w:t>, jo saskaņā ar Augstskolu likumā noteikto tā nav uzskatāma par akreditētu studiju programmu</w:t>
            </w:r>
            <w:r w:rsidR="00181BA2" w:rsidRPr="00181BA2">
              <w:rPr>
                <w:rFonts w:ascii="Times New Roman" w:hAnsi="Times New Roman"/>
                <w:bCs/>
                <w:sz w:val="24"/>
                <w:szCs w:val="24"/>
              </w:rPr>
              <w:t xml:space="preserve">. Kad trūkumi  studiju programmas īstenošanā novērsti, iesniegt iesniegumu studiju virziena novērtēšanai un secīgi studiju virziena akreditācijai. Proti, šīs iespējas gadījumā, lai attiecīgās studiju programmas apguves rezultātā varētu izsniegt valsts atzītu diplomu, augstskolai vai koledžai var nākties iesniegt studiju virziena akreditācijas iesniegumu kādu laiku pirms studiju virziena akreditācijas termiņa </w:t>
            </w:r>
            <w:r w:rsidR="00181BA2" w:rsidRPr="00181BA2">
              <w:rPr>
                <w:rFonts w:ascii="Times New Roman" w:hAnsi="Times New Roman"/>
                <w:bCs/>
                <w:sz w:val="24"/>
                <w:szCs w:val="24"/>
              </w:rPr>
              <w:lastRenderedPageBreak/>
              <w:t>beigām.</w:t>
            </w:r>
            <w:r w:rsidR="00181BA2">
              <w:rPr>
                <w:rFonts w:ascii="Times New Roman" w:hAnsi="Times New Roman"/>
                <w:bCs/>
                <w:sz w:val="24"/>
                <w:szCs w:val="24"/>
              </w:rPr>
              <w:t xml:space="preserve"> </w:t>
            </w:r>
            <w:r w:rsidR="00871412">
              <w:rPr>
                <w:rFonts w:ascii="Times New Roman" w:hAnsi="Times New Roman"/>
                <w:bCs/>
                <w:sz w:val="24"/>
                <w:szCs w:val="24"/>
              </w:rPr>
              <w:t>Lēmums ar nosacījumu nevar tikt pieņemts, ņemot vērā to, ka</w:t>
            </w:r>
            <w:r w:rsidR="000C7111">
              <w:rPr>
                <w:rFonts w:ascii="Times New Roman" w:hAnsi="Times New Roman"/>
                <w:bCs/>
                <w:sz w:val="24"/>
                <w:szCs w:val="24"/>
              </w:rPr>
              <w:t xml:space="preserve"> saskaņā ar Augstskolu likuma nosacījumiem šāda studiju programma nav uzskatāma par akreditētu studiju programmu, līdz ar to tā ir jāakreditē, lai to varētu uzskatīt par akreditētu studiju programmu, proti, ir jāveic šīs studiju programmas novērtējums, līdz ar to nevar paredzēt lēmumā termiņu, kurā ir jānovērš trūkumi studiju programmā un tad tā var tikt uzskatīta par akreditētu studiju programmu.</w:t>
            </w:r>
            <w:r w:rsidR="00871412">
              <w:rPr>
                <w:rFonts w:ascii="Times New Roman" w:hAnsi="Times New Roman"/>
                <w:bCs/>
                <w:sz w:val="24"/>
                <w:szCs w:val="24"/>
              </w:rPr>
              <w:t xml:space="preserve"> </w:t>
            </w:r>
            <w:r w:rsidR="00181BA2" w:rsidRPr="00181BA2">
              <w:rPr>
                <w:rFonts w:ascii="Times New Roman" w:hAnsi="Times New Roman"/>
                <w:bCs/>
                <w:sz w:val="24"/>
                <w:szCs w:val="24"/>
              </w:rPr>
              <w:t xml:space="preserve">Būtiski ir ņemt vērā, ka studējošo un darba devēju interesēs nav, ka studējošais apgūst un beigās iegūst </w:t>
            </w:r>
            <w:r w:rsidR="00181BA2">
              <w:rPr>
                <w:rFonts w:ascii="Times New Roman" w:hAnsi="Times New Roman"/>
                <w:bCs/>
                <w:sz w:val="24"/>
                <w:szCs w:val="24"/>
              </w:rPr>
              <w:t xml:space="preserve">valsts atzītu </w:t>
            </w:r>
            <w:r w:rsidR="00181BA2" w:rsidRPr="00181BA2">
              <w:rPr>
                <w:rFonts w:ascii="Times New Roman" w:hAnsi="Times New Roman"/>
                <w:bCs/>
                <w:sz w:val="24"/>
                <w:szCs w:val="24"/>
              </w:rPr>
              <w:t xml:space="preserve">diplomu par tādas studiju programmas apguvi, kas atzīta par neatbilstošu Augstskolu likuma prasībām (novērtēta ar vērtējumu </w:t>
            </w:r>
            <w:r w:rsidR="00181BA2">
              <w:rPr>
                <w:rFonts w:ascii="Times New Roman" w:hAnsi="Times New Roman"/>
                <w:bCs/>
                <w:sz w:val="24"/>
                <w:szCs w:val="24"/>
              </w:rPr>
              <w:t>“</w:t>
            </w:r>
            <w:r w:rsidR="00181BA2" w:rsidRPr="00181BA2">
              <w:rPr>
                <w:rFonts w:ascii="Times New Roman" w:hAnsi="Times New Roman"/>
                <w:bCs/>
                <w:sz w:val="24"/>
                <w:szCs w:val="24"/>
              </w:rPr>
              <w:t>neapmierinoši</w:t>
            </w:r>
            <w:r w:rsidR="00181BA2">
              <w:rPr>
                <w:rFonts w:ascii="Times New Roman" w:hAnsi="Times New Roman"/>
                <w:bCs/>
                <w:sz w:val="24"/>
                <w:szCs w:val="24"/>
              </w:rPr>
              <w:t>”</w:t>
            </w:r>
            <w:r w:rsidR="00181BA2" w:rsidRPr="00181BA2">
              <w:rPr>
                <w:rFonts w:ascii="Times New Roman" w:hAnsi="Times New Roman"/>
                <w:bCs/>
                <w:sz w:val="24"/>
                <w:szCs w:val="24"/>
              </w:rPr>
              <w:t>), līdz ar to ir samērīgi paredzēt, ka augstskola vai koledža šādas studiju programmas slēdz, nevis turpina īstenot zemā kvalitātē, proti, nepienācīgi sagatavo studējošos attiecīgajā specialitātē. Šādās situācijās augstskolai un koledžai ir jāuzņemas atbildība par to, ka tās nav spējušas nodrošināt studējošajam normatīvo aktu prasībām atbilstošu izglītību</w:t>
            </w:r>
            <w:r w:rsidR="00181BA2">
              <w:rPr>
                <w:rFonts w:ascii="Times New Roman" w:hAnsi="Times New Roman"/>
                <w:bCs/>
                <w:sz w:val="24"/>
                <w:szCs w:val="24"/>
              </w:rPr>
              <w:t>.</w:t>
            </w:r>
          </w:p>
          <w:p w:rsidR="00790579" w:rsidRDefault="007714FF" w:rsidP="00B53DA3">
            <w:pPr>
              <w:spacing w:after="0" w:line="240" w:lineRule="auto"/>
              <w:jc w:val="both"/>
              <w:rPr>
                <w:rFonts w:ascii="Times New Roman" w:hAnsi="Times New Roman"/>
                <w:bCs/>
                <w:sz w:val="24"/>
                <w:szCs w:val="24"/>
              </w:rPr>
            </w:pPr>
            <w:r>
              <w:rPr>
                <w:rFonts w:ascii="Times New Roman" w:hAnsi="Times New Roman"/>
                <w:bCs/>
                <w:sz w:val="24"/>
                <w:szCs w:val="24"/>
              </w:rPr>
              <w:t xml:space="preserve">Saskaņā ar ESG 2.6.punktu ekspertu kopīgie atzinumi ir jāpublicē pilnībā, savukārt ESG 2.3.punkts paredz, ka tiek veikti </w:t>
            </w:r>
            <w:proofErr w:type="spellStart"/>
            <w:r>
              <w:rPr>
                <w:rFonts w:ascii="Times New Roman" w:hAnsi="Times New Roman"/>
                <w:bCs/>
                <w:sz w:val="24"/>
                <w:szCs w:val="24"/>
              </w:rPr>
              <w:t>pēcnovērtējuma</w:t>
            </w:r>
            <w:proofErr w:type="spellEnd"/>
            <w:r>
              <w:rPr>
                <w:rFonts w:ascii="Times New Roman" w:hAnsi="Times New Roman"/>
                <w:bCs/>
                <w:sz w:val="24"/>
                <w:szCs w:val="24"/>
              </w:rPr>
              <w:t xml:space="preserve"> pasākumi, proti, tiek veikta uzraudzība pār to, kā augstskolas vai koledžas ievieš rekomendācijas un novērš konstatētos trūkumus un nepilnības. Ņemot vērā to, ka ekspertu kopīgie atzinumi ir jāpublicē un būtiski ir, ka ir pieejama informācija par augstskolu un koledžu veik</w:t>
            </w:r>
            <w:r w:rsidR="00B4455F">
              <w:rPr>
                <w:rFonts w:ascii="Times New Roman" w:hAnsi="Times New Roman"/>
                <w:bCs/>
                <w:sz w:val="24"/>
                <w:szCs w:val="24"/>
              </w:rPr>
              <w:t xml:space="preserve">tajiem uzlabojumiem, projekta </w:t>
            </w:r>
            <w:r w:rsidR="00EA768E">
              <w:rPr>
                <w:rFonts w:ascii="Times New Roman" w:hAnsi="Times New Roman"/>
                <w:bCs/>
                <w:sz w:val="24"/>
                <w:szCs w:val="24"/>
              </w:rPr>
              <w:t>19</w:t>
            </w:r>
            <w:r>
              <w:rPr>
                <w:rFonts w:ascii="Times New Roman" w:hAnsi="Times New Roman"/>
                <w:bCs/>
                <w:sz w:val="24"/>
                <w:szCs w:val="24"/>
              </w:rPr>
              <w:t xml:space="preserve">.punkts paredz, ka kvalitātes nodrošināšanas aģentūrām ir jānodrošina ekspertu kopīgo atzinumu un informācijas par </w:t>
            </w:r>
            <w:proofErr w:type="spellStart"/>
            <w:r>
              <w:rPr>
                <w:rFonts w:ascii="Times New Roman" w:hAnsi="Times New Roman"/>
                <w:bCs/>
                <w:sz w:val="24"/>
                <w:szCs w:val="24"/>
              </w:rPr>
              <w:t>pēcnovērtējuma</w:t>
            </w:r>
            <w:proofErr w:type="spellEnd"/>
            <w:r>
              <w:rPr>
                <w:rFonts w:ascii="Times New Roman" w:hAnsi="Times New Roman"/>
                <w:bCs/>
                <w:sz w:val="24"/>
                <w:szCs w:val="24"/>
              </w:rPr>
              <w:t xml:space="preserve"> rezultātiem publisku pieejamību.</w:t>
            </w:r>
          </w:p>
          <w:p w:rsidR="007714FF" w:rsidRDefault="007714FF" w:rsidP="00B53DA3">
            <w:pPr>
              <w:spacing w:after="0" w:line="240" w:lineRule="auto"/>
              <w:jc w:val="both"/>
              <w:rPr>
                <w:rFonts w:ascii="Times New Roman" w:hAnsi="Times New Roman"/>
                <w:bCs/>
                <w:sz w:val="24"/>
                <w:szCs w:val="24"/>
              </w:rPr>
            </w:pPr>
            <w:r>
              <w:rPr>
                <w:rFonts w:ascii="Times New Roman" w:hAnsi="Times New Roman"/>
                <w:bCs/>
                <w:sz w:val="24"/>
                <w:szCs w:val="24"/>
              </w:rPr>
              <w:t xml:space="preserve">Projekta </w:t>
            </w:r>
            <w:proofErr w:type="spellStart"/>
            <w:r>
              <w:rPr>
                <w:rFonts w:ascii="Times New Roman" w:hAnsi="Times New Roman"/>
                <w:bCs/>
                <w:sz w:val="24"/>
                <w:szCs w:val="24"/>
              </w:rPr>
              <w:t>V.nodaļa</w:t>
            </w:r>
            <w:proofErr w:type="spellEnd"/>
            <w:r>
              <w:rPr>
                <w:rFonts w:ascii="Times New Roman" w:hAnsi="Times New Roman"/>
                <w:bCs/>
                <w:sz w:val="24"/>
                <w:szCs w:val="24"/>
              </w:rPr>
              <w:t xml:space="preserve"> nosaka studiju virziena akreditācijas kārtību. Studiju virziena akreditāciju ierosina augstskola vai koledža</w:t>
            </w:r>
            <w:r w:rsidR="00B4455F">
              <w:rPr>
                <w:rFonts w:ascii="Times New Roman" w:hAnsi="Times New Roman"/>
                <w:bCs/>
                <w:sz w:val="24"/>
                <w:szCs w:val="24"/>
              </w:rPr>
              <w:t xml:space="preserve"> saskaņā ar projekta 2</w:t>
            </w:r>
            <w:r w:rsidR="00EA768E">
              <w:rPr>
                <w:rFonts w:ascii="Times New Roman" w:hAnsi="Times New Roman"/>
                <w:bCs/>
                <w:sz w:val="24"/>
                <w:szCs w:val="24"/>
              </w:rPr>
              <w:t>0</w:t>
            </w:r>
            <w:r>
              <w:rPr>
                <w:rFonts w:ascii="Times New Roman" w:hAnsi="Times New Roman"/>
                <w:bCs/>
                <w:sz w:val="24"/>
                <w:szCs w:val="24"/>
              </w:rPr>
              <w:t>.punktu, iesniedzot Akadēmiskās informācijas centrā iesniegumu studiju virziena akredi</w:t>
            </w:r>
            <w:r w:rsidR="00B4455F">
              <w:rPr>
                <w:rFonts w:ascii="Times New Roman" w:hAnsi="Times New Roman"/>
                <w:bCs/>
                <w:sz w:val="24"/>
                <w:szCs w:val="24"/>
              </w:rPr>
              <w:t>tācijai, kurā norāda projekta 2</w:t>
            </w:r>
            <w:r w:rsidR="00EA768E">
              <w:rPr>
                <w:rFonts w:ascii="Times New Roman" w:hAnsi="Times New Roman"/>
                <w:bCs/>
                <w:sz w:val="24"/>
                <w:szCs w:val="24"/>
              </w:rPr>
              <w:t>1</w:t>
            </w:r>
            <w:r>
              <w:rPr>
                <w:rFonts w:ascii="Times New Roman" w:hAnsi="Times New Roman"/>
                <w:bCs/>
                <w:sz w:val="24"/>
                <w:szCs w:val="24"/>
              </w:rPr>
              <w:t>.punktā noteikto studiju virzienu un studiju programmas raksturojošo informāciju.</w:t>
            </w:r>
          </w:p>
          <w:p w:rsidR="00693B09" w:rsidRPr="00693B09" w:rsidRDefault="00B4455F" w:rsidP="00B53DA3">
            <w:pPr>
              <w:spacing w:after="0" w:line="240" w:lineRule="auto"/>
              <w:jc w:val="both"/>
              <w:rPr>
                <w:rFonts w:ascii="Times New Roman" w:hAnsi="Times New Roman"/>
                <w:bCs/>
                <w:sz w:val="24"/>
                <w:szCs w:val="24"/>
              </w:rPr>
            </w:pPr>
            <w:r>
              <w:rPr>
                <w:rFonts w:ascii="Times New Roman" w:hAnsi="Times New Roman"/>
                <w:bCs/>
                <w:sz w:val="24"/>
                <w:szCs w:val="24"/>
              </w:rPr>
              <w:t>Projekta 2</w:t>
            </w:r>
            <w:r w:rsidR="00EA768E">
              <w:rPr>
                <w:rFonts w:ascii="Times New Roman" w:hAnsi="Times New Roman"/>
                <w:bCs/>
                <w:sz w:val="24"/>
                <w:szCs w:val="24"/>
              </w:rPr>
              <w:t>2</w:t>
            </w:r>
            <w:r w:rsidR="007714FF">
              <w:rPr>
                <w:rFonts w:ascii="Times New Roman" w:hAnsi="Times New Roman"/>
                <w:bCs/>
                <w:sz w:val="24"/>
                <w:szCs w:val="24"/>
              </w:rPr>
              <w:t xml:space="preserve">.punkts paredz, ka iesniegumam studiju virziena akreditācijai pievieno ekspertu kopīgo atzinumu, kas pievienojams saskaņā ar Augstskolu likuma </w:t>
            </w:r>
            <w:r w:rsidR="00693B09">
              <w:rPr>
                <w:rFonts w:ascii="Times New Roman" w:hAnsi="Times New Roman"/>
                <w:bCs/>
                <w:sz w:val="24"/>
                <w:szCs w:val="24"/>
              </w:rPr>
              <w:t>55.</w:t>
            </w:r>
            <w:r w:rsidR="00693B09">
              <w:rPr>
                <w:rFonts w:ascii="Times New Roman" w:hAnsi="Times New Roman"/>
                <w:bCs/>
                <w:sz w:val="24"/>
                <w:szCs w:val="24"/>
                <w:vertAlign w:val="superscript"/>
              </w:rPr>
              <w:t>3</w:t>
            </w:r>
            <w:r w:rsidR="00693B09">
              <w:rPr>
                <w:rFonts w:ascii="Times New Roman" w:hAnsi="Times New Roman"/>
                <w:bCs/>
                <w:sz w:val="24"/>
                <w:szCs w:val="24"/>
              </w:rPr>
              <w:t>panta trešo daļu (redakcijā, kas stāsies spēkā 2019.gada 1.janvārī), dokumentus, kas tika iesniegti attiecīgajā kvalitātes nodrošināšanas aģentūrā, lai Studiju kvalitātes komisijai ir pieejami dokumenti, kas ir bijis viens no avotiem studiju virziena novērtēšanai. Vienlaikus iesniegumam pievienojams arī starp augstskolu vai koledžu un kvalitātes nodrošināšanas aģentūru noslēgtais līgums, lai būtu iespējams iepazīties ar studiju virziena novērtēšanas veikšanas nosacījumiem.</w:t>
            </w:r>
            <w:r w:rsidR="00B06940">
              <w:rPr>
                <w:rFonts w:ascii="Times New Roman" w:hAnsi="Times New Roman"/>
                <w:bCs/>
                <w:sz w:val="24"/>
                <w:szCs w:val="24"/>
              </w:rPr>
              <w:t xml:space="preserve"> </w:t>
            </w:r>
            <w:r w:rsidR="00693B09" w:rsidRPr="00693B09">
              <w:rPr>
                <w:rFonts w:ascii="Times New Roman" w:hAnsi="Times New Roman"/>
                <w:bCs/>
                <w:sz w:val="24"/>
                <w:szCs w:val="24"/>
              </w:rPr>
              <w:t xml:space="preserve">Administratīvā procesa likuma 59.panta otrās daļas otrais teikums nosaka, ka, ja nepieciešamā informācija ir nevis </w:t>
            </w:r>
            <w:r w:rsidR="00693B09" w:rsidRPr="00693B09">
              <w:rPr>
                <w:rFonts w:ascii="Times New Roman" w:hAnsi="Times New Roman"/>
                <w:bCs/>
                <w:sz w:val="24"/>
                <w:szCs w:val="24"/>
              </w:rPr>
              <w:lastRenderedPageBreak/>
              <w:t>administratīvā procesa dalībnieku, bet gan citas institūcijas rīcībā, iestāde to iegūst pati, nevis pieprasa no administratīvā procesa dalībnieka. Ņemot vērā m</w:t>
            </w:r>
            <w:r w:rsidR="00693B09">
              <w:rPr>
                <w:rFonts w:ascii="Times New Roman" w:hAnsi="Times New Roman"/>
                <w:bCs/>
                <w:sz w:val="24"/>
                <w:szCs w:val="24"/>
              </w:rPr>
              <w:t>inēto, projekta 2</w:t>
            </w:r>
            <w:r w:rsidR="00EA768E">
              <w:rPr>
                <w:rFonts w:ascii="Times New Roman" w:hAnsi="Times New Roman"/>
                <w:bCs/>
                <w:sz w:val="24"/>
                <w:szCs w:val="24"/>
              </w:rPr>
              <w:t>2</w:t>
            </w:r>
            <w:r w:rsidR="00693B09" w:rsidRPr="00693B09">
              <w:rPr>
                <w:rFonts w:ascii="Times New Roman" w:hAnsi="Times New Roman"/>
                <w:bCs/>
                <w:sz w:val="24"/>
                <w:szCs w:val="24"/>
              </w:rPr>
              <w:t>.punktā ir noteikts, ka Akadēmiskās informācijas centrs informāciju par augstskolu un koledžu, kas ir dažādos reģistros, iegūst no šiem reģistriem.</w:t>
            </w:r>
          </w:p>
          <w:p w:rsidR="00574ACC" w:rsidRPr="00574ACC" w:rsidRDefault="00574ACC" w:rsidP="00B53DA3">
            <w:pPr>
              <w:spacing w:after="0" w:line="240" w:lineRule="auto"/>
              <w:jc w:val="both"/>
              <w:rPr>
                <w:rFonts w:ascii="Times New Roman" w:hAnsi="Times New Roman"/>
                <w:bCs/>
                <w:sz w:val="24"/>
                <w:szCs w:val="24"/>
              </w:rPr>
            </w:pPr>
            <w:r w:rsidRPr="00574ACC">
              <w:rPr>
                <w:rFonts w:ascii="Times New Roman" w:hAnsi="Times New Roman"/>
                <w:bCs/>
                <w:sz w:val="24"/>
                <w:szCs w:val="24"/>
              </w:rPr>
              <w:t>Akadēmiskās informācijas centrs šobrīd izstrādā e-platformu, kurā tiks paredzēta tikai elektroniska iesniegumu ies</w:t>
            </w:r>
            <w:r>
              <w:rPr>
                <w:rFonts w:ascii="Times New Roman" w:hAnsi="Times New Roman"/>
                <w:bCs/>
                <w:sz w:val="24"/>
                <w:szCs w:val="24"/>
              </w:rPr>
              <w:t>niegšana, līdz ar to projekta 2</w:t>
            </w:r>
            <w:r w:rsidR="00EA768E">
              <w:rPr>
                <w:rFonts w:ascii="Times New Roman" w:hAnsi="Times New Roman"/>
                <w:bCs/>
                <w:sz w:val="24"/>
                <w:szCs w:val="24"/>
              </w:rPr>
              <w:t>3</w:t>
            </w:r>
            <w:r w:rsidRPr="00574ACC">
              <w:rPr>
                <w:rFonts w:ascii="Times New Roman" w:hAnsi="Times New Roman"/>
                <w:bCs/>
                <w:sz w:val="24"/>
                <w:szCs w:val="24"/>
              </w:rPr>
              <w:t>.punkts jau nosaka, ka iesniegums iesniedzams elektroniskā formā un tas parakstāms ar drošu elektronis</w:t>
            </w:r>
            <w:r w:rsidR="00ED555F">
              <w:rPr>
                <w:rFonts w:ascii="Times New Roman" w:hAnsi="Times New Roman"/>
                <w:bCs/>
                <w:sz w:val="24"/>
                <w:szCs w:val="24"/>
              </w:rPr>
              <w:t>ko parakstu, jo arī šobrīd akreditācijas noteikumi paredz, ka papīra formā iesniegtam iesniegumam pievienojama iesnieguma kopija elektroniskā datu nesējā.</w:t>
            </w:r>
          </w:p>
          <w:p w:rsidR="00693B09" w:rsidRDefault="00B4455F" w:rsidP="00B53DA3">
            <w:pPr>
              <w:spacing w:after="0" w:line="240" w:lineRule="auto"/>
              <w:jc w:val="both"/>
              <w:rPr>
                <w:rFonts w:ascii="Times New Roman" w:hAnsi="Times New Roman"/>
                <w:bCs/>
                <w:sz w:val="24"/>
                <w:szCs w:val="24"/>
              </w:rPr>
            </w:pPr>
            <w:r>
              <w:rPr>
                <w:rFonts w:ascii="Times New Roman" w:hAnsi="Times New Roman"/>
                <w:bCs/>
                <w:sz w:val="24"/>
                <w:szCs w:val="24"/>
              </w:rPr>
              <w:t>Projekta 2</w:t>
            </w:r>
            <w:r w:rsidR="00EA768E">
              <w:rPr>
                <w:rFonts w:ascii="Times New Roman" w:hAnsi="Times New Roman"/>
                <w:bCs/>
                <w:sz w:val="24"/>
                <w:szCs w:val="24"/>
              </w:rPr>
              <w:t>4</w:t>
            </w:r>
            <w:r w:rsidR="00574ACC">
              <w:rPr>
                <w:rFonts w:ascii="Times New Roman" w:hAnsi="Times New Roman"/>
                <w:bCs/>
                <w:sz w:val="24"/>
                <w:szCs w:val="24"/>
              </w:rPr>
              <w:t>.punkts paredz, ka iesniegums un tam pievienotie dokumenti jāiesniedz valsts valodā, ņemot vērā to, ka Studiju kvalitātes komisija ir valsts instit</w:t>
            </w:r>
            <w:r w:rsidR="00ED555F">
              <w:rPr>
                <w:rFonts w:ascii="Times New Roman" w:hAnsi="Times New Roman"/>
                <w:bCs/>
                <w:sz w:val="24"/>
                <w:szCs w:val="24"/>
              </w:rPr>
              <w:t>ūcija</w:t>
            </w:r>
            <w:r w:rsidR="00574ACC">
              <w:rPr>
                <w:rFonts w:ascii="Times New Roman" w:hAnsi="Times New Roman"/>
                <w:bCs/>
                <w:sz w:val="24"/>
                <w:szCs w:val="24"/>
              </w:rPr>
              <w:t xml:space="preserve"> un tajā dokumenti jāiesniedz un lietas jāizskata valsts valodā. Vienlaikus lai izvairītos no pārpratumiem tulkojumos, augstskolai vai koledžai ir pienākums iesniegt dokumentus arī tajā svešvalodā, kādā tie iesniegti kvalitātes nodrošināšanas aģentūrā, kā arī iesniegt ekspertu kopīgo atzinumu tajā svešvalodā, kādā tas sagatavots.</w:t>
            </w:r>
          </w:p>
          <w:p w:rsidR="00BD47D4" w:rsidRPr="00BD47D4" w:rsidRDefault="00574ACC" w:rsidP="00B53DA3">
            <w:pPr>
              <w:spacing w:after="0" w:line="240" w:lineRule="auto"/>
              <w:jc w:val="both"/>
              <w:rPr>
                <w:rFonts w:ascii="Times New Roman" w:hAnsi="Times New Roman"/>
                <w:bCs/>
                <w:sz w:val="24"/>
                <w:szCs w:val="24"/>
              </w:rPr>
            </w:pPr>
            <w:r w:rsidRPr="00574ACC">
              <w:rPr>
                <w:rFonts w:ascii="Times New Roman" w:hAnsi="Times New Roman"/>
                <w:bCs/>
                <w:sz w:val="24"/>
                <w:szCs w:val="24"/>
              </w:rPr>
              <w:t>Lai varētu objektīvi novērtēt augstskolu vai koledžu, ir nepieciešams saņemt visus novērtēšanai nepieciešamos dokumentus, līdz ar to proje</w:t>
            </w:r>
            <w:r w:rsidR="00B4455F">
              <w:rPr>
                <w:rFonts w:ascii="Times New Roman" w:hAnsi="Times New Roman"/>
                <w:bCs/>
                <w:sz w:val="24"/>
                <w:szCs w:val="24"/>
              </w:rPr>
              <w:t>kta 2</w:t>
            </w:r>
            <w:r w:rsidR="00D7249C">
              <w:rPr>
                <w:rFonts w:ascii="Times New Roman" w:hAnsi="Times New Roman"/>
                <w:bCs/>
                <w:sz w:val="24"/>
                <w:szCs w:val="24"/>
              </w:rPr>
              <w:t>5</w:t>
            </w:r>
            <w:r w:rsidRPr="00574ACC">
              <w:rPr>
                <w:rFonts w:ascii="Times New Roman" w:hAnsi="Times New Roman"/>
                <w:bCs/>
                <w:sz w:val="24"/>
                <w:szCs w:val="24"/>
              </w:rPr>
              <w:t>.punkts paredz noteikt, ka Akadēmiskās informācijas centrs pārbauda iesniegumu un lūdz iesniegt trūkstošo informāciju, ja kaut kāda informācija nav iesniegta.</w:t>
            </w:r>
            <w:r w:rsidR="00BD47D4">
              <w:rPr>
                <w:rFonts w:ascii="Times New Roman" w:hAnsi="Times New Roman"/>
                <w:bCs/>
                <w:sz w:val="24"/>
                <w:szCs w:val="24"/>
              </w:rPr>
              <w:t xml:space="preserve"> </w:t>
            </w:r>
            <w:r w:rsidR="00BD47D4" w:rsidRPr="00BD47D4">
              <w:rPr>
                <w:rFonts w:ascii="Times New Roman" w:hAnsi="Times New Roman"/>
                <w:bCs/>
                <w:sz w:val="24"/>
                <w:szCs w:val="24"/>
              </w:rPr>
              <w:t>Projekta 2</w:t>
            </w:r>
            <w:r w:rsidR="00D7249C">
              <w:rPr>
                <w:rFonts w:ascii="Times New Roman" w:hAnsi="Times New Roman"/>
                <w:bCs/>
                <w:sz w:val="24"/>
                <w:szCs w:val="24"/>
              </w:rPr>
              <w:t>6</w:t>
            </w:r>
            <w:r w:rsidR="00BD47D4" w:rsidRPr="00BD47D4">
              <w:rPr>
                <w:rFonts w:ascii="Times New Roman" w:hAnsi="Times New Roman"/>
                <w:bCs/>
                <w:sz w:val="24"/>
                <w:szCs w:val="24"/>
              </w:rPr>
              <w:t xml:space="preserve">.punkts paredz gadījumus, kuros iesniegums tiek </w:t>
            </w:r>
            <w:r w:rsidR="007D5D46" w:rsidRPr="007D5D46">
              <w:rPr>
                <w:rFonts w:ascii="Times New Roman" w:hAnsi="Times New Roman"/>
                <w:sz w:val="28"/>
                <w:szCs w:val="28"/>
              </w:rPr>
              <w:t xml:space="preserve"> </w:t>
            </w:r>
            <w:r w:rsidR="007D5D46">
              <w:rPr>
                <w:rFonts w:ascii="Times New Roman" w:hAnsi="Times New Roman"/>
                <w:bCs/>
                <w:sz w:val="24"/>
                <w:szCs w:val="24"/>
              </w:rPr>
              <w:t>atstāts</w:t>
            </w:r>
            <w:r w:rsidR="007D5D46" w:rsidRPr="007D5D46">
              <w:rPr>
                <w:rFonts w:ascii="Times New Roman" w:hAnsi="Times New Roman"/>
                <w:bCs/>
                <w:sz w:val="24"/>
                <w:szCs w:val="24"/>
              </w:rPr>
              <w:t xml:space="preserve"> bez izskatīšanas, par to informējot </w:t>
            </w:r>
            <w:r w:rsidR="00BD47D4" w:rsidRPr="00BD47D4">
              <w:rPr>
                <w:rFonts w:ascii="Times New Roman" w:hAnsi="Times New Roman"/>
                <w:bCs/>
                <w:sz w:val="24"/>
                <w:szCs w:val="24"/>
              </w:rPr>
              <w:t xml:space="preserve"> iesniedzēj</w:t>
            </w:r>
            <w:r w:rsidR="007D5D46">
              <w:rPr>
                <w:rFonts w:ascii="Times New Roman" w:hAnsi="Times New Roman"/>
                <w:bCs/>
                <w:sz w:val="24"/>
                <w:szCs w:val="24"/>
              </w:rPr>
              <w:t>u</w:t>
            </w:r>
            <w:r w:rsidR="00BD47D4" w:rsidRPr="00BD47D4">
              <w:rPr>
                <w:rFonts w:ascii="Times New Roman" w:hAnsi="Times New Roman"/>
                <w:bCs/>
                <w:sz w:val="24"/>
                <w:szCs w:val="24"/>
              </w:rPr>
              <w:t>, jo ir kavēta iesnieguma izskatīšana. Saskaņā ar Augstskolu likuma</w:t>
            </w:r>
            <w:r w:rsidR="00BD47D4">
              <w:rPr>
                <w:rFonts w:ascii="Times New Roman" w:hAnsi="Times New Roman"/>
                <w:bCs/>
                <w:sz w:val="24"/>
                <w:szCs w:val="24"/>
              </w:rPr>
              <w:t xml:space="preserve"> </w:t>
            </w:r>
            <w:r w:rsidR="00BD47D4" w:rsidRPr="00BD47D4">
              <w:rPr>
                <w:rFonts w:ascii="Times New Roman" w:hAnsi="Times New Roman"/>
                <w:bCs/>
                <w:sz w:val="24"/>
                <w:szCs w:val="24"/>
              </w:rPr>
              <w:t>55.</w:t>
            </w:r>
            <w:r w:rsidR="00BD47D4">
              <w:rPr>
                <w:rFonts w:ascii="Times New Roman" w:hAnsi="Times New Roman"/>
                <w:bCs/>
                <w:sz w:val="24"/>
                <w:szCs w:val="24"/>
                <w:vertAlign w:val="superscript"/>
              </w:rPr>
              <w:t>3</w:t>
            </w:r>
            <w:r w:rsidR="00BD47D4" w:rsidRPr="00BD47D4">
              <w:rPr>
                <w:rFonts w:ascii="Times New Roman" w:hAnsi="Times New Roman"/>
                <w:bCs/>
                <w:sz w:val="24"/>
                <w:szCs w:val="24"/>
              </w:rPr>
              <w:t xml:space="preserve">panta ceturto daļu (redakcijā, kas stāsies spēkā 2019.gada 1.janvārī) lēmums par studiju </w:t>
            </w:r>
            <w:r w:rsidR="00BD47D4">
              <w:rPr>
                <w:rFonts w:ascii="Times New Roman" w:hAnsi="Times New Roman"/>
                <w:bCs/>
                <w:sz w:val="24"/>
                <w:szCs w:val="24"/>
              </w:rPr>
              <w:t>virziena akreditāciju</w:t>
            </w:r>
            <w:r w:rsidR="00BD47D4" w:rsidRPr="00BD47D4">
              <w:rPr>
                <w:rFonts w:ascii="Times New Roman" w:hAnsi="Times New Roman"/>
                <w:bCs/>
                <w:sz w:val="24"/>
                <w:szCs w:val="24"/>
              </w:rPr>
              <w:t xml:space="preserve"> pieņemams četru mēnešu laikā. Ņemot vērā to, ka lēmuma pieņemšanas termiņš nav neierobežots un lēmums ir administratīv</w:t>
            </w:r>
            <w:r w:rsidR="00BD47D4">
              <w:rPr>
                <w:rFonts w:ascii="Times New Roman" w:hAnsi="Times New Roman"/>
                <w:bCs/>
                <w:sz w:val="24"/>
                <w:szCs w:val="24"/>
              </w:rPr>
              <w:t>ai</w:t>
            </w:r>
            <w:r w:rsidR="00BD47D4" w:rsidRPr="00BD47D4">
              <w:rPr>
                <w:rFonts w:ascii="Times New Roman" w:hAnsi="Times New Roman"/>
                <w:bCs/>
                <w:sz w:val="24"/>
                <w:szCs w:val="24"/>
              </w:rPr>
              <w:t>s akts un tā pieņemšanas kavēšana var radīt nelabvēlīgas sekas Studiju kvalitātes komisijai, augstskolai vai koledžai var tikt dota iespēja novērst iesniegumā trūkumus, taču trūkumu novēršana nevar ilgt nesamērīgi ilgi.</w:t>
            </w:r>
          </w:p>
          <w:p w:rsidR="00BD47D4" w:rsidRPr="00BD47D4" w:rsidRDefault="00BD47D4" w:rsidP="00B53DA3">
            <w:pPr>
              <w:spacing w:after="0" w:line="240" w:lineRule="auto"/>
              <w:jc w:val="both"/>
              <w:rPr>
                <w:rFonts w:ascii="Times New Roman" w:hAnsi="Times New Roman"/>
                <w:bCs/>
                <w:sz w:val="24"/>
                <w:szCs w:val="24"/>
              </w:rPr>
            </w:pPr>
            <w:r w:rsidRPr="00BD47D4">
              <w:rPr>
                <w:rFonts w:ascii="Times New Roman" w:hAnsi="Times New Roman"/>
                <w:bCs/>
                <w:sz w:val="24"/>
                <w:szCs w:val="24"/>
              </w:rPr>
              <w:t xml:space="preserve">Projekta </w:t>
            </w:r>
            <w:r w:rsidR="00B4455F">
              <w:rPr>
                <w:rFonts w:ascii="Times New Roman" w:hAnsi="Times New Roman"/>
                <w:bCs/>
                <w:sz w:val="24"/>
                <w:szCs w:val="24"/>
              </w:rPr>
              <w:t>2</w:t>
            </w:r>
            <w:r w:rsidR="00D7249C">
              <w:rPr>
                <w:rFonts w:ascii="Times New Roman" w:hAnsi="Times New Roman"/>
                <w:bCs/>
                <w:sz w:val="24"/>
                <w:szCs w:val="24"/>
              </w:rPr>
              <w:t>6</w:t>
            </w:r>
            <w:r>
              <w:rPr>
                <w:rFonts w:ascii="Times New Roman" w:hAnsi="Times New Roman"/>
                <w:bCs/>
                <w:sz w:val="24"/>
                <w:szCs w:val="24"/>
              </w:rPr>
              <w:t>.1</w:t>
            </w:r>
            <w:r w:rsidRPr="00BD47D4">
              <w:rPr>
                <w:rFonts w:ascii="Times New Roman" w:hAnsi="Times New Roman"/>
                <w:bCs/>
                <w:sz w:val="24"/>
                <w:szCs w:val="24"/>
              </w:rPr>
              <w:t xml:space="preserve">.apakšpunkts paredz, ka iesniegums tiek </w:t>
            </w:r>
            <w:r w:rsidR="007D5D46" w:rsidRPr="007D5D46">
              <w:rPr>
                <w:rFonts w:ascii="Times New Roman" w:hAnsi="Times New Roman"/>
                <w:sz w:val="28"/>
                <w:szCs w:val="28"/>
              </w:rPr>
              <w:t xml:space="preserve"> </w:t>
            </w:r>
            <w:r w:rsidR="007D5D46" w:rsidRPr="007D5D46">
              <w:rPr>
                <w:rFonts w:ascii="Times New Roman" w:hAnsi="Times New Roman"/>
                <w:bCs/>
                <w:sz w:val="24"/>
                <w:szCs w:val="24"/>
              </w:rPr>
              <w:t>atstā</w:t>
            </w:r>
            <w:r w:rsidR="007D5D46">
              <w:rPr>
                <w:rFonts w:ascii="Times New Roman" w:hAnsi="Times New Roman"/>
                <w:bCs/>
                <w:sz w:val="24"/>
                <w:szCs w:val="24"/>
              </w:rPr>
              <w:t>ts</w:t>
            </w:r>
            <w:r w:rsidR="007D5D46" w:rsidRPr="007D5D46">
              <w:rPr>
                <w:rFonts w:ascii="Times New Roman" w:hAnsi="Times New Roman"/>
                <w:bCs/>
                <w:sz w:val="24"/>
                <w:szCs w:val="24"/>
              </w:rPr>
              <w:t xml:space="preserve"> bez izskatīšanas, par to informējot </w:t>
            </w:r>
            <w:r w:rsidRPr="00BD47D4">
              <w:rPr>
                <w:rFonts w:ascii="Times New Roman" w:hAnsi="Times New Roman"/>
                <w:bCs/>
                <w:sz w:val="24"/>
                <w:szCs w:val="24"/>
              </w:rPr>
              <w:t xml:space="preserve"> iesniedzēj</w:t>
            </w:r>
            <w:r w:rsidR="007D5D46">
              <w:rPr>
                <w:rFonts w:ascii="Times New Roman" w:hAnsi="Times New Roman"/>
                <w:bCs/>
                <w:sz w:val="24"/>
                <w:szCs w:val="24"/>
              </w:rPr>
              <w:t>u</w:t>
            </w:r>
            <w:r w:rsidRPr="00BD47D4">
              <w:rPr>
                <w:rFonts w:ascii="Times New Roman" w:hAnsi="Times New Roman"/>
                <w:bCs/>
                <w:sz w:val="24"/>
                <w:szCs w:val="24"/>
              </w:rPr>
              <w:t xml:space="preserve">, ja nav saņemta visa pieprasītā informācija, jo, pirmkārt, nav iespējams veikt pilnvērtīgu studiju </w:t>
            </w:r>
            <w:r>
              <w:rPr>
                <w:rFonts w:ascii="Times New Roman" w:hAnsi="Times New Roman"/>
                <w:bCs/>
                <w:sz w:val="24"/>
                <w:szCs w:val="24"/>
              </w:rPr>
              <w:t>virziena</w:t>
            </w:r>
            <w:r w:rsidRPr="00BD47D4">
              <w:rPr>
                <w:rFonts w:ascii="Times New Roman" w:hAnsi="Times New Roman"/>
                <w:bCs/>
                <w:sz w:val="24"/>
                <w:szCs w:val="24"/>
              </w:rPr>
              <w:t xml:space="preserve">  novērtēšanu, ja nav iesnieg</w:t>
            </w:r>
            <w:r w:rsidR="00ED555F">
              <w:rPr>
                <w:rFonts w:ascii="Times New Roman" w:hAnsi="Times New Roman"/>
                <w:bCs/>
                <w:sz w:val="24"/>
                <w:szCs w:val="24"/>
              </w:rPr>
              <w:t>ta visa nepieciešamā informācija</w:t>
            </w:r>
            <w:r w:rsidRPr="00BD47D4">
              <w:rPr>
                <w:rFonts w:ascii="Times New Roman" w:hAnsi="Times New Roman"/>
                <w:bCs/>
                <w:sz w:val="24"/>
                <w:szCs w:val="24"/>
              </w:rPr>
              <w:t>, un, otrkārt, atkārtota informācijas pieprasīšana arī nevar notikt vairākkārtīgi, jo lēmuma pieņemšanai ir noteikts termiņš, kas ir jāievēro Studiju kvalitātes komisijai, un Akadēmiskās informācijas centram ir jānodrošina, ka tas tiek ievērots.</w:t>
            </w:r>
          </w:p>
          <w:p w:rsidR="00574ACC" w:rsidRDefault="00B4455F" w:rsidP="00B53DA3">
            <w:pPr>
              <w:spacing w:after="0" w:line="240" w:lineRule="auto"/>
              <w:jc w:val="both"/>
              <w:rPr>
                <w:rFonts w:ascii="Times New Roman" w:hAnsi="Times New Roman"/>
                <w:bCs/>
                <w:sz w:val="24"/>
                <w:szCs w:val="24"/>
              </w:rPr>
            </w:pPr>
            <w:r>
              <w:rPr>
                <w:rFonts w:ascii="Times New Roman" w:hAnsi="Times New Roman"/>
                <w:bCs/>
                <w:sz w:val="24"/>
                <w:szCs w:val="24"/>
              </w:rPr>
              <w:lastRenderedPageBreak/>
              <w:t>Projekta 2</w:t>
            </w:r>
            <w:r w:rsidR="00D7249C">
              <w:rPr>
                <w:rFonts w:ascii="Times New Roman" w:hAnsi="Times New Roman"/>
                <w:bCs/>
                <w:sz w:val="24"/>
                <w:szCs w:val="24"/>
              </w:rPr>
              <w:t>6</w:t>
            </w:r>
            <w:r w:rsidR="00BD47D4">
              <w:rPr>
                <w:rFonts w:ascii="Times New Roman" w:hAnsi="Times New Roman"/>
                <w:bCs/>
                <w:sz w:val="24"/>
                <w:szCs w:val="24"/>
              </w:rPr>
              <w:t>.2</w:t>
            </w:r>
            <w:r w:rsidR="00BD47D4" w:rsidRPr="00BD47D4">
              <w:rPr>
                <w:rFonts w:ascii="Times New Roman" w:hAnsi="Times New Roman"/>
                <w:bCs/>
                <w:sz w:val="24"/>
                <w:szCs w:val="24"/>
              </w:rPr>
              <w:t>.apakšpunkts paredz, ka iesniegum</w:t>
            </w:r>
            <w:r w:rsidR="007D5D46">
              <w:rPr>
                <w:rFonts w:ascii="Times New Roman" w:hAnsi="Times New Roman"/>
                <w:bCs/>
                <w:sz w:val="24"/>
                <w:szCs w:val="24"/>
              </w:rPr>
              <w:t>u</w:t>
            </w:r>
            <w:r w:rsidR="00BD47D4" w:rsidRPr="00BD47D4">
              <w:rPr>
                <w:rFonts w:ascii="Times New Roman" w:hAnsi="Times New Roman"/>
                <w:bCs/>
                <w:sz w:val="24"/>
                <w:szCs w:val="24"/>
              </w:rPr>
              <w:t xml:space="preserve"> </w:t>
            </w:r>
            <w:r w:rsidR="007D5D46" w:rsidRPr="007D5D46">
              <w:rPr>
                <w:rFonts w:ascii="Times New Roman" w:hAnsi="Times New Roman"/>
                <w:sz w:val="28"/>
                <w:szCs w:val="28"/>
              </w:rPr>
              <w:t xml:space="preserve"> </w:t>
            </w:r>
            <w:r w:rsidR="007D5D46" w:rsidRPr="007D5D46">
              <w:rPr>
                <w:rFonts w:ascii="Times New Roman" w:hAnsi="Times New Roman"/>
                <w:bCs/>
                <w:sz w:val="24"/>
                <w:szCs w:val="24"/>
              </w:rPr>
              <w:t xml:space="preserve">atstāj bez izskatīšanas, par to informējot </w:t>
            </w:r>
            <w:r w:rsidR="00BD47D4" w:rsidRPr="00BD47D4">
              <w:rPr>
                <w:rFonts w:ascii="Times New Roman" w:hAnsi="Times New Roman"/>
                <w:bCs/>
                <w:sz w:val="24"/>
                <w:szCs w:val="24"/>
              </w:rPr>
              <w:t xml:space="preserve"> iesniedzēj</w:t>
            </w:r>
            <w:r w:rsidR="007D5D46">
              <w:rPr>
                <w:rFonts w:ascii="Times New Roman" w:hAnsi="Times New Roman"/>
                <w:bCs/>
                <w:sz w:val="24"/>
                <w:szCs w:val="24"/>
              </w:rPr>
              <w:t>u</w:t>
            </w:r>
            <w:r w:rsidR="00BD47D4" w:rsidRPr="00BD47D4">
              <w:rPr>
                <w:rFonts w:ascii="Times New Roman" w:hAnsi="Times New Roman"/>
                <w:bCs/>
                <w:sz w:val="24"/>
                <w:szCs w:val="24"/>
              </w:rPr>
              <w:t>, ja dokumenti nav noformēti atbilstoši normatīvajos aktos noteiktajām dokumentu noformēšanas prasībām, jo šāda iesnieguma izskatīšana var būt apgrūtināta, ja tas ir nesaprotams.</w:t>
            </w:r>
          </w:p>
          <w:p w:rsidR="00BD47D4" w:rsidRDefault="00B4455F" w:rsidP="00B53DA3">
            <w:pPr>
              <w:spacing w:after="0" w:line="240" w:lineRule="auto"/>
              <w:jc w:val="both"/>
              <w:rPr>
                <w:rFonts w:ascii="Times New Roman" w:hAnsi="Times New Roman"/>
                <w:bCs/>
                <w:sz w:val="24"/>
                <w:szCs w:val="24"/>
              </w:rPr>
            </w:pPr>
            <w:r>
              <w:rPr>
                <w:rFonts w:ascii="Times New Roman" w:hAnsi="Times New Roman"/>
                <w:bCs/>
                <w:sz w:val="24"/>
                <w:szCs w:val="24"/>
              </w:rPr>
              <w:t>Projekta 2</w:t>
            </w:r>
            <w:r w:rsidR="00995F6B">
              <w:rPr>
                <w:rFonts w:ascii="Times New Roman" w:hAnsi="Times New Roman"/>
                <w:bCs/>
                <w:sz w:val="24"/>
                <w:szCs w:val="24"/>
              </w:rPr>
              <w:t>7</w:t>
            </w:r>
            <w:r w:rsidR="00BD47D4">
              <w:rPr>
                <w:rFonts w:ascii="Times New Roman" w:hAnsi="Times New Roman"/>
                <w:bCs/>
                <w:sz w:val="24"/>
                <w:szCs w:val="24"/>
              </w:rPr>
              <w:t>.punktā ir noteikts, kādām institūcijām ir jālūdz sniegt viedoklis par studiju virzienu un tam atbilstošajām studiju programmām. Izglītības kvalitātes valsts dienests, kas saskaņā ar Izglītības likuma 20.panta pirmo daļu kontrolē izglītību reglamentējošo</w:t>
            </w:r>
            <w:r w:rsidR="00673510">
              <w:rPr>
                <w:rFonts w:ascii="Times New Roman" w:hAnsi="Times New Roman"/>
                <w:bCs/>
                <w:sz w:val="24"/>
                <w:szCs w:val="24"/>
              </w:rPr>
              <w:t xml:space="preserve"> normatīvo aktu ievērošanu, sniedz</w:t>
            </w:r>
            <w:r w:rsidR="00BD47D4">
              <w:rPr>
                <w:rFonts w:ascii="Times New Roman" w:hAnsi="Times New Roman"/>
                <w:bCs/>
                <w:sz w:val="24"/>
                <w:szCs w:val="24"/>
              </w:rPr>
              <w:t xml:space="preserve"> informāciju par augstskolas vai koledžas darbībā konstatētajiem normatīvo aktu pārkāpumiem, kas ir jāņem vērā pieņemot lēmumu par studiju virziena akreditāciju. Savukārt sertifikācijas institūcija ir tā institūcija, kas visdetalizētāk var izvērtēt, vai augstskola vai koledža īsteno studiju programmas reglamentēto profesiju jomā </w:t>
            </w:r>
            <w:r w:rsidR="00673510">
              <w:rPr>
                <w:rFonts w:ascii="Times New Roman" w:hAnsi="Times New Roman"/>
                <w:bCs/>
                <w:sz w:val="24"/>
                <w:szCs w:val="24"/>
              </w:rPr>
              <w:t>atbilstoši normatīvajiem aktiem, tas ir, sniedz apliecinājumu, ka tiek nodrošināta starptautisko un nacionālo normatīvo aktu ievērošana studiju programmu īstenošanā.</w:t>
            </w:r>
            <w:r w:rsidR="00BD47D4">
              <w:rPr>
                <w:rFonts w:ascii="Times New Roman" w:hAnsi="Times New Roman"/>
                <w:bCs/>
                <w:sz w:val="24"/>
                <w:szCs w:val="24"/>
              </w:rPr>
              <w:t xml:space="preserve"> Līdzīgi ir attiecībā uz studiju programmām militārās aizsardzības jomā un Aizsardzības ministriju, kurai jālūdz sniegt viedokli gadījumā, ja studiju programmas tiek īstenotas militārās aizsardzības jomā.</w:t>
            </w:r>
          </w:p>
          <w:p w:rsidR="00995F6B" w:rsidRDefault="00995F6B" w:rsidP="00B53DA3">
            <w:pPr>
              <w:spacing w:after="0" w:line="240" w:lineRule="auto"/>
              <w:jc w:val="both"/>
              <w:rPr>
                <w:rFonts w:ascii="Times New Roman" w:hAnsi="Times New Roman"/>
                <w:bCs/>
                <w:sz w:val="24"/>
                <w:szCs w:val="24"/>
              </w:rPr>
            </w:pPr>
            <w:r>
              <w:rPr>
                <w:rFonts w:ascii="Times New Roman" w:hAnsi="Times New Roman"/>
                <w:bCs/>
                <w:sz w:val="24"/>
                <w:szCs w:val="24"/>
              </w:rPr>
              <w:t xml:space="preserve">Projekta 28.punkts nosaka, ka gadījumos, kad tiek lemts par tāda studiju virziena akreditāciju, kurā ir iekļauta studiju programma, kurā sagatavo speciālistus reglamentētajās profesijās, Studiju kvalitātes komisijas sēdēs kā novērotājam ir jāpiedalās profesionālās kvalifikācijas atzīšanas </w:t>
            </w:r>
            <w:proofErr w:type="spellStart"/>
            <w:r>
              <w:rPr>
                <w:rFonts w:ascii="Times New Roman" w:hAnsi="Times New Roman"/>
                <w:bCs/>
                <w:sz w:val="24"/>
                <w:szCs w:val="24"/>
              </w:rPr>
              <w:t>koordinātoram</w:t>
            </w:r>
            <w:proofErr w:type="spellEnd"/>
            <w:r>
              <w:rPr>
                <w:rFonts w:ascii="Times New Roman" w:hAnsi="Times New Roman"/>
                <w:bCs/>
                <w:sz w:val="24"/>
                <w:szCs w:val="24"/>
              </w:rPr>
              <w:t xml:space="preserve">, kā arī tam ir jāsniedz viedoklis par attiecīgo studiju programmu viena mēneša laikā pēc Akadēmiskās informācijas centra lūguma saņemšanas. Ņemot vērā to, ka reglamentētajām profesijām ir noteiktas īpašas prasības un Latvija ir uzņēmusies saistības ievērot reglamentētajām profesijām noteiktās prasības, profesionālās kvalifikācijas atzīšanas </w:t>
            </w:r>
            <w:proofErr w:type="spellStart"/>
            <w:r>
              <w:rPr>
                <w:rFonts w:ascii="Times New Roman" w:hAnsi="Times New Roman"/>
                <w:bCs/>
                <w:sz w:val="24"/>
                <w:szCs w:val="24"/>
              </w:rPr>
              <w:t>koordinātors</w:t>
            </w:r>
            <w:proofErr w:type="spellEnd"/>
            <w:r>
              <w:rPr>
                <w:rFonts w:ascii="Times New Roman" w:hAnsi="Times New Roman"/>
                <w:bCs/>
                <w:sz w:val="24"/>
                <w:szCs w:val="24"/>
              </w:rPr>
              <w:t xml:space="preserve"> ir atbildīgs par to, lai Latvijā iegūtā izglītība atbilstu noteiktajām prasībām, līdz ar to tā dalība studiju virzienu akreditācijā ir nepieciešama.</w:t>
            </w:r>
          </w:p>
          <w:p w:rsidR="00995F6B" w:rsidDel="00995F6B" w:rsidRDefault="00B4455F" w:rsidP="00995F6B">
            <w:pPr>
              <w:spacing w:after="0" w:line="240" w:lineRule="auto"/>
              <w:jc w:val="both"/>
              <w:rPr>
                <w:rFonts w:ascii="Times New Roman" w:hAnsi="Times New Roman"/>
                <w:bCs/>
                <w:sz w:val="24"/>
                <w:szCs w:val="24"/>
              </w:rPr>
            </w:pPr>
            <w:r>
              <w:rPr>
                <w:rFonts w:ascii="Times New Roman" w:hAnsi="Times New Roman"/>
                <w:bCs/>
                <w:sz w:val="24"/>
                <w:szCs w:val="24"/>
              </w:rPr>
              <w:t xml:space="preserve">Projekta </w:t>
            </w:r>
            <w:r w:rsidR="00995F6B">
              <w:rPr>
                <w:rFonts w:ascii="Times New Roman" w:hAnsi="Times New Roman"/>
                <w:bCs/>
                <w:sz w:val="24"/>
                <w:szCs w:val="24"/>
              </w:rPr>
              <w:t>29</w:t>
            </w:r>
            <w:r w:rsidR="00BD47D4">
              <w:rPr>
                <w:rFonts w:ascii="Times New Roman" w:hAnsi="Times New Roman"/>
                <w:bCs/>
                <w:sz w:val="24"/>
                <w:szCs w:val="24"/>
              </w:rPr>
              <w:t>.punkt</w:t>
            </w:r>
            <w:r w:rsidR="00995F6B">
              <w:rPr>
                <w:rFonts w:ascii="Times New Roman" w:hAnsi="Times New Roman"/>
                <w:bCs/>
                <w:sz w:val="24"/>
                <w:szCs w:val="24"/>
              </w:rPr>
              <w:t xml:space="preserve">s </w:t>
            </w:r>
          </w:p>
          <w:p w:rsidR="000B2358" w:rsidRDefault="00406ED2" w:rsidP="008E5043">
            <w:pPr>
              <w:spacing w:after="0" w:line="240" w:lineRule="auto"/>
              <w:jc w:val="both"/>
              <w:rPr>
                <w:rFonts w:ascii="Times New Roman" w:hAnsi="Times New Roman"/>
                <w:bCs/>
                <w:sz w:val="24"/>
                <w:szCs w:val="24"/>
              </w:rPr>
            </w:pPr>
            <w:r>
              <w:rPr>
                <w:rFonts w:ascii="Times New Roman" w:hAnsi="Times New Roman"/>
                <w:bCs/>
                <w:sz w:val="24"/>
                <w:szCs w:val="24"/>
              </w:rPr>
              <w:t>nosaka nosacījumus, pie kādiem Studiju kvalitātes komisija var pieņemt lēmumu par studiju virziena akreditāciju uz sešiem gadiem un diviem gadiem vai atteikumu akreditēt studiju virzienu. Nosacījumi ir sasaistīti ar studiju virzienam atbilstošajām studiju programmām doto vērtējumu</w:t>
            </w:r>
            <w:r w:rsidR="00995F6B">
              <w:rPr>
                <w:rFonts w:ascii="Times New Roman" w:hAnsi="Times New Roman"/>
                <w:bCs/>
                <w:sz w:val="24"/>
                <w:szCs w:val="24"/>
              </w:rPr>
              <w:t xml:space="preserve"> un studiju virziena novērtēšanā konstatētajiem trūkumiem un nepilnībām</w:t>
            </w:r>
            <w:r>
              <w:rPr>
                <w:rFonts w:ascii="Times New Roman" w:hAnsi="Times New Roman"/>
                <w:bCs/>
                <w:sz w:val="24"/>
                <w:szCs w:val="24"/>
              </w:rPr>
              <w:t>. Augstskolu likuma 55.</w:t>
            </w:r>
            <w:r>
              <w:rPr>
                <w:rFonts w:ascii="Times New Roman" w:hAnsi="Times New Roman"/>
                <w:bCs/>
                <w:sz w:val="24"/>
                <w:szCs w:val="24"/>
                <w:vertAlign w:val="superscript"/>
              </w:rPr>
              <w:t>2</w:t>
            </w:r>
            <w:r>
              <w:rPr>
                <w:rFonts w:ascii="Times New Roman" w:hAnsi="Times New Roman"/>
                <w:bCs/>
                <w:sz w:val="24"/>
                <w:szCs w:val="24"/>
              </w:rPr>
              <w:t xml:space="preserve">panta astotās daļas 9.punkts paredz, ka studiju programmas licenci var atņemt studiju programmai, kura studiju virziena novērtēšanas ietvaros atzīta par neatbilstošu Augstskolu likuma prasībām, proti, tā ir studiju programma, kura saskaņā ar projektā </w:t>
            </w:r>
            <w:r>
              <w:rPr>
                <w:rFonts w:ascii="Times New Roman" w:hAnsi="Times New Roman"/>
                <w:bCs/>
                <w:sz w:val="24"/>
                <w:szCs w:val="24"/>
              </w:rPr>
              <w:lastRenderedPageBreak/>
              <w:t>no</w:t>
            </w:r>
            <w:r w:rsidR="004901E1">
              <w:rPr>
                <w:rFonts w:ascii="Times New Roman" w:hAnsi="Times New Roman"/>
                <w:bCs/>
                <w:sz w:val="24"/>
                <w:szCs w:val="24"/>
              </w:rPr>
              <w:t>teikto kārtību ir novērtēta neapmierinoši</w:t>
            </w:r>
            <w:r>
              <w:rPr>
                <w:rFonts w:ascii="Times New Roman" w:hAnsi="Times New Roman"/>
                <w:bCs/>
                <w:sz w:val="24"/>
                <w:szCs w:val="24"/>
              </w:rPr>
              <w:t>. Ja studiju virzienā ir šādas studiju programmas, augstskola vai koledža, lai studiju virzienam netiktu atteikta akreditācija, var lūgt Studiju kvalitātes komisiju pi</w:t>
            </w:r>
            <w:r w:rsidR="004901E1">
              <w:rPr>
                <w:rFonts w:ascii="Times New Roman" w:hAnsi="Times New Roman"/>
                <w:bCs/>
                <w:sz w:val="24"/>
                <w:szCs w:val="24"/>
              </w:rPr>
              <w:t>eņemt lēmumu par neapmierinoši</w:t>
            </w:r>
            <w:r>
              <w:rPr>
                <w:rFonts w:ascii="Times New Roman" w:hAnsi="Times New Roman"/>
                <w:bCs/>
                <w:sz w:val="24"/>
                <w:szCs w:val="24"/>
              </w:rPr>
              <w:t xml:space="preserve"> novērtētas studiju programmas licences atņemšanu. Tādā gadījumā, ja </w:t>
            </w:r>
            <w:r w:rsidR="004901E1">
              <w:rPr>
                <w:rFonts w:ascii="Times New Roman" w:hAnsi="Times New Roman"/>
                <w:bCs/>
                <w:sz w:val="24"/>
                <w:szCs w:val="24"/>
              </w:rPr>
              <w:t>neapmierinoši</w:t>
            </w:r>
            <w:r>
              <w:rPr>
                <w:rFonts w:ascii="Times New Roman" w:hAnsi="Times New Roman"/>
                <w:bCs/>
                <w:sz w:val="24"/>
                <w:szCs w:val="24"/>
              </w:rPr>
              <w:t xml:space="preserve"> novērtēt</w:t>
            </w:r>
            <w:r w:rsidR="00995F6B">
              <w:rPr>
                <w:rFonts w:ascii="Times New Roman" w:hAnsi="Times New Roman"/>
                <w:bCs/>
                <w:sz w:val="24"/>
                <w:szCs w:val="24"/>
              </w:rPr>
              <w:t>ajai</w:t>
            </w:r>
            <w:r>
              <w:rPr>
                <w:rFonts w:ascii="Times New Roman" w:hAnsi="Times New Roman"/>
                <w:bCs/>
                <w:sz w:val="24"/>
                <w:szCs w:val="24"/>
              </w:rPr>
              <w:t xml:space="preserve"> studiju programma</w:t>
            </w:r>
            <w:r w:rsidR="00995F6B">
              <w:rPr>
                <w:rFonts w:ascii="Times New Roman" w:hAnsi="Times New Roman"/>
                <w:bCs/>
                <w:sz w:val="24"/>
                <w:szCs w:val="24"/>
              </w:rPr>
              <w:t>i tiek atņemta licence un tā vairs nav studiju virzienā</w:t>
            </w:r>
            <w:r>
              <w:rPr>
                <w:rFonts w:ascii="Times New Roman" w:hAnsi="Times New Roman"/>
                <w:bCs/>
                <w:sz w:val="24"/>
                <w:szCs w:val="24"/>
              </w:rPr>
              <w:t>, var mainīties lēmums, kādu Studiju kvalitātes komisija va</w:t>
            </w:r>
            <w:r w:rsidR="00606E6F">
              <w:rPr>
                <w:rFonts w:ascii="Times New Roman" w:hAnsi="Times New Roman"/>
                <w:bCs/>
                <w:sz w:val="24"/>
                <w:szCs w:val="24"/>
              </w:rPr>
              <w:t xml:space="preserve">r pieņemt saskaņā ar projekta </w:t>
            </w:r>
            <w:r w:rsidR="003864BD">
              <w:rPr>
                <w:rFonts w:ascii="Times New Roman" w:hAnsi="Times New Roman"/>
                <w:bCs/>
                <w:sz w:val="24"/>
                <w:szCs w:val="24"/>
              </w:rPr>
              <w:t>29</w:t>
            </w:r>
            <w:r>
              <w:rPr>
                <w:rFonts w:ascii="Times New Roman" w:hAnsi="Times New Roman"/>
                <w:bCs/>
                <w:sz w:val="24"/>
                <w:szCs w:val="24"/>
              </w:rPr>
              <w:t>.punktā noteikto. Savukārt ja studiju virziens var tikt akreditēts uz</w:t>
            </w:r>
            <w:r w:rsidR="004901E1">
              <w:rPr>
                <w:rFonts w:ascii="Times New Roman" w:hAnsi="Times New Roman"/>
                <w:bCs/>
                <w:sz w:val="24"/>
                <w:szCs w:val="24"/>
              </w:rPr>
              <w:t xml:space="preserve"> diviem gadiem, bet tajā ir neapmierinoši</w:t>
            </w:r>
            <w:r>
              <w:rPr>
                <w:rFonts w:ascii="Times New Roman" w:hAnsi="Times New Roman"/>
                <w:bCs/>
                <w:sz w:val="24"/>
                <w:szCs w:val="24"/>
              </w:rPr>
              <w:t xml:space="preserve"> novērtētas studiju programmas, kurām netiek atņemtas studiju programmu licences, tādas studiju programmas saskaņā ar Augstskolu likuma 1.panta 1.</w:t>
            </w:r>
            <w:r>
              <w:rPr>
                <w:rFonts w:ascii="Times New Roman" w:hAnsi="Times New Roman"/>
                <w:bCs/>
                <w:sz w:val="24"/>
                <w:szCs w:val="24"/>
                <w:vertAlign w:val="superscript"/>
              </w:rPr>
              <w:t>1</w:t>
            </w:r>
            <w:r>
              <w:rPr>
                <w:rFonts w:ascii="Times New Roman" w:hAnsi="Times New Roman"/>
                <w:bCs/>
                <w:sz w:val="24"/>
                <w:szCs w:val="24"/>
              </w:rPr>
              <w:t>punktu tiks uzskatītas par neakreditēt</w:t>
            </w:r>
            <w:r w:rsidR="00DA4465">
              <w:rPr>
                <w:rFonts w:ascii="Times New Roman" w:hAnsi="Times New Roman"/>
                <w:bCs/>
                <w:sz w:val="24"/>
                <w:szCs w:val="24"/>
              </w:rPr>
              <w:t>ām, proti, pēc to apguves nevarēs izsniegt valsts atzītu diplomu.</w:t>
            </w:r>
            <w:r w:rsidR="00B76C0D">
              <w:rPr>
                <w:rFonts w:ascii="Times New Roman" w:hAnsi="Times New Roman"/>
                <w:bCs/>
                <w:sz w:val="24"/>
                <w:szCs w:val="24"/>
              </w:rPr>
              <w:t xml:space="preserve"> Papildus ir iekļauts nosacījums, ka studiju virzienu nevar akreditēt uz diviem gadiem atkārtoti pēc kārtas, jo tas liecina par to, ka studiju virzienam atbilstošo studiju programmu īstenošanā ir ilgstošas problēmas. Kā arī ja studiju virziena iepriekšējā akreditētā konstatētie trūkumi ir novērsti un kārtējā akreditācijā ir konstatēti citi trūkumi, kuru dēļ atkārtoti studiju virziens akreditējams uz diviem gadiem, tad tas liecina, ka studiju virziena vadībā un kvalitātes nodrošināšanas sistēmā ir trūkumi un nepilnības, kuras augstskola vai koledža nespēj novērst studiju virziena akreditācijas termiņa ietvaros.</w:t>
            </w:r>
            <w:r w:rsidR="003864BD">
              <w:rPr>
                <w:rFonts w:ascii="Times New Roman" w:hAnsi="Times New Roman"/>
                <w:bCs/>
                <w:sz w:val="24"/>
                <w:szCs w:val="24"/>
              </w:rPr>
              <w:t xml:space="preserve"> Vienlaikus ir pieļaujama studiju virziena akreditācija uz diviem gadiem divas reizes pēc kārtas, ja iepriekšējā studiju virziena akreditācija bija pirmā studiju virziena akreditācija un studiju virziens tika akreditēts uz diviem gadiem un tā otrajā akreditācijā tas atkal būtu akreditējams uz diviem gadiem. Kā arī 29.punkts nosaka, ka Studiju kvalitātes komisijas lēmumā ir jāatspoguļo studiju programmu novērtējumi, kā arī visa cita Studiju kvalitātes komisijas rīcībā esošā informācija.</w:t>
            </w:r>
          </w:p>
          <w:p w:rsidR="00DA4465" w:rsidRDefault="00A52851" w:rsidP="00B53DA3">
            <w:pPr>
              <w:spacing w:after="0" w:line="240" w:lineRule="auto"/>
              <w:jc w:val="both"/>
              <w:rPr>
                <w:rFonts w:ascii="Times New Roman" w:hAnsi="Times New Roman"/>
                <w:bCs/>
                <w:sz w:val="24"/>
                <w:szCs w:val="24"/>
              </w:rPr>
            </w:pPr>
            <w:r>
              <w:rPr>
                <w:rFonts w:ascii="Times New Roman" w:hAnsi="Times New Roman"/>
                <w:bCs/>
                <w:sz w:val="24"/>
                <w:szCs w:val="24"/>
              </w:rPr>
              <w:t>Ja tiek pieņemts lēmums par studiju virziena akreditāciju, augstskolai vai koledžai tiek izsniegts lēmums par studiju virziena akreditāciju un Studiju kvalitātes komisijas priekšsēdētāja parakstīta studiju virziena akreditācijas lapa saskaņā ar projekta 2.pielikumā ietverto studiju virziena akreditācijas lapas paraugu. Vienlaikus projekta 3</w:t>
            </w:r>
            <w:r w:rsidR="003864BD">
              <w:rPr>
                <w:rFonts w:ascii="Times New Roman" w:hAnsi="Times New Roman"/>
                <w:bCs/>
                <w:sz w:val="24"/>
                <w:szCs w:val="24"/>
              </w:rPr>
              <w:t>1</w:t>
            </w:r>
            <w:r>
              <w:rPr>
                <w:rFonts w:ascii="Times New Roman" w:hAnsi="Times New Roman"/>
                <w:bCs/>
                <w:sz w:val="24"/>
                <w:szCs w:val="24"/>
              </w:rPr>
              <w:t>.punktā ir noteikts, ka lēmumu kopijas tiek nosūtītas Izglītības un zinātnes ministrijai, kas ir informācijas apmaiņas nolūkos.</w:t>
            </w:r>
          </w:p>
          <w:p w:rsidR="00A52851" w:rsidRDefault="00A52851" w:rsidP="00B53DA3">
            <w:pPr>
              <w:spacing w:after="0" w:line="240" w:lineRule="auto"/>
              <w:jc w:val="both"/>
              <w:rPr>
                <w:rFonts w:ascii="Times New Roman" w:hAnsi="Times New Roman"/>
                <w:bCs/>
                <w:sz w:val="24"/>
                <w:szCs w:val="24"/>
              </w:rPr>
            </w:pPr>
            <w:r>
              <w:rPr>
                <w:rFonts w:ascii="Times New Roman" w:hAnsi="Times New Roman"/>
                <w:bCs/>
                <w:sz w:val="24"/>
                <w:szCs w:val="24"/>
              </w:rPr>
              <w:t xml:space="preserve">Projekta </w:t>
            </w:r>
            <w:r w:rsidR="003864BD">
              <w:rPr>
                <w:rFonts w:ascii="Times New Roman" w:hAnsi="Times New Roman"/>
                <w:bCs/>
                <w:sz w:val="24"/>
                <w:szCs w:val="24"/>
              </w:rPr>
              <w:t>2.5</w:t>
            </w:r>
            <w:r>
              <w:rPr>
                <w:rFonts w:ascii="Times New Roman" w:hAnsi="Times New Roman"/>
                <w:bCs/>
                <w:sz w:val="24"/>
                <w:szCs w:val="24"/>
              </w:rPr>
              <w:t>.</w:t>
            </w:r>
            <w:r w:rsidR="003864BD">
              <w:rPr>
                <w:rFonts w:ascii="Times New Roman" w:hAnsi="Times New Roman"/>
                <w:bCs/>
                <w:sz w:val="24"/>
                <w:szCs w:val="24"/>
              </w:rPr>
              <w:t>apakš</w:t>
            </w:r>
            <w:r>
              <w:rPr>
                <w:rFonts w:ascii="Times New Roman" w:hAnsi="Times New Roman"/>
                <w:bCs/>
                <w:sz w:val="24"/>
                <w:szCs w:val="24"/>
              </w:rPr>
              <w:t>punktā ir noteikts, ka studiju programmas, kas licencēta pēc studiju virziena akreditācijas, akreditāciju</w:t>
            </w:r>
            <w:r w:rsidR="00561DA5">
              <w:rPr>
                <w:rFonts w:ascii="Times New Roman" w:hAnsi="Times New Roman"/>
                <w:bCs/>
                <w:sz w:val="24"/>
                <w:szCs w:val="24"/>
              </w:rPr>
              <w:t>,</w:t>
            </w:r>
            <w:r>
              <w:rPr>
                <w:rFonts w:ascii="Times New Roman" w:hAnsi="Times New Roman"/>
                <w:bCs/>
                <w:sz w:val="24"/>
                <w:szCs w:val="24"/>
              </w:rPr>
              <w:t xml:space="preserve"> apliecina studiju programmas licence, jo studiju programma nebūs iekļauta stud</w:t>
            </w:r>
            <w:r w:rsidR="00471E59">
              <w:rPr>
                <w:rFonts w:ascii="Times New Roman" w:hAnsi="Times New Roman"/>
                <w:bCs/>
                <w:sz w:val="24"/>
                <w:szCs w:val="24"/>
              </w:rPr>
              <w:t>iju virziena akreditācijas lapā</w:t>
            </w:r>
            <w:r>
              <w:rPr>
                <w:rFonts w:ascii="Times New Roman" w:hAnsi="Times New Roman"/>
                <w:bCs/>
                <w:sz w:val="24"/>
                <w:szCs w:val="24"/>
              </w:rPr>
              <w:t xml:space="preserve"> līdz kārtējai studiju virziena akreditācijai. Tādējādi tiek novērsts administratīvais slogs Akadēmiskās informācijas centram un Studiju kvalitātes komisijai, kam pēc katras studiju </w:t>
            </w:r>
            <w:r>
              <w:rPr>
                <w:rFonts w:ascii="Times New Roman" w:hAnsi="Times New Roman"/>
                <w:bCs/>
                <w:sz w:val="24"/>
                <w:szCs w:val="24"/>
              </w:rPr>
              <w:lastRenderedPageBreak/>
              <w:t>programmas licencēšanas būtu jāmaina studiju virzienu akreditācijas lapas.</w:t>
            </w:r>
            <w:r w:rsidR="003864BD">
              <w:rPr>
                <w:rFonts w:ascii="Times New Roman" w:hAnsi="Times New Roman"/>
                <w:bCs/>
                <w:sz w:val="24"/>
                <w:szCs w:val="24"/>
              </w:rPr>
              <w:t xml:space="preserve"> Vienlaikus 2.5.apakšpunkts paredz, ka Studiju kvalitātes komisija lemj par studiju programmas, kas licencēta pēc studiju virziena akreditācijas, iekļaušanu studiju virziena akreditācijas lapā, kad ir divu gadu laikā pēc studiju programmas īstenošanas uzsākšanas ir saņemts divu Akadēmiskās informācijas centra apstiprinātu ekspertu vērt</w:t>
            </w:r>
            <w:r w:rsidR="00F7437A">
              <w:rPr>
                <w:rFonts w:ascii="Times New Roman" w:hAnsi="Times New Roman"/>
                <w:bCs/>
                <w:sz w:val="24"/>
                <w:szCs w:val="24"/>
              </w:rPr>
              <w:t>ējums par studiju programmu. Tas ir nepieciešams, lai pārliecinātos par studiju programmas īstenošanas kvalitāti, kā arī lai studiju programma varētu tikt iekļauta studiju virziena akreditācijas lapā par to ir jābūt saņemtam novērtējumam, jo novērtējums tiek noradīts akreditācijas lapā.</w:t>
            </w:r>
          </w:p>
          <w:p w:rsidR="00B84F24" w:rsidRPr="006C3BE9" w:rsidRDefault="00B84F24" w:rsidP="006C3BE9">
            <w:pPr>
              <w:pStyle w:val="naisc"/>
              <w:spacing w:before="0" w:after="0"/>
              <w:jc w:val="both"/>
            </w:pPr>
            <w:r w:rsidRPr="006C3BE9">
              <w:t>Skaidrojams, ka projekta 2.5.apakšpunkts nosaka to, ka noteiktā kārtībā licencēta studiju programma (licence tiek piešķirta pirms studiju programma uzsāk savu darbību), kurai nav veikts individuāls vērtējums studiju virziena akreditācijas ietvaros,  pēc savas īstenošanas 2 gadu termiņa, ir:</w:t>
            </w:r>
          </w:p>
          <w:p w:rsidR="00B84F24" w:rsidRPr="006C3BE9" w:rsidRDefault="00B84F24" w:rsidP="006C3BE9">
            <w:pPr>
              <w:pStyle w:val="naisc"/>
              <w:numPr>
                <w:ilvl w:val="0"/>
                <w:numId w:val="4"/>
              </w:numPr>
              <w:spacing w:before="0" w:after="0"/>
              <w:jc w:val="both"/>
            </w:pPr>
            <w:r w:rsidRPr="006C3BE9">
              <w:t>pārbaudāma atbilstoši projekta 16.punktam;</w:t>
            </w:r>
          </w:p>
          <w:p w:rsidR="00B84F24" w:rsidRPr="006C3BE9" w:rsidRDefault="00B84F24" w:rsidP="006C3BE9">
            <w:pPr>
              <w:pStyle w:val="naisc"/>
              <w:numPr>
                <w:ilvl w:val="0"/>
                <w:numId w:val="4"/>
              </w:numPr>
              <w:spacing w:before="0" w:after="0"/>
              <w:jc w:val="both"/>
            </w:pPr>
            <w:r w:rsidRPr="006C3BE9">
              <w:t>tai piešķirams vērtējums kā tas ir visām tām studiju programmām, kuras ir akreditētajā studiju virzienā.</w:t>
            </w:r>
          </w:p>
          <w:p w:rsidR="00B84F24" w:rsidRPr="006C3BE9" w:rsidRDefault="00B84F24" w:rsidP="006C3BE9">
            <w:pPr>
              <w:pStyle w:val="naisc"/>
              <w:spacing w:before="0" w:after="0"/>
              <w:jc w:val="both"/>
            </w:pPr>
            <w:r w:rsidRPr="006C3BE9">
              <w:t xml:space="preserve">Minēto prasību izpildi nosaka Augstskolu likuma </w:t>
            </w:r>
            <w:r w:rsidRPr="006C3BE9">
              <w:rPr>
                <w:bCs/>
              </w:rPr>
              <w:t xml:space="preserve">(redakcijā, kas stāsies spēkā 2019.gada 1.janvārī) </w:t>
            </w:r>
            <w:r w:rsidRPr="006C3BE9">
              <w:t xml:space="preserve"> 1.panta 1.¹ punkts un attiecīgi arī 55.³ panta piektā, sestā un septītā daļa.</w:t>
            </w:r>
          </w:p>
          <w:p w:rsidR="00B84F24" w:rsidRPr="006C3BE9" w:rsidRDefault="00B84F24" w:rsidP="006C3BE9">
            <w:pPr>
              <w:pStyle w:val="naisc"/>
              <w:spacing w:before="0" w:after="0"/>
              <w:jc w:val="both"/>
            </w:pPr>
            <w:r w:rsidRPr="006C3BE9">
              <w:t>Vēršam uzmanību, ka studiju programmas individuālais vērtējums ir nepieciešams, lai:</w:t>
            </w:r>
          </w:p>
          <w:p w:rsidR="00B84F24" w:rsidRPr="006C3BE9" w:rsidRDefault="00B84F24" w:rsidP="006C3BE9">
            <w:pPr>
              <w:pStyle w:val="naisc"/>
              <w:numPr>
                <w:ilvl w:val="0"/>
                <w:numId w:val="5"/>
              </w:numPr>
              <w:spacing w:before="0" w:after="0"/>
              <w:ind w:left="0" w:firstLine="360"/>
              <w:jc w:val="both"/>
            </w:pPr>
            <w:r w:rsidRPr="006C3BE9">
              <w:t>potenciālie studenti (Latvijas un ārvalstu) saņemtu precīzu informāciju par interesējošās studiju programmas kvalitāti;</w:t>
            </w:r>
          </w:p>
          <w:p w:rsidR="00B84F24" w:rsidRPr="006C3BE9" w:rsidRDefault="00B84F24" w:rsidP="006C3BE9">
            <w:pPr>
              <w:pStyle w:val="naisc"/>
              <w:numPr>
                <w:ilvl w:val="0"/>
                <w:numId w:val="5"/>
              </w:numPr>
              <w:spacing w:before="0" w:after="0"/>
              <w:ind w:left="0" w:firstLine="360"/>
              <w:jc w:val="both"/>
            </w:pPr>
            <w:r w:rsidRPr="006C3BE9">
              <w:t>nodrošinātu studiju programmu, kas gatavo speciālistus reglamentētajām profesijām, kvalitātes novērtēšanu;</w:t>
            </w:r>
          </w:p>
          <w:p w:rsidR="00B84F24" w:rsidRPr="006C3BE9" w:rsidRDefault="00B84F24" w:rsidP="006C3BE9">
            <w:pPr>
              <w:pStyle w:val="naisc"/>
              <w:numPr>
                <w:ilvl w:val="0"/>
                <w:numId w:val="5"/>
              </w:numPr>
              <w:spacing w:before="0" w:after="0"/>
              <w:ind w:left="0" w:firstLine="360"/>
              <w:jc w:val="both"/>
            </w:pPr>
            <w:r w:rsidRPr="006C3BE9">
              <w:t>mērķtiecīgāk investētu valsts budžeta finansējumu studijām kvalitatīvākajās studiju programmās ;</w:t>
            </w:r>
          </w:p>
          <w:p w:rsidR="00B84F24" w:rsidRPr="006C3BE9" w:rsidRDefault="00B84F24" w:rsidP="006C3BE9">
            <w:pPr>
              <w:pStyle w:val="naisc"/>
              <w:numPr>
                <w:ilvl w:val="0"/>
                <w:numId w:val="5"/>
              </w:numPr>
              <w:spacing w:before="0" w:after="0"/>
              <w:ind w:left="0" w:firstLine="360"/>
              <w:jc w:val="both"/>
            </w:pPr>
            <w:r w:rsidRPr="006C3BE9">
              <w:t>pārliecinātos par augstākās izglītības internacionalizācijas piedāvājuma kvalitāti;</w:t>
            </w:r>
          </w:p>
          <w:p w:rsidR="00B84F24" w:rsidRPr="006C3BE9" w:rsidRDefault="00B84F24" w:rsidP="006C3BE9">
            <w:pPr>
              <w:pStyle w:val="naisc"/>
              <w:numPr>
                <w:ilvl w:val="0"/>
                <w:numId w:val="5"/>
              </w:numPr>
              <w:spacing w:before="0" w:after="0"/>
              <w:ind w:left="0" w:firstLine="360"/>
              <w:jc w:val="both"/>
            </w:pPr>
            <w:r w:rsidRPr="00B531B8">
              <w:t>nodrošinātu monitoringu studiju programmu kvalitātes izmaiņām, tostarp, tām studiju programmām, kuras saņēmušas ES struktūrfondu investīcijas.</w:t>
            </w:r>
          </w:p>
          <w:p w:rsidR="00DD4D99" w:rsidRDefault="00A52851" w:rsidP="00186ED9">
            <w:pPr>
              <w:spacing w:after="0" w:line="240" w:lineRule="auto"/>
              <w:jc w:val="both"/>
              <w:rPr>
                <w:rFonts w:ascii="Times New Roman" w:hAnsi="Times New Roman"/>
                <w:bCs/>
                <w:sz w:val="24"/>
                <w:szCs w:val="24"/>
              </w:rPr>
            </w:pPr>
            <w:r>
              <w:rPr>
                <w:rFonts w:ascii="Times New Roman" w:hAnsi="Times New Roman"/>
                <w:bCs/>
                <w:sz w:val="24"/>
                <w:szCs w:val="24"/>
              </w:rPr>
              <w:t>Projekta VI.</w:t>
            </w:r>
            <w:r w:rsidR="00561DA5">
              <w:rPr>
                <w:rFonts w:ascii="Times New Roman" w:hAnsi="Times New Roman"/>
                <w:bCs/>
                <w:sz w:val="24"/>
                <w:szCs w:val="24"/>
              </w:rPr>
              <w:t xml:space="preserve"> </w:t>
            </w:r>
            <w:r>
              <w:rPr>
                <w:rFonts w:ascii="Times New Roman" w:hAnsi="Times New Roman"/>
                <w:bCs/>
                <w:sz w:val="24"/>
                <w:szCs w:val="24"/>
              </w:rPr>
              <w:t>nodaļā noteikta studiju virzienu ārpuskārtas akreditācija, kur noteikts, ka lēmumu pieņem izglīt</w:t>
            </w:r>
            <w:r w:rsidR="00B53DA3">
              <w:rPr>
                <w:rFonts w:ascii="Times New Roman" w:hAnsi="Times New Roman"/>
                <w:bCs/>
                <w:sz w:val="24"/>
                <w:szCs w:val="24"/>
              </w:rPr>
              <w:t>ības un zinātnes ministr</w:t>
            </w:r>
            <w:r>
              <w:rPr>
                <w:rFonts w:ascii="Times New Roman" w:hAnsi="Times New Roman"/>
                <w:bCs/>
                <w:sz w:val="24"/>
                <w:szCs w:val="24"/>
              </w:rPr>
              <w:t>s saskaņā ar Augstskolu likuma 55.</w:t>
            </w:r>
            <w:r>
              <w:rPr>
                <w:rFonts w:ascii="Times New Roman" w:hAnsi="Times New Roman"/>
                <w:bCs/>
                <w:sz w:val="24"/>
                <w:szCs w:val="24"/>
                <w:vertAlign w:val="superscript"/>
              </w:rPr>
              <w:t>3</w:t>
            </w:r>
            <w:r>
              <w:rPr>
                <w:rFonts w:ascii="Times New Roman" w:hAnsi="Times New Roman"/>
                <w:bCs/>
                <w:sz w:val="24"/>
                <w:szCs w:val="24"/>
              </w:rPr>
              <w:t>panta 10.daļā (redakcijā, kas stāsies spēkā 2019.gada 1.</w:t>
            </w:r>
            <w:r w:rsidR="00CD4E03">
              <w:rPr>
                <w:rFonts w:ascii="Times New Roman" w:hAnsi="Times New Roman"/>
                <w:bCs/>
                <w:sz w:val="24"/>
                <w:szCs w:val="24"/>
              </w:rPr>
              <w:t>janvārī) noteikto. Projekta 3</w:t>
            </w:r>
            <w:r w:rsidR="00F7437A">
              <w:rPr>
                <w:rFonts w:ascii="Times New Roman" w:hAnsi="Times New Roman"/>
                <w:bCs/>
                <w:sz w:val="24"/>
                <w:szCs w:val="24"/>
              </w:rPr>
              <w:t>3</w:t>
            </w:r>
            <w:r w:rsidR="00CD4E03">
              <w:rPr>
                <w:rFonts w:ascii="Times New Roman" w:hAnsi="Times New Roman"/>
                <w:bCs/>
                <w:sz w:val="24"/>
                <w:szCs w:val="24"/>
              </w:rPr>
              <w:t>.punkts nosaka, ka izglītības un zinātnes ministra lēmumā ir ietverts, kura kvalitātes nodrošināšanas aģentūra veiks studiju virziena novērtēšanu. Kā arī studiju virziena novērtēšanas veicējs ir jāizvēlas ņemot vērā projekta 1</w:t>
            </w:r>
            <w:r w:rsidR="00B531B8">
              <w:rPr>
                <w:rFonts w:ascii="Times New Roman" w:hAnsi="Times New Roman"/>
                <w:bCs/>
                <w:sz w:val="24"/>
                <w:szCs w:val="24"/>
              </w:rPr>
              <w:t>2</w:t>
            </w:r>
            <w:r w:rsidR="00CD4E03">
              <w:rPr>
                <w:rFonts w:ascii="Times New Roman" w:hAnsi="Times New Roman"/>
                <w:bCs/>
                <w:sz w:val="24"/>
                <w:szCs w:val="24"/>
              </w:rPr>
              <w:t xml:space="preserve">.punktā noteikto </w:t>
            </w:r>
            <w:r w:rsidR="00B531B8">
              <w:rPr>
                <w:rFonts w:ascii="Times New Roman" w:hAnsi="Times New Roman"/>
                <w:bCs/>
                <w:sz w:val="24"/>
                <w:szCs w:val="24"/>
              </w:rPr>
              <w:t>apliecinājumu</w:t>
            </w:r>
            <w:r w:rsidR="00CD4E03">
              <w:rPr>
                <w:rFonts w:ascii="Times New Roman" w:hAnsi="Times New Roman"/>
                <w:bCs/>
                <w:sz w:val="24"/>
                <w:szCs w:val="24"/>
              </w:rPr>
              <w:t>. Projekta 3</w:t>
            </w:r>
            <w:r w:rsidR="00F7437A">
              <w:rPr>
                <w:rFonts w:ascii="Times New Roman" w:hAnsi="Times New Roman"/>
                <w:bCs/>
                <w:sz w:val="24"/>
                <w:szCs w:val="24"/>
              </w:rPr>
              <w:t>4</w:t>
            </w:r>
            <w:r>
              <w:rPr>
                <w:rFonts w:ascii="Times New Roman" w:hAnsi="Times New Roman"/>
                <w:bCs/>
                <w:sz w:val="24"/>
                <w:szCs w:val="24"/>
              </w:rPr>
              <w:t xml:space="preserve">.punktā ir noteikts, ka studiju virziena novērtēšana un akreditācija notiek saskaņā ar projekta </w:t>
            </w:r>
            <w:proofErr w:type="spellStart"/>
            <w:r>
              <w:rPr>
                <w:rFonts w:ascii="Times New Roman" w:hAnsi="Times New Roman"/>
                <w:bCs/>
                <w:sz w:val="24"/>
                <w:szCs w:val="24"/>
              </w:rPr>
              <w:t>IV.un</w:t>
            </w:r>
            <w:proofErr w:type="spellEnd"/>
            <w:r>
              <w:rPr>
                <w:rFonts w:ascii="Times New Roman" w:hAnsi="Times New Roman"/>
                <w:bCs/>
                <w:sz w:val="24"/>
                <w:szCs w:val="24"/>
              </w:rPr>
              <w:t xml:space="preserve"> </w:t>
            </w:r>
            <w:proofErr w:type="spellStart"/>
            <w:r>
              <w:rPr>
                <w:rFonts w:ascii="Times New Roman" w:hAnsi="Times New Roman"/>
                <w:bCs/>
                <w:sz w:val="24"/>
                <w:szCs w:val="24"/>
              </w:rPr>
              <w:t>V.nodaļā</w:t>
            </w:r>
            <w:proofErr w:type="spellEnd"/>
            <w:r>
              <w:rPr>
                <w:rFonts w:ascii="Times New Roman" w:hAnsi="Times New Roman"/>
                <w:bCs/>
                <w:sz w:val="24"/>
                <w:szCs w:val="24"/>
              </w:rPr>
              <w:t xml:space="preserve"> noteikto kārtību, </w:t>
            </w:r>
            <w:r>
              <w:rPr>
                <w:rFonts w:ascii="Times New Roman" w:hAnsi="Times New Roman"/>
                <w:bCs/>
                <w:sz w:val="24"/>
                <w:szCs w:val="24"/>
              </w:rPr>
              <w:lastRenderedPageBreak/>
              <w:t>ņemot vērā to, ka studiju virzienu arī ārpuskārtas akreditācijas laikā ir jānovērtē un jāakreditē atbilstoši vispārējai kārtībai, lai tas būtu objektīvs process.</w:t>
            </w:r>
          </w:p>
          <w:p w:rsidR="00DD4D99" w:rsidRDefault="00DD4D99" w:rsidP="00186ED9">
            <w:pPr>
              <w:spacing w:after="0" w:line="240" w:lineRule="auto"/>
              <w:jc w:val="both"/>
              <w:rPr>
                <w:rFonts w:ascii="Times New Roman" w:hAnsi="Times New Roman"/>
                <w:bCs/>
                <w:sz w:val="24"/>
                <w:szCs w:val="24"/>
              </w:rPr>
            </w:pPr>
            <w:r>
              <w:rPr>
                <w:rFonts w:ascii="Times New Roman" w:hAnsi="Times New Roman"/>
                <w:bCs/>
                <w:sz w:val="24"/>
                <w:szCs w:val="24"/>
              </w:rPr>
              <w:t>Projekta 3</w:t>
            </w:r>
            <w:r w:rsidR="00F7437A">
              <w:rPr>
                <w:rFonts w:ascii="Times New Roman" w:hAnsi="Times New Roman"/>
                <w:bCs/>
                <w:sz w:val="24"/>
                <w:szCs w:val="24"/>
              </w:rPr>
              <w:t>5</w:t>
            </w:r>
            <w:r>
              <w:rPr>
                <w:rFonts w:ascii="Times New Roman" w:hAnsi="Times New Roman"/>
                <w:bCs/>
                <w:sz w:val="24"/>
                <w:szCs w:val="24"/>
              </w:rPr>
              <w:t>.punkts nosaka, prasības lēmumiem, ko pieņems Studiju kvalitātes komisija ārpuskārtas studiju virziena akreditācijas gadījumā. Studiju kvalitātes komisijas lēmumi studiju virziena ārpuskārtas akreditācijas gadījumā atšķiras no lēmumiem, ko var pieņemt Studiju kvalitātes komisija kārtējās akreditācijas laikā.</w:t>
            </w:r>
          </w:p>
          <w:p w:rsidR="00186ED9" w:rsidRDefault="00DD4D99" w:rsidP="00186ED9">
            <w:pPr>
              <w:spacing w:after="0" w:line="240" w:lineRule="auto"/>
              <w:jc w:val="both"/>
              <w:rPr>
                <w:rFonts w:ascii="Times New Roman" w:hAnsi="Times New Roman"/>
                <w:bCs/>
                <w:sz w:val="24"/>
                <w:szCs w:val="24"/>
              </w:rPr>
            </w:pPr>
            <w:r>
              <w:rPr>
                <w:rFonts w:ascii="Times New Roman" w:hAnsi="Times New Roman"/>
                <w:bCs/>
                <w:sz w:val="24"/>
                <w:szCs w:val="24"/>
              </w:rPr>
              <w:t>Projekta 3</w:t>
            </w:r>
            <w:r w:rsidR="00F7437A">
              <w:rPr>
                <w:rFonts w:ascii="Times New Roman" w:hAnsi="Times New Roman"/>
                <w:bCs/>
                <w:sz w:val="24"/>
                <w:szCs w:val="24"/>
              </w:rPr>
              <w:t>6</w:t>
            </w:r>
            <w:r>
              <w:rPr>
                <w:rFonts w:ascii="Times New Roman" w:hAnsi="Times New Roman"/>
                <w:bCs/>
                <w:sz w:val="24"/>
                <w:szCs w:val="24"/>
              </w:rPr>
              <w:t>.punkts paredz, ka ārpuskārtas studiju virziena akreditācijas izmaksas sedz no Izglītības un zinātnes ministrijas budžeta, kas atbilst tam, ka par studiju virziena akreditāciju maksā tas, kurš ir studiju virziena akreditācijas ierosinātājs.</w:t>
            </w:r>
          </w:p>
          <w:p w:rsidR="00B531B8" w:rsidRPr="006C3BE9" w:rsidRDefault="00606E6F" w:rsidP="006C3BE9">
            <w:pPr>
              <w:spacing w:after="0" w:line="240" w:lineRule="auto"/>
              <w:ind w:firstLine="720"/>
              <w:jc w:val="both"/>
              <w:rPr>
                <w:rFonts w:ascii="Times New Roman" w:hAnsi="Times New Roman"/>
                <w:sz w:val="24"/>
                <w:szCs w:val="24"/>
              </w:rPr>
            </w:pPr>
            <w:r w:rsidRPr="00A13214">
              <w:rPr>
                <w:rFonts w:ascii="Times New Roman" w:hAnsi="Times New Roman"/>
                <w:bCs/>
                <w:sz w:val="24"/>
                <w:szCs w:val="24"/>
              </w:rPr>
              <w:t xml:space="preserve">Projekta </w:t>
            </w:r>
            <w:r w:rsidR="00F7437A">
              <w:rPr>
                <w:rFonts w:ascii="Times New Roman" w:hAnsi="Times New Roman"/>
                <w:bCs/>
                <w:sz w:val="24"/>
                <w:szCs w:val="24"/>
              </w:rPr>
              <w:t>37</w:t>
            </w:r>
            <w:r w:rsidR="00405535" w:rsidRPr="00A13214">
              <w:rPr>
                <w:rFonts w:ascii="Times New Roman" w:hAnsi="Times New Roman"/>
                <w:bCs/>
                <w:sz w:val="24"/>
                <w:szCs w:val="24"/>
              </w:rPr>
              <w:t xml:space="preserve">.punkts risina situācijas, ja iesniegums studiju virziena akreditācijai ir ticis iesniegts pirms projekta spēkā stāšanās dienas. Tādā gadījumā iesniegums studiju virziena akreditācijai ir izskatāms saskaņā ar </w:t>
            </w:r>
            <w:r w:rsidR="00A13214">
              <w:rPr>
                <w:rFonts w:ascii="Times New Roman" w:hAnsi="Times New Roman"/>
                <w:bCs/>
                <w:sz w:val="24"/>
                <w:szCs w:val="24"/>
              </w:rPr>
              <w:t xml:space="preserve">normatīvajiem aktiem, kas bija spēkā iesnieguma iesniegšanas dienā. </w:t>
            </w:r>
            <w:r>
              <w:rPr>
                <w:rFonts w:ascii="Times New Roman" w:hAnsi="Times New Roman"/>
                <w:bCs/>
                <w:sz w:val="24"/>
                <w:szCs w:val="24"/>
              </w:rPr>
              <w:t xml:space="preserve">Projekta </w:t>
            </w:r>
            <w:r w:rsidR="00F7437A">
              <w:rPr>
                <w:rFonts w:ascii="Times New Roman" w:hAnsi="Times New Roman"/>
                <w:bCs/>
                <w:sz w:val="24"/>
                <w:szCs w:val="24"/>
              </w:rPr>
              <w:t>38</w:t>
            </w:r>
            <w:r w:rsidR="00405535" w:rsidRPr="00405535">
              <w:rPr>
                <w:rFonts w:ascii="Times New Roman" w:hAnsi="Times New Roman"/>
                <w:bCs/>
                <w:sz w:val="24"/>
                <w:szCs w:val="24"/>
              </w:rPr>
              <w:t>.punkts nosaka, ka projekts stājas spēkā 2019.gada 1.janvārī,</w:t>
            </w:r>
            <w:r w:rsidR="00405535">
              <w:rPr>
                <w:rFonts w:ascii="Times New Roman" w:hAnsi="Times New Roman"/>
                <w:bCs/>
                <w:sz w:val="24"/>
                <w:szCs w:val="24"/>
              </w:rPr>
              <w:t xml:space="preserve"> jo 2018.gada 21.jūnija likums “</w:t>
            </w:r>
            <w:r w:rsidR="00405535" w:rsidRPr="00405535">
              <w:rPr>
                <w:rFonts w:ascii="Times New Roman" w:hAnsi="Times New Roman"/>
                <w:bCs/>
                <w:sz w:val="24"/>
                <w:szCs w:val="24"/>
              </w:rPr>
              <w:t xml:space="preserve">Grozījumi Augstskolu likumā” stājas spēkā 2019.gada 1.janvārī un līdz ar to </w:t>
            </w:r>
            <w:r w:rsidR="00405535">
              <w:rPr>
                <w:rFonts w:ascii="Times New Roman" w:hAnsi="Times New Roman"/>
                <w:bCs/>
                <w:sz w:val="24"/>
                <w:szCs w:val="24"/>
              </w:rPr>
              <w:t>akreditācijas</w:t>
            </w:r>
            <w:r w:rsidR="004901E1">
              <w:rPr>
                <w:rFonts w:ascii="Times New Roman" w:hAnsi="Times New Roman"/>
                <w:bCs/>
                <w:sz w:val="24"/>
                <w:szCs w:val="24"/>
              </w:rPr>
              <w:t xml:space="preserve"> noteikumos iekļautie studiju virzienu akreditācijas noteikumi</w:t>
            </w:r>
            <w:r w:rsidR="00405535" w:rsidRPr="00405535">
              <w:rPr>
                <w:rFonts w:ascii="Times New Roman" w:hAnsi="Times New Roman"/>
                <w:bCs/>
                <w:sz w:val="24"/>
                <w:szCs w:val="24"/>
              </w:rPr>
              <w:t xml:space="preserve"> tajā brīdī zaudē spēku. Lai neizveidotos situācija, ka ir periods, kurā nav </w:t>
            </w:r>
            <w:r w:rsidR="00405535" w:rsidRPr="00B531B8">
              <w:rPr>
                <w:rFonts w:ascii="Times New Roman" w:hAnsi="Times New Roman"/>
                <w:bCs/>
                <w:sz w:val="24"/>
                <w:szCs w:val="24"/>
              </w:rPr>
              <w:t>regulēts jautājums par to, kā tiek akreditēti studiju virzieni, projektam ir jāstājas spēkā 2019.gada 1.janvārī.</w:t>
            </w:r>
            <w:r w:rsidR="00B531B8" w:rsidRPr="006C3BE9">
              <w:rPr>
                <w:rFonts w:ascii="Times New Roman" w:hAnsi="Times New Roman"/>
                <w:sz w:val="24"/>
                <w:szCs w:val="24"/>
              </w:rPr>
              <w:t xml:space="preserve"> </w:t>
            </w:r>
            <w:proofErr w:type="spellStart"/>
            <w:r w:rsidR="00B531B8" w:rsidRPr="006C3BE9">
              <w:rPr>
                <w:rFonts w:ascii="Times New Roman" w:hAnsi="Times New Roman"/>
                <w:sz w:val="24"/>
                <w:szCs w:val="24"/>
              </w:rPr>
              <w:t>Porjekta</w:t>
            </w:r>
            <w:proofErr w:type="spellEnd"/>
            <w:r w:rsidR="00B531B8" w:rsidRPr="006C3BE9">
              <w:rPr>
                <w:rFonts w:ascii="Times New Roman" w:hAnsi="Times New Roman"/>
                <w:sz w:val="24"/>
                <w:szCs w:val="24"/>
              </w:rPr>
              <w:t xml:space="preserve"> 39.punkts nosaka, ka noteikumu 7.6.3. apakšpunkta nosacījums par izglītības kvalitātes monitoringa datiem stājas spēkā 2019. gada 1. jūlijā.</w:t>
            </w:r>
          </w:p>
          <w:p w:rsidR="00405535" w:rsidRPr="00A52851" w:rsidRDefault="00405535" w:rsidP="00186ED9">
            <w:pPr>
              <w:spacing w:after="0" w:line="240" w:lineRule="auto"/>
              <w:jc w:val="both"/>
              <w:rPr>
                <w:rFonts w:ascii="Times New Roman" w:hAnsi="Times New Roman"/>
                <w:bCs/>
                <w:sz w:val="24"/>
                <w:szCs w:val="24"/>
              </w:rPr>
            </w:pPr>
          </w:p>
        </w:tc>
      </w:tr>
      <w:tr w:rsidR="00AC7447" w:rsidRPr="00BF122F" w:rsidTr="00B53DA3">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A84332" w:rsidP="00B53DA3">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B53DA3">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B53DA3" w:rsidP="00464FA5">
      <w:pPr>
        <w:spacing w:after="0"/>
        <w:rPr>
          <w:rFonts w:ascii="Times New Roman" w:hAnsi="Times New Roman"/>
          <w:sz w:val="24"/>
          <w:szCs w:val="24"/>
        </w:rPr>
      </w:pPr>
      <w:r>
        <w:rPr>
          <w:rFonts w:ascii="Times New Roman" w:hAnsi="Times New Roman"/>
          <w:sz w:val="24"/>
          <w:szCs w:val="24"/>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CF4535" w:rsidP="00C559AF">
            <w:pPr>
              <w:spacing w:after="0" w:line="240" w:lineRule="auto"/>
              <w:jc w:val="both"/>
              <w:rPr>
                <w:rFonts w:ascii="Times New Roman" w:hAnsi="Times New Roman"/>
                <w:sz w:val="24"/>
                <w:szCs w:val="24"/>
              </w:rPr>
            </w:pPr>
            <w:r>
              <w:rPr>
                <w:rFonts w:ascii="Times New Roman" w:hAnsi="Times New Roman"/>
                <w:sz w:val="24"/>
                <w:szCs w:val="24"/>
              </w:rPr>
              <w:t xml:space="preserve">Augstskolas un koledžas, </w:t>
            </w:r>
            <w:r w:rsidR="00C559AF">
              <w:rPr>
                <w:rFonts w:ascii="Times New Roman" w:hAnsi="Times New Roman"/>
                <w:sz w:val="24"/>
                <w:szCs w:val="24"/>
              </w:rPr>
              <w:t xml:space="preserve">Akadēmiskās informācijas centrs, Eiropas augstākās izglītības kvalitātes nodrošināšanas reģistrā iekļautas kvalitātes nodrošināšanas aģentūras, studējošie, </w:t>
            </w:r>
            <w:proofErr w:type="spellStart"/>
            <w:r w:rsidR="00C559AF">
              <w:rPr>
                <w:rFonts w:ascii="Times New Roman" w:hAnsi="Times New Roman"/>
                <w:sz w:val="24"/>
                <w:szCs w:val="24"/>
              </w:rPr>
              <w:t>studētgribētāji</w:t>
            </w:r>
            <w:proofErr w:type="spellEnd"/>
            <w:r w:rsidR="00C559AF">
              <w:rPr>
                <w:rFonts w:ascii="Times New Roman" w:hAnsi="Times New Roman"/>
                <w:sz w:val="24"/>
                <w:szCs w:val="24"/>
              </w:rPr>
              <w:t>, Studiju kvalitātes komisija, Apelācijas komisija.</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561DA5" w:rsidP="00561DA5">
            <w:pPr>
              <w:spacing w:after="0" w:line="240" w:lineRule="auto"/>
              <w:jc w:val="both"/>
              <w:rPr>
                <w:rFonts w:ascii="Times New Roman" w:hAnsi="Times New Roman"/>
                <w:sz w:val="24"/>
                <w:szCs w:val="24"/>
              </w:rPr>
            </w:pPr>
            <w:r>
              <w:rPr>
                <w:rFonts w:ascii="Times New Roman" w:hAnsi="Times New Roman"/>
                <w:sz w:val="24"/>
                <w:szCs w:val="24"/>
              </w:rPr>
              <w:t>Projekta tiesiskajam regulējumam ir ietekme uz</w:t>
            </w:r>
            <w:r w:rsidRPr="00B53DA3">
              <w:rPr>
                <w:rFonts w:ascii="Times New Roman" w:hAnsi="Times New Roman"/>
                <w:sz w:val="24"/>
                <w:szCs w:val="24"/>
              </w:rPr>
              <w:t xml:space="preserve"> </w:t>
            </w:r>
            <w:r>
              <w:rPr>
                <w:rFonts w:ascii="Times New Roman" w:hAnsi="Times New Roman"/>
                <w:sz w:val="24"/>
                <w:szCs w:val="24"/>
              </w:rPr>
              <w:t>š</w:t>
            </w:r>
            <w:r w:rsidR="00D57023" w:rsidRPr="00B53DA3">
              <w:rPr>
                <w:rFonts w:ascii="Times New Roman" w:hAnsi="Times New Roman"/>
                <w:sz w:val="24"/>
                <w:szCs w:val="24"/>
              </w:rPr>
              <w:t xml:space="preserve">īs sadaļas 1.punktā minētajām sabiedrības </w:t>
            </w:r>
            <w:proofErr w:type="spellStart"/>
            <w:r w:rsidR="00D57023" w:rsidRPr="00B53DA3">
              <w:rPr>
                <w:rFonts w:ascii="Times New Roman" w:hAnsi="Times New Roman"/>
                <w:sz w:val="24"/>
                <w:szCs w:val="24"/>
              </w:rPr>
              <w:t>mērķgrup</w:t>
            </w:r>
            <w:r>
              <w:rPr>
                <w:rFonts w:ascii="Times New Roman" w:hAnsi="Times New Roman"/>
                <w:sz w:val="24"/>
                <w:szCs w:val="24"/>
              </w:rPr>
              <w:t>ām</w:t>
            </w:r>
            <w:proofErr w:type="spellEnd"/>
            <w:r>
              <w:rPr>
                <w:rFonts w:ascii="Times New Roman" w:hAnsi="Times New Roman"/>
                <w:sz w:val="24"/>
                <w:szCs w:val="24"/>
              </w:rPr>
              <w:t xml:space="preserve"> </w:t>
            </w:r>
            <w:r w:rsidR="00D57023" w:rsidRPr="00B53DA3">
              <w:rPr>
                <w:rFonts w:ascii="Times New Roman" w:hAnsi="Times New Roman"/>
                <w:sz w:val="24"/>
                <w:szCs w:val="24"/>
              </w:rPr>
              <w:t xml:space="preserve"> un institūcij</w:t>
            </w:r>
            <w:r>
              <w:rPr>
                <w:rFonts w:ascii="Times New Roman" w:hAnsi="Times New Roman"/>
                <w:sz w:val="24"/>
                <w:szCs w:val="24"/>
              </w:rPr>
              <w:t>ām</w:t>
            </w:r>
            <w:r w:rsidR="00D57023" w:rsidRPr="00B53DA3">
              <w:rPr>
                <w:rFonts w:ascii="Times New Roman" w:hAnsi="Times New Roman"/>
                <w:sz w:val="24"/>
                <w:szCs w:val="24"/>
              </w:rPr>
              <w:t xml:space="preserve"> </w:t>
            </w:r>
            <w:r w:rsidR="00B53DA3">
              <w:rPr>
                <w:rFonts w:ascii="Times New Roman" w:hAnsi="Times New Roman"/>
                <w:sz w:val="24"/>
                <w:szCs w:val="24"/>
              </w:rPr>
              <w:t xml:space="preserve">Projektā tiek paredzēts, ka studiju virziena novērtēšanu var </w:t>
            </w:r>
            <w:r w:rsidR="00B53DA3">
              <w:rPr>
                <w:rFonts w:ascii="Times New Roman" w:hAnsi="Times New Roman"/>
                <w:sz w:val="24"/>
                <w:szCs w:val="24"/>
              </w:rPr>
              <w:lastRenderedPageBreak/>
              <w:t>veikt arī ārvalsts kvalitātes nodrošināšanas aģentūra.</w:t>
            </w:r>
            <w:r>
              <w:rPr>
                <w:rFonts w:ascii="Times New Roman" w:hAnsi="Times New Roman"/>
                <w:sz w:val="24"/>
                <w:szCs w:val="24"/>
              </w:rPr>
              <w:t xml:space="preserve"> Projekta 2.5.apakšpunkts paredz papildus procedūras ieviešanu studiju programmām, kurs tiks licencētas pēc studiju virziena akreditācijas.</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Default="00405535" w:rsidP="00405535">
            <w:pPr>
              <w:spacing w:after="0" w:line="240" w:lineRule="auto"/>
              <w:jc w:val="both"/>
              <w:rPr>
                <w:rFonts w:ascii="Times New Roman" w:hAnsi="Times New Roman"/>
                <w:sz w:val="24"/>
                <w:szCs w:val="24"/>
              </w:rPr>
            </w:pPr>
            <w:r w:rsidRPr="00405535">
              <w:rPr>
                <w:rFonts w:ascii="Times New Roman" w:hAnsi="Times New Roman"/>
                <w:sz w:val="24"/>
                <w:szCs w:val="24"/>
              </w:rPr>
              <w:t xml:space="preserve">Izmaksu novērtējumu nevar veikt, ņemot vērā to, ka šobrīd nevar noteikt kāds informācijas apjoms augstskolām un koledžām būs jāsagatavo un jāiesniedz </w:t>
            </w:r>
            <w:r>
              <w:rPr>
                <w:rFonts w:ascii="Times New Roman" w:hAnsi="Times New Roman"/>
                <w:sz w:val="24"/>
                <w:szCs w:val="24"/>
              </w:rPr>
              <w:t>akreditācija</w:t>
            </w:r>
            <w:r w:rsidR="00B53DA3">
              <w:rPr>
                <w:rFonts w:ascii="Times New Roman" w:hAnsi="Times New Roman"/>
                <w:sz w:val="24"/>
                <w:szCs w:val="24"/>
              </w:rPr>
              <w:t>i</w:t>
            </w:r>
            <w:r w:rsidRPr="00405535">
              <w:rPr>
                <w:rFonts w:ascii="Times New Roman" w:hAnsi="Times New Roman"/>
                <w:sz w:val="24"/>
                <w:szCs w:val="24"/>
              </w:rPr>
              <w:t xml:space="preserve">, līdz ar to nevar noteikt standarta izmaksas, kas būtu attiecināmas uz katru </w:t>
            </w:r>
            <w:r>
              <w:rPr>
                <w:rFonts w:ascii="Times New Roman" w:hAnsi="Times New Roman"/>
                <w:sz w:val="24"/>
                <w:szCs w:val="24"/>
              </w:rPr>
              <w:t>studiju virziena akreditācijas</w:t>
            </w:r>
            <w:r w:rsidRPr="00405535">
              <w:rPr>
                <w:rFonts w:ascii="Times New Roman" w:hAnsi="Times New Roman"/>
                <w:sz w:val="24"/>
                <w:szCs w:val="24"/>
              </w:rPr>
              <w:t xml:space="preserve"> gadījumu, jo iesniedzamās in</w:t>
            </w:r>
            <w:r>
              <w:rPr>
                <w:rFonts w:ascii="Times New Roman" w:hAnsi="Times New Roman"/>
                <w:sz w:val="24"/>
                <w:szCs w:val="24"/>
              </w:rPr>
              <w:t xml:space="preserve">formācijas apjoms var mainīties, ņemot vērā to, ka studiju virzienā var būt </w:t>
            </w:r>
            <w:r w:rsidR="00B53DA3">
              <w:rPr>
                <w:rFonts w:ascii="Times New Roman" w:hAnsi="Times New Roman"/>
                <w:sz w:val="24"/>
                <w:szCs w:val="24"/>
              </w:rPr>
              <w:t>dažāds studiju programmu skaits, kā arī ņemot vērā to, kādu informācijas apjomu pieprasa iesniegt attiecīgā kvalitātes nodrošināšanas aģentūra.</w:t>
            </w:r>
          </w:p>
          <w:p w:rsidR="00561DA5" w:rsidRPr="00BF122F" w:rsidRDefault="00561DA5" w:rsidP="00405535">
            <w:pPr>
              <w:spacing w:after="0" w:line="240" w:lineRule="auto"/>
              <w:jc w:val="both"/>
              <w:rPr>
                <w:rFonts w:ascii="Times New Roman" w:hAnsi="Times New Roman"/>
                <w:sz w:val="24"/>
                <w:szCs w:val="24"/>
              </w:rPr>
            </w:pPr>
            <w:r>
              <w:rPr>
                <w:rFonts w:ascii="Times New Roman" w:hAnsi="Times New Roman"/>
                <w:sz w:val="24"/>
                <w:szCs w:val="24"/>
              </w:rPr>
              <w:t>P</w:t>
            </w:r>
            <w:r w:rsidRPr="009C5D7E">
              <w:rPr>
                <w:rFonts w:ascii="Times New Roman" w:hAnsi="Times New Roman"/>
                <w:sz w:val="24"/>
                <w:szCs w:val="24"/>
              </w:rPr>
              <w:t>rojekta 2.3. un 2.5. apakšpunktā veiktās darbības augstskola vai koledža sedz no saviem līdzekļiem saskaņā ar</w:t>
            </w:r>
            <w:r>
              <w:rPr>
                <w:rFonts w:ascii="Times New Roman" w:hAnsi="Times New Roman"/>
                <w:sz w:val="24"/>
                <w:szCs w:val="24"/>
              </w:rPr>
              <w:t xml:space="preserve"> Akadēmiskā informācijas</w:t>
            </w:r>
            <w:r w:rsidRPr="009C5D7E">
              <w:rPr>
                <w:rFonts w:ascii="Times New Roman" w:hAnsi="Times New Roman"/>
                <w:sz w:val="24"/>
                <w:szCs w:val="24"/>
              </w:rPr>
              <w:t xml:space="preserve"> centra izstrādāto cenrādi.</w:t>
            </w:r>
          </w:p>
        </w:tc>
      </w:tr>
      <w:tr w:rsidR="008E12E5"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rsidTr="00D57023">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RDefault="00D57023" w:rsidP="00D5702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7"/>
        <w:gridCol w:w="2551"/>
        <w:gridCol w:w="6273"/>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A7477B" w:rsidRPr="00BF122F" w:rsidTr="001D4350">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1.</w:t>
            </w:r>
          </w:p>
        </w:tc>
        <w:tc>
          <w:tcPr>
            <w:tcW w:w="138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Saistītie tiesību aktu projekti</w:t>
            </w:r>
          </w:p>
        </w:tc>
        <w:tc>
          <w:tcPr>
            <w:tcW w:w="3394" w:type="pct"/>
            <w:tcBorders>
              <w:top w:val="single" w:sz="4" w:space="0" w:color="auto"/>
              <w:left w:val="single" w:sz="4" w:space="0" w:color="auto"/>
              <w:bottom w:val="single" w:sz="4" w:space="0" w:color="auto"/>
              <w:right w:val="outset" w:sz="6" w:space="0" w:color="414142"/>
            </w:tcBorders>
          </w:tcPr>
          <w:p w:rsidR="00E3436C" w:rsidRPr="005E3C98" w:rsidRDefault="005E3C98" w:rsidP="00A7477B">
            <w:pPr>
              <w:spacing w:after="0" w:line="240" w:lineRule="auto"/>
              <w:jc w:val="both"/>
              <w:rPr>
                <w:rFonts w:ascii="Times New Roman" w:hAnsi="Times New Roman"/>
                <w:sz w:val="24"/>
                <w:szCs w:val="24"/>
              </w:rPr>
            </w:pPr>
            <w:r>
              <w:rPr>
                <w:rFonts w:ascii="Times New Roman" w:hAnsi="Times New Roman"/>
                <w:sz w:val="24"/>
                <w:szCs w:val="24"/>
              </w:rPr>
              <w:t>Nepieciešams izstrādāt Ministru kabineta noteikumu projektu par studiju programmu licencēšanu, jo Augstskolu likuma 55.</w:t>
            </w:r>
            <w:r>
              <w:rPr>
                <w:rFonts w:ascii="Times New Roman" w:hAnsi="Times New Roman"/>
                <w:sz w:val="24"/>
                <w:szCs w:val="24"/>
                <w:vertAlign w:val="superscript"/>
              </w:rPr>
              <w:t>2</w:t>
            </w:r>
            <w:r>
              <w:rPr>
                <w:rFonts w:ascii="Times New Roman" w:hAnsi="Times New Roman"/>
                <w:sz w:val="24"/>
                <w:szCs w:val="24"/>
              </w:rPr>
              <w:t>panta 12.daļa (redakcijā, kas stāsies spēkā 2019.gada 1.janvārī) dod deleģējumu Ministru kabinetam noteikt Studiju kvalitātes komisijas un Apelācijas komisijas izveidošanas kārtību, bet saskaņā ar Augstskolu likuma 55.</w:t>
            </w:r>
            <w:r>
              <w:rPr>
                <w:rFonts w:ascii="Times New Roman" w:hAnsi="Times New Roman"/>
                <w:sz w:val="24"/>
                <w:szCs w:val="24"/>
                <w:vertAlign w:val="superscript"/>
              </w:rPr>
              <w:t>3</w:t>
            </w:r>
            <w:r>
              <w:rPr>
                <w:rFonts w:ascii="Times New Roman" w:hAnsi="Times New Roman"/>
                <w:sz w:val="24"/>
                <w:szCs w:val="24"/>
              </w:rPr>
              <w:t>panta ceturto daļu (redakcijā, kas stāsies spēkā 2019.gada 1.janvārī) Studiju kvalitātes komisija pieņem lēmumu par studiju virzienu akreditāciju un astoto daļu (redakcijā, kas stāsies spēkā 2019.gada 1.janvārī) Studiju kvalitātes komisijas lēmumus var apstrīdēt Apelācijas komisijā. Projektam jāstājas spēkā vienlaicīgi ar Ministru kabineta noteikumiem par studiju programmu licenc</w:t>
            </w:r>
            <w:r w:rsidR="005216CB">
              <w:rPr>
                <w:rFonts w:ascii="Times New Roman" w:hAnsi="Times New Roman"/>
                <w:sz w:val="24"/>
                <w:szCs w:val="24"/>
              </w:rPr>
              <w:t>ē</w:t>
            </w:r>
            <w:r>
              <w:rPr>
                <w:rFonts w:ascii="Times New Roman" w:hAnsi="Times New Roman"/>
                <w:sz w:val="24"/>
                <w:szCs w:val="24"/>
              </w:rPr>
              <w:t>šanu.</w:t>
            </w:r>
          </w:p>
        </w:tc>
      </w:tr>
      <w:tr w:rsidR="00A7477B" w:rsidRPr="00BF122F" w:rsidTr="001D4350">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2.</w:t>
            </w:r>
          </w:p>
        </w:tc>
        <w:tc>
          <w:tcPr>
            <w:tcW w:w="138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Atbildīgā institūcija</w:t>
            </w:r>
          </w:p>
        </w:tc>
        <w:tc>
          <w:tcPr>
            <w:tcW w:w="339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7477B" w:rsidRPr="00BF122F" w:rsidTr="001D4350">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3.</w:t>
            </w:r>
          </w:p>
        </w:tc>
        <w:tc>
          <w:tcPr>
            <w:tcW w:w="138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39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Nav.</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340FCC"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3"/>
        <w:gridCol w:w="3077"/>
        <w:gridCol w:w="5707"/>
      </w:tblGrid>
      <w:tr w:rsidR="004D52B7" w:rsidRPr="004D52B7" w:rsidTr="00226CCE">
        <w:trPr>
          <w:trHeight w:val="420"/>
        </w:trPr>
        <w:tc>
          <w:tcPr>
            <w:tcW w:w="0" w:type="auto"/>
            <w:gridSpan w:val="3"/>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rsidTr="001D4350">
        <w:trPr>
          <w:trHeight w:val="54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664"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086" w:type="pct"/>
            <w:hideMark/>
          </w:tcPr>
          <w:p w:rsidR="006A456B" w:rsidRPr="004D52B7" w:rsidRDefault="005E3C98" w:rsidP="008737C4">
            <w:pPr>
              <w:spacing w:after="0" w:line="240" w:lineRule="auto"/>
              <w:jc w:val="both"/>
              <w:rPr>
                <w:rFonts w:ascii="Times New Roman" w:hAnsi="Times New Roman"/>
                <w:sz w:val="24"/>
                <w:szCs w:val="24"/>
              </w:rPr>
            </w:pPr>
            <w:r w:rsidRPr="005E3C98">
              <w:rPr>
                <w:rFonts w:ascii="Times New Roman" w:hAnsi="Times New Roman"/>
                <w:sz w:val="24"/>
                <w:szCs w:val="24"/>
              </w:rPr>
              <w:t>Izglītības un zinātnes ministrija nosūtījusi projektu viedokļa sniegšanai Latvijas Koledžu asociācijai, Latvijas Studentu apvienībai, Rektoru padomei un Akadēmiskās informācijas centram.</w:t>
            </w:r>
          </w:p>
        </w:tc>
      </w:tr>
      <w:tr w:rsidR="004D52B7" w:rsidRPr="004D52B7" w:rsidTr="001D4350">
        <w:trPr>
          <w:trHeight w:val="33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664"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86" w:type="pct"/>
            <w:hideMark/>
          </w:tcPr>
          <w:p w:rsidR="006A456B" w:rsidRPr="004D52B7" w:rsidRDefault="006874BF" w:rsidP="006874BF">
            <w:pPr>
              <w:spacing w:after="0" w:line="240" w:lineRule="auto"/>
              <w:jc w:val="both"/>
              <w:rPr>
                <w:rFonts w:ascii="Times New Roman" w:hAnsi="Times New Roman"/>
                <w:sz w:val="24"/>
                <w:szCs w:val="24"/>
              </w:rPr>
            </w:pPr>
            <w:r w:rsidRPr="006874BF">
              <w:rPr>
                <w:rFonts w:ascii="Times New Roman" w:hAnsi="Times New Roman"/>
                <w:sz w:val="24"/>
                <w:szCs w:val="24"/>
              </w:rPr>
              <w:t xml:space="preserve">Viedokli par projektu sniegusi Latvijas Studentu apvienība, Latvijas Koledžu asociācija, Rektoru padome, Akadēmiskās informācijas centrs, Augstākās izglītības padome, Latvijas Tirdzniecības un rūpniecības kamera, Privāto augstskolu asociācija un </w:t>
            </w:r>
            <w:r>
              <w:rPr>
                <w:rFonts w:ascii="Times New Roman" w:hAnsi="Times New Roman"/>
                <w:sz w:val="24"/>
                <w:szCs w:val="24"/>
              </w:rPr>
              <w:t>Latvijas Neatkarīgā izglītības un zinātnes apvienība</w:t>
            </w:r>
            <w:r w:rsidRPr="006874BF">
              <w:rPr>
                <w:rFonts w:ascii="Times New Roman" w:hAnsi="Times New Roman"/>
                <w:sz w:val="24"/>
                <w:szCs w:val="24"/>
              </w:rPr>
              <w:t>.</w:t>
            </w:r>
          </w:p>
        </w:tc>
      </w:tr>
      <w:tr w:rsidR="004D52B7" w:rsidRPr="004D52B7" w:rsidTr="001D4350">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664"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86" w:type="pct"/>
            <w:hideMark/>
          </w:tcPr>
          <w:p w:rsidR="00E42D74" w:rsidRPr="00E42D74" w:rsidRDefault="00E42D74" w:rsidP="00E42D74">
            <w:pPr>
              <w:spacing w:after="0" w:line="240" w:lineRule="auto"/>
              <w:jc w:val="both"/>
              <w:rPr>
                <w:rFonts w:ascii="Times New Roman" w:hAnsi="Times New Roman"/>
                <w:sz w:val="24"/>
                <w:szCs w:val="24"/>
              </w:rPr>
            </w:pPr>
            <w:r w:rsidRPr="00E42D74">
              <w:rPr>
                <w:rFonts w:ascii="Times New Roman" w:hAnsi="Times New Roman"/>
                <w:sz w:val="24"/>
                <w:szCs w:val="24"/>
              </w:rPr>
              <w:t xml:space="preserve">Akadēmiskās informācijas centrs ir sniedzis iebildumus, no kuriem būtiskākie ir par to, ka nepieciešams skaidrot, kā </w:t>
            </w:r>
            <w:r w:rsidR="001373A4">
              <w:rPr>
                <w:rFonts w:ascii="Times New Roman" w:hAnsi="Times New Roman"/>
                <w:sz w:val="24"/>
                <w:szCs w:val="24"/>
              </w:rPr>
              <w:t xml:space="preserve">paredzēta </w:t>
            </w:r>
            <w:r w:rsidRPr="00E42D74">
              <w:rPr>
                <w:rFonts w:ascii="Times New Roman" w:hAnsi="Times New Roman"/>
                <w:sz w:val="24"/>
                <w:szCs w:val="24"/>
              </w:rPr>
              <w:t xml:space="preserve"> pāreja uz projekta 1.pielikumā minētajiem studiju virzieniem</w:t>
            </w:r>
            <w:r w:rsidR="001373A4">
              <w:rPr>
                <w:rFonts w:ascii="Times New Roman" w:hAnsi="Times New Roman"/>
                <w:sz w:val="24"/>
                <w:szCs w:val="24"/>
              </w:rPr>
              <w:t>. Ņemot vērā institūciju iebildumus, studiju virzienu saraksts tiek atstāts kā tas šobrīd ir spēkā ar vairākiem izņēmumiem. Pāreja uz šiem studiju virzieniem skaidrota šīs anotācijas I sadaļas 2.punktā.</w:t>
            </w:r>
          </w:p>
          <w:p w:rsidR="00E42D74" w:rsidRPr="00E42D74" w:rsidRDefault="00E42D74" w:rsidP="00E42D74">
            <w:pPr>
              <w:spacing w:after="0" w:line="240" w:lineRule="auto"/>
              <w:jc w:val="both"/>
              <w:rPr>
                <w:rFonts w:ascii="Times New Roman" w:hAnsi="Times New Roman"/>
                <w:sz w:val="24"/>
                <w:szCs w:val="24"/>
              </w:rPr>
            </w:pPr>
            <w:r w:rsidRPr="00E42D74">
              <w:rPr>
                <w:rFonts w:ascii="Times New Roman" w:hAnsi="Times New Roman"/>
                <w:sz w:val="24"/>
                <w:szCs w:val="24"/>
              </w:rPr>
              <w:t>Augstākās izglītības padomes iebildums un Latvijas Studentu apvienības iebildums par to, ka nav skaidrs, kas notiek ar studiju programmām, kuras ir saņēmušas vērtējumu “neapmierinoši”, ir ņemts vērā, skaidrojot, ka augstskolām un koledžām ir divas iespējas, ko darīt ar tādām studiju programmām, kuras nav tikušas iekļautas akreditētā studiju virzienā, jo saņēmušas vērtējumu “neapmierinoši”. Pirmā iespēja ir lūgt atņemt studiju programmas licenci saskaņā ar Augstskolu likuma 55.2 panta astotās daļas 9.punktā (redakcijā, kas stāsies spēkā 2019.gada 1.janvārī) noteikto. Otrā iespēja ir turpināt īstenot studiju programmu, veicot tajā uzlabojumus. Kad trūkumi  studiju programmas īstenošanā novērsti, iesniegt iesniegumu studiju virziena novērtēšanai un secīgi studiju virziena akreditācijai.</w:t>
            </w:r>
          </w:p>
          <w:p w:rsidR="00E42D74" w:rsidRPr="00E42D74" w:rsidRDefault="00E42D74" w:rsidP="00E42D74">
            <w:pPr>
              <w:spacing w:after="0" w:line="240" w:lineRule="auto"/>
              <w:jc w:val="both"/>
              <w:rPr>
                <w:rFonts w:ascii="Times New Roman" w:hAnsi="Times New Roman"/>
                <w:sz w:val="24"/>
                <w:szCs w:val="24"/>
              </w:rPr>
            </w:pPr>
            <w:r w:rsidRPr="00E42D74">
              <w:rPr>
                <w:rFonts w:ascii="Times New Roman" w:hAnsi="Times New Roman"/>
                <w:sz w:val="24"/>
                <w:szCs w:val="24"/>
              </w:rPr>
              <w:t xml:space="preserve">Latvijas Koledžu asociācija ir izteikusi tikai priekšlikumus, no kuriem būtiskākie ir priekšlikums paredzēt, ka studiju virzienu var akreditēt uz trīs gadiem, nevis diviem gadiem, kas nav ņemts vērā, jo divi gadi ir optimāls termiņš trūkumu novēršanai un atkārtotai akreditācijai. Latvijas Koledžu asociācijas un Privāto augstskolu asociācijas priekšlikums un Latvijas Tirdzniecības un rūpniecības kameras un Latvijas Studentu apvienības iebildums par augstskolas vai koledžas tiesībām izteikt iebildumus par Izglītības un zinātnes ministrijas izvēlēto Eiropas augstākās izglītības kvalitātes nodrošināšanas reģistrā iekļauto kvalitātes nodrošināšanas aģentūru ārpuskārtas studiju virziena akreditācijas gadījumā nav ņemts vērā, jo Izglītības un zinātnes ministrijai nav tiesības iebilst pret augstskolas </w:t>
            </w:r>
            <w:r w:rsidRPr="00E42D74">
              <w:rPr>
                <w:rFonts w:ascii="Times New Roman" w:hAnsi="Times New Roman"/>
                <w:sz w:val="24"/>
                <w:szCs w:val="24"/>
              </w:rPr>
              <w:lastRenderedPageBreak/>
              <w:t xml:space="preserve">vai koledžas izvēli, līdz ar to nav pamatoti iebilst pret Izglītības un zinātnes ministrijas izvēli, kā arī augstskolas un koledžas izvēlei un Izglītības un zinātnes ministrijas izvēlei ir vieni kritēriji. Latvijas Koledžu asociācijas priekšlikums par studiju virziena “Jūrniecība” ieviešanu </w:t>
            </w:r>
            <w:r w:rsidR="001373A4">
              <w:rPr>
                <w:rFonts w:ascii="Times New Roman" w:hAnsi="Times New Roman"/>
                <w:sz w:val="24"/>
                <w:szCs w:val="24"/>
              </w:rPr>
              <w:t>ir</w:t>
            </w:r>
            <w:r w:rsidRPr="00E42D74">
              <w:rPr>
                <w:rFonts w:ascii="Times New Roman" w:hAnsi="Times New Roman"/>
                <w:sz w:val="24"/>
                <w:szCs w:val="24"/>
              </w:rPr>
              <w:t xml:space="preserve"> ņemts vērā</w:t>
            </w:r>
            <w:r w:rsidR="001373A4">
              <w:rPr>
                <w:rFonts w:ascii="Times New Roman" w:hAnsi="Times New Roman"/>
                <w:sz w:val="24"/>
                <w:szCs w:val="24"/>
              </w:rPr>
              <w:t xml:space="preserve"> un projekta 1.pielikumā ir ietverts studiju virziens „Jūrniecība”.</w:t>
            </w:r>
          </w:p>
          <w:p w:rsidR="00E42D74" w:rsidRPr="00E42D74" w:rsidRDefault="00E42D74" w:rsidP="00E42D74">
            <w:pPr>
              <w:spacing w:after="0" w:line="240" w:lineRule="auto"/>
              <w:jc w:val="both"/>
              <w:rPr>
                <w:rFonts w:ascii="Times New Roman" w:hAnsi="Times New Roman"/>
                <w:sz w:val="24"/>
                <w:szCs w:val="24"/>
              </w:rPr>
            </w:pPr>
            <w:r w:rsidRPr="00E42D74">
              <w:rPr>
                <w:rFonts w:ascii="Times New Roman" w:hAnsi="Times New Roman"/>
                <w:sz w:val="24"/>
                <w:szCs w:val="24"/>
              </w:rPr>
              <w:t xml:space="preserve">Latvijas Studentu apvienība ir izteikusi iebildumus, no kuriem būtiskākais ir iebildums par projekta 1.pielikumu, </w:t>
            </w:r>
            <w:r w:rsidR="001373A4">
              <w:rPr>
                <w:rFonts w:ascii="Times New Roman" w:hAnsi="Times New Roman"/>
                <w:sz w:val="24"/>
                <w:szCs w:val="24"/>
              </w:rPr>
              <w:t>kas ir ņemts vērā, jo studiju virzienu saraksts tiek atstāts tāds, kāds tas šobrīd ir ar dažiem izņēmumiem, kur nozare ir norādījusi uz citu studiju virzienu nepieciešamību</w:t>
            </w:r>
            <w:r w:rsidRPr="00E42D74">
              <w:rPr>
                <w:rFonts w:ascii="Times New Roman" w:hAnsi="Times New Roman"/>
                <w:sz w:val="24"/>
                <w:szCs w:val="24"/>
              </w:rPr>
              <w:t>. Latvijas Studentu apvienības un Rektoru padomes iebildums par to, ka nav skaidrs, kā notiks pāreja uz projekta 1.pielikumā noteiktajiem studiju virzieniem, ir ņemts vērā, skaidrojot, ka pāreja notiks pakāpeniski atbilstoši studiju virzienu akreditācijas grafikam.</w:t>
            </w:r>
          </w:p>
          <w:p w:rsidR="00E42D74" w:rsidRPr="00E42D74" w:rsidRDefault="00E42D74" w:rsidP="00E42D74">
            <w:pPr>
              <w:spacing w:after="0" w:line="240" w:lineRule="auto"/>
              <w:jc w:val="both"/>
              <w:rPr>
                <w:rFonts w:ascii="Times New Roman" w:hAnsi="Times New Roman"/>
                <w:sz w:val="24"/>
                <w:szCs w:val="24"/>
              </w:rPr>
            </w:pPr>
            <w:r w:rsidRPr="00E42D74">
              <w:rPr>
                <w:rFonts w:ascii="Times New Roman" w:hAnsi="Times New Roman"/>
                <w:sz w:val="24"/>
                <w:szCs w:val="24"/>
              </w:rPr>
              <w:t xml:space="preserve">Latvijas Tirdzniecības un rūpniecības kameras un Rektoru padomes iebildums par to, ka studiju virzienu “Vides aizsardzība” nevar iekļaut studiju virzienā “Ģeogrāfijas un zemes zinātnes”, ir </w:t>
            </w:r>
            <w:proofErr w:type="spellStart"/>
            <w:r w:rsidR="001373A4">
              <w:rPr>
                <w:rFonts w:ascii="Times New Roman" w:hAnsi="Times New Roman"/>
                <w:sz w:val="24"/>
                <w:szCs w:val="24"/>
              </w:rPr>
              <w:t>ir</w:t>
            </w:r>
            <w:proofErr w:type="spellEnd"/>
            <w:r w:rsidRPr="00E42D74">
              <w:rPr>
                <w:rFonts w:ascii="Times New Roman" w:hAnsi="Times New Roman"/>
                <w:sz w:val="24"/>
                <w:szCs w:val="24"/>
              </w:rPr>
              <w:t xml:space="preserve"> ņemts vērā, jo ir izveidots studiju virzien</w:t>
            </w:r>
            <w:r w:rsidR="001373A4">
              <w:rPr>
                <w:rFonts w:ascii="Times New Roman" w:hAnsi="Times New Roman"/>
                <w:sz w:val="24"/>
                <w:szCs w:val="24"/>
              </w:rPr>
              <w:t>i paliek tādi, kādi šobrīd ir spēkā ar dažiem izņēmumiem, kur šis studiju virziens nav kā izņēmums.</w:t>
            </w:r>
          </w:p>
          <w:p w:rsidR="00E42D74" w:rsidRPr="00E42D74" w:rsidRDefault="00E42D74" w:rsidP="00E42D74">
            <w:pPr>
              <w:spacing w:after="0" w:line="240" w:lineRule="auto"/>
              <w:jc w:val="both"/>
              <w:rPr>
                <w:rFonts w:ascii="Times New Roman" w:hAnsi="Times New Roman"/>
                <w:sz w:val="24"/>
                <w:szCs w:val="24"/>
              </w:rPr>
            </w:pPr>
            <w:r w:rsidRPr="00E42D74">
              <w:rPr>
                <w:rFonts w:ascii="Times New Roman" w:hAnsi="Times New Roman"/>
                <w:sz w:val="24"/>
                <w:szCs w:val="24"/>
              </w:rPr>
              <w:t>Privāto augstskolu asociācija ir izteikusi tikai priekšlikumus, no kuriem būtiskākais ir svītrot projekta 12.punkta pēdējo teikumu un projekta 14.punktu, kas nav ņemts vērā, jo ir nepieciešams noteikt kritērijus Eiropas augstākās izglītības kvalitātes nodrošināšanas reģistrā iekļautas kvalitātes nodrošināšanas aģentūras izvēlei. Privāto augstskolu asociācijas priekšlikums svītrot projekta 16., 17., 18., 19.punktu un precizēt projekta 20., 30.un 31.punktu nav ņemts vērā, jo jau šobrīd Eiropā ir vairākas valstis, kas ir noteikušas, ka citu valstu Eiropas augstākās izglītības kvalitātes nodrošināšanas reģistrā iekļautas kvalitātes nodrošināšanas aģentūras var darboties attiecīgajā valstī, ja ievēro attiecīgās valsts noteiktos kritērijus, līdz ar to arī Latvijā tā var darīt.</w:t>
            </w:r>
          </w:p>
          <w:p w:rsidR="004D52B7" w:rsidRPr="004D52B7" w:rsidRDefault="00E42D74" w:rsidP="00E42D74">
            <w:pPr>
              <w:spacing w:after="0" w:line="240" w:lineRule="auto"/>
              <w:jc w:val="both"/>
              <w:rPr>
                <w:rFonts w:ascii="Times New Roman" w:hAnsi="Times New Roman"/>
                <w:sz w:val="24"/>
                <w:szCs w:val="24"/>
              </w:rPr>
            </w:pPr>
            <w:r w:rsidRPr="00E42D74">
              <w:rPr>
                <w:rFonts w:ascii="Times New Roman" w:hAnsi="Times New Roman"/>
                <w:sz w:val="24"/>
                <w:szCs w:val="24"/>
              </w:rPr>
              <w:t xml:space="preserve">Rektoru padome ir sniegusi tikai iebildumus, no kuriem būtiskākie ir par to, ka nav nepieciešams projektā noteikt prasības, pēc kurām novērtēt studiju virzienus un studiju programmas, jo tos jau nosaka Standarti un vadlīnijās kvalitātes nodrošināšanai Eiropas augstākās izglītības telpā, kas nav ņemts vērā, jo jau šobrīd Eiropā ir vairākas valstis, kas ir noteikušas, ka citu valstu Eiropas augstākās izglītības kvalitātes nodrošināšanas reģistrā iekļautas kvalitātes nodrošināšanas aģentūras var darboties attiecīgajā valstī, ja ievēro attiecīgās valsts noteiktos kritērijus, līdz </w:t>
            </w:r>
            <w:r>
              <w:rPr>
                <w:rFonts w:ascii="Times New Roman" w:hAnsi="Times New Roman"/>
                <w:sz w:val="24"/>
                <w:szCs w:val="24"/>
              </w:rPr>
              <w:t>ar to arī Latvijā tā var darīt.</w:t>
            </w:r>
            <w:r w:rsidR="001373A4">
              <w:rPr>
                <w:rFonts w:ascii="Times New Roman" w:hAnsi="Times New Roman"/>
                <w:sz w:val="24"/>
                <w:szCs w:val="24"/>
              </w:rPr>
              <w:t xml:space="preserve"> Kā arī Standarti </w:t>
            </w:r>
            <w:r w:rsidR="001373A4">
              <w:rPr>
                <w:rFonts w:ascii="Times New Roman" w:hAnsi="Times New Roman"/>
                <w:sz w:val="24"/>
                <w:szCs w:val="24"/>
              </w:rPr>
              <w:lastRenderedPageBreak/>
              <w:t xml:space="preserve">un vadlīnijas kvalitātes nodrošināšanai Eiropas augstākās izglītības telpā ir </w:t>
            </w:r>
            <w:r w:rsidR="00200647">
              <w:rPr>
                <w:rFonts w:ascii="Times New Roman" w:hAnsi="Times New Roman"/>
                <w:sz w:val="24"/>
                <w:szCs w:val="24"/>
              </w:rPr>
              <w:t>vispārīgi nosacījumi, kas ir jāiekļauj savos normatīvajos aktos, interpretējot atbilstoši katras valsts iekšējai kārtībai, bet saglabājot kopīgi atbalstītos principus.</w:t>
            </w:r>
          </w:p>
        </w:tc>
      </w:tr>
      <w:tr w:rsidR="004D52B7" w:rsidRPr="004D52B7" w:rsidTr="001D4350">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lastRenderedPageBreak/>
              <w:t>4.</w:t>
            </w:r>
          </w:p>
        </w:tc>
        <w:tc>
          <w:tcPr>
            <w:tcW w:w="1664"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086"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226CCE">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226CCE">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5E3C98" w:rsidP="00B0035C">
            <w:pPr>
              <w:spacing w:after="0" w:line="240" w:lineRule="auto"/>
              <w:jc w:val="both"/>
              <w:rPr>
                <w:rFonts w:ascii="Times New Roman" w:hAnsi="Times New Roman"/>
                <w:sz w:val="24"/>
                <w:szCs w:val="24"/>
              </w:rPr>
            </w:pPr>
            <w:r>
              <w:rPr>
                <w:rFonts w:ascii="Times New Roman" w:hAnsi="Times New Roman"/>
                <w:sz w:val="24"/>
                <w:szCs w:val="24"/>
              </w:rPr>
              <w:t>Augstskolas un koledžas, Akadēmiskās informācijas centrs, Eiropas augstākās izglītības kvalitātes nodrošināšanas reģistrā iekļauta kva</w:t>
            </w:r>
            <w:r w:rsidR="00B53DA3">
              <w:rPr>
                <w:rFonts w:ascii="Times New Roman" w:hAnsi="Times New Roman"/>
                <w:sz w:val="24"/>
                <w:szCs w:val="24"/>
              </w:rPr>
              <w:t>litātes nodrošināšanas aģentūra, Studiju kvalitātes komisija, Apelācijas komisija.</w:t>
            </w:r>
          </w:p>
        </w:tc>
      </w:tr>
      <w:tr w:rsidR="00AC7447" w:rsidRPr="00BF122F" w:rsidTr="00CF453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5E3C98" w:rsidP="00CB3D80">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602686">
              <w:rPr>
                <w:rFonts w:ascii="Times New Roman" w:hAnsi="Times New Roman"/>
                <w:sz w:val="24"/>
                <w:szCs w:val="24"/>
              </w:rPr>
              <w:t>.</w:t>
            </w:r>
          </w:p>
        </w:tc>
      </w:tr>
    </w:tbl>
    <w:p w:rsidR="00173F3D" w:rsidRDefault="00AC7447" w:rsidP="00126D0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26D0D" w:rsidRDefault="00126D0D" w:rsidP="00126D0D">
      <w:pPr>
        <w:spacing w:after="0" w:line="240" w:lineRule="auto"/>
        <w:jc w:val="both"/>
        <w:rPr>
          <w:rFonts w:ascii="Times New Roman" w:hAnsi="Times New Roman"/>
          <w:sz w:val="24"/>
          <w:szCs w:val="24"/>
        </w:rPr>
      </w:pPr>
    </w:p>
    <w:p w:rsidR="00D41C88" w:rsidRDefault="00173F3D" w:rsidP="00D41C88">
      <w:pPr>
        <w:spacing w:after="0"/>
        <w:jc w:val="both"/>
        <w:rPr>
          <w:rFonts w:ascii="Times New Roman" w:hAnsi="Times New Roman"/>
          <w:sz w:val="24"/>
          <w:szCs w:val="24"/>
        </w:rPr>
      </w:pPr>
      <w:r>
        <w:rPr>
          <w:rFonts w:ascii="Times New Roman" w:hAnsi="Times New Roman"/>
          <w:sz w:val="24"/>
          <w:szCs w:val="24"/>
        </w:rPr>
        <w:t>Izglītības un zinātnes ministr</w:t>
      </w:r>
      <w:r w:rsidR="00D41C88">
        <w:rPr>
          <w:rFonts w:ascii="Times New Roman" w:hAnsi="Times New Roman"/>
          <w:sz w:val="24"/>
          <w:szCs w:val="24"/>
        </w:rPr>
        <w:t xml:space="preserve">a vietā – </w:t>
      </w:r>
    </w:p>
    <w:p w:rsidR="001D4350" w:rsidRDefault="00D41C88" w:rsidP="001D4350">
      <w:pPr>
        <w:jc w:val="both"/>
        <w:rPr>
          <w:rFonts w:ascii="Times New Roman" w:hAnsi="Times New Roman"/>
          <w:sz w:val="24"/>
          <w:szCs w:val="24"/>
        </w:rPr>
      </w:pPr>
      <w:r>
        <w:rPr>
          <w:rFonts w:ascii="Times New Roman" w:hAnsi="Times New Roman"/>
          <w:sz w:val="24"/>
          <w:szCs w:val="24"/>
        </w:rPr>
        <w:t>labklājības ministrs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Jānis Reirs</w:t>
      </w:r>
    </w:p>
    <w:p w:rsidR="00302C14" w:rsidRDefault="00302C14" w:rsidP="00302C14">
      <w:pPr>
        <w:spacing w:after="0" w:line="240" w:lineRule="auto"/>
        <w:jc w:val="both"/>
        <w:rPr>
          <w:rFonts w:ascii="Times New Roman" w:hAnsi="Times New Roman"/>
          <w:sz w:val="24"/>
          <w:szCs w:val="24"/>
        </w:rPr>
      </w:pPr>
    </w:p>
    <w:p w:rsidR="00126D0D" w:rsidRDefault="00302C14">
      <w:pPr>
        <w:spacing w:after="0" w:line="240" w:lineRule="auto"/>
        <w:jc w:val="both"/>
        <w:rPr>
          <w:rFonts w:ascii="Times New Roman" w:hAnsi="Times New Roman"/>
          <w:sz w:val="24"/>
          <w:szCs w:val="24"/>
        </w:rPr>
      </w:pPr>
      <w:r w:rsidRPr="00302C14">
        <w:rPr>
          <w:rFonts w:ascii="Times New Roman" w:hAnsi="Times New Roman"/>
          <w:sz w:val="24"/>
          <w:szCs w:val="24"/>
        </w:rPr>
        <w:t>Valsts sekretār</w:t>
      </w:r>
      <w:r w:rsidR="00D41C88">
        <w:rPr>
          <w:rFonts w:ascii="Times New Roman" w:hAnsi="Times New Roman"/>
          <w:sz w:val="24"/>
          <w:szCs w:val="24"/>
        </w:rPr>
        <w:t>e</w:t>
      </w:r>
      <w:r w:rsidR="00D41C88">
        <w:rPr>
          <w:rFonts w:ascii="Times New Roman" w:hAnsi="Times New Roman"/>
          <w:sz w:val="24"/>
          <w:szCs w:val="24"/>
        </w:rPr>
        <w:tab/>
      </w:r>
      <w:r w:rsidR="00D41C88">
        <w:rPr>
          <w:rFonts w:ascii="Times New Roman" w:hAnsi="Times New Roman"/>
          <w:sz w:val="24"/>
          <w:szCs w:val="24"/>
        </w:rPr>
        <w:tab/>
      </w:r>
      <w:r w:rsidR="00D41C88">
        <w:rPr>
          <w:rFonts w:ascii="Times New Roman" w:hAnsi="Times New Roman"/>
          <w:sz w:val="24"/>
          <w:szCs w:val="24"/>
        </w:rPr>
        <w:tab/>
      </w:r>
      <w:r w:rsidR="00D41C88">
        <w:rPr>
          <w:rFonts w:ascii="Times New Roman" w:hAnsi="Times New Roman"/>
          <w:sz w:val="24"/>
          <w:szCs w:val="24"/>
        </w:rPr>
        <w:tab/>
      </w:r>
      <w:r w:rsidR="00D41C88">
        <w:rPr>
          <w:rFonts w:ascii="Times New Roman" w:hAnsi="Times New Roman"/>
          <w:sz w:val="24"/>
          <w:szCs w:val="24"/>
        </w:rPr>
        <w:tab/>
      </w:r>
      <w:r w:rsidR="00D41C88">
        <w:rPr>
          <w:rFonts w:ascii="Times New Roman" w:hAnsi="Times New Roman"/>
          <w:sz w:val="24"/>
          <w:szCs w:val="24"/>
        </w:rPr>
        <w:tab/>
      </w:r>
      <w:r w:rsidR="00D41C88">
        <w:rPr>
          <w:rFonts w:ascii="Times New Roman" w:hAnsi="Times New Roman"/>
          <w:sz w:val="24"/>
          <w:szCs w:val="24"/>
        </w:rPr>
        <w:tab/>
        <w:t>Līga Lejiņa</w:t>
      </w:r>
    </w:p>
    <w:p w:rsidR="00302C14" w:rsidRDefault="00302C14" w:rsidP="00302C14">
      <w:pPr>
        <w:spacing w:after="0" w:line="240" w:lineRule="auto"/>
        <w:jc w:val="both"/>
        <w:rPr>
          <w:rFonts w:ascii="Times New Roman" w:hAnsi="Times New Roman"/>
          <w:sz w:val="24"/>
          <w:szCs w:val="24"/>
        </w:rPr>
      </w:pPr>
    </w:p>
    <w:p w:rsidR="00302C14" w:rsidRPr="00126D0D" w:rsidRDefault="00302C14" w:rsidP="00302C14">
      <w:pPr>
        <w:spacing w:after="0" w:line="240" w:lineRule="auto"/>
        <w:jc w:val="both"/>
        <w:rPr>
          <w:rFonts w:ascii="Times New Roman" w:hAnsi="Times New Roman"/>
          <w:sz w:val="24"/>
          <w:szCs w:val="24"/>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300C3D" w:rsidRDefault="002647CD" w:rsidP="00602686">
      <w:pPr>
        <w:spacing w:after="0" w:line="240" w:lineRule="auto"/>
        <w:rPr>
          <w:rFonts w:ascii="Times New Roman" w:eastAsiaTheme="minorHAnsi" w:hAnsi="Times New Roman" w:cs="Helv"/>
          <w:noProof/>
          <w:sz w:val="20"/>
          <w:szCs w:val="20"/>
          <w:lang w:eastAsia="en-US"/>
        </w:rPr>
      </w:pPr>
      <w:hyperlink r:id="rId7" w:history="1">
        <w:r w:rsidR="00B531B8" w:rsidRPr="00CE7C1D">
          <w:rPr>
            <w:rStyle w:val="Hyperlink"/>
            <w:rFonts w:ascii="Times New Roman" w:eastAsiaTheme="minorHAnsi" w:hAnsi="Times New Roman" w:cs="Helv"/>
            <w:noProof/>
            <w:sz w:val="20"/>
            <w:szCs w:val="20"/>
            <w:lang w:eastAsia="en-US"/>
          </w:rPr>
          <w:t>Linda.Upite@izm.gov.lv</w:t>
        </w:r>
      </w:hyperlink>
    </w:p>
    <w:p w:rsidR="00B531B8" w:rsidRDefault="00B531B8" w:rsidP="00602686">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A.Depkovska, 67047772</w:t>
      </w:r>
    </w:p>
    <w:p w:rsidR="00B531B8" w:rsidRDefault="002647CD" w:rsidP="00602686">
      <w:pPr>
        <w:spacing w:after="0" w:line="240" w:lineRule="auto"/>
        <w:rPr>
          <w:rFonts w:ascii="Times New Roman" w:eastAsiaTheme="minorHAnsi" w:hAnsi="Times New Roman" w:cs="Helv"/>
          <w:noProof/>
          <w:sz w:val="20"/>
          <w:szCs w:val="20"/>
          <w:lang w:eastAsia="en-US"/>
        </w:rPr>
      </w:pPr>
      <w:hyperlink r:id="rId8" w:history="1">
        <w:r w:rsidR="00B531B8" w:rsidRPr="00CE7C1D">
          <w:rPr>
            <w:rStyle w:val="Hyperlink"/>
            <w:rFonts w:ascii="Times New Roman" w:eastAsiaTheme="minorHAnsi" w:hAnsi="Times New Roman" w:cs="Helv"/>
            <w:noProof/>
            <w:sz w:val="20"/>
            <w:szCs w:val="20"/>
            <w:lang w:eastAsia="en-US"/>
          </w:rPr>
          <w:t>Anita.depkovska@izm.gov.lv</w:t>
        </w:r>
      </w:hyperlink>
    </w:p>
    <w:p w:rsidR="00B531B8" w:rsidRPr="00602686" w:rsidRDefault="00B531B8" w:rsidP="00602686">
      <w:pPr>
        <w:spacing w:after="0" w:line="240" w:lineRule="auto"/>
        <w:rPr>
          <w:rFonts w:ascii="Times New Roman" w:hAnsi="Times New Roman"/>
          <w:sz w:val="24"/>
          <w:szCs w:val="24"/>
        </w:rPr>
      </w:pPr>
    </w:p>
    <w:sectPr w:rsidR="00B531B8" w:rsidRPr="00602686" w:rsidSect="00226CCE">
      <w:headerReference w:type="default" r:id="rId9"/>
      <w:footerReference w:type="default" r:id="rId10"/>
      <w:footerReference w:type="first" r:id="rId11"/>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7CD" w:rsidRDefault="002647CD" w:rsidP="00AC7447">
      <w:pPr>
        <w:spacing w:after="0" w:line="240" w:lineRule="auto"/>
      </w:pPr>
      <w:r>
        <w:separator/>
      </w:r>
    </w:p>
  </w:endnote>
  <w:endnote w:type="continuationSeparator" w:id="0">
    <w:p w:rsidR="002647CD" w:rsidRDefault="002647CD"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0D" w:rsidRPr="00C559AF" w:rsidRDefault="00D41C88" w:rsidP="00C559AF">
    <w:pPr>
      <w:pStyle w:val="Footer"/>
    </w:pPr>
    <w:r>
      <w:rPr>
        <w:rFonts w:ascii="Times New Roman" w:hAnsi="Times New Roman"/>
        <w:sz w:val="20"/>
        <w:szCs w:val="20"/>
      </w:rPr>
      <w:t>IZManot_0</w:t>
    </w:r>
    <w:r w:rsidR="006C3BE9">
      <w:rPr>
        <w:rFonts w:ascii="Times New Roman" w:hAnsi="Times New Roman"/>
        <w:sz w:val="20"/>
        <w:szCs w:val="20"/>
      </w:rPr>
      <w:t>9</w:t>
    </w:r>
    <w:r>
      <w:rPr>
        <w:rFonts w:ascii="Times New Roman" w:hAnsi="Times New Roman"/>
        <w:sz w:val="20"/>
        <w:szCs w:val="20"/>
      </w:rPr>
      <w:t>12</w:t>
    </w:r>
    <w:r w:rsidR="00B76C0D" w:rsidRPr="00C559AF">
      <w:rPr>
        <w:rFonts w:ascii="Times New Roman" w:hAnsi="Times New Roman"/>
        <w:sz w:val="20"/>
        <w:szCs w:val="20"/>
      </w:rPr>
      <w:t>18_SV_akred_not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0D" w:rsidRPr="00752704" w:rsidRDefault="00D41C88" w:rsidP="00AC7447">
    <w:pPr>
      <w:spacing w:after="0" w:line="240" w:lineRule="auto"/>
      <w:jc w:val="both"/>
      <w:rPr>
        <w:rFonts w:ascii="Times New Roman" w:hAnsi="Times New Roman"/>
        <w:sz w:val="20"/>
        <w:szCs w:val="20"/>
      </w:rPr>
    </w:pPr>
    <w:r>
      <w:rPr>
        <w:rFonts w:ascii="Times New Roman" w:hAnsi="Times New Roman"/>
        <w:sz w:val="20"/>
        <w:szCs w:val="20"/>
      </w:rPr>
      <w:t>IZManot_0</w:t>
    </w:r>
    <w:r w:rsidR="006C3BE9">
      <w:rPr>
        <w:rFonts w:ascii="Times New Roman" w:hAnsi="Times New Roman"/>
        <w:sz w:val="20"/>
        <w:szCs w:val="20"/>
      </w:rPr>
      <w:t>9</w:t>
    </w:r>
    <w:r>
      <w:rPr>
        <w:rFonts w:ascii="Times New Roman" w:hAnsi="Times New Roman"/>
        <w:sz w:val="20"/>
        <w:szCs w:val="20"/>
      </w:rPr>
      <w:t>12</w:t>
    </w:r>
    <w:r w:rsidR="00B76C0D">
      <w:rPr>
        <w:rFonts w:ascii="Times New Roman" w:hAnsi="Times New Roman"/>
        <w:sz w:val="20"/>
        <w:szCs w:val="20"/>
      </w:rPr>
      <w:t>18_SV_akred_not</w:t>
    </w:r>
  </w:p>
  <w:p w:rsidR="00B76C0D" w:rsidRPr="00752704" w:rsidRDefault="00B76C0D" w:rsidP="0022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7CD" w:rsidRDefault="002647CD" w:rsidP="00AC7447">
      <w:pPr>
        <w:spacing w:after="0" w:line="240" w:lineRule="auto"/>
      </w:pPr>
      <w:r>
        <w:separator/>
      </w:r>
    </w:p>
  </w:footnote>
  <w:footnote w:type="continuationSeparator" w:id="0">
    <w:p w:rsidR="002647CD" w:rsidRDefault="002647CD"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0D" w:rsidRDefault="00B76C0D">
    <w:pPr>
      <w:pStyle w:val="Header"/>
      <w:jc w:val="center"/>
    </w:pPr>
    <w:r>
      <w:fldChar w:fldCharType="begin"/>
    </w:r>
    <w:r>
      <w:instrText xml:space="preserve"> PAGE   \* MERGEFORMAT </w:instrText>
    </w:r>
    <w:r>
      <w:fldChar w:fldCharType="separate"/>
    </w:r>
    <w:r w:rsidR="005B01A5">
      <w:rPr>
        <w:noProof/>
      </w:rPr>
      <w:t>19</w:t>
    </w:r>
    <w:r>
      <w:rPr>
        <w:noProof/>
      </w:rPr>
      <w:fldChar w:fldCharType="end"/>
    </w:r>
  </w:p>
  <w:p w:rsidR="00B76C0D" w:rsidRDefault="00B76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30D6"/>
    <w:multiLevelType w:val="hybridMultilevel"/>
    <w:tmpl w:val="692AE1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020148D"/>
    <w:multiLevelType w:val="hybridMultilevel"/>
    <w:tmpl w:val="DA5EC52C"/>
    <w:lvl w:ilvl="0" w:tplc="4572B36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2107F"/>
    <w:rsid w:val="00033841"/>
    <w:rsid w:val="00040B03"/>
    <w:rsid w:val="0004354B"/>
    <w:rsid w:val="00044BB6"/>
    <w:rsid w:val="00050E71"/>
    <w:rsid w:val="0005316F"/>
    <w:rsid w:val="00057BC9"/>
    <w:rsid w:val="000A6CBE"/>
    <w:rsid w:val="000B2358"/>
    <w:rsid w:val="000C7111"/>
    <w:rsid w:val="000D28D4"/>
    <w:rsid w:val="000E484F"/>
    <w:rsid w:val="00107F94"/>
    <w:rsid w:val="00110C77"/>
    <w:rsid w:val="001260C0"/>
    <w:rsid w:val="00126D0D"/>
    <w:rsid w:val="001373A4"/>
    <w:rsid w:val="00144F3E"/>
    <w:rsid w:val="0014617C"/>
    <w:rsid w:val="00151F52"/>
    <w:rsid w:val="00167455"/>
    <w:rsid w:val="00167E30"/>
    <w:rsid w:val="00173F3D"/>
    <w:rsid w:val="00181BA2"/>
    <w:rsid w:val="00182613"/>
    <w:rsid w:val="00186ED9"/>
    <w:rsid w:val="0019520E"/>
    <w:rsid w:val="001A38F1"/>
    <w:rsid w:val="001D4350"/>
    <w:rsid w:val="001E02E4"/>
    <w:rsid w:val="001E037E"/>
    <w:rsid w:val="001E26B4"/>
    <w:rsid w:val="00200647"/>
    <w:rsid w:val="00211066"/>
    <w:rsid w:val="00217C32"/>
    <w:rsid w:val="00226CCE"/>
    <w:rsid w:val="0023244A"/>
    <w:rsid w:val="00235112"/>
    <w:rsid w:val="00237627"/>
    <w:rsid w:val="002408F1"/>
    <w:rsid w:val="00246E70"/>
    <w:rsid w:val="00250801"/>
    <w:rsid w:val="00251A05"/>
    <w:rsid w:val="00251E4A"/>
    <w:rsid w:val="002647CD"/>
    <w:rsid w:val="002729AD"/>
    <w:rsid w:val="002A20B5"/>
    <w:rsid w:val="002B29C8"/>
    <w:rsid w:val="002B7A3E"/>
    <w:rsid w:val="002D2015"/>
    <w:rsid w:val="002D3B1A"/>
    <w:rsid w:val="002E77F2"/>
    <w:rsid w:val="002F5690"/>
    <w:rsid w:val="002F6908"/>
    <w:rsid w:val="00300C3D"/>
    <w:rsid w:val="00302C14"/>
    <w:rsid w:val="00330611"/>
    <w:rsid w:val="00340FCC"/>
    <w:rsid w:val="00343BFE"/>
    <w:rsid w:val="00360C46"/>
    <w:rsid w:val="003662B7"/>
    <w:rsid w:val="00372BDC"/>
    <w:rsid w:val="0038252B"/>
    <w:rsid w:val="003864BD"/>
    <w:rsid w:val="003940EE"/>
    <w:rsid w:val="00395291"/>
    <w:rsid w:val="003B7BE7"/>
    <w:rsid w:val="003C6682"/>
    <w:rsid w:val="003D2F02"/>
    <w:rsid w:val="003D401B"/>
    <w:rsid w:val="003E57B8"/>
    <w:rsid w:val="003E7548"/>
    <w:rsid w:val="00403145"/>
    <w:rsid w:val="00405535"/>
    <w:rsid w:val="00406ED2"/>
    <w:rsid w:val="00411578"/>
    <w:rsid w:val="00425142"/>
    <w:rsid w:val="00450F5C"/>
    <w:rsid w:val="00455F49"/>
    <w:rsid w:val="00461B39"/>
    <w:rsid w:val="00464FA5"/>
    <w:rsid w:val="00471E59"/>
    <w:rsid w:val="00482AF1"/>
    <w:rsid w:val="00485D6F"/>
    <w:rsid w:val="004901E1"/>
    <w:rsid w:val="004C2E89"/>
    <w:rsid w:val="004C33B0"/>
    <w:rsid w:val="004D3C0B"/>
    <w:rsid w:val="004D52B7"/>
    <w:rsid w:val="004E40CD"/>
    <w:rsid w:val="004E799C"/>
    <w:rsid w:val="004F2888"/>
    <w:rsid w:val="004F3A26"/>
    <w:rsid w:val="005038EA"/>
    <w:rsid w:val="005064A2"/>
    <w:rsid w:val="005163E8"/>
    <w:rsid w:val="00520A34"/>
    <w:rsid w:val="005216CB"/>
    <w:rsid w:val="0053343C"/>
    <w:rsid w:val="005359EA"/>
    <w:rsid w:val="00546967"/>
    <w:rsid w:val="00561DA5"/>
    <w:rsid w:val="00572E54"/>
    <w:rsid w:val="00574ACC"/>
    <w:rsid w:val="00596F0B"/>
    <w:rsid w:val="005B01A5"/>
    <w:rsid w:val="005B1B86"/>
    <w:rsid w:val="005D19EB"/>
    <w:rsid w:val="005D2AE0"/>
    <w:rsid w:val="005D4608"/>
    <w:rsid w:val="005E28CD"/>
    <w:rsid w:val="005E3C98"/>
    <w:rsid w:val="00602686"/>
    <w:rsid w:val="00606E6F"/>
    <w:rsid w:val="00607BC0"/>
    <w:rsid w:val="00622039"/>
    <w:rsid w:val="006319DD"/>
    <w:rsid w:val="00635C1C"/>
    <w:rsid w:val="00651AE3"/>
    <w:rsid w:val="00660FDF"/>
    <w:rsid w:val="00661EAE"/>
    <w:rsid w:val="00666D98"/>
    <w:rsid w:val="00673510"/>
    <w:rsid w:val="006874BF"/>
    <w:rsid w:val="00691643"/>
    <w:rsid w:val="00693B09"/>
    <w:rsid w:val="006A456B"/>
    <w:rsid w:val="006B4D29"/>
    <w:rsid w:val="006C16E4"/>
    <w:rsid w:val="006C3BE9"/>
    <w:rsid w:val="006D2347"/>
    <w:rsid w:val="006D6C8F"/>
    <w:rsid w:val="006F37E4"/>
    <w:rsid w:val="006F5435"/>
    <w:rsid w:val="006F778E"/>
    <w:rsid w:val="00703D28"/>
    <w:rsid w:val="00711EBE"/>
    <w:rsid w:val="00722433"/>
    <w:rsid w:val="00733712"/>
    <w:rsid w:val="007514F4"/>
    <w:rsid w:val="007714FF"/>
    <w:rsid w:val="00772EF7"/>
    <w:rsid w:val="00776D77"/>
    <w:rsid w:val="00790579"/>
    <w:rsid w:val="007934E2"/>
    <w:rsid w:val="007A5643"/>
    <w:rsid w:val="007B2DBE"/>
    <w:rsid w:val="007D5D46"/>
    <w:rsid w:val="007E1AD0"/>
    <w:rsid w:val="007E61DF"/>
    <w:rsid w:val="00800D0E"/>
    <w:rsid w:val="00813618"/>
    <w:rsid w:val="008217FF"/>
    <w:rsid w:val="0082336A"/>
    <w:rsid w:val="00840272"/>
    <w:rsid w:val="00845CDA"/>
    <w:rsid w:val="0085317A"/>
    <w:rsid w:val="0085447D"/>
    <w:rsid w:val="00861C9E"/>
    <w:rsid w:val="00871412"/>
    <w:rsid w:val="008733C0"/>
    <w:rsid w:val="008737C4"/>
    <w:rsid w:val="008762C8"/>
    <w:rsid w:val="008936D5"/>
    <w:rsid w:val="008A1744"/>
    <w:rsid w:val="008A7A26"/>
    <w:rsid w:val="008B078E"/>
    <w:rsid w:val="008D0F2E"/>
    <w:rsid w:val="008E12E5"/>
    <w:rsid w:val="008E5043"/>
    <w:rsid w:val="00907912"/>
    <w:rsid w:val="009431EA"/>
    <w:rsid w:val="009466F6"/>
    <w:rsid w:val="00952FFF"/>
    <w:rsid w:val="00962714"/>
    <w:rsid w:val="009651F3"/>
    <w:rsid w:val="009748B8"/>
    <w:rsid w:val="00976E22"/>
    <w:rsid w:val="00991F4B"/>
    <w:rsid w:val="00995F6B"/>
    <w:rsid w:val="009C2CB4"/>
    <w:rsid w:val="009D2E00"/>
    <w:rsid w:val="009D3435"/>
    <w:rsid w:val="009D7CD3"/>
    <w:rsid w:val="009E3F85"/>
    <w:rsid w:val="009F1F35"/>
    <w:rsid w:val="009F354E"/>
    <w:rsid w:val="009F4780"/>
    <w:rsid w:val="00A07D37"/>
    <w:rsid w:val="00A13214"/>
    <w:rsid w:val="00A34D52"/>
    <w:rsid w:val="00A35A02"/>
    <w:rsid w:val="00A52851"/>
    <w:rsid w:val="00A56450"/>
    <w:rsid w:val="00A63E89"/>
    <w:rsid w:val="00A673F4"/>
    <w:rsid w:val="00A7477B"/>
    <w:rsid w:val="00A84332"/>
    <w:rsid w:val="00A86664"/>
    <w:rsid w:val="00A90E2C"/>
    <w:rsid w:val="00A93F5A"/>
    <w:rsid w:val="00AA19EA"/>
    <w:rsid w:val="00AA32F4"/>
    <w:rsid w:val="00AB4928"/>
    <w:rsid w:val="00AC296F"/>
    <w:rsid w:val="00AC59E3"/>
    <w:rsid w:val="00AC7447"/>
    <w:rsid w:val="00AD1295"/>
    <w:rsid w:val="00AE24A7"/>
    <w:rsid w:val="00AF08F3"/>
    <w:rsid w:val="00AF4927"/>
    <w:rsid w:val="00B0035C"/>
    <w:rsid w:val="00B06940"/>
    <w:rsid w:val="00B074B6"/>
    <w:rsid w:val="00B12765"/>
    <w:rsid w:val="00B14F1C"/>
    <w:rsid w:val="00B26F11"/>
    <w:rsid w:val="00B4455F"/>
    <w:rsid w:val="00B531B8"/>
    <w:rsid w:val="00B53DA3"/>
    <w:rsid w:val="00B624B9"/>
    <w:rsid w:val="00B648F5"/>
    <w:rsid w:val="00B66088"/>
    <w:rsid w:val="00B7086B"/>
    <w:rsid w:val="00B76C0D"/>
    <w:rsid w:val="00B84F24"/>
    <w:rsid w:val="00B85029"/>
    <w:rsid w:val="00B96FA3"/>
    <w:rsid w:val="00BA5E48"/>
    <w:rsid w:val="00BB6664"/>
    <w:rsid w:val="00BB6FF7"/>
    <w:rsid w:val="00BD47D4"/>
    <w:rsid w:val="00BD7507"/>
    <w:rsid w:val="00BD7CB9"/>
    <w:rsid w:val="00BE0E04"/>
    <w:rsid w:val="00BF2BE6"/>
    <w:rsid w:val="00C04F3C"/>
    <w:rsid w:val="00C058B9"/>
    <w:rsid w:val="00C076D0"/>
    <w:rsid w:val="00C2688A"/>
    <w:rsid w:val="00C37485"/>
    <w:rsid w:val="00C40760"/>
    <w:rsid w:val="00C40ED2"/>
    <w:rsid w:val="00C50D69"/>
    <w:rsid w:val="00C559AF"/>
    <w:rsid w:val="00C63D80"/>
    <w:rsid w:val="00C708A7"/>
    <w:rsid w:val="00C72F66"/>
    <w:rsid w:val="00C7544D"/>
    <w:rsid w:val="00C75629"/>
    <w:rsid w:val="00C75B9A"/>
    <w:rsid w:val="00C76C15"/>
    <w:rsid w:val="00C77441"/>
    <w:rsid w:val="00C8322E"/>
    <w:rsid w:val="00C8325D"/>
    <w:rsid w:val="00C83D8C"/>
    <w:rsid w:val="00C928F4"/>
    <w:rsid w:val="00CA5457"/>
    <w:rsid w:val="00CA7287"/>
    <w:rsid w:val="00CB3D80"/>
    <w:rsid w:val="00CB521A"/>
    <w:rsid w:val="00CD3BA9"/>
    <w:rsid w:val="00CD4E03"/>
    <w:rsid w:val="00CE15C7"/>
    <w:rsid w:val="00CE6B7E"/>
    <w:rsid w:val="00CF4535"/>
    <w:rsid w:val="00CF531B"/>
    <w:rsid w:val="00CF5549"/>
    <w:rsid w:val="00D0528E"/>
    <w:rsid w:val="00D12779"/>
    <w:rsid w:val="00D22AEB"/>
    <w:rsid w:val="00D40005"/>
    <w:rsid w:val="00D41C88"/>
    <w:rsid w:val="00D4501C"/>
    <w:rsid w:val="00D45E27"/>
    <w:rsid w:val="00D528A9"/>
    <w:rsid w:val="00D56FB4"/>
    <w:rsid w:val="00D57023"/>
    <w:rsid w:val="00D6569F"/>
    <w:rsid w:val="00D7249C"/>
    <w:rsid w:val="00D928E3"/>
    <w:rsid w:val="00D9761E"/>
    <w:rsid w:val="00DA4465"/>
    <w:rsid w:val="00DA7418"/>
    <w:rsid w:val="00DB29ED"/>
    <w:rsid w:val="00DC205C"/>
    <w:rsid w:val="00DD47D7"/>
    <w:rsid w:val="00DD4D99"/>
    <w:rsid w:val="00DF3555"/>
    <w:rsid w:val="00DF4691"/>
    <w:rsid w:val="00DF7300"/>
    <w:rsid w:val="00E0174A"/>
    <w:rsid w:val="00E05821"/>
    <w:rsid w:val="00E21E76"/>
    <w:rsid w:val="00E303B2"/>
    <w:rsid w:val="00E339A1"/>
    <w:rsid w:val="00E3436C"/>
    <w:rsid w:val="00E42D74"/>
    <w:rsid w:val="00E46489"/>
    <w:rsid w:val="00E47C03"/>
    <w:rsid w:val="00E53F8A"/>
    <w:rsid w:val="00E616C2"/>
    <w:rsid w:val="00E75762"/>
    <w:rsid w:val="00E859AE"/>
    <w:rsid w:val="00E91D9F"/>
    <w:rsid w:val="00EA0B88"/>
    <w:rsid w:val="00EA768E"/>
    <w:rsid w:val="00EB1F59"/>
    <w:rsid w:val="00EC55BB"/>
    <w:rsid w:val="00ED1176"/>
    <w:rsid w:val="00ED555F"/>
    <w:rsid w:val="00ED73F4"/>
    <w:rsid w:val="00EE2ACF"/>
    <w:rsid w:val="00EF2BF0"/>
    <w:rsid w:val="00EF2D6D"/>
    <w:rsid w:val="00EF34D1"/>
    <w:rsid w:val="00EF3987"/>
    <w:rsid w:val="00EF5B35"/>
    <w:rsid w:val="00F038E9"/>
    <w:rsid w:val="00F12326"/>
    <w:rsid w:val="00F20402"/>
    <w:rsid w:val="00F261EC"/>
    <w:rsid w:val="00F30BC5"/>
    <w:rsid w:val="00F32DAF"/>
    <w:rsid w:val="00F377D6"/>
    <w:rsid w:val="00F4020C"/>
    <w:rsid w:val="00F616C0"/>
    <w:rsid w:val="00F7437A"/>
    <w:rsid w:val="00F8021B"/>
    <w:rsid w:val="00F82037"/>
    <w:rsid w:val="00F97DD1"/>
    <w:rsid w:val="00FB1489"/>
    <w:rsid w:val="00FB554E"/>
    <w:rsid w:val="00FC25A4"/>
    <w:rsid w:val="00FD1514"/>
    <w:rsid w:val="00FD2679"/>
    <w:rsid w:val="00FE05DE"/>
    <w:rsid w:val="00FE3972"/>
    <w:rsid w:val="00FF475E"/>
    <w:rsid w:val="00FF7E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4CD098-4F54-4C43-AF2F-578AF7C6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A9"/>
    <w:rPr>
      <w:rFonts w:ascii="Segoe UI" w:eastAsia="Times New Roman" w:hAnsi="Segoe UI" w:cs="Segoe UI"/>
      <w:sz w:val="18"/>
      <w:szCs w:val="18"/>
      <w:lang w:eastAsia="lv-LV"/>
    </w:rPr>
  </w:style>
  <w:style w:type="paragraph" w:customStyle="1" w:styleId="naisc">
    <w:name w:val="naisc"/>
    <w:basedOn w:val="Normal"/>
    <w:rsid w:val="00B84F24"/>
    <w:pPr>
      <w:spacing w:before="75" w:after="75" w:line="240" w:lineRule="auto"/>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depkovska@i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Upite@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31887</Words>
  <Characters>18176</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Upīte</dc:creator>
  <cp:lastModifiedBy>Anita Depkovska</cp:lastModifiedBy>
  <cp:revision>3</cp:revision>
  <dcterms:created xsi:type="dcterms:W3CDTF">2018-12-11T12:58:00Z</dcterms:created>
  <dcterms:modified xsi:type="dcterms:W3CDTF">2018-12-12T13:51:00Z</dcterms:modified>
</cp:coreProperties>
</file>