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2235" w14:textId="10B08BD4" w:rsidR="00BD5588" w:rsidRPr="000A1F8C" w:rsidRDefault="00E56C0F" w:rsidP="00E56C0F">
      <w:pPr>
        <w:pStyle w:val="Title"/>
        <w:spacing w:before="130" w:line="260" w:lineRule="exact"/>
        <w:ind w:firstLine="539"/>
        <w:rPr>
          <w:b/>
          <w:bCs/>
          <w:sz w:val="24"/>
          <w:szCs w:val="24"/>
          <w:lang w:eastAsia="lv-LV"/>
        </w:rPr>
      </w:pPr>
      <w:r w:rsidRPr="000A1F8C">
        <w:rPr>
          <w:b/>
          <w:bCs/>
          <w:sz w:val="24"/>
          <w:szCs w:val="24"/>
          <w:lang w:eastAsia="lv-LV"/>
        </w:rPr>
        <w:t>Ministru kabineta rīkojuma projekta</w:t>
      </w:r>
      <w:r w:rsidR="002925BA" w:rsidRPr="000A1F8C">
        <w:rPr>
          <w:b/>
          <w:bCs/>
          <w:sz w:val="24"/>
          <w:szCs w:val="24"/>
          <w:lang w:eastAsia="lv-LV"/>
        </w:rPr>
        <w:t xml:space="preserve"> </w:t>
      </w:r>
      <w:r w:rsidRPr="000A1F8C">
        <w:rPr>
          <w:b/>
          <w:bCs/>
          <w:sz w:val="24"/>
          <w:szCs w:val="24"/>
          <w:lang w:eastAsia="lv-LV"/>
        </w:rPr>
        <w:t>“</w:t>
      </w:r>
      <w:r w:rsidR="00505862" w:rsidRPr="000A1F8C">
        <w:rPr>
          <w:b/>
          <w:bCs/>
          <w:sz w:val="24"/>
          <w:szCs w:val="24"/>
          <w:lang w:eastAsia="lv-LV"/>
        </w:rPr>
        <w:t>Grozījumi Darbības programmā pārtikas un pamata materiālās palīdzības sniegšanai vistrūcīgākajām personām 2014.–2020. gada plānošanas periodā</w:t>
      </w:r>
      <w:r w:rsidRPr="000A1F8C">
        <w:rPr>
          <w:b/>
          <w:bCs/>
          <w:sz w:val="24"/>
          <w:szCs w:val="24"/>
          <w:lang w:eastAsia="lv-LV"/>
        </w:rPr>
        <w:t>” sākotnējās ietekmes novērtējuma ziņojums (anotācija)</w:t>
      </w:r>
    </w:p>
    <w:p w14:paraId="2C75337B" w14:textId="77777777" w:rsidR="00E56C0F" w:rsidRPr="000A1F8C" w:rsidRDefault="00E56C0F" w:rsidP="00E56C0F">
      <w:pPr>
        <w:pStyle w:val="Title"/>
        <w:spacing w:before="130" w:line="260" w:lineRule="exact"/>
        <w:ind w:firstLine="539"/>
        <w:rPr>
          <w:sz w:val="24"/>
          <w:szCs w:val="24"/>
        </w:rPr>
      </w:pPr>
    </w:p>
    <w:tbl>
      <w:tblPr>
        <w:tblW w:w="52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14"/>
        <w:gridCol w:w="8"/>
        <w:gridCol w:w="2434"/>
        <w:gridCol w:w="18"/>
        <w:gridCol w:w="5768"/>
      </w:tblGrid>
      <w:tr w:rsidR="00BD5588" w:rsidRPr="000A1F8C" w14:paraId="13E8CFBA" w14:textId="77777777" w:rsidTr="00DB5C32">
        <w:trPr>
          <w:cantSplit/>
        </w:trPr>
        <w:tc>
          <w:tcPr>
            <w:tcW w:w="8742" w:type="dxa"/>
            <w:gridSpan w:val="5"/>
            <w:shd w:val="clear" w:color="auto" w:fill="FFFFFF"/>
            <w:vAlign w:val="center"/>
            <w:hideMark/>
          </w:tcPr>
          <w:p w14:paraId="2744C290" w14:textId="77777777" w:rsidR="00BD5588" w:rsidRPr="000A1F8C" w:rsidRDefault="00BD5588" w:rsidP="009E0502">
            <w:pPr>
              <w:jc w:val="center"/>
              <w:rPr>
                <w:b/>
                <w:iCs/>
                <w:lang w:eastAsia="en-US"/>
              </w:rPr>
            </w:pPr>
            <w:r w:rsidRPr="000A1F8C">
              <w:rPr>
                <w:b/>
                <w:iCs/>
                <w:lang w:eastAsia="en-US"/>
              </w:rPr>
              <w:t>Tiesību akta projekta anotācijas kopsavilkums</w:t>
            </w:r>
          </w:p>
        </w:tc>
      </w:tr>
      <w:tr w:rsidR="00BD5588" w:rsidRPr="000A1F8C" w14:paraId="280F1A43" w14:textId="77777777" w:rsidTr="00DB5C32">
        <w:trPr>
          <w:cantSplit/>
          <w:trHeight w:val="42"/>
        </w:trPr>
        <w:tc>
          <w:tcPr>
            <w:tcW w:w="2974" w:type="dxa"/>
            <w:gridSpan w:val="4"/>
            <w:shd w:val="clear" w:color="auto" w:fill="auto"/>
            <w:hideMark/>
          </w:tcPr>
          <w:p w14:paraId="6575DC00" w14:textId="77777777" w:rsidR="00BD5588" w:rsidRPr="000A1F8C" w:rsidRDefault="00BD5588" w:rsidP="009E0502">
            <w:pPr>
              <w:rPr>
                <w:iCs/>
                <w:lang w:eastAsia="en-US"/>
              </w:rPr>
            </w:pPr>
            <w:r w:rsidRPr="000A1F8C">
              <w:rPr>
                <w:iCs/>
                <w:lang w:eastAsia="en-US"/>
              </w:rPr>
              <w:t>Mērķis, risinājums un projekta spēkā stāšanās laiks (500 zīmes bez atstarpēm)</w:t>
            </w:r>
          </w:p>
        </w:tc>
        <w:tc>
          <w:tcPr>
            <w:tcW w:w="5768" w:type="dxa"/>
            <w:shd w:val="clear" w:color="auto" w:fill="auto"/>
            <w:hideMark/>
          </w:tcPr>
          <w:p w14:paraId="487F297E" w14:textId="77777777" w:rsidR="0008133F" w:rsidRDefault="004F6C30" w:rsidP="00E8634B">
            <w:pPr>
              <w:spacing w:line="276" w:lineRule="auto"/>
              <w:ind w:left="110" w:right="212"/>
              <w:jc w:val="both"/>
              <w:rPr>
                <w:bCs/>
              </w:rPr>
            </w:pPr>
            <w:r w:rsidRPr="000A1F8C">
              <w:rPr>
                <w:bCs/>
              </w:rPr>
              <w:t xml:space="preserve">Ministru kabineta rīkojuma projekta “Grozījumi Darbības programmā pārtikas un pamata materiālās palīdzības sniegšanai vistrūcīgākajām personām 2014.–2020. gada plānošanas periodā” (turpmāk – Rīkojuma projekts) </w:t>
            </w:r>
            <w:r w:rsidRPr="0008133F">
              <w:rPr>
                <w:b/>
                <w:bCs/>
              </w:rPr>
              <w:t>mērķis</w:t>
            </w:r>
            <w:r w:rsidRPr="000A1F8C">
              <w:rPr>
                <w:bCs/>
              </w:rPr>
              <w:t xml:space="preserve"> ir </w:t>
            </w:r>
            <w:r w:rsidR="00427EF6" w:rsidRPr="000A1F8C">
              <w:rPr>
                <w:bCs/>
              </w:rPr>
              <w:t>precizēt</w:t>
            </w:r>
            <w:r w:rsidRPr="000A1F8C">
              <w:rPr>
                <w:bCs/>
              </w:rPr>
              <w:t xml:space="preserve"> </w:t>
            </w:r>
            <w:r w:rsidR="00E8634B" w:rsidRPr="000A1F8C">
              <w:rPr>
                <w:bCs/>
              </w:rPr>
              <w:t>Darbības programmu pārtikas un pamata materiālās palīdzības sniegšanai vistrūcīgākajām personām 2014.–2020. gada plānošanas periodā (turpmāk - d</w:t>
            </w:r>
            <w:r w:rsidRPr="000A1F8C">
              <w:rPr>
                <w:bCs/>
              </w:rPr>
              <w:t>arbības programm</w:t>
            </w:r>
            <w:r w:rsidR="00E8634B" w:rsidRPr="000A1F8C">
              <w:rPr>
                <w:bCs/>
              </w:rPr>
              <w:t>a)</w:t>
            </w:r>
            <w:r w:rsidR="0008133F">
              <w:rPr>
                <w:bCs/>
              </w:rPr>
              <w:t>.</w:t>
            </w:r>
          </w:p>
          <w:p w14:paraId="3FA0349E" w14:textId="28160B8B" w:rsidR="00BD5588" w:rsidRDefault="0008133F" w:rsidP="00E8634B">
            <w:pPr>
              <w:spacing w:line="276" w:lineRule="auto"/>
              <w:ind w:left="110" w:right="212"/>
              <w:jc w:val="both"/>
              <w:rPr>
                <w:bCs/>
              </w:rPr>
            </w:pPr>
            <w:r w:rsidRPr="0008133F">
              <w:rPr>
                <w:b/>
                <w:bCs/>
              </w:rPr>
              <w:t>Risinājums:</w:t>
            </w:r>
            <w:r w:rsidR="004F6C30" w:rsidRPr="000A1F8C">
              <w:rPr>
                <w:bCs/>
              </w:rPr>
              <w:t xml:space="preserve"> paredz</w:t>
            </w:r>
            <w:r>
              <w:rPr>
                <w:bCs/>
              </w:rPr>
              <w:t>ē</w:t>
            </w:r>
            <w:r w:rsidR="004F6C30" w:rsidRPr="000A1F8C">
              <w:rPr>
                <w:bCs/>
              </w:rPr>
              <w:t xml:space="preserve">t iespēju </w:t>
            </w:r>
            <w:r w:rsidR="00427EF6" w:rsidRPr="000A1F8C">
              <w:rPr>
                <w:bCs/>
              </w:rPr>
              <w:t xml:space="preserve">visām pilngadīgajām personām saņemt ne tikai Eiropas Atbalsta fonda vistrūcīgākajām personām (turpmāk – </w:t>
            </w:r>
            <w:r w:rsidR="00D11464" w:rsidRPr="000A1F8C">
              <w:rPr>
                <w:bCs/>
              </w:rPr>
              <w:t>Fonds</w:t>
            </w:r>
            <w:r w:rsidR="00427EF6" w:rsidRPr="000A1F8C">
              <w:rPr>
                <w:bCs/>
              </w:rPr>
              <w:t xml:space="preserve">) līdzfinansēto pārtikas, bet arī </w:t>
            </w:r>
            <w:r w:rsidR="004F6C30" w:rsidRPr="000A1F8C">
              <w:rPr>
                <w:bCs/>
              </w:rPr>
              <w:t>pamata materiālo palīdzību</w:t>
            </w:r>
            <w:r w:rsidR="00427EF6" w:rsidRPr="000A1F8C">
              <w:rPr>
                <w:bCs/>
              </w:rPr>
              <w:t>.</w:t>
            </w:r>
          </w:p>
          <w:p w14:paraId="7585C623" w14:textId="51769D14" w:rsidR="0008133F" w:rsidRPr="000A1F8C" w:rsidRDefault="0008133F" w:rsidP="00E8634B">
            <w:pPr>
              <w:spacing w:line="276" w:lineRule="auto"/>
              <w:ind w:left="110" w:right="212"/>
              <w:jc w:val="both"/>
              <w:rPr>
                <w:i/>
                <w:iCs/>
                <w:lang w:eastAsia="en-US"/>
              </w:rPr>
            </w:pPr>
            <w:r>
              <w:rPr>
                <w:bCs/>
              </w:rPr>
              <w:t xml:space="preserve">Prognozētais Rīkojuma projekta </w:t>
            </w:r>
            <w:r w:rsidRPr="0008133F">
              <w:rPr>
                <w:b/>
                <w:bCs/>
              </w:rPr>
              <w:t>spēkā stāšanās laiks</w:t>
            </w:r>
            <w:r>
              <w:rPr>
                <w:bCs/>
              </w:rPr>
              <w:t xml:space="preserve"> ir 2019.gada janvāris.</w:t>
            </w:r>
          </w:p>
        </w:tc>
      </w:tr>
      <w:tr w:rsidR="00BD5588" w:rsidRPr="000A1F8C" w14:paraId="2A94857C" w14:textId="77777777" w:rsidTr="00DB5C32">
        <w:tblPrEx>
          <w:shd w:val="clear" w:color="auto" w:fill="auto"/>
          <w:tblCellMar>
            <w:top w:w="30" w:type="dxa"/>
            <w:left w:w="30" w:type="dxa"/>
            <w:bottom w:w="30" w:type="dxa"/>
            <w:right w:w="30" w:type="dxa"/>
          </w:tblCellMar>
        </w:tblPrEx>
        <w:tc>
          <w:tcPr>
            <w:tcW w:w="8742" w:type="dxa"/>
            <w:gridSpan w:val="5"/>
            <w:vAlign w:val="center"/>
            <w:hideMark/>
          </w:tcPr>
          <w:p w14:paraId="256C9E3A" w14:textId="38241350" w:rsidR="00BD5588" w:rsidRPr="000A1F8C" w:rsidRDefault="00BD5588" w:rsidP="00163248">
            <w:pPr>
              <w:jc w:val="center"/>
              <w:rPr>
                <w:b/>
                <w:bCs/>
              </w:rPr>
            </w:pPr>
            <w:r w:rsidRPr="000A1F8C">
              <w:rPr>
                <w:b/>
                <w:bCs/>
              </w:rPr>
              <w:t>I. Tiesību akta projekta izstrādes nepieciešamība</w:t>
            </w:r>
          </w:p>
        </w:tc>
      </w:tr>
      <w:tr w:rsidR="00BD5588" w:rsidRPr="000A1F8C" w14:paraId="5E08886C" w14:textId="77777777" w:rsidTr="00DB5C32">
        <w:tblPrEx>
          <w:shd w:val="clear" w:color="auto" w:fill="auto"/>
          <w:tblCellMar>
            <w:top w:w="30" w:type="dxa"/>
            <w:left w:w="30" w:type="dxa"/>
            <w:bottom w:w="30" w:type="dxa"/>
            <w:right w:w="30" w:type="dxa"/>
          </w:tblCellMar>
        </w:tblPrEx>
        <w:tc>
          <w:tcPr>
            <w:tcW w:w="514" w:type="dxa"/>
            <w:hideMark/>
          </w:tcPr>
          <w:p w14:paraId="1ED1AD15" w14:textId="77777777" w:rsidR="00BD5588" w:rsidRPr="000A1F8C" w:rsidRDefault="00BD5588" w:rsidP="009E0502">
            <w:pPr>
              <w:jc w:val="center"/>
            </w:pPr>
            <w:r w:rsidRPr="000A1F8C">
              <w:t>1.</w:t>
            </w:r>
          </w:p>
        </w:tc>
        <w:tc>
          <w:tcPr>
            <w:tcW w:w="2442" w:type="dxa"/>
            <w:gridSpan w:val="2"/>
            <w:hideMark/>
          </w:tcPr>
          <w:p w14:paraId="6CE9B998" w14:textId="589AC483" w:rsidR="00517EBA" w:rsidRPr="000A1F8C" w:rsidRDefault="00BD5588" w:rsidP="009E0502">
            <w:r w:rsidRPr="000A1F8C">
              <w:t>Pamatojums</w:t>
            </w:r>
          </w:p>
          <w:p w14:paraId="324E811C" w14:textId="08BBD90E" w:rsidR="00BD5588" w:rsidRPr="000A1F8C" w:rsidRDefault="00BD5588" w:rsidP="00163248"/>
        </w:tc>
        <w:tc>
          <w:tcPr>
            <w:tcW w:w="5786" w:type="dxa"/>
            <w:gridSpan w:val="2"/>
            <w:hideMark/>
          </w:tcPr>
          <w:p w14:paraId="5D81FA8C" w14:textId="4E27475E" w:rsidR="00BD5588" w:rsidRPr="000A1F8C" w:rsidRDefault="00D11464" w:rsidP="000B59FF">
            <w:pPr>
              <w:spacing w:line="276" w:lineRule="auto"/>
              <w:ind w:left="110" w:right="212"/>
              <w:jc w:val="both"/>
              <w:rPr>
                <w:bCs/>
              </w:rPr>
            </w:pPr>
            <w:r w:rsidRPr="000A1F8C">
              <w:rPr>
                <w:bCs/>
              </w:rPr>
              <w:t>Darbības programma</w:t>
            </w:r>
            <w:r w:rsidR="00427EF6" w:rsidRPr="000A1F8C">
              <w:rPr>
                <w:bCs/>
              </w:rPr>
              <w:t xml:space="preserve"> </w:t>
            </w:r>
            <w:r w:rsidR="00E56C0F" w:rsidRPr="000A1F8C">
              <w:rPr>
                <w:bCs/>
              </w:rPr>
              <w:t xml:space="preserve">ir apstiprināta ar </w:t>
            </w:r>
            <w:r w:rsidR="00427EF6" w:rsidRPr="000A1F8C">
              <w:rPr>
                <w:bCs/>
              </w:rPr>
              <w:t>Ministru kabineta 2014. gada 3. septembra Rīkojumu Nr. 475 un 2014. gada 30. oktobrī ar Eiropas Komisijas īstenošanas lēmumu C(2014)8214final.</w:t>
            </w:r>
          </w:p>
          <w:p w14:paraId="01E29AAA" w14:textId="77777777" w:rsidR="000F2CBB" w:rsidRPr="000A1F8C" w:rsidRDefault="000F2CBB" w:rsidP="00DB5C32">
            <w:pPr>
              <w:spacing w:before="60" w:line="276" w:lineRule="auto"/>
              <w:ind w:left="108" w:right="210"/>
              <w:jc w:val="both"/>
              <w:rPr>
                <w:bCs/>
              </w:rPr>
            </w:pPr>
            <w:r w:rsidRPr="000A1F8C">
              <w:rPr>
                <w:bCs/>
              </w:rPr>
              <w:t xml:space="preserve">Darbības programma izstrādāta saskaņā ar </w:t>
            </w:r>
            <w:r w:rsidR="00427EF6" w:rsidRPr="000A1F8C">
              <w:rPr>
                <w:bCs/>
              </w:rPr>
              <w:t>Eiropas Parlamenta un Padomes Regulu (ES) Nr. 223/2014 (2014. gada 11. marts) par Eiropas atbalsta fondu vistrūcīgākajām personām</w:t>
            </w:r>
            <w:r w:rsidR="003B38BC" w:rsidRPr="000A1F8C">
              <w:rPr>
                <w:bCs/>
              </w:rPr>
              <w:t xml:space="preserve"> (turpmāk – Regula) </w:t>
            </w:r>
            <w:r w:rsidRPr="000A1F8C">
              <w:rPr>
                <w:bCs/>
              </w:rPr>
              <w:t xml:space="preserve">un saskaņā ar Regulas </w:t>
            </w:r>
            <w:r w:rsidR="003B38BC" w:rsidRPr="000A1F8C">
              <w:rPr>
                <w:bCs/>
              </w:rPr>
              <w:t>9. panta 1. daļu</w:t>
            </w:r>
            <w:r w:rsidRPr="000A1F8C">
              <w:rPr>
                <w:bCs/>
              </w:rPr>
              <w:t xml:space="preserve"> dalībvalstij ir ties</w:t>
            </w:r>
            <w:r w:rsidR="00862131" w:rsidRPr="000A1F8C">
              <w:rPr>
                <w:bCs/>
              </w:rPr>
              <w:t xml:space="preserve">ības </w:t>
            </w:r>
            <w:r w:rsidR="003B38BC" w:rsidRPr="000A1F8C">
              <w:rPr>
                <w:bCs/>
              </w:rPr>
              <w:t>iesniegt Eiropas Komisijai</w:t>
            </w:r>
            <w:r w:rsidR="003B38BC" w:rsidRPr="000A1F8C">
              <w:rPr>
                <w:bCs/>
              </w:rPr>
              <w:br/>
              <w:t>(turpmāk – EK) pieprasījumu grozīt darbības programmu.</w:t>
            </w:r>
            <w:r w:rsidRPr="000A1F8C">
              <w:rPr>
                <w:bCs/>
              </w:rPr>
              <w:t xml:space="preserve"> EK attiecīgi nepieciešamības gadījumā </w:t>
            </w:r>
            <w:r w:rsidR="00464EEE" w:rsidRPr="000A1F8C">
              <w:rPr>
                <w:bCs/>
              </w:rPr>
              <w:t xml:space="preserve">var </w:t>
            </w:r>
            <w:r w:rsidRPr="000A1F8C">
              <w:rPr>
                <w:bCs/>
              </w:rPr>
              <w:t>snie</w:t>
            </w:r>
            <w:r w:rsidR="00464EEE" w:rsidRPr="000A1F8C">
              <w:rPr>
                <w:bCs/>
              </w:rPr>
              <w:t>gt</w:t>
            </w:r>
            <w:r w:rsidRPr="000A1F8C">
              <w:rPr>
                <w:bCs/>
              </w:rPr>
              <w:t xml:space="preserve"> sav</w:t>
            </w:r>
            <w:r w:rsidR="00464EEE" w:rsidRPr="000A1F8C">
              <w:rPr>
                <w:bCs/>
              </w:rPr>
              <w:t>a</w:t>
            </w:r>
            <w:r w:rsidRPr="000A1F8C">
              <w:rPr>
                <w:bCs/>
              </w:rPr>
              <w:t xml:space="preserve">s </w:t>
            </w:r>
            <w:r w:rsidR="00464EEE" w:rsidRPr="000A1F8C">
              <w:rPr>
                <w:bCs/>
              </w:rPr>
              <w:t>piezīmes par grozījumu redakciju</w:t>
            </w:r>
            <w:r w:rsidRPr="000A1F8C">
              <w:rPr>
                <w:bCs/>
              </w:rPr>
              <w:t>.</w:t>
            </w:r>
          </w:p>
          <w:p w14:paraId="63F8E225" w14:textId="4D803AB3" w:rsidR="00D11464" w:rsidRPr="000A1F8C" w:rsidRDefault="00D11464" w:rsidP="00DB5C32">
            <w:pPr>
              <w:spacing w:before="60" w:line="276" w:lineRule="auto"/>
              <w:ind w:left="110" w:right="212"/>
              <w:jc w:val="both"/>
              <w:rPr>
                <w:bCs/>
              </w:rPr>
            </w:pPr>
            <w:r w:rsidRPr="000A1F8C">
              <w:rPr>
                <w:bCs/>
              </w:rPr>
              <w:t>Rīkojuma projekts izstrādāts pēc Labklājības ministrijas</w:t>
            </w:r>
            <w:r w:rsidR="00E8634B" w:rsidRPr="000A1F8C">
              <w:rPr>
                <w:bCs/>
              </w:rPr>
              <w:t xml:space="preserve"> (turpmāk – LM)</w:t>
            </w:r>
            <w:r w:rsidRPr="000A1F8C">
              <w:rPr>
                <w:bCs/>
              </w:rPr>
              <w:t xml:space="preserve"> iniciatīvas un paplašina darbības programmas Fonda atbalsta saņēmēju mērķa grupu.</w:t>
            </w:r>
          </w:p>
        </w:tc>
      </w:tr>
      <w:tr w:rsidR="008F0C62" w:rsidRPr="000A1F8C" w14:paraId="4E67868D" w14:textId="77777777" w:rsidTr="00DB5C32">
        <w:tblPrEx>
          <w:shd w:val="clear" w:color="auto" w:fill="auto"/>
          <w:tblCellMar>
            <w:top w:w="30" w:type="dxa"/>
            <w:left w:w="30" w:type="dxa"/>
            <w:bottom w:w="30" w:type="dxa"/>
            <w:right w:w="30" w:type="dxa"/>
          </w:tblCellMar>
        </w:tblPrEx>
        <w:tc>
          <w:tcPr>
            <w:tcW w:w="514" w:type="dxa"/>
          </w:tcPr>
          <w:p w14:paraId="3CFF0902" w14:textId="4BFD79EF" w:rsidR="008F0C62" w:rsidRPr="000A1F8C" w:rsidRDefault="008F0C62" w:rsidP="008F0C62">
            <w:pPr>
              <w:jc w:val="center"/>
            </w:pPr>
            <w:r w:rsidRPr="000A1F8C">
              <w:t>2.</w:t>
            </w:r>
          </w:p>
        </w:tc>
        <w:tc>
          <w:tcPr>
            <w:tcW w:w="2442" w:type="dxa"/>
            <w:gridSpan w:val="2"/>
          </w:tcPr>
          <w:p w14:paraId="1F097289" w14:textId="563B970C" w:rsidR="008F0C62" w:rsidRPr="000A1F8C" w:rsidRDefault="008F0C62" w:rsidP="008F0C62">
            <w:r w:rsidRPr="000A1F8C">
              <w:t xml:space="preserve">Pašreizējā situācija un problēmas, kuru </w:t>
            </w:r>
            <w:r w:rsidRPr="000A1F8C">
              <w:lastRenderedPageBreak/>
              <w:t>risināšanai tiesību akta projekts izstrādāts, tiesiskā regulējuma mērķis un būtība</w:t>
            </w:r>
          </w:p>
        </w:tc>
        <w:tc>
          <w:tcPr>
            <w:tcW w:w="5786" w:type="dxa"/>
            <w:gridSpan w:val="2"/>
          </w:tcPr>
          <w:p w14:paraId="2394AEFC" w14:textId="7370999F" w:rsidR="007C12DB" w:rsidRPr="000A1F8C" w:rsidRDefault="007C12DB" w:rsidP="00DB5C32">
            <w:pPr>
              <w:spacing w:before="60" w:line="276" w:lineRule="auto"/>
              <w:ind w:left="128" w:right="68"/>
              <w:jc w:val="both"/>
            </w:pPr>
            <w:r w:rsidRPr="000A1F8C">
              <w:lastRenderedPageBreak/>
              <w:t>Saskaņā ar LM datiem,</w:t>
            </w:r>
            <w:r w:rsidRPr="000A1F8C">
              <w:rPr>
                <w:vertAlign w:val="superscript"/>
              </w:rPr>
              <w:footnoteReference w:id="1"/>
            </w:r>
            <w:r w:rsidRPr="000A1F8C">
              <w:t xml:space="preserve"> pēdējos piecos gados cilvēku ar trūcīgas personas statusu (unikālas personas) skaits </w:t>
            </w:r>
            <w:r w:rsidRPr="000A1F8C">
              <w:lastRenderedPageBreak/>
              <w:t>samazinājies par 54%, (134,3 tūkst. personas 2013. g., 62,3 tūkst. personas 2017. g.).</w:t>
            </w:r>
          </w:p>
          <w:p w14:paraId="1A09CB25" w14:textId="77777777" w:rsidR="007C12DB" w:rsidRPr="000A1F8C" w:rsidRDefault="007C12DB" w:rsidP="00DB5C32">
            <w:pPr>
              <w:spacing w:before="60" w:line="276" w:lineRule="auto"/>
              <w:ind w:left="128" w:right="68"/>
              <w:jc w:val="both"/>
            </w:pPr>
            <w:r w:rsidRPr="000A1F8C">
              <w:t>Trūcīgo personu skaita samazinājuma iemesli ir objektīva iedzīvotāju materiālās situācijas uzlabošanās, kas saistīta ar veiktajām izmaiņām likumdošanā, piemēram, minimālās algas apmēra un ar iedzīvotāju ienākuma nodokli neapliekamā minimuma nodarbinātai personai un par tās apgādībā esošiem bērniem paaugstināšana, nodarbinātības rādītāju pieaugums (īpaši jauniešu un pirmspensijas vecuma iedzīvotāju vidū) un pensiju indeksācija pensijas vecuma personām.</w:t>
            </w:r>
          </w:p>
          <w:p w14:paraId="7B310B8A" w14:textId="5C18873D" w:rsidR="007C12DB" w:rsidRPr="000A1F8C" w:rsidRDefault="007C12DB" w:rsidP="00DB5C32">
            <w:pPr>
              <w:spacing w:before="60" w:line="276" w:lineRule="auto"/>
              <w:ind w:left="128" w:right="68"/>
              <w:jc w:val="both"/>
            </w:pPr>
            <w:r w:rsidRPr="000A1F8C">
              <w:t xml:space="preserve">Izrietoši kopš darbības programmas īstenošanas sākuma, Fonda atbalstu saņēmušo unikālo personu skaitam ir tendence samazināties. Piemēram, 2017. gadā pārtikas komplektus saņēmušas 60 482 personas, kas ir par 1,7% mazāk nekā 2016. gadā (61 497 personas) un par 12% mazāk nekā 2015. gadā (68 876 personas), savukārt higiēnas un saimniecības preču komplektus bērniem vecumā līdz 18 gadiem 2017. gadā saņēmušas 18 196 personas, kas ir par 10,9% mazāk nekā 2016. gadā (20 419 personas) un par 29% mazāk nekā 2015. gadā (25 675 personas).  </w:t>
            </w:r>
          </w:p>
          <w:p w14:paraId="7C886319" w14:textId="23A48CA0" w:rsidR="0040117A" w:rsidRPr="000A1F8C" w:rsidRDefault="00A5536F" w:rsidP="00DB5C32">
            <w:pPr>
              <w:spacing w:before="60" w:line="276" w:lineRule="auto"/>
              <w:ind w:left="130" w:right="68"/>
              <w:jc w:val="both"/>
            </w:pPr>
            <w:r w:rsidRPr="000A1F8C">
              <w:t>Ar Fonda atbalstu līdz 30.09.2018. finansēta pārtikas palīdzība 12,7 milj. jeb 34,9% apmērā un pamata materiālā palīdzība – 2,3 milj. jeb 24,5% apmērā no darbības programmā paredzētā. Kopumā atbalstāmām darbībām izmantoti 36,4% no darbības programmas kopējā finansējuma.</w:t>
            </w:r>
            <w:r w:rsidR="0040117A" w:rsidRPr="000A1F8C">
              <w:t xml:space="preserve"> </w:t>
            </w:r>
          </w:p>
          <w:p w14:paraId="39725829" w14:textId="0E88B6D8" w:rsidR="007C12DB" w:rsidRPr="000A1F8C" w:rsidRDefault="00E8634B" w:rsidP="00DB5C32">
            <w:pPr>
              <w:spacing w:before="60" w:line="276" w:lineRule="auto"/>
              <w:ind w:left="130" w:right="68"/>
              <w:jc w:val="both"/>
            </w:pPr>
            <w:r w:rsidRPr="000A1F8C">
              <w:t>I</w:t>
            </w:r>
            <w:r w:rsidR="007C12DB" w:rsidRPr="000A1F8C">
              <w:t>zmantojot Fonda finansējumu, paredzēts samazināt zemu ienākumu ģimeņu nenodrošinātību ar pārtiku un pamata materiālās palīdzības precēm, praksē atbalsts ik gadu tiek sniegts mazākam skaitam iedzīvotāju.</w:t>
            </w:r>
          </w:p>
          <w:p w14:paraId="72AD01D2" w14:textId="5A0997CE" w:rsidR="007C12DB" w:rsidRPr="000A1F8C" w:rsidRDefault="007C12DB" w:rsidP="00DB5C32">
            <w:pPr>
              <w:spacing w:before="60" w:line="276" w:lineRule="auto"/>
              <w:ind w:left="130" w:right="68"/>
              <w:jc w:val="both"/>
            </w:pPr>
            <w:r w:rsidRPr="000A1F8C">
              <w:t>Vienlaikus jāatzīmē, ka:</w:t>
            </w:r>
          </w:p>
          <w:p w14:paraId="722BC8D3" w14:textId="590B2B71" w:rsidR="007C12DB" w:rsidRPr="000A1F8C" w:rsidRDefault="007C12DB" w:rsidP="00DB5C32">
            <w:pPr>
              <w:pStyle w:val="ListParagraph"/>
              <w:numPr>
                <w:ilvl w:val="0"/>
                <w:numId w:val="10"/>
              </w:numPr>
              <w:spacing w:before="60" w:after="0"/>
              <w:ind w:left="130" w:right="68" w:hanging="284"/>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- 2016. gadā Latvijā nabadzības riskam bija pakļauti 425 tūkstoši jeb 22,1% iedzīvotāju – par 0,3 procentpunktiem vairāk nekā 2015. gadā</w:t>
            </w:r>
            <w:r w:rsidRPr="000A1F8C">
              <w:rPr>
                <w:rFonts w:ascii="Times New Roman" w:eastAsia="Times New Roman" w:hAnsi="Times New Roman" w:cs="Times New Roman"/>
                <w:sz w:val="24"/>
                <w:szCs w:val="24"/>
                <w:vertAlign w:val="superscript"/>
                <w:lang w:eastAsia="lv-LV"/>
              </w:rPr>
              <w:footnoteReference w:id="2"/>
            </w:r>
            <w:r w:rsidRPr="000A1F8C">
              <w:rPr>
                <w:rFonts w:ascii="Times New Roman" w:eastAsia="Times New Roman" w:hAnsi="Times New Roman" w:cs="Times New Roman"/>
                <w:sz w:val="24"/>
                <w:szCs w:val="24"/>
                <w:lang w:eastAsia="lv-LV"/>
              </w:rPr>
              <w:t>;</w:t>
            </w:r>
          </w:p>
          <w:p w14:paraId="14C44A74" w14:textId="149125F5" w:rsidR="007C12DB" w:rsidRPr="000A1F8C" w:rsidRDefault="007C12DB" w:rsidP="00DB5C32">
            <w:pPr>
              <w:pStyle w:val="ListParagraph"/>
              <w:numPr>
                <w:ilvl w:val="0"/>
                <w:numId w:val="10"/>
              </w:numPr>
              <w:spacing w:before="60" w:after="0"/>
              <w:ind w:left="130" w:right="68" w:hanging="284"/>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xml:space="preserve">- nabadzības riskam pakļauto iedzīvotāju īpatsvaram vecuma grupā virs 65 gadiem ir augoša tendence. Uz darbības programmas izstrādes brīdi 2012.gadā šis </w:t>
            </w:r>
            <w:r w:rsidRPr="000A1F8C">
              <w:rPr>
                <w:rFonts w:ascii="Times New Roman" w:eastAsia="Times New Roman" w:hAnsi="Times New Roman" w:cs="Times New Roman"/>
                <w:sz w:val="24"/>
                <w:szCs w:val="24"/>
                <w:lang w:eastAsia="lv-LV"/>
              </w:rPr>
              <w:lastRenderedPageBreak/>
              <w:t>īpatsvars bija 17,6%, tagad tas pieaudzis no 38,1% 2015. gadā līdz 39,9 % 2016. gadā. Īpaši augsts nabadzības risks ir senioriem – ja persona vecumā virs 65 gadiem dzīvo viena pati, šis rādītājs ir 72,8%. Katru gadu augstam nabadzības riskam ir pakļauti bezdarbnieki, un 2016. gadā to īpatsvars sasniedza 56,5 %</w:t>
            </w:r>
            <w:r w:rsidRPr="000A1F8C">
              <w:rPr>
                <w:rFonts w:ascii="Times New Roman" w:eastAsia="Times New Roman" w:hAnsi="Times New Roman" w:cs="Times New Roman"/>
                <w:sz w:val="24"/>
                <w:szCs w:val="24"/>
                <w:vertAlign w:val="superscript"/>
                <w:lang w:eastAsia="lv-LV"/>
              </w:rPr>
              <w:footnoteReference w:id="3"/>
            </w:r>
            <w:r w:rsidRPr="000A1F8C">
              <w:rPr>
                <w:rFonts w:ascii="Times New Roman" w:eastAsia="Times New Roman" w:hAnsi="Times New Roman" w:cs="Times New Roman"/>
                <w:sz w:val="24"/>
                <w:szCs w:val="24"/>
                <w:lang w:eastAsia="lv-LV"/>
              </w:rPr>
              <w:t>;</w:t>
            </w:r>
          </w:p>
          <w:p w14:paraId="49690B19" w14:textId="1FF18B97" w:rsidR="007C12DB" w:rsidRPr="000A1F8C" w:rsidRDefault="00E8634B" w:rsidP="00DB5C32">
            <w:pPr>
              <w:pStyle w:val="ListParagraph"/>
              <w:numPr>
                <w:ilvl w:val="0"/>
                <w:numId w:val="10"/>
              </w:numPr>
              <w:spacing w:before="60" w:after="0"/>
              <w:ind w:left="130" w:right="68" w:hanging="284"/>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xml:space="preserve">- </w:t>
            </w:r>
            <w:r w:rsidR="007C12DB" w:rsidRPr="000A1F8C">
              <w:rPr>
                <w:rFonts w:ascii="Times New Roman" w:eastAsia="Times New Roman" w:hAnsi="Times New Roman" w:cs="Times New Roman"/>
                <w:sz w:val="24"/>
                <w:szCs w:val="24"/>
                <w:lang w:eastAsia="lv-LV"/>
              </w:rPr>
              <w:t>reālais individuālais patēriņš (AIC) uz vienu iedzīvotāju, kas raksturo mājsaimniecību labklājību, Latvijā pērn bijis piektais zemākais Eiropas Savienībā (turpmāk-ES) (ES statistikas pārvaldes “Eurostat” jaunākie dati). Saskaņā ar tiem AIC, kas izteikts pirktspējas paritātes standartos (PPS), mūsu valstī 2017. gadā bija 72,4% no ES vidējā līmeņa</w:t>
            </w:r>
            <w:r w:rsidR="007C12DB" w:rsidRPr="000A1F8C">
              <w:rPr>
                <w:rFonts w:ascii="Times New Roman" w:eastAsia="Times New Roman" w:hAnsi="Times New Roman" w:cs="Times New Roman"/>
                <w:sz w:val="24"/>
                <w:szCs w:val="24"/>
                <w:vertAlign w:val="superscript"/>
                <w:lang w:eastAsia="lv-LV"/>
              </w:rPr>
              <w:footnoteReference w:id="4"/>
            </w:r>
            <w:r w:rsidR="007C12DB" w:rsidRPr="000A1F8C">
              <w:rPr>
                <w:rFonts w:ascii="Times New Roman" w:eastAsia="Times New Roman" w:hAnsi="Times New Roman" w:cs="Times New Roman"/>
                <w:sz w:val="24"/>
                <w:szCs w:val="24"/>
                <w:lang w:eastAsia="lv-LV"/>
              </w:rPr>
              <w:t>;</w:t>
            </w:r>
          </w:p>
          <w:p w14:paraId="5DDB9872" w14:textId="22A3D46B" w:rsidR="007C12DB" w:rsidRPr="000A1F8C" w:rsidRDefault="007C12DB" w:rsidP="00DB5C32">
            <w:pPr>
              <w:pStyle w:val="ListParagraph"/>
              <w:numPr>
                <w:ilvl w:val="0"/>
                <w:numId w:val="10"/>
              </w:numPr>
              <w:spacing w:before="60" w:after="0"/>
              <w:ind w:left="130" w:right="68" w:hanging="284"/>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vidējie mēneša ienākumi uz vienu mājsaimniecības locekli personām, kas pakļautas dziļai materiālajai nenodrošinātībai, bija 242 EUR (EU-SILC 2017. gada apsekojuma datiem par 2016. gada ienākumiem)</w:t>
            </w:r>
            <w:r w:rsidRPr="000A1F8C">
              <w:rPr>
                <w:rFonts w:ascii="Times New Roman" w:eastAsia="Times New Roman" w:hAnsi="Times New Roman" w:cs="Times New Roman"/>
                <w:sz w:val="24"/>
                <w:szCs w:val="24"/>
                <w:vertAlign w:val="superscript"/>
                <w:lang w:eastAsia="lv-LV"/>
              </w:rPr>
              <w:footnoteReference w:id="5"/>
            </w:r>
            <w:r w:rsidRPr="000A1F8C">
              <w:rPr>
                <w:rFonts w:ascii="Times New Roman" w:eastAsia="Times New Roman" w:hAnsi="Times New Roman" w:cs="Times New Roman"/>
                <w:sz w:val="24"/>
                <w:szCs w:val="24"/>
                <w:lang w:eastAsia="lv-LV"/>
              </w:rPr>
              <w:t>.</w:t>
            </w:r>
          </w:p>
          <w:p w14:paraId="1DB1E3BF" w14:textId="1EFD8D1B" w:rsidR="00ED4BCB" w:rsidRDefault="00ED4BCB" w:rsidP="00DB5C32">
            <w:pPr>
              <w:spacing w:before="60" w:line="276" w:lineRule="auto"/>
              <w:ind w:left="130" w:right="68"/>
              <w:jc w:val="both"/>
            </w:pPr>
            <w:r>
              <w:t>Š</w:t>
            </w:r>
            <w:r w:rsidR="00EA5F2F">
              <w:t>obrīd spēkā esošā darbības programma paredz, ka pamata materiālo palīdzību var saņemt tikai ģimenes ar bērniem, kas sašaurina Fonda atbalstāmo personu loku.</w:t>
            </w:r>
          </w:p>
          <w:p w14:paraId="174EB5C3" w14:textId="1575496D" w:rsidR="0040117A" w:rsidRPr="000A1F8C" w:rsidRDefault="0040117A" w:rsidP="00DB5C32">
            <w:pPr>
              <w:spacing w:before="60" w:line="276" w:lineRule="auto"/>
              <w:ind w:left="130" w:right="68"/>
              <w:jc w:val="both"/>
            </w:pPr>
            <w:r w:rsidRPr="000A1F8C">
              <w:t>Pēc darbības programmas grozījumu stāšanās spēkā, kā arī pēc Ministru kabineta grozījumu EAFVP īstenošanas noteikumos stāšanās spēkā (kas paredz arī papildus atbalsta saņēmēju skaita palielināšanas pasākumus), tiks:</w:t>
            </w:r>
          </w:p>
          <w:p w14:paraId="419FC119" w14:textId="37BA706A" w:rsidR="0040117A" w:rsidRPr="000A1F8C" w:rsidRDefault="000F183E" w:rsidP="00DB5C32">
            <w:pPr>
              <w:pStyle w:val="ListParagraph"/>
              <w:numPr>
                <w:ilvl w:val="0"/>
                <w:numId w:val="8"/>
              </w:numPr>
              <w:spacing w:before="60" w:after="0"/>
              <w:ind w:left="130" w:right="68" w:hanging="357"/>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xml:space="preserve">- </w:t>
            </w:r>
            <w:r w:rsidR="00E8634B" w:rsidRPr="000A1F8C">
              <w:rPr>
                <w:rFonts w:ascii="Times New Roman" w:hAnsi="Times New Roman" w:cs="Times New Roman"/>
                <w:sz w:val="24"/>
                <w:szCs w:val="24"/>
              </w:rPr>
              <w:t>palielinā</w:t>
            </w:r>
            <w:r w:rsidR="00DB5C32">
              <w:rPr>
                <w:rFonts w:ascii="Times New Roman" w:hAnsi="Times New Roman" w:cs="Times New Roman"/>
                <w:sz w:val="24"/>
                <w:szCs w:val="24"/>
              </w:rPr>
              <w:t>ta</w:t>
            </w:r>
            <w:r w:rsidR="00E8634B" w:rsidRPr="000A1F8C">
              <w:rPr>
                <w:rFonts w:ascii="Times New Roman" w:hAnsi="Times New Roman" w:cs="Times New Roman"/>
                <w:sz w:val="24"/>
                <w:szCs w:val="24"/>
              </w:rPr>
              <w:t xml:space="preserve"> Fonda sniegtā atbalsta daudzveidība uz vienu pilngadīgo personu (līdz šim tikai pārtikas atbalsts, plānota arī pamata materiālā palīdzība)</w:t>
            </w:r>
            <w:r w:rsidR="0040117A" w:rsidRPr="000A1F8C">
              <w:rPr>
                <w:rFonts w:ascii="Times New Roman" w:eastAsia="Times New Roman" w:hAnsi="Times New Roman" w:cs="Times New Roman"/>
                <w:sz w:val="24"/>
                <w:szCs w:val="24"/>
                <w:lang w:eastAsia="lv-LV"/>
              </w:rPr>
              <w:t>;</w:t>
            </w:r>
          </w:p>
          <w:p w14:paraId="28BFABF5" w14:textId="51D792B6" w:rsidR="0040117A" w:rsidRPr="000A1F8C" w:rsidRDefault="000F183E" w:rsidP="00DB5C32">
            <w:pPr>
              <w:pStyle w:val="ListParagraph"/>
              <w:numPr>
                <w:ilvl w:val="0"/>
                <w:numId w:val="7"/>
              </w:numPr>
              <w:spacing w:before="60" w:after="0"/>
              <w:ind w:left="128" w:right="68" w:hanging="357"/>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xml:space="preserve">- </w:t>
            </w:r>
            <w:r w:rsidR="0040117A" w:rsidRPr="000A1F8C">
              <w:rPr>
                <w:rFonts w:ascii="Times New Roman" w:eastAsia="Times New Roman" w:hAnsi="Times New Roman" w:cs="Times New Roman"/>
                <w:sz w:val="24"/>
                <w:szCs w:val="24"/>
                <w:lang w:eastAsia="lv-LV"/>
              </w:rPr>
              <w:t>palielināts vienas personas atbalsts vidēji par 22 EUR jeb par 33% gadā (šobrīd 66 EUR, pēc izmaiņām – 88 EUR);</w:t>
            </w:r>
          </w:p>
          <w:p w14:paraId="5C34A19B" w14:textId="12E046A7" w:rsidR="0040117A" w:rsidRPr="000A1F8C" w:rsidRDefault="00E8634B" w:rsidP="00DB5C32">
            <w:pPr>
              <w:pStyle w:val="ListParagraph"/>
              <w:numPr>
                <w:ilvl w:val="0"/>
                <w:numId w:val="8"/>
              </w:numPr>
              <w:spacing w:before="60" w:after="0"/>
              <w:ind w:left="128" w:right="68" w:hanging="357"/>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xml:space="preserve">- </w:t>
            </w:r>
            <w:r w:rsidRPr="000A1F8C">
              <w:rPr>
                <w:rFonts w:ascii="Times New Roman" w:hAnsi="Times New Roman" w:cs="Times New Roman"/>
                <w:sz w:val="24"/>
                <w:szCs w:val="24"/>
              </w:rPr>
              <w:t>vairākkārtēji palielināsies pamata materiālās palīdzības saņēmēju skaits (līdz šim palīdzību saņem tikai nepilngadīgas personas līdz 18 gadiem, pēc izmaiņām – arī pilngadīgas personas)</w:t>
            </w:r>
            <w:r w:rsidR="0040117A" w:rsidRPr="000A1F8C">
              <w:rPr>
                <w:rFonts w:ascii="Times New Roman" w:eastAsia="Times New Roman" w:hAnsi="Times New Roman" w:cs="Times New Roman"/>
                <w:sz w:val="24"/>
                <w:szCs w:val="24"/>
                <w:lang w:eastAsia="lv-LV"/>
              </w:rPr>
              <w:t>;</w:t>
            </w:r>
          </w:p>
          <w:p w14:paraId="6A289BB6" w14:textId="75FB60C1" w:rsidR="0040117A" w:rsidRPr="000A1F8C" w:rsidRDefault="000F183E" w:rsidP="00DB5C32">
            <w:pPr>
              <w:pStyle w:val="ListParagraph"/>
              <w:numPr>
                <w:ilvl w:val="0"/>
                <w:numId w:val="8"/>
              </w:numPr>
              <w:spacing w:before="60" w:after="0"/>
              <w:ind w:left="130" w:right="68" w:hanging="357"/>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lastRenderedPageBreak/>
              <w:t xml:space="preserve">- </w:t>
            </w:r>
            <w:r w:rsidR="0040117A" w:rsidRPr="000A1F8C">
              <w:rPr>
                <w:rFonts w:ascii="Times New Roman" w:eastAsia="Times New Roman" w:hAnsi="Times New Roman" w:cs="Times New Roman"/>
                <w:sz w:val="24"/>
                <w:szCs w:val="24"/>
                <w:lang w:eastAsia="lv-LV"/>
              </w:rPr>
              <w:t xml:space="preserve">indikatīvi palielināts kopējais atbalstāmo personu loks par </w:t>
            </w:r>
            <w:r w:rsidR="00EC5FB6" w:rsidRPr="000A1F8C">
              <w:rPr>
                <w:rFonts w:ascii="Times New Roman" w:eastAsia="Times New Roman" w:hAnsi="Times New Roman" w:cs="Times New Roman"/>
                <w:sz w:val="24"/>
                <w:szCs w:val="24"/>
                <w:lang w:eastAsia="lv-LV"/>
              </w:rPr>
              <w:t>vidēji 27</w:t>
            </w:r>
            <w:r w:rsidR="0040117A" w:rsidRPr="000A1F8C">
              <w:rPr>
                <w:rFonts w:ascii="Times New Roman" w:eastAsia="Times New Roman" w:hAnsi="Times New Roman" w:cs="Times New Roman"/>
                <w:sz w:val="24"/>
                <w:szCs w:val="24"/>
                <w:lang w:eastAsia="lv-LV"/>
              </w:rPr>
              <w:t>% (salīdzinot ar 201</w:t>
            </w:r>
            <w:r w:rsidR="00EC5FB6" w:rsidRPr="000A1F8C">
              <w:rPr>
                <w:rFonts w:ascii="Times New Roman" w:eastAsia="Times New Roman" w:hAnsi="Times New Roman" w:cs="Times New Roman"/>
                <w:sz w:val="24"/>
                <w:szCs w:val="24"/>
                <w:lang w:eastAsia="lv-LV"/>
              </w:rPr>
              <w:t>7</w:t>
            </w:r>
            <w:r w:rsidR="0040117A" w:rsidRPr="000A1F8C">
              <w:rPr>
                <w:rFonts w:ascii="Times New Roman" w:eastAsia="Times New Roman" w:hAnsi="Times New Roman" w:cs="Times New Roman"/>
                <w:sz w:val="24"/>
                <w:szCs w:val="24"/>
                <w:lang w:eastAsia="lv-LV"/>
              </w:rPr>
              <w:t>.g.), atbilstoši Vadošās iestādes prognozei;</w:t>
            </w:r>
          </w:p>
          <w:p w14:paraId="7F5B1074" w14:textId="21F66098" w:rsidR="00EC5FB6" w:rsidRPr="000A1F8C" w:rsidRDefault="00EC5FB6" w:rsidP="00DB5C32">
            <w:pPr>
              <w:pStyle w:val="ListParagraph"/>
              <w:numPr>
                <w:ilvl w:val="0"/>
                <w:numId w:val="8"/>
              </w:numPr>
              <w:spacing w:before="60" w:after="0"/>
              <w:ind w:left="130" w:right="68" w:hanging="357"/>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xml:space="preserve">- </w:t>
            </w:r>
            <w:r w:rsidRPr="000A1F8C">
              <w:rPr>
                <w:rFonts w:ascii="Times New Roman" w:hAnsi="Times New Roman" w:cs="Times New Roman"/>
                <w:sz w:val="24"/>
                <w:szCs w:val="24"/>
              </w:rPr>
              <w:t>arī 2020.un 2021.</w:t>
            </w:r>
            <w:r w:rsidRPr="000A1F8C">
              <w:rPr>
                <w:rFonts w:ascii="Times New Roman" w:eastAsia="Times New Roman" w:hAnsi="Times New Roman" w:cs="Times New Roman"/>
                <w:sz w:val="24"/>
                <w:szCs w:val="24"/>
                <w:lang w:eastAsia="lv-LV"/>
              </w:rPr>
              <w:t xml:space="preserve"> </w:t>
            </w:r>
            <w:r w:rsidRPr="000A1F8C">
              <w:rPr>
                <w:rFonts w:ascii="Times New Roman" w:hAnsi="Times New Roman" w:cs="Times New Roman"/>
                <w:sz w:val="24"/>
                <w:szCs w:val="24"/>
              </w:rPr>
              <w:t>gadā, salīdzinot ar 2017. gadu, vērojams kopējais atbalstāmo personu loka pieaugums, tomēr likumdošanas izmaiņu rezultātā tas var samazināties;</w:t>
            </w:r>
          </w:p>
          <w:p w14:paraId="19347224" w14:textId="3E2D62E3" w:rsidR="0040117A" w:rsidRPr="000A1F8C" w:rsidRDefault="000F183E" w:rsidP="00DB5C32">
            <w:pPr>
              <w:pStyle w:val="ListParagraph"/>
              <w:numPr>
                <w:ilvl w:val="0"/>
                <w:numId w:val="8"/>
              </w:numPr>
              <w:spacing w:before="60" w:after="0"/>
              <w:ind w:left="130" w:right="68" w:hanging="357"/>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 xml:space="preserve">- </w:t>
            </w:r>
            <w:r w:rsidR="00EC5FB6" w:rsidRPr="000A1F8C">
              <w:rPr>
                <w:rFonts w:ascii="Times New Roman" w:hAnsi="Times New Roman"/>
                <w:sz w:val="24"/>
                <w:szCs w:val="24"/>
              </w:rPr>
              <w:t>sekmēta Fonda atbalstam paredzētā finansējuma izmantošanas lietderība un efektivitāte</w:t>
            </w:r>
            <w:r w:rsidR="0040117A" w:rsidRPr="000A1F8C">
              <w:rPr>
                <w:rFonts w:ascii="Times New Roman" w:eastAsia="Times New Roman" w:hAnsi="Times New Roman" w:cs="Times New Roman"/>
                <w:sz w:val="24"/>
                <w:szCs w:val="24"/>
                <w:lang w:eastAsia="lv-LV"/>
              </w:rPr>
              <w:t>.</w:t>
            </w:r>
          </w:p>
          <w:p w14:paraId="15183698" w14:textId="4120B877" w:rsidR="008F0C62" w:rsidRPr="00A85470" w:rsidRDefault="00C33E71" w:rsidP="00DB5C32">
            <w:pPr>
              <w:spacing w:before="60" w:line="276" w:lineRule="auto"/>
              <w:ind w:left="130" w:right="68"/>
              <w:jc w:val="both"/>
            </w:pPr>
            <w:r w:rsidRPr="000A1F8C">
              <w:t xml:space="preserve">Darbības programmas grozījumi tiek virzīti, </w:t>
            </w:r>
            <w:r w:rsidR="008F0C62" w:rsidRPr="000A1F8C">
              <w:t xml:space="preserve">iekļaujot </w:t>
            </w:r>
            <w:r w:rsidR="008F0C62" w:rsidRPr="00A85470">
              <w:t>precizējum</w:t>
            </w:r>
            <w:r w:rsidR="005E26EC" w:rsidRPr="00A85470">
              <w:t>u</w:t>
            </w:r>
            <w:r w:rsidR="008F0C62" w:rsidRPr="00A85470">
              <w:t>s attiecībā uz šādām jomām:</w:t>
            </w:r>
          </w:p>
          <w:p w14:paraId="01AE3998" w14:textId="28654B59" w:rsidR="00355DCF" w:rsidRPr="00A85470" w:rsidRDefault="000F183E" w:rsidP="00DB5C32">
            <w:pPr>
              <w:pStyle w:val="ListParagraph"/>
              <w:numPr>
                <w:ilvl w:val="0"/>
                <w:numId w:val="3"/>
              </w:numPr>
              <w:spacing w:before="60" w:after="0"/>
              <w:ind w:left="130" w:right="68"/>
              <w:jc w:val="both"/>
              <w:rPr>
                <w:rFonts w:ascii="Times New Roman" w:eastAsia="Times New Roman" w:hAnsi="Times New Roman" w:cs="Times New Roman"/>
                <w:i/>
                <w:sz w:val="24"/>
                <w:szCs w:val="24"/>
                <w:lang w:eastAsia="lv-LV"/>
              </w:rPr>
            </w:pPr>
            <w:r w:rsidRPr="00A85470">
              <w:rPr>
                <w:rFonts w:ascii="Times New Roman" w:eastAsia="Times New Roman" w:hAnsi="Times New Roman" w:cs="Times New Roman"/>
                <w:i/>
                <w:sz w:val="24"/>
                <w:szCs w:val="24"/>
                <w:lang w:eastAsia="lv-LV"/>
              </w:rPr>
              <w:t xml:space="preserve">1. </w:t>
            </w:r>
            <w:r w:rsidR="00355DCF" w:rsidRPr="00A85470">
              <w:rPr>
                <w:rFonts w:ascii="Times New Roman" w:eastAsia="Times New Roman" w:hAnsi="Times New Roman" w:cs="Times New Roman"/>
                <w:i/>
                <w:sz w:val="24"/>
                <w:szCs w:val="24"/>
                <w:lang w:eastAsia="lv-LV"/>
              </w:rPr>
              <w:t>Fonda mērķa grupas personu loku paplašināšana, paredzot, ka pamata materiālo palīdzību, tas ir, higiēnas un saimniecības preču komplektus, turpmāk varēs saņemt ne tikai bērni vecumā līdz 18 gadiem, bet arī pilngadīgas personas.</w:t>
            </w:r>
          </w:p>
          <w:p w14:paraId="336D8B6E" w14:textId="77777777" w:rsidR="00CB6D96" w:rsidRPr="00A85470" w:rsidRDefault="005E26EC" w:rsidP="00DB5C32">
            <w:pPr>
              <w:pStyle w:val="ListParagraph"/>
              <w:spacing w:before="60" w:after="0"/>
              <w:ind w:left="130" w:right="68"/>
              <w:jc w:val="both"/>
              <w:rPr>
                <w:rFonts w:ascii="Times New Roman" w:eastAsia="Times New Roman" w:hAnsi="Times New Roman" w:cs="Times New Roman"/>
                <w:sz w:val="24"/>
                <w:szCs w:val="24"/>
                <w:lang w:eastAsia="lv-LV"/>
              </w:rPr>
            </w:pPr>
            <w:r w:rsidRPr="00A85470">
              <w:rPr>
                <w:rFonts w:ascii="Times New Roman" w:eastAsia="Times New Roman" w:hAnsi="Times New Roman" w:cs="Times New Roman"/>
                <w:sz w:val="24"/>
                <w:szCs w:val="24"/>
                <w:lang w:eastAsia="lv-LV"/>
              </w:rPr>
              <w:t xml:space="preserve">Minētais precizējums veikts darbības programmas mērķī, materiālās nenodrošinātības veidos ((9) un (10) punkts, 2. sadaļā “Darbības programmas stratēģija”, 2.1. apakšsadaļā “Situācijas apraksts”), kā arī </w:t>
            </w:r>
            <w:r w:rsidR="00930BD3" w:rsidRPr="00A85470">
              <w:rPr>
                <w:rFonts w:ascii="Times New Roman" w:eastAsia="Times New Roman" w:hAnsi="Times New Roman" w:cs="Times New Roman"/>
                <w:sz w:val="24"/>
                <w:szCs w:val="24"/>
                <w:lang w:eastAsia="lv-LV"/>
              </w:rPr>
              <w:t>pamata materiālās palīdzības saņēmēju sociālās situācijas un vajadzību aprakstā ((21) punkts, 2.3.</w:t>
            </w:r>
            <w:r w:rsidR="00930BD3" w:rsidRPr="00A85470">
              <w:rPr>
                <w:rFonts w:ascii="Times New Roman" w:eastAsia="Times New Roman" w:hAnsi="Times New Roman" w:cs="Times New Roman"/>
                <w:sz w:val="24"/>
                <w:szCs w:val="24"/>
                <w:lang w:eastAsia="lv-LV"/>
              </w:rPr>
              <w:tab/>
              <w:t xml:space="preserve"> apakšsadaļa “Mājsaimniecību ar bērniem materiālā nenodrošinātība”, 2.3.1. apakšsadaļa “Apraksts”)</w:t>
            </w:r>
            <w:r w:rsidR="00CB6D96" w:rsidRPr="00A85470">
              <w:rPr>
                <w:rFonts w:ascii="Times New Roman" w:eastAsia="Times New Roman" w:hAnsi="Times New Roman" w:cs="Times New Roman"/>
                <w:sz w:val="24"/>
                <w:szCs w:val="24"/>
                <w:lang w:eastAsia="lv-LV"/>
              </w:rPr>
              <w:t>.</w:t>
            </w:r>
          </w:p>
          <w:p w14:paraId="4E198CF3" w14:textId="19B777E3" w:rsidR="00CB6D96" w:rsidRPr="00A85470" w:rsidRDefault="000F183E" w:rsidP="00DB5C32">
            <w:pPr>
              <w:pStyle w:val="ListParagraph"/>
              <w:numPr>
                <w:ilvl w:val="0"/>
                <w:numId w:val="3"/>
              </w:numPr>
              <w:spacing w:before="60" w:after="0"/>
              <w:ind w:left="128" w:right="68"/>
              <w:jc w:val="both"/>
              <w:rPr>
                <w:rFonts w:ascii="Times New Roman" w:eastAsia="Times New Roman" w:hAnsi="Times New Roman" w:cs="Times New Roman"/>
                <w:i/>
                <w:sz w:val="24"/>
                <w:szCs w:val="24"/>
                <w:lang w:eastAsia="lv-LV"/>
              </w:rPr>
            </w:pPr>
            <w:r w:rsidRPr="00A85470">
              <w:rPr>
                <w:rFonts w:ascii="Times New Roman" w:eastAsia="Times New Roman" w:hAnsi="Times New Roman" w:cs="Times New Roman"/>
                <w:i/>
                <w:sz w:val="24"/>
                <w:szCs w:val="24"/>
                <w:lang w:eastAsia="lv-LV"/>
              </w:rPr>
              <w:t xml:space="preserve">2. </w:t>
            </w:r>
            <w:r w:rsidR="005E26EC" w:rsidRPr="00A85470">
              <w:rPr>
                <w:rFonts w:ascii="Times New Roman" w:eastAsia="Times New Roman" w:hAnsi="Times New Roman" w:cs="Times New Roman"/>
                <w:i/>
                <w:sz w:val="24"/>
                <w:szCs w:val="24"/>
                <w:lang w:eastAsia="lv-LV"/>
              </w:rPr>
              <w:t>Saistītie redakcionālie precizējumi attiecībā uz pamata materiālās palīdzības terminu un finansējumu</w:t>
            </w:r>
            <w:r w:rsidR="00CB6D96" w:rsidRPr="00A85470">
              <w:rPr>
                <w:rFonts w:ascii="Times New Roman" w:eastAsia="Times New Roman" w:hAnsi="Times New Roman" w:cs="Times New Roman"/>
                <w:i/>
                <w:sz w:val="24"/>
                <w:szCs w:val="24"/>
                <w:lang w:eastAsia="lv-LV"/>
              </w:rPr>
              <w:t>.</w:t>
            </w:r>
          </w:p>
          <w:p w14:paraId="5C1BE897" w14:textId="6A591B6D" w:rsidR="000E03F8" w:rsidRPr="000A1F8C" w:rsidRDefault="00CB6D96" w:rsidP="00DB5C32">
            <w:pPr>
              <w:pStyle w:val="ListParagraph"/>
              <w:spacing w:before="60" w:after="0"/>
              <w:ind w:left="130" w:right="68"/>
              <w:jc w:val="both"/>
              <w:rPr>
                <w:rFonts w:ascii="Times New Roman" w:eastAsia="Times New Roman" w:hAnsi="Times New Roman" w:cs="Times New Roman"/>
                <w:sz w:val="24"/>
                <w:szCs w:val="24"/>
                <w:lang w:eastAsia="lv-LV"/>
              </w:rPr>
            </w:pPr>
            <w:r w:rsidRPr="00A85470">
              <w:rPr>
                <w:rFonts w:ascii="Times New Roman" w:eastAsia="Times New Roman" w:hAnsi="Times New Roman" w:cs="Times New Roman"/>
                <w:sz w:val="24"/>
                <w:szCs w:val="24"/>
                <w:lang w:eastAsia="lv-LV"/>
              </w:rPr>
              <w:t>P</w:t>
            </w:r>
            <w:r w:rsidR="00930BD3" w:rsidRPr="00A85470">
              <w:rPr>
                <w:rFonts w:ascii="Times New Roman" w:eastAsia="Times New Roman" w:hAnsi="Times New Roman" w:cs="Times New Roman"/>
                <w:sz w:val="24"/>
                <w:szCs w:val="24"/>
                <w:lang w:eastAsia="lv-LV"/>
              </w:rPr>
              <w:t xml:space="preserve">iemēram, aizstājot vārdus “mājsaimniecību </w:t>
            </w:r>
            <w:r w:rsidRPr="00A85470">
              <w:rPr>
                <w:rFonts w:ascii="Times New Roman" w:eastAsia="Times New Roman" w:hAnsi="Times New Roman" w:cs="Times New Roman"/>
                <w:sz w:val="24"/>
                <w:szCs w:val="24"/>
                <w:lang w:eastAsia="lv-LV"/>
              </w:rPr>
              <w:t xml:space="preserve">vai ģimeņu </w:t>
            </w:r>
            <w:r w:rsidR="00930BD3" w:rsidRPr="00A85470">
              <w:rPr>
                <w:rFonts w:ascii="Times New Roman" w:eastAsia="Times New Roman" w:hAnsi="Times New Roman" w:cs="Times New Roman"/>
                <w:sz w:val="24"/>
                <w:szCs w:val="24"/>
                <w:lang w:eastAsia="lv-LV"/>
              </w:rPr>
              <w:t>ar bērniem materiālā nenodrošinātība” ar vārdiem</w:t>
            </w:r>
            <w:r w:rsidR="00930BD3" w:rsidRPr="000A1F8C">
              <w:rPr>
                <w:rFonts w:ascii="Times New Roman" w:eastAsia="Times New Roman" w:hAnsi="Times New Roman" w:cs="Times New Roman"/>
                <w:sz w:val="24"/>
                <w:szCs w:val="24"/>
                <w:lang w:eastAsia="lv-LV"/>
              </w:rPr>
              <w:t xml:space="preserve"> “pamata materiālā nenodrošinātība” </w:t>
            </w:r>
            <w:r w:rsidR="000E03F8" w:rsidRPr="000A1F8C">
              <w:rPr>
                <w:rFonts w:ascii="Times New Roman" w:eastAsia="Times New Roman" w:hAnsi="Times New Roman" w:cs="Times New Roman"/>
                <w:sz w:val="24"/>
                <w:szCs w:val="24"/>
                <w:lang w:eastAsia="lv-LV"/>
              </w:rPr>
              <w:t>(2.3. apakšsadaļa</w:t>
            </w:r>
            <w:r w:rsidRPr="000A1F8C">
              <w:rPr>
                <w:rFonts w:ascii="Times New Roman" w:eastAsia="Times New Roman" w:hAnsi="Times New Roman" w:cs="Times New Roman"/>
                <w:sz w:val="24"/>
                <w:szCs w:val="24"/>
                <w:lang w:eastAsia="lv-LV"/>
              </w:rPr>
              <w:t xml:space="preserve"> </w:t>
            </w:r>
            <w:r w:rsidR="000E03F8" w:rsidRPr="000A1F8C">
              <w:rPr>
                <w:rFonts w:ascii="Times New Roman" w:eastAsia="Times New Roman" w:hAnsi="Times New Roman" w:cs="Times New Roman"/>
                <w:sz w:val="24"/>
                <w:szCs w:val="24"/>
                <w:lang w:eastAsia="lv-LV"/>
              </w:rPr>
              <w:t>“Mājsaimniecību ar bērniem materiālā nenodrošinātība”</w:t>
            </w:r>
            <w:r w:rsidRPr="000A1F8C">
              <w:rPr>
                <w:rFonts w:ascii="Times New Roman" w:eastAsia="Times New Roman" w:hAnsi="Times New Roman" w:cs="Times New Roman"/>
                <w:sz w:val="24"/>
                <w:szCs w:val="24"/>
                <w:lang w:eastAsia="lv-LV"/>
              </w:rPr>
              <w:t>, 5.2. apakšsadaļa “Finanšu plāns, kurā norādītas darbības programmas atbalsta kopējās finanšu apropriācijas par katru risinātās materiālās nenodrošinātības veidu, kā arī attiecīgi papildpasākumi (EUR)”</w:t>
            </w:r>
            <w:r w:rsidR="000E03F8" w:rsidRPr="000A1F8C">
              <w:rPr>
                <w:rFonts w:ascii="Times New Roman" w:eastAsia="Times New Roman" w:hAnsi="Times New Roman" w:cs="Times New Roman"/>
                <w:sz w:val="24"/>
                <w:szCs w:val="24"/>
                <w:lang w:eastAsia="lv-LV"/>
              </w:rPr>
              <w:t>)</w:t>
            </w:r>
            <w:r w:rsidRPr="000A1F8C">
              <w:rPr>
                <w:rFonts w:ascii="Times New Roman" w:eastAsia="Times New Roman" w:hAnsi="Times New Roman" w:cs="Times New Roman"/>
                <w:sz w:val="24"/>
                <w:szCs w:val="24"/>
                <w:lang w:eastAsia="lv-LV"/>
              </w:rPr>
              <w:t xml:space="preserve"> un novērsta informācijas dublēšanās par indikatīvi novirzāmo finansējumu bērnu materiālās nenodrošinātības risināšanai darbības programmas tekstā (2.4. apakšsadaļa “Cita informācija”).</w:t>
            </w:r>
          </w:p>
          <w:p w14:paraId="1FD4DB2B" w14:textId="2E7F0EF7" w:rsidR="00CB6D96" w:rsidRPr="000A1F8C" w:rsidRDefault="000F183E" w:rsidP="00DB5C32">
            <w:pPr>
              <w:pStyle w:val="ListParagraph"/>
              <w:numPr>
                <w:ilvl w:val="0"/>
                <w:numId w:val="3"/>
              </w:numPr>
              <w:spacing w:before="60" w:after="0"/>
              <w:ind w:left="130" w:right="68"/>
              <w:jc w:val="both"/>
              <w:rPr>
                <w:rFonts w:ascii="Times New Roman" w:eastAsia="Times New Roman" w:hAnsi="Times New Roman" w:cs="Times New Roman"/>
                <w:i/>
                <w:sz w:val="24"/>
                <w:szCs w:val="24"/>
                <w:lang w:eastAsia="lv-LV"/>
              </w:rPr>
            </w:pPr>
            <w:r w:rsidRPr="000A1F8C">
              <w:rPr>
                <w:rFonts w:ascii="Times New Roman" w:eastAsia="Times New Roman" w:hAnsi="Times New Roman" w:cs="Times New Roman"/>
                <w:i/>
                <w:sz w:val="24"/>
                <w:szCs w:val="24"/>
                <w:lang w:eastAsia="lv-LV"/>
              </w:rPr>
              <w:t xml:space="preserve">3. </w:t>
            </w:r>
            <w:r w:rsidR="005E26EC" w:rsidRPr="000A1F8C">
              <w:rPr>
                <w:rFonts w:ascii="Times New Roman" w:eastAsia="Times New Roman" w:hAnsi="Times New Roman" w:cs="Times New Roman"/>
                <w:i/>
                <w:sz w:val="24"/>
                <w:szCs w:val="24"/>
                <w:lang w:eastAsia="lv-LV"/>
              </w:rPr>
              <w:t>Citi redakcionāli precizējumi</w:t>
            </w:r>
            <w:r w:rsidR="00CB6D96" w:rsidRPr="000A1F8C">
              <w:rPr>
                <w:rFonts w:ascii="Times New Roman" w:eastAsia="Times New Roman" w:hAnsi="Times New Roman" w:cs="Times New Roman"/>
                <w:i/>
                <w:sz w:val="24"/>
                <w:szCs w:val="24"/>
                <w:lang w:eastAsia="lv-LV"/>
              </w:rPr>
              <w:t>.</w:t>
            </w:r>
          </w:p>
          <w:p w14:paraId="487BBF52" w14:textId="62789389" w:rsidR="005E26EC" w:rsidRPr="000A1F8C" w:rsidRDefault="00CB6D96" w:rsidP="00DB5C32">
            <w:pPr>
              <w:pStyle w:val="ListParagraph"/>
              <w:spacing w:before="60" w:after="0"/>
              <w:ind w:left="130" w:right="68"/>
              <w:jc w:val="both"/>
              <w:rPr>
                <w:rFonts w:ascii="Times New Roman" w:eastAsia="Times New Roman" w:hAnsi="Times New Roman" w:cs="Times New Roman"/>
                <w:sz w:val="24"/>
                <w:szCs w:val="24"/>
                <w:lang w:eastAsia="lv-LV"/>
              </w:rPr>
            </w:pPr>
            <w:r w:rsidRPr="000A1F8C">
              <w:rPr>
                <w:rFonts w:ascii="Times New Roman" w:eastAsia="Times New Roman" w:hAnsi="Times New Roman" w:cs="Times New Roman"/>
                <w:sz w:val="24"/>
                <w:szCs w:val="24"/>
                <w:lang w:eastAsia="lv-LV"/>
              </w:rPr>
              <w:t>P</w:t>
            </w:r>
            <w:r w:rsidR="005E26EC" w:rsidRPr="000A1F8C">
              <w:rPr>
                <w:rFonts w:ascii="Times New Roman" w:eastAsia="Times New Roman" w:hAnsi="Times New Roman" w:cs="Times New Roman"/>
                <w:sz w:val="24"/>
                <w:szCs w:val="24"/>
                <w:lang w:eastAsia="lv-LV"/>
              </w:rPr>
              <w:t xml:space="preserve">iemēram, </w:t>
            </w:r>
            <w:r w:rsidRPr="000A1F8C">
              <w:rPr>
                <w:rFonts w:ascii="Times New Roman" w:eastAsia="Times New Roman" w:hAnsi="Times New Roman" w:cs="Times New Roman"/>
                <w:sz w:val="24"/>
                <w:szCs w:val="24"/>
                <w:lang w:eastAsia="lv-LV"/>
              </w:rPr>
              <w:t xml:space="preserve">novērsta </w:t>
            </w:r>
            <w:r w:rsidR="000E03F8" w:rsidRPr="000A1F8C">
              <w:rPr>
                <w:rFonts w:ascii="Times New Roman" w:eastAsia="Times New Roman" w:hAnsi="Times New Roman" w:cs="Times New Roman"/>
                <w:sz w:val="24"/>
                <w:szCs w:val="24"/>
                <w:lang w:eastAsia="lv-LV"/>
              </w:rPr>
              <w:t>informācijas dublēšan</w:t>
            </w:r>
            <w:r w:rsidRPr="000A1F8C">
              <w:rPr>
                <w:rFonts w:ascii="Times New Roman" w:eastAsia="Times New Roman" w:hAnsi="Times New Roman" w:cs="Times New Roman"/>
                <w:sz w:val="24"/>
                <w:szCs w:val="24"/>
                <w:lang w:eastAsia="lv-LV"/>
              </w:rPr>
              <w:t>ā</w:t>
            </w:r>
            <w:r w:rsidR="000E03F8" w:rsidRPr="000A1F8C">
              <w:rPr>
                <w:rFonts w:ascii="Times New Roman" w:eastAsia="Times New Roman" w:hAnsi="Times New Roman" w:cs="Times New Roman"/>
                <w:sz w:val="24"/>
                <w:szCs w:val="24"/>
                <w:lang w:eastAsia="lv-LV"/>
              </w:rPr>
              <w:t xml:space="preserve">s par </w:t>
            </w:r>
            <w:r w:rsidR="005E26EC" w:rsidRPr="000A1F8C">
              <w:rPr>
                <w:rFonts w:ascii="Times New Roman" w:eastAsia="Times New Roman" w:hAnsi="Times New Roman" w:cs="Times New Roman"/>
                <w:sz w:val="24"/>
                <w:szCs w:val="24"/>
                <w:lang w:eastAsia="lv-LV"/>
              </w:rPr>
              <w:t xml:space="preserve">pārtikas atbalstam un ar to saistītajiem papildpasākumiem indikatīvo finansējumu darbības </w:t>
            </w:r>
            <w:r w:rsidR="000E03F8" w:rsidRPr="000A1F8C">
              <w:rPr>
                <w:rFonts w:ascii="Times New Roman" w:eastAsia="Times New Roman" w:hAnsi="Times New Roman" w:cs="Times New Roman"/>
                <w:sz w:val="24"/>
                <w:szCs w:val="24"/>
                <w:lang w:eastAsia="lv-LV"/>
              </w:rPr>
              <w:t xml:space="preserve">programmas </w:t>
            </w:r>
            <w:r w:rsidR="005E26EC" w:rsidRPr="000A1F8C">
              <w:rPr>
                <w:rFonts w:ascii="Times New Roman" w:eastAsia="Times New Roman" w:hAnsi="Times New Roman" w:cs="Times New Roman"/>
                <w:sz w:val="24"/>
                <w:szCs w:val="24"/>
                <w:lang w:eastAsia="lv-LV"/>
              </w:rPr>
              <w:t>tekstā</w:t>
            </w:r>
            <w:r w:rsidR="000E03F8" w:rsidRPr="000A1F8C">
              <w:rPr>
                <w:rFonts w:ascii="Times New Roman" w:eastAsia="Times New Roman" w:hAnsi="Times New Roman" w:cs="Times New Roman"/>
                <w:sz w:val="24"/>
                <w:szCs w:val="24"/>
                <w:lang w:eastAsia="lv-LV"/>
              </w:rPr>
              <w:t xml:space="preserve"> ((19) </w:t>
            </w:r>
            <w:r w:rsidR="000E03F8" w:rsidRPr="000A1F8C">
              <w:rPr>
                <w:rFonts w:ascii="Times New Roman" w:eastAsia="Times New Roman" w:hAnsi="Times New Roman" w:cs="Times New Roman"/>
                <w:sz w:val="24"/>
                <w:szCs w:val="24"/>
                <w:lang w:eastAsia="lv-LV"/>
              </w:rPr>
              <w:lastRenderedPageBreak/>
              <w:t>punkts, 2.2.apakšsadaļa, Nenodrošinātība ar pārtiku, 2.2.2. apakšsadaļa “Valsts shēmas”)</w:t>
            </w:r>
          </w:p>
        </w:tc>
      </w:tr>
      <w:tr w:rsidR="008F0C62" w:rsidRPr="000A1F8C" w14:paraId="04B45F8A" w14:textId="77777777" w:rsidTr="00DB5C32">
        <w:tblPrEx>
          <w:shd w:val="clear" w:color="auto" w:fill="auto"/>
          <w:tblCellMar>
            <w:top w:w="30" w:type="dxa"/>
            <w:left w:w="30" w:type="dxa"/>
            <w:bottom w:w="30" w:type="dxa"/>
            <w:right w:w="30" w:type="dxa"/>
          </w:tblCellMar>
        </w:tblPrEx>
        <w:tc>
          <w:tcPr>
            <w:tcW w:w="514" w:type="dxa"/>
            <w:hideMark/>
          </w:tcPr>
          <w:p w14:paraId="30AA7E86" w14:textId="0C8AC24C" w:rsidR="008F0C62" w:rsidRPr="000A1F8C" w:rsidRDefault="008F0C62" w:rsidP="008F0C62">
            <w:pPr>
              <w:jc w:val="center"/>
            </w:pPr>
            <w:r w:rsidRPr="000A1F8C">
              <w:lastRenderedPageBreak/>
              <w:t>3.</w:t>
            </w:r>
          </w:p>
        </w:tc>
        <w:tc>
          <w:tcPr>
            <w:tcW w:w="2442" w:type="dxa"/>
            <w:gridSpan w:val="2"/>
            <w:hideMark/>
          </w:tcPr>
          <w:p w14:paraId="17C4B50C" w14:textId="77777777" w:rsidR="008F0C62" w:rsidRPr="000A1F8C" w:rsidRDefault="008F0C62" w:rsidP="008F0C62">
            <w:r w:rsidRPr="000A1F8C">
              <w:t>Projekta izstrādē iesaistītās institūcijas un publiskas personas kapitālsabiedrības</w:t>
            </w:r>
          </w:p>
        </w:tc>
        <w:tc>
          <w:tcPr>
            <w:tcW w:w="5786" w:type="dxa"/>
            <w:gridSpan w:val="2"/>
            <w:hideMark/>
          </w:tcPr>
          <w:p w14:paraId="70624315" w14:textId="6A52040A" w:rsidR="008F0C62" w:rsidRPr="000A1F8C" w:rsidRDefault="00CB1C28" w:rsidP="00CF4EC3">
            <w:pPr>
              <w:jc w:val="both"/>
            </w:pPr>
            <w:r>
              <w:rPr>
                <w:bCs/>
              </w:rPr>
              <w:t>Sabiedrības integrācijas fonds</w:t>
            </w:r>
          </w:p>
        </w:tc>
      </w:tr>
      <w:tr w:rsidR="008F0C62" w:rsidRPr="000A1F8C" w14:paraId="735EFA50" w14:textId="77777777" w:rsidTr="00DB5C32">
        <w:tblPrEx>
          <w:shd w:val="clear" w:color="auto" w:fill="auto"/>
          <w:tblCellMar>
            <w:top w:w="30" w:type="dxa"/>
            <w:left w:w="30" w:type="dxa"/>
            <w:bottom w:w="30" w:type="dxa"/>
            <w:right w:w="30" w:type="dxa"/>
          </w:tblCellMar>
        </w:tblPrEx>
        <w:tc>
          <w:tcPr>
            <w:tcW w:w="514" w:type="dxa"/>
            <w:hideMark/>
          </w:tcPr>
          <w:p w14:paraId="16C1DB9F" w14:textId="77777777" w:rsidR="008F0C62" w:rsidRPr="000A1F8C" w:rsidRDefault="008F0C62" w:rsidP="008F0C62">
            <w:pPr>
              <w:jc w:val="center"/>
            </w:pPr>
            <w:r w:rsidRPr="000A1F8C">
              <w:t>4.</w:t>
            </w:r>
          </w:p>
        </w:tc>
        <w:tc>
          <w:tcPr>
            <w:tcW w:w="2442" w:type="dxa"/>
            <w:gridSpan w:val="2"/>
            <w:hideMark/>
          </w:tcPr>
          <w:p w14:paraId="261315DD" w14:textId="77777777" w:rsidR="008F0C62" w:rsidRPr="000A1F8C" w:rsidRDefault="008F0C62" w:rsidP="008F0C62">
            <w:r w:rsidRPr="000A1F8C">
              <w:t>Cita informācija</w:t>
            </w:r>
          </w:p>
        </w:tc>
        <w:tc>
          <w:tcPr>
            <w:tcW w:w="5786" w:type="dxa"/>
            <w:gridSpan w:val="2"/>
            <w:hideMark/>
          </w:tcPr>
          <w:p w14:paraId="453A947B" w14:textId="252546DF" w:rsidR="008F0C62" w:rsidRPr="000A1F8C" w:rsidRDefault="008F0C62" w:rsidP="008F0C62">
            <w:r w:rsidRPr="000A1F8C">
              <w:t>Nav.</w:t>
            </w:r>
          </w:p>
        </w:tc>
      </w:tr>
      <w:tr w:rsidR="00BD5588" w:rsidRPr="000A1F8C" w14:paraId="51D5E8D1" w14:textId="77777777" w:rsidTr="00DB5C32">
        <w:tblPrEx>
          <w:shd w:val="clear" w:color="auto" w:fill="auto"/>
          <w:tblCellMar>
            <w:top w:w="30" w:type="dxa"/>
            <w:left w:w="30" w:type="dxa"/>
            <w:bottom w:w="30" w:type="dxa"/>
            <w:right w:w="30" w:type="dxa"/>
          </w:tblCellMar>
        </w:tblPrEx>
        <w:trPr>
          <w:cantSplit/>
        </w:trPr>
        <w:tc>
          <w:tcPr>
            <w:tcW w:w="8742" w:type="dxa"/>
            <w:gridSpan w:val="5"/>
            <w:vAlign w:val="center"/>
            <w:hideMark/>
          </w:tcPr>
          <w:p w14:paraId="3C398B4E" w14:textId="43EC7164" w:rsidR="00BD5588" w:rsidRPr="006A11D1" w:rsidRDefault="00BD5588" w:rsidP="00DB5C32">
            <w:pPr>
              <w:jc w:val="center"/>
            </w:pPr>
            <w:r w:rsidRPr="000A1F8C">
              <w:rPr>
                <w:b/>
                <w:bCs/>
              </w:rPr>
              <w:t>II. Tiesību akta projekta ietekme uz sabiedrību, tautsaimniecības attīstību un administratīvo slogu</w:t>
            </w:r>
          </w:p>
        </w:tc>
      </w:tr>
      <w:tr w:rsidR="000F183E" w:rsidRPr="000A1F8C" w14:paraId="671EACFD" w14:textId="77777777" w:rsidTr="00DB5C32">
        <w:tblPrEx>
          <w:shd w:val="clear" w:color="auto" w:fill="auto"/>
          <w:tblCellMar>
            <w:top w:w="30" w:type="dxa"/>
            <w:left w:w="30" w:type="dxa"/>
            <w:bottom w:w="30" w:type="dxa"/>
            <w:right w:w="30" w:type="dxa"/>
          </w:tblCellMar>
        </w:tblPrEx>
        <w:trPr>
          <w:cantSplit/>
        </w:trPr>
        <w:tc>
          <w:tcPr>
            <w:tcW w:w="514" w:type="dxa"/>
            <w:hideMark/>
          </w:tcPr>
          <w:p w14:paraId="16516D53" w14:textId="075443AF" w:rsidR="006A11D1" w:rsidRDefault="000F183E" w:rsidP="000F183E">
            <w:pPr>
              <w:jc w:val="center"/>
            </w:pPr>
            <w:r w:rsidRPr="000A1F8C">
              <w:t>1.</w:t>
            </w:r>
          </w:p>
          <w:p w14:paraId="61D75C3A" w14:textId="1DFA072C" w:rsidR="000F183E" w:rsidRPr="006A11D1" w:rsidRDefault="000F183E" w:rsidP="00DB5C32"/>
        </w:tc>
        <w:tc>
          <w:tcPr>
            <w:tcW w:w="2442" w:type="dxa"/>
            <w:gridSpan w:val="2"/>
            <w:hideMark/>
          </w:tcPr>
          <w:p w14:paraId="4CDBC2FF" w14:textId="77777777" w:rsidR="000F183E" w:rsidRPr="000A1F8C" w:rsidRDefault="000F183E" w:rsidP="000F183E">
            <w:r w:rsidRPr="000A1F8C">
              <w:t>Sabiedrības mērķgrupas, kuras tiesiskais regulējums ietekmē vai varētu ietekmēt</w:t>
            </w:r>
          </w:p>
        </w:tc>
        <w:tc>
          <w:tcPr>
            <w:tcW w:w="5786" w:type="dxa"/>
            <w:gridSpan w:val="2"/>
            <w:hideMark/>
          </w:tcPr>
          <w:p w14:paraId="0D2C76FC" w14:textId="77777777" w:rsidR="000F183E" w:rsidRPr="000A1F8C" w:rsidRDefault="000F183E" w:rsidP="00DB5C32">
            <w:pPr>
              <w:pStyle w:val="ListParagraph"/>
              <w:spacing w:before="60" w:after="0"/>
              <w:ind w:left="318" w:hanging="318"/>
              <w:jc w:val="both"/>
              <w:rPr>
                <w:rFonts w:ascii="Times New Roman" w:hAnsi="Times New Roman"/>
                <w:sz w:val="24"/>
                <w:szCs w:val="24"/>
              </w:rPr>
            </w:pPr>
            <w:r w:rsidRPr="000A1F8C">
              <w:rPr>
                <w:rFonts w:ascii="Times New Roman" w:hAnsi="Times New Roman"/>
                <w:sz w:val="24"/>
                <w:szCs w:val="24"/>
              </w:rPr>
              <w:t>Tiešās mērķgrupas:</w:t>
            </w:r>
          </w:p>
          <w:p w14:paraId="7DDD5611" w14:textId="77777777" w:rsidR="000F183E" w:rsidRPr="000A1F8C" w:rsidRDefault="000F183E" w:rsidP="00DB5C32">
            <w:pPr>
              <w:pStyle w:val="ListParagraph"/>
              <w:numPr>
                <w:ilvl w:val="0"/>
                <w:numId w:val="11"/>
              </w:numPr>
              <w:spacing w:before="60" w:after="0"/>
              <w:ind w:left="386" w:hanging="217"/>
              <w:jc w:val="both"/>
              <w:rPr>
                <w:rFonts w:ascii="Times New Roman" w:hAnsi="Times New Roman"/>
                <w:sz w:val="24"/>
                <w:szCs w:val="24"/>
              </w:rPr>
            </w:pPr>
            <w:r w:rsidRPr="000A1F8C">
              <w:rPr>
                <w:rFonts w:ascii="Times New Roman" w:hAnsi="Times New Roman"/>
                <w:sz w:val="24"/>
                <w:szCs w:val="24"/>
              </w:rPr>
              <w:t>ģimenes (personas), kuras</w:t>
            </w:r>
          </w:p>
          <w:p w14:paraId="2F3BD70B" w14:textId="77777777" w:rsidR="000F183E" w:rsidRPr="000A1F8C" w:rsidRDefault="000F183E" w:rsidP="00DB5C32">
            <w:pPr>
              <w:pStyle w:val="ListParagraph"/>
              <w:numPr>
                <w:ilvl w:val="0"/>
                <w:numId w:val="17"/>
              </w:numPr>
              <w:spacing w:before="60" w:after="0"/>
              <w:ind w:left="837"/>
              <w:jc w:val="both"/>
              <w:rPr>
                <w:rFonts w:ascii="Times New Roman" w:hAnsi="Times New Roman"/>
                <w:sz w:val="24"/>
                <w:szCs w:val="24"/>
              </w:rPr>
            </w:pPr>
            <w:r w:rsidRPr="000A1F8C">
              <w:rPr>
                <w:rFonts w:ascii="Times New Roman" w:hAnsi="Times New Roman"/>
                <w:sz w:val="24"/>
                <w:szCs w:val="24"/>
              </w:rPr>
              <w:t>atzītas par trūcīgām;</w:t>
            </w:r>
          </w:p>
          <w:p w14:paraId="25B5870E" w14:textId="77777777" w:rsidR="000F183E" w:rsidRPr="000A1F8C" w:rsidRDefault="000F183E" w:rsidP="00DB5C32">
            <w:pPr>
              <w:pStyle w:val="ListParagraph"/>
              <w:numPr>
                <w:ilvl w:val="0"/>
                <w:numId w:val="17"/>
              </w:numPr>
              <w:spacing w:before="60" w:after="0"/>
              <w:ind w:left="837"/>
              <w:jc w:val="both"/>
              <w:rPr>
                <w:rFonts w:ascii="Times New Roman" w:hAnsi="Times New Roman"/>
                <w:sz w:val="24"/>
                <w:szCs w:val="24"/>
              </w:rPr>
            </w:pPr>
            <w:r w:rsidRPr="000A1F8C">
              <w:rPr>
                <w:rFonts w:ascii="Times New Roman" w:hAnsi="Times New Roman"/>
                <w:sz w:val="24"/>
                <w:szCs w:val="24"/>
              </w:rPr>
              <w:t>atzītas par maznodrošinātām un atbilstošām Fonda atbalsta saņemšanai;</w:t>
            </w:r>
          </w:p>
          <w:p w14:paraId="400AF78E" w14:textId="794E9883" w:rsidR="000F183E" w:rsidRPr="000A1F8C" w:rsidRDefault="006A11D1" w:rsidP="00DB5C32">
            <w:pPr>
              <w:pStyle w:val="ListParagraph"/>
              <w:numPr>
                <w:ilvl w:val="0"/>
                <w:numId w:val="17"/>
              </w:numPr>
              <w:spacing w:before="60" w:after="0"/>
              <w:ind w:left="837"/>
              <w:jc w:val="both"/>
              <w:rPr>
                <w:rFonts w:ascii="Times New Roman" w:hAnsi="Times New Roman"/>
                <w:sz w:val="24"/>
                <w:szCs w:val="24"/>
              </w:rPr>
            </w:pPr>
            <w:r>
              <w:rPr>
                <w:rFonts w:ascii="Times New Roman" w:hAnsi="Times New Roman"/>
                <w:sz w:val="24"/>
                <w:szCs w:val="24"/>
              </w:rPr>
              <w:t>nonākušas krīzes situācijā.</w:t>
            </w:r>
          </w:p>
          <w:p w14:paraId="7FC7E9C2" w14:textId="77777777" w:rsidR="000F183E" w:rsidRPr="000A1F8C" w:rsidRDefault="000F183E" w:rsidP="00DB5C32">
            <w:pPr>
              <w:pStyle w:val="ListParagraph"/>
              <w:numPr>
                <w:ilvl w:val="0"/>
                <w:numId w:val="11"/>
              </w:numPr>
              <w:spacing w:before="60" w:after="0"/>
              <w:ind w:left="386" w:hanging="217"/>
              <w:jc w:val="both"/>
              <w:rPr>
                <w:rFonts w:ascii="Times New Roman" w:hAnsi="Times New Roman"/>
                <w:sz w:val="24"/>
                <w:szCs w:val="24"/>
              </w:rPr>
            </w:pPr>
            <w:r w:rsidRPr="000A1F8C">
              <w:rPr>
                <w:rFonts w:ascii="Times New Roman" w:hAnsi="Times New Roman"/>
                <w:sz w:val="24"/>
                <w:szCs w:val="24"/>
              </w:rPr>
              <w:t>pašvaldību sociālie dienesti, kuri izsniedz izziņu par trūcīgas ģimenes</w:t>
            </w:r>
            <w:r w:rsidRPr="000A1F8C">
              <w:rPr>
                <w:rFonts w:ascii="Times New Roman" w:eastAsia="Times New Roman" w:hAnsi="Times New Roman"/>
                <w:sz w:val="24"/>
                <w:szCs w:val="24"/>
                <w:lang w:eastAsia="lv-LV"/>
              </w:rPr>
              <w:t xml:space="preserve"> (</w:t>
            </w:r>
            <w:r w:rsidRPr="000A1F8C">
              <w:rPr>
                <w:rFonts w:ascii="Times New Roman" w:hAnsi="Times New Roman"/>
                <w:sz w:val="24"/>
                <w:szCs w:val="24"/>
              </w:rPr>
              <w:t xml:space="preserve">personas) statusu, maznodrošinātas ģimenes (personas) statusu un atbilstību Fonda atbalsta saņemšanai vai krīzes situāciju; </w:t>
            </w:r>
          </w:p>
          <w:p w14:paraId="335FBC40" w14:textId="77777777" w:rsidR="000F183E" w:rsidRPr="000A1F8C" w:rsidRDefault="000F183E" w:rsidP="00DB5C32">
            <w:pPr>
              <w:pStyle w:val="ListParagraph"/>
              <w:numPr>
                <w:ilvl w:val="0"/>
                <w:numId w:val="11"/>
              </w:numPr>
              <w:tabs>
                <w:tab w:val="left" w:pos="592"/>
              </w:tabs>
              <w:spacing w:before="60" w:after="0"/>
              <w:ind w:left="386" w:hanging="217"/>
              <w:jc w:val="both"/>
              <w:rPr>
                <w:rFonts w:ascii="Times New Roman" w:hAnsi="Times New Roman"/>
                <w:sz w:val="24"/>
                <w:szCs w:val="24"/>
              </w:rPr>
            </w:pPr>
            <w:r w:rsidRPr="000A1F8C">
              <w:rPr>
                <w:rFonts w:ascii="Times New Roman" w:hAnsi="Times New Roman"/>
                <w:sz w:val="24"/>
                <w:szCs w:val="24"/>
              </w:rPr>
              <w:t>nevalstiskas un reliģiskas organizācijas, pašvaldības vai pašvaldību iestādes, kuras ir partnerorganizācijas.</w:t>
            </w:r>
          </w:p>
          <w:p w14:paraId="25D4932B" w14:textId="7AC5B7FE" w:rsidR="000F183E" w:rsidRPr="000A1F8C" w:rsidRDefault="000F183E" w:rsidP="00DB5C32">
            <w:pPr>
              <w:spacing w:before="60" w:line="276" w:lineRule="auto"/>
              <w:jc w:val="both"/>
            </w:pPr>
            <w:r w:rsidRPr="000A1F8C">
              <w:t>Netiešā mērķgrupa – pārtikas vai pamata materiālās palīdzības preču piegādātāji, kuri izvēlēti atbilstoši publisko iepirkumu normatīvam regulējumam.</w:t>
            </w:r>
          </w:p>
        </w:tc>
      </w:tr>
      <w:tr w:rsidR="001913FC" w:rsidRPr="000A1F8C" w14:paraId="437BF462" w14:textId="77777777" w:rsidTr="00DB5C32">
        <w:tblPrEx>
          <w:shd w:val="clear" w:color="auto" w:fill="auto"/>
          <w:tblCellMar>
            <w:top w:w="30" w:type="dxa"/>
            <w:left w:w="30" w:type="dxa"/>
            <w:bottom w:w="30" w:type="dxa"/>
            <w:right w:w="30" w:type="dxa"/>
          </w:tblCellMar>
        </w:tblPrEx>
        <w:trPr>
          <w:cantSplit/>
        </w:trPr>
        <w:tc>
          <w:tcPr>
            <w:tcW w:w="514" w:type="dxa"/>
            <w:hideMark/>
          </w:tcPr>
          <w:p w14:paraId="1EDF53FB" w14:textId="367D4542" w:rsidR="001913FC" w:rsidRPr="000A1F8C" w:rsidRDefault="001913FC" w:rsidP="001913FC">
            <w:pPr>
              <w:jc w:val="center"/>
            </w:pPr>
            <w:r w:rsidRPr="000A1F8C">
              <w:lastRenderedPageBreak/>
              <w:t>2.</w:t>
            </w:r>
          </w:p>
        </w:tc>
        <w:tc>
          <w:tcPr>
            <w:tcW w:w="2442" w:type="dxa"/>
            <w:gridSpan w:val="2"/>
            <w:hideMark/>
          </w:tcPr>
          <w:p w14:paraId="78A59780" w14:textId="77777777" w:rsidR="001913FC" w:rsidRPr="000A1F8C" w:rsidRDefault="001913FC" w:rsidP="001913FC">
            <w:r w:rsidRPr="000A1F8C">
              <w:t>Tiesiskā regulējuma ietekme uz tautsaimniecību un administratīvo slogu</w:t>
            </w:r>
          </w:p>
        </w:tc>
        <w:tc>
          <w:tcPr>
            <w:tcW w:w="5786" w:type="dxa"/>
            <w:gridSpan w:val="2"/>
            <w:hideMark/>
          </w:tcPr>
          <w:p w14:paraId="0E2A2C09" w14:textId="0FF72893" w:rsidR="0040288F" w:rsidRPr="000A1F8C" w:rsidRDefault="0040288F" w:rsidP="00DB5C32">
            <w:pPr>
              <w:spacing w:before="60" w:line="276" w:lineRule="auto"/>
              <w:ind w:left="408" w:right="113" w:hanging="408"/>
              <w:jc w:val="both"/>
              <w:rPr>
                <w:bCs/>
                <w:iCs/>
              </w:rPr>
            </w:pPr>
            <w:r w:rsidRPr="000A1F8C">
              <w:rPr>
                <w:bCs/>
                <w:iCs/>
              </w:rPr>
              <w:t>1.</w:t>
            </w:r>
            <w:r w:rsidRPr="000A1F8C">
              <w:rPr>
                <w:bCs/>
                <w:iCs/>
              </w:rPr>
              <w:tab/>
              <w:t>Tiesiskais regulējums neparedz tiešu ietekmi uz tautsaimniecību, bet tas saistīts ar ieguldījumiem nabadzības mazināšanas un sociālās iekļaušanas jomā. Kaut arī pārtikas</w:t>
            </w:r>
            <w:r w:rsidR="005E5C58">
              <w:rPr>
                <w:bCs/>
                <w:iCs/>
              </w:rPr>
              <w:t xml:space="preserve"> un pamata materiālās palīdzības preču</w:t>
            </w:r>
            <w:r w:rsidRPr="000A1F8C">
              <w:rPr>
                <w:bCs/>
                <w:iCs/>
              </w:rPr>
              <w:t xml:space="preserve"> izdalīšana vistrūcīgākajiem iedzīvotājiem nevar redzami mainīt kopējo dziļas materiālās nenodrošinātības rādītāju, tomēr atvieglo vistrūcīgāko iedzīvotāju un mājsaimniecību budžeta slogu, vienlaikus sniedzot ieguldījumu uztura nodrošināšanai. Joprojām augstais dziļas materiālās nenodrošinātības rādītājs (Saskaņā ar CSP datiem - 11,3% no visiem iedzīvotājiem 2017. gadā) pamato nepieciešamību turpināt pārtikas nodrošināšanas aktivitātes vistrūcīgākajiem iedzīvotājiem, tās papildinot ar pamata materiālās palīdzības preču izdalīšanu ne tikai ģimenēm ar bērniem, bet visu vecumu personām, izmantojot šim mērķim Fonda finansējumu.</w:t>
            </w:r>
          </w:p>
          <w:p w14:paraId="30850B71" w14:textId="1D32E63A" w:rsidR="0040288F" w:rsidRPr="000A1F8C" w:rsidRDefault="006A11D1" w:rsidP="00DB5C32">
            <w:pPr>
              <w:tabs>
                <w:tab w:val="left" w:pos="264"/>
                <w:tab w:val="left" w:pos="411"/>
              </w:tabs>
              <w:spacing w:before="60" w:line="276" w:lineRule="auto"/>
              <w:ind w:left="408" w:right="113" w:hanging="408"/>
              <w:jc w:val="both"/>
              <w:rPr>
                <w:bCs/>
                <w:iCs/>
              </w:rPr>
            </w:pPr>
            <w:r>
              <w:rPr>
                <w:bCs/>
                <w:iCs/>
              </w:rPr>
              <w:t xml:space="preserve">2. </w:t>
            </w:r>
            <w:r w:rsidR="008E3D70" w:rsidRPr="000A1F8C">
              <w:rPr>
                <w:bCs/>
                <w:iCs/>
              </w:rPr>
              <w:t xml:space="preserve">Tiesiskais regulējums neparedz ietekmi uz </w:t>
            </w:r>
            <w:r w:rsidR="008E3D70">
              <w:rPr>
                <w:bCs/>
                <w:iCs/>
              </w:rPr>
              <w:t>administratīvo slogu.</w:t>
            </w:r>
            <w:r w:rsidR="008E3D70" w:rsidRPr="000A1F8C">
              <w:rPr>
                <w:bCs/>
                <w:iCs/>
              </w:rPr>
              <w:t xml:space="preserve"> </w:t>
            </w:r>
            <w:r w:rsidR="0040288F" w:rsidRPr="000A1F8C">
              <w:rPr>
                <w:bCs/>
                <w:iCs/>
              </w:rPr>
              <w:t xml:space="preserve">Saistībā ar normatīvā regulējumā noteikto, ka sociālās palīdzības nodrošināšana ir pašvaldību autonomā funkcija, ģimenes (personas) atbilstību Fonda atbalsta saņemšanai apliecina pašvaldības sociālā dienesta (turpmāk – sociālais dienests) izziņa. Grozījumi paredz paplašināt Fonda atbalsta saņēmēju loku, balstoties uz esošām sociālā dienesta izziņām par ienākumiem un materiālā stāvokļa līmeni. </w:t>
            </w:r>
            <w:r w:rsidR="00816CA4" w:rsidRPr="000A1F8C">
              <w:rPr>
                <w:bCs/>
                <w:iCs/>
              </w:rPr>
              <w:t>Rīkojuma</w:t>
            </w:r>
            <w:r w:rsidR="0040288F" w:rsidRPr="000A1F8C">
              <w:rPr>
                <w:bCs/>
                <w:iCs/>
              </w:rPr>
              <w:t xml:space="preserve"> projekts neparedz jaunus pienākumus informācijas vākšanā, biežumā, apstrādē, uzglabāšanā, nepalielina to apjomu.</w:t>
            </w:r>
          </w:p>
          <w:p w14:paraId="7CE39FF2" w14:textId="0A2DDB85" w:rsidR="001913FC" w:rsidRPr="000A1F8C" w:rsidRDefault="005E5C58" w:rsidP="00DB5C32">
            <w:pPr>
              <w:spacing w:before="60" w:line="276" w:lineRule="auto"/>
              <w:ind w:left="270" w:right="113" w:hanging="270"/>
              <w:jc w:val="both"/>
            </w:pPr>
            <w:r>
              <w:rPr>
                <w:bCs/>
                <w:iCs/>
              </w:rPr>
              <w:t>3</w:t>
            </w:r>
            <w:r w:rsidR="0040288F" w:rsidRPr="000A1F8C">
              <w:rPr>
                <w:bCs/>
                <w:iCs/>
              </w:rPr>
              <w:t xml:space="preserve">. Pārējie grozījumi </w:t>
            </w:r>
            <w:r w:rsidR="00816CA4" w:rsidRPr="000A1F8C">
              <w:rPr>
                <w:bCs/>
                <w:iCs/>
              </w:rPr>
              <w:t>Rīkojuma projektā</w:t>
            </w:r>
            <w:r w:rsidR="0040288F" w:rsidRPr="000A1F8C">
              <w:rPr>
                <w:bCs/>
                <w:iCs/>
              </w:rPr>
              <w:t xml:space="preserve"> ir skaidrojoši vai redakcionāli precizējoši, nav paredzētas papildus rīcības vai informācijas pieprasīšana, vai tās apstrāde.</w:t>
            </w:r>
          </w:p>
        </w:tc>
      </w:tr>
      <w:tr w:rsidR="00BD5588" w:rsidRPr="000A1F8C" w14:paraId="6C6D2E24" w14:textId="77777777" w:rsidTr="00DB5C32">
        <w:tblPrEx>
          <w:shd w:val="clear" w:color="auto" w:fill="auto"/>
          <w:tblCellMar>
            <w:top w:w="30" w:type="dxa"/>
            <w:left w:w="30" w:type="dxa"/>
            <w:bottom w:w="30" w:type="dxa"/>
            <w:right w:w="30" w:type="dxa"/>
          </w:tblCellMar>
        </w:tblPrEx>
        <w:trPr>
          <w:cantSplit/>
        </w:trPr>
        <w:tc>
          <w:tcPr>
            <w:tcW w:w="514" w:type="dxa"/>
            <w:hideMark/>
          </w:tcPr>
          <w:p w14:paraId="055B3BFB" w14:textId="77777777" w:rsidR="00BD5588" w:rsidRPr="000A1F8C" w:rsidRDefault="00BD5588" w:rsidP="009E0502">
            <w:pPr>
              <w:jc w:val="center"/>
            </w:pPr>
            <w:r w:rsidRPr="000A1F8C">
              <w:t>3.</w:t>
            </w:r>
          </w:p>
        </w:tc>
        <w:tc>
          <w:tcPr>
            <w:tcW w:w="2442" w:type="dxa"/>
            <w:gridSpan w:val="2"/>
            <w:hideMark/>
          </w:tcPr>
          <w:p w14:paraId="1818C0A3" w14:textId="77777777" w:rsidR="00BD5588" w:rsidRPr="000A1F8C" w:rsidRDefault="00BD5588" w:rsidP="009E0502">
            <w:r w:rsidRPr="000A1F8C">
              <w:t>Administratīvo izmaksu monetārs novērtējums</w:t>
            </w:r>
          </w:p>
        </w:tc>
        <w:tc>
          <w:tcPr>
            <w:tcW w:w="5786" w:type="dxa"/>
            <w:gridSpan w:val="2"/>
            <w:hideMark/>
          </w:tcPr>
          <w:p w14:paraId="08A2E664" w14:textId="77777777" w:rsidR="00BD5588" w:rsidRPr="000A1F8C" w:rsidRDefault="00461626" w:rsidP="009E0502">
            <w:r w:rsidRPr="000A1F8C">
              <w:t>Projekts šo jomu neskar.</w:t>
            </w:r>
          </w:p>
        </w:tc>
      </w:tr>
      <w:tr w:rsidR="00BD5588" w:rsidRPr="000A1F8C" w14:paraId="0F183BA7" w14:textId="77777777" w:rsidTr="00DB5C32">
        <w:tblPrEx>
          <w:shd w:val="clear" w:color="auto" w:fill="auto"/>
          <w:tblCellMar>
            <w:top w:w="30" w:type="dxa"/>
            <w:left w:w="30" w:type="dxa"/>
            <w:bottom w:w="30" w:type="dxa"/>
            <w:right w:w="30" w:type="dxa"/>
          </w:tblCellMar>
        </w:tblPrEx>
        <w:trPr>
          <w:cantSplit/>
        </w:trPr>
        <w:tc>
          <w:tcPr>
            <w:tcW w:w="514" w:type="dxa"/>
            <w:hideMark/>
          </w:tcPr>
          <w:p w14:paraId="3390148A" w14:textId="77777777" w:rsidR="00BD5588" w:rsidRPr="000A1F8C" w:rsidRDefault="00BD5588" w:rsidP="009E0502">
            <w:pPr>
              <w:jc w:val="center"/>
            </w:pPr>
            <w:r w:rsidRPr="000A1F8C">
              <w:t>4.</w:t>
            </w:r>
          </w:p>
        </w:tc>
        <w:tc>
          <w:tcPr>
            <w:tcW w:w="2442" w:type="dxa"/>
            <w:gridSpan w:val="2"/>
            <w:hideMark/>
          </w:tcPr>
          <w:p w14:paraId="3970B68B" w14:textId="77777777" w:rsidR="00BD5588" w:rsidRPr="000A1F8C" w:rsidRDefault="00BD5588" w:rsidP="009E0502">
            <w:r w:rsidRPr="000A1F8C">
              <w:t>Atbilstības izmaksu monetārs novērtējums</w:t>
            </w:r>
          </w:p>
        </w:tc>
        <w:tc>
          <w:tcPr>
            <w:tcW w:w="5786" w:type="dxa"/>
            <w:gridSpan w:val="2"/>
            <w:hideMark/>
          </w:tcPr>
          <w:p w14:paraId="3417C61E" w14:textId="7CB220A1" w:rsidR="00BD5588" w:rsidRPr="000A1F8C" w:rsidRDefault="001B562B" w:rsidP="009E0502">
            <w:pPr>
              <w:rPr>
                <w:highlight w:val="yellow"/>
              </w:rPr>
            </w:pPr>
            <w:r w:rsidRPr="000A1F8C">
              <w:t>Projekts šo jomu neskar.</w:t>
            </w:r>
          </w:p>
        </w:tc>
      </w:tr>
      <w:tr w:rsidR="00BD5588" w:rsidRPr="000A1F8C" w14:paraId="50BF9763" w14:textId="77777777" w:rsidTr="00DB5C32">
        <w:tblPrEx>
          <w:shd w:val="clear" w:color="auto" w:fill="auto"/>
          <w:tblCellMar>
            <w:top w:w="30" w:type="dxa"/>
            <w:left w:w="30" w:type="dxa"/>
            <w:bottom w:w="30" w:type="dxa"/>
            <w:right w:w="30" w:type="dxa"/>
          </w:tblCellMar>
        </w:tblPrEx>
        <w:trPr>
          <w:cantSplit/>
        </w:trPr>
        <w:tc>
          <w:tcPr>
            <w:tcW w:w="514" w:type="dxa"/>
            <w:hideMark/>
          </w:tcPr>
          <w:p w14:paraId="2FB52579" w14:textId="77777777" w:rsidR="00BD5588" w:rsidRPr="000A1F8C" w:rsidRDefault="00BD5588" w:rsidP="009E0502">
            <w:pPr>
              <w:jc w:val="center"/>
            </w:pPr>
            <w:r w:rsidRPr="000A1F8C">
              <w:t>5.</w:t>
            </w:r>
          </w:p>
        </w:tc>
        <w:tc>
          <w:tcPr>
            <w:tcW w:w="2442" w:type="dxa"/>
            <w:gridSpan w:val="2"/>
            <w:hideMark/>
          </w:tcPr>
          <w:p w14:paraId="536B6873" w14:textId="77777777" w:rsidR="00BD5588" w:rsidRPr="000A1F8C" w:rsidRDefault="00BD5588" w:rsidP="009E0502">
            <w:r w:rsidRPr="000A1F8C">
              <w:t>Cita informācija</w:t>
            </w:r>
          </w:p>
        </w:tc>
        <w:tc>
          <w:tcPr>
            <w:tcW w:w="5786" w:type="dxa"/>
            <w:gridSpan w:val="2"/>
            <w:hideMark/>
          </w:tcPr>
          <w:p w14:paraId="5A92E748" w14:textId="77777777" w:rsidR="00BD5588" w:rsidRPr="000A1F8C" w:rsidRDefault="00461626" w:rsidP="009E0502">
            <w:r w:rsidRPr="000A1F8C">
              <w:t>Nav.</w:t>
            </w:r>
          </w:p>
        </w:tc>
      </w:tr>
      <w:tr w:rsidR="00BD5588" w:rsidRPr="000A1F8C" w14:paraId="4CFEDF35" w14:textId="77777777" w:rsidTr="00DB5C32">
        <w:tblPrEx>
          <w:shd w:val="clear" w:color="auto" w:fill="auto"/>
        </w:tblPrEx>
        <w:trPr>
          <w:cantSplit/>
        </w:trPr>
        <w:tc>
          <w:tcPr>
            <w:tcW w:w="8742" w:type="dxa"/>
            <w:gridSpan w:val="5"/>
            <w:shd w:val="clear" w:color="auto" w:fill="auto"/>
            <w:vAlign w:val="center"/>
            <w:hideMark/>
          </w:tcPr>
          <w:p w14:paraId="5332554A" w14:textId="77777777" w:rsidR="00BD5588" w:rsidRPr="000A1F8C" w:rsidRDefault="00BD5588" w:rsidP="009E0502">
            <w:pPr>
              <w:jc w:val="center"/>
              <w:rPr>
                <w:b/>
                <w:bCs/>
                <w:lang w:eastAsia="en-US"/>
              </w:rPr>
            </w:pPr>
            <w:r w:rsidRPr="000A1F8C">
              <w:rPr>
                <w:b/>
                <w:bCs/>
                <w:lang w:eastAsia="en-US"/>
              </w:rPr>
              <w:t>III. Tiesību akta projekta ietekme uz valsts budžetu un pašvaldību budžetiem</w:t>
            </w:r>
          </w:p>
        </w:tc>
      </w:tr>
      <w:tr w:rsidR="0083707D" w:rsidRPr="000A1F8C" w14:paraId="0A464073" w14:textId="77777777" w:rsidTr="00DB5C32">
        <w:tblPrEx>
          <w:shd w:val="clear" w:color="auto" w:fill="auto"/>
          <w:tblCellMar>
            <w:top w:w="30" w:type="dxa"/>
            <w:left w:w="30" w:type="dxa"/>
            <w:bottom w:w="30" w:type="dxa"/>
            <w:right w:w="30" w:type="dxa"/>
          </w:tblCellMar>
        </w:tblPrEx>
        <w:trPr>
          <w:cantSplit/>
        </w:trPr>
        <w:tc>
          <w:tcPr>
            <w:tcW w:w="8742" w:type="dxa"/>
            <w:gridSpan w:val="5"/>
            <w:hideMark/>
          </w:tcPr>
          <w:p w14:paraId="2DE3F863" w14:textId="77777777" w:rsidR="00DB5C32" w:rsidRDefault="00DB5C32" w:rsidP="00DB5C32">
            <w:pPr>
              <w:spacing w:line="276" w:lineRule="auto"/>
              <w:ind w:left="109" w:right="68"/>
              <w:jc w:val="both"/>
            </w:pPr>
            <w:r w:rsidRPr="000A1F8C">
              <w:t>Projekts šo jomu neskar.</w:t>
            </w:r>
          </w:p>
          <w:p w14:paraId="68C5E099" w14:textId="1DBCACC2" w:rsidR="0083707D" w:rsidRPr="000A1F8C" w:rsidRDefault="00DB5C32" w:rsidP="00DB5C32">
            <w:pPr>
              <w:spacing w:line="276" w:lineRule="auto"/>
              <w:ind w:left="109" w:right="68"/>
              <w:jc w:val="both"/>
            </w:pPr>
            <w:r>
              <w:t>M</w:t>
            </w:r>
            <w:r w:rsidRPr="00844D08">
              <w:t xml:space="preserve">ērķa grupas loka paplašināšanai nepieciešamais finansējums tiks nodrošināts Labklājības ministrijai (turpmāk – LM) un Sabiedrības integrācijas fondam </w:t>
            </w:r>
            <w:proofErr w:type="gramStart"/>
            <w:r w:rsidRPr="00844D08">
              <w:t>(</w:t>
            </w:r>
            <w:proofErr w:type="gramEnd"/>
            <w:r w:rsidRPr="00844D08">
              <w:t>turpmāk –</w:t>
            </w:r>
          </w:p>
        </w:tc>
      </w:tr>
      <w:tr w:rsidR="00DB5C32" w:rsidRPr="000A1F8C" w14:paraId="174A87F3" w14:textId="77777777" w:rsidTr="00DB5C32">
        <w:tblPrEx>
          <w:shd w:val="clear" w:color="auto" w:fill="auto"/>
          <w:tblCellMar>
            <w:top w:w="30" w:type="dxa"/>
            <w:left w:w="30" w:type="dxa"/>
            <w:bottom w:w="30" w:type="dxa"/>
            <w:right w:w="30" w:type="dxa"/>
          </w:tblCellMar>
        </w:tblPrEx>
        <w:trPr>
          <w:cantSplit/>
        </w:trPr>
        <w:tc>
          <w:tcPr>
            <w:tcW w:w="8742" w:type="dxa"/>
            <w:gridSpan w:val="5"/>
          </w:tcPr>
          <w:p w14:paraId="0D0F194E" w14:textId="5D01ECBD" w:rsidR="00DB5C32" w:rsidRPr="000A1F8C" w:rsidRDefault="00DB5C32" w:rsidP="00DB5C32">
            <w:pPr>
              <w:spacing w:line="276" w:lineRule="auto"/>
              <w:ind w:left="109" w:right="68"/>
              <w:jc w:val="both"/>
            </w:pPr>
            <w:r w:rsidRPr="00844D08">
              <w:lastRenderedPageBreak/>
              <w:t>SIF) Eiropas Atbalsta fonda vistrūcīgākajām personām pasākumu īstenošanai plānotā finansējuma ietvaros atbilstoši LM un SIF pamatbudžeta maksimāli pieļaujamajam izdevumu apjomam 2019.-2021.</w:t>
            </w:r>
            <w:r>
              <w:t xml:space="preserve"> </w:t>
            </w:r>
            <w:r w:rsidRPr="00844D08">
              <w:t>gadam.</w:t>
            </w:r>
          </w:p>
        </w:tc>
      </w:tr>
      <w:tr w:rsidR="0083707D" w:rsidRPr="000A1F8C" w14:paraId="33ED046F" w14:textId="77777777" w:rsidTr="00DB5C32">
        <w:tblPrEx>
          <w:shd w:val="clear" w:color="auto" w:fill="auto"/>
          <w:tblCellMar>
            <w:top w:w="30" w:type="dxa"/>
            <w:left w:w="30" w:type="dxa"/>
            <w:bottom w:w="30" w:type="dxa"/>
            <w:right w:w="30" w:type="dxa"/>
          </w:tblCellMar>
        </w:tblPrEx>
        <w:tc>
          <w:tcPr>
            <w:tcW w:w="8742" w:type="dxa"/>
            <w:gridSpan w:val="5"/>
            <w:vAlign w:val="center"/>
            <w:hideMark/>
          </w:tcPr>
          <w:p w14:paraId="17766428" w14:textId="77777777" w:rsidR="0083707D" w:rsidRPr="000A1F8C" w:rsidRDefault="0083707D" w:rsidP="00F034BD">
            <w:pPr>
              <w:jc w:val="center"/>
              <w:rPr>
                <w:b/>
                <w:bCs/>
              </w:rPr>
            </w:pPr>
            <w:r w:rsidRPr="000A1F8C">
              <w:rPr>
                <w:b/>
                <w:bCs/>
              </w:rPr>
              <w:t>IV. Tiesību akta projekta ietekme uz spēkā esošo tiesību normu sistēmu</w:t>
            </w:r>
          </w:p>
        </w:tc>
      </w:tr>
      <w:tr w:rsidR="0083707D" w:rsidRPr="000A1F8C" w14:paraId="484F5995" w14:textId="77777777" w:rsidTr="00DB5C32">
        <w:tblPrEx>
          <w:shd w:val="clear" w:color="auto" w:fill="auto"/>
          <w:tblCellMar>
            <w:top w:w="30" w:type="dxa"/>
            <w:left w:w="30" w:type="dxa"/>
            <w:bottom w:w="30" w:type="dxa"/>
            <w:right w:w="30" w:type="dxa"/>
          </w:tblCellMar>
        </w:tblPrEx>
        <w:tc>
          <w:tcPr>
            <w:tcW w:w="522" w:type="dxa"/>
            <w:gridSpan w:val="2"/>
            <w:hideMark/>
          </w:tcPr>
          <w:p w14:paraId="26CFEF1E" w14:textId="77777777" w:rsidR="0083707D" w:rsidRPr="000A1F8C" w:rsidRDefault="0083707D" w:rsidP="00F034BD">
            <w:pPr>
              <w:jc w:val="center"/>
            </w:pPr>
            <w:r w:rsidRPr="000A1F8C">
              <w:t>1.</w:t>
            </w:r>
          </w:p>
        </w:tc>
        <w:tc>
          <w:tcPr>
            <w:tcW w:w="2434" w:type="dxa"/>
            <w:hideMark/>
          </w:tcPr>
          <w:p w14:paraId="12150EBE" w14:textId="77777777" w:rsidR="0083707D" w:rsidRPr="000A1F8C" w:rsidRDefault="0083707D" w:rsidP="00F034BD">
            <w:r w:rsidRPr="000A1F8C">
              <w:t>Saistītie tiesību aktu projekti</w:t>
            </w:r>
          </w:p>
        </w:tc>
        <w:tc>
          <w:tcPr>
            <w:tcW w:w="5786" w:type="dxa"/>
            <w:gridSpan w:val="2"/>
            <w:hideMark/>
          </w:tcPr>
          <w:p w14:paraId="4CE35561" w14:textId="3B8C19BD" w:rsidR="00A74089" w:rsidRPr="000A1F8C" w:rsidRDefault="0040288F" w:rsidP="002C0E63">
            <w:pPr>
              <w:ind w:right="44"/>
              <w:jc w:val="both"/>
            </w:pPr>
            <w:r w:rsidRPr="000A1F8C">
              <w:t xml:space="preserve">Vienlaikus ar </w:t>
            </w:r>
            <w:r w:rsidRPr="000A1F8C">
              <w:rPr>
                <w:bCs/>
              </w:rPr>
              <w:t xml:space="preserve">Rīkojuma projektu </w:t>
            </w:r>
            <w:r w:rsidR="00046631" w:rsidRPr="000A1F8C">
              <w:t xml:space="preserve">izstrādāti arī grozījumi </w:t>
            </w:r>
            <w:r w:rsidR="00166AC7" w:rsidRPr="000A1F8C">
              <w:t>Ministru kabineta 25.11.2014. noteikumos Nr.727 “Darbības programmas "Pārtikas un pamata materiālās palīdzības sniegšana vistrūcīgākajām personām 2014.-2020.</w:t>
            </w:r>
            <w:r w:rsidR="00720083" w:rsidRPr="000A1F8C">
              <w:t> </w:t>
            </w:r>
            <w:r w:rsidR="00166AC7" w:rsidRPr="000A1F8C">
              <w:t>gada plānošanas periodā" īstenošanas noteikumi”.</w:t>
            </w:r>
          </w:p>
        </w:tc>
      </w:tr>
      <w:tr w:rsidR="0083707D" w:rsidRPr="000A1F8C" w14:paraId="68406200" w14:textId="77777777" w:rsidTr="00DB5C32">
        <w:tblPrEx>
          <w:shd w:val="clear" w:color="auto" w:fill="auto"/>
          <w:tblCellMar>
            <w:top w:w="30" w:type="dxa"/>
            <w:left w:w="30" w:type="dxa"/>
            <w:bottom w:w="30" w:type="dxa"/>
            <w:right w:w="30" w:type="dxa"/>
          </w:tblCellMar>
        </w:tblPrEx>
        <w:tc>
          <w:tcPr>
            <w:tcW w:w="522" w:type="dxa"/>
            <w:gridSpan w:val="2"/>
            <w:hideMark/>
          </w:tcPr>
          <w:p w14:paraId="272C7FD3" w14:textId="77777777" w:rsidR="0083707D" w:rsidRPr="000A1F8C" w:rsidRDefault="0083707D" w:rsidP="00F034BD">
            <w:pPr>
              <w:jc w:val="center"/>
            </w:pPr>
            <w:r w:rsidRPr="000A1F8C">
              <w:t>2.</w:t>
            </w:r>
          </w:p>
        </w:tc>
        <w:tc>
          <w:tcPr>
            <w:tcW w:w="2434" w:type="dxa"/>
            <w:hideMark/>
          </w:tcPr>
          <w:p w14:paraId="71307B32" w14:textId="77777777" w:rsidR="0083707D" w:rsidRPr="000A1F8C" w:rsidRDefault="0083707D" w:rsidP="00F034BD">
            <w:r w:rsidRPr="000A1F8C">
              <w:t>Atbildīgā institūcija</w:t>
            </w:r>
          </w:p>
        </w:tc>
        <w:tc>
          <w:tcPr>
            <w:tcW w:w="5786" w:type="dxa"/>
            <w:gridSpan w:val="2"/>
            <w:hideMark/>
          </w:tcPr>
          <w:p w14:paraId="6BF31A2F" w14:textId="7C8AFE1C" w:rsidR="0083707D" w:rsidRPr="000A1F8C" w:rsidRDefault="00E8634B" w:rsidP="00F034BD">
            <w:r w:rsidRPr="000A1F8C">
              <w:t>LM</w:t>
            </w:r>
          </w:p>
        </w:tc>
      </w:tr>
      <w:tr w:rsidR="0083707D" w:rsidRPr="000A1F8C" w14:paraId="3A5C3C8D" w14:textId="77777777" w:rsidTr="00DB5C32">
        <w:tblPrEx>
          <w:shd w:val="clear" w:color="auto" w:fill="auto"/>
          <w:tblCellMar>
            <w:top w:w="30" w:type="dxa"/>
            <w:left w:w="30" w:type="dxa"/>
            <w:bottom w:w="30" w:type="dxa"/>
            <w:right w:w="30" w:type="dxa"/>
          </w:tblCellMar>
        </w:tblPrEx>
        <w:tc>
          <w:tcPr>
            <w:tcW w:w="522" w:type="dxa"/>
            <w:gridSpan w:val="2"/>
            <w:hideMark/>
          </w:tcPr>
          <w:p w14:paraId="08FC8D9E" w14:textId="77777777" w:rsidR="0083707D" w:rsidRPr="000A1F8C" w:rsidRDefault="0083707D" w:rsidP="00F034BD">
            <w:pPr>
              <w:jc w:val="center"/>
            </w:pPr>
            <w:r w:rsidRPr="000A1F8C">
              <w:t>3.</w:t>
            </w:r>
          </w:p>
        </w:tc>
        <w:tc>
          <w:tcPr>
            <w:tcW w:w="2434" w:type="dxa"/>
            <w:hideMark/>
          </w:tcPr>
          <w:p w14:paraId="5BD1A44A" w14:textId="77777777" w:rsidR="0083707D" w:rsidRPr="000A1F8C" w:rsidRDefault="0083707D" w:rsidP="00F034BD">
            <w:r w:rsidRPr="000A1F8C">
              <w:t>Cita informācija</w:t>
            </w:r>
          </w:p>
        </w:tc>
        <w:tc>
          <w:tcPr>
            <w:tcW w:w="5786" w:type="dxa"/>
            <w:gridSpan w:val="2"/>
            <w:hideMark/>
          </w:tcPr>
          <w:p w14:paraId="14988613" w14:textId="5B4BEF64" w:rsidR="0083707D" w:rsidRPr="000A1F8C" w:rsidRDefault="00B44450" w:rsidP="00F034BD">
            <w:r w:rsidRPr="000A1F8C">
              <w:t>Nav</w:t>
            </w:r>
            <w:r w:rsidR="000A1590" w:rsidRPr="000A1F8C">
              <w:t>.</w:t>
            </w:r>
          </w:p>
        </w:tc>
      </w:tr>
      <w:tr w:rsidR="006B4398" w:rsidRPr="000A1F8C" w14:paraId="0AF3C2DD" w14:textId="77777777" w:rsidTr="00DB5C32">
        <w:tblPrEx>
          <w:shd w:val="clear" w:color="auto" w:fill="auto"/>
          <w:tblCellMar>
            <w:top w:w="30" w:type="dxa"/>
            <w:left w:w="30" w:type="dxa"/>
            <w:bottom w:w="30" w:type="dxa"/>
            <w:right w:w="30" w:type="dxa"/>
          </w:tblCellMar>
        </w:tblPrEx>
        <w:trPr>
          <w:cantSplit/>
        </w:trPr>
        <w:tc>
          <w:tcPr>
            <w:tcW w:w="8742" w:type="dxa"/>
            <w:gridSpan w:val="5"/>
            <w:vAlign w:val="center"/>
            <w:hideMark/>
          </w:tcPr>
          <w:p w14:paraId="0705F77A" w14:textId="77777777" w:rsidR="006B4398" w:rsidRPr="000A1F8C" w:rsidRDefault="006B4398" w:rsidP="003B7782">
            <w:pPr>
              <w:jc w:val="center"/>
              <w:rPr>
                <w:b/>
                <w:bCs/>
              </w:rPr>
            </w:pPr>
            <w:r w:rsidRPr="000A1F8C">
              <w:rPr>
                <w:b/>
                <w:bCs/>
              </w:rPr>
              <w:t>V. Tiesību akta projekta atbilstība Latvijas Republikas starptautiskajām saistībām</w:t>
            </w:r>
          </w:p>
        </w:tc>
      </w:tr>
      <w:tr w:rsidR="006B4398" w:rsidRPr="000A1F8C" w14:paraId="15A04772" w14:textId="77777777" w:rsidTr="00DB5C32">
        <w:tblPrEx>
          <w:shd w:val="clear" w:color="auto" w:fill="auto"/>
          <w:tblCellMar>
            <w:top w:w="30" w:type="dxa"/>
            <w:left w:w="30" w:type="dxa"/>
            <w:bottom w:w="30" w:type="dxa"/>
            <w:right w:w="30" w:type="dxa"/>
          </w:tblCellMar>
        </w:tblPrEx>
        <w:trPr>
          <w:cantSplit/>
        </w:trPr>
        <w:tc>
          <w:tcPr>
            <w:tcW w:w="8742" w:type="dxa"/>
            <w:gridSpan w:val="5"/>
            <w:hideMark/>
          </w:tcPr>
          <w:p w14:paraId="44874CF6" w14:textId="77777777" w:rsidR="006B4398" w:rsidRPr="000A1F8C" w:rsidRDefault="006B4398" w:rsidP="002C0E63">
            <w:pPr>
              <w:jc w:val="center"/>
            </w:pPr>
            <w:r w:rsidRPr="000A1F8C">
              <w:t>Projekts šo jomu neskar</w:t>
            </w:r>
          </w:p>
        </w:tc>
      </w:tr>
      <w:tr w:rsidR="00BD5588" w:rsidRPr="000A1F8C" w14:paraId="76C3A82A" w14:textId="77777777" w:rsidTr="00DB5C32">
        <w:tblPrEx>
          <w:shd w:val="clear" w:color="auto" w:fill="auto"/>
          <w:tblCellMar>
            <w:top w:w="30" w:type="dxa"/>
            <w:left w:w="30" w:type="dxa"/>
            <w:bottom w:w="30" w:type="dxa"/>
            <w:right w:w="30" w:type="dxa"/>
          </w:tblCellMar>
        </w:tblPrEx>
        <w:trPr>
          <w:cantSplit/>
        </w:trPr>
        <w:tc>
          <w:tcPr>
            <w:tcW w:w="8742" w:type="dxa"/>
            <w:gridSpan w:val="5"/>
            <w:vAlign w:val="center"/>
            <w:hideMark/>
          </w:tcPr>
          <w:p w14:paraId="5F69BEA5" w14:textId="5D77E6B6" w:rsidR="00BD5588" w:rsidRPr="000A1F8C" w:rsidRDefault="00BD5588" w:rsidP="009E0502">
            <w:pPr>
              <w:jc w:val="center"/>
              <w:rPr>
                <w:b/>
                <w:bCs/>
                <w:highlight w:val="yellow"/>
              </w:rPr>
            </w:pPr>
            <w:r w:rsidRPr="000A1F8C">
              <w:rPr>
                <w:b/>
                <w:bCs/>
              </w:rPr>
              <w:t>VI. Sabiedrības līdzdalība un komunikācijas aktivitātes</w:t>
            </w:r>
          </w:p>
        </w:tc>
      </w:tr>
      <w:tr w:rsidR="00046631" w:rsidRPr="000A1F8C" w14:paraId="7B12AD9B" w14:textId="77777777" w:rsidTr="00DB5C32">
        <w:tblPrEx>
          <w:shd w:val="clear" w:color="auto" w:fill="auto"/>
          <w:tblCellMar>
            <w:top w:w="30" w:type="dxa"/>
            <w:left w:w="30" w:type="dxa"/>
            <w:bottom w:w="30" w:type="dxa"/>
            <w:right w:w="30" w:type="dxa"/>
          </w:tblCellMar>
        </w:tblPrEx>
        <w:trPr>
          <w:cantSplit/>
        </w:trPr>
        <w:tc>
          <w:tcPr>
            <w:tcW w:w="514" w:type="dxa"/>
            <w:hideMark/>
          </w:tcPr>
          <w:p w14:paraId="4B17467F" w14:textId="77777777" w:rsidR="00046631" w:rsidRPr="000A1F8C" w:rsidRDefault="00046631" w:rsidP="00046631">
            <w:pPr>
              <w:jc w:val="center"/>
            </w:pPr>
            <w:r w:rsidRPr="000A1F8C">
              <w:t>1.</w:t>
            </w:r>
          </w:p>
        </w:tc>
        <w:tc>
          <w:tcPr>
            <w:tcW w:w="2442" w:type="dxa"/>
            <w:gridSpan w:val="2"/>
            <w:shd w:val="clear" w:color="auto" w:fill="auto"/>
            <w:hideMark/>
          </w:tcPr>
          <w:p w14:paraId="56F85E10" w14:textId="77777777" w:rsidR="00046631" w:rsidRPr="000A1F8C" w:rsidRDefault="00046631" w:rsidP="00046631">
            <w:r w:rsidRPr="000A1F8C">
              <w:t>Plānotās sabiedrības līdzdalības un komunikācijas aktivitātes saistībā ar projektu</w:t>
            </w:r>
          </w:p>
        </w:tc>
        <w:tc>
          <w:tcPr>
            <w:tcW w:w="5786" w:type="dxa"/>
            <w:gridSpan w:val="2"/>
            <w:shd w:val="clear" w:color="auto" w:fill="auto"/>
            <w:hideMark/>
          </w:tcPr>
          <w:p w14:paraId="5E6906F9" w14:textId="2E809649" w:rsidR="00046631" w:rsidRPr="000A1F8C" w:rsidRDefault="00046631" w:rsidP="00046631">
            <w:pPr>
              <w:tabs>
                <w:tab w:val="left" w:pos="855"/>
              </w:tabs>
              <w:jc w:val="both"/>
              <w:rPr>
                <w:iCs/>
              </w:rPr>
            </w:pPr>
            <w:r w:rsidRPr="000A1F8C">
              <w:rPr>
                <w:iCs/>
              </w:rPr>
              <w:t xml:space="preserve">Sabiedrības līdzdalību </w:t>
            </w:r>
            <w:r w:rsidR="00896A71" w:rsidRPr="000A1F8C">
              <w:rPr>
                <w:iCs/>
              </w:rPr>
              <w:t>Rīkojuma</w:t>
            </w:r>
            <w:r w:rsidRPr="000A1F8C">
              <w:rPr>
                <w:iCs/>
              </w:rPr>
              <w:t xml:space="preserve"> projektā nodrošina:</w:t>
            </w:r>
          </w:p>
          <w:p w14:paraId="7E3D5765" w14:textId="77777777" w:rsidR="00046631" w:rsidRPr="000A1F8C" w:rsidRDefault="00046631" w:rsidP="00046631">
            <w:pPr>
              <w:pStyle w:val="ListParagraph"/>
              <w:numPr>
                <w:ilvl w:val="0"/>
                <w:numId w:val="15"/>
              </w:numPr>
              <w:spacing w:after="0" w:line="240" w:lineRule="auto"/>
              <w:ind w:left="397" w:right="252"/>
              <w:jc w:val="both"/>
              <w:rPr>
                <w:rFonts w:ascii="Times New Roman" w:hAnsi="Times New Roman"/>
                <w:iCs/>
                <w:sz w:val="24"/>
                <w:szCs w:val="24"/>
              </w:rPr>
            </w:pPr>
            <w:r w:rsidRPr="000A1F8C">
              <w:rPr>
                <w:rFonts w:ascii="Times New Roman" w:hAnsi="Times New Roman"/>
                <w:iCs/>
                <w:sz w:val="24"/>
                <w:szCs w:val="24"/>
              </w:rPr>
              <w:t>Fonda konsultatīvās darba grupas iesaiste (2018. gada 5. jūnijs);</w:t>
            </w:r>
          </w:p>
          <w:p w14:paraId="113D632F" w14:textId="08295D3B" w:rsidR="00046631" w:rsidRPr="007B082A" w:rsidRDefault="00046631" w:rsidP="007B082A">
            <w:pPr>
              <w:pStyle w:val="ListParagraph"/>
              <w:numPr>
                <w:ilvl w:val="0"/>
                <w:numId w:val="15"/>
              </w:numPr>
              <w:spacing w:after="0" w:line="240" w:lineRule="auto"/>
              <w:ind w:left="397" w:right="252"/>
              <w:jc w:val="both"/>
              <w:rPr>
                <w:rFonts w:ascii="Times New Roman" w:hAnsi="Times New Roman"/>
                <w:iCs/>
                <w:sz w:val="24"/>
                <w:szCs w:val="24"/>
              </w:rPr>
            </w:pPr>
            <w:r w:rsidRPr="000A1F8C">
              <w:rPr>
                <w:rFonts w:ascii="Times New Roman" w:hAnsi="Times New Roman"/>
                <w:iCs/>
                <w:sz w:val="24"/>
                <w:szCs w:val="24"/>
              </w:rPr>
              <w:t>Ikgadējā Fonda darbības programmas novērtēšanas sanāksme (2017. gada 1. decembris)</w:t>
            </w:r>
          </w:p>
        </w:tc>
      </w:tr>
      <w:tr w:rsidR="00046631" w:rsidRPr="000A1F8C" w14:paraId="132D14B3" w14:textId="77777777" w:rsidTr="00DB5C32">
        <w:tblPrEx>
          <w:shd w:val="clear" w:color="auto" w:fill="auto"/>
          <w:tblCellMar>
            <w:top w:w="30" w:type="dxa"/>
            <w:left w:w="30" w:type="dxa"/>
            <w:bottom w:w="30" w:type="dxa"/>
            <w:right w:w="30" w:type="dxa"/>
          </w:tblCellMar>
        </w:tblPrEx>
        <w:trPr>
          <w:cantSplit/>
        </w:trPr>
        <w:tc>
          <w:tcPr>
            <w:tcW w:w="514" w:type="dxa"/>
            <w:shd w:val="clear" w:color="auto" w:fill="auto"/>
            <w:hideMark/>
          </w:tcPr>
          <w:p w14:paraId="169B019B" w14:textId="5E40D5C0" w:rsidR="00046631" w:rsidRPr="000A1F8C" w:rsidRDefault="00046631" w:rsidP="00046631">
            <w:pPr>
              <w:jc w:val="center"/>
            </w:pPr>
            <w:r w:rsidRPr="000A1F8C">
              <w:t>2.</w:t>
            </w:r>
          </w:p>
        </w:tc>
        <w:tc>
          <w:tcPr>
            <w:tcW w:w="2442" w:type="dxa"/>
            <w:gridSpan w:val="2"/>
            <w:shd w:val="clear" w:color="auto" w:fill="auto"/>
            <w:hideMark/>
          </w:tcPr>
          <w:p w14:paraId="5399592B" w14:textId="77777777" w:rsidR="00046631" w:rsidRPr="000A1F8C" w:rsidRDefault="00046631" w:rsidP="00046631">
            <w:r w:rsidRPr="000A1F8C">
              <w:t>Sabiedrības līdzdalība projekta izstrādē</w:t>
            </w:r>
          </w:p>
        </w:tc>
        <w:tc>
          <w:tcPr>
            <w:tcW w:w="5786" w:type="dxa"/>
            <w:gridSpan w:val="2"/>
            <w:shd w:val="clear" w:color="auto" w:fill="auto"/>
          </w:tcPr>
          <w:p w14:paraId="7D177C8A" w14:textId="02CE5D24" w:rsidR="00046631" w:rsidRPr="000A1F8C" w:rsidRDefault="00046631" w:rsidP="00046631">
            <w:pPr>
              <w:pStyle w:val="ListParagraph"/>
              <w:numPr>
                <w:ilvl w:val="0"/>
                <w:numId w:val="16"/>
              </w:numPr>
              <w:ind w:left="397" w:right="252"/>
              <w:jc w:val="both"/>
              <w:rPr>
                <w:rFonts w:ascii="Times New Roman" w:hAnsi="Times New Roman"/>
                <w:sz w:val="24"/>
                <w:szCs w:val="24"/>
              </w:rPr>
            </w:pPr>
            <w:r w:rsidRPr="000A1F8C">
              <w:rPr>
                <w:rFonts w:ascii="Times New Roman" w:hAnsi="Times New Roman"/>
                <w:sz w:val="24"/>
                <w:szCs w:val="24"/>
              </w:rPr>
              <w:t>Fonda Konsultatīvā darba grupa sanāksmē pozitīvi novērtēja Fonda vadošā</w:t>
            </w:r>
            <w:r w:rsidR="000A1F8C" w:rsidRPr="000A1F8C">
              <w:rPr>
                <w:rFonts w:ascii="Times New Roman" w:hAnsi="Times New Roman"/>
                <w:sz w:val="24"/>
                <w:szCs w:val="24"/>
              </w:rPr>
              <w:t>s</w:t>
            </w:r>
            <w:r w:rsidRPr="000A1F8C">
              <w:rPr>
                <w:rFonts w:ascii="Times New Roman" w:hAnsi="Times New Roman"/>
                <w:sz w:val="24"/>
                <w:szCs w:val="24"/>
              </w:rPr>
              <w:t xml:space="preserve"> iestādes uzsākto izvērtējumu saistībā ar atbalstāmo personu skaita samazinājumu un nepieciešamajiem pasākumiem izmaiņām Fonda atbalsta saturā, veidā un atbalstāmo personu lokā. </w:t>
            </w:r>
          </w:p>
          <w:p w14:paraId="35EA503D" w14:textId="77777777" w:rsidR="00046631" w:rsidRDefault="00046631" w:rsidP="00046631">
            <w:pPr>
              <w:pStyle w:val="ListParagraph"/>
              <w:numPr>
                <w:ilvl w:val="0"/>
                <w:numId w:val="16"/>
              </w:numPr>
              <w:ind w:left="397" w:right="252"/>
              <w:jc w:val="both"/>
              <w:rPr>
                <w:rFonts w:ascii="Times New Roman" w:hAnsi="Times New Roman"/>
                <w:sz w:val="24"/>
                <w:szCs w:val="24"/>
              </w:rPr>
            </w:pPr>
            <w:r w:rsidRPr="000A1F8C">
              <w:rPr>
                <w:rFonts w:ascii="Times New Roman" w:hAnsi="Times New Roman"/>
                <w:sz w:val="24"/>
                <w:szCs w:val="24"/>
              </w:rPr>
              <w:t>Ikgadējās Fonda darbības programmas novērtēšanas sanāksmes dalībnieki rosināja paplašināt pamata materiālās palīdzības saņēmēju loku.</w:t>
            </w:r>
          </w:p>
          <w:p w14:paraId="3CFEB9DC" w14:textId="791509A6" w:rsidR="007B082A" w:rsidRPr="000A1F8C" w:rsidRDefault="007B082A" w:rsidP="006A11D1">
            <w:pPr>
              <w:pStyle w:val="ListParagraph"/>
              <w:numPr>
                <w:ilvl w:val="0"/>
                <w:numId w:val="16"/>
              </w:numPr>
              <w:spacing w:after="120"/>
              <w:ind w:left="397" w:right="249" w:hanging="357"/>
              <w:jc w:val="both"/>
              <w:rPr>
                <w:rFonts w:ascii="Times New Roman" w:hAnsi="Times New Roman"/>
                <w:sz w:val="24"/>
                <w:szCs w:val="24"/>
              </w:rPr>
            </w:pPr>
            <w:r w:rsidRPr="000A1F8C">
              <w:rPr>
                <w:rFonts w:ascii="Times New Roman" w:hAnsi="Times New Roman"/>
                <w:iCs/>
                <w:sz w:val="24"/>
                <w:szCs w:val="24"/>
              </w:rPr>
              <w:t>Informācijas par Rīkojuma projektu ievietošana LM tīmekļa vietnē 2018. gada 29.oktobrī, t.i., pirms Rīkojuma projekta izsludināšanas Valsts sekretāru sanāksmē un aicinājums sadarbības partneriem un iedzīvotājiem izteikt viedokļus un priekšlikumus. Sabiedrības pārstāvji var līdzdarboties Rīkojuma projekta izstrādē, sniedzot atzinumu par tiem arī pēc izsludināšanas Valsts sekretāru sanāksmē.</w:t>
            </w:r>
          </w:p>
        </w:tc>
      </w:tr>
      <w:tr w:rsidR="00046631" w:rsidRPr="000A1F8C" w14:paraId="388BC388" w14:textId="77777777" w:rsidTr="00DB5C32">
        <w:tblPrEx>
          <w:shd w:val="clear" w:color="auto" w:fill="auto"/>
          <w:tblCellMar>
            <w:top w:w="30" w:type="dxa"/>
            <w:left w:w="30" w:type="dxa"/>
            <w:bottom w:w="30" w:type="dxa"/>
            <w:right w:w="30" w:type="dxa"/>
          </w:tblCellMar>
        </w:tblPrEx>
        <w:trPr>
          <w:cantSplit/>
        </w:trPr>
        <w:tc>
          <w:tcPr>
            <w:tcW w:w="514" w:type="dxa"/>
            <w:shd w:val="clear" w:color="auto" w:fill="auto"/>
            <w:hideMark/>
          </w:tcPr>
          <w:p w14:paraId="437FE075" w14:textId="77777777" w:rsidR="00046631" w:rsidRPr="000A1F8C" w:rsidRDefault="00046631" w:rsidP="00046631">
            <w:pPr>
              <w:jc w:val="center"/>
            </w:pPr>
            <w:r w:rsidRPr="000A1F8C">
              <w:lastRenderedPageBreak/>
              <w:t>3.</w:t>
            </w:r>
          </w:p>
        </w:tc>
        <w:tc>
          <w:tcPr>
            <w:tcW w:w="2442" w:type="dxa"/>
            <w:gridSpan w:val="2"/>
            <w:shd w:val="clear" w:color="auto" w:fill="auto"/>
            <w:hideMark/>
          </w:tcPr>
          <w:p w14:paraId="1BD2C2A5" w14:textId="77777777" w:rsidR="00046631" w:rsidRPr="000A1F8C" w:rsidRDefault="00046631" w:rsidP="00046631">
            <w:r w:rsidRPr="000A1F8C">
              <w:t>Sabiedrības līdzdalības rezultāti</w:t>
            </w:r>
          </w:p>
        </w:tc>
        <w:tc>
          <w:tcPr>
            <w:tcW w:w="5786" w:type="dxa"/>
            <w:gridSpan w:val="2"/>
            <w:shd w:val="clear" w:color="auto" w:fill="auto"/>
            <w:hideMark/>
          </w:tcPr>
          <w:p w14:paraId="5A9BD5B1" w14:textId="1AAADDE6" w:rsidR="00046631" w:rsidRPr="000A1F8C" w:rsidRDefault="00046631" w:rsidP="000A1F8C">
            <w:pPr>
              <w:spacing w:line="276" w:lineRule="auto"/>
              <w:ind w:left="397" w:right="351" w:hanging="284"/>
              <w:jc w:val="both"/>
              <w:rPr>
                <w:iCs/>
              </w:rPr>
            </w:pPr>
            <w:r w:rsidRPr="000A1F8C">
              <w:rPr>
                <w:iCs/>
              </w:rPr>
              <w:t>1. Pamatojoties uz konsultatīvās darba grupas sanāksmē atbalstīto priekšlikumu attīstību un ikgadējā Fonda darbības programmas novērtēšanas sanāksmē panākto vienošanos un viedokļu saskaņojumu sagatavots Rīkojuma projekts;</w:t>
            </w:r>
          </w:p>
          <w:p w14:paraId="16B13585" w14:textId="77777777" w:rsidR="00046631" w:rsidRDefault="00046631" w:rsidP="000A1F8C">
            <w:pPr>
              <w:spacing w:line="276" w:lineRule="auto"/>
              <w:ind w:left="397" w:right="351" w:hanging="284"/>
              <w:jc w:val="both"/>
              <w:rPr>
                <w:iCs/>
              </w:rPr>
            </w:pPr>
            <w:r w:rsidRPr="000A1F8C">
              <w:rPr>
                <w:iCs/>
              </w:rPr>
              <w:t>2. Par Rīkojuma projektu tā izstrādes stadijā sabie</w:t>
            </w:r>
            <w:r w:rsidR="000A1F8C" w:rsidRPr="000A1F8C">
              <w:rPr>
                <w:iCs/>
              </w:rPr>
              <w:t>drības viedoklis netika saņemts.</w:t>
            </w:r>
          </w:p>
          <w:p w14:paraId="7F81FB1F" w14:textId="275EEBA3" w:rsidR="007B082A" w:rsidRPr="000A1F8C" w:rsidRDefault="007B082A" w:rsidP="007B082A">
            <w:pPr>
              <w:spacing w:line="276" w:lineRule="auto"/>
              <w:ind w:left="113" w:right="351"/>
              <w:jc w:val="both"/>
              <w:rPr>
                <w:iCs/>
              </w:rPr>
            </w:pPr>
            <w:r>
              <w:rPr>
                <w:iCs/>
              </w:rPr>
              <w:t>Sabiedrības pārstāvju priekšlikumi ir ņemti vērā projekta izstrādes procesā.</w:t>
            </w:r>
          </w:p>
        </w:tc>
      </w:tr>
      <w:tr w:rsidR="00166AC7" w:rsidRPr="000A1F8C" w14:paraId="28A6D3BD" w14:textId="77777777" w:rsidTr="00DB5C32">
        <w:tblPrEx>
          <w:shd w:val="clear" w:color="auto" w:fill="auto"/>
          <w:tblCellMar>
            <w:top w:w="30" w:type="dxa"/>
            <w:left w:w="30" w:type="dxa"/>
            <w:bottom w:w="30" w:type="dxa"/>
            <w:right w:w="30" w:type="dxa"/>
          </w:tblCellMar>
        </w:tblPrEx>
        <w:trPr>
          <w:cantSplit/>
        </w:trPr>
        <w:tc>
          <w:tcPr>
            <w:tcW w:w="514" w:type="dxa"/>
            <w:shd w:val="clear" w:color="auto" w:fill="auto"/>
            <w:hideMark/>
          </w:tcPr>
          <w:p w14:paraId="64D90834" w14:textId="77777777" w:rsidR="00166AC7" w:rsidRPr="000A1F8C" w:rsidRDefault="00166AC7" w:rsidP="00166AC7">
            <w:pPr>
              <w:jc w:val="center"/>
            </w:pPr>
            <w:r w:rsidRPr="000A1F8C">
              <w:t>4.</w:t>
            </w:r>
          </w:p>
        </w:tc>
        <w:tc>
          <w:tcPr>
            <w:tcW w:w="2442" w:type="dxa"/>
            <w:gridSpan w:val="2"/>
            <w:shd w:val="clear" w:color="auto" w:fill="auto"/>
            <w:hideMark/>
          </w:tcPr>
          <w:p w14:paraId="751C9DE3" w14:textId="77777777" w:rsidR="00166AC7" w:rsidRPr="000A1F8C" w:rsidRDefault="00166AC7" w:rsidP="00166AC7">
            <w:r w:rsidRPr="000A1F8C">
              <w:t>Cita informācija</w:t>
            </w:r>
          </w:p>
        </w:tc>
        <w:tc>
          <w:tcPr>
            <w:tcW w:w="5786" w:type="dxa"/>
            <w:gridSpan w:val="2"/>
            <w:shd w:val="clear" w:color="auto" w:fill="auto"/>
            <w:hideMark/>
          </w:tcPr>
          <w:p w14:paraId="65E1F5FD" w14:textId="2844F5F9" w:rsidR="00166AC7" w:rsidRPr="000A1F8C" w:rsidRDefault="00166AC7" w:rsidP="00166AC7">
            <w:r w:rsidRPr="000A1F8C">
              <w:rPr>
                <w:iCs/>
              </w:rPr>
              <w:t>Nav.</w:t>
            </w:r>
          </w:p>
        </w:tc>
      </w:tr>
      <w:tr w:rsidR="00BD5588" w:rsidRPr="000A1F8C" w14:paraId="2903BBE8" w14:textId="77777777" w:rsidTr="00DB5C32">
        <w:tblPrEx>
          <w:shd w:val="clear" w:color="auto" w:fill="auto"/>
          <w:tblCellMar>
            <w:top w:w="30" w:type="dxa"/>
            <w:left w:w="30" w:type="dxa"/>
            <w:bottom w:w="30" w:type="dxa"/>
            <w:right w:w="30" w:type="dxa"/>
          </w:tblCellMar>
        </w:tblPrEx>
        <w:trPr>
          <w:cantSplit/>
        </w:trPr>
        <w:tc>
          <w:tcPr>
            <w:tcW w:w="8742" w:type="dxa"/>
            <w:gridSpan w:val="5"/>
            <w:vAlign w:val="center"/>
            <w:hideMark/>
          </w:tcPr>
          <w:p w14:paraId="124981C2" w14:textId="77777777" w:rsidR="00BD5588" w:rsidRPr="000A1F8C" w:rsidRDefault="00BD5588" w:rsidP="009E0502">
            <w:pPr>
              <w:jc w:val="center"/>
              <w:rPr>
                <w:b/>
                <w:bCs/>
              </w:rPr>
            </w:pPr>
            <w:r w:rsidRPr="000A1F8C">
              <w:rPr>
                <w:b/>
                <w:bCs/>
              </w:rPr>
              <w:t>VII. Tiesību akta projekta izpildes nodrošināšana un tās ietekme uz institūcijām</w:t>
            </w:r>
          </w:p>
        </w:tc>
      </w:tr>
      <w:tr w:rsidR="00BD5588" w:rsidRPr="000A1F8C" w14:paraId="6A94A9C7" w14:textId="77777777" w:rsidTr="00DB5C32">
        <w:tblPrEx>
          <w:shd w:val="clear" w:color="auto" w:fill="auto"/>
          <w:tblCellMar>
            <w:top w:w="30" w:type="dxa"/>
            <w:left w:w="30" w:type="dxa"/>
            <w:bottom w:w="30" w:type="dxa"/>
            <w:right w:w="30" w:type="dxa"/>
          </w:tblCellMar>
        </w:tblPrEx>
        <w:trPr>
          <w:cantSplit/>
        </w:trPr>
        <w:tc>
          <w:tcPr>
            <w:tcW w:w="514" w:type="dxa"/>
            <w:hideMark/>
          </w:tcPr>
          <w:p w14:paraId="0F4C7140" w14:textId="77777777" w:rsidR="00BD5588" w:rsidRPr="000A1F8C" w:rsidRDefault="00BD5588" w:rsidP="009E0502">
            <w:pPr>
              <w:jc w:val="center"/>
            </w:pPr>
            <w:r w:rsidRPr="000A1F8C">
              <w:t>1.</w:t>
            </w:r>
          </w:p>
        </w:tc>
        <w:tc>
          <w:tcPr>
            <w:tcW w:w="2442" w:type="dxa"/>
            <w:gridSpan w:val="2"/>
            <w:hideMark/>
          </w:tcPr>
          <w:p w14:paraId="02A1600C" w14:textId="77777777" w:rsidR="00BD5588" w:rsidRPr="000A1F8C" w:rsidRDefault="00BD5588" w:rsidP="009E0502">
            <w:r w:rsidRPr="000A1F8C">
              <w:t>Projekta izpildē iesaistītās institūcijas</w:t>
            </w:r>
          </w:p>
        </w:tc>
        <w:tc>
          <w:tcPr>
            <w:tcW w:w="5786" w:type="dxa"/>
            <w:gridSpan w:val="2"/>
            <w:hideMark/>
          </w:tcPr>
          <w:p w14:paraId="77D8446E" w14:textId="6C8C6787" w:rsidR="00BD5588" w:rsidRPr="000A1F8C" w:rsidRDefault="00E8634B" w:rsidP="00166AC7">
            <w:pPr>
              <w:jc w:val="both"/>
            </w:pPr>
            <w:r w:rsidRPr="000A1F8C">
              <w:t>LM</w:t>
            </w:r>
          </w:p>
          <w:p w14:paraId="03EE5DE4" w14:textId="3EC635B5" w:rsidR="00046631" w:rsidRPr="000A1F8C" w:rsidRDefault="00046631" w:rsidP="00166AC7">
            <w:pPr>
              <w:jc w:val="both"/>
            </w:pPr>
            <w:r w:rsidRPr="000A1F8C">
              <w:t>Sabiedrības integrācijas fonds</w:t>
            </w:r>
          </w:p>
        </w:tc>
      </w:tr>
      <w:tr w:rsidR="006B5440" w:rsidRPr="000A1F8C" w14:paraId="293D4712" w14:textId="77777777" w:rsidTr="00DB5C32">
        <w:tblPrEx>
          <w:shd w:val="clear" w:color="auto" w:fill="auto"/>
          <w:tblCellMar>
            <w:top w:w="30" w:type="dxa"/>
            <w:left w:w="30" w:type="dxa"/>
            <w:bottom w:w="30" w:type="dxa"/>
            <w:right w:w="30" w:type="dxa"/>
          </w:tblCellMar>
        </w:tblPrEx>
        <w:trPr>
          <w:cantSplit/>
        </w:trPr>
        <w:tc>
          <w:tcPr>
            <w:tcW w:w="514" w:type="dxa"/>
            <w:hideMark/>
          </w:tcPr>
          <w:p w14:paraId="64421FBB" w14:textId="77777777" w:rsidR="006B5440" w:rsidRPr="000A1F8C" w:rsidRDefault="006B5440" w:rsidP="006B5440">
            <w:pPr>
              <w:jc w:val="center"/>
            </w:pPr>
            <w:r w:rsidRPr="000A1F8C">
              <w:t>2.</w:t>
            </w:r>
          </w:p>
        </w:tc>
        <w:tc>
          <w:tcPr>
            <w:tcW w:w="2442" w:type="dxa"/>
            <w:gridSpan w:val="2"/>
            <w:hideMark/>
          </w:tcPr>
          <w:p w14:paraId="57C841CB" w14:textId="77777777" w:rsidR="006B5440" w:rsidRPr="000A1F8C" w:rsidRDefault="006B5440" w:rsidP="006B5440">
            <w:r w:rsidRPr="000A1F8C">
              <w:t>Projekta izpildes ietekme uz pārvaldes funkcijām un institucionālo struktūru.</w:t>
            </w:r>
            <w:r w:rsidRPr="000A1F8C">
              <w:br/>
              <w:t>Jaunu institūciju izveide, esošu institūciju likvidācija vai reorganizācija, to ietekme uz institūcijas cilvēkresursiem</w:t>
            </w:r>
          </w:p>
        </w:tc>
        <w:tc>
          <w:tcPr>
            <w:tcW w:w="5786" w:type="dxa"/>
            <w:gridSpan w:val="2"/>
            <w:hideMark/>
          </w:tcPr>
          <w:p w14:paraId="3890E210" w14:textId="68844CC6" w:rsidR="006B5440" w:rsidRPr="000A1F8C" w:rsidRDefault="00046631" w:rsidP="006A11D1">
            <w:pPr>
              <w:pStyle w:val="ListParagraph"/>
              <w:shd w:val="clear" w:color="auto" w:fill="FFFFFF"/>
              <w:spacing w:after="0"/>
              <w:ind w:left="0" w:right="57"/>
              <w:contextualSpacing w:val="0"/>
              <w:jc w:val="both"/>
              <w:rPr>
                <w:rFonts w:ascii="Times New Roman" w:hAnsi="Times New Roman" w:cs="Times New Roman"/>
                <w:sz w:val="24"/>
                <w:szCs w:val="24"/>
              </w:rPr>
            </w:pPr>
            <w:r w:rsidRPr="000A1F8C">
              <w:rPr>
                <w:rFonts w:ascii="Times New Roman" w:hAnsi="Times New Roman"/>
                <w:sz w:val="24"/>
                <w:szCs w:val="24"/>
              </w:rPr>
              <w:t>Rīkojuma projekts neparedz funkciju paplašināšanu vai sašaurināšanu, kā arī neietekmē pieejamos cilvēkresursus</w:t>
            </w:r>
            <w:r w:rsidR="00160701">
              <w:rPr>
                <w:rFonts w:ascii="Times New Roman" w:hAnsi="Times New Roman"/>
                <w:sz w:val="24"/>
                <w:szCs w:val="24"/>
              </w:rPr>
              <w:t>, neparedz veidot jaunas institūcijas vai reorganizēt esošās.</w:t>
            </w:r>
          </w:p>
        </w:tc>
      </w:tr>
      <w:tr w:rsidR="006B5440" w:rsidRPr="000A1F8C" w14:paraId="3F0C0D87" w14:textId="77777777" w:rsidTr="00DB5C32">
        <w:tblPrEx>
          <w:shd w:val="clear" w:color="auto" w:fill="auto"/>
          <w:tblCellMar>
            <w:top w:w="30" w:type="dxa"/>
            <w:left w:w="30" w:type="dxa"/>
            <w:bottom w:w="30" w:type="dxa"/>
            <w:right w:w="30" w:type="dxa"/>
          </w:tblCellMar>
        </w:tblPrEx>
        <w:trPr>
          <w:cantSplit/>
        </w:trPr>
        <w:tc>
          <w:tcPr>
            <w:tcW w:w="514" w:type="dxa"/>
            <w:hideMark/>
          </w:tcPr>
          <w:p w14:paraId="2EDC4D6A" w14:textId="77777777" w:rsidR="006B5440" w:rsidRPr="000A1F8C" w:rsidRDefault="006B5440" w:rsidP="006B5440">
            <w:pPr>
              <w:jc w:val="center"/>
            </w:pPr>
            <w:r w:rsidRPr="000A1F8C">
              <w:t>3.</w:t>
            </w:r>
          </w:p>
        </w:tc>
        <w:tc>
          <w:tcPr>
            <w:tcW w:w="2442" w:type="dxa"/>
            <w:gridSpan w:val="2"/>
            <w:hideMark/>
          </w:tcPr>
          <w:p w14:paraId="5492A71C" w14:textId="77777777" w:rsidR="006B5440" w:rsidRPr="000A1F8C" w:rsidRDefault="006B5440" w:rsidP="006B5440">
            <w:r w:rsidRPr="000A1F8C">
              <w:t>Cita informācija</w:t>
            </w:r>
          </w:p>
        </w:tc>
        <w:tc>
          <w:tcPr>
            <w:tcW w:w="5786" w:type="dxa"/>
            <w:gridSpan w:val="2"/>
            <w:hideMark/>
          </w:tcPr>
          <w:p w14:paraId="1921C194" w14:textId="77777777" w:rsidR="006B5440" w:rsidRPr="000A1F8C" w:rsidRDefault="006B5440" w:rsidP="006B5440">
            <w:r w:rsidRPr="000A1F8C">
              <w:t>Nav.</w:t>
            </w:r>
          </w:p>
        </w:tc>
      </w:tr>
    </w:tbl>
    <w:p w14:paraId="7AB693BB" w14:textId="77777777" w:rsidR="00EE7372" w:rsidRPr="000A1F8C" w:rsidRDefault="00EE7372" w:rsidP="00EE7372">
      <w:pPr>
        <w:tabs>
          <w:tab w:val="left" w:pos="4680"/>
        </w:tabs>
        <w:ind w:left="567"/>
      </w:pPr>
    </w:p>
    <w:p w14:paraId="5F9B5699" w14:textId="77777777" w:rsidR="00EE7372" w:rsidRDefault="00EE7372" w:rsidP="00EE7372">
      <w:pPr>
        <w:tabs>
          <w:tab w:val="left" w:pos="4680"/>
        </w:tabs>
        <w:ind w:left="567"/>
      </w:pPr>
    </w:p>
    <w:p w14:paraId="37106AD8" w14:textId="77777777" w:rsidR="00F32A81" w:rsidRDefault="00F32A81" w:rsidP="00EE7372">
      <w:pPr>
        <w:tabs>
          <w:tab w:val="left" w:pos="4680"/>
        </w:tabs>
        <w:ind w:left="567"/>
      </w:pPr>
    </w:p>
    <w:p w14:paraId="147474F7" w14:textId="77777777" w:rsidR="00F32A81" w:rsidRDefault="00F32A81" w:rsidP="00EE7372">
      <w:pPr>
        <w:tabs>
          <w:tab w:val="left" w:pos="4680"/>
        </w:tabs>
        <w:ind w:left="567"/>
      </w:pPr>
    </w:p>
    <w:p w14:paraId="4B41C08F" w14:textId="77777777" w:rsidR="00DB5C32" w:rsidRPr="000A1F8C" w:rsidRDefault="00DB5C32" w:rsidP="00EE7372">
      <w:pPr>
        <w:tabs>
          <w:tab w:val="left" w:pos="4680"/>
        </w:tabs>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822"/>
      </w:tblGrid>
      <w:tr w:rsidR="006A11D1" w14:paraId="0E94B060" w14:textId="77777777" w:rsidTr="006A11D1">
        <w:tc>
          <w:tcPr>
            <w:tcW w:w="4127" w:type="dxa"/>
          </w:tcPr>
          <w:p w14:paraId="6E9ACD5F" w14:textId="60950182" w:rsidR="006A11D1" w:rsidRDefault="006A11D1" w:rsidP="00EE7372">
            <w:pPr>
              <w:tabs>
                <w:tab w:val="left" w:pos="4680"/>
              </w:tabs>
            </w:pPr>
            <w:r w:rsidRPr="000A1F8C">
              <w:t>Labklājības ministrs</w:t>
            </w:r>
          </w:p>
        </w:tc>
        <w:tc>
          <w:tcPr>
            <w:tcW w:w="4128" w:type="dxa"/>
          </w:tcPr>
          <w:p w14:paraId="43C5993E" w14:textId="293C0B6A" w:rsidR="006A11D1" w:rsidRDefault="006A11D1" w:rsidP="006A11D1">
            <w:pPr>
              <w:tabs>
                <w:tab w:val="left" w:pos="4680"/>
              </w:tabs>
              <w:jc w:val="right"/>
            </w:pPr>
            <w:r w:rsidRPr="000A1F8C">
              <w:t>Jānis Reirs</w:t>
            </w:r>
          </w:p>
        </w:tc>
      </w:tr>
    </w:tbl>
    <w:p w14:paraId="42E4C30C" w14:textId="77777777" w:rsidR="00160701" w:rsidRDefault="00160701" w:rsidP="00EE7372">
      <w:pPr>
        <w:tabs>
          <w:tab w:val="left" w:pos="4680"/>
        </w:tabs>
        <w:ind w:left="567"/>
      </w:pPr>
    </w:p>
    <w:p w14:paraId="10EDF3A4" w14:textId="77777777" w:rsidR="00160701" w:rsidRDefault="00160701" w:rsidP="00EE7372">
      <w:pPr>
        <w:tabs>
          <w:tab w:val="left" w:pos="4680"/>
        </w:tabs>
        <w:ind w:left="567"/>
      </w:pPr>
    </w:p>
    <w:p w14:paraId="3484F8E1" w14:textId="77777777" w:rsidR="00DB5C32" w:rsidRDefault="00DB5C32" w:rsidP="00EE7372">
      <w:pPr>
        <w:tabs>
          <w:tab w:val="left" w:pos="4680"/>
        </w:tabs>
        <w:ind w:left="567"/>
      </w:pPr>
    </w:p>
    <w:p w14:paraId="6F957A21" w14:textId="77777777" w:rsidR="006A11D1" w:rsidRDefault="006A11D1" w:rsidP="00EE7372">
      <w:pPr>
        <w:tabs>
          <w:tab w:val="left" w:pos="4680"/>
        </w:tabs>
        <w:ind w:left="567"/>
      </w:pPr>
    </w:p>
    <w:p w14:paraId="547B2F36" w14:textId="77777777" w:rsidR="006A11D1" w:rsidRDefault="006A11D1" w:rsidP="00EE7372">
      <w:pPr>
        <w:tabs>
          <w:tab w:val="left" w:pos="4680"/>
        </w:tabs>
        <w:ind w:left="567"/>
      </w:pPr>
    </w:p>
    <w:p w14:paraId="43983CB2" w14:textId="77777777" w:rsidR="00160701" w:rsidRDefault="00160701" w:rsidP="005E5C58">
      <w:pPr>
        <w:spacing w:line="276" w:lineRule="auto"/>
        <w:ind w:firstLine="720"/>
        <w:rPr>
          <w:sz w:val="20"/>
          <w:szCs w:val="20"/>
        </w:rPr>
      </w:pPr>
    </w:p>
    <w:p w14:paraId="52B7E0D3" w14:textId="77777777" w:rsidR="00F32A81" w:rsidRDefault="00F32A81" w:rsidP="005E5C58">
      <w:pPr>
        <w:spacing w:line="276" w:lineRule="auto"/>
        <w:ind w:firstLine="720"/>
        <w:rPr>
          <w:sz w:val="20"/>
          <w:szCs w:val="20"/>
        </w:rPr>
      </w:pPr>
    </w:p>
    <w:p w14:paraId="7338E839" w14:textId="77777777" w:rsidR="00F32A81" w:rsidRDefault="00F32A81" w:rsidP="005E5C58">
      <w:pPr>
        <w:spacing w:line="276" w:lineRule="auto"/>
        <w:ind w:firstLine="720"/>
        <w:rPr>
          <w:sz w:val="20"/>
          <w:szCs w:val="20"/>
        </w:rPr>
      </w:pPr>
    </w:p>
    <w:p w14:paraId="6931D049" w14:textId="77777777" w:rsidR="00F32A81" w:rsidRDefault="00F32A81" w:rsidP="005E5C58">
      <w:pPr>
        <w:spacing w:line="276" w:lineRule="auto"/>
        <w:ind w:firstLine="720"/>
        <w:rPr>
          <w:sz w:val="20"/>
          <w:szCs w:val="20"/>
        </w:rPr>
      </w:pPr>
    </w:p>
    <w:p w14:paraId="425D50B4" w14:textId="77777777" w:rsidR="00160701" w:rsidRDefault="00160701" w:rsidP="005E5C58">
      <w:pPr>
        <w:spacing w:line="276" w:lineRule="auto"/>
        <w:ind w:firstLine="720"/>
        <w:rPr>
          <w:sz w:val="20"/>
          <w:szCs w:val="20"/>
        </w:rPr>
      </w:pPr>
    </w:p>
    <w:p w14:paraId="6C4C9BCA" w14:textId="77777777" w:rsidR="00DB5C32" w:rsidRDefault="00DB5C32" w:rsidP="005E5C58">
      <w:pPr>
        <w:spacing w:line="276" w:lineRule="auto"/>
        <w:ind w:firstLine="720"/>
        <w:rPr>
          <w:sz w:val="20"/>
          <w:szCs w:val="20"/>
        </w:rPr>
      </w:pPr>
    </w:p>
    <w:p w14:paraId="52017C3C" w14:textId="77777777" w:rsidR="00DB5C32" w:rsidRPr="000907B2" w:rsidRDefault="00DB5C32" w:rsidP="005E5C58">
      <w:pPr>
        <w:spacing w:line="276" w:lineRule="auto"/>
        <w:ind w:firstLine="720"/>
        <w:rPr>
          <w:sz w:val="20"/>
          <w:szCs w:val="20"/>
        </w:rPr>
      </w:pPr>
    </w:p>
    <w:p w14:paraId="09A54C8C" w14:textId="0976634F" w:rsidR="00066804" w:rsidRDefault="005E5C58" w:rsidP="00066804">
      <w:pPr>
        <w:spacing w:line="276" w:lineRule="auto"/>
        <w:rPr>
          <w:sz w:val="20"/>
          <w:szCs w:val="20"/>
        </w:rPr>
      </w:pPr>
      <w:r w:rsidRPr="007F5AA0">
        <w:rPr>
          <w:sz w:val="20"/>
          <w:szCs w:val="20"/>
        </w:rPr>
        <w:fldChar w:fldCharType="begin"/>
      </w:r>
      <w:r w:rsidRPr="007F5AA0">
        <w:rPr>
          <w:sz w:val="20"/>
          <w:szCs w:val="20"/>
        </w:rPr>
        <w:instrText xml:space="preserve"> TIME \@ "dd.MM.yyyy H:mm" </w:instrText>
      </w:r>
      <w:r w:rsidRPr="007F5AA0">
        <w:rPr>
          <w:sz w:val="20"/>
          <w:szCs w:val="20"/>
        </w:rPr>
        <w:fldChar w:fldCharType="separate"/>
      </w:r>
      <w:r w:rsidR="00BD008E">
        <w:rPr>
          <w:noProof/>
          <w:sz w:val="20"/>
          <w:szCs w:val="20"/>
        </w:rPr>
        <w:t>12.12.2018</w:t>
      </w:r>
      <w:r w:rsidR="00BD008E">
        <w:rPr>
          <w:noProof/>
          <w:sz w:val="20"/>
          <w:szCs w:val="20"/>
        </w:rPr>
        <w:t>.</w:t>
      </w:r>
      <w:r w:rsidRPr="007F5AA0">
        <w:rPr>
          <w:sz w:val="20"/>
          <w:szCs w:val="20"/>
        </w:rPr>
        <w:fldChar w:fldCharType="end"/>
      </w:r>
    </w:p>
    <w:p w14:paraId="76080898" w14:textId="4C2DAE5E" w:rsidR="005E5C58" w:rsidRPr="007F5AA0" w:rsidRDefault="00160701" w:rsidP="00066804">
      <w:pPr>
        <w:spacing w:line="276" w:lineRule="auto"/>
        <w:rPr>
          <w:sz w:val="20"/>
          <w:szCs w:val="20"/>
        </w:rPr>
      </w:pPr>
      <w:r>
        <w:rPr>
          <w:sz w:val="20"/>
          <w:szCs w:val="20"/>
        </w:rPr>
        <w:t>17</w:t>
      </w:r>
      <w:r w:rsidR="00066804">
        <w:rPr>
          <w:sz w:val="20"/>
          <w:szCs w:val="20"/>
        </w:rPr>
        <w:t>7</w:t>
      </w:r>
      <w:r w:rsidR="00BD008E">
        <w:rPr>
          <w:sz w:val="20"/>
          <w:szCs w:val="20"/>
        </w:rPr>
        <w:t>2</w:t>
      </w:r>
      <w:bookmarkStart w:id="0" w:name="_GoBack"/>
      <w:bookmarkEnd w:id="0"/>
    </w:p>
    <w:p w14:paraId="2D3EA77B" w14:textId="77777777" w:rsidR="005E5C58" w:rsidRPr="007F5AA0" w:rsidRDefault="005E5C58" w:rsidP="005E5C58">
      <w:pPr>
        <w:spacing w:line="276" w:lineRule="auto"/>
        <w:rPr>
          <w:sz w:val="20"/>
          <w:szCs w:val="20"/>
        </w:rPr>
      </w:pPr>
      <w:proofErr w:type="spellStart"/>
      <w:r w:rsidRPr="007F5AA0">
        <w:rPr>
          <w:sz w:val="20"/>
          <w:szCs w:val="20"/>
        </w:rPr>
        <w:t>Z.Kaljo</w:t>
      </w:r>
      <w:proofErr w:type="spellEnd"/>
    </w:p>
    <w:p w14:paraId="77FE0C21" w14:textId="3468B397" w:rsidR="005E5C58" w:rsidRPr="007F5AA0" w:rsidRDefault="005E5C58" w:rsidP="005E5C58">
      <w:pPr>
        <w:spacing w:line="276" w:lineRule="auto"/>
        <w:rPr>
          <w:sz w:val="20"/>
          <w:szCs w:val="20"/>
        </w:rPr>
      </w:pPr>
      <w:r w:rsidRPr="007F5AA0">
        <w:rPr>
          <w:sz w:val="20"/>
          <w:szCs w:val="20"/>
        </w:rPr>
        <w:t>Tāl.67201653</w:t>
      </w:r>
      <w:r w:rsidR="006A11D1">
        <w:rPr>
          <w:sz w:val="20"/>
          <w:szCs w:val="20"/>
        </w:rPr>
        <w:t xml:space="preserve">, </w:t>
      </w:r>
      <w:hyperlink r:id="rId8" w:history="1">
        <w:r w:rsidRPr="007F5AA0">
          <w:rPr>
            <w:rStyle w:val="Hyperlink"/>
            <w:sz w:val="20"/>
            <w:szCs w:val="20"/>
          </w:rPr>
          <w:t>Zane.Kaljo@lm.gov.lv</w:t>
        </w:r>
      </w:hyperlink>
    </w:p>
    <w:p w14:paraId="68243D1B" w14:textId="77777777" w:rsidR="005E5C58" w:rsidRPr="007F5AA0" w:rsidRDefault="005E5C58" w:rsidP="005E5C58">
      <w:pPr>
        <w:spacing w:line="276" w:lineRule="auto"/>
        <w:rPr>
          <w:sz w:val="20"/>
          <w:szCs w:val="20"/>
        </w:rPr>
      </w:pPr>
      <w:r w:rsidRPr="007F5AA0">
        <w:rPr>
          <w:sz w:val="20"/>
          <w:szCs w:val="20"/>
        </w:rPr>
        <w:t>L.Grafa</w:t>
      </w:r>
    </w:p>
    <w:p w14:paraId="7CEBAF24" w14:textId="63E55506" w:rsidR="005E5C58" w:rsidRPr="007F5AA0" w:rsidRDefault="005E5C58" w:rsidP="005E5C58">
      <w:pPr>
        <w:spacing w:line="276" w:lineRule="auto"/>
        <w:rPr>
          <w:sz w:val="20"/>
          <w:szCs w:val="20"/>
        </w:rPr>
      </w:pPr>
      <w:proofErr w:type="spellStart"/>
      <w:r w:rsidRPr="007F5AA0">
        <w:rPr>
          <w:sz w:val="20"/>
          <w:szCs w:val="20"/>
        </w:rPr>
        <w:t>Tāl</w:t>
      </w:r>
      <w:proofErr w:type="spellEnd"/>
      <w:r w:rsidRPr="007F5AA0">
        <w:rPr>
          <w:sz w:val="20"/>
          <w:szCs w:val="20"/>
        </w:rPr>
        <w:t>. 67021679</w:t>
      </w:r>
      <w:r w:rsidR="006A11D1">
        <w:rPr>
          <w:sz w:val="20"/>
          <w:szCs w:val="20"/>
        </w:rPr>
        <w:t xml:space="preserve">, </w:t>
      </w:r>
      <w:hyperlink r:id="rId9" w:history="1">
        <w:r w:rsidRPr="009F577B">
          <w:rPr>
            <w:rStyle w:val="Hyperlink"/>
            <w:sz w:val="20"/>
            <w:szCs w:val="20"/>
          </w:rPr>
          <w:t>Lauma.Grafa@lm.gov.lv</w:t>
        </w:r>
      </w:hyperlink>
      <w:r>
        <w:rPr>
          <w:sz w:val="20"/>
          <w:szCs w:val="20"/>
        </w:rPr>
        <w:t xml:space="preserve"> </w:t>
      </w:r>
    </w:p>
    <w:sectPr w:rsidR="005E5C58" w:rsidRPr="007F5AA0" w:rsidSect="007467C5">
      <w:headerReference w:type="default" r:id="rId10"/>
      <w:footerReference w:type="default" r:id="rId11"/>
      <w:headerReference w:type="first" r:id="rId12"/>
      <w:footerReference w:type="first" r:id="rId13"/>
      <w:pgSz w:w="11906" w:h="16838"/>
      <w:pgMar w:top="1440" w:right="18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8A7D" w14:textId="77777777" w:rsidR="00827020" w:rsidRDefault="00827020" w:rsidP="00A96BDE">
      <w:r>
        <w:separator/>
      </w:r>
    </w:p>
  </w:endnote>
  <w:endnote w:type="continuationSeparator" w:id="0">
    <w:p w14:paraId="7977B88A" w14:textId="77777777" w:rsidR="00827020" w:rsidRDefault="00827020" w:rsidP="00A9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C454" w14:textId="54DC5D81" w:rsidR="00583CE4" w:rsidRDefault="00D96B4F" w:rsidP="006A1CF4">
    <w:pPr>
      <w:pStyle w:val="Footer"/>
      <w:jc w:val="cente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BD008E">
      <w:rPr>
        <w:noProof/>
        <w:sz w:val="20"/>
        <w:szCs w:val="20"/>
      </w:rPr>
      <w:t>LMAnot_12122018_DPgroz</w:t>
    </w:r>
    <w:r w:rsidRPr="00861BA2">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139E" w14:textId="4DEB7B37" w:rsidR="00BC0631" w:rsidRPr="007467C5" w:rsidRDefault="006A1CF4" w:rsidP="006A1CF4">
    <w:pPr>
      <w:pStyle w:val="Footer"/>
      <w:jc w:val="center"/>
      <w:rPr>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BD008E">
      <w:rPr>
        <w:noProof/>
        <w:sz w:val="20"/>
        <w:szCs w:val="20"/>
      </w:rPr>
      <w:t>LMAnot_12122018_DPgroz</w:t>
    </w:r>
    <w:r w:rsidRPr="00861BA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3877" w14:textId="77777777" w:rsidR="00827020" w:rsidRDefault="00827020" w:rsidP="00A96BDE">
      <w:r>
        <w:separator/>
      </w:r>
    </w:p>
  </w:footnote>
  <w:footnote w:type="continuationSeparator" w:id="0">
    <w:p w14:paraId="1B88D20F" w14:textId="77777777" w:rsidR="00827020" w:rsidRDefault="00827020" w:rsidP="00A96BDE">
      <w:r>
        <w:continuationSeparator/>
      </w:r>
    </w:p>
  </w:footnote>
  <w:footnote w:id="1">
    <w:p w14:paraId="04C31CDE" w14:textId="77777777" w:rsidR="007C12DB" w:rsidRDefault="007C12DB" w:rsidP="007C12DB">
      <w:pPr>
        <w:pStyle w:val="FootnoteText"/>
      </w:pPr>
      <w:r>
        <w:rPr>
          <w:rStyle w:val="FootnoteReference"/>
        </w:rPr>
        <w:footnoteRef/>
      </w:r>
      <w:r>
        <w:t xml:space="preserve"> </w:t>
      </w:r>
      <w:r w:rsidRPr="00EA109D">
        <w:t>Pārskati par sociālajiem pakalpojumiem un sociālo palīdzību novada/republikas pilsētas pašvaldībā 201</w:t>
      </w:r>
      <w:r>
        <w:t>3. un 2017</w:t>
      </w:r>
      <w:r w:rsidRPr="00EA109D">
        <w:t xml:space="preserve">. gadā. </w:t>
      </w:r>
      <w:proofErr w:type="spellStart"/>
      <w:r w:rsidRPr="00EA109D">
        <w:t>Pieejams:</w:t>
      </w:r>
      <w:hyperlink r:id="rId1" w:history="1">
        <w:r w:rsidRPr="0037089E">
          <w:rPr>
            <w:rStyle w:val="Hyperlink"/>
          </w:rPr>
          <w:t>http</w:t>
        </w:r>
        <w:proofErr w:type="spellEnd"/>
        <w:r w:rsidRPr="0037089E">
          <w:rPr>
            <w:rStyle w:val="Hyperlink"/>
          </w:rPr>
          <w:t>://</w:t>
        </w:r>
        <w:proofErr w:type="spellStart"/>
        <w:r w:rsidRPr="0037089E">
          <w:rPr>
            <w:rStyle w:val="Hyperlink"/>
          </w:rPr>
          <w:t>www.lm.gov.lv</w:t>
        </w:r>
        <w:proofErr w:type="spellEnd"/>
        <w:r w:rsidRPr="0037089E">
          <w:rPr>
            <w:rStyle w:val="Hyperlink"/>
          </w:rPr>
          <w:t>/</w:t>
        </w:r>
        <w:proofErr w:type="spellStart"/>
        <w:r w:rsidRPr="0037089E">
          <w:rPr>
            <w:rStyle w:val="Hyperlink"/>
          </w:rPr>
          <w:t>text</w:t>
        </w:r>
        <w:proofErr w:type="spellEnd"/>
        <w:r w:rsidRPr="0037089E">
          <w:rPr>
            <w:rStyle w:val="Hyperlink"/>
          </w:rPr>
          <w:t>/1382</w:t>
        </w:r>
      </w:hyperlink>
      <w:r>
        <w:t xml:space="preserve"> </w:t>
      </w:r>
    </w:p>
  </w:footnote>
  <w:footnote w:id="2">
    <w:p w14:paraId="4C742980" w14:textId="77777777" w:rsidR="007C12DB" w:rsidRDefault="007C12DB" w:rsidP="00E8634B">
      <w:pPr>
        <w:pStyle w:val="FootnoteText"/>
        <w:jc w:val="both"/>
      </w:pPr>
      <w:r>
        <w:rPr>
          <w:rStyle w:val="FootnoteReference"/>
        </w:rPr>
        <w:footnoteRef/>
      </w:r>
      <w:r>
        <w:t xml:space="preserve"> </w:t>
      </w:r>
      <w:r w:rsidRPr="003942D5">
        <w:t>CSP</w:t>
      </w:r>
      <w:r w:rsidRPr="00365CAA">
        <w:t>,</w:t>
      </w:r>
      <w:r w:rsidRPr="003942D5">
        <w:t xml:space="preserve"> </w:t>
      </w:r>
      <w:r w:rsidRPr="00365CAA">
        <w:t>Nabadzības riskam Latvijā pakļauti 22,1 % iedzīvotāju.</w:t>
      </w:r>
      <w:r w:rsidRPr="003942D5">
        <w:t xml:space="preserve"> skatīts 25.10.2018.</w:t>
      </w:r>
      <w:r w:rsidRPr="000E4E15">
        <w:t xml:space="preserve"> Pieejams:</w:t>
      </w:r>
      <w:hyperlink r:id="rId2" w:history="1">
        <w:r w:rsidRPr="008634C1">
          <w:rPr>
            <w:rStyle w:val="Hyperlink"/>
          </w:rPr>
          <w:t>https://www.csb.gov.lv/lv/statistika/statistikas-temas/socialie-procesi/nabadziba/meklet-tema/2372-monetara-nabadziba-un-ienakumu-nevienlidziba</w:t>
        </w:r>
      </w:hyperlink>
    </w:p>
  </w:footnote>
  <w:footnote w:id="3">
    <w:p w14:paraId="1F68F668" w14:textId="77777777" w:rsidR="007C12DB" w:rsidRDefault="007C12DB" w:rsidP="00E8634B">
      <w:pPr>
        <w:pStyle w:val="FootnoteText"/>
        <w:jc w:val="both"/>
      </w:pPr>
      <w:r>
        <w:rPr>
          <w:rStyle w:val="FootnoteReference"/>
        </w:rPr>
        <w:footnoteRef/>
      </w:r>
      <w:r>
        <w:t xml:space="preserve"> </w:t>
      </w:r>
      <w:r w:rsidRPr="00FB2BF6">
        <w:t>CSP datubāze</w:t>
      </w:r>
      <w:r>
        <w:t xml:space="preserve">, Monetārā nabadzība un ienākumu nevienlīdzība, </w:t>
      </w:r>
      <w:r w:rsidRPr="00FB2BF6">
        <w:t>Pieejams:</w:t>
      </w:r>
      <w:r w:rsidRPr="00E05AC3">
        <w:t xml:space="preserve"> </w:t>
      </w:r>
      <w:hyperlink r:id="rId3" w:history="1">
        <w:r w:rsidRPr="00696D5A">
          <w:rPr>
            <w:rStyle w:val="Hyperlink"/>
          </w:rPr>
          <w:t>http://data1.csb.gov.lv/pxweb/lv/sociala/sociala__nabadz_nevienl__monetara_nab/?tablelist=true&amp;rxid=a39c3f49-e95e-43e7-b4f0-dce111b48ba1</w:t>
        </w:r>
      </w:hyperlink>
    </w:p>
  </w:footnote>
  <w:footnote w:id="4">
    <w:p w14:paraId="5CA12DF4" w14:textId="687EC2FC" w:rsidR="007C12DB" w:rsidRDefault="007C12DB" w:rsidP="007C12DB">
      <w:pPr>
        <w:pStyle w:val="FootnoteText"/>
      </w:pPr>
      <w:r>
        <w:rPr>
          <w:rStyle w:val="FootnoteReference"/>
        </w:rPr>
        <w:footnoteRef/>
      </w:r>
      <w:r>
        <w:t xml:space="preserve"> Eurostat, </w:t>
      </w:r>
      <w:proofErr w:type="spellStart"/>
      <w:r w:rsidRPr="00365CAA">
        <w:rPr>
          <w:i/>
        </w:rPr>
        <w:t>Actual</w:t>
      </w:r>
      <w:proofErr w:type="spellEnd"/>
      <w:r w:rsidRPr="00365CAA">
        <w:rPr>
          <w:i/>
        </w:rPr>
        <w:t xml:space="preserve"> </w:t>
      </w:r>
      <w:proofErr w:type="spellStart"/>
      <w:r w:rsidRPr="00365CAA">
        <w:rPr>
          <w:i/>
        </w:rPr>
        <w:t>individual</w:t>
      </w:r>
      <w:proofErr w:type="spellEnd"/>
      <w:r w:rsidRPr="00365CAA">
        <w:rPr>
          <w:i/>
        </w:rPr>
        <w:t xml:space="preserve"> </w:t>
      </w:r>
      <w:proofErr w:type="spellStart"/>
      <w:r w:rsidRPr="00365CAA">
        <w:rPr>
          <w:i/>
        </w:rPr>
        <w:t>consumption</w:t>
      </w:r>
      <w:proofErr w:type="spellEnd"/>
      <w:r w:rsidRPr="003942D5">
        <w:rPr>
          <w:i/>
        </w:rPr>
        <w:t>,</w:t>
      </w:r>
      <w:r>
        <w:t xml:space="preserve"> Pieejams: </w:t>
      </w:r>
      <w:hyperlink r:id="rId4" w:history="1">
        <w:r w:rsidRPr="00696D5A">
          <w:rPr>
            <w:rStyle w:val="Hyperlink"/>
          </w:rPr>
          <w:t>https://ec.europa.eu/eurostat/statistics-explained/index.php?title=Glossary:Actual_individual_consumption_(AIC)</w:t>
        </w:r>
      </w:hyperlink>
      <w:r>
        <w:t xml:space="preserve"> un</w:t>
      </w:r>
      <w:r w:rsidR="00DB5C32">
        <w:t xml:space="preserve"> </w:t>
      </w:r>
      <w:hyperlink r:id="rId5" w:history="1">
        <w:r w:rsidR="00DB5C32" w:rsidRPr="00640FE1">
          <w:rPr>
            <w:rStyle w:val="Hyperlink"/>
          </w:rPr>
          <w:t>https://ec.europa.eu/ eurostat/web/purchasing-power-parities/statistics-illustrated</w:t>
        </w:r>
      </w:hyperlink>
    </w:p>
  </w:footnote>
  <w:footnote w:id="5">
    <w:p w14:paraId="2E6CBED6" w14:textId="241C63C9" w:rsidR="007C12DB" w:rsidRDefault="007C12DB" w:rsidP="007C12DB">
      <w:pPr>
        <w:pStyle w:val="FootnoteText"/>
      </w:pPr>
      <w:r>
        <w:rPr>
          <w:rStyle w:val="FootnoteReference"/>
        </w:rPr>
        <w:footnoteRef/>
      </w:r>
      <w:r>
        <w:t xml:space="preserve"> Eurostat, </w:t>
      </w:r>
      <w:proofErr w:type="spellStart"/>
      <w:r w:rsidRPr="00FF06AF">
        <w:rPr>
          <w:i/>
        </w:rPr>
        <w:t>European</w:t>
      </w:r>
      <w:proofErr w:type="spellEnd"/>
      <w:r w:rsidRPr="00FF06AF">
        <w:rPr>
          <w:i/>
        </w:rPr>
        <w:t xml:space="preserve"> </w:t>
      </w:r>
      <w:proofErr w:type="spellStart"/>
      <w:r w:rsidRPr="00FF06AF">
        <w:rPr>
          <w:i/>
        </w:rPr>
        <w:t>Union</w:t>
      </w:r>
      <w:proofErr w:type="spellEnd"/>
      <w:r w:rsidRPr="00FF06AF">
        <w:rPr>
          <w:i/>
        </w:rPr>
        <w:t xml:space="preserve"> </w:t>
      </w:r>
      <w:proofErr w:type="spellStart"/>
      <w:r w:rsidRPr="00FF06AF">
        <w:rPr>
          <w:i/>
        </w:rPr>
        <w:t>Statistics</w:t>
      </w:r>
      <w:proofErr w:type="spellEnd"/>
      <w:r w:rsidRPr="00FF06AF">
        <w:rPr>
          <w:i/>
        </w:rPr>
        <w:t xml:space="preserve"> </w:t>
      </w:r>
      <w:proofErr w:type="spellStart"/>
      <w:r w:rsidRPr="00FF06AF">
        <w:rPr>
          <w:i/>
        </w:rPr>
        <w:t>on</w:t>
      </w:r>
      <w:proofErr w:type="spellEnd"/>
      <w:r w:rsidRPr="00FF06AF">
        <w:rPr>
          <w:i/>
        </w:rPr>
        <w:t xml:space="preserve"> </w:t>
      </w:r>
      <w:proofErr w:type="spellStart"/>
      <w:r w:rsidRPr="00FF06AF">
        <w:rPr>
          <w:i/>
        </w:rPr>
        <w:t>Income</w:t>
      </w:r>
      <w:proofErr w:type="spellEnd"/>
      <w:r w:rsidRPr="00FF06AF">
        <w:rPr>
          <w:i/>
        </w:rPr>
        <w:t xml:space="preserve"> </w:t>
      </w:r>
      <w:proofErr w:type="spellStart"/>
      <w:r w:rsidRPr="00FF06AF">
        <w:rPr>
          <w:i/>
        </w:rPr>
        <w:t>and</w:t>
      </w:r>
      <w:proofErr w:type="spellEnd"/>
      <w:r w:rsidRPr="00FF06AF">
        <w:rPr>
          <w:i/>
        </w:rPr>
        <w:t xml:space="preserve"> </w:t>
      </w:r>
      <w:proofErr w:type="spellStart"/>
      <w:r w:rsidRPr="00FF06AF">
        <w:rPr>
          <w:i/>
        </w:rPr>
        <w:t>Living</w:t>
      </w:r>
      <w:proofErr w:type="spellEnd"/>
      <w:r w:rsidRPr="00FF06AF">
        <w:rPr>
          <w:i/>
        </w:rPr>
        <w:t xml:space="preserve"> </w:t>
      </w:r>
      <w:proofErr w:type="spellStart"/>
      <w:r w:rsidRPr="00FF06AF">
        <w:rPr>
          <w:i/>
        </w:rPr>
        <w:t>Conditions</w:t>
      </w:r>
      <w:proofErr w:type="spellEnd"/>
      <w:r>
        <w:t>, Pieejams:</w:t>
      </w:r>
      <w:r w:rsidRPr="00494D7F">
        <w:t xml:space="preserve"> </w:t>
      </w:r>
      <w:hyperlink r:id="rId6" w:history="1">
        <w:r w:rsidR="00DB5C32" w:rsidRPr="00640FE1">
          <w:rPr>
            <w:rStyle w:val="Hyperlink"/>
          </w:rPr>
          <w:t>https://ec.europa.eu/eurostat/web/microdata/european-union-statistics-on-income-and-living-onditions</w:t>
        </w:r>
      </w:hyperlink>
    </w:p>
    <w:p w14:paraId="1CE1DF60" w14:textId="77777777" w:rsidR="007C12DB" w:rsidRDefault="007C12DB" w:rsidP="007C12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30792"/>
      <w:docPartObj>
        <w:docPartGallery w:val="Page Numbers (Top of Page)"/>
        <w:docPartUnique/>
      </w:docPartObj>
    </w:sdtPr>
    <w:sdtEndPr>
      <w:rPr>
        <w:noProof/>
      </w:rPr>
    </w:sdtEndPr>
    <w:sdtContent>
      <w:p w14:paraId="52DA61A3" w14:textId="404F9224" w:rsidR="006B4A4B" w:rsidRDefault="006B4A4B">
        <w:pPr>
          <w:pStyle w:val="Header"/>
          <w:jc w:val="center"/>
        </w:pPr>
        <w:r>
          <w:fldChar w:fldCharType="begin"/>
        </w:r>
        <w:r>
          <w:instrText xml:space="preserve"> PAGE   \* MERGEFORMAT </w:instrText>
        </w:r>
        <w:r>
          <w:fldChar w:fldCharType="separate"/>
        </w:r>
        <w:r w:rsidR="00BD008E">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7939" w14:textId="77777777" w:rsidR="006A1CF4" w:rsidRDefault="006A1CF4" w:rsidP="006A1C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28"/>
    <w:multiLevelType w:val="hybridMultilevel"/>
    <w:tmpl w:val="A3BE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56F96"/>
    <w:multiLevelType w:val="hybridMultilevel"/>
    <w:tmpl w:val="92AC6C0E"/>
    <w:lvl w:ilvl="0" w:tplc="04260001">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051C454C"/>
    <w:multiLevelType w:val="hybridMultilevel"/>
    <w:tmpl w:val="2E0CE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45A4C"/>
    <w:multiLevelType w:val="hybridMultilevel"/>
    <w:tmpl w:val="AD46FDEA"/>
    <w:lvl w:ilvl="0" w:tplc="C5807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D262C"/>
    <w:multiLevelType w:val="hybridMultilevel"/>
    <w:tmpl w:val="D124DFD2"/>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A04D8B"/>
    <w:multiLevelType w:val="hybridMultilevel"/>
    <w:tmpl w:val="07D82B7A"/>
    <w:lvl w:ilvl="0" w:tplc="32B80916">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8" w15:restartNumberingAfterBreak="0">
    <w:nsid w:val="409729D7"/>
    <w:multiLevelType w:val="hybridMultilevel"/>
    <w:tmpl w:val="1BE6B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0B7E41"/>
    <w:multiLevelType w:val="hybridMultilevel"/>
    <w:tmpl w:val="9828A5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F8D2AF5"/>
    <w:multiLevelType w:val="hybridMultilevel"/>
    <w:tmpl w:val="6B4A9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752546"/>
    <w:multiLevelType w:val="hybridMultilevel"/>
    <w:tmpl w:val="53066E12"/>
    <w:lvl w:ilvl="0" w:tplc="05D6455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C7294B"/>
    <w:multiLevelType w:val="hybridMultilevel"/>
    <w:tmpl w:val="47842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DE5CBB"/>
    <w:multiLevelType w:val="hybridMultilevel"/>
    <w:tmpl w:val="65C6EFF0"/>
    <w:lvl w:ilvl="0" w:tplc="32B80916">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4"/>
  </w:num>
  <w:num w:numId="2">
    <w:abstractNumId w:val="12"/>
  </w:num>
  <w:num w:numId="3">
    <w:abstractNumId w:val="8"/>
  </w:num>
  <w:num w:numId="4">
    <w:abstractNumId w:val="11"/>
  </w:num>
  <w:num w:numId="5">
    <w:abstractNumId w:val="6"/>
  </w:num>
  <w:num w:numId="6">
    <w:abstractNumId w:val="13"/>
  </w:num>
  <w:num w:numId="7">
    <w:abstractNumId w:val="10"/>
  </w:num>
  <w:num w:numId="8">
    <w:abstractNumId w:val="15"/>
  </w:num>
  <w:num w:numId="9">
    <w:abstractNumId w:val="9"/>
  </w:num>
  <w:num w:numId="10">
    <w:abstractNumId w:val="16"/>
  </w:num>
  <w:num w:numId="11">
    <w:abstractNumId w:val="0"/>
  </w:num>
  <w:num w:numId="12">
    <w:abstractNumId w:val="5"/>
  </w:num>
  <w:num w:numId="13">
    <w:abstractNumId w:val="1"/>
  </w:num>
  <w:num w:numId="14">
    <w:abstractNumId w:val="2"/>
  </w:num>
  <w:num w:numId="15">
    <w:abstractNumId w:val="1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ED3"/>
    <w:rsid w:val="000304C5"/>
    <w:rsid w:val="0003733B"/>
    <w:rsid w:val="00046631"/>
    <w:rsid w:val="00056D2E"/>
    <w:rsid w:val="00066804"/>
    <w:rsid w:val="00067EF3"/>
    <w:rsid w:val="00072315"/>
    <w:rsid w:val="0007343C"/>
    <w:rsid w:val="0008133F"/>
    <w:rsid w:val="00087CF0"/>
    <w:rsid w:val="0009113C"/>
    <w:rsid w:val="000956DE"/>
    <w:rsid w:val="00096A3E"/>
    <w:rsid w:val="000A1590"/>
    <w:rsid w:val="000A1F8C"/>
    <w:rsid w:val="000A27BD"/>
    <w:rsid w:val="000A7B17"/>
    <w:rsid w:val="000B59FF"/>
    <w:rsid w:val="000D7381"/>
    <w:rsid w:val="000E03F8"/>
    <w:rsid w:val="000F183E"/>
    <w:rsid w:val="000F2CBB"/>
    <w:rsid w:val="000F791A"/>
    <w:rsid w:val="00100A3D"/>
    <w:rsid w:val="001359BC"/>
    <w:rsid w:val="001377AB"/>
    <w:rsid w:val="00137C0D"/>
    <w:rsid w:val="00137E58"/>
    <w:rsid w:val="00140F8D"/>
    <w:rsid w:val="00150801"/>
    <w:rsid w:val="00152BF3"/>
    <w:rsid w:val="0015763F"/>
    <w:rsid w:val="00157ADF"/>
    <w:rsid w:val="00160701"/>
    <w:rsid w:val="00163248"/>
    <w:rsid w:val="001657C7"/>
    <w:rsid w:val="00166AC7"/>
    <w:rsid w:val="001775A7"/>
    <w:rsid w:val="0018727B"/>
    <w:rsid w:val="001913FC"/>
    <w:rsid w:val="0019538F"/>
    <w:rsid w:val="001B1A3C"/>
    <w:rsid w:val="001B45C9"/>
    <w:rsid w:val="001B562B"/>
    <w:rsid w:val="001C320F"/>
    <w:rsid w:val="001E379D"/>
    <w:rsid w:val="001F621E"/>
    <w:rsid w:val="002177C1"/>
    <w:rsid w:val="00217C8D"/>
    <w:rsid w:val="002233C7"/>
    <w:rsid w:val="00255CA2"/>
    <w:rsid w:val="00263EFB"/>
    <w:rsid w:val="002925BA"/>
    <w:rsid w:val="0029576A"/>
    <w:rsid w:val="002B001C"/>
    <w:rsid w:val="002C0E63"/>
    <w:rsid w:val="002C516B"/>
    <w:rsid w:val="002D1644"/>
    <w:rsid w:val="002F322D"/>
    <w:rsid w:val="002F4021"/>
    <w:rsid w:val="002F5146"/>
    <w:rsid w:val="00307DB3"/>
    <w:rsid w:val="00323163"/>
    <w:rsid w:val="00340A01"/>
    <w:rsid w:val="00353989"/>
    <w:rsid w:val="00354BD1"/>
    <w:rsid w:val="00355DCF"/>
    <w:rsid w:val="00376C5F"/>
    <w:rsid w:val="003822D6"/>
    <w:rsid w:val="003903AE"/>
    <w:rsid w:val="003A6690"/>
    <w:rsid w:val="003B38BC"/>
    <w:rsid w:val="003C47D9"/>
    <w:rsid w:val="003D46CC"/>
    <w:rsid w:val="003D4BED"/>
    <w:rsid w:val="0040117A"/>
    <w:rsid w:val="0040288F"/>
    <w:rsid w:val="00403FAD"/>
    <w:rsid w:val="00414D90"/>
    <w:rsid w:val="00427428"/>
    <w:rsid w:val="00427EF6"/>
    <w:rsid w:val="00430D1F"/>
    <w:rsid w:val="004361DA"/>
    <w:rsid w:val="00444AD0"/>
    <w:rsid w:val="004545FC"/>
    <w:rsid w:val="00461626"/>
    <w:rsid w:val="00464EEE"/>
    <w:rsid w:val="00471EED"/>
    <w:rsid w:val="0047379C"/>
    <w:rsid w:val="00477B6D"/>
    <w:rsid w:val="00477E32"/>
    <w:rsid w:val="00485365"/>
    <w:rsid w:val="004A08B8"/>
    <w:rsid w:val="004B329D"/>
    <w:rsid w:val="004D6FE4"/>
    <w:rsid w:val="004E30E1"/>
    <w:rsid w:val="004E5504"/>
    <w:rsid w:val="004E6FE9"/>
    <w:rsid w:val="004F6C30"/>
    <w:rsid w:val="00505862"/>
    <w:rsid w:val="00505A76"/>
    <w:rsid w:val="005136E6"/>
    <w:rsid w:val="00514158"/>
    <w:rsid w:val="00517EBA"/>
    <w:rsid w:val="0052542E"/>
    <w:rsid w:val="00526B31"/>
    <w:rsid w:val="00546403"/>
    <w:rsid w:val="00554CAD"/>
    <w:rsid w:val="00583CE4"/>
    <w:rsid w:val="005871AF"/>
    <w:rsid w:val="005A4042"/>
    <w:rsid w:val="005B2F11"/>
    <w:rsid w:val="005B3B1C"/>
    <w:rsid w:val="005B79B1"/>
    <w:rsid w:val="005E26EC"/>
    <w:rsid w:val="005E28E2"/>
    <w:rsid w:val="005E3E77"/>
    <w:rsid w:val="005E5C58"/>
    <w:rsid w:val="005E61EE"/>
    <w:rsid w:val="005E655B"/>
    <w:rsid w:val="005F20A4"/>
    <w:rsid w:val="00603DF9"/>
    <w:rsid w:val="0060482C"/>
    <w:rsid w:val="00617C19"/>
    <w:rsid w:val="006229CB"/>
    <w:rsid w:val="00641154"/>
    <w:rsid w:val="0068625B"/>
    <w:rsid w:val="006903B6"/>
    <w:rsid w:val="00695EB6"/>
    <w:rsid w:val="006A11D1"/>
    <w:rsid w:val="006A1CF4"/>
    <w:rsid w:val="006B17A1"/>
    <w:rsid w:val="006B4398"/>
    <w:rsid w:val="006B4A4B"/>
    <w:rsid w:val="006B5440"/>
    <w:rsid w:val="006D011B"/>
    <w:rsid w:val="006D31F5"/>
    <w:rsid w:val="006D69D6"/>
    <w:rsid w:val="006F36DE"/>
    <w:rsid w:val="006F4812"/>
    <w:rsid w:val="006F6A9E"/>
    <w:rsid w:val="00703E95"/>
    <w:rsid w:val="00705807"/>
    <w:rsid w:val="0070580D"/>
    <w:rsid w:val="00714274"/>
    <w:rsid w:val="00716FB2"/>
    <w:rsid w:val="00720083"/>
    <w:rsid w:val="00731D96"/>
    <w:rsid w:val="00736BD6"/>
    <w:rsid w:val="007467C5"/>
    <w:rsid w:val="007520D8"/>
    <w:rsid w:val="00776DFF"/>
    <w:rsid w:val="007927ED"/>
    <w:rsid w:val="007A743E"/>
    <w:rsid w:val="007B082A"/>
    <w:rsid w:val="007C12DB"/>
    <w:rsid w:val="007C27F7"/>
    <w:rsid w:val="007C2BF6"/>
    <w:rsid w:val="007D388F"/>
    <w:rsid w:val="0081609B"/>
    <w:rsid w:val="00816CA4"/>
    <w:rsid w:val="00827020"/>
    <w:rsid w:val="008352AF"/>
    <w:rsid w:val="00835AE7"/>
    <w:rsid w:val="0083707D"/>
    <w:rsid w:val="00842473"/>
    <w:rsid w:val="0084438F"/>
    <w:rsid w:val="00844D08"/>
    <w:rsid w:val="00862131"/>
    <w:rsid w:val="008621AA"/>
    <w:rsid w:val="00873ED0"/>
    <w:rsid w:val="0087508E"/>
    <w:rsid w:val="00887D70"/>
    <w:rsid w:val="00895AC1"/>
    <w:rsid w:val="00896A71"/>
    <w:rsid w:val="008C18E8"/>
    <w:rsid w:val="008C3CBB"/>
    <w:rsid w:val="008C3F35"/>
    <w:rsid w:val="008C4A73"/>
    <w:rsid w:val="008E3D70"/>
    <w:rsid w:val="008E4C87"/>
    <w:rsid w:val="008F0C62"/>
    <w:rsid w:val="00915BC9"/>
    <w:rsid w:val="009160D4"/>
    <w:rsid w:val="0092501B"/>
    <w:rsid w:val="00930BD3"/>
    <w:rsid w:val="00932C51"/>
    <w:rsid w:val="009652CA"/>
    <w:rsid w:val="00984CE6"/>
    <w:rsid w:val="00986F45"/>
    <w:rsid w:val="00994652"/>
    <w:rsid w:val="009A7203"/>
    <w:rsid w:val="009B0231"/>
    <w:rsid w:val="009B5669"/>
    <w:rsid w:val="009E5FD5"/>
    <w:rsid w:val="00A04E5D"/>
    <w:rsid w:val="00A123BD"/>
    <w:rsid w:val="00A30E20"/>
    <w:rsid w:val="00A35883"/>
    <w:rsid w:val="00A40FAE"/>
    <w:rsid w:val="00A5536F"/>
    <w:rsid w:val="00A558DD"/>
    <w:rsid w:val="00A71EEE"/>
    <w:rsid w:val="00A74089"/>
    <w:rsid w:val="00A75802"/>
    <w:rsid w:val="00A81A85"/>
    <w:rsid w:val="00A8366C"/>
    <w:rsid w:val="00A85470"/>
    <w:rsid w:val="00A96BDE"/>
    <w:rsid w:val="00AA46FF"/>
    <w:rsid w:val="00AA57BA"/>
    <w:rsid w:val="00AB164A"/>
    <w:rsid w:val="00AB3DD3"/>
    <w:rsid w:val="00AD6A66"/>
    <w:rsid w:val="00AE3564"/>
    <w:rsid w:val="00B16124"/>
    <w:rsid w:val="00B17241"/>
    <w:rsid w:val="00B307F2"/>
    <w:rsid w:val="00B3232E"/>
    <w:rsid w:val="00B361FC"/>
    <w:rsid w:val="00B40CC2"/>
    <w:rsid w:val="00B44450"/>
    <w:rsid w:val="00B56B32"/>
    <w:rsid w:val="00B617ED"/>
    <w:rsid w:val="00B619E7"/>
    <w:rsid w:val="00B82ECD"/>
    <w:rsid w:val="00B94112"/>
    <w:rsid w:val="00B953FD"/>
    <w:rsid w:val="00BB47F6"/>
    <w:rsid w:val="00BC0631"/>
    <w:rsid w:val="00BC2166"/>
    <w:rsid w:val="00BC3431"/>
    <w:rsid w:val="00BD008E"/>
    <w:rsid w:val="00BD0ADB"/>
    <w:rsid w:val="00BD11F8"/>
    <w:rsid w:val="00BD4388"/>
    <w:rsid w:val="00BD5588"/>
    <w:rsid w:val="00C17043"/>
    <w:rsid w:val="00C22361"/>
    <w:rsid w:val="00C27877"/>
    <w:rsid w:val="00C33E71"/>
    <w:rsid w:val="00C35E3B"/>
    <w:rsid w:val="00C40B61"/>
    <w:rsid w:val="00C430B2"/>
    <w:rsid w:val="00C4443F"/>
    <w:rsid w:val="00C4507B"/>
    <w:rsid w:val="00C94C05"/>
    <w:rsid w:val="00CB1C28"/>
    <w:rsid w:val="00CB6784"/>
    <w:rsid w:val="00CB6D96"/>
    <w:rsid w:val="00CC041F"/>
    <w:rsid w:val="00CD1692"/>
    <w:rsid w:val="00CE08B9"/>
    <w:rsid w:val="00CF4EC3"/>
    <w:rsid w:val="00D00965"/>
    <w:rsid w:val="00D0550B"/>
    <w:rsid w:val="00D11464"/>
    <w:rsid w:val="00D15DD1"/>
    <w:rsid w:val="00D202B6"/>
    <w:rsid w:val="00D247A1"/>
    <w:rsid w:val="00D57787"/>
    <w:rsid w:val="00D655B9"/>
    <w:rsid w:val="00D84375"/>
    <w:rsid w:val="00D96B4F"/>
    <w:rsid w:val="00DA6A88"/>
    <w:rsid w:val="00DB5C32"/>
    <w:rsid w:val="00DB6F38"/>
    <w:rsid w:val="00DC6B00"/>
    <w:rsid w:val="00DD15C5"/>
    <w:rsid w:val="00DE23FF"/>
    <w:rsid w:val="00E06D6C"/>
    <w:rsid w:val="00E13BBD"/>
    <w:rsid w:val="00E3549F"/>
    <w:rsid w:val="00E356D4"/>
    <w:rsid w:val="00E44472"/>
    <w:rsid w:val="00E4473F"/>
    <w:rsid w:val="00E47F91"/>
    <w:rsid w:val="00E56C0F"/>
    <w:rsid w:val="00E56E92"/>
    <w:rsid w:val="00E633A9"/>
    <w:rsid w:val="00E8634B"/>
    <w:rsid w:val="00EA5F2F"/>
    <w:rsid w:val="00EC5FB6"/>
    <w:rsid w:val="00ED4BCB"/>
    <w:rsid w:val="00ED7749"/>
    <w:rsid w:val="00EE25FB"/>
    <w:rsid w:val="00EE48CD"/>
    <w:rsid w:val="00EE7372"/>
    <w:rsid w:val="00F00A8D"/>
    <w:rsid w:val="00F035D8"/>
    <w:rsid w:val="00F043C9"/>
    <w:rsid w:val="00F0627E"/>
    <w:rsid w:val="00F272AE"/>
    <w:rsid w:val="00F3068C"/>
    <w:rsid w:val="00F32A81"/>
    <w:rsid w:val="00F36B98"/>
    <w:rsid w:val="00F40422"/>
    <w:rsid w:val="00F405EE"/>
    <w:rsid w:val="00F44FB3"/>
    <w:rsid w:val="00F560C0"/>
    <w:rsid w:val="00F601E4"/>
    <w:rsid w:val="00F60A10"/>
    <w:rsid w:val="00F64F73"/>
    <w:rsid w:val="00F67333"/>
    <w:rsid w:val="00F73541"/>
    <w:rsid w:val="00F96A20"/>
    <w:rsid w:val="00FA3024"/>
    <w:rsid w:val="00FA56EC"/>
    <w:rsid w:val="00FA6B73"/>
    <w:rsid w:val="00FB0262"/>
    <w:rsid w:val="00FB55E3"/>
    <w:rsid w:val="00FD01BE"/>
    <w:rsid w:val="00FE0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92E020"/>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
    <w:link w:val="ListParagraph"/>
    <w:uiPriority w:val="34"/>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semiHidden/>
    <w:unhideWhenUsed/>
    <w:rsid w:val="0083707D"/>
    <w:rPr>
      <w:sz w:val="20"/>
      <w:szCs w:val="20"/>
    </w:rPr>
  </w:style>
  <w:style w:type="character" w:customStyle="1" w:styleId="CommentTextChar">
    <w:name w:val="Comment Text Char"/>
    <w:basedOn w:val="DefaultParagraphFont"/>
    <w:link w:val="CommentText"/>
    <w:uiPriority w:val="99"/>
    <w:semiHidden/>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Virsraksts1">
    <w:name w:val="Virsraksts 1"/>
    <w:rsid w:val="000F183E"/>
    <w:pPr>
      <w:spacing w:after="0" w:line="240" w:lineRule="auto"/>
    </w:pPr>
    <w:rPr>
      <w:rFonts w:ascii="Times New Roman" w:eastAsia="Times New Roman" w:hAnsi="Times New Roman" w:cs="Times New Roman"/>
      <w:b/>
      <w:i/>
      <w:sz w:val="24"/>
      <w:szCs w:val="28"/>
      <w:lang w:eastAsia="lv-LV"/>
    </w:rPr>
  </w:style>
  <w:style w:type="table" w:styleId="TableGrid">
    <w:name w:val="Table Grid"/>
    <w:basedOn w:val="TableNormal"/>
    <w:uiPriority w:val="59"/>
    <w:rsid w:val="006A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1012218535">
      <w:bodyDiv w:val="1"/>
      <w:marLeft w:val="0"/>
      <w:marRight w:val="0"/>
      <w:marTop w:val="0"/>
      <w:marBottom w:val="0"/>
      <w:divBdr>
        <w:top w:val="none" w:sz="0" w:space="0" w:color="auto"/>
        <w:left w:val="none" w:sz="0" w:space="0" w:color="auto"/>
        <w:bottom w:val="none" w:sz="0" w:space="0" w:color="auto"/>
        <w:right w:val="none" w:sz="0" w:space="0" w:color="auto"/>
      </w:divBdr>
    </w:div>
    <w:div w:id="18927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Kaljo@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ma.Grafa@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1.csb.gov.lv/pxweb/lv/sociala/sociala__nabadz_nevienl__monetara_nab/?tablelist=true&amp;rxid=a39c3f49-e95e-43e7-b4f0-dce111b48ba1" TargetMode="External"/><Relationship Id="rId2" Type="http://schemas.openxmlformats.org/officeDocument/2006/relationships/hyperlink" Target="https://www.csb.gov.lv/lv/statistika/statistikas-temas/socialie-procesi/nabadziba/meklet-tema/2372-monetara-nabadziba-un-ienakumu-nevienlidziba" TargetMode="External"/><Relationship Id="rId1" Type="http://schemas.openxmlformats.org/officeDocument/2006/relationships/hyperlink" Target="http://www.lm.gov.lv/text/1382" TargetMode="External"/><Relationship Id="rId6" Type="http://schemas.openxmlformats.org/officeDocument/2006/relationships/hyperlink" Target="https://ec.europa.eu/eurostat/web/microdata/european-union-statistics-on-income-and-living-onditions" TargetMode="External"/><Relationship Id="rId5" Type="http://schemas.openxmlformats.org/officeDocument/2006/relationships/hyperlink" Target="https://ec.europa.eu/%20eurostat/web/purchasing-power-parities/statistics-illustrated" TargetMode="External"/><Relationship Id="rId4" Type="http://schemas.openxmlformats.org/officeDocument/2006/relationships/hyperlink" Target="https://ec.europa.eu/eurostat/statistics-explained/index.php?title=Glossary:Actual_individual_consumption_(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ED5-4824-4009-B4BE-51629D6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1735</Words>
  <Characters>12268</Characters>
  <Application>Microsoft Office Word</Application>
  <DocSecurity>0</DocSecurity>
  <Lines>383</Lines>
  <Paragraphs>141</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jolanta.balduncika@fm.gov.lv</dc:creator>
  <dc:description>Tālr.: 67059479, E-pasts: jolanta.balduncika@fm.gov.lv</dc:description>
  <cp:lastModifiedBy>Ilze Latviete</cp:lastModifiedBy>
  <cp:revision>13</cp:revision>
  <cp:lastPrinted>2018-12-12T13:06:00Z</cp:lastPrinted>
  <dcterms:created xsi:type="dcterms:W3CDTF">2018-12-11T10:15:00Z</dcterms:created>
  <dcterms:modified xsi:type="dcterms:W3CDTF">2018-12-12T13:08:00Z</dcterms:modified>
</cp:coreProperties>
</file>