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0C6E7" w14:textId="4DB39225" w:rsidR="00B63240" w:rsidRPr="004F3CB4" w:rsidRDefault="00B63240" w:rsidP="00B63240">
      <w:pPr>
        <w:jc w:val="center"/>
        <w:rPr>
          <w:b/>
        </w:rPr>
      </w:pPr>
      <w:r w:rsidRPr="004F3CB4">
        <w:rPr>
          <w:b/>
        </w:rPr>
        <w:t>Ministru kabineta noteikumu projekta</w:t>
      </w:r>
    </w:p>
    <w:p w14:paraId="259B739F" w14:textId="514E317D" w:rsidR="00B63240" w:rsidRPr="004F3CB4" w:rsidRDefault="00B63240" w:rsidP="00B63240">
      <w:pPr>
        <w:jc w:val="center"/>
        <w:rPr>
          <w:b/>
          <w:bCs/>
        </w:rPr>
      </w:pPr>
      <w:r w:rsidRPr="004F3CB4">
        <w:rPr>
          <w:b/>
        </w:rPr>
        <w:t>„</w:t>
      </w:r>
      <w:bookmarkStart w:id="0" w:name="OLE_LINK5"/>
      <w:bookmarkStart w:id="1" w:name="OLE_LINK6"/>
      <w:r w:rsidRPr="004F3CB4">
        <w:rPr>
          <w:b/>
          <w:bCs/>
        </w:rPr>
        <w:t>Grozījumi Ministru kabineta 2010.</w:t>
      </w:r>
      <w:r w:rsidR="00D11D28" w:rsidRPr="004F3CB4">
        <w:rPr>
          <w:b/>
          <w:bCs/>
        </w:rPr>
        <w:t xml:space="preserve"> </w:t>
      </w:r>
      <w:r w:rsidRPr="004F3CB4">
        <w:rPr>
          <w:b/>
          <w:bCs/>
        </w:rPr>
        <w:t>gada 28.</w:t>
      </w:r>
      <w:r w:rsidR="00D11D28" w:rsidRPr="004F3CB4">
        <w:rPr>
          <w:b/>
          <w:bCs/>
        </w:rPr>
        <w:t xml:space="preserve"> </w:t>
      </w:r>
      <w:r w:rsidRPr="004F3CB4">
        <w:rPr>
          <w:b/>
          <w:bCs/>
        </w:rPr>
        <w:t>decembra noteikumos Nr.1211 „Noteikumi par ritošā sastāva būvi, modernizāciju, atjaunošanas remontu, atbilstības novērtēšanu un pieņemšanu ekspluatācijā”</w:t>
      </w:r>
      <w:bookmarkEnd w:id="0"/>
      <w:bookmarkEnd w:id="1"/>
      <w:r w:rsidRPr="004F3CB4">
        <w:rPr>
          <w:b/>
          <w:bCs/>
          <w:kern w:val="36"/>
        </w:rPr>
        <w:t>”</w:t>
      </w:r>
    </w:p>
    <w:p w14:paraId="57AF5D39" w14:textId="77777777" w:rsidR="003769DA" w:rsidRPr="004F3CB4" w:rsidRDefault="00B63240" w:rsidP="003330B4">
      <w:pPr>
        <w:jc w:val="center"/>
        <w:rPr>
          <w:b/>
        </w:rPr>
      </w:pPr>
      <w:r w:rsidRPr="004F3CB4">
        <w:rPr>
          <w:b/>
        </w:rPr>
        <w:t>sākotnējās ietekmes novērtējuma ziņojums (anotācija)</w:t>
      </w:r>
    </w:p>
    <w:p w14:paraId="7D9831F7" w14:textId="77777777" w:rsidR="00CF641D" w:rsidRPr="00E5598E" w:rsidRDefault="00CF641D" w:rsidP="00B01462">
      <w:pPr>
        <w:pStyle w:val="naisf"/>
        <w:spacing w:before="0" w:beforeAutospacing="0" w:after="0" w:afterAutospacing="0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B90683" w:rsidRPr="00B90683" w14:paraId="6D9F136B" w14:textId="77777777" w:rsidTr="00B90683">
        <w:tc>
          <w:tcPr>
            <w:tcW w:w="9061" w:type="dxa"/>
            <w:gridSpan w:val="2"/>
            <w:vAlign w:val="center"/>
          </w:tcPr>
          <w:p w14:paraId="52C1BDE6" w14:textId="77777777" w:rsidR="00B90683" w:rsidRPr="00B90683" w:rsidRDefault="00B90683" w:rsidP="00B90683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3428B9">
              <w:rPr>
                <w:b/>
                <w:bCs/>
                <w:iCs/>
                <w:lang w:val="sv-SE" w:eastAsia="lv-LV"/>
              </w:rPr>
              <w:t>Tiesību akta projekta anotācijas kopsavilkums</w:t>
            </w:r>
          </w:p>
        </w:tc>
      </w:tr>
      <w:tr w:rsidR="00B90683" w:rsidRPr="00B90683" w14:paraId="32D65B8D" w14:textId="77777777" w:rsidTr="00B90683">
        <w:tc>
          <w:tcPr>
            <w:tcW w:w="3539" w:type="dxa"/>
          </w:tcPr>
          <w:p w14:paraId="0AB8DB2C" w14:textId="77777777" w:rsidR="00B90683" w:rsidRPr="00B90683" w:rsidRDefault="00B90683" w:rsidP="006355D1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3428B9">
              <w:rPr>
                <w:iCs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5522" w:type="dxa"/>
          </w:tcPr>
          <w:p w14:paraId="18B6AB4D" w14:textId="28B411F3" w:rsidR="00BB1994" w:rsidRPr="00B90683" w:rsidRDefault="002F514A" w:rsidP="006355D1">
            <w:pPr>
              <w:pStyle w:val="naisf"/>
              <w:spacing w:before="0" w:beforeAutospacing="0" w:after="0" w:afterAutospacing="0"/>
              <w:ind w:left="42" w:right="167"/>
              <w:rPr>
                <w:lang w:val="lv-LV"/>
              </w:rPr>
            </w:pPr>
            <w:r w:rsidRPr="002F514A">
              <w:rPr>
                <w:lang w:val="lv-LV"/>
              </w:rPr>
              <w:t>Saskaņā ar Ministru kabineta 2009. gada 15. decembra instrukcijas Nr. 19 “Tiesību akta projekta sākotnējās ietekmes izvērtēšanas kārtība” 5.</w:t>
            </w:r>
            <w:r w:rsidRPr="001C31E4">
              <w:rPr>
                <w:vertAlign w:val="superscript"/>
                <w:lang w:val="lv-LV"/>
              </w:rPr>
              <w:t>1</w:t>
            </w:r>
            <w:r w:rsidRPr="002F514A">
              <w:rPr>
                <w:lang w:val="lv-LV"/>
              </w:rPr>
              <w:t xml:space="preserve"> punktu anotācijas kopsavilkums nav aizpildāms.</w:t>
            </w:r>
          </w:p>
        </w:tc>
      </w:tr>
    </w:tbl>
    <w:p w14:paraId="23B723C2" w14:textId="2E9306FA" w:rsidR="00EA4217" w:rsidRPr="00EA4217" w:rsidRDefault="00EA4217" w:rsidP="006355D1">
      <w:pPr>
        <w:tabs>
          <w:tab w:val="left" w:pos="915"/>
        </w:tabs>
        <w:jc w:val="both"/>
        <w:rPr>
          <w:lang w:eastAsia="en-US"/>
        </w:rPr>
      </w:pP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919"/>
        <w:gridCol w:w="5571"/>
      </w:tblGrid>
      <w:tr w:rsidR="00186618" w:rsidRPr="00186618" w14:paraId="3BCC1F6A" w14:textId="77777777" w:rsidTr="00FF2EDF">
        <w:trPr>
          <w:trHeight w:val="419"/>
        </w:trPr>
        <w:tc>
          <w:tcPr>
            <w:tcW w:w="5000" w:type="pct"/>
            <w:gridSpan w:val="3"/>
            <w:vAlign w:val="center"/>
          </w:tcPr>
          <w:p w14:paraId="0FE4137B" w14:textId="77777777" w:rsidR="00186618" w:rsidRPr="00186618" w:rsidRDefault="00186618" w:rsidP="00A3757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186618">
              <w:rPr>
                <w:b/>
              </w:rPr>
              <w:t>I. Tiesību akta projekta izstrādes nepieciešamība</w:t>
            </w:r>
          </w:p>
        </w:tc>
      </w:tr>
      <w:tr w:rsidR="00186618" w:rsidRPr="00186618" w14:paraId="4BD124D6" w14:textId="77777777" w:rsidTr="00FF2EDF">
        <w:trPr>
          <w:trHeight w:val="415"/>
        </w:trPr>
        <w:tc>
          <w:tcPr>
            <w:tcW w:w="315" w:type="pct"/>
          </w:tcPr>
          <w:p w14:paraId="20DDF529" w14:textId="77777777"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1.</w:t>
            </w:r>
          </w:p>
        </w:tc>
        <w:tc>
          <w:tcPr>
            <w:tcW w:w="1611" w:type="pct"/>
          </w:tcPr>
          <w:p w14:paraId="7E12DC97" w14:textId="77777777" w:rsidR="00186618" w:rsidRPr="00186618" w:rsidRDefault="00186618" w:rsidP="00C8380F">
            <w:pPr>
              <w:pStyle w:val="naiskr"/>
              <w:tabs>
                <w:tab w:val="right" w:pos="2859"/>
              </w:tabs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Pamatojums</w:t>
            </w:r>
          </w:p>
        </w:tc>
        <w:tc>
          <w:tcPr>
            <w:tcW w:w="3074" w:type="pct"/>
          </w:tcPr>
          <w:p w14:paraId="34A57DA0" w14:textId="38A23AED" w:rsidR="00542019" w:rsidRPr="00E45816" w:rsidRDefault="00E45816" w:rsidP="006355D1">
            <w:pPr>
              <w:ind w:left="191" w:right="272"/>
              <w:jc w:val="both"/>
              <w:rPr>
                <w:bCs/>
              </w:rPr>
            </w:pPr>
            <w:r w:rsidRPr="00C05C1E">
              <w:rPr>
                <w:bCs/>
              </w:rPr>
              <w:t>Minis</w:t>
            </w:r>
            <w:r w:rsidR="00B90683">
              <w:rPr>
                <w:bCs/>
              </w:rPr>
              <w:t xml:space="preserve">tru kabineta noteikumu projekts </w:t>
            </w:r>
            <w:r w:rsidRPr="00C05C1E">
              <w:rPr>
                <w:bCs/>
              </w:rPr>
              <w:t>„</w:t>
            </w:r>
            <w:r w:rsidR="00C05C1E" w:rsidRPr="00C05C1E">
              <w:rPr>
                <w:bCs/>
              </w:rPr>
              <w:t>Gr</w:t>
            </w:r>
            <w:r w:rsidR="00C823AF">
              <w:rPr>
                <w:bCs/>
              </w:rPr>
              <w:t xml:space="preserve">ozījumi </w:t>
            </w:r>
            <w:bookmarkStart w:id="2" w:name="_Hlk529289646"/>
            <w:r w:rsidR="00C823AF">
              <w:rPr>
                <w:bCs/>
              </w:rPr>
              <w:t>Ministru kabineta 2010.</w:t>
            </w:r>
            <w:r w:rsidR="006E0CA9">
              <w:rPr>
                <w:bCs/>
              </w:rPr>
              <w:t xml:space="preserve"> </w:t>
            </w:r>
            <w:r w:rsidR="00C05C1E" w:rsidRPr="00C05C1E">
              <w:rPr>
                <w:bCs/>
              </w:rPr>
              <w:t>gada 28.</w:t>
            </w:r>
            <w:r w:rsidR="006E0CA9">
              <w:rPr>
                <w:bCs/>
              </w:rPr>
              <w:t xml:space="preserve"> </w:t>
            </w:r>
            <w:r w:rsidR="00C05C1E" w:rsidRPr="00C05C1E">
              <w:rPr>
                <w:bCs/>
              </w:rPr>
              <w:t>decembra noteikumos Nr.1211 „Noteikumi par ritošā sastāva būvi, modernizāciju, atjaunošanas remontu, atbilstības novērtēšanu un pieņemšanu ekspluatācijā”</w:t>
            </w:r>
            <w:r w:rsidRPr="00C05C1E">
              <w:rPr>
                <w:bCs/>
                <w:kern w:val="36"/>
              </w:rPr>
              <w:t>”</w:t>
            </w:r>
            <w:bookmarkEnd w:id="2"/>
            <w:r w:rsidR="00C823AF">
              <w:rPr>
                <w:bCs/>
                <w:color w:val="000000"/>
              </w:rPr>
              <w:t xml:space="preserve"> (turpmāk – Projekts)</w:t>
            </w:r>
            <w:r w:rsidR="00C05C1E" w:rsidRPr="00936E65">
              <w:rPr>
                <w:bCs/>
                <w:color w:val="000000"/>
              </w:rPr>
              <w:t xml:space="preserve"> ir izstrādāts saskaņā </w:t>
            </w:r>
            <w:r w:rsidR="00C05C1E">
              <w:rPr>
                <w:bCs/>
                <w:color w:val="000000"/>
              </w:rPr>
              <w:t>ar D</w:t>
            </w:r>
            <w:r w:rsidR="00C05C1E" w:rsidRPr="00936E65">
              <w:rPr>
                <w:bCs/>
                <w:color w:val="000000"/>
              </w:rPr>
              <w:t xml:space="preserve">zelzceļa likuma </w:t>
            </w:r>
            <w:r w:rsidR="00C05C1E" w:rsidRPr="00936E65">
              <w:rPr>
                <w:bCs/>
              </w:rPr>
              <w:t>36.</w:t>
            </w:r>
            <w:r w:rsidR="00C05C1E" w:rsidRPr="00936E65">
              <w:rPr>
                <w:bCs/>
                <w:vertAlign w:val="superscript"/>
              </w:rPr>
              <w:t xml:space="preserve">1 </w:t>
            </w:r>
            <w:r w:rsidR="00C05C1E" w:rsidRPr="00936E65">
              <w:rPr>
                <w:bCs/>
              </w:rPr>
              <w:t xml:space="preserve">panta </w:t>
            </w:r>
            <w:r w:rsidR="00C05C1E" w:rsidRPr="00936E65">
              <w:t>o</w:t>
            </w:r>
            <w:r w:rsidR="00C05C1E">
              <w:t>tro</w:t>
            </w:r>
            <w:r w:rsidR="008277F2">
              <w:t xml:space="preserve"> daļu un likuma „Par atbilstības novērtēšanu”</w:t>
            </w:r>
            <w:r w:rsidR="00C05C1E" w:rsidRPr="00936E65">
              <w:t xml:space="preserve"> 7.</w:t>
            </w:r>
            <w:r w:rsidR="00F952AA">
              <w:t xml:space="preserve"> </w:t>
            </w:r>
            <w:r w:rsidR="00C05C1E" w:rsidRPr="00936E65">
              <w:t>panta pirmo daļu</w:t>
            </w:r>
            <w:r w:rsidR="00C05C1E">
              <w:t>.</w:t>
            </w:r>
          </w:p>
        </w:tc>
      </w:tr>
      <w:tr w:rsidR="00186618" w:rsidRPr="00186618" w14:paraId="21BF90B0" w14:textId="77777777" w:rsidTr="006355D1">
        <w:trPr>
          <w:trHeight w:val="699"/>
        </w:trPr>
        <w:tc>
          <w:tcPr>
            <w:tcW w:w="315" w:type="pct"/>
          </w:tcPr>
          <w:p w14:paraId="317F0B0C" w14:textId="77777777"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2.</w:t>
            </w:r>
          </w:p>
        </w:tc>
        <w:tc>
          <w:tcPr>
            <w:tcW w:w="1611" w:type="pct"/>
          </w:tcPr>
          <w:p w14:paraId="71D79503" w14:textId="77777777" w:rsidR="00186618" w:rsidRPr="00186618" w:rsidRDefault="00186618" w:rsidP="00A37574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74" w:type="pct"/>
          </w:tcPr>
          <w:p w14:paraId="5A3C8918" w14:textId="391359C8" w:rsidR="00B44B0B" w:rsidRPr="00154F0F" w:rsidRDefault="00C05C1E" w:rsidP="006355D1">
            <w:pPr>
              <w:ind w:left="191" w:right="272"/>
              <w:jc w:val="both"/>
            </w:pPr>
            <w:r w:rsidRPr="00577992">
              <w:t>Ministru kabinet</w:t>
            </w:r>
            <w:r>
              <w:t>a</w:t>
            </w:r>
            <w:r w:rsidR="00C823AF">
              <w:t xml:space="preserve"> 2010.</w:t>
            </w:r>
            <w:r w:rsidR="006E0CA9">
              <w:t xml:space="preserve"> </w:t>
            </w:r>
            <w:r w:rsidRPr="00577992">
              <w:t>gada 28.</w:t>
            </w:r>
            <w:r w:rsidR="006E0CA9">
              <w:t xml:space="preserve"> </w:t>
            </w:r>
            <w:r w:rsidRPr="00577992">
              <w:t>decem</w:t>
            </w:r>
            <w:bookmarkStart w:id="3" w:name="_GoBack"/>
            <w:bookmarkEnd w:id="3"/>
            <w:r w:rsidRPr="00577992">
              <w:t>br</w:t>
            </w:r>
            <w:r>
              <w:t>a</w:t>
            </w:r>
            <w:r w:rsidRPr="00577992">
              <w:t xml:space="preserve"> no</w:t>
            </w:r>
            <w:r w:rsidR="00252A81">
              <w:t>t</w:t>
            </w:r>
            <w:r w:rsidRPr="00577992">
              <w:t>eikum</w:t>
            </w:r>
            <w:r>
              <w:t>i</w:t>
            </w:r>
            <w:r w:rsidR="00C823AF">
              <w:t xml:space="preserve"> Nr.1211 </w:t>
            </w:r>
            <w:r w:rsidRPr="00577992">
              <w:t>„Noteikumi par ritošā sastāva būvi, modernizāciju, atjaunošanas remontu, atbilstības novērtēšanu un pieņemšanu ekspluatācijā”</w:t>
            </w:r>
            <w:r w:rsidRPr="00577992">
              <w:rPr>
                <w:kern w:val="36"/>
              </w:rPr>
              <w:t xml:space="preserve"> (turpmāk – MK noteikumi Nr.1211) tika pieņemti, </w:t>
            </w:r>
            <w:r w:rsidRPr="00577992">
              <w:t>lai ieviestu Eiropas Parlamenta un Padomes 2008.</w:t>
            </w:r>
            <w:r w:rsidR="00F952AA">
              <w:t xml:space="preserve"> </w:t>
            </w:r>
            <w:r w:rsidRPr="00577992">
              <w:t>gada 17.</w:t>
            </w:r>
            <w:r w:rsidR="00F952AA">
              <w:t xml:space="preserve"> </w:t>
            </w:r>
            <w:r w:rsidRPr="00577992">
              <w:t xml:space="preserve">jūnija Direktīvas 2008/57/EK par dzelzceļa sistēmas savstarpēju izmantojamību Kopienā (turpmāk – Direktīva 2008/57/EK) tiesību normas attiecībā uz ritošā sastāva būvi, modernizāciju, atjaunošanas remontu, atbilstības novērtēšanu un pieņemšanu ekspluatācijā. </w:t>
            </w:r>
            <w:r w:rsidRPr="00577992">
              <w:rPr>
                <w:kern w:val="36"/>
              </w:rPr>
              <w:t xml:space="preserve">MK noteikumi Nr.1211 </w:t>
            </w:r>
            <w:r w:rsidRPr="00577992">
              <w:rPr>
                <w:bCs/>
              </w:rPr>
              <w:t xml:space="preserve">paredz, ka ritošā sastāva būvei, modernizācijai, atjaunošanas remontam un atbilstības novērtēšanai piemēro procedūras, kas noteiktas normatīvajos aktos par Eiropas dzelzceļu sistēmu savstarpējo izmantojamību, </w:t>
            </w:r>
            <w:r>
              <w:rPr>
                <w:bCs/>
              </w:rPr>
              <w:t xml:space="preserve">un </w:t>
            </w:r>
            <w:r w:rsidRPr="00577992">
              <w:rPr>
                <w:bCs/>
              </w:rPr>
              <w:t xml:space="preserve">nosaka savstarpējās izmantojamības tehnisko specifikāciju (tostarp pamatprasību, izņēmumu, atklātās pieejas, pārejas noteikumu) izmantošanas kārtību. </w:t>
            </w:r>
            <w:r w:rsidRPr="00577992">
              <w:rPr>
                <w:kern w:val="36"/>
              </w:rPr>
              <w:t>MK noteikumos Nr.121</w:t>
            </w:r>
            <w:r w:rsidR="00C823AF">
              <w:rPr>
                <w:kern w:val="36"/>
              </w:rPr>
              <w:t>1</w:t>
            </w:r>
            <w:r w:rsidRPr="00577992">
              <w:t xml:space="preserve"> </w:t>
            </w:r>
            <w:r w:rsidRPr="00577992">
              <w:rPr>
                <w:bCs/>
              </w:rPr>
              <w:t>ir ņemts vērā tas, ka</w:t>
            </w:r>
            <w:r w:rsidR="00252A81">
              <w:rPr>
                <w:bCs/>
              </w:rPr>
              <w:t>,</w:t>
            </w:r>
            <w:r w:rsidRPr="00577992">
              <w:rPr>
                <w:bCs/>
              </w:rPr>
              <w:t xml:space="preserve"> apstiprinot savstarpējās izmantojamības tehniskās specifikācijas</w:t>
            </w:r>
            <w:r w:rsidR="00252A81">
              <w:rPr>
                <w:bCs/>
              </w:rPr>
              <w:t>,</w:t>
            </w:r>
            <w:r w:rsidRPr="00577992">
              <w:rPr>
                <w:bCs/>
              </w:rPr>
              <w:t xml:space="preserve"> Eiropas Komisija ir pieņēmusi lēmumu Latvijā izmantojamajam 1520 mm platuma sliežu ceļa platuma ritošajam sastāvam piešķirt Direktīvas 2008/57/EK 9.</w:t>
            </w:r>
            <w:r w:rsidR="006E0CA9">
              <w:rPr>
                <w:bCs/>
              </w:rPr>
              <w:t xml:space="preserve"> </w:t>
            </w:r>
            <w:r w:rsidRPr="00577992">
              <w:rPr>
                <w:bCs/>
              </w:rPr>
              <w:t>panta 5.</w:t>
            </w:r>
            <w:r w:rsidR="006E0CA9">
              <w:rPr>
                <w:bCs/>
              </w:rPr>
              <w:t xml:space="preserve"> </w:t>
            </w:r>
            <w:r w:rsidRPr="00577992">
              <w:rPr>
                <w:bCs/>
              </w:rPr>
              <w:t>punktā minēto izņēmumu attiecībā uz ritošo sastāvu, kas kursē no dalībvalsts uz trešo</w:t>
            </w:r>
            <w:r w:rsidR="00C823AF">
              <w:rPr>
                <w:bCs/>
              </w:rPr>
              <w:t xml:space="preserve"> valsti vai no </w:t>
            </w:r>
            <w:r w:rsidR="00A449C0">
              <w:rPr>
                <w:bCs/>
              </w:rPr>
              <w:t>trešās valsts</w:t>
            </w:r>
            <w:r w:rsidR="00C823AF">
              <w:rPr>
                <w:bCs/>
              </w:rPr>
              <w:t xml:space="preserve"> tīkla</w:t>
            </w:r>
            <w:r w:rsidR="00916617">
              <w:rPr>
                <w:bCs/>
              </w:rPr>
              <w:t xml:space="preserve">, kura sliežu </w:t>
            </w:r>
            <w:r w:rsidR="00916617">
              <w:rPr>
                <w:bCs/>
              </w:rPr>
              <w:lastRenderedPageBreak/>
              <w:t>platums</w:t>
            </w:r>
            <w:r w:rsidRPr="00577992">
              <w:rPr>
                <w:bCs/>
              </w:rPr>
              <w:t xml:space="preserve"> atšķiras no Eiropas Savienības galvenā (1435 mm platuma) dzelzceļa tīkla. </w:t>
            </w:r>
            <w:r w:rsidR="003F7409" w:rsidRPr="00577992">
              <w:rPr>
                <w:kern w:val="36"/>
              </w:rPr>
              <w:t>MK noteikum</w:t>
            </w:r>
            <w:r w:rsidR="003F7409">
              <w:rPr>
                <w:kern w:val="36"/>
              </w:rPr>
              <w:t>i</w:t>
            </w:r>
            <w:r w:rsidR="003F7409" w:rsidRPr="00577992">
              <w:rPr>
                <w:kern w:val="36"/>
              </w:rPr>
              <w:t xml:space="preserve"> Nr.1211</w:t>
            </w:r>
            <w:r w:rsidR="003F7409" w:rsidRPr="00577992">
              <w:t xml:space="preserve"> </w:t>
            </w:r>
            <w:r w:rsidR="003F7409">
              <w:t>paredz</w:t>
            </w:r>
            <w:r w:rsidR="003F7409" w:rsidRPr="00577992">
              <w:t xml:space="preserve">, ka trešajās valstīs ražotā ritošā sastāva atbilstību Latvijas normatīvo aktu prasībām un atbilstību izmantojamajai infrastruktūrai apliecina paziņotā institūcija. </w:t>
            </w:r>
            <w:r w:rsidR="008277F2">
              <w:rPr>
                <w:bCs/>
              </w:rPr>
              <w:t>Paziņotā institūcija novēr</w:t>
            </w:r>
            <w:r w:rsidR="003F7409" w:rsidRPr="00577992">
              <w:rPr>
                <w:bCs/>
              </w:rPr>
              <w:t>tējumu vei</w:t>
            </w:r>
            <w:r w:rsidR="003F7409">
              <w:rPr>
                <w:bCs/>
              </w:rPr>
              <w:t>c</w:t>
            </w:r>
            <w:r w:rsidR="003F7409" w:rsidRPr="00577992">
              <w:rPr>
                <w:bCs/>
              </w:rPr>
              <w:t>, pamatojoties uz tai pieejamo dokumentāciju.</w:t>
            </w:r>
            <w:r w:rsidR="003F7409" w:rsidRPr="00577992">
              <w:rPr>
                <w:sz w:val="28"/>
                <w:szCs w:val="28"/>
              </w:rPr>
              <w:t xml:space="preserve"> </w:t>
            </w:r>
            <w:r w:rsidR="003F7409" w:rsidRPr="00577992">
              <w:rPr>
                <w:bCs/>
              </w:rPr>
              <w:t xml:space="preserve">Ja dokumentācijas apjoms </w:t>
            </w:r>
            <w:r w:rsidR="003B24B2">
              <w:rPr>
                <w:bCs/>
              </w:rPr>
              <w:t>nav</w:t>
            </w:r>
            <w:r w:rsidR="003F7409" w:rsidRPr="00577992">
              <w:rPr>
                <w:bCs/>
              </w:rPr>
              <w:t xml:space="preserve"> pietiekams apliecinājuma izsniegšanai, paziņotā institūcija </w:t>
            </w:r>
            <w:r w:rsidR="003F7409">
              <w:rPr>
                <w:bCs/>
              </w:rPr>
              <w:t>veic</w:t>
            </w:r>
            <w:r w:rsidR="003F7409" w:rsidRPr="00577992">
              <w:rPr>
                <w:bCs/>
              </w:rPr>
              <w:t xml:space="preserve"> tehniskas pārbaudes un izmēģinājumus.</w:t>
            </w:r>
            <w:r w:rsidR="003F7409" w:rsidRPr="00577992">
              <w:t xml:space="preserve"> </w:t>
            </w:r>
            <w:r w:rsidR="003F7409">
              <w:t>Taču</w:t>
            </w:r>
            <w:r w:rsidR="00252A81">
              <w:t>,</w:t>
            </w:r>
            <w:r w:rsidR="003F7409">
              <w:t xml:space="preserve"> ņ</w:t>
            </w:r>
            <w:r w:rsidR="003F7409" w:rsidRPr="00577992">
              <w:t>emot vērā to, ka paziņotās institūcijas piekļuve pie trešajās valstīs ražoto kravas vagonu dokumentācijas ir apgrūtināta trešo valstu tiesību sistēmas dēļ, lai samazi</w:t>
            </w:r>
            <w:r w:rsidR="003F7409">
              <w:t xml:space="preserve">nātu tehnisko pārbaužu apjomus, </w:t>
            </w:r>
            <w:r w:rsidR="003F7409" w:rsidRPr="00577992">
              <w:rPr>
                <w:kern w:val="36"/>
              </w:rPr>
              <w:t>MK noteikum</w:t>
            </w:r>
            <w:r w:rsidR="003F7409">
              <w:rPr>
                <w:kern w:val="36"/>
              </w:rPr>
              <w:t xml:space="preserve">u </w:t>
            </w:r>
            <w:r w:rsidR="00024B42">
              <w:rPr>
                <w:kern w:val="36"/>
              </w:rPr>
              <w:t>Nr</w:t>
            </w:r>
            <w:r w:rsidR="008277F2">
              <w:rPr>
                <w:kern w:val="36"/>
              </w:rPr>
              <w:t>.</w:t>
            </w:r>
            <w:r w:rsidR="00024B42">
              <w:rPr>
                <w:kern w:val="36"/>
              </w:rPr>
              <w:t xml:space="preserve">1211 </w:t>
            </w:r>
            <w:r w:rsidR="00252A81">
              <w:rPr>
                <w:kern w:val="36"/>
              </w:rPr>
              <w:t>103. un 104. punktā</w:t>
            </w:r>
            <w:r w:rsidR="00C823AF">
              <w:rPr>
                <w:kern w:val="36"/>
              </w:rPr>
              <w:t xml:space="preserve"> ir</w:t>
            </w:r>
            <w:r w:rsidR="003F7409" w:rsidRPr="00577992">
              <w:rPr>
                <w:kern w:val="36"/>
              </w:rPr>
              <w:t xml:space="preserve"> </w:t>
            </w:r>
            <w:r w:rsidR="003F7409" w:rsidRPr="00577992">
              <w:t>paredz</w:t>
            </w:r>
            <w:r w:rsidR="008277F2">
              <w:t xml:space="preserve">ēts pārējas </w:t>
            </w:r>
            <w:r w:rsidR="007D6EDD">
              <w:t>periods</w:t>
            </w:r>
            <w:r w:rsidR="00BB1994">
              <w:t xml:space="preserve"> līdz 2019</w:t>
            </w:r>
            <w:r w:rsidR="008277F2">
              <w:t>.</w:t>
            </w:r>
            <w:r w:rsidR="006E0CA9">
              <w:t xml:space="preserve"> </w:t>
            </w:r>
            <w:r w:rsidR="008277F2">
              <w:t xml:space="preserve">gada </w:t>
            </w:r>
            <w:r w:rsidR="003F7409" w:rsidRPr="00577992">
              <w:t>1.</w:t>
            </w:r>
            <w:r w:rsidR="006E0CA9">
              <w:t xml:space="preserve"> </w:t>
            </w:r>
            <w:r w:rsidR="003F7409" w:rsidRPr="00577992">
              <w:t>janvārim</w:t>
            </w:r>
            <w:r w:rsidR="003F7409">
              <w:t>, k</w:t>
            </w:r>
            <w:r w:rsidR="003B24B2">
              <w:t>urā</w:t>
            </w:r>
            <w:r w:rsidR="003F7409" w:rsidRPr="00577992">
              <w:t xml:space="preserve"> šādas </w:t>
            </w:r>
            <w:r w:rsidR="003B24B2">
              <w:t xml:space="preserve">ritošā sastāva atbilstības </w:t>
            </w:r>
            <w:r w:rsidR="003F7409" w:rsidRPr="00577992">
              <w:t xml:space="preserve">apliecināšanas tiesības </w:t>
            </w:r>
            <w:r w:rsidR="003F7409">
              <w:t xml:space="preserve">ir </w:t>
            </w:r>
            <w:r w:rsidR="003F7409" w:rsidRPr="00577992">
              <w:t>piešķirt</w:t>
            </w:r>
            <w:r w:rsidR="003F7409">
              <w:t>as</w:t>
            </w:r>
            <w:r w:rsidR="003F7409" w:rsidRPr="00577992">
              <w:t xml:space="preserve"> </w:t>
            </w:r>
            <w:r w:rsidR="003F7409" w:rsidRPr="00577992">
              <w:rPr>
                <w:bCs/>
                <w:color w:val="000000"/>
              </w:rPr>
              <w:t>valsts akciju sabiedrībai, kas pārvalda valsts publiskās lietošanas dzelzceļa infrastruktūru, kurai piekļuve tās infrastruktūrā izmantojamo kravas vagonu dokumentācijai tiek nodrošināta atbilstoši D</w:t>
            </w:r>
            <w:r w:rsidR="008277F2">
              <w:rPr>
                <w:bCs/>
                <w:color w:val="000000"/>
              </w:rPr>
              <w:t>zelzceļa likuma 42.</w:t>
            </w:r>
            <w:r w:rsidR="00F952AA">
              <w:rPr>
                <w:bCs/>
                <w:color w:val="000000"/>
              </w:rPr>
              <w:t xml:space="preserve"> </w:t>
            </w:r>
            <w:r w:rsidR="008277F2">
              <w:rPr>
                <w:bCs/>
                <w:color w:val="000000"/>
              </w:rPr>
              <w:t xml:space="preserve">pantā minēto </w:t>
            </w:r>
            <w:r w:rsidR="003F7409" w:rsidRPr="00577992">
              <w:rPr>
                <w:bCs/>
                <w:color w:val="000000"/>
              </w:rPr>
              <w:t>starptautisko līgumu nosacījumiem.</w:t>
            </w:r>
            <w:r w:rsidR="008277F2">
              <w:rPr>
                <w:bCs/>
                <w:color w:val="000000"/>
              </w:rPr>
              <w:t xml:space="preserve"> </w:t>
            </w:r>
            <w:r w:rsidR="00760EE5">
              <w:rPr>
                <w:bCs/>
                <w:color w:val="000000"/>
              </w:rPr>
              <w:t>2016.</w:t>
            </w:r>
            <w:r w:rsidR="006E0CA9">
              <w:rPr>
                <w:bCs/>
                <w:color w:val="000000"/>
              </w:rPr>
              <w:t xml:space="preserve"> </w:t>
            </w:r>
            <w:r w:rsidR="00760EE5">
              <w:rPr>
                <w:bCs/>
                <w:color w:val="000000"/>
              </w:rPr>
              <w:t>gada 11.</w:t>
            </w:r>
            <w:r w:rsidR="006E0CA9">
              <w:rPr>
                <w:bCs/>
                <w:color w:val="000000"/>
              </w:rPr>
              <w:t xml:space="preserve"> </w:t>
            </w:r>
            <w:r w:rsidR="00760EE5">
              <w:rPr>
                <w:bCs/>
                <w:color w:val="000000"/>
              </w:rPr>
              <w:t>maijā tika pieņemta</w:t>
            </w:r>
            <w:r w:rsidR="00760EE5">
              <w:t xml:space="preserve"> Eiropas Parlamenta un Padomes Direktīva (ES) 2016/797 par dzelzceļa sistēmas savstarpēju izmantojamību Eiropas Savienībā (turpmāk – Direktīva 2016/797), kuras prasības ir jāiev</w:t>
            </w:r>
            <w:r w:rsidR="00A449C0">
              <w:t>ieš Latvijas R</w:t>
            </w:r>
            <w:r w:rsidR="00916617">
              <w:t>epublikā līdz 2021.</w:t>
            </w:r>
            <w:r w:rsidR="006E0CA9">
              <w:t xml:space="preserve"> </w:t>
            </w:r>
            <w:r w:rsidR="00916617">
              <w:t>gadam</w:t>
            </w:r>
            <w:r w:rsidR="00760EE5">
              <w:t>. Šī Direktīva paredz būtiski mainīt Direktīvā</w:t>
            </w:r>
            <w:r w:rsidR="00760EE5" w:rsidRPr="00577992">
              <w:t xml:space="preserve"> 2008/57/EK</w:t>
            </w:r>
            <w:r w:rsidR="00760EE5">
              <w:t xml:space="preserve"> noteiktās ritošā sastāva atbilstības novērtēšanas procedūras (</w:t>
            </w:r>
            <w:r w:rsidR="00252A81">
              <w:t>D</w:t>
            </w:r>
            <w:r w:rsidR="00760EE5">
              <w:t>irektīva</w:t>
            </w:r>
            <w:r w:rsidR="00252A81">
              <w:t xml:space="preserve"> 2008/57/EK</w:t>
            </w:r>
            <w:r w:rsidR="00760EE5">
              <w:t xml:space="preserve"> </w:t>
            </w:r>
            <w:r w:rsidR="00760EE5" w:rsidRPr="00CB0945">
              <w:t xml:space="preserve">tiks atcelta), kā rezultātā </w:t>
            </w:r>
            <w:r w:rsidR="00916617">
              <w:t>būs</w:t>
            </w:r>
            <w:r w:rsidR="00760EE5">
              <w:rPr>
                <w:kern w:val="36"/>
              </w:rPr>
              <w:t xml:space="preserve"> nepieciešams</w:t>
            </w:r>
            <w:r w:rsidR="00760EE5" w:rsidRPr="00CB0945">
              <w:rPr>
                <w:kern w:val="36"/>
              </w:rPr>
              <w:t xml:space="preserve"> izdot jaunus</w:t>
            </w:r>
            <w:r w:rsidR="00760EE5">
              <w:rPr>
                <w:kern w:val="36"/>
              </w:rPr>
              <w:t xml:space="preserve"> </w:t>
            </w:r>
            <w:r w:rsidR="00760EE5" w:rsidRPr="00CB0945">
              <w:rPr>
                <w:kern w:val="36"/>
              </w:rPr>
              <w:t>noteikumus.</w:t>
            </w:r>
            <w:r w:rsidR="00B44B0B">
              <w:rPr>
                <w:kern w:val="36"/>
              </w:rPr>
              <w:t xml:space="preserve"> Ņemot vērā iepriekš minēto, Projekts </w:t>
            </w:r>
            <w:r w:rsidR="00B44B0B">
              <w:t xml:space="preserve"> </w:t>
            </w:r>
            <w:r w:rsidR="00B44B0B" w:rsidRPr="00B44B0B">
              <w:rPr>
                <w:kern w:val="36"/>
              </w:rPr>
              <w:t>neko no Eiropas Savienības tiesību aktiem tieši nepārņem</w:t>
            </w:r>
            <w:r w:rsidR="00B44B0B">
              <w:rPr>
                <w:kern w:val="36"/>
              </w:rPr>
              <w:t xml:space="preserve">, tajā </w:t>
            </w:r>
            <w:r w:rsidR="00760EE5">
              <w:rPr>
                <w:kern w:val="36"/>
              </w:rPr>
              <w:t xml:space="preserve">ir paredzēts saglabāt </w:t>
            </w:r>
            <w:r w:rsidR="00252A81">
              <w:rPr>
                <w:kern w:val="36"/>
              </w:rPr>
              <w:t xml:space="preserve">noteikto </w:t>
            </w:r>
            <w:r w:rsidR="00760EE5">
              <w:rPr>
                <w:kern w:val="36"/>
              </w:rPr>
              <w:t xml:space="preserve">pārejas </w:t>
            </w:r>
            <w:r w:rsidR="00252A81">
              <w:rPr>
                <w:kern w:val="36"/>
              </w:rPr>
              <w:t>periodu</w:t>
            </w:r>
            <w:r w:rsidR="00760EE5">
              <w:rPr>
                <w:kern w:val="36"/>
              </w:rPr>
              <w:t xml:space="preserve"> </w:t>
            </w:r>
            <w:r w:rsidR="00760EE5">
              <w:t>līdz Direktīvas 2016/7</w:t>
            </w:r>
            <w:r w:rsidR="00916617">
              <w:t>97 piemērošanas uzsākšanai 2021</w:t>
            </w:r>
            <w:r w:rsidR="00760EE5">
              <w:t>.</w:t>
            </w:r>
            <w:r w:rsidR="006E0CA9">
              <w:t xml:space="preserve"> </w:t>
            </w:r>
            <w:r w:rsidR="00760EE5">
              <w:t>gada 1.</w:t>
            </w:r>
            <w:r w:rsidR="006E0CA9">
              <w:t xml:space="preserve"> </w:t>
            </w:r>
            <w:r w:rsidR="00760EE5">
              <w:t>javār</w:t>
            </w:r>
            <w:r w:rsidR="00252A81">
              <w:t>ī</w:t>
            </w:r>
            <w:r w:rsidR="00760EE5">
              <w:t>.</w:t>
            </w:r>
            <w:r w:rsidR="00B44B0B">
              <w:t xml:space="preserve"> Projekts ir nepieciešams, jo citādi var rasties nevēlamas sekas un </w:t>
            </w:r>
            <w:r w:rsidR="00B44B0B" w:rsidRPr="00154F0F">
              <w:t>2019.gada 1.janvāri kravas vagonu pieņemšana ekspluatācijā Latvijā var apstāties.</w:t>
            </w:r>
          </w:p>
          <w:p w14:paraId="767C8321" w14:textId="5E5411D2" w:rsidR="00186618" w:rsidRPr="00760EE5" w:rsidRDefault="00E34F3B" w:rsidP="006355D1">
            <w:pPr>
              <w:pStyle w:val="NormalWeb"/>
              <w:tabs>
                <w:tab w:val="left" w:pos="360"/>
                <w:tab w:val="left" w:pos="5280"/>
              </w:tabs>
              <w:spacing w:before="0" w:after="0"/>
              <w:ind w:left="191" w:right="272"/>
              <w:jc w:val="both"/>
              <w:rPr>
                <w:bCs/>
                <w:color w:val="000000"/>
              </w:rPr>
            </w:pPr>
            <w:hyperlink r:id="rId8" w:tgtFrame="_blank" w:tooltip="DIREKTĪVA" w:history="1"/>
          </w:p>
        </w:tc>
      </w:tr>
      <w:tr w:rsidR="00186618" w:rsidRPr="00186618" w14:paraId="2EA677CE" w14:textId="77777777" w:rsidTr="00FF2EDF">
        <w:trPr>
          <w:trHeight w:val="476"/>
        </w:trPr>
        <w:tc>
          <w:tcPr>
            <w:tcW w:w="315" w:type="pct"/>
          </w:tcPr>
          <w:p w14:paraId="4D1E619D" w14:textId="77777777"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lastRenderedPageBreak/>
              <w:t>3.</w:t>
            </w:r>
          </w:p>
        </w:tc>
        <w:tc>
          <w:tcPr>
            <w:tcW w:w="1611" w:type="pct"/>
          </w:tcPr>
          <w:p w14:paraId="2193AE49" w14:textId="4A4ED56E"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izstrādē iesaistītās institūcijas</w:t>
            </w:r>
            <w:r w:rsidR="00C1632D">
              <w:t xml:space="preserve"> </w:t>
            </w:r>
            <w:r w:rsidR="00C1632D" w:rsidRPr="00C1632D">
              <w:rPr>
                <w:lang w:val="lv-LV"/>
              </w:rPr>
              <w:t>un publiskas personas kapitālsabiedrības</w:t>
            </w:r>
          </w:p>
        </w:tc>
        <w:tc>
          <w:tcPr>
            <w:tcW w:w="3074" w:type="pct"/>
          </w:tcPr>
          <w:p w14:paraId="3991EFBA" w14:textId="77777777" w:rsidR="00542019" w:rsidRPr="0062173C" w:rsidRDefault="0062173C" w:rsidP="009D67B8">
            <w:pPr>
              <w:ind w:left="191" w:right="272"/>
              <w:jc w:val="both"/>
            </w:pPr>
            <w:r w:rsidRPr="0062173C">
              <w:t>Satiksmes ministrija</w:t>
            </w:r>
            <w:r w:rsidR="00F91CEB">
              <w:t>,</w:t>
            </w:r>
            <w:r w:rsidR="00F91CEB" w:rsidRPr="0062173C">
              <w:t xml:space="preserve"> </w:t>
            </w:r>
            <w:r w:rsidRPr="0062173C">
              <w:t>Valsts dzelzceļa tehniskā inspekcija.</w:t>
            </w:r>
          </w:p>
        </w:tc>
      </w:tr>
      <w:tr w:rsidR="00186618" w:rsidRPr="00186618" w14:paraId="33A3D4F3" w14:textId="77777777" w:rsidTr="00FF2EDF">
        <w:tc>
          <w:tcPr>
            <w:tcW w:w="315" w:type="pct"/>
          </w:tcPr>
          <w:p w14:paraId="434EED62" w14:textId="77777777"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4.</w:t>
            </w:r>
          </w:p>
        </w:tc>
        <w:tc>
          <w:tcPr>
            <w:tcW w:w="1611" w:type="pct"/>
          </w:tcPr>
          <w:p w14:paraId="45F59062" w14:textId="77777777"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Cita informācija</w:t>
            </w:r>
          </w:p>
        </w:tc>
        <w:tc>
          <w:tcPr>
            <w:tcW w:w="3074" w:type="pct"/>
          </w:tcPr>
          <w:p w14:paraId="78B0D9E3" w14:textId="6DE94597" w:rsidR="007D2DD8" w:rsidRPr="00334BFA" w:rsidRDefault="00157C4B" w:rsidP="001075DC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4F3CB4">
              <w:rPr>
                <w:lang w:val="lv-LV"/>
              </w:rPr>
              <w:t xml:space="preserve"> </w:t>
            </w:r>
            <w:r w:rsidR="00DF204D">
              <w:rPr>
                <w:lang w:val="lv-LV"/>
              </w:rPr>
              <w:t>Nav</w:t>
            </w:r>
          </w:p>
        </w:tc>
      </w:tr>
    </w:tbl>
    <w:p w14:paraId="2F2D2EF1" w14:textId="77777777" w:rsidR="001C4660" w:rsidRPr="00DD49B6" w:rsidRDefault="001C4660" w:rsidP="001C4660"/>
    <w:tbl>
      <w:tblPr>
        <w:tblpPr w:leftFromText="180" w:rightFromText="180" w:vertAnchor="text" w:horzAnchor="margin" w:tblpXSpec="center" w:tblpY="11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967"/>
        <w:gridCol w:w="5528"/>
      </w:tblGrid>
      <w:tr w:rsidR="006437C1" w:rsidRPr="00DD49B6" w14:paraId="26F7D022" w14:textId="77777777" w:rsidTr="00E5598E">
        <w:trPr>
          <w:trHeight w:val="556"/>
        </w:trPr>
        <w:tc>
          <w:tcPr>
            <w:tcW w:w="9067" w:type="dxa"/>
            <w:gridSpan w:val="3"/>
            <w:vAlign w:val="center"/>
          </w:tcPr>
          <w:p w14:paraId="736EA405" w14:textId="77777777" w:rsidR="006437C1" w:rsidRPr="00DD49B6" w:rsidRDefault="006437C1" w:rsidP="005D474C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t>II. Tiesību akta projekta ietekme uz sabiedrību, tautsaimniecības attīstību</w:t>
            </w:r>
          </w:p>
          <w:p w14:paraId="7697572A" w14:textId="77777777" w:rsidR="006437C1" w:rsidRPr="00DD49B6" w:rsidRDefault="006437C1" w:rsidP="005D474C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t>un administratīvo slogu</w:t>
            </w:r>
          </w:p>
        </w:tc>
      </w:tr>
      <w:tr w:rsidR="006437C1" w:rsidRPr="00DD49B6" w14:paraId="14428B47" w14:textId="77777777" w:rsidTr="00B25002">
        <w:trPr>
          <w:trHeight w:val="467"/>
        </w:trPr>
        <w:tc>
          <w:tcPr>
            <w:tcW w:w="572" w:type="dxa"/>
          </w:tcPr>
          <w:p w14:paraId="0BF87528" w14:textId="77777777" w:rsidR="006437C1" w:rsidRPr="00DD49B6" w:rsidRDefault="006437C1" w:rsidP="00BA543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1.</w:t>
            </w:r>
          </w:p>
        </w:tc>
        <w:tc>
          <w:tcPr>
            <w:tcW w:w="2967" w:type="dxa"/>
          </w:tcPr>
          <w:p w14:paraId="55B339F9" w14:textId="77777777" w:rsidR="006437C1" w:rsidRPr="00BA5434" w:rsidRDefault="00212135" w:rsidP="005D474C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>
              <w:rPr>
                <w:lang w:val="lv-LV"/>
              </w:rPr>
              <w:t>Sabiedrības mērķ</w:t>
            </w:r>
            <w:r w:rsidR="006437C1" w:rsidRPr="00BA5434">
              <w:rPr>
                <w:lang w:val="lv-LV"/>
              </w:rPr>
              <w:t>grupas, kuras tiesiskais regulējums ietekmē vai varētu ietekmēt</w:t>
            </w:r>
          </w:p>
        </w:tc>
        <w:tc>
          <w:tcPr>
            <w:tcW w:w="5528" w:type="dxa"/>
          </w:tcPr>
          <w:p w14:paraId="57C3F95F" w14:textId="2EF59C2B" w:rsidR="006437C1" w:rsidRPr="005B1C69" w:rsidRDefault="00B25002" w:rsidP="009D67B8">
            <w:pPr>
              <w:ind w:left="139" w:right="272"/>
              <w:jc w:val="both"/>
            </w:pPr>
            <w:bookmarkStart w:id="4" w:name="p21"/>
            <w:bookmarkEnd w:id="4"/>
            <w:r>
              <w:t xml:space="preserve"> </w:t>
            </w:r>
            <w:r w:rsidR="00112E10">
              <w:t xml:space="preserve">Publiskās lietošanas dzelzceļa infrastruktūras </w:t>
            </w:r>
            <w:r>
              <w:t xml:space="preserve"> </w:t>
            </w:r>
            <w:r w:rsidR="00112E10">
              <w:t xml:space="preserve">pārvaldītājs (1), pārvadātāji (10), ritošā sastāva </w:t>
            </w:r>
            <w:r>
              <w:t xml:space="preserve"> </w:t>
            </w:r>
            <w:r w:rsidR="00112E10">
              <w:lastRenderedPageBreak/>
              <w:t>īpašnieki un lietotāji, dzelzceļa tehnikas ražotāji un apkalpotāji.</w:t>
            </w:r>
          </w:p>
        </w:tc>
      </w:tr>
      <w:tr w:rsidR="006437C1" w:rsidRPr="00DD49B6" w14:paraId="725871CD" w14:textId="77777777" w:rsidTr="00B25002">
        <w:trPr>
          <w:trHeight w:val="523"/>
        </w:trPr>
        <w:tc>
          <w:tcPr>
            <w:tcW w:w="572" w:type="dxa"/>
          </w:tcPr>
          <w:p w14:paraId="57E5ED7F" w14:textId="77777777" w:rsidR="006437C1" w:rsidRPr="00DD49B6" w:rsidRDefault="006437C1" w:rsidP="00BA543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lastRenderedPageBreak/>
              <w:t>2.</w:t>
            </w:r>
          </w:p>
        </w:tc>
        <w:tc>
          <w:tcPr>
            <w:tcW w:w="2967" w:type="dxa"/>
          </w:tcPr>
          <w:p w14:paraId="2AD4FEA6" w14:textId="77777777" w:rsidR="006437C1" w:rsidRPr="00BA5434" w:rsidRDefault="006437C1" w:rsidP="005D474C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BA5434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5528" w:type="dxa"/>
          </w:tcPr>
          <w:p w14:paraId="4839F428" w14:textId="77777777" w:rsidR="006437C1" w:rsidRPr="004A5B92" w:rsidRDefault="00B94947" w:rsidP="00010F98">
            <w:pPr>
              <w:shd w:val="clear" w:color="auto" w:fill="FFFFFF"/>
              <w:ind w:left="146" w:right="272"/>
              <w:jc w:val="both"/>
              <w:rPr>
                <w:highlight w:val="yellow"/>
              </w:rPr>
            </w:pPr>
            <w:r w:rsidRPr="00B94947">
              <w:t>Sabiedrības grupām un institūcijām projekta tiesiskais regulējums nemaina tiesības un pienākumus, kā arī veicamās darbības.</w:t>
            </w:r>
          </w:p>
        </w:tc>
      </w:tr>
      <w:tr w:rsidR="006437C1" w:rsidRPr="00DD49B6" w14:paraId="7FABDC1D" w14:textId="77777777" w:rsidTr="00B25002">
        <w:trPr>
          <w:trHeight w:val="523"/>
        </w:trPr>
        <w:tc>
          <w:tcPr>
            <w:tcW w:w="572" w:type="dxa"/>
          </w:tcPr>
          <w:p w14:paraId="4612CC6B" w14:textId="77777777" w:rsidR="006437C1" w:rsidRPr="00DD49B6" w:rsidRDefault="006437C1" w:rsidP="00BA543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3.</w:t>
            </w:r>
          </w:p>
        </w:tc>
        <w:tc>
          <w:tcPr>
            <w:tcW w:w="2967" w:type="dxa"/>
          </w:tcPr>
          <w:p w14:paraId="5A3903F4" w14:textId="77777777" w:rsidR="006437C1" w:rsidRPr="00BA5434" w:rsidRDefault="006437C1" w:rsidP="005D474C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BA5434">
              <w:rPr>
                <w:lang w:val="lv-LV"/>
              </w:rPr>
              <w:t>Administratīvo izmaksu monetārs novērtējums</w:t>
            </w:r>
          </w:p>
        </w:tc>
        <w:tc>
          <w:tcPr>
            <w:tcW w:w="5528" w:type="dxa"/>
          </w:tcPr>
          <w:p w14:paraId="585994BC" w14:textId="77777777" w:rsidR="006437C1" w:rsidRPr="004A5B92" w:rsidRDefault="001F6CA4" w:rsidP="00010F98">
            <w:pPr>
              <w:shd w:val="clear" w:color="auto" w:fill="FFFFFF"/>
              <w:ind w:left="146" w:right="57"/>
              <w:rPr>
                <w:highlight w:val="yellow"/>
              </w:rPr>
            </w:pPr>
            <w:r>
              <w:t>Projekts šo jomu neskar</w:t>
            </w:r>
          </w:p>
        </w:tc>
      </w:tr>
      <w:tr w:rsidR="00252A81" w:rsidRPr="00DD49B6" w14:paraId="7D091B7A" w14:textId="77777777" w:rsidTr="006355D1">
        <w:trPr>
          <w:trHeight w:val="708"/>
        </w:trPr>
        <w:tc>
          <w:tcPr>
            <w:tcW w:w="572" w:type="dxa"/>
          </w:tcPr>
          <w:p w14:paraId="2F7D1F5B" w14:textId="22D07230" w:rsidR="00252A81" w:rsidRPr="00DD49B6" w:rsidRDefault="00252A81" w:rsidP="00BA543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>
              <w:t>4.</w:t>
            </w:r>
          </w:p>
        </w:tc>
        <w:tc>
          <w:tcPr>
            <w:tcW w:w="2967" w:type="dxa"/>
          </w:tcPr>
          <w:p w14:paraId="6E28A944" w14:textId="07495DAB" w:rsidR="00252A81" w:rsidRPr="00BA5434" w:rsidRDefault="00252A81" w:rsidP="00252A81">
            <w:pPr>
              <w:pStyle w:val="naiskr"/>
              <w:ind w:left="57" w:right="57"/>
              <w:rPr>
                <w:lang w:val="lv-LV"/>
              </w:rPr>
            </w:pPr>
            <w:r w:rsidRPr="00252A81">
              <w:rPr>
                <w:lang w:val="lv-LV"/>
              </w:rPr>
              <w:t>Atbilstības izmaksu monetārs novērtējums</w:t>
            </w:r>
            <w:r w:rsidRPr="00252A81">
              <w:rPr>
                <w:lang w:val="lv-LV"/>
              </w:rPr>
              <w:tab/>
            </w:r>
          </w:p>
        </w:tc>
        <w:tc>
          <w:tcPr>
            <w:tcW w:w="5528" w:type="dxa"/>
          </w:tcPr>
          <w:p w14:paraId="28F29349" w14:textId="67F2CDBF" w:rsidR="00252A81" w:rsidRPr="001F6CA4" w:rsidRDefault="00252A81" w:rsidP="002C6524">
            <w:pPr>
              <w:shd w:val="clear" w:color="auto" w:fill="FFFFFF"/>
              <w:ind w:left="57" w:right="57" w:firstLine="89"/>
            </w:pPr>
            <w:r w:rsidRPr="00252A81">
              <w:t>Projekts šo jomu neskar.</w:t>
            </w:r>
          </w:p>
        </w:tc>
      </w:tr>
      <w:tr w:rsidR="006437C1" w:rsidRPr="00DD49B6" w14:paraId="2B22067C" w14:textId="77777777" w:rsidTr="00B25002">
        <w:trPr>
          <w:trHeight w:val="357"/>
        </w:trPr>
        <w:tc>
          <w:tcPr>
            <w:tcW w:w="572" w:type="dxa"/>
          </w:tcPr>
          <w:p w14:paraId="7F285358" w14:textId="2E48CAD8" w:rsidR="006437C1" w:rsidRPr="00DD49B6" w:rsidRDefault="00252A81" w:rsidP="00BA543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>
              <w:t>5</w:t>
            </w:r>
            <w:r w:rsidR="006437C1" w:rsidRPr="00DD49B6">
              <w:t>.</w:t>
            </w:r>
          </w:p>
        </w:tc>
        <w:tc>
          <w:tcPr>
            <w:tcW w:w="2967" w:type="dxa"/>
          </w:tcPr>
          <w:p w14:paraId="49125F43" w14:textId="77777777" w:rsidR="006437C1" w:rsidRPr="00BA5434" w:rsidRDefault="006437C1" w:rsidP="005D474C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BA5434">
              <w:rPr>
                <w:lang w:val="lv-LV"/>
              </w:rPr>
              <w:t>Cita informācija</w:t>
            </w:r>
          </w:p>
        </w:tc>
        <w:tc>
          <w:tcPr>
            <w:tcW w:w="5528" w:type="dxa"/>
          </w:tcPr>
          <w:p w14:paraId="60DD76C3" w14:textId="77777777" w:rsidR="006437C1" w:rsidRPr="004A5B92" w:rsidRDefault="006437C1" w:rsidP="00C02C11">
            <w:pPr>
              <w:shd w:val="clear" w:color="auto" w:fill="FFFFFF"/>
              <w:ind w:left="57" w:right="57" w:firstLine="89"/>
              <w:rPr>
                <w:highlight w:val="yellow"/>
              </w:rPr>
            </w:pPr>
            <w:r w:rsidRPr="001F6CA4">
              <w:t>Nav</w:t>
            </w:r>
          </w:p>
        </w:tc>
      </w:tr>
    </w:tbl>
    <w:p w14:paraId="0E50B620" w14:textId="77777777" w:rsidR="006355D1" w:rsidRDefault="006355D1" w:rsidP="0018661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E5598E" w14:paraId="79080A00" w14:textId="77777777" w:rsidTr="00E5598E">
        <w:tc>
          <w:tcPr>
            <w:tcW w:w="9066" w:type="dxa"/>
            <w:vAlign w:val="center"/>
          </w:tcPr>
          <w:p w14:paraId="140759AD" w14:textId="77777777" w:rsidR="00E5598E" w:rsidRDefault="00E5598E" w:rsidP="00E5598E">
            <w:pPr>
              <w:jc w:val="center"/>
            </w:pPr>
            <w:r w:rsidRPr="00594A45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E5598E" w14:paraId="49099C04" w14:textId="77777777" w:rsidTr="00E5598E">
        <w:tc>
          <w:tcPr>
            <w:tcW w:w="9066" w:type="dxa"/>
            <w:vAlign w:val="center"/>
          </w:tcPr>
          <w:p w14:paraId="44749F21" w14:textId="77777777" w:rsidR="00E5598E" w:rsidRDefault="00E5598E" w:rsidP="00E5598E">
            <w:pPr>
              <w:jc w:val="center"/>
            </w:pPr>
            <w:r>
              <w:t>Projekts šo jomu neskar</w:t>
            </w:r>
          </w:p>
        </w:tc>
      </w:tr>
    </w:tbl>
    <w:p w14:paraId="10B315EE" w14:textId="77777777" w:rsidR="00E5598E" w:rsidRDefault="00E5598E" w:rsidP="001866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598E" w14:paraId="2825C96E" w14:textId="77777777" w:rsidTr="00E5598E">
        <w:tc>
          <w:tcPr>
            <w:tcW w:w="9060" w:type="dxa"/>
            <w:vAlign w:val="center"/>
          </w:tcPr>
          <w:p w14:paraId="415D0215" w14:textId="0272A5F0" w:rsidR="00E5598E" w:rsidRDefault="0095227D" w:rsidP="00E5598E">
            <w:pPr>
              <w:jc w:val="center"/>
            </w:pPr>
            <w:r>
              <w:rPr>
                <w:b/>
                <w:bCs/>
                <w:iCs/>
              </w:rPr>
              <w:t>I</w:t>
            </w:r>
            <w:r w:rsidR="00E5598E" w:rsidRPr="00594A45">
              <w:rPr>
                <w:b/>
                <w:bCs/>
                <w:iCs/>
              </w:rPr>
              <w:t>V. Tiesību akta projekta ietekme uz spēkā esošo tiesību normu sistēmu</w:t>
            </w:r>
          </w:p>
        </w:tc>
      </w:tr>
      <w:tr w:rsidR="00E5598E" w14:paraId="2E7EDECE" w14:textId="77777777" w:rsidTr="00E5598E">
        <w:tc>
          <w:tcPr>
            <w:tcW w:w="9060" w:type="dxa"/>
            <w:vAlign w:val="center"/>
          </w:tcPr>
          <w:p w14:paraId="4CAD46B8" w14:textId="77777777" w:rsidR="00E5598E" w:rsidRDefault="00E5598E" w:rsidP="00E5598E">
            <w:pPr>
              <w:jc w:val="center"/>
            </w:pPr>
            <w:r>
              <w:t>Projekts šo jomu neskar</w:t>
            </w:r>
          </w:p>
        </w:tc>
      </w:tr>
    </w:tbl>
    <w:p w14:paraId="54365622" w14:textId="77777777" w:rsidR="00E5598E" w:rsidRDefault="00E5598E" w:rsidP="00186618"/>
    <w:tbl>
      <w:tblPr>
        <w:tblW w:w="90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4"/>
      </w:tblGrid>
      <w:tr w:rsidR="00036E0F" w:rsidRPr="00DD49B6" w14:paraId="0122742D" w14:textId="77777777" w:rsidTr="006355D1">
        <w:trPr>
          <w:jc w:val="center"/>
        </w:trPr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33343" w14:textId="77777777" w:rsidR="00036E0F" w:rsidRPr="00DD49B6" w:rsidRDefault="00036E0F" w:rsidP="0023386F">
            <w:pPr>
              <w:jc w:val="center"/>
              <w:rPr>
                <w:b/>
              </w:rPr>
            </w:pPr>
            <w:r w:rsidRPr="00DD49B6">
              <w:rPr>
                <w:b/>
              </w:rPr>
              <w:t>V. Tiesību akta projekta atbilstība Latvijas Republikas starptautiskajām saistībām</w:t>
            </w:r>
          </w:p>
        </w:tc>
      </w:tr>
      <w:tr w:rsidR="002A7532" w:rsidRPr="00DD49B6" w14:paraId="314F4CDF" w14:textId="77777777" w:rsidTr="006355D1">
        <w:trPr>
          <w:jc w:val="center"/>
        </w:trPr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F85DE" w14:textId="77777777" w:rsidR="002A7532" w:rsidRPr="003858FE" w:rsidRDefault="002A7532" w:rsidP="002A7532">
            <w:pPr>
              <w:pStyle w:val="ListParagraph"/>
              <w:tabs>
                <w:tab w:val="left" w:pos="386"/>
              </w:tabs>
              <w:ind w:left="0"/>
              <w:jc w:val="center"/>
            </w:pPr>
            <w:r>
              <w:t>Projekts šo jomu neskar</w:t>
            </w:r>
          </w:p>
        </w:tc>
      </w:tr>
    </w:tbl>
    <w:p w14:paraId="2786FA2C" w14:textId="77777777" w:rsidR="006355D1" w:rsidRDefault="006355D1" w:rsidP="00186618"/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3261"/>
        <w:gridCol w:w="5154"/>
      </w:tblGrid>
      <w:tr w:rsidR="00FB2FC6" w:rsidRPr="00DD49B6" w14:paraId="3238E2AC" w14:textId="77777777" w:rsidTr="00F51E83">
        <w:trPr>
          <w:trHeight w:val="421"/>
          <w:jc w:val="center"/>
        </w:trPr>
        <w:tc>
          <w:tcPr>
            <w:tcW w:w="9033" w:type="dxa"/>
            <w:gridSpan w:val="3"/>
            <w:vAlign w:val="center"/>
          </w:tcPr>
          <w:p w14:paraId="22870E36" w14:textId="77777777" w:rsidR="00FB2FC6" w:rsidRPr="00DD49B6" w:rsidRDefault="00FB2FC6" w:rsidP="00F51E83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DD49B6">
              <w:rPr>
                <w:b/>
              </w:rPr>
              <w:t>VI. Sabiedrības līdzdalība un komunikācijas aktivitātes</w:t>
            </w:r>
          </w:p>
        </w:tc>
      </w:tr>
      <w:tr w:rsidR="00FB2FC6" w:rsidRPr="00DD49B6" w14:paraId="720A9449" w14:textId="77777777" w:rsidTr="00F51E83">
        <w:trPr>
          <w:trHeight w:val="553"/>
          <w:jc w:val="center"/>
        </w:trPr>
        <w:tc>
          <w:tcPr>
            <w:tcW w:w="618" w:type="dxa"/>
          </w:tcPr>
          <w:p w14:paraId="4B5C9BAD" w14:textId="77777777" w:rsidR="00FB2FC6" w:rsidRPr="00DD49B6" w:rsidRDefault="00FB2FC6" w:rsidP="00F51E83">
            <w:pPr>
              <w:ind w:left="57" w:right="57"/>
              <w:jc w:val="center"/>
              <w:rPr>
                <w:bCs/>
              </w:rPr>
            </w:pPr>
            <w:r w:rsidRPr="00DD49B6">
              <w:rPr>
                <w:bCs/>
              </w:rPr>
              <w:t>1.</w:t>
            </w:r>
          </w:p>
        </w:tc>
        <w:tc>
          <w:tcPr>
            <w:tcW w:w="3261" w:type="dxa"/>
          </w:tcPr>
          <w:p w14:paraId="3ACD28B8" w14:textId="77777777" w:rsidR="00FB2FC6" w:rsidRPr="00DD49B6" w:rsidRDefault="00FB2FC6" w:rsidP="00F51E83">
            <w:pPr>
              <w:tabs>
                <w:tab w:val="left" w:pos="170"/>
              </w:tabs>
              <w:ind w:left="57" w:right="57"/>
            </w:pPr>
            <w:r w:rsidRPr="00DD49B6">
              <w:t>Plānotās sabiedrības līdzdalības un komunikācijas aktivitātes saistībā ar projektu</w:t>
            </w:r>
          </w:p>
        </w:tc>
        <w:tc>
          <w:tcPr>
            <w:tcW w:w="5154" w:type="dxa"/>
          </w:tcPr>
          <w:p w14:paraId="6B9FF1C2" w14:textId="104DD97E" w:rsidR="00FB2FC6" w:rsidRDefault="00FB2FC6" w:rsidP="00C02C11">
            <w:pPr>
              <w:tabs>
                <w:tab w:val="num" w:pos="226"/>
                <w:tab w:val="left" w:pos="4904"/>
              </w:tabs>
              <w:spacing w:before="100" w:beforeAutospacing="1" w:after="100" w:afterAutospacing="1"/>
              <w:ind w:left="226" w:right="242"/>
              <w:jc w:val="both"/>
            </w:pPr>
            <w:r>
              <w:rPr>
                <w:bCs/>
              </w:rPr>
              <w:t>Par Projekta izstrādes uzsākšanu tika informēt</w:t>
            </w:r>
            <w:r w:rsidR="00157C4B">
              <w:rPr>
                <w:bCs/>
              </w:rPr>
              <w:t>a</w:t>
            </w:r>
            <w:r>
              <w:rPr>
                <w:bCs/>
              </w:rPr>
              <w:t xml:space="preserve"> </w:t>
            </w:r>
            <w:r w:rsidR="00FF5A46">
              <w:rPr>
                <w:bCs/>
              </w:rPr>
              <w:t>Valsts akciju sabiedrība “Latvijas dzelzceļš”.</w:t>
            </w:r>
          </w:p>
        </w:tc>
      </w:tr>
      <w:tr w:rsidR="00FB2FC6" w:rsidRPr="00DD49B6" w14:paraId="201287C3" w14:textId="77777777" w:rsidTr="00F51E83">
        <w:trPr>
          <w:trHeight w:val="339"/>
          <w:jc w:val="center"/>
        </w:trPr>
        <w:tc>
          <w:tcPr>
            <w:tcW w:w="618" w:type="dxa"/>
          </w:tcPr>
          <w:p w14:paraId="1AE7BB9E" w14:textId="77777777" w:rsidR="00FB2FC6" w:rsidRPr="00DD49B6" w:rsidRDefault="00FB2FC6" w:rsidP="00F51E83">
            <w:pPr>
              <w:ind w:left="57" w:right="57"/>
              <w:jc w:val="center"/>
              <w:rPr>
                <w:bCs/>
              </w:rPr>
            </w:pPr>
            <w:r w:rsidRPr="00DD49B6">
              <w:rPr>
                <w:bCs/>
              </w:rPr>
              <w:t>2.</w:t>
            </w:r>
          </w:p>
        </w:tc>
        <w:tc>
          <w:tcPr>
            <w:tcW w:w="3261" w:type="dxa"/>
          </w:tcPr>
          <w:p w14:paraId="4715630E" w14:textId="77777777" w:rsidR="00FB2FC6" w:rsidRPr="00DD49B6" w:rsidRDefault="00FB2FC6" w:rsidP="00F51E83">
            <w:pPr>
              <w:ind w:left="57" w:right="57"/>
            </w:pPr>
            <w:r w:rsidRPr="00DD49B6">
              <w:t>Sabiedrības līdzdalība projekta izstrādē</w:t>
            </w:r>
          </w:p>
        </w:tc>
        <w:tc>
          <w:tcPr>
            <w:tcW w:w="5154" w:type="dxa"/>
          </w:tcPr>
          <w:p w14:paraId="1A85F4F1" w14:textId="26746D49" w:rsidR="00FB2FC6" w:rsidRDefault="00FB2FC6" w:rsidP="00C02C11">
            <w:pPr>
              <w:tabs>
                <w:tab w:val="num" w:pos="226"/>
                <w:tab w:val="left" w:pos="4904"/>
              </w:tabs>
              <w:ind w:left="226" w:right="242"/>
              <w:jc w:val="both"/>
            </w:pPr>
            <w:r>
              <w:t xml:space="preserve">Projekta izstrādē notika konsultācijas ar publiskās lietošanas dzelzceļa infrastruktūras pārvaldītāju - VAS „Latvijas dzelzceļš”. </w:t>
            </w:r>
            <w:r w:rsidR="00252A81">
              <w:t xml:space="preserve">Projekts publicēts Satiksmes ministrijas mājaslapā </w:t>
            </w:r>
            <w:r w:rsidR="00252A81" w:rsidRPr="00AF0CC4">
              <w:t xml:space="preserve">2018. gada </w:t>
            </w:r>
            <w:r w:rsidR="00AF0CC4" w:rsidRPr="00AF0CC4">
              <w:t>4.</w:t>
            </w:r>
            <w:r w:rsidR="00252A81" w:rsidRPr="00AF0CC4">
              <w:t xml:space="preserve"> oktobrī.</w:t>
            </w:r>
          </w:p>
        </w:tc>
      </w:tr>
      <w:tr w:rsidR="00FB2FC6" w:rsidRPr="00DD49B6" w14:paraId="01EE13AB" w14:textId="77777777" w:rsidTr="00F51E83">
        <w:trPr>
          <w:trHeight w:val="476"/>
          <w:jc w:val="center"/>
        </w:trPr>
        <w:tc>
          <w:tcPr>
            <w:tcW w:w="618" w:type="dxa"/>
          </w:tcPr>
          <w:p w14:paraId="01EEFEE3" w14:textId="77777777" w:rsidR="00FB2FC6" w:rsidRPr="00DD49B6" w:rsidRDefault="00FB2FC6" w:rsidP="00F51E83">
            <w:pPr>
              <w:ind w:left="57" w:right="57"/>
              <w:jc w:val="center"/>
              <w:rPr>
                <w:bCs/>
              </w:rPr>
            </w:pPr>
            <w:r w:rsidRPr="00DD49B6">
              <w:rPr>
                <w:bCs/>
              </w:rPr>
              <w:t>3.</w:t>
            </w:r>
          </w:p>
        </w:tc>
        <w:tc>
          <w:tcPr>
            <w:tcW w:w="3261" w:type="dxa"/>
          </w:tcPr>
          <w:p w14:paraId="48B50309" w14:textId="77777777" w:rsidR="00FB2FC6" w:rsidRPr="00DD49B6" w:rsidRDefault="00FB2FC6" w:rsidP="00F51E83">
            <w:pPr>
              <w:ind w:left="57" w:right="57"/>
            </w:pPr>
            <w:r w:rsidRPr="00DD49B6">
              <w:t>Sabiedrības līdzdalības rezultāti</w:t>
            </w:r>
          </w:p>
        </w:tc>
        <w:tc>
          <w:tcPr>
            <w:tcW w:w="5154" w:type="dxa"/>
          </w:tcPr>
          <w:p w14:paraId="63424F6E" w14:textId="3A1E3C9C" w:rsidR="00FB2FC6" w:rsidRDefault="00FB2FC6" w:rsidP="00C02C11">
            <w:pPr>
              <w:tabs>
                <w:tab w:val="num" w:pos="226"/>
                <w:tab w:val="left" w:pos="4904"/>
              </w:tabs>
              <w:ind w:left="226" w:right="242"/>
              <w:jc w:val="both"/>
            </w:pPr>
            <w:r>
              <w:rPr>
                <w:bCs/>
              </w:rPr>
              <w:t xml:space="preserve">Dzelzceļa nozares uzņēmumi Projektu atbalsta, jo Projekts paredz </w:t>
            </w:r>
            <w:r w:rsidR="00252A81">
              <w:rPr>
                <w:bCs/>
              </w:rPr>
              <w:t>saglabāt</w:t>
            </w:r>
            <w:r>
              <w:rPr>
                <w:bCs/>
              </w:rPr>
              <w:t xml:space="preserve"> pastāvošo kārtību attiecībā uz trešo valstu kravas vagonu </w:t>
            </w:r>
            <w:r w:rsidRPr="00577992">
              <w:t>atbilstīb</w:t>
            </w:r>
            <w:r>
              <w:t xml:space="preserve">as novērtēšanu </w:t>
            </w:r>
            <w:r w:rsidRPr="00577992">
              <w:t xml:space="preserve">Latvijas normatīvo aktu prasībām </w:t>
            </w:r>
            <w:r w:rsidR="001D3439">
              <w:t xml:space="preserve">līdz Direktīvas 2016/797 piemērošanas uzsākšanai </w:t>
            </w:r>
            <w:r>
              <w:t>Latvijā.</w:t>
            </w:r>
          </w:p>
        </w:tc>
      </w:tr>
      <w:tr w:rsidR="00FB2FC6" w:rsidRPr="00DD49B6" w14:paraId="75E06DDC" w14:textId="77777777" w:rsidTr="00F51E83">
        <w:trPr>
          <w:trHeight w:val="476"/>
          <w:jc w:val="center"/>
        </w:trPr>
        <w:tc>
          <w:tcPr>
            <w:tcW w:w="618" w:type="dxa"/>
          </w:tcPr>
          <w:p w14:paraId="25753F65" w14:textId="77777777" w:rsidR="00FB2FC6" w:rsidRPr="00DD49B6" w:rsidRDefault="00FB2FC6" w:rsidP="00F51E83">
            <w:pPr>
              <w:ind w:left="57" w:right="57"/>
              <w:jc w:val="center"/>
              <w:rPr>
                <w:bCs/>
              </w:rPr>
            </w:pPr>
            <w:r w:rsidRPr="00DD49B6">
              <w:rPr>
                <w:bCs/>
              </w:rPr>
              <w:t>4.</w:t>
            </w:r>
          </w:p>
        </w:tc>
        <w:tc>
          <w:tcPr>
            <w:tcW w:w="3261" w:type="dxa"/>
          </w:tcPr>
          <w:p w14:paraId="1E0DC8FB" w14:textId="77777777" w:rsidR="00FB2FC6" w:rsidRPr="00DD49B6" w:rsidRDefault="00FB2FC6" w:rsidP="00F51E83">
            <w:pPr>
              <w:ind w:left="57" w:right="57"/>
            </w:pPr>
            <w:r w:rsidRPr="00DD49B6">
              <w:t>Cita informācija</w:t>
            </w:r>
          </w:p>
        </w:tc>
        <w:tc>
          <w:tcPr>
            <w:tcW w:w="5154" w:type="dxa"/>
          </w:tcPr>
          <w:p w14:paraId="11E41403" w14:textId="58585ADC" w:rsidR="00FB2FC6" w:rsidRDefault="00157C4B" w:rsidP="00C02C11">
            <w:pPr>
              <w:tabs>
                <w:tab w:val="num" w:pos="226"/>
              </w:tabs>
              <w:spacing w:before="100" w:beforeAutospacing="1" w:after="100" w:afterAutospacing="1"/>
              <w:ind w:left="226"/>
              <w:jc w:val="both"/>
            </w:pPr>
            <w:r>
              <w:rPr>
                <w:bCs/>
              </w:rPr>
              <w:t xml:space="preserve"> </w:t>
            </w:r>
            <w:r w:rsidR="00FB2FC6">
              <w:rPr>
                <w:bCs/>
              </w:rPr>
              <w:t xml:space="preserve">Nav </w:t>
            </w:r>
          </w:p>
        </w:tc>
      </w:tr>
    </w:tbl>
    <w:p w14:paraId="04140670" w14:textId="77777777" w:rsidR="006355D1" w:rsidRPr="00186618" w:rsidRDefault="006355D1" w:rsidP="00186618"/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3271"/>
        <w:gridCol w:w="5093"/>
      </w:tblGrid>
      <w:tr w:rsidR="00186618" w:rsidRPr="00186618" w14:paraId="29772119" w14:textId="77777777" w:rsidTr="00C7248C">
        <w:trPr>
          <w:trHeight w:val="381"/>
          <w:jc w:val="center"/>
        </w:trPr>
        <w:tc>
          <w:tcPr>
            <w:tcW w:w="9031" w:type="dxa"/>
            <w:gridSpan w:val="3"/>
            <w:vAlign w:val="center"/>
          </w:tcPr>
          <w:p w14:paraId="5CFE790F" w14:textId="77777777" w:rsidR="00186618" w:rsidRPr="00186618" w:rsidRDefault="00186618" w:rsidP="00A37574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rPr>
                <w:b/>
              </w:rPr>
              <w:t>VII. Tiesību akta projekta izpildes nodrošināšana un tās ietekme uz institūcijām</w:t>
            </w:r>
          </w:p>
        </w:tc>
      </w:tr>
      <w:tr w:rsidR="00186618" w:rsidRPr="00186618" w14:paraId="3F39E8BB" w14:textId="77777777" w:rsidTr="00C7248C">
        <w:trPr>
          <w:trHeight w:val="427"/>
          <w:jc w:val="center"/>
        </w:trPr>
        <w:tc>
          <w:tcPr>
            <w:tcW w:w="667" w:type="dxa"/>
          </w:tcPr>
          <w:p w14:paraId="5A3D7E18" w14:textId="77777777"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1.</w:t>
            </w:r>
          </w:p>
        </w:tc>
        <w:tc>
          <w:tcPr>
            <w:tcW w:w="3271" w:type="dxa"/>
          </w:tcPr>
          <w:p w14:paraId="041B3989" w14:textId="77777777"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izpildē iesaistītās institūcijas</w:t>
            </w:r>
          </w:p>
        </w:tc>
        <w:tc>
          <w:tcPr>
            <w:tcW w:w="5093" w:type="dxa"/>
          </w:tcPr>
          <w:p w14:paraId="237AF5F1" w14:textId="77777777" w:rsidR="00186618" w:rsidRPr="00186618" w:rsidRDefault="006307FB" w:rsidP="00C02C11">
            <w:pPr>
              <w:shd w:val="clear" w:color="auto" w:fill="FFFFFF"/>
              <w:ind w:left="137" w:right="57"/>
              <w:jc w:val="both"/>
            </w:pPr>
            <w:bookmarkStart w:id="5" w:name="p66"/>
            <w:bookmarkStart w:id="6" w:name="p67"/>
            <w:bookmarkStart w:id="7" w:name="p68"/>
            <w:bookmarkStart w:id="8" w:name="p69"/>
            <w:bookmarkEnd w:id="5"/>
            <w:bookmarkEnd w:id="6"/>
            <w:bookmarkEnd w:id="7"/>
            <w:bookmarkEnd w:id="8"/>
            <w:r>
              <w:t xml:space="preserve">Valsts </w:t>
            </w:r>
            <w:r w:rsidR="00833436">
              <w:t xml:space="preserve">dzelzceļa </w:t>
            </w:r>
            <w:r>
              <w:t>tehniskā inspekcija</w:t>
            </w:r>
            <w:r w:rsidR="00833436">
              <w:t>.</w:t>
            </w:r>
          </w:p>
        </w:tc>
      </w:tr>
      <w:tr w:rsidR="00186618" w:rsidRPr="00186618" w14:paraId="14EBBA24" w14:textId="77777777" w:rsidTr="00C7248C">
        <w:trPr>
          <w:trHeight w:val="463"/>
          <w:jc w:val="center"/>
        </w:trPr>
        <w:tc>
          <w:tcPr>
            <w:tcW w:w="667" w:type="dxa"/>
          </w:tcPr>
          <w:p w14:paraId="2BA22108" w14:textId="77777777"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2.</w:t>
            </w:r>
          </w:p>
        </w:tc>
        <w:tc>
          <w:tcPr>
            <w:tcW w:w="3271" w:type="dxa"/>
          </w:tcPr>
          <w:p w14:paraId="05D9F43F" w14:textId="77777777"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izpildes ietekme uz pārvaldes funkcijām un institucionālo struktūru.</w:t>
            </w:r>
          </w:p>
          <w:p w14:paraId="157BBB2E" w14:textId="77777777"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Jaunu institūciju izveide, esošu institūciju likvidācija vai reorga</w:t>
            </w:r>
            <w:r w:rsidRPr="00186618">
              <w:rPr>
                <w:lang w:val="lv-LV"/>
              </w:rPr>
              <w:softHyphen/>
              <w:t>nizācija, to ietekme uz institūcijas cilvēkresursiem</w:t>
            </w:r>
          </w:p>
        </w:tc>
        <w:tc>
          <w:tcPr>
            <w:tcW w:w="5093" w:type="dxa"/>
          </w:tcPr>
          <w:p w14:paraId="46C88038" w14:textId="77777777" w:rsidR="002F5727" w:rsidRPr="00186618" w:rsidRDefault="00BE04F4" w:rsidP="00C02C11">
            <w:pPr>
              <w:shd w:val="clear" w:color="auto" w:fill="FFFFFF"/>
              <w:ind w:left="137" w:right="57"/>
              <w:jc w:val="both"/>
            </w:pPr>
            <w:r w:rsidRPr="00BE04F4">
              <w:t>Projekts šo jomu neskar</w:t>
            </w:r>
          </w:p>
        </w:tc>
      </w:tr>
      <w:tr w:rsidR="00186618" w:rsidRPr="00186618" w14:paraId="6DC20E24" w14:textId="77777777" w:rsidTr="00C7248C">
        <w:trPr>
          <w:trHeight w:val="4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9BB" w14:textId="77777777"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lastRenderedPageBreak/>
              <w:t>3.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3CAE" w14:textId="77777777"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Cita informācija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BF92" w14:textId="77777777" w:rsidR="00186618" w:rsidRPr="00186618" w:rsidRDefault="00186618" w:rsidP="00C02C11">
            <w:pPr>
              <w:ind w:left="137" w:right="57"/>
              <w:jc w:val="both"/>
            </w:pPr>
            <w:r w:rsidRPr="00186618">
              <w:t>Nav</w:t>
            </w:r>
          </w:p>
        </w:tc>
      </w:tr>
    </w:tbl>
    <w:p w14:paraId="7932839A" w14:textId="77777777" w:rsidR="00157C4B" w:rsidRPr="003A4CF4" w:rsidRDefault="00157C4B"/>
    <w:p w14:paraId="0D694280" w14:textId="77777777" w:rsidR="003A4CF4" w:rsidRDefault="003A4CF4" w:rsidP="00EA414E">
      <w:pPr>
        <w:jc w:val="both"/>
      </w:pPr>
    </w:p>
    <w:p w14:paraId="1A28CE6B" w14:textId="012D8A46" w:rsidR="00B50954" w:rsidRDefault="00B50954" w:rsidP="00EA414E">
      <w:pPr>
        <w:jc w:val="both"/>
      </w:pPr>
      <w:r w:rsidRPr="003A4CF4">
        <w:t>Satiksmes ministrs</w:t>
      </w:r>
      <w:r w:rsidR="00212135">
        <w:tab/>
      </w:r>
      <w:r w:rsidR="00212135">
        <w:tab/>
      </w:r>
      <w:r w:rsidR="00212135">
        <w:tab/>
      </w:r>
      <w:r w:rsidR="00212135">
        <w:tab/>
      </w:r>
      <w:r w:rsidR="00212135">
        <w:tab/>
      </w:r>
      <w:r w:rsidR="00212135">
        <w:tab/>
      </w:r>
      <w:r w:rsidR="00212135">
        <w:tab/>
      </w:r>
      <w:r w:rsidR="00212135">
        <w:tab/>
      </w:r>
      <w:r w:rsidR="00212135">
        <w:tab/>
        <w:t>U.</w:t>
      </w:r>
      <w:r w:rsidR="00365701">
        <w:t xml:space="preserve"> </w:t>
      </w:r>
      <w:r w:rsidR="00212135">
        <w:t>Augulis</w:t>
      </w:r>
    </w:p>
    <w:p w14:paraId="4B1E627D" w14:textId="77777777" w:rsidR="00157C4B" w:rsidRPr="003A4CF4" w:rsidRDefault="00157C4B" w:rsidP="00EA414E">
      <w:pPr>
        <w:jc w:val="both"/>
      </w:pPr>
    </w:p>
    <w:p w14:paraId="2A838EE7" w14:textId="2004B051" w:rsidR="009D67B8" w:rsidRDefault="009D67B8" w:rsidP="009D67B8">
      <w:pPr>
        <w:pStyle w:val="naiskr"/>
        <w:tabs>
          <w:tab w:val="left" w:pos="6870"/>
        </w:tabs>
        <w:rPr>
          <w:lang w:val="lv-LV"/>
        </w:rPr>
      </w:pPr>
      <w:r w:rsidRPr="009D67B8">
        <w:rPr>
          <w:lang w:val="lv-LV"/>
        </w:rPr>
        <w:t>Vīza: valsts sekretār</w:t>
      </w:r>
      <w:r>
        <w:rPr>
          <w:lang w:val="lv-LV"/>
        </w:rPr>
        <w:t>s</w:t>
      </w:r>
      <w:r>
        <w:rPr>
          <w:lang w:val="lv-LV"/>
        </w:rPr>
        <w:tab/>
        <w:t xml:space="preserve">  </w:t>
      </w:r>
      <w:r>
        <w:rPr>
          <w:lang w:val="lv-LV"/>
        </w:rPr>
        <w:tab/>
      </w:r>
      <w:r>
        <w:rPr>
          <w:lang w:val="lv-LV"/>
        </w:rPr>
        <w:tab/>
        <w:t>K. Ozoliņš</w:t>
      </w:r>
    </w:p>
    <w:p w14:paraId="28B93603" w14:textId="77777777" w:rsidR="009D67B8" w:rsidRPr="009D67B8" w:rsidRDefault="009D67B8" w:rsidP="009D67B8">
      <w:pPr>
        <w:rPr>
          <w:lang w:eastAsia="en-US"/>
        </w:rPr>
      </w:pPr>
    </w:p>
    <w:p w14:paraId="6459E588" w14:textId="77777777" w:rsidR="009D67B8" w:rsidRPr="009D67B8" w:rsidRDefault="009D67B8" w:rsidP="009D67B8">
      <w:pPr>
        <w:rPr>
          <w:lang w:eastAsia="en-US"/>
        </w:rPr>
      </w:pPr>
    </w:p>
    <w:p w14:paraId="67C78771" w14:textId="77777777" w:rsidR="009D67B8" w:rsidRPr="009D67B8" w:rsidRDefault="009D67B8" w:rsidP="009D67B8">
      <w:pPr>
        <w:rPr>
          <w:lang w:eastAsia="en-US"/>
        </w:rPr>
      </w:pPr>
    </w:p>
    <w:p w14:paraId="6CA3EF9C" w14:textId="77777777" w:rsidR="009D67B8" w:rsidRPr="009D67B8" w:rsidRDefault="009D67B8" w:rsidP="009D67B8">
      <w:pPr>
        <w:rPr>
          <w:lang w:eastAsia="en-US"/>
        </w:rPr>
      </w:pPr>
    </w:p>
    <w:p w14:paraId="682C33A6" w14:textId="77777777" w:rsidR="009D67B8" w:rsidRPr="009D67B8" w:rsidRDefault="009D67B8" w:rsidP="009D67B8">
      <w:pPr>
        <w:rPr>
          <w:lang w:eastAsia="en-US"/>
        </w:rPr>
      </w:pPr>
    </w:p>
    <w:p w14:paraId="02C64A70" w14:textId="77777777" w:rsidR="009D67B8" w:rsidRPr="009D67B8" w:rsidRDefault="009D67B8" w:rsidP="009D67B8">
      <w:pPr>
        <w:rPr>
          <w:lang w:eastAsia="en-US"/>
        </w:rPr>
      </w:pPr>
    </w:p>
    <w:p w14:paraId="0C226A15" w14:textId="77777777" w:rsidR="009D67B8" w:rsidRPr="009D67B8" w:rsidRDefault="009D67B8" w:rsidP="009D67B8">
      <w:pPr>
        <w:rPr>
          <w:lang w:eastAsia="en-US"/>
        </w:rPr>
      </w:pPr>
    </w:p>
    <w:p w14:paraId="1F4C4E5F" w14:textId="77777777" w:rsidR="009D67B8" w:rsidRDefault="009D67B8" w:rsidP="009D67B8">
      <w:pPr>
        <w:rPr>
          <w:lang w:eastAsia="en-US"/>
        </w:rPr>
      </w:pPr>
    </w:p>
    <w:p w14:paraId="4D675975" w14:textId="77777777" w:rsidR="009D67B8" w:rsidRDefault="009D67B8" w:rsidP="009D67B8">
      <w:pPr>
        <w:rPr>
          <w:lang w:eastAsia="en-US"/>
        </w:rPr>
      </w:pPr>
    </w:p>
    <w:p w14:paraId="10DFCEFC" w14:textId="77777777" w:rsidR="004A2958" w:rsidRPr="009D67B8" w:rsidRDefault="009D67B8" w:rsidP="009D67B8">
      <w:pPr>
        <w:tabs>
          <w:tab w:val="left" w:pos="3615"/>
        </w:tabs>
        <w:rPr>
          <w:lang w:eastAsia="en-US"/>
        </w:rPr>
      </w:pPr>
      <w:r>
        <w:rPr>
          <w:lang w:eastAsia="en-US"/>
        </w:rPr>
        <w:tab/>
      </w:r>
    </w:p>
    <w:sectPr w:rsidR="004A2958" w:rsidRPr="009D67B8" w:rsidSect="009D67B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4CB7B" w14:textId="77777777" w:rsidR="00E34F3B" w:rsidRDefault="00E34F3B">
      <w:r>
        <w:separator/>
      </w:r>
    </w:p>
  </w:endnote>
  <w:endnote w:type="continuationSeparator" w:id="0">
    <w:p w14:paraId="6ECE1402" w14:textId="77777777" w:rsidR="00E34F3B" w:rsidRDefault="00E3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C13F" w14:textId="1665B238" w:rsidR="009D67B8" w:rsidRPr="009D67B8" w:rsidRDefault="009D67B8" w:rsidP="009D67B8">
    <w:pPr>
      <w:pStyle w:val="Footer"/>
      <w:tabs>
        <w:tab w:val="clear" w:pos="4153"/>
        <w:tab w:val="clear" w:pos="8306"/>
        <w:tab w:val="left" w:pos="2145"/>
      </w:tabs>
      <w:rPr>
        <w:sz w:val="20"/>
        <w:szCs w:val="20"/>
      </w:rPr>
    </w:pPr>
    <w:r w:rsidRPr="009D67B8">
      <w:rPr>
        <w:sz w:val="20"/>
        <w:szCs w:val="20"/>
      </w:rPr>
      <w:t>SM</w:t>
    </w:r>
    <w:r w:rsidR="003861A8">
      <w:rPr>
        <w:sz w:val="20"/>
        <w:szCs w:val="20"/>
      </w:rPr>
      <w:t>Anot</w:t>
    </w:r>
    <w:r w:rsidRPr="009D67B8">
      <w:rPr>
        <w:sz w:val="20"/>
        <w:szCs w:val="20"/>
      </w:rPr>
      <w:t>_</w:t>
    </w:r>
    <w:r w:rsidR="00EA4217">
      <w:rPr>
        <w:sz w:val="20"/>
        <w:szCs w:val="20"/>
      </w:rPr>
      <w:t>0</w:t>
    </w:r>
    <w:r w:rsidR="00B155A0">
      <w:rPr>
        <w:sz w:val="20"/>
        <w:szCs w:val="20"/>
      </w:rPr>
      <w:t>9</w:t>
    </w:r>
    <w:r w:rsidR="00EA4217">
      <w:rPr>
        <w:sz w:val="20"/>
        <w:szCs w:val="20"/>
      </w:rPr>
      <w:t>11</w:t>
    </w:r>
    <w:r w:rsidRPr="009D67B8">
      <w:rPr>
        <w:sz w:val="20"/>
        <w:szCs w:val="20"/>
      </w:rPr>
      <w:t>18_MK</w:t>
    </w:r>
    <w:r>
      <w:rPr>
        <w:sz w:val="20"/>
        <w:szCs w:val="20"/>
      </w:rPr>
      <w:t>not</w:t>
    </w:r>
    <w:r w:rsidRPr="009D67B8">
      <w:rPr>
        <w:sz w:val="20"/>
        <w:szCs w:val="20"/>
      </w:rPr>
      <w:t>1211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7CAF" w14:textId="5A14AD77" w:rsidR="00C8380F" w:rsidRPr="009D67B8" w:rsidRDefault="009D67B8">
    <w:pPr>
      <w:pStyle w:val="Footer"/>
      <w:rPr>
        <w:sz w:val="20"/>
        <w:szCs w:val="20"/>
      </w:rPr>
    </w:pPr>
    <w:r w:rsidRPr="009D67B8">
      <w:rPr>
        <w:sz w:val="20"/>
        <w:szCs w:val="20"/>
      </w:rPr>
      <w:t>SM</w:t>
    </w:r>
    <w:r w:rsidR="003861A8">
      <w:rPr>
        <w:sz w:val="20"/>
        <w:szCs w:val="20"/>
      </w:rPr>
      <w:t>Anot</w:t>
    </w:r>
    <w:r w:rsidRPr="009D67B8">
      <w:rPr>
        <w:sz w:val="20"/>
        <w:szCs w:val="20"/>
      </w:rPr>
      <w:t>_</w:t>
    </w:r>
    <w:r w:rsidR="00EA4217">
      <w:rPr>
        <w:sz w:val="20"/>
        <w:szCs w:val="20"/>
      </w:rPr>
      <w:t>0</w:t>
    </w:r>
    <w:r w:rsidR="00B155A0">
      <w:rPr>
        <w:sz w:val="20"/>
        <w:szCs w:val="20"/>
      </w:rPr>
      <w:t>9</w:t>
    </w:r>
    <w:r w:rsidR="00EA4217">
      <w:rPr>
        <w:sz w:val="20"/>
        <w:szCs w:val="20"/>
      </w:rPr>
      <w:t>11</w:t>
    </w:r>
    <w:r w:rsidRPr="009D67B8">
      <w:rPr>
        <w:sz w:val="20"/>
        <w:szCs w:val="20"/>
      </w:rPr>
      <w:t>18_MK</w:t>
    </w:r>
    <w:r>
      <w:rPr>
        <w:sz w:val="20"/>
        <w:szCs w:val="20"/>
      </w:rPr>
      <w:t>not</w:t>
    </w:r>
    <w:r w:rsidRPr="009D67B8">
      <w:rPr>
        <w:sz w:val="20"/>
        <w:szCs w:val="20"/>
      </w:rPr>
      <w:t>1211</w:t>
    </w:r>
  </w:p>
  <w:p w14:paraId="33D13D63" w14:textId="77777777" w:rsidR="009C4030" w:rsidRPr="00A978ED" w:rsidRDefault="009C4030" w:rsidP="007F5C1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D9328" w14:textId="77777777" w:rsidR="00E34F3B" w:rsidRDefault="00E34F3B">
      <w:r>
        <w:separator/>
      </w:r>
    </w:p>
  </w:footnote>
  <w:footnote w:type="continuationSeparator" w:id="0">
    <w:p w14:paraId="44510A12" w14:textId="77777777" w:rsidR="00E34F3B" w:rsidRDefault="00E34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56A5" w14:textId="77777777" w:rsidR="009C4030" w:rsidRDefault="009C4030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F2BA07" w14:textId="77777777" w:rsidR="009C4030" w:rsidRDefault="009C4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2D72E" w14:textId="77777777" w:rsidR="009C4030" w:rsidRDefault="009C4030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9C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9E5D02F" w14:textId="77777777" w:rsidR="009C4030" w:rsidRDefault="009C4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315D4"/>
    <w:multiLevelType w:val="hybridMultilevel"/>
    <w:tmpl w:val="828CA0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A6"/>
    <w:rsid w:val="000024B0"/>
    <w:rsid w:val="000073B1"/>
    <w:rsid w:val="00010277"/>
    <w:rsid w:val="00010F98"/>
    <w:rsid w:val="00014117"/>
    <w:rsid w:val="00015844"/>
    <w:rsid w:val="00016601"/>
    <w:rsid w:val="00023814"/>
    <w:rsid w:val="000249CB"/>
    <w:rsid w:val="00024B42"/>
    <w:rsid w:val="00024D77"/>
    <w:rsid w:val="00025727"/>
    <w:rsid w:val="00031AD4"/>
    <w:rsid w:val="00031D6F"/>
    <w:rsid w:val="00032087"/>
    <w:rsid w:val="00035FEE"/>
    <w:rsid w:val="00036E0F"/>
    <w:rsid w:val="0004286D"/>
    <w:rsid w:val="0004311C"/>
    <w:rsid w:val="0004466E"/>
    <w:rsid w:val="0005312E"/>
    <w:rsid w:val="000551AE"/>
    <w:rsid w:val="00056EFB"/>
    <w:rsid w:val="00056FC6"/>
    <w:rsid w:val="00057BB7"/>
    <w:rsid w:val="00060EA4"/>
    <w:rsid w:val="00063B45"/>
    <w:rsid w:val="00063C9C"/>
    <w:rsid w:val="00064BA3"/>
    <w:rsid w:val="00065022"/>
    <w:rsid w:val="00067894"/>
    <w:rsid w:val="00067D34"/>
    <w:rsid w:val="000718D8"/>
    <w:rsid w:val="00074553"/>
    <w:rsid w:val="00077EE3"/>
    <w:rsid w:val="000904F3"/>
    <w:rsid w:val="00090859"/>
    <w:rsid w:val="000958B4"/>
    <w:rsid w:val="00096633"/>
    <w:rsid w:val="000A1E3A"/>
    <w:rsid w:val="000A1F83"/>
    <w:rsid w:val="000A57C7"/>
    <w:rsid w:val="000A78B5"/>
    <w:rsid w:val="000A7CAE"/>
    <w:rsid w:val="000A7CD2"/>
    <w:rsid w:val="000B00C1"/>
    <w:rsid w:val="000B33BB"/>
    <w:rsid w:val="000B387D"/>
    <w:rsid w:val="000B6237"/>
    <w:rsid w:val="000B7174"/>
    <w:rsid w:val="000D1B17"/>
    <w:rsid w:val="000E1DAE"/>
    <w:rsid w:val="000E2E67"/>
    <w:rsid w:val="000E4266"/>
    <w:rsid w:val="000E5876"/>
    <w:rsid w:val="000E59A2"/>
    <w:rsid w:val="000F28E8"/>
    <w:rsid w:val="00102821"/>
    <w:rsid w:val="001037A3"/>
    <w:rsid w:val="00105E9A"/>
    <w:rsid w:val="001064A5"/>
    <w:rsid w:val="00106C7E"/>
    <w:rsid w:val="00107026"/>
    <w:rsid w:val="001075DC"/>
    <w:rsid w:val="00112E10"/>
    <w:rsid w:val="00113CC5"/>
    <w:rsid w:val="001164B2"/>
    <w:rsid w:val="00120F6B"/>
    <w:rsid w:val="00121040"/>
    <w:rsid w:val="001233DE"/>
    <w:rsid w:val="00123579"/>
    <w:rsid w:val="00124EBC"/>
    <w:rsid w:val="001329AD"/>
    <w:rsid w:val="00136E2A"/>
    <w:rsid w:val="001379DD"/>
    <w:rsid w:val="00143F9E"/>
    <w:rsid w:val="00144BBE"/>
    <w:rsid w:val="0014516D"/>
    <w:rsid w:val="00155C18"/>
    <w:rsid w:val="00157C4B"/>
    <w:rsid w:val="00160B75"/>
    <w:rsid w:val="0016239D"/>
    <w:rsid w:val="0016253E"/>
    <w:rsid w:val="001626A1"/>
    <w:rsid w:val="00162E4F"/>
    <w:rsid w:val="001647A4"/>
    <w:rsid w:val="001667CE"/>
    <w:rsid w:val="001704AC"/>
    <w:rsid w:val="001752BE"/>
    <w:rsid w:val="001764B1"/>
    <w:rsid w:val="00180F5D"/>
    <w:rsid w:val="00185AA3"/>
    <w:rsid w:val="00186618"/>
    <w:rsid w:val="00191DE1"/>
    <w:rsid w:val="00191E52"/>
    <w:rsid w:val="00192142"/>
    <w:rsid w:val="00192580"/>
    <w:rsid w:val="00192D36"/>
    <w:rsid w:val="001A18EE"/>
    <w:rsid w:val="001A2332"/>
    <w:rsid w:val="001A299D"/>
    <w:rsid w:val="001A3242"/>
    <w:rsid w:val="001B2BCD"/>
    <w:rsid w:val="001B2E1F"/>
    <w:rsid w:val="001B310C"/>
    <w:rsid w:val="001B56C3"/>
    <w:rsid w:val="001B6360"/>
    <w:rsid w:val="001B6F0E"/>
    <w:rsid w:val="001C31E4"/>
    <w:rsid w:val="001C4660"/>
    <w:rsid w:val="001C6282"/>
    <w:rsid w:val="001D058C"/>
    <w:rsid w:val="001D255C"/>
    <w:rsid w:val="001D2B11"/>
    <w:rsid w:val="001D3439"/>
    <w:rsid w:val="001D3F33"/>
    <w:rsid w:val="001D45DC"/>
    <w:rsid w:val="001D5C58"/>
    <w:rsid w:val="001E047E"/>
    <w:rsid w:val="001E07E0"/>
    <w:rsid w:val="001E7C07"/>
    <w:rsid w:val="001F289B"/>
    <w:rsid w:val="001F60E1"/>
    <w:rsid w:val="001F6CA4"/>
    <w:rsid w:val="0020275D"/>
    <w:rsid w:val="00205E6E"/>
    <w:rsid w:val="0020666C"/>
    <w:rsid w:val="00212135"/>
    <w:rsid w:val="002122D5"/>
    <w:rsid w:val="00214F2F"/>
    <w:rsid w:val="00215646"/>
    <w:rsid w:val="002213F7"/>
    <w:rsid w:val="002226E3"/>
    <w:rsid w:val="00226570"/>
    <w:rsid w:val="00226CF4"/>
    <w:rsid w:val="00227EE1"/>
    <w:rsid w:val="0023019E"/>
    <w:rsid w:val="00231CB2"/>
    <w:rsid w:val="00232FD9"/>
    <w:rsid w:val="00235969"/>
    <w:rsid w:val="00236F7E"/>
    <w:rsid w:val="0023720E"/>
    <w:rsid w:val="00237924"/>
    <w:rsid w:val="00242566"/>
    <w:rsid w:val="00243618"/>
    <w:rsid w:val="00245A62"/>
    <w:rsid w:val="00251C23"/>
    <w:rsid w:val="00251DAA"/>
    <w:rsid w:val="00252866"/>
    <w:rsid w:val="00252A81"/>
    <w:rsid w:val="002530BD"/>
    <w:rsid w:val="0025366B"/>
    <w:rsid w:val="00254641"/>
    <w:rsid w:val="00256250"/>
    <w:rsid w:val="002617AD"/>
    <w:rsid w:val="0026494C"/>
    <w:rsid w:val="0027114C"/>
    <w:rsid w:val="00274F3F"/>
    <w:rsid w:val="002814CE"/>
    <w:rsid w:val="002814EC"/>
    <w:rsid w:val="00283284"/>
    <w:rsid w:val="00283E3C"/>
    <w:rsid w:val="00286D3B"/>
    <w:rsid w:val="00287BCE"/>
    <w:rsid w:val="0029047E"/>
    <w:rsid w:val="00292E57"/>
    <w:rsid w:val="00293F81"/>
    <w:rsid w:val="002974F0"/>
    <w:rsid w:val="002A32E5"/>
    <w:rsid w:val="002A3818"/>
    <w:rsid w:val="002A6E69"/>
    <w:rsid w:val="002A7532"/>
    <w:rsid w:val="002B0F61"/>
    <w:rsid w:val="002B130A"/>
    <w:rsid w:val="002B3224"/>
    <w:rsid w:val="002B7B94"/>
    <w:rsid w:val="002C2157"/>
    <w:rsid w:val="002C2A58"/>
    <w:rsid w:val="002C3999"/>
    <w:rsid w:val="002C6524"/>
    <w:rsid w:val="002D07D4"/>
    <w:rsid w:val="002D3084"/>
    <w:rsid w:val="002D564D"/>
    <w:rsid w:val="002D62F0"/>
    <w:rsid w:val="002E096E"/>
    <w:rsid w:val="002E7C2C"/>
    <w:rsid w:val="002E7D40"/>
    <w:rsid w:val="002F0AA8"/>
    <w:rsid w:val="002F457A"/>
    <w:rsid w:val="002F514A"/>
    <w:rsid w:val="002F5727"/>
    <w:rsid w:val="0030123F"/>
    <w:rsid w:val="00304A06"/>
    <w:rsid w:val="00311662"/>
    <w:rsid w:val="00311A18"/>
    <w:rsid w:val="00312C20"/>
    <w:rsid w:val="00313111"/>
    <w:rsid w:val="00313F4A"/>
    <w:rsid w:val="003176B1"/>
    <w:rsid w:val="00320893"/>
    <w:rsid w:val="00323978"/>
    <w:rsid w:val="00326F95"/>
    <w:rsid w:val="00327859"/>
    <w:rsid w:val="00331F5B"/>
    <w:rsid w:val="003330B4"/>
    <w:rsid w:val="00334BFA"/>
    <w:rsid w:val="003411CC"/>
    <w:rsid w:val="00343A37"/>
    <w:rsid w:val="00345110"/>
    <w:rsid w:val="003455A9"/>
    <w:rsid w:val="003504BD"/>
    <w:rsid w:val="00353144"/>
    <w:rsid w:val="003546EF"/>
    <w:rsid w:val="00354EFB"/>
    <w:rsid w:val="00360978"/>
    <w:rsid w:val="00361041"/>
    <w:rsid w:val="00361BAE"/>
    <w:rsid w:val="00363363"/>
    <w:rsid w:val="00365701"/>
    <w:rsid w:val="0036634D"/>
    <w:rsid w:val="00371243"/>
    <w:rsid w:val="0037163F"/>
    <w:rsid w:val="00371A30"/>
    <w:rsid w:val="00373A46"/>
    <w:rsid w:val="00375BFD"/>
    <w:rsid w:val="003769DA"/>
    <w:rsid w:val="0038139D"/>
    <w:rsid w:val="00384529"/>
    <w:rsid w:val="003858FE"/>
    <w:rsid w:val="003861A8"/>
    <w:rsid w:val="003908C9"/>
    <w:rsid w:val="00391FA6"/>
    <w:rsid w:val="00392C97"/>
    <w:rsid w:val="003961E8"/>
    <w:rsid w:val="00396E06"/>
    <w:rsid w:val="003A2968"/>
    <w:rsid w:val="003A4CF4"/>
    <w:rsid w:val="003A54C6"/>
    <w:rsid w:val="003B00E3"/>
    <w:rsid w:val="003B02EC"/>
    <w:rsid w:val="003B1CC9"/>
    <w:rsid w:val="003B24B2"/>
    <w:rsid w:val="003B6FEF"/>
    <w:rsid w:val="003C0082"/>
    <w:rsid w:val="003C0EA8"/>
    <w:rsid w:val="003C3840"/>
    <w:rsid w:val="003C4B86"/>
    <w:rsid w:val="003C52ED"/>
    <w:rsid w:val="003D1359"/>
    <w:rsid w:val="003D1581"/>
    <w:rsid w:val="003D2171"/>
    <w:rsid w:val="003D28BE"/>
    <w:rsid w:val="003D3CDE"/>
    <w:rsid w:val="003D405C"/>
    <w:rsid w:val="003D4BB0"/>
    <w:rsid w:val="003D54E8"/>
    <w:rsid w:val="003E47E7"/>
    <w:rsid w:val="003E4F64"/>
    <w:rsid w:val="003F6068"/>
    <w:rsid w:val="003F7409"/>
    <w:rsid w:val="003F7898"/>
    <w:rsid w:val="00400EFB"/>
    <w:rsid w:val="00402B69"/>
    <w:rsid w:val="004058E5"/>
    <w:rsid w:val="00405E3B"/>
    <w:rsid w:val="00406D7F"/>
    <w:rsid w:val="00411EA8"/>
    <w:rsid w:val="00413542"/>
    <w:rsid w:val="00414F00"/>
    <w:rsid w:val="00414F96"/>
    <w:rsid w:val="00414FDA"/>
    <w:rsid w:val="004222C5"/>
    <w:rsid w:val="00431BAD"/>
    <w:rsid w:val="0043386D"/>
    <w:rsid w:val="00433AE5"/>
    <w:rsid w:val="00435A10"/>
    <w:rsid w:val="00435BA3"/>
    <w:rsid w:val="00437A63"/>
    <w:rsid w:val="0044101A"/>
    <w:rsid w:val="0044418C"/>
    <w:rsid w:val="00444893"/>
    <w:rsid w:val="00445170"/>
    <w:rsid w:val="00446277"/>
    <w:rsid w:val="00447F10"/>
    <w:rsid w:val="00452F35"/>
    <w:rsid w:val="004561FF"/>
    <w:rsid w:val="004572E4"/>
    <w:rsid w:val="00462BD7"/>
    <w:rsid w:val="004633FF"/>
    <w:rsid w:val="004647BF"/>
    <w:rsid w:val="00466572"/>
    <w:rsid w:val="0047056A"/>
    <w:rsid w:val="00473648"/>
    <w:rsid w:val="00474AC4"/>
    <w:rsid w:val="00474F11"/>
    <w:rsid w:val="004770C6"/>
    <w:rsid w:val="00481CCD"/>
    <w:rsid w:val="00486EFF"/>
    <w:rsid w:val="00493049"/>
    <w:rsid w:val="00494292"/>
    <w:rsid w:val="00494999"/>
    <w:rsid w:val="00495496"/>
    <w:rsid w:val="00497252"/>
    <w:rsid w:val="00497B3D"/>
    <w:rsid w:val="00497DE1"/>
    <w:rsid w:val="004A2958"/>
    <w:rsid w:val="004A5B92"/>
    <w:rsid w:val="004B5D00"/>
    <w:rsid w:val="004C2DBE"/>
    <w:rsid w:val="004D7FF8"/>
    <w:rsid w:val="004E28E4"/>
    <w:rsid w:val="004E2B28"/>
    <w:rsid w:val="004E5223"/>
    <w:rsid w:val="004F3CB4"/>
    <w:rsid w:val="004F44F9"/>
    <w:rsid w:val="004F4D4D"/>
    <w:rsid w:val="004F6393"/>
    <w:rsid w:val="004F6A12"/>
    <w:rsid w:val="00501703"/>
    <w:rsid w:val="00506C66"/>
    <w:rsid w:val="00512C0C"/>
    <w:rsid w:val="00512FE6"/>
    <w:rsid w:val="00514677"/>
    <w:rsid w:val="00514B41"/>
    <w:rsid w:val="00516730"/>
    <w:rsid w:val="00520F40"/>
    <w:rsid w:val="005235AA"/>
    <w:rsid w:val="00530A0A"/>
    <w:rsid w:val="00530C1E"/>
    <w:rsid w:val="00531022"/>
    <w:rsid w:val="005325B1"/>
    <w:rsid w:val="00532926"/>
    <w:rsid w:val="00533EC8"/>
    <w:rsid w:val="00534DAE"/>
    <w:rsid w:val="00542019"/>
    <w:rsid w:val="005424AE"/>
    <w:rsid w:val="00542713"/>
    <w:rsid w:val="00543505"/>
    <w:rsid w:val="005440BF"/>
    <w:rsid w:val="0054446E"/>
    <w:rsid w:val="00545E68"/>
    <w:rsid w:val="00546480"/>
    <w:rsid w:val="00550355"/>
    <w:rsid w:val="0055135F"/>
    <w:rsid w:val="005525EA"/>
    <w:rsid w:val="0055382B"/>
    <w:rsid w:val="00554449"/>
    <w:rsid w:val="00555F71"/>
    <w:rsid w:val="00564DC2"/>
    <w:rsid w:val="00566BEB"/>
    <w:rsid w:val="005672EB"/>
    <w:rsid w:val="00570FA0"/>
    <w:rsid w:val="005714F7"/>
    <w:rsid w:val="0057220F"/>
    <w:rsid w:val="00575862"/>
    <w:rsid w:val="00595CD4"/>
    <w:rsid w:val="005A07EA"/>
    <w:rsid w:val="005A38B4"/>
    <w:rsid w:val="005A4AAC"/>
    <w:rsid w:val="005A5422"/>
    <w:rsid w:val="005B0AC6"/>
    <w:rsid w:val="005B0C09"/>
    <w:rsid w:val="005B1C69"/>
    <w:rsid w:val="005B6811"/>
    <w:rsid w:val="005C0F41"/>
    <w:rsid w:val="005C1996"/>
    <w:rsid w:val="005C24AA"/>
    <w:rsid w:val="005C44C8"/>
    <w:rsid w:val="005C7B32"/>
    <w:rsid w:val="005D11A5"/>
    <w:rsid w:val="005D2B22"/>
    <w:rsid w:val="005D474C"/>
    <w:rsid w:val="005D74E6"/>
    <w:rsid w:val="005E06BF"/>
    <w:rsid w:val="005E3C7B"/>
    <w:rsid w:val="005E471E"/>
    <w:rsid w:val="005E5C02"/>
    <w:rsid w:val="005E6F01"/>
    <w:rsid w:val="005E7573"/>
    <w:rsid w:val="005E7B96"/>
    <w:rsid w:val="005F0E89"/>
    <w:rsid w:val="005F192F"/>
    <w:rsid w:val="005F3E30"/>
    <w:rsid w:val="005F6526"/>
    <w:rsid w:val="005F7F47"/>
    <w:rsid w:val="006000AA"/>
    <w:rsid w:val="00603C7B"/>
    <w:rsid w:val="00606AA4"/>
    <w:rsid w:val="0061196C"/>
    <w:rsid w:val="006122D8"/>
    <w:rsid w:val="00613D1C"/>
    <w:rsid w:val="00620B4B"/>
    <w:rsid w:val="0062173C"/>
    <w:rsid w:val="00622DFE"/>
    <w:rsid w:val="00623D6B"/>
    <w:rsid w:val="00625361"/>
    <w:rsid w:val="006260B5"/>
    <w:rsid w:val="00627545"/>
    <w:rsid w:val="00627A11"/>
    <w:rsid w:val="00630558"/>
    <w:rsid w:val="006306B7"/>
    <w:rsid w:val="006307FB"/>
    <w:rsid w:val="00631004"/>
    <w:rsid w:val="006329ED"/>
    <w:rsid w:val="00633AAC"/>
    <w:rsid w:val="00634643"/>
    <w:rsid w:val="006355D1"/>
    <w:rsid w:val="00635E83"/>
    <w:rsid w:val="00636F38"/>
    <w:rsid w:val="006410B5"/>
    <w:rsid w:val="0064221D"/>
    <w:rsid w:val="006437C1"/>
    <w:rsid w:val="006453D5"/>
    <w:rsid w:val="00654FCF"/>
    <w:rsid w:val="00660ABB"/>
    <w:rsid w:val="006632C3"/>
    <w:rsid w:val="0066677F"/>
    <w:rsid w:val="006675CD"/>
    <w:rsid w:val="006739DA"/>
    <w:rsid w:val="00675BF1"/>
    <w:rsid w:val="00680462"/>
    <w:rsid w:val="00687295"/>
    <w:rsid w:val="00690AB0"/>
    <w:rsid w:val="00693404"/>
    <w:rsid w:val="0069501A"/>
    <w:rsid w:val="006B34E6"/>
    <w:rsid w:val="006B44B6"/>
    <w:rsid w:val="006B7730"/>
    <w:rsid w:val="006C617F"/>
    <w:rsid w:val="006C7092"/>
    <w:rsid w:val="006D20B9"/>
    <w:rsid w:val="006D4525"/>
    <w:rsid w:val="006D5C21"/>
    <w:rsid w:val="006E0CA9"/>
    <w:rsid w:val="006E2665"/>
    <w:rsid w:val="006E4348"/>
    <w:rsid w:val="006F117F"/>
    <w:rsid w:val="006F199B"/>
    <w:rsid w:val="006F5408"/>
    <w:rsid w:val="006F61A6"/>
    <w:rsid w:val="006F71D9"/>
    <w:rsid w:val="0070095D"/>
    <w:rsid w:val="00722680"/>
    <w:rsid w:val="00722E0B"/>
    <w:rsid w:val="00731A63"/>
    <w:rsid w:val="00733ABE"/>
    <w:rsid w:val="00735E2D"/>
    <w:rsid w:val="00736BDE"/>
    <w:rsid w:val="007402C4"/>
    <w:rsid w:val="007418BF"/>
    <w:rsid w:val="00746709"/>
    <w:rsid w:val="0075055A"/>
    <w:rsid w:val="00753259"/>
    <w:rsid w:val="00753A6C"/>
    <w:rsid w:val="007609F3"/>
    <w:rsid w:val="00760EE5"/>
    <w:rsid w:val="007622A6"/>
    <w:rsid w:val="007622E1"/>
    <w:rsid w:val="007635E5"/>
    <w:rsid w:val="00763A3F"/>
    <w:rsid w:val="00763E50"/>
    <w:rsid w:val="00771448"/>
    <w:rsid w:val="007725BB"/>
    <w:rsid w:val="007726B4"/>
    <w:rsid w:val="007739B2"/>
    <w:rsid w:val="00776494"/>
    <w:rsid w:val="007814E6"/>
    <w:rsid w:val="00782854"/>
    <w:rsid w:val="00782D3B"/>
    <w:rsid w:val="00790E69"/>
    <w:rsid w:val="00791B9B"/>
    <w:rsid w:val="00792DF5"/>
    <w:rsid w:val="007967D5"/>
    <w:rsid w:val="007A0DF3"/>
    <w:rsid w:val="007B071F"/>
    <w:rsid w:val="007B205A"/>
    <w:rsid w:val="007B33D1"/>
    <w:rsid w:val="007B4100"/>
    <w:rsid w:val="007B598C"/>
    <w:rsid w:val="007C50A7"/>
    <w:rsid w:val="007D237E"/>
    <w:rsid w:val="007D2DD8"/>
    <w:rsid w:val="007D372D"/>
    <w:rsid w:val="007D4146"/>
    <w:rsid w:val="007D6EDD"/>
    <w:rsid w:val="007D70FE"/>
    <w:rsid w:val="007E0BF8"/>
    <w:rsid w:val="007E1495"/>
    <w:rsid w:val="007E15CC"/>
    <w:rsid w:val="007E2DA3"/>
    <w:rsid w:val="007E3F07"/>
    <w:rsid w:val="007E5DB3"/>
    <w:rsid w:val="007E73D6"/>
    <w:rsid w:val="007E74E6"/>
    <w:rsid w:val="007F1B04"/>
    <w:rsid w:val="007F26D1"/>
    <w:rsid w:val="007F2B59"/>
    <w:rsid w:val="007F2F56"/>
    <w:rsid w:val="007F5C12"/>
    <w:rsid w:val="007F6CF5"/>
    <w:rsid w:val="008004CC"/>
    <w:rsid w:val="008020A5"/>
    <w:rsid w:val="008033C1"/>
    <w:rsid w:val="008033C2"/>
    <w:rsid w:val="00805251"/>
    <w:rsid w:val="00811E8C"/>
    <w:rsid w:val="008143E8"/>
    <w:rsid w:val="008159AE"/>
    <w:rsid w:val="00820069"/>
    <w:rsid w:val="00824CDD"/>
    <w:rsid w:val="008275F3"/>
    <w:rsid w:val="008277F2"/>
    <w:rsid w:val="00833436"/>
    <w:rsid w:val="008355FD"/>
    <w:rsid w:val="00836BB3"/>
    <w:rsid w:val="00836EEE"/>
    <w:rsid w:val="00843D25"/>
    <w:rsid w:val="00846475"/>
    <w:rsid w:val="00853986"/>
    <w:rsid w:val="00861460"/>
    <w:rsid w:val="00863F43"/>
    <w:rsid w:val="00864935"/>
    <w:rsid w:val="00864B76"/>
    <w:rsid w:val="00867E57"/>
    <w:rsid w:val="0087126E"/>
    <w:rsid w:val="00872815"/>
    <w:rsid w:val="00874F6D"/>
    <w:rsid w:val="00876B3C"/>
    <w:rsid w:val="00877173"/>
    <w:rsid w:val="00880367"/>
    <w:rsid w:val="00880D8F"/>
    <w:rsid w:val="00886A51"/>
    <w:rsid w:val="00891CA2"/>
    <w:rsid w:val="008966AF"/>
    <w:rsid w:val="008970D6"/>
    <w:rsid w:val="00897C58"/>
    <w:rsid w:val="008A3BF5"/>
    <w:rsid w:val="008A4705"/>
    <w:rsid w:val="008A6223"/>
    <w:rsid w:val="008A7FB8"/>
    <w:rsid w:val="008B3BA8"/>
    <w:rsid w:val="008B44B5"/>
    <w:rsid w:val="008B4D46"/>
    <w:rsid w:val="008B5DEA"/>
    <w:rsid w:val="008B62D5"/>
    <w:rsid w:val="008B6454"/>
    <w:rsid w:val="008C2057"/>
    <w:rsid w:val="008C2706"/>
    <w:rsid w:val="008C5D69"/>
    <w:rsid w:val="008C7729"/>
    <w:rsid w:val="008D5235"/>
    <w:rsid w:val="008E1525"/>
    <w:rsid w:val="008E3C00"/>
    <w:rsid w:val="008F001B"/>
    <w:rsid w:val="008F2846"/>
    <w:rsid w:val="008F341E"/>
    <w:rsid w:val="008F5691"/>
    <w:rsid w:val="008F6603"/>
    <w:rsid w:val="00900FF6"/>
    <w:rsid w:val="0090155B"/>
    <w:rsid w:val="0090312B"/>
    <w:rsid w:val="0090367D"/>
    <w:rsid w:val="00905CA7"/>
    <w:rsid w:val="009060C8"/>
    <w:rsid w:val="00913ED0"/>
    <w:rsid w:val="00914C55"/>
    <w:rsid w:val="00916617"/>
    <w:rsid w:val="009167EB"/>
    <w:rsid w:val="00922358"/>
    <w:rsid w:val="009254E0"/>
    <w:rsid w:val="00926870"/>
    <w:rsid w:val="00927467"/>
    <w:rsid w:val="00931593"/>
    <w:rsid w:val="00934B8C"/>
    <w:rsid w:val="00940E66"/>
    <w:rsid w:val="009460B8"/>
    <w:rsid w:val="0095227D"/>
    <w:rsid w:val="00955B71"/>
    <w:rsid w:val="00963BF3"/>
    <w:rsid w:val="009654A1"/>
    <w:rsid w:val="00967402"/>
    <w:rsid w:val="00967C71"/>
    <w:rsid w:val="00972FD8"/>
    <w:rsid w:val="009754A9"/>
    <w:rsid w:val="00977430"/>
    <w:rsid w:val="009809FF"/>
    <w:rsid w:val="009818D5"/>
    <w:rsid w:val="00983474"/>
    <w:rsid w:val="00984C9C"/>
    <w:rsid w:val="00994CF8"/>
    <w:rsid w:val="0099518D"/>
    <w:rsid w:val="00995F82"/>
    <w:rsid w:val="00997780"/>
    <w:rsid w:val="009A1785"/>
    <w:rsid w:val="009A5D1C"/>
    <w:rsid w:val="009A768C"/>
    <w:rsid w:val="009B0131"/>
    <w:rsid w:val="009B2366"/>
    <w:rsid w:val="009B4BCF"/>
    <w:rsid w:val="009C0627"/>
    <w:rsid w:val="009C087C"/>
    <w:rsid w:val="009C2FBF"/>
    <w:rsid w:val="009C4030"/>
    <w:rsid w:val="009C42EE"/>
    <w:rsid w:val="009C6E95"/>
    <w:rsid w:val="009D19A6"/>
    <w:rsid w:val="009D5530"/>
    <w:rsid w:val="009D67B8"/>
    <w:rsid w:val="009E1B9A"/>
    <w:rsid w:val="009E2FF0"/>
    <w:rsid w:val="009E408F"/>
    <w:rsid w:val="009E5725"/>
    <w:rsid w:val="009E68D0"/>
    <w:rsid w:val="009F26AB"/>
    <w:rsid w:val="009F31B3"/>
    <w:rsid w:val="009F6752"/>
    <w:rsid w:val="009F7582"/>
    <w:rsid w:val="00A04875"/>
    <w:rsid w:val="00A103F9"/>
    <w:rsid w:val="00A1148A"/>
    <w:rsid w:val="00A12BA4"/>
    <w:rsid w:val="00A12E5C"/>
    <w:rsid w:val="00A142D2"/>
    <w:rsid w:val="00A16797"/>
    <w:rsid w:val="00A2315B"/>
    <w:rsid w:val="00A2594B"/>
    <w:rsid w:val="00A309D7"/>
    <w:rsid w:val="00A30A55"/>
    <w:rsid w:val="00A30F39"/>
    <w:rsid w:val="00A31587"/>
    <w:rsid w:val="00A31B82"/>
    <w:rsid w:val="00A352D2"/>
    <w:rsid w:val="00A36347"/>
    <w:rsid w:val="00A37296"/>
    <w:rsid w:val="00A37574"/>
    <w:rsid w:val="00A3763B"/>
    <w:rsid w:val="00A37DC4"/>
    <w:rsid w:val="00A449C0"/>
    <w:rsid w:val="00A4554D"/>
    <w:rsid w:val="00A46888"/>
    <w:rsid w:val="00A60865"/>
    <w:rsid w:val="00A61240"/>
    <w:rsid w:val="00A617D2"/>
    <w:rsid w:val="00A63C1B"/>
    <w:rsid w:val="00A65EBF"/>
    <w:rsid w:val="00A663CB"/>
    <w:rsid w:val="00A71E11"/>
    <w:rsid w:val="00A745B3"/>
    <w:rsid w:val="00A77CA8"/>
    <w:rsid w:val="00A8237B"/>
    <w:rsid w:val="00A85408"/>
    <w:rsid w:val="00A85EA8"/>
    <w:rsid w:val="00A92A71"/>
    <w:rsid w:val="00A93F02"/>
    <w:rsid w:val="00A95635"/>
    <w:rsid w:val="00A95BB9"/>
    <w:rsid w:val="00A978ED"/>
    <w:rsid w:val="00AA51F5"/>
    <w:rsid w:val="00AA5CB7"/>
    <w:rsid w:val="00AA707B"/>
    <w:rsid w:val="00AB22ED"/>
    <w:rsid w:val="00AB4E0D"/>
    <w:rsid w:val="00AC1636"/>
    <w:rsid w:val="00AC5803"/>
    <w:rsid w:val="00AC795B"/>
    <w:rsid w:val="00AD46FD"/>
    <w:rsid w:val="00AD71E8"/>
    <w:rsid w:val="00AE0F20"/>
    <w:rsid w:val="00AE0F31"/>
    <w:rsid w:val="00AE3652"/>
    <w:rsid w:val="00AF0CC4"/>
    <w:rsid w:val="00AF1C4D"/>
    <w:rsid w:val="00AF2C18"/>
    <w:rsid w:val="00AF6D41"/>
    <w:rsid w:val="00B01462"/>
    <w:rsid w:val="00B11034"/>
    <w:rsid w:val="00B12D38"/>
    <w:rsid w:val="00B155A0"/>
    <w:rsid w:val="00B16251"/>
    <w:rsid w:val="00B16632"/>
    <w:rsid w:val="00B171B1"/>
    <w:rsid w:val="00B20CDE"/>
    <w:rsid w:val="00B228FC"/>
    <w:rsid w:val="00B22DAE"/>
    <w:rsid w:val="00B233CF"/>
    <w:rsid w:val="00B23CBA"/>
    <w:rsid w:val="00B24207"/>
    <w:rsid w:val="00B242C2"/>
    <w:rsid w:val="00B25002"/>
    <w:rsid w:val="00B25526"/>
    <w:rsid w:val="00B266C2"/>
    <w:rsid w:val="00B2742D"/>
    <w:rsid w:val="00B32826"/>
    <w:rsid w:val="00B32C9A"/>
    <w:rsid w:val="00B35317"/>
    <w:rsid w:val="00B37D6E"/>
    <w:rsid w:val="00B44B0B"/>
    <w:rsid w:val="00B455C3"/>
    <w:rsid w:val="00B45745"/>
    <w:rsid w:val="00B4663C"/>
    <w:rsid w:val="00B50954"/>
    <w:rsid w:val="00B63240"/>
    <w:rsid w:val="00B755E4"/>
    <w:rsid w:val="00B76B40"/>
    <w:rsid w:val="00B77C81"/>
    <w:rsid w:val="00B82CD8"/>
    <w:rsid w:val="00B83CC6"/>
    <w:rsid w:val="00B86F8B"/>
    <w:rsid w:val="00B90683"/>
    <w:rsid w:val="00B90AF3"/>
    <w:rsid w:val="00B91C7F"/>
    <w:rsid w:val="00B939A9"/>
    <w:rsid w:val="00B9465C"/>
    <w:rsid w:val="00B94947"/>
    <w:rsid w:val="00B95F92"/>
    <w:rsid w:val="00BA5434"/>
    <w:rsid w:val="00BB1994"/>
    <w:rsid w:val="00BB46BD"/>
    <w:rsid w:val="00BB54F6"/>
    <w:rsid w:val="00BB630D"/>
    <w:rsid w:val="00BB6C00"/>
    <w:rsid w:val="00BC0213"/>
    <w:rsid w:val="00BC0746"/>
    <w:rsid w:val="00BC2E35"/>
    <w:rsid w:val="00BC4B32"/>
    <w:rsid w:val="00BC6220"/>
    <w:rsid w:val="00BD101A"/>
    <w:rsid w:val="00BD3364"/>
    <w:rsid w:val="00BD4812"/>
    <w:rsid w:val="00BD4BF2"/>
    <w:rsid w:val="00BD6343"/>
    <w:rsid w:val="00BD66EC"/>
    <w:rsid w:val="00BE04F4"/>
    <w:rsid w:val="00BE4853"/>
    <w:rsid w:val="00BE4FF5"/>
    <w:rsid w:val="00BF4184"/>
    <w:rsid w:val="00C02C11"/>
    <w:rsid w:val="00C0412E"/>
    <w:rsid w:val="00C04F76"/>
    <w:rsid w:val="00C05C1E"/>
    <w:rsid w:val="00C13E67"/>
    <w:rsid w:val="00C161D6"/>
    <w:rsid w:val="00C1632D"/>
    <w:rsid w:val="00C237C5"/>
    <w:rsid w:val="00C24181"/>
    <w:rsid w:val="00C31484"/>
    <w:rsid w:val="00C35C57"/>
    <w:rsid w:val="00C40CE6"/>
    <w:rsid w:val="00C46A22"/>
    <w:rsid w:val="00C525E7"/>
    <w:rsid w:val="00C55D4D"/>
    <w:rsid w:val="00C578B0"/>
    <w:rsid w:val="00C60F47"/>
    <w:rsid w:val="00C63AC6"/>
    <w:rsid w:val="00C6402B"/>
    <w:rsid w:val="00C64933"/>
    <w:rsid w:val="00C67B19"/>
    <w:rsid w:val="00C708CD"/>
    <w:rsid w:val="00C7248C"/>
    <w:rsid w:val="00C74337"/>
    <w:rsid w:val="00C76886"/>
    <w:rsid w:val="00C7792F"/>
    <w:rsid w:val="00C8108E"/>
    <w:rsid w:val="00C823AF"/>
    <w:rsid w:val="00C8380F"/>
    <w:rsid w:val="00C845F3"/>
    <w:rsid w:val="00C9059C"/>
    <w:rsid w:val="00C905F0"/>
    <w:rsid w:val="00C923C2"/>
    <w:rsid w:val="00C939FE"/>
    <w:rsid w:val="00C93FA8"/>
    <w:rsid w:val="00C94809"/>
    <w:rsid w:val="00C94932"/>
    <w:rsid w:val="00C97171"/>
    <w:rsid w:val="00CA3FBD"/>
    <w:rsid w:val="00CA57A2"/>
    <w:rsid w:val="00CA6170"/>
    <w:rsid w:val="00CA75CD"/>
    <w:rsid w:val="00CB068C"/>
    <w:rsid w:val="00CB0945"/>
    <w:rsid w:val="00CB2A99"/>
    <w:rsid w:val="00CB30BB"/>
    <w:rsid w:val="00CB3363"/>
    <w:rsid w:val="00CB5CB0"/>
    <w:rsid w:val="00CB6753"/>
    <w:rsid w:val="00CC419E"/>
    <w:rsid w:val="00CC58FE"/>
    <w:rsid w:val="00CD216B"/>
    <w:rsid w:val="00CD35A6"/>
    <w:rsid w:val="00CD5CF7"/>
    <w:rsid w:val="00CD6325"/>
    <w:rsid w:val="00CE05C1"/>
    <w:rsid w:val="00CE591D"/>
    <w:rsid w:val="00CF01E0"/>
    <w:rsid w:val="00CF3DB2"/>
    <w:rsid w:val="00CF4D01"/>
    <w:rsid w:val="00CF50ED"/>
    <w:rsid w:val="00CF5B83"/>
    <w:rsid w:val="00CF641D"/>
    <w:rsid w:val="00CF6472"/>
    <w:rsid w:val="00CF70CB"/>
    <w:rsid w:val="00D0220C"/>
    <w:rsid w:val="00D03C9A"/>
    <w:rsid w:val="00D05845"/>
    <w:rsid w:val="00D05BB2"/>
    <w:rsid w:val="00D11D28"/>
    <w:rsid w:val="00D13F62"/>
    <w:rsid w:val="00D14F30"/>
    <w:rsid w:val="00D253C7"/>
    <w:rsid w:val="00D26BE8"/>
    <w:rsid w:val="00D32DD2"/>
    <w:rsid w:val="00D3445A"/>
    <w:rsid w:val="00D35F7C"/>
    <w:rsid w:val="00D37386"/>
    <w:rsid w:val="00D37718"/>
    <w:rsid w:val="00D37EE7"/>
    <w:rsid w:val="00D42452"/>
    <w:rsid w:val="00D43DAB"/>
    <w:rsid w:val="00D43E4A"/>
    <w:rsid w:val="00D53709"/>
    <w:rsid w:val="00D6387F"/>
    <w:rsid w:val="00D64699"/>
    <w:rsid w:val="00D650CB"/>
    <w:rsid w:val="00D663EA"/>
    <w:rsid w:val="00D70E31"/>
    <w:rsid w:val="00D73C57"/>
    <w:rsid w:val="00D75DEF"/>
    <w:rsid w:val="00D766FE"/>
    <w:rsid w:val="00D870AA"/>
    <w:rsid w:val="00D87226"/>
    <w:rsid w:val="00D87AFB"/>
    <w:rsid w:val="00DA09D2"/>
    <w:rsid w:val="00DA1BF6"/>
    <w:rsid w:val="00DA1CF5"/>
    <w:rsid w:val="00DA30D1"/>
    <w:rsid w:val="00DA66A9"/>
    <w:rsid w:val="00DB044B"/>
    <w:rsid w:val="00DB5DCB"/>
    <w:rsid w:val="00DC3268"/>
    <w:rsid w:val="00DC71CA"/>
    <w:rsid w:val="00DD3B26"/>
    <w:rsid w:val="00DD52FD"/>
    <w:rsid w:val="00DD60F8"/>
    <w:rsid w:val="00DE051C"/>
    <w:rsid w:val="00DE0B58"/>
    <w:rsid w:val="00DE7B36"/>
    <w:rsid w:val="00DF204D"/>
    <w:rsid w:val="00DF27D6"/>
    <w:rsid w:val="00E0180D"/>
    <w:rsid w:val="00E054FC"/>
    <w:rsid w:val="00E06171"/>
    <w:rsid w:val="00E062AD"/>
    <w:rsid w:val="00E1193C"/>
    <w:rsid w:val="00E11CCF"/>
    <w:rsid w:val="00E12E9A"/>
    <w:rsid w:val="00E14E4A"/>
    <w:rsid w:val="00E15D5D"/>
    <w:rsid w:val="00E20D8F"/>
    <w:rsid w:val="00E231B3"/>
    <w:rsid w:val="00E2544E"/>
    <w:rsid w:val="00E2582C"/>
    <w:rsid w:val="00E27A08"/>
    <w:rsid w:val="00E344A1"/>
    <w:rsid w:val="00E34F3B"/>
    <w:rsid w:val="00E350DA"/>
    <w:rsid w:val="00E45816"/>
    <w:rsid w:val="00E45AB9"/>
    <w:rsid w:val="00E55315"/>
    <w:rsid w:val="00E5598E"/>
    <w:rsid w:val="00E572B8"/>
    <w:rsid w:val="00E5761D"/>
    <w:rsid w:val="00E63E9C"/>
    <w:rsid w:val="00E64416"/>
    <w:rsid w:val="00E656BF"/>
    <w:rsid w:val="00E656E5"/>
    <w:rsid w:val="00E67016"/>
    <w:rsid w:val="00E72D92"/>
    <w:rsid w:val="00E737DF"/>
    <w:rsid w:val="00E75695"/>
    <w:rsid w:val="00E8469F"/>
    <w:rsid w:val="00E84940"/>
    <w:rsid w:val="00E85D14"/>
    <w:rsid w:val="00E9553C"/>
    <w:rsid w:val="00E971BB"/>
    <w:rsid w:val="00EA0078"/>
    <w:rsid w:val="00EA1848"/>
    <w:rsid w:val="00EA215B"/>
    <w:rsid w:val="00EA400E"/>
    <w:rsid w:val="00EA414E"/>
    <w:rsid w:val="00EA4217"/>
    <w:rsid w:val="00EB08AA"/>
    <w:rsid w:val="00EB12E3"/>
    <w:rsid w:val="00EB2FB4"/>
    <w:rsid w:val="00EB3ECD"/>
    <w:rsid w:val="00EB780B"/>
    <w:rsid w:val="00EC1DC9"/>
    <w:rsid w:val="00EC57D8"/>
    <w:rsid w:val="00EC6114"/>
    <w:rsid w:val="00EC66EE"/>
    <w:rsid w:val="00ED4037"/>
    <w:rsid w:val="00ED4D4D"/>
    <w:rsid w:val="00EE021F"/>
    <w:rsid w:val="00EE15E6"/>
    <w:rsid w:val="00EE2DD2"/>
    <w:rsid w:val="00EE2F2C"/>
    <w:rsid w:val="00EF0B31"/>
    <w:rsid w:val="00EF2989"/>
    <w:rsid w:val="00EF3DB0"/>
    <w:rsid w:val="00EF5B23"/>
    <w:rsid w:val="00EF6190"/>
    <w:rsid w:val="00F04AE6"/>
    <w:rsid w:val="00F05FCB"/>
    <w:rsid w:val="00F14712"/>
    <w:rsid w:val="00F14AB7"/>
    <w:rsid w:val="00F15CB2"/>
    <w:rsid w:val="00F24425"/>
    <w:rsid w:val="00F250C0"/>
    <w:rsid w:val="00F27761"/>
    <w:rsid w:val="00F31411"/>
    <w:rsid w:val="00F33BC1"/>
    <w:rsid w:val="00F35A54"/>
    <w:rsid w:val="00F36E41"/>
    <w:rsid w:val="00F40374"/>
    <w:rsid w:val="00F41121"/>
    <w:rsid w:val="00F4406B"/>
    <w:rsid w:val="00F45203"/>
    <w:rsid w:val="00F454F3"/>
    <w:rsid w:val="00F4730E"/>
    <w:rsid w:val="00F5149C"/>
    <w:rsid w:val="00F526E9"/>
    <w:rsid w:val="00F57EC9"/>
    <w:rsid w:val="00F60224"/>
    <w:rsid w:val="00F60AF3"/>
    <w:rsid w:val="00F61C69"/>
    <w:rsid w:val="00F645A3"/>
    <w:rsid w:val="00F71C0A"/>
    <w:rsid w:val="00F77102"/>
    <w:rsid w:val="00F77915"/>
    <w:rsid w:val="00F825B8"/>
    <w:rsid w:val="00F91CEB"/>
    <w:rsid w:val="00F91D4B"/>
    <w:rsid w:val="00F938C5"/>
    <w:rsid w:val="00F93F87"/>
    <w:rsid w:val="00F9409E"/>
    <w:rsid w:val="00F952AA"/>
    <w:rsid w:val="00FA1FD0"/>
    <w:rsid w:val="00FA335C"/>
    <w:rsid w:val="00FA553F"/>
    <w:rsid w:val="00FA7175"/>
    <w:rsid w:val="00FB2FC6"/>
    <w:rsid w:val="00FB491D"/>
    <w:rsid w:val="00FB4E37"/>
    <w:rsid w:val="00FB6382"/>
    <w:rsid w:val="00FC00A0"/>
    <w:rsid w:val="00FC0FD9"/>
    <w:rsid w:val="00FC3F91"/>
    <w:rsid w:val="00FC4F6D"/>
    <w:rsid w:val="00FC7FCB"/>
    <w:rsid w:val="00FD7373"/>
    <w:rsid w:val="00FE6343"/>
    <w:rsid w:val="00FE7870"/>
    <w:rsid w:val="00FF0EC1"/>
    <w:rsid w:val="00FF2EDF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868D9"/>
  <w15:docId w15:val="{916AF86F-1A44-4CA1-A8F6-4F272CAF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2A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661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8494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naiskr">
    <w:name w:val="naiskr"/>
    <w:basedOn w:val="Normal"/>
    <w:rsid w:val="00E84940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rsid w:val="00EC61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C61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114"/>
  </w:style>
  <w:style w:type="character" w:styleId="Hyperlink">
    <w:name w:val="Hyperlink"/>
    <w:rsid w:val="007F6CF5"/>
    <w:rPr>
      <w:color w:val="0000FF"/>
      <w:u w:val="single"/>
    </w:rPr>
  </w:style>
  <w:style w:type="paragraph" w:styleId="BalloonText">
    <w:name w:val="Balloon Text"/>
    <w:basedOn w:val="Normal"/>
    <w:semiHidden/>
    <w:rsid w:val="005E7B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C5D69"/>
    <w:rPr>
      <w:rFonts w:ascii="Courier New" w:hAnsi="Courier New" w:cs="Courier New"/>
      <w:sz w:val="20"/>
      <w:szCs w:val="20"/>
    </w:rPr>
  </w:style>
  <w:style w:type="paragraph" w:customStyle="1" w:styleId="tvhtmlmktable">
    <w:name w:val="tv_html mk_table"/>
    <w:basedOn w:val="Normal"/>
    <w:rsid w:val="0078285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eading3Char">
    <w:name w:val="Heading 3 Char"/>
    <w:link w:val="Heading3"/>
    <w:uiPriority w:val="9"/>
    <w:rsid w:val="00186618"/>
    <w:rPr>
      <w:b/>
      <w:bCs/>
      <w:sz w:val="27"/>
      <w:szCs w:val="27"/>
    </w:rPr>
  </w:style>
  <w:style w:type="paragraph" w:customStyle="1" w:styleId="naisnod">
    <w:name w:val="naisnod"/>
    <w:basedOn w:val="Normal"/>
    <w:rsid w:val="0018661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42019"/>
    <w:pPr>
      <w:jc w:val="both"/>
    </w:pPr>
    <w:rPr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542019"/>
    <w:rPr>
      <w:sz w:val="28"/>
    </w:rPr>
  </w:style>
  <w:style w:type="character" w:styleId="CommentReference">
    <w:name w:val="annotation reference"/>
    <w:rsid w:val="00542019"/>
    <w:rPr>
      <w:sz w:val="16"/>
      <w:szCs w:val="16"/>
    </w:rPr>
  </w:style>
  <w:style w:type="paragraph" w:customStyle="1" w:styleId="tv213">
    <w:name w:val="tv213"/>
    <w:basedOn w:val="Normal"/>
    <w:rsid w:val="005538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538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1B04"/>
    <w:rPr>
      <w:b/>
      <w:bCs/>
    </w:rPr>
  </w:style>
  <w:style w:type="paragraph" w:styleId="NormalWeb">
    <w:name w:val="Normal (Web)"/>
    <w:basedOn w:val="Normal"/>
    <w:rsid w:val="00C05C1E"/>
    <w:pPr>
      <w:spacing w:before="75" w:after="75"/>
    </w:pPr>
    <w:rPr>
      <w:rFonts w:eastAsia="SimSun"/>
      <w:noProof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2C2A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3769DA"/>
    <w:rPr>
      <w:sz w:val="24"/>
      <w:szCs w:val="24"/>
    </w:rPr>
  </w:style>
  <w:style w:type="table" w:styleId="TableGrid">
    <w:name w:val="Table Grid"/>
    <w:basedOn w:val="TableNormal"/>
    <w:rsid w:val="00B9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34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0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4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91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2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0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70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esdoc.cfm?esid=32001L00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7EF1-2BDD-4101-B251-1FA5AEEB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4518</Words>
  <Characters>2576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“Grozījumi Ministru kabineta 2010.gada 28.decembra noteikumos Nr.1211 „Noteikumi par ritošā sastāva būvi, modernizāciju, atjaunošanas remontu, atbilstības novērtēšanu un pieņemšanu ekspluatācijā””</vt:lpstr>
      <vt:lpstr>Grozījumi Ministru kabineta 2008.gada 10.marta noteikumos Nr.168 „Noteikumi par drošības sertifikāta A daļas un B daļas izsniegšanas, apturēšanas un anulēšanas kārtību un kritērijiem” </vt:lpstr>
    </vt:vector>
  </TitlesOfParts>
  <Company>Satiksmes Ministrija</Company>
  <LinksUpToDate>false</LinksUpToDate>
  <CharactersWithSpaces>7080</CharactersWithSpaces>
  <SharedDoc>false</SharedDoc>
  <HLinks>
    <vt:vector size="18" baseType="variant"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http://pro.nais.lv/naiser/esdoc.cfm?esid=32001L0014</vt:lpwstr>
      </vt:variant>
      <vt:variant>
        <vt:lpwstr/>
      </vt:variant>
      <vt:variant>
        <vt:i4>7471230</vt:i4>
      </vt:variant>
      <vt:variant>
        <vt:i4>8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  <vt:variant>
        <vt:i4>7471230</vt:i4>
      </vt:variant>
      <vt:variant>
        <vt:i4>5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2010.gada 28.decembra noteikumos Nr.1211 „Noteikumi par ritošā sastāva būvi, modernizāciju, atjaunošanas remontu, atbilstības novērtēšanu un pieņemšanu ekspluatācijā””</dc:title>
  <dc:subject>Projekta anotācija</dc:subject>
  <dc:creator>J.Zālītis</dc:creator>
  <cp:keywords>Anotācija</cp:keywords>
  <dc:description>Balaša 67028071
Santa.Balasa@mk.gov.lv</dc:description>
  <cp:lastModifiedBy>Santa Balaša</cp:lastModifiedBy>
  <cp:revision>32</cp:revision>
  <cp:lastPrinted>2018-11-12T14:51:00Z</cp:lastPrinted>
  <dcterms:created xsi:type="dcterms:W3CDTF">2018-10-02T07:25:00Z</dcterms:created>
  <dcterms:modified xsi:type="dcterms:W3CDTF">2018-11-22T15:08:00Z</dcterms:modified>
</cp:coreProperties>
</file>