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6A8" w:rsidRPr="00450EE1" w:rsidRDefault="007716A8" w:rsidP="007716A8">
      <w:pPr>
        <w:spacing w:after="120"/>
        <w:jc w:val="center"/>
        <w:rPr>
          <w:b/>
          <w:sz w:val="28"/>
          <w:szCs w:val="28"/>
        </w:rPr>
      </w:pPr>
      <w:r w:rsidRPr="00450EE1">
        <w:rPr>
          <w:b/>
          <w:sz w:val="28"/>
          <w:szCs w:val="28"/>
        </w:rPr>
        <w:t>Informatīvais ziņojums</w:t>
      </w:r>
    </w:p>
    <w:p w:rsidR="007716A8" w:rsidRPr="00450EE1" w:rsidRDefault="007716A8" w:rsidP="007716A8">
      <w:pPr>
        <w:spacing w:after="120"/>
        <w:jc w:val="center"/>
        <w:rPr>
          <w:b/>
          <w:sz w:val="28"/>
          <w:szCs w:val="28"/>
        </w:rPr>
      </w:pPr>
      <w:r w:rsidRPr="007B4A8F">
        <w:rPr>
          <w:b/>
          <w:sz w:val="28"/>
          <w:szCs w:val="28"/>
        </w:rPr>
        <w:t>“</w:t>
      </w:r>
      <w:r w:rsidRPr="009B5BD0">
        <w:rPr>
          <w:b/>
          <w:sz w:val="28"/>
          <w:szCs w:val="28"/>
        </w:rPr>
        <w:t>Jaunas radioaktīvo atkritumu tvertnes, ilgtermiņa glabātavas un esošo radioaktīvo atkritumu tvertņu pārsegšanas projekta izstrāde radioaktīv</w:t>
      </w:r>
      <w:r>
        <w:rPr>
          <w:b/>
          <w:sz w:val="28"/>
          <w:szCs w:val="28"/>
        </w:rPr>
        <w:t xml:space="preserve">o atkritumu glabātavai “Radons” un </w:t>
      </w:r>
      <w:r w:rsidRPr="009B5BD0">
        <w:rPr>
          <w:b/>
          <w:sz w:val="28"/>
          <w:szCs w:val="28"/>
        </w:rPr>
        <w:t>Salaspils kodolreaktora izpētes un demontāžas projekta izstrād</w:t>
      </w:r>
      <w:r>
        <w:rPr>
          <w:b/>
          <w:sz w:val="28"/>
          <w:szCs w:val="28"/>
        </w:rPr>
        <w:t>e</w:t>
      </w:r>
      <w:r w:rsidRPr="007B4A8F">
        <w:rPr>
          <w:b/>
          <w:sz w:val="28"/>
          <w:szCs w:val="28"/>
        </w:rPr>
        <w:t>”</w:t>
      </w:r>
    </w:p>
    <w:p w:rsidR="007716A8" w:rsidRPr="002E2772" w:rsidRDefault="007716A8" w:rsidP="007716A8">
      <w:pPr>
        <w:spacing w:after="120"/>
        <w:jc w:val="center"/>
        <w:rPr>
          <w:b/>
          <w:sz w:val="28"/>
          <w:szCs w:val="28"/>
        </w:rPr>
      </w:pPr>
      <w:r>
        <w:rPr>
          <w:b/>
          <w:sz w:val="28"/>
          <w:szCs w:val="28"/>
        </w:rPr>
        <w:t>Ievads</w:t>
      </w:r>
    </w:p>
    <w:p w:rsidR="007716A8" w:rsidRPr="00450EE1" w:rsidRDefault="007716A8" w:rsidP="007716A8">
      <w:pPr>
        <w:spacing w:after="120"/>
        <w:ind w:firstLine="720"/>
        <w:jc w:val="both"/>
        <w:rPr>
          <w:sz w:val="28"/>
          <w:szCs w:val="28"/>
          <w:shd w:val="clear" w:color="auto" w:fill="FFFFFF"/>
        </w:rPr>
      </w:pPr>
      <w:r>
        <w:rPr>
          <w:sz w:val="28"/>
          <w:szCs w:val="28"/>
          <w:shd w:val="clear" w:color="auto" w:fill="FFFFFF"/>
        </w:rPr>
        <w:t>Latvijā ir izstrādāta Radioaktīvo atkritumu pārvaldības programma, kas ar Ministru kabineta 2017. gada 10. </w:t>
      </w:r>
      <w:r w:rsidRPr="00450EE1">
        <w:rPr>
          <w:sz w:val="28"/>
          <w:szCs w:val="28"/>
          <w:shd w:val="clear" w:color="auto" w:fill="FFFFFF"/>
        </w:rPr>
        <w:t>maija rīkojumu</w:t>
      </w:r>
      <w:r>
        <w:rPr>
          <w:sz w:val="28"/>
          <w:szCs w:val="28"/>
          <w:shd w:val="clear" w:color="auto" w:fill="FFFFFF"/>
        </w:rPr>
        <w:t xml:space="preserve"> Nr. </w:t>
      </w:r>
      <w:r w:rsidRPr="00450EE1">
        <w:rPr>
          <w:sz w:val="28"/>
          <w:szCs w:val="28"/>
          <w:shd w:val="clear" w:color="auto" w:fill="FFFFFF"/>
        </w:rPr>
        <w:t>233 “Grozījumi Vides politikas pamatnostādnēs 2014.-2020. </w:t>
      </w:r>
      <w:r>
        <w:rPr>
          <w:sz w:val="28"/>
          <w:szCs w:val="28"/>
          <w:shd w:val="clear" w:color="auto" w:fill="FFFFFF"/>
        </w:rPr>
        <w:t>gadam” iekļauta</w:t>
      </w:r>
      <w:r w:rsidRPr="00450EE1">
        <w:rPr>
          <w:sz w:val="28"/>
          <w:szCs w:val="28"/>
          <w:shd w:val="clear" w:color="auto" w:fill="FFFFFF"/>
        </w:rPr>
        <w:t xml:space="preserve"> Vides politikas pamatnostādnēs 2014.-2020. gadam</w:t>
      </w:r>
      <w:r>
        <w:rPr>
          <w:sz w:val="28"/>
          <w:szCs w:val="28"/>
          <w:shd w:val="clear" w:color="auto" w:fill="FFFFFF"/>
        </w:rPr>
        <w:t>.</w:t>
      </w:r>
      <w:r w:rsidRPr="00450EE1">
        <w:rPr>
          <w:sz w:val="28"/>
          <w:szCs w:val="28"/>
          <w:shd w:val="clear" w:color="auto" w:fill="FFFFFF"/>
        </w:rPr>
        <w:t xml:space="preserve"> </w:t>
      </w:r>
      <w:r>
        <w:rPr>
          <w:sz w:val="28"/>
          <w:szCs w:val="28"/>
          <w:shd w:val="clear" w:color="auto" w:fill="FFFFFF"/>
        </w:rPr>
        <w:t xml:space="preserve">Programma ir </w:t>
      </w:r>
      <w:r w:rsidRPr="00450EE1">
        <w:rPr>
          <w:sz w:val="28"/>
          <w:szCs w:val="28"/>
          <w:shd w:val="clear" w:color="auto" w:fill="FFFFFF"/>
        </w:rPr>
        <w:t>izstrādāta atbilstoši Padomes 2011. gada 19. </w:t>
      </w:r>
      <w:r>
        <w:rPr>
          <w:sz w:val="28"/>
          <w:szCs w:val="28"/>
          <w:shd w:val="clear" w:color="auto" w:fill="FFFFFF"/>
        </w:rPr>
        <w:t>jūlija</w:t>
      </w:r>
      <w:r w:rsidRPr="00450EE1">
        <w:rPr>
          <w:sz w:val="28"/>
          <w:szCs w:val="28"/>
          <w:shd w:val="clear" w:color="auto" w:fill="FFFFFF"/>
        </w:rPr>
        <w:t xml:space="preserve"> Direktīv</w:t>
      </w:r>
      <w:r>
        <w:rPr>
          <w:sz w:val="28"/>
          <w:szCs w:val="28"/>
          <w:shd w:val="clear" w:color="auto" w:fill="FFFFFF"/>
        </w:rPr>
        <w:t>ai 2011/70/Euratom</w:t>
      </w:r>
      <w:r w:rsidRPr="00450EE1">
        <w:rPr>
          <w:sz w:val="28"/>
          <w:szCs w:val="28"/>
          <w:shd w:val="clear" w:color="auto" w:fill="FFFFFF"/>
        </w:rPr>
        <w:t>, ar ko izveido Kopienas sistēmu lietotās kodoldegvielas un radioaktīvo atkritumu atbildīgai un drošai apsaimniekošanai (turpmāk – Direktīva 2011/70/Euratom) un Kopējās lietotās kodoldegvielas un radioaktīvo atkritumu drošas pārvaldības konvencijai (stājās spēkā Latvijas Republikā 2001. gada 18. jūnijā</w:t>
      </w:r>
      <w:r>
        <w:rPr>
          <w:sz w:val="28"/>
          <w:szCs w:val="28"/>
          <w:shd w:val="clear" w:color="auto" w:fill="FFFFFF"/>
        </w:rPr>
        <w:t>).</w:t>
      </w:r>
    </w:p>
    <w:p w:rsidR="007716A8" w:rsidRDefault="007716A8" w:rsidP="007716A8">
      <w:pPr>
        <w:pStyle w:val="CommentText"/>
        <w:spacing w:after="120"/>
        <w:ind w:firstLine="720"/>
        <w:jc w:val="both"/>
        <w:rPr>
          <w:sz w:val="28"/>
          <w:szCs w:val="28"/>
          <w:shd w:val="clear" w:color="auto" w:fill="FFFFFF"/>
        </w:rPr>
      </w:pPr>
      <w:r w:rsidRPr="00450EE1">
        <w:rPr>
          <w:sz w:val="28"/>
          <w:szCs w:val="28"/>
          <w:shd w:val="clear" w:color="auto" w:fill="FFFFFF"/>
        </w:rPr>
        <w:t>Radioaktīvo atkritumu pārvaldības programmā</w:t>
      </w:r>
      <w:r>
        <w:rPr>
          <w:sz w:val="28"/>
          <w:szCs w:val="28"/>
          <w:shd w:val="clear" w:color="auto" w:fill="FFFFFF"/>
        </w:rPr>
        <w:t xml:space="preserve"> iekļauta arī </w:t>
      </w:r>
      <w:r w:rsidRPr="00450EE1">
        <w:rPr>
          <w:sz w:val="28"/>
          <w:szCs w:val="28"/>
          <w:shd w:val="clear" w:color="auto" w:fill="FFFFFF"/>
        </w:rPr>
        <w:t xml:space="preserve">informācija par nepieciešamajiem pasākumiem un </w:t>
      </w:r>
      <w:r>
        <w:rPr>
          <w:sz w:val="28"/>
          <w:szCs w:val="28"/>
          <w:shd w:val="clear" w:color="auto" w:fill="FFFFFF"/>
        </w:rPr>
        <w:t>pieejamo</w:t>
      </w:r>
      <w:r w:rsidRPr="00450EE1">
        <w:rPr>
          <w:sz w:val="28"/>
          <w:szCs w:val="28"/>
          <w:shd w:val="clear" w:color="auto" w:fill="FFFFFF"/>
        </w:rPr>
        <w:t xml:space="preserve"> valsts budžeta finansējumu radioaktīvo atkritumu pārvaldības sistēmas uzlabošanai</w:t>
      </w:r>
      <w:r>
        <w:rPr>
          <w:sz w:val="28"/>
          <w:szCs w:val="28"/>
          <w:shd w:val="clear" w:color="auto" w:fill="FFFFFF"/>
        </w:rPr>
        <w:t xml:space="preserve"> Latvijā</w:t>
      </w:r>
      <w:r w:rsidRPr="00450EE1">
        <w:rPr>
          <w:sz w:val="28"/>
          <w:szCs w:val="28"/>
          <w:shd w:val="clear" w:color="auto" w:fill="FFFFFF"/>
        </w:rPr>
        <w:t xml:space="preserve">, tai skaitā radioaktīvo atkritumu </w:t>
      </w:r>
      <w:r w:rsidRPr="00DC4682">
        <w:rPr>
          <w:sz w:val="28"/>
          <w:szCs w:val="28"/>
          <w:shd w:val="clear" w:color="auto" w:fill="FFFFFF"/>
        </w:rPr>
        <w:t>tvertnes un il</w:t>
      </w:r>
      <w:r>
        <w:rPr>
          <w:sz w:val="28"/>
          <w:szCs w:val="28"/>
          <w:shd w:val="clear" w:color="auto" w:fill="FFFFFF"/>
        </w:rPr>
        <w:t>gtermiņa glabātavas būvniecībai, un Salaspils kodolreaktora likvidēšanai un uzturēšanai.</w:t>
      </w:r>
    </w:p>
    <w:p w:rsidR="007716A8" w:rsidRDefault="007716A8" w:rsidP="007716A8">
      <w:pPr>
        <w:pStyle w:val="CommentText"/>
        <w:spacing w:after="120"/>
        <w:ind w:firstLine="720"/>
        <w:jc w:val="both"/>
        <w:rPr>
          <w:sz w:val="28"/>
          <w:szCs w:val="28"/>
        </w:rPr>
      </w:pPr>
      <w:r>
        <w:rPr>
          <w:sz w:val="28"/>
          <w:szCs w:val="28"/>
        </w:rPr>
        <w:t xml:space="preserve">Valsts sabiedrība ar ierobežotu atbildību “Latvijas Vides, ģeoloģijas un meteoroloģijas centrs” (turpmāk – LVĢMC) </w:t>
      </w:r>
      <w:r w:rsidRPr="00450EE1">
        <w:rPr>
          <w:sz w:val="28"/>
          <w:szCs w:val="28"/>
        </w:rPr>
        <w:t>201</w:t>
      </w:r>
      <w:r>
        <w:rPr>
          <w:sz w:val="28"/>
          <w:szCs w:val="28"/>
        </w:rPr>
        <w:t>8</w:t>
      </w:r>
      <w:r w:rsidRPr="00450EE1">
        <w:rPr>
          <w:sz w:val="28"/>
          <w:szCs w:val="28"/>
        </w:rPr>
        <w:t xml:space="preserve">. gada </w:t>
      </w:r>
      <w:r>
        <w:rPr>
          <w:sz w:val="28"/>
          <w:szCs w:val="28"/>
        </w:rPr>
        <w:t>26</w:t>
      </w:r>
      <w:r w:rsidRPr="00450EE1">
        <w:rPr>
          <w:sz w:val="28"/>
          <w:szCs w:val="28"/>
        </w:rPr>
        <w:t>. </w:t>
      </w:r>
      <w:r>
        <w:rPr>
          <w:sz w:val="28"/>
          <w:szCs w:val="28"/>
        </w:rPr>
        <w:t>janvārī</w:t>
      </w:r>
      <w:r w:rsidRPr="00450EE1">
        <w:rPr>
          <w:sz w:val="28"/>
          <w:szCs w:val="28"/>
        </w:rPr>
        <w:t xml:space="preserve"> izsludināja </w:t>
      </w:r>
      <w:r>
        <w:rPr>
          <w:sz w:val="28"/>
          <w:szCs w:val="28"/>
        </w:rPr>
        <w:t xml:space="preserve">starptautisku </w:t>
      </w:r>
      <w:r w:rsidRPr="00450EE1">
        <w:rPr>
          <w:sz w:val="28"/>
          <w:szCs w:val="28"/>
        </w:rPr>
        <w:t>iepirkum</w:t>
      </w:r>
      <w:r>
        <w:rPr>
          <w:sz w:val="28"/>
          <w:szCs w:val="28"/>
        </w:rPr>
        <w:t>u</w:t>
      </w:r>
      <w:r w:rsidRPr="00450EE1">
        <w:rPr>
          <w:sz w:val="28"/>
          <w:szCs w:val="28"/>
        </w:rPr>
        <w:t xml:space="preserve"> “Jaunas radioaktīvo atkritumu tvertnes un ilgtermiņa glabātavas būvprojekta izstrāde un būvniecība radioaktīvo atkritumu glabātavā “</w:t>
      </w:r>
      <w:r>
        <w:rPr>
          <w:sz w:val="28"/>
          <w:szCs w:val="28"/>
        </w:rPr>
        <w:t xml:space="preserve">Radons”” un </w:t>
      </w:r>
      <w:r w:rsidRPr="00AA072F">
        <w:rPr>
          <w:iCs/>
          <w:sz w:val="28"/>
          <w:szCs w:val="28"/>
        </w:rPr>
        <w:t>2018. gada 7.aprīlī</w:t>
      </w:r>
      <w:r>
        <w:rPr>
          <w:iCs/>
          <w:sz w:val="28"/>
          <w:szCs w:val="28"/>
        </w:rPr>
        <w:t xml:space="preserve"> izsludināja starptautisku</w:t>
      </w:r>
      <w:r w:rsidRPr="0022208F">
        <w:rPr>
          <w:iCs/>
          <w:sz w:val="28"/>
          <w:szCs w:val="28"/>
        </w:rPr>
        <w:t xml:space="preserve"> iepirkumu “Salaspils kodolreaktora likvidācija”</w:t>
      </w:r>
      <w:r>
        <w:rPr>
          <w:iCs/>
          <w:sz w:val="28"/>
          <w:szCs w:val="28"/>
        </w:rPr>
        <w:t xml:space="preserve">. Izvērtējot saņemtos piedāvājums, secināts, ka piedāvātās līgumcenas būtiski pārsniedz valsts budžetā pieejamo finansējumu, kas paredzēts, </w:t>
      </w:r>
      <w:r w:rsidRPr="00105713">
        <w:rPr>
          <w:iCs/>
          <w:sz w:val="28"/>
          <w:szCs w:val="28"/>
        </w:rPr>
        <w:t>lai veiktu</w:t>
      </w:r>
      <w:r>
        <w:rPr>
          <w:iCs/>
          <w:sz w:val="28"/>
          <w:szCs w:val="28"/>
        </w:rPr>
        <w:t xml:space="preserve"> </w:t>
      </w:r>
      <w:r>
        <w:rPr>
          <w:sz w:val="28"/>
          <w:szCs w:val="28"/>
        </w:rPr>
        <w:t>j</w:t>
      </w:r>
      <w:r w:rsidRPr="00450EE1">
        <w:rPr>
          <w:sz w:val="28"/>
          <w:szCs w:val="28"/>
        </w:rPr>
        <w:t>aunas radioaktīvo atkritumu tvertnes un ilgtermiņa glabātavas būvprojekta izstrād</w:t>
      </w:r>
      <w:r>
        <w:rPr>
          <w:sz w:val="28"/>
          <w:szCs w:val="28"/>
        </w:rPr>
        <w:t>i</w:t>
      </w:r>
      <w:r w:rsidRPr="00450EE1">
        <w:rPr>
          <w:sz w:val="28"/>
          <w:szCs w:val="28"/>
        </w:rPr>
        <w:t xml:space="preserve"> un būvniecīb</w:t>
      </w:r>
      <w:r>
        <w:rPr>
          <w:sz w:val="28"/>
          <w:szCs w:val="28"/>
        </w:rPr>
        <w:t>u, kā arī lai veiktu Salaspils kodolreaktora likvidēšanu. Ņemot vērā, ka abu projektu realizēšanai nepieciešamās izmaksas ir aprēķinātas 2003. gadā, bet Salaspils kodolreaktora likvidēšanai izmaksu aktualizācija veikta 2013.gadā, jāsecina, ka iepriekš plānotās izmaksas neatbilst faktiskajai tirgus situācijai.</w:t>
      </w:r>
    </w:p>
    <w:p w:rsidR="007716A8" w:rsidRPr="00415DBE" w:rsidRDefault="007716A8" w:rsidP="007716A8">
      <w:pPr>
        <w:pStyle w:val="CommentText"/>
        <w:spacing w:after="120"/>
        <w:ind w:firstLine="720"/>
        <w:jc w:val="both"/>
        <w:rPr>
          <w:sz w:val="28"/>
          <w:szCs w:val="28"/>
        </w:rPr>
      </w:pPr>
      <w:r>
        <w:rPr>
          <w:sz w:val="28"/>
          <w:szCs w:val="28"/>
        </w:rPr>
        <w:t xml:space="preserve">Izvērtējot faktisko situāciju ar izsludinātajiem iepirkumiem un tirgus situāciju, ņemot vērā LVĢMC sniegto informāciju, </w:t>
      </w:r>
      <w:r w:rsidRPr="00450EE1">
        <w:rPr>
          <w:sz w:val="28"/>
          <w:szCs w:val="28"/>
        </w:rPr>
        <w:t>Vides aizsardzības un reģionālās attīstības ministrija</w:t>
      </w:r>
      <w:r>
        <w:rPr>
          <w:sz w:val="28"/>
          <w:szCs w:val="28"/>
        </w:rPr>
        <w:t xml:space="preserve"> (turpmāk – VARAM)</w:t>
      </w:r>
      <w:r w:rsidRPr="00450EE1">
        <w:rPr>
          <w:sz w:val="28"/>
          <w:szCs w:val="28"/>
        </w:rPr>
        <w:t xml:space="preserve"> ir sagatavojusi informatīvo ziņojumu “</w:t>
      </w:r>
      <w:r w:rsidRPr="00AF3BCE">
        <w:rPr>
          <w:sz w:val="28"/>
          <w:szCs w:val="28"/>
        </w:rPr>
        <w:t>Jaunas radioaktīvo atkritumu tvertnes, ilgtermiņa glabātavas un esošo radioaktīvo atkritumu tvertņu pārsegšanas projekta izstrāde radioaktīvo atkritumu glabātavai “Radons” un Salaspils kodolreaktora izpētes un demontāžas projekta izstrāde</w:t>
      </w:r>
      <w:r w:rsidRPr="00077A31">
        <w:rPr>
          <w:sz w:val="28"/>
          <w:szCs w:val="28"/>
        </w:rPr>
        <w:t>”</w:t>
      </w:r>
      <w:r>
        <w:rPr>
          <w:sz w:val="28"/>
          <w:szCs w:val="28"/>
        </w:rPr>
        <w:t xml:space="preserve"> (turpmāk – Ziņojums). Ziņojums sagatavots, lai nodrošinātu iespēju </w:t>
      </w:r>
      <w:r w:rsidRPr="003B1C6E">
        <w:rPr>
          <w:sz w:val="28"/>
          <w:szCs w:val="28"/>
        </w:rPr>
        <w:t xml:space="preserve">izmantot </w:t>
      </w:r>
      <w:r w:rsidRPr="00041348">
        <w:rPr>
          <w:sz w:val="28"/>
          <w:szCs w:val="28"/>
        </w:rPr>
        <w:t xml:space="preserve">radioaktīvo atkritumu tvertnes un ilgtermiņa glabātavas būvniecībai </w:t>
      </w:r>
      <w:r>
        <w:rPr>
          <w:sz w:val="28"/>
          <w:szCs w:val="28"/>
        </w:rPr>
        <w:t xml:space="preserve">un </w:t>
      </w:r>
      <w:r w:rsidRPr="003B1C6E">
        <w:rPr>
          <w:sz w:val="28"/>
          <w:szCs w:val="28"/>
        </w:rPr>
        <w:t>Salaspils kodolreaktora likvidēšanai paredzēto finansējumu</w:t>
      </w:r>
      <w:r>
        <w:rPr>
          <w:sz w:val="28"/>
          <w:szCs w:val="28"/>
        </w:rPr>
        <w:t xml:space="preserve"> </w:t>
      </w:r>
      <w:r w:rsidRPr="003B1C6E">
        <w:rPr>
          <w:sz w:val="28"/>
          <w:szCs w:val="28"/>
        </w:rPr>
        <w:t xml:space="preserve">jaunas radioaktīvo </w:t>
      </w:r>
      <w:r w:rsidRPr="003B1C6E">
        <w:rPr>
          <w:sz w:val="28"/>
          <w:szCs w:val="28"/>
        </w:rPr>
        <w:lastRenderedPageBreak/>
        <w:t>atkritumu tvertnes</w:t>
      </w:r>
      <w:r>
        <w:rPr>
          <w:sz w:val="28"/>
          <w:szCs w:val="28"/>
        </w:rPr>
        <w:t xml:space="preserve"> un ilgtermiņa glabātuves projekta, kā arī</w:t>
      </w:r>
      <w:r w:rsidRPr="003B1C6E">
        <w:rPr>
          <w:sz w:val="28"/>
          <w:szCs w:val="28"/>
        </w:rPr>
        <w:t xml:space="preserve"> </w:t>
      </w:r>
      <w:r>
        <w:rPr>
          <w:sz w:val="28"/>
          <w:szCs w:val="28"/>
        </w:rPr>
        <w:t xml:space="preserve">Salaspils kodolreaktora izpētes un demontāžas projekta </w:t>
      </w:r>
      <w:r w:rsidRPr="00415DBE">
        <w:rPr>
          <w:sz w:val="28"/>
          <w:szCs w:val="28"/>
        </w:rPr>
        <w:t>izstrādei. Jauno iepirkumu “Jaunas radioaktīvo atkritumu tvertnes, ilgtermiņa glabātavas un esošo radioaktīvo atkritumu tvertņu pārsegšanas projekta izstrāde radioaktīvo atkritumu glabātavai “Radons”” un “Salaspils kodolreaktora izpētes un demontāžas projekta izstrāde” izsludināšana, kas ietvers Salaspils kodolreaktora un tam pieguļošo ēku kompleksa apsekošanu, uzmērīšanu, kā arī pašreizējā radioaktivitātes līmeņa izpētes nodrošināšanu Salaspils kodolreaktorā ļautu veikt precīzus aprēķinus par nepieciešamo tilpumu jaunai radioaktīvo atkritumu tvertnei, kā arī ilgtermiņa glabātavai.</w:t>
      </w:r>
    </w:p>
    <w:p w:rsidR="007716A8" w:rsidRDefault="007716A8" w:rsidP="007716A8">
      <w:pPr>
        <w:spacing w:after="120"/>
        <w:ind w:right="-113" w:firstLine="720"/>
        <w:jc w:val="both"/>
        <w:rPr>
          <w:sz w:val="28"/>
          <w:szCs w:val="28"/>
        </w:rPr>
      </w:pPr>
      <w:r w:rsidRPr="0065662A">
        <w:rPr>
          <w:sz w:val="28"/>
          <w:szCs w:val="28"/>
        </w:rPr>
        <w:t>Ievērojot LVĢMC 2017. gadā ieplānotos valsts budžeta līdzekļus jaunas radioaktīvo atkritumu tvertnes būvniecībai un Salaspils kodolreaktora likvidēšanai (1 847 402 </w:t>
      </w:r>
      <w:proofErr w:type="spellStart"/>
      <w:r w:rsidRPr="0065662A">
        <w:rPr>
          <w:i/>
          <w:sz w:val="28"/>
          <w:szCs w:val="28"/>
        </w:rPr>
        <w:t>euro</w:t>
      </w:r>
      <w:proofErr w:type="spellEnd"/>
      <w:r w:rsidRPr="0065662A">
        <w:rPr>
          <w:sz w:val="28"/>
          <w:szCs w:val="28"/>
        </w:rPr>
        <w:t xml:space="preserve">) un atbilstoši </w:t>
      </w:r>
      <w:r w:rsidRPr="0065662A">
        <w:rPr>
          <w:sz w:val="28"/>
          <w:szCs w:val="28"/>
          <w:shd w:val="clear" w:color="auto" w:fill="FFFFFF"/>
        </w:rPr>
        <w:t xml:space="preserve">Ministru kabineta </w:t>
      </w:r>
      <w:r w:rsidRPr="0065662A">
        <w:rPr>
          <w:sz w:val="28"/>
          <w:szCs w:val="28"/>
        </w:rPr>
        <w:t>2017. gada 12. decembra</w:t>
      </w:r>
      <w:r w:rsidRPr="0065662A">
        <w:rPr>
          <w:sz w:val="28"/>
          <w:szCs w:val="28"/>
          <w:shd w:val="clear" w:color="auto" w:fill="FFFFFF"/>
        </w:rPr>
        <w:t xml:space="preserve"> sēdes </w:t>
      </w:r>
      <w:proofErr w:type="spellStart"/>
      <w:r w:rsidRPr="0065662A">
        <w:rPr>
          <w:sz w:val="28"/>
          <w:szCs w:val="28"/>
          <w:shd w:val="clear" w:color="auto" w:fill="FFFFFF"/>
        </w:rPr>
        <w:t>protokollēmuma</w:t>
      </w:r>
      <w:proofErr w:type="spellEnd"/>
      <w:r w:rsidRPr="0065662A">
        <w:rPr>
          <w:sz w:val="28"/>
          <w:szCs w:val="28"/>
          <w:shd w:val="clear" w:color="auto" w:fill="FFFFFF"/>
        </w:rPr>
        <w:t xml:space="preserve"> Nr. 61 76.§. 2. punktā noteiktajam</w:t>
      </w:r>
      <w:r w:rsidRPr="0065662A">
        <w:rPr>
          <w:sz w:val="28"/>
          <w:szCs w:val="28"/>
        </w:rPr>
        <w:t>, tika pieņemts lēmums veikt LVĢMC pamatkapitāla palielināšanu par 1 847 402 </w:t>
      </w:r>
      <w:proofErr w:type="spellStart"/>
      <w:r w:rsidRPr="0065662A">
        <w:rPr>
          <w:i/>
          <w:sz w:val="28"/>
          <w:szCs w:val="28"/>
        </w:rPr>
        <w:t>euro</w:t>
      </w:r>
      <w:proofErr w:type="spellEnd"/>
      <w:r w:rsidRPr="0065662A">
        <w:rPr>
          <w:sz w:val="28"/>
          <w:szCs w:val="28"/>
        </w:rPr>
        <w:t xml:space="preserve">, </w:t>
      </w:r>
      <w:r w:rsidRPr="0065662A">
        <w:rPr>
          <w:sz w:val="28"/>
          <w:szCs w:val="20"/>
          <w:lang w:eastAsia="lv-LV"/>
        </w:rPr>
        <w:t>ieguldot tajā 2017. gadā paredzētos valsts budžeta līdzekļus jaunas radioaktīvo atkritumu tvertnes un ilgtermiņa glabātavas būvniecībai un Salaspils kodolreaktora likvidēšanai</w:t>
      </w:r>
      <w:r w:rsidRPr="0065662A">
        <w:rPr>
          <w:sz w:val="28"/>
          <w:szCs w:val="28"/>
        </w:rPr>
        <w:t xml:space="preserve">. Ieguldījumi pamatkapitālā veikti ar </w:t>
      </w:r>
      <w:r w:rsidRPr="00020DC1">
        <w:rPr>
          <w:sz w:val="28"/>
          <w:szCs w:val="28"/>
        </w:rPr>
        <w:t>nosacījumu, ka tos nedrīkst izmantot līdz turpmākiem Ministru kabineta lēmumiem.</w:t>
      </w:r>
    </w:p>
    <w:p w:rsidR="007716A8" w:rsidRPr="00AA712C" w:rsidRDefault="007716A8" w:rsidP="007716A8">
      <w:pPr>
        <w:spacing w:after="120"/>
        <w:ind w:right="-113" w:firstLine="720"/>
        <w:jc w:val="both"/>
        <w:rPr>
          <w:sz w:val="28"/>
          <w:szCs w:val="28"/>
        </w:rPr>
      </w:pPr>
    </w:p>
    <w:p w:rsidR="007716A8" w:rsidRPr="00450EE1" w:rsidRDefault="007716A8" w:rsidP="007716A8">
      <w:pPr>
        <w:spacing w:after="120"/>
        <w:jc w:val="center"/>
        <w:rPr>
          <w:b/>
          <w:sz w:val="28"/>
          <w:szCs w:val="28"/>
        </w:rPr>
      </w:pPr>
      <w:r>
        <w:rPr>
          <w:b/>
          <w:sz w:val="28"/>
          <w:szCs w:val="28"/>
        </w:rPr>
        <w:t>1. </w:t>
      </w:r>
      <w:r w:rsidRPr="00450EE1">
        <w:rPr>
          <w:b/>
          <w:sz w:val="28"/>
          <w:szCs w:val="28"/>
        </w:rPr>
        <w:t>Vispārīgā informācija</w:t>
      </w:r>
    </w:p>
    <w:p w:rsidR="007716A8" w:rsidRPr="00935642" w:rsidRDefault="007716A8" w:rsidP="007716A8">
      <w:pPr>
        <w:pStyle w:val="NormalWeb"/>
        <w:spacing w:before="0" w:after="120"/>
        <w:ind w:firstLine="720"/>
        <w:jc w:val="center"/>
        <w:rPr>
          <w:b/>
          <w:sz w:val="28"/>
          <w:szCs w:val="28"/>
        </w:rPr>
      </w:pPr>
      <w:r>
        <w:rPr>
          <w:b/>
          <w:sz w:val="28"/>
          <w:szCs w:val="28"/>
        </w:rPr>
        <w:t>1.1. </w:t>
      </w:r>
      <w:r w:rsidRPr="00935642">
        <w:rPr>
          <w:b/>
          <w:sz w:val="28"/>
          <w:szCs w:val="28"/>
        </w:rPr>
        <w:t>Radioaktīvo atkritumu glabātuve “Radons”</w:t>
      </w:r>
    </w:p>
    <w:p w:rsidR="007716A8" w:rsidRPr="006F36BD" w:rsidRDefault="007716A8" w:rsidP="007716A8">
      <w:pPr>
        <w:pStyle w:val="NormalWeb"/>
        <w:spacing w:before="0" w:after="120"/>
        <w:ind w:firstLine="720"/>
        <w:rPr>
          <w:sz w:val="28"/>
          <w:szCs w:val="28"/>
        </w:rPr>
      </w:pPr>
      <w:r w:rsidRPr="00292739">
        <w:rPr>
          <w:sz w:val="28"/>
          <w:szCs w:val="28"/>
        </w:rPr>
        <w:t xml:space="preserve">Latvijā ir tikai viena radioaktīvo atkritumu glabātava, kurā </w:t>
      </w:r>
      <w:r>
        <w:rPr>
          <w:sz w:val="28"/>
          <w:szCs w:val="28"/>
        </w:rPr>
        <w:t>iespējams</w:t>
      </w:r>
      <w:r w:rsidRPr="00292739">
        <w:rPr>
          <w:sz w:val="28"/>
          <w:szCs w:val="28"/>
        </w:rPr>
        <w:t xml:space="preserve"> apglabāt vai ilgstoši </w:t>
      </w:r>
      <w:r>
        <w:rPr>
          <w:sz w:val="28"/>
          <w:szCs w:val="28"/>
        </w:rPr>
        <w:t>uz</w:t>
      </w:r>
      <w:r w:rsidRPr="00292739">
        <w:rPr>
          <w:sz w:val="28"/>
          <w:szCs w:val="28"/>
        </w:rPr>
        <w:t>glabāt radioaktīvos atkritumus</w:t>
      </w:r>
      <w:r w:rsidRPr="006F36BD">
        <w:rPr>
          <w:sz w:val="28"/>
          <w:szCs w:val="28"/>
        </w:rPr>
        <w:t>. Latvijai ir pienākums nodrošināt videi un iedzīvotājiem drošas radioaktīvo atkritumu pārvaldības sistēmas attīstību valstī. Lai nodrošinātu videi un iedzīvotājiem drošu, ilgtspējīgu un modernu radioaktīvo atkritumu apsaimniekošanu Radioaktīvo atkritumu glabātavā “Radons” (turpmāk – glabātava “Radons”) nepieciešami infrastruktūras uzlabojumi.</w:t>
      </w:r>
    </w:p>
    <w:p w:rsidR="007716A8" w:rsidRDefault="007716A8" w:rsidP="007716A8">
      <w:pPr>
        <w:pStyle w:val="NormalWeb"/>
        <w:spacing w:before="0" w:after="120"/>
        <w:ind w:firstLine="720"/>
        <w:rPr>
          <w:sz w:val="28"/>
          <w:szCs w:val="28"/>
        </w:rPr>
      </w:pPr>
      <w:r w:rsidRPr="006F36BD">
        <w:rPr>
          <w:sz w:val="28"/>
          <w:szCs w:val="28"/>
        </w:rPr>
        <w:t>Glabātava “Radons” atrodas Baldones novada teritorijā</w:t>
      </w:r>
      <w:r>
        <w:rPr>
          <w:sz w:val="28"/>
          <w:szCs w:val="28"/>
        </w:rPr>
        <w:t xml:space="preserve"> aptuveni 5 </w:t>
      </w:r>
      <w:r w:rsidRPr="00292739">
        <w:rPr>
          <w:sz w:val="28"/>
          <w:szCs w:val="28"/>
        </w:rPr>
        <w:t>km no Baldones pil</w:t>
      </w:r>
      <w:r>
        <w:rPr>
          <w:sz w:val="28"/>
          <w:szCs w:val="28"/>
        </w:rPr>
        <w:t>sētas, un tā ir izveidota 1962. </w:t>
      </w:r>
      <w:r w:rsidRPr="00292739">
        <w:rPr>
          <w:sz w:val="28"/>
          <w:szCs w:val="28"/>
        </w:rPr>
        <w:t xml:space="preserve">gadā. </w:t>
      </w:r>
      <w:r w:rsidRPr="00117DF8">
        <w:rPr>
          <w:sz w:val="28"/>
          <w:szCs w:val="28"/>
        </w:rPr>
        <w:t>Glabātavā “Radons” ir nodrošināta nepieciešamā infrastruktūra glabātavas uzraudzībai, tās darbības nodrošināšanai un kontrolei un radioaktīvo atkritumu glabāšana vienā vietā veicina drošas un ekonomiski pamatotas radioaktīvo atkritumu glabāšanas sistēmas attīstību valstī.</w:t>
      </w:r>
      <w:r>
        <w:rPr>
          <w:sz w:val="28"/>
          <w:szCs w:val="28"/>
        </w:rPr>
        <w:t xml:space="preserve"> </w:t>
      </w:r>
      <w:r w:rsidRPr="00450EE1">
        <w:rPr>
          <w:sz w:val="28"/>
          <w:szCs w:val="28"/>
        </w:rPr>
        <w:t xml:space="preserve">Glabātavu “Radons” apsaimnieko </w:t>
      </w:r>
      <w:r>
        <w:rPr>
          <w:sz w:val="28"/>
          <w:szCs w:val="28"/>
        </w:rPr>
        <w:t>LVĢMC</w:t>
      </w:r>
      <w:r>
        <w:rPr>
          <w:rStyle w:val="FootnoteReference"/>
          <w:sz w:val="28"/>
          <w:szCs w:val="28"/>
        </w:rPr>
        <w:footnoteReference w:id="1"/>
      </w:r>
      <w:r w:rsidRPr="00450EE1">
        <w:rPr>
          <w:sz w:val="28"/>
          <w:szCs w:val="28"/>
        </w:rPr>
        <w:t xml:space="preserve">, </w:t>
      </w:r>
      <w:r>
        <w:rPr>
          <w:sz w:val="28"/>
          <w:szCs w:val="28"/>
        </w:rPr>
        <w:t xml:space="preserve">kas ir </w:t>
      </w:r>
      <w:r w:rsidRPr="00450EE1">
        <w:rPr>
          <w:sz w:val="28"/>
          <w:szCs w:val="28"/>
        </w:rPr>
        <w:t xml:space="preserve">valstī vienīgā </w:t>
      </w:r>
      <w:r>
        <w:rPr>
          <w:sz w:val="28"/>
          <w:szCs w:val="28"/>
        </w:rPr>
        <w:t>kapitālsabiedrība</w:t>
      </w:r>
      <w:r w:rsidRPr="00450EE1">
        <w:rPr>
          <w:sz w:val="28"/>
          <w:szCs w:val="28"/>
        </w:rPr>
        <w:t>, kas nodrošina radioaktīvo atkritumu pārstrādi, ilgstošu glabāšanu un apglabāšanu.</w:t>
      </w:r>
      <w:r>
        <w:rPr>
          <w:sz w:val="28"/>
          <w:szCs w:val="28"/>
        </w:rPr>
        <w:t xml:space="preserve"> </w:t>
      </w:r>
    </w:p>
    <w:p w:rsidR="007716A8" w:rsidRDefault="007716A8" w:rsidP="007716A8">
      <w:pPr>
        <w:pStyle w:val="NormalWeb"/>
        <w:spacing w:before="0" w:after="120"/>
        <w:ind w:firstLine="720"/>
        <w:rPr>
          <w:sz w:val="28"/>
          <w:szCs w:val="28"/>
        </w:rPr>
      </w:pPr>
      <w:r w:rsidRPr="00292739">
        <w:rPr>
          <w:sz w:val="28"/>
          <w:szCs w:val="28"/>
        </w:rPr>
        <w:lastRenderedPageBreak/>
        <w:t>Pašlaik glabātavā “Radons” ir septiņas radioaktīvo atkritumu tvertnes. Sešas no tām ir būv</w:t>
      </w:r>
      <w:r>
        <w:rPr>
          <w:sz w:val="28"/>
          <w:szCs w:val="28"/>
        </w:rPr>
        <w:t>ētas un aizpildītas 1960.–1990. </w:t>
      </w:r>
      <w:r w:rsidRPr="00292739">
        <w:rPr>
          <w:sz w:val="28"/>
          <w:szCs w:val="28"/>
        </w:rPr>
        <w:t>gadā. Savukārt septītā tvertne ti</w:t>
      </w:r>
      <w:r>
        <w:rPr>
          <w:sz w:val="28"/>
          <w:szCs w:val="28"/>
        </w:rPr>
        <w:t>ka pieņemta ekspluatācijā 1995. </w:t>
      </w:r>
      <w:r w:rsidRPr="00292739">
        <w:rPr>
          <w:sz w:val="28"/>
          <w:szCs w:val="28"/>
        </w:rPr>
        <w:t xml:space="preserve">gadā. </w:t>
      </w:r>
    </w:p>
    <w:p w:rsidR="007716A8" w:rsidRDefault="007716A8" w:rsidP="007716A8">
      <w:pPr>
        <w:spacing w:after="120"/>
        <w:ind w:firstLine="600"/>
        <w:jc w:val="both"/>
        <w:rPr>
          <w:sz w:val="28"/>
          <w:szCs w:val="28"/>
        </w:rPr>
      </w:pPr>
      <w:r w:rsidRPr="003D2AE6">
        <w:rPr>
          <w:sz w:val="28"/>
          <w:szCs w:val="28"/>
        </w:rPr>
        <w:t>Jaun</w:t>
      </w:r>
      <w:r>
        <w:rPr>
          <w:sz w:val="28"/>
          <w:szCs w:val="28"/>
        </w:rPr>
        <w:t>as</w:t>
      </w:r>
      <w:r w:rsidRPr="003D2AE6">
        <w:rPr>
          <w:sz w:val="28"/>
          <w:szCs w:val="28"/>
        </w:rPr>
        <w:t xml:space="preserve"> radioaktīvo atkritumu tvert</w:t>
      </w:r>
      <w:r>
        <w:rPr>
          <w:sz w:val="28"/>
          <w:szCs w:val="28"/>
        </w:rPr>
        <w:t>nes</w:t>
      </w:r>
      <w:r w:rsidRPr="003D2AE6">
        <w:rPr>
          <w:sz w:val="28"/>
          <w:szCs w:val="28"/>
        </w:rPr>
        <w:t xml:space="preserve"> būvniecība radioaktīvo atkritumu glabātavā “Radons” ir nepieciešama, lai nodrošinātu Salaspils kodolreaktora likvidēšanas un demontāžas gaitā radušos radioaktīvo atkritumu apglabāšanu, kā arī nodrošinātu rezervi arī citu darbību rezultātā radīto radioaktīvo atkritumu apglabāšanai.</w:t>
      </w:r>
      <w:r>
        <w:t xml:space="preserve"> </w:t>
      </w:r>
      <w:r w:rsidRPr="00117DF8">
        <w:rPr>
          <w:sz w:val="28"/>
          <w:szCs w:val="28"/>
        </w:rPr>
        <w:t>Glabātavas “Radons” paplašināšanas rezultātā tik</w:t>
      </w:r>
      <w:r>
        <w:rPr>
          <w:sz w:val="28"/>
          <w:szCs w:val="28"/>
        </w:rPr>
        <w:t>tu</w:t>
      </w:r>
      <w:r w:rsidRPr="00117DF8">
        <w:rPr>
          <w:sz w:val="28"/>
          <w:szCs w:val="28"/>
        </w:rPr>
        <w:t xml:space="preserve"> izbūvēta mūsdienīga un droša radioaktīvo atkritumu apglabāšanas tvertne ar gruntsūdens monitoringa un kontroles sistēmu, kas nodrošinās </w:t>
      </w:r>
      <w:r>
        <w:rPr>
          <w:sz w:val="28"/>
          <w:szCs w:val="28"/>
        </w:rPr>
        <w:t>starptautiski</w:t>
      </w:r>
      <w:r w:rsidRPr="00117DF8">
        <w:rPr>
          <w:sz w:val="28"/>
          <w:szCs w:val="28"/>
        </w:rPr>
        <w:t xml:space="preserve"> atzītu tehnoloģiju </w:t>
      </w:r>
      <w:r w:rsidRPr="006002BC">
        <w:rPr>
          <w:sz w:val="28"/>
          <w:szCs w:val="28"/>
        </w:rPr>
        <w:t>izmantošanu Latvijas radioaktīvo atkritumu pārvaldībā. Līdz ar šī projekta realizāciju tiktu arī</w:t>
      </w:r>
      <w:r>
        <w:rPr>
          <w:sz w:val="28"/>
          <w:szCs w:val="28"/>
        </w:rPr>
        <w:t xml:space="preserve"> paaugstināta</w:t>
      </w:r>
      <w:r w:rsidRPr="00117DF8">
        <w:rPr>
          <w:sz w:val="28"/>
          <w:szCs w:val="28"/>
        </w:rPr>
        <w:t xml:space="preserve"> radiāci</w:t>
      </w:r>
      <w:r>
        <w:rPr>
          <w:sz w:val="28"/>
          <w:szCs w:val="28"/>
        </w:rPr>
        <w:t>jas drošība glabātavā “Radons”.</w:t>
      </w:r>
    </w:p>
    <w:p w:rsidR="007716A8" w:rsidRDefault="007716A8" w:rsidP="007716A8">
      <w:pPr>
        <w:spacing w:after="120"/>
        <w:ind w:firstLine="600"/>
        <w:jc w:val="both"/>
        <w:rPr>
          <w:sz w:val="28"/>
          <w:szCs w:val="28"/>
        </w:rPr>
      </w:pPr>
      <w:r w:rsidRPr="00117DF8">
        <w:rPr>
          <w:sz w:val="28"/>
          <w:szCs w:val="28"/>
        </w:rPr>
        <w:t xml:space="preserve">Plānoto objektu ietekme uz vidi ir izvērtēta atbilstoši </w:t>
      </w:r>
      <w:r w:rsidRPr="00806D0F">
        <w:rPr>
          <w:sz w:val="28"/>
          <w:szCs w:val="28"/>
        </w:rPr>
        <w:t xml:space="preserve">likuma “Par ietekmes uz </w:t>
      </w:r>
      <w:r>
        <w:rPr>
          <w:sz w:val="28"/>
          <w:szCs w:val="28"/>
        </w:rPr>
        <w:t xml:space="preserve">vidi novērtējumu” prasībām un </w:t>
      </w:r>
      <w:r w:rsidRPr="00450EE1">
        <w:rPr>
          <w:sz w:val="28"/>
          <w:szCs w:val="28"/>
        </w:rPr>
        <w:t>Ministru kabinet</w:t>
      </w:r>
      <w:r>
        <w:rPr>
          <w:sz w:val="28"/>
          <w:szCs w:val="28"/>
        </w:rPr>
        <w:t>a 2003. gada 26. jūnija rīkojumam</w:t>
      </w:r>
      <w:r w:rsidRPr="00450EE1">
        <w:rPr>
          <w:sz w:val="28"/>
          <w:szCs w:val="28"/>
        </w:rPr>
        <w:t xml:space="preserve"> Nr. 414 “Par Radioaktīvo atkritumu glabāšanas</w:t>
      </w:r>
      <w:r>
        <w:rPr>
          <w:sz w:val="28"/>
          <w:szCs w:val="28"/>
        </w:rPr>
        <w:t xml:space="preserve"> koncepciju”</w:t>
      </w:r>
      <w:r w:rsidRPr="003E7F85">
        <w:rPr>
          <w:sz w:val="28"/>
          <w:szCs w:val="28"/>
        </w:rPr>
        <w:t xml:space="preserve">. Bīstamo atkritumu pārvaldības valsts aģentūra 2004. gadā uzsāka ietekmes uz vidi novērtējumu divu jaunu radioaktīvo atkritumu tvertņu un lietoto slēgto starojuma avotu ilgtermiņa glabātavas izbūvei radioaktīvo atkritumu glabātavā </w:t>
      </w:r>
      <w:r w:rsidRPr="00117DF8">
        <w:rPr>
          <w:sz w:val="28"/>
          <w:szCs w:val="28"/>
        </w:rPr>
        <w:t>“</w:t>
      </w:r>
      <w:r w:rsidRPr="003E7F85">
        <w:rPr>
          <w:sz w:val="28"/>
          <w:szCs w:val="28"/>
        </w:rPr>
        <w:t>Radons”</w:t>
      </w:r>
      <w:r>
        <w:rPr>
          <w:rStyle w:val="FootnoteReference"/>
          <w:sz w:val="28"/>
          <w:szCs w:val="28"/>
        </w:rPr>
        <w:footnoteReference w:id="2"/>
      </w:r>
      <w:r w:rsidRPr="003E7F85">
        <w:rPr>
          <w:sz w:val="28"/>
          <w:szCs w:val="28"/>
        </w:rPr>
        <w:t xml:space="preserve">. Ietekmes uz vidi novērtējuma noslēguma ziņojumā secināts, ka negatīva ietekme </w:t>
      </w:r>
      <w:r>
        <w:rPr>
          <w:sz w:val="28"/>
          <w:szCs w:val="28"/>
        </w:rPr>
        <w:t xml:space="preserve">uz vidi </w:t>
      </w:r>
      <w:r w:rsidRPr="003E7F85">
        <w:rPr>
          <w:sz w:val="28"/>
          <w:szCs w:val="28"/>
        </w:rPr>
        <w:t xml:space="preserve">nav </w:t>
      </w:r>
      <w:r>
        <w:rPr>
          <w:sz w:val="28"/>
          <w:szCs w:val="28"/>
        </w:rPr>
        <w:t>sagaidāma</w:t>
      </w:r>
      <w:r w:rsidRPr="003E7F85">
        <w:rPr>
          <w:sz w:val="28"/>
          <w:szCs w:val="28"/>
        </w:rPr>
        <w:t>.</w:t>
      </w:r>
      <w:r>
        <w:rPr>
          <w:sz w:val="28"/>
          <w:szCs w:val="28"/>
        </w:rPr>
        <w:t xml:space="preserve"> Ietekmes uz vidi novērtējuma rezultāti tika apstiprināti ar </w:t>
      </w:r>
      <w:r w:rsidRPr="00DE7178">
        <w:rPr>
          <w:sz w:val="28"/>
          <w:szCs w:val="28"/>
        </w:rPr>
        <w:t>Ministru kabineta 2008. gada 3. decembra rīkojumu Nr. 769 “Par</w:t>
      </w:r>
      <w:r w:rsidRPr="00935642">
        <w:rPr>
          <w:sz w:val="28"/>
          <w:szCs w:val="28"/>
        </w:rPr>
        <w:t xml:space="preserve"> divu jaunu radioaktīvo atkritumu tvertņu un lietoto slēgto starojuma avotu ilgtermiņa glabātavas izbūves r</w:t>
      </w:r>
      <w:r>
        <w:rPr>
          <w:sz w:val="28"/>
          <w:szCs w:val="28"/>
        </w:rPr>
        <w:t>adioaktīvo atkritumu glabātavā “Radons”</w:t>
      </w:r>
      <w:r w:rsidRPr="00935642">
        <w:rPr>
          <w:sz w:val="28"/>
          <w:szCs w:val="28"/>
        </w:rPr>
        <w:t xml:space="preserve"> akceptēšanu</w:t>
      </w:r>
      <w:r>
        <w:rPr>
          <w:sz w:val="28"/>
          <w:szCs w:val="28"/>
        </w:rPr>
        <w:t>”.</w:t>
      </w:r>
    </w:p>
    <w:p w:rsidR="007716A8" w:rsidRPr="00DE7178" w:rsidRDefault="007716A8" w:rsidP="007716A8">
      <w:pPr>
        <w:spacing w:after="120"/>
        <w:ind w:firstLine="600"/>
        <w:jc w:val="center"/>
        <w:rPr>
          <w:b/>
          <w:sz w:val="28"/>
          <w:szCs w:val="28"/>
        </w:rPr>
      </w:pPr>
      <w:r>
        <w:rPr>
          <w:b/>
          <w:sz w:val="28"/>
          <w:szCs w:val="28"/>
        </w:rPr>
        <w:t>1.2. </w:t>
      </w:r>
      <w:r w:rsidRPr="00DE7178">
        <w:rPr>
          <w:b/>
          <w:sz w:val="28"/>
          <w:szCs w:val="28"/>
        </w:rPr>
        <w:t>Salaspils kodolreaktora likvidēšana</w:t>
      </w:r>
    </w:p>
    <w:p w:rsidR="007716A8" w:rsidRDefault="007716A8" w:rsidP="007716A8">
      <w:pPr>
        <w:spacing w:after="120"/>
        <w:ind w:firstLine="709"/>
        <w:jc w:val="both"/>
        <w:rPr>
          <w:sz w:val="28"/>
          <w:szCs w:val="28"/>
        </w:rPr>
      </w:pPr>
      <w:r w:rsidRPr="003838B0">
        <w:rPr>
          <w:sz w:val="28"/>
          <w:szCs w:val="28"/>
        </w:rPr>
        <w:t>Salaspils kodolreaktoru apsaimnieko LVĢMC</w:t>
      </w:r>
      <w:r>
        <w:rPr>
          <w:sz w:val="28"/>
          <w:szCs w:val="28"/>
        </w:rPr>
        <w:t xml:space="preserve">, </w:t>
      </w:r>
      <w:r w:rsidRPr="003838B0">
        <w:rPr>
          <w:sz w:val="28"/>
          <w:szCs w:val="28"/>
        </w:rPr>
        <w:t>nodrošinot tā uzturēšanu un apsaimniekošanu saskaņā ar normatīvo aktu prasībām.</w:t>
      </w:r>
      <w:r>
        <w:rPr>
          <w:sz w:val="28"/>
          <w:szCs w:val="28"/>
        </w:rPr>
        <w:t xml:space="preserve"> </w:t>
      </w:r>
    </w:p>
    <w:p w:rsidR="007716A8" w:rsidRDefault="007716A8" w:rsidP="007716A8">
      <w:pPr>
        <w:spacing w:after="120"/>
        <w:ind w:firstLine="709"/>
        <w:jc w:val="both"/>
        <w:rPr>
          <w:sz w:val="28"/>
          <w:szCs w:val="28"/>
        </w:rPr>
      </w:pPr>
      <w:r w:rsidRPr="008F69D5">
        <w:rPr>
          <w:sz w:val="28"/>
          <w:szCs w:val="28"/>
        </w:rPr>
        <w:t>Paralēli reaktora likvidēšanas jautājumiem 2011.-201</w:t>
      </w:r>
      <w:r>
        <w:rPr>
          <w:sz w:val="28"/>
          <w:szCs w:val="28"/>
        </w:rPr>
        <w:t>4</w:t>
      </w:r>
      <w:r w:rsidRPr="008F69D5">
        <w:rPr>
          <w:sz w:val="28"/>
          <w:szCs w:val="28"/>
        </w:rPr>
        <w:t>.gadā risināts jautājums par reaktora izslēgšanu no</w:t>
      </w:r>
      <w:r>
        <w:rPr>
          <w:sz w:val="28"/>
          <w:szCs w:val="28"/>
        </w:rPr>
        <w:t xml:space="preserve"> LVĢMC pamatkapitāla</w:t>
      </w:r>
      <w:r w:rsidRPr="008F69D5">
        <w:rPr>
          <w:sz w:val="28"/>
          <w:szCs w:val="28"/>
        </w:rPr>
        <w:t xml:space="preserve"> un nodošanu Latvijas Universitātei (turpmāk – LU)</w:t>
      </w:r>
      <w:r>
        <w:rPr>
          <w:rStyle w:val="FootnoteReference"/>
          <w:sz w:val="28"/>
          <w:szCs w:val="28"/>
        </w:rPr>
        <w:footnoteReference w:id="3"/>
      </w:r>
      <w:r w:rsidRPr="008F69D5">
        <w:rPr>
          <w:sz w:val="28"/>
          <w:szCs w:val="28"/>
        </w:rPr>
        <w:t xml:space="preserve">, ievērojot, ka </w:t>
      </w:r>
      <w:r w:rsidRPr="00DE6A24">
        <w:rPr>
          <w:sz w:val="28"/>
          <w:szCs w:val="28"/>
        </w:rPr>
        <w:t>LU plāno</w:t>
      </w:r>
      <w:r>
        <w:rPr>
          <w:sz w:val="28"/>
          <w:szCs w:val="28"/>
        </w:rPr>
        <w:t>ja</w:t>
      </w:r>
      <w:r w:rsidRPr="008F69D5">
        <w:rPr>
          <w:sz w:val="28"/>
          <w:szCs w:val="28"/>
        </w:rPr>
        <w:t xml:space="preserve"> reaktora teritorijā izvietot </w:t>
      </w:r>
      <w:proofErr w:type="spellStart"/>
      <w:r w:rsidRPr="008F69D5">
        <w:rPr>
          <w:sz w:val="28"/>
          <w:szCs w:val="28"/>
        </w:rPr>
        <w:t>ciklotrona</w:t>
      </w:r>
      <w:proofErr w:type="spellEnd"/>
      <w:r w:rsidRPr="008F69D5">
        <w:rPr>
          <w:sz w:val="28"/>
          <w:szCs w:val="28"/>
        </w:rPr>
        <w:t xml:space="preserve"> </w:t>
      </w:r>
      <w:r w:rsidRPr="009D0F59">
        <w:rPr>
          <w:sz w:val="28"/>
          <w:szCs w:val="28"/>
        </w:rPr>
        <w:t>centru, kurš tiktu izmantots gan zinātniskiem mērķiem, gan medicīnā</w:t>
      </w:r>
      <w:r>
        <w:rPr>
          <w:sz w:val="28"/>
          <w:szCs w:val="28"/>
        </w:rPr>
        <w:t>. Attiecīgi reaktora apsaimniekošanu kopš 2011. gada 25.</w:t>
      </w:r>
      <w:r w:rsidRPr="001867A6">
        <w:rPr>
          <w:sz w:val="28"/>
          <w:szCs w:val="28"/>
        </w:rPr>
        <w:t>novembra līdz 2015.gada 1.aprīlim nodrošināja LU.</w:t>
      </w:r>
    </w:p>
    <w:p w:rsidR="007716A8" w:rsidRPr="003838B0" w:rsidRDefault="007716A8" w:rsidP="007716A8">
      <w:pPr>
        <w:spacing w:after="120"/>
        <w:ind w:firstLine="600"/>
        <w:jc w:val="both"/>
        <w:rPr>
          <w:sz w:val="28"/>
          <w:szCs w:val="28"/>
        </w:rPr>
      </w:pPr>
      <w:r w:rsidRPr="003838B0">
        <w:rPr>
          <w:sz w:val="28"/>
          <w:szCs w:val="28"/>
        </w:rPr>
        <w:t>Saskaņā ar Ministru kabineta 2004. gada 30. novembra rīkojumu Nr. 958 “Par Salaspils kodolreaktora likvidēšanas un demontāžas koncepciju”</w:t>
      </w:r>
      <w:r>
        <w:rPr>
          <w:sz w:val="28"/>
          <w:szCs w:val="28"/>
        </w:rPr>
        <w:t xml:space="preserve"> (turpmāk – koncepcija)</w:t>
      </w:r>
      <w:r w:rsidRPr="003838B0">
        <w:rPr>
          <w:sz w:val="28"/>
          <w:szCs w:val="28"/>
        </w:rPr>
        <w:t xml:space="preserve"> ir veikta daļēja reaktora un tā </w:t>
      </w:r>
      <w:proofErr w:type="spellStart"/>
      <w:r w:rsidRPr="003838B0">
        <w:rPr>
          <w:sz w:val="28"/>
          <w:szCs w:val="28"/>
        </w:rPr>
        <w:t>palīgiekārtu</w:t>
      </w:r>
      <w:proofErr w:type="spellEnd"/>
      <w:r w:rsidRPr="003838B0">
        <w:rPr>
          <w:sz w:val="28"/>
          <w:szCs w:val="28"/>
        </w:rPr>
        <w:t xml:space="preserve"> likvidācija un šo darbu rezultātā iegūto radioaktīvo atkritumu apsaimniekošanas darbības, tajā skaitā to apglabāšana radioaktīvo atkritumu glabātavā “Radons”.</w:t>
      </w:r>
    </w:p>
    <w:p w:rsidR="007716A8" w:rsidRDefault="007716A8" w:rsidP="007716A8">
      <w:pPr>
        <w:ind w:firstLine="601"/>
        <w:jc w:val="both"/>
        <w:rPr>
          <w:sz w:val="28"/>
          <w:szCs w:val="28"/>
        </w:rPr>
      </w:pPr>
      <w:r w:rsidRPr="003838B0">
        <w:rPr>
          <w:sz w:val="28"/>
          <w:szCs w:val="28"/>
        </w:rPr>
        <w:lastRenderedPageBreak/>
        <w:t xml:space="preserve">Līdz šim brīdim Salaspils kodolreaktora un tā </w:t>
      </w:r>
      <w:proofErr w:type="spellStart"/>
      <w:r w:rsidRPr="003838B0">
        <w:rPr>
          <w:sz w:val="28"/>
          <w:szCs w:val="28"/>
        </w:rPr>
        <w:t>palīgiekārtu</w:t>
      </w:r>
      <w:proofErr w:type="spellEnd"/>
      <w:r w:rsidRPr="003838B0">
        <w:rPr>
          <w:sz w:val="28"/>
          <w:szCs w:val="28"/>
        </w:rPr>
        <w:t xml:space="preserve"> likvidācijas procesā ir</w:t>
      </w:r>
      <w:r>
        <w:rPr>
          <w:sz w:val="28"/>
          <w:szCs w:val="28"/>
        </w:rPr>
        <w:t xml:space="preserve"> </w:t>
      </w:r>
      <w:r w:rsidRPr="003838B0">
        <w:rPr>
          <w:sz w:val="28"/>
          <w:szCs w:val="28"/>
        </w:rPr>
        <w:t>demontēt</w:t>
      </w:r>
      <w:r>
        <w:rPr>
          <w:sz w:val="28"/>
          <w:szCs w:val="28"/>
        </w:rPr>
        <w:t xml:space="preserve">i </w:t>
      </w:r>
      <w:r w:rsidRPr="003838B0">
        <w:rPr>
          <w:sz w:val="28"/>
          <w:szCs w:val="28"/>
        </w:rPr>
        <w:t>dzesēšanas kontūr</w:t>
      </w:r>
      <w:r>
        <w:rPr>
          <w:sz w:val="28"/>
          <w:szCs w:val="28"/>
        </w:rPr>
        <w:t xml:space="preserve">i, </w:t>
      </w:r>
      <w:r w:rsidRPr="003838B0">
        <w:rPr>
          <w:sz w:val="28"/>
          <w:szCs w:val="28"/>
        </w:rPr>
        <w:t>demontētas reaktora vadības un aizsardzības sistēmas un jonizācijas kameras</w:t>
      </w:r>
      <w:r>
        <w:rPr>
          <w:sz w:val="28"/>
          <w:szCs w:val="28"/>
        </w:rPr>
        <w:t xml:space="preserve">, </w:t>
      </w:r>
      <w:r w:rsidRPr="003838B0">
        <w:rPr>
          <w:sz w:val="28"/>
          <w:szCs w:val="28"/>
        </w:rPr>
        <w:t>demontēti vertikālie eksperimentālie kanāli</w:t>
      </w:r>
      <w:r>
        <w:rPr>
          <w:sz w:val="28"/>
          <w:szCs w:val="28"/>
        </w:rPr>
        <w:t xml:space="preserve">, </w:t>
      </w:r>
      <w:r w:rsidRPr="003838B0">
        <w:rPr>
          <w:sz w:val="28"/>
          <w:szCs w:val="28"/>
        </w:rPr>
        <w:t>demontēta horizontālo eksperimentālo kanālu bioloģiskā aizsardzība;</w:t>
      </w:r>
      <w:r>
        <w:rPr>
          <w:sz w:val="28"/>
          <w:szCs w:val="28"/>
        </w:rPr>
        <w:t xml:space="preserve"> </w:t>
      </w:r>
      <w:r w:rsidRPr="003838B0">
        <w:rPr>
          <w:sz w:val="28"/>
          <w:szCs w:val="28"/>
        </w:rPr>
        <w:t>demontētas zinātniski eksperimentālās iekārtas un to bioloģiskā aizsardzība</w:t>
      </w:r>
      <w:r>
        <w:rPr>
          <w:sz w:val="28"/>
          <w:szCs w:val="28"/>
        </w:rPr>
        <w:t xml:space="preserve">, </w:t>
      </w:r>
      <w:r w:rsidRPr="003838B0">
        <w:rPr>
          <w:sz w:val="28"/>
          <w:szCs w:val="28"/>
        </w:rPr>
        <w:t xml:space="preserve">izvesta </w:t>
      </w:r>
      <w:r>
        <w:rPr>
          <w:sz w:val="28"/>
          <w:szCs w:val="28"/>
        </w:rPr>
        <w:t xml:space="preserve">lietotā un svaigā kodoldegviela, kā arī </w:t>
      </w:r>
      <w:r w:rsidRPr="003838B0">
        <w:rPr>
          <w:sz w:val="28"/>
          <w:szCs w:val="28"/>
        </w:rPr>
        <w:t>pilnībā</w:t>
      </w:r>
      <w:r>
        <w:rPr>
          <w:sz w:val="28"/>
          <w:szCs w:val="28"/>
        </w:rPr>
        <w:t xml:space="preserve"> </w:t>
      </w:r>
      <w:r w:rsidRPr="003838B0">
        <w:rPr>
          <w:sz w:val="28"/>
          <w:szCs w:val="28"/>
        </w:rPr>
        <w:t xml:space="preserve">demontēts </w:t>
      </w:r>
      <w:r>
        <w:rPr>
          <w:sz w:val="28"/>
          <w:szCs w:val="28"/>
        </w:rPr>
        <w:t>Rīgas kritiskais stends.</w:t>
      </w:r>
    </w:p>
    <w:p w:rsidR="007716A8" w:rsidRPr="00385847" w:rsidRDefault="007716A8" w:rsidP="007716A8">
      <w:pPr>
        <w:ind w:firstLine="601"/>
        <w:jc w:val="both"/>
        <w:rPr>
          <w:sz w:val="28"/>
          <w:szCs w:val="28"/>
        </w:rPr>
      </w:pPr>
      <w:r>
        <w:rPr>
          <w:sz w:val="28"/>
          <w:szCs w:val="28"/>
        </w:rPr>
        <w:t>Ņemot vērā, ka k</w:t>
      </w:r>
      <w:r w:rsidRPr="00B211B5">
        <w:rPr>
          <w:sz w:val="28"/>
          <w:szCs w:val="28"/>
        </w:rPr>
        <w:t>opš 201</w:t>
      </w:r>
      <w:r>
        <w:rPr>
          <w:sz w:val="28"/>
          <w:szCs w:val="28"/>
        </w:rPr>
        <w:t>5</w:t>
      </w:r>
      <w:r w:rsidRPr="00B211B5">
        <w:rPr>
          <w:sz w:val="28"/>
          <w:szCs w:val="28"/>
        </w:rPr>
        <w:t>.</w:t>
      </w:r>
      <w:r>
        <w:rPr>
          <w:sz w:val="28"/>
          <w:szCs w:val="28"/>
        </w:rPr>
        <w:t> gada 1.aprīļa Salaspils kodolreaktora apsaimniekošanu nodrošina LVĢMC, ik gadu kodolreaktora uzturēšanas darbiem no valsts budžeta līdz 2018.gadam bija paredzēts finansējums 150 000 </w:t>
      </w:r>
      <w:proofErr w:type="spellStart"/>
      <w:r w:rsidRPr="00E219B5">
        <w:rPr>
          <w:i/>
          <w:sz w:val="28"/>
          <w:szCs w:val="28"/>
        </w:rPr>
        <w:t>euro</w:t>
      </w:r>
      <w:proofErr w:type="spellEnd"/>
      <w:r>
        <w:rPr>
          <w:sz w:val="28"/>
          <w:szCs w:val="28"/>
        </w:rPr>
        <w:t xml:space="preserve"> apmērā. Lai arī pēc 2018.gada nodrošinātu Salaspils kodolreaktora drošu uzturēšanu, nepieciešams arī turpmāk paredzēt finansējumu 150 000 </w:t>
      </w:r>
      <w:proofErr w:type="spellStart"/>
      <w:r w:rsidRPr="00E219B5">
        <w:rPr>
          <w:i/>
          <w:sz w:val="28"/>
          <w:szCs w:val="28"/>
        </w:rPr>
        <w:t>euro</w:t>
      </w:r>
      <w:proofErr w:type="spellEnd"/>
      <w:r>
        <w:rPr>
          <w:i/>
          <w:sz w:val="28"/>
          <w:szCs w:val="28"/>
        </w:rPr>
        <w:t xml:space="preserve"> </w:t>
      </w:r>
      <w:r w:rsidRPr="000D7A9C">
        <w:rPr>
          <w:sz w:val="28"/>
          <w:szCs w:val="28"/>
        </w:rPr>
        <w:t>apmērā ik gadu, līdz demontāžas pasākumu veikšanai.</w:t>
      </w:r>
    </w:p>
    <w:p w:rsidR="007716A8" w:rsidRDefault="007716A8" w:rsidP="007716A8">
      <w:pPr>
        <w:spacing w:after="120"/>
        <w:ind w:firstLine="600"/>
        <w:jc w:val="both"/>
        <w:rPr>
          <w:sz w:val="28"/>
          <w:szCs w:val="28"/>
        </w:rPr>
      </w:pPr>
      <w:r>
        <w:rPr>
          <w:sz w:val="28"/>
          <w:szCs w:val="28"/>
        </w:rPr>
        <w:t xml:space="preserve">Informācija par reaktora likvidēšanai nepieciešamajām izmaksām tika iekļauta koncepcijā. 2013. gadā LU veica </w:t>
      </w:r>
      <w:proofErr w:type="spellStart"/>
      <w:r>
        <w:rPr>
          <w:sz w:val="28"/>
          <w:szCs w:val="28"/>
        </w:rPr>
        <w:t>izvērtējumu</w:t>
      </w:r>
      <w:proofErr w:type="spellEnd"/>
      <w:r>
        <w:rPr>
          <w:sz w:val="28"/>
          <w:szCs w:val="28"/>
        </w:rPr>
        <w:t xml:space="preserve"> par to, cik varētu izmaksāt kodolreaktora likvidēšana un kādā veidā varētu tikt samazinātas likvidēšanas izmaksas, optimizējot darbus, lai pēc iespējas racionālāk varētu izmantot esošo infrastruktūru </w:t>
      </w:r>
      <w:proofErr w:type="spellStart"/>
      <w:r>
        <w:rPr>
          <w:sz w:val="28"/>
          <w:szCs w:val="28"/>
        </w:rPr>
        <w:t>ciklotrona</w:t>
      </w:r>
      <w:proofErr w:type="spellEnd"/>
      <w:r>
        <w:rPr>
          <w:sz w:val="28"/>
          <w:szCs w:val="28"/>
        </w:rPr>
        <w:t xml:space="preserve"> </w:t>
      </w:r>
      <w:r w:rsidRPr="00D50792">
        <w:rPr>
          <w:sz w:val="28"/>
          <w:szCs w:val="28"/>
        </w:rPr>
        <w:t xml:space="preserve">izveidošanai reaktora teritorijā. </w:t>
      </w:r>
      <w:proofErr w:type="spellStart"/>
      <w:r w:rsidRPr="00D50792">
        <w:rPr>
          <w:sz w:val="28"/>
          <w:szCs w:val="28"/>
        </w:rPr>
        <w:t>Izvērtējuma</w:t>
      </w:r>
      <w:proofErr w:type="spellEnd"/>
      <w:r w:rsidRPr="00D50792">
        <w:rPr>
          <w:sz w:val="28"/>
          <w:szCs w:val="28"/>
        </w:rPr>
        <w:t xml:space="preserve"> rezultātā </w:t>
      </w:r>
      <w:r>
        <w:rPr>
          <w:sz w:val="28"/>
          <w:szCs w:val="28"/>
        </w:rPr>
        <w:t xml:space="preserve">tika </w:t>
      </w:r>
      <w:r w:rsidRPr="00D50792">
        <w:rPr>
          <w:sz w:val="28"/>
          <w:szCs w:val="28"/>
        </w:rPr>
        <w:t xml:space="preserve">secināts, ka reaktora likvidēšanas indikatīvās izmaksas varētu būt </w:t>
      </w:r>
      <w:r>
        <w:rPr>
          <w:sz w:val="28"/>
          <w:szCs w:val="28"/>
        </w:rPr>
        <w:t>ap</w:t>
      </w:r>
      <w:r w:rsidRPr="004327F8">
        <w:rPr>
          <w:sz w:val="28"/>
          <w:szCs w:val="28"/>
        </w:rPr>
        <w:t xml:space="preserve"> </w:t>
      </w:r>
      <w:r w:rsidRPr="004327F8">
        <w:rPr>
          <w:bCs/>
          <w:sz w:val="28"/>
          <w:szCs w:val="28"/>
        </w:rPr>
        <w:t>5,449</w:t>
      </w:r>
      <w:r>
        <w:rPr>
          <w:sz w:val="28"/>
          <w:szCs w:val="28"/>
        </w:rPr>
        <w:t> miljoni </w:t>
      </w:r>
      <w:proofErr w:type="spellStart"/>
      <w:r w:rsidRPr="00B150E3">
        <w:rPr>
          <w:i/>
          <w:sz w:val="28"/>
          <w:szCs w:val="28"/>
        </w:rPr>
        <w:t>euro</w:t>
      </w:r>
      <w:proofErr w:type="spellEnd"/>
      <w:r>
        <w:rPr>
          <w:i/>
          <w:sz w:val="28"/>
          <w:szCs w:val="28"/>
        </w:rPr>
        <w:t>,</w:t>
      </w:r>
      <w:r w:rsidRPr="00D50792">
        <w:rPr>
          <w:sz w:val="28"/>
          <w:szCs w:val="28"/>
        </w:rPr>
        <w:t xml:space="preserve"> un darbi veicami četru gadu laikā</w:t>
      </w:r>
      <w:r>
        <w:rPr>
          <w:sz w:val="28"/>
          <w:szCs w:val="28"/>
        </w:rPr>
        <w:t>.</w:t>
      </w:r>
    </w:p>
    <w:p w:rsidR="007716A8" w:rsidRDefault="007716A8" w:rsidP="007716A8">
      <w:pPr>
        <w:spacing w:after="120"/>
        <w:ind w:firstLine="600"/>
        <w:jc w:val="both"/>
        <w:rPr>
          <w:sz w:val="28"/>
          <w:szCs w:val="28"/>
        </w:rPr>
      </w:pPr>
      <w:r>
        <w:rPr>
          <w:sz w:val="28"/>
          <w:szCs w:val="28"/>
        </w:rPr>
        <w:t>Balstoties uz pieejamajiem aprēķiniem,</w:t>
      </w:r>
      <w:r w:rsidRPr="00117DF8">
        <w:rPr>
          <w:sz w:val="28"/>
          <w:szCs w:val="28"/>
        </w:rPr>
        <w:t xml:space="preserve"> </w:t>
      </w:r>
      <w:r>
        <w:rPr>
          <w:sz w:val="28"/>
          <w:szCs w:val="28"/>
        </w:rPr>
        <w:t>VARAM 2014. gadā</w:t>
      </w:r>
      <w:r w:rsidRPr="00117DF8">
        <w:rPr>
          <w:sz w:val="28"/>
          <w:szCs w:val="28"/>
        </w:rPr>
        <w:t xml:space="preserve"> </w:t>
      </w:r>
      <w:r>
        <w:rPr>
          <w:sz w:val="28"/>
          <w:szCs w:val="28"/>
        </w:rPr>
        <w:t>pieprasīja, un Ministru kabinets apstiprināja</w:t>
      </w:r>
      <w:r w:rsidRPr="00117DF8">
        <w:rPr>
          <w:sz w:val="28"/>
          <w:szCs w:val="28"/>
        </w:rPr>
        <w:t xml:space="preserve"> </w:t>
      </w:r>
      <w:r>
        <w:rPr>
          <w:sz w:val="28"/>
          <w:szCs w:val="28"/>
        </w:rPr>
        <w:t>finansējumu 2015.-2018. </w:t>
      </w:r>
      <w:r w:rsidRPr="00117DF8">
        <w:rPr>
          <w:sz w:val="28"/>
          <w:szCs w:val="28"/>
        </w:rPr>
        <w:t>gadā radioaktīvo atkritumu pārvaldības sistēmas u</w:t>
      </w:r>
      <w:r>
        <w:rPr>
          <w:sz w:val="28"/>
          <w:szCs w:val="28"/>
        </w:rPr>
        <w:t>zlabošanai. R</w:t>
      </w:r>
      <w:r w:rsidRPr="002459D5">
        <w:rPr>
          <w:sz w:val="28"/>
          <w:szCs w:val="28"/>
        </w:rPr>
        <w:t xml:space="preserve">adioaktīvo </w:t>
      </w:r>
      <w:r w:rsidRPr="00DB3765">
        <w:rPr>
          <w:sz w:val="28"/>
          <w:szCs w:val="28"/>
        </w:rPr>
        <w:t>atkritumu tvertnes un ilgtermiņa glabātavas būvprojekta izstrādei un būvniecībai ar Ministru kabineta lēmum</w:t>
      </w:r>
      <w:r>
        <w:rPr>
          <w:sz w:val="28"/>
          <w:szCs w:val="28"/>
        </w:rPr>
        <w:t>u</w:t>
      </w:r>
      <w:r w:rsidRPr="00DB3765">
        <w:t xml:space="preserve"> </w:t>
      </w:r>
      <w:r w:rsidRPr="00DB3765">
        <w:rPr>
          <w:sz w:val="28"/>
          <w:szCs w:val="28"/>
        </w:rPr>
        <w:t>tika atbalstīts valsts budžeta finansējums 2 074 098 </w:t>
      </w:r>
      <w:proofErr w:type="spellStart"/>
      <w:r w:rsidRPr="00DB3765">
        <w:rPr>
          <w:i/>
          <w:sz w:val="28"/>
          <w:szCs w:val="28"/>
        </w:rPr>
        <w:t>euro</w:t>
      </w:r>
      <w:proofErr w:type="spellEnd"/>
      <w:r w:rsidRPr="00DB3765">
        <w:rPr>
          <w:sz w:val="28"/>
          <w:szCs w:val="28"/>
        </w:rPr>
        <w:t xml:space="preserve"> apmērā.</w:t>
      </w:r>
      <w:r>
        <w:rPr>
          <w:sz w:val="28"/>
          <w:szCs w:val="28"/>
        </w:rPr>
        <w:t xml:space="preserve"> Savukārt Salaspils kodolreaktora likvidēšanai tika atbalstīts valsts budžeta finansējums 5 659 000 </w:t>
      </w:r>
      <w:proofErr w:type="spellStart"/>
      <w:r w:rsidRPr="00734000">
        <w:rPr>
          <w:i/>
          <w:sz w:val="28"/>
          <w:szCs w:val="28"/>
        </w:rPr>
        <w:t>euro</w:t>
      </w:r>
      <w:proofErr w:type="spellEnd"/>
      <w:r>
        <w:rPr>
          <w:sz w:val="28"/>
          <w:szCs w:val="28"/>
        </w:rPr>
        <w:t xml:space="preserve"> apmērā. </w:t>
      </w:r>
      <w:r w:rsidRPr="00DB3765">
        <w:rPr>
          <w:sz w:val="28"/>
          <w:szCs w:val="28"/>
        </w:rPr>
        <w:t>(</w:t>
      </w:r>
      <w:r>
        <w:rPr>
          <w:sz w:val="28"/>
          <w:szCs w:val="28"/>
        </w:rPr>
        <w:t>skat. 2. nodaļu</w:t>
      </w:r>
      <w:r w:rsidRPr="00DB3765">
        <w:rPr>
          <w:sz w:val="28"/>
          <w:szCs w:val="28"/>
        </w:rPr>
        <w:t>)</w:t>
      </w:r>
      <w:r>
        <w:rPr>
          <w:sz w:val="28"/>
          <w:szCs w:val="28"/>
        </w:rPr>
        <w:t>.</w:t>
      </w:r>
    </w:p>
    <w:p w:rsidR="007716A8" w:rsidRDefault="007716A8" w:rsidP="007716A8">
      <w:pPr>
        <w:spacing w:after="120"/>
        <w:ind w:firstLine="600"/>
        <w:jc w:val="both"/>
        <w:rPr>
          <w:sz w:val="28"/>
          <w:szCs w:val="28"/>
        </w:rPr>
      </w:pPr>
    </w:p>
    <w:p w:rsidR="007716A8" w:rsidRPr="00FC3FCA" w:rsidRDefault="007716A8" w:rsidP="007716A8">
      <w:pPr>
        <w:tabs>
          <w:tab w:val="left" w:pos="12474"/>
        </w:tabs>
        <w:spacing w:after="120"/>
        <w:jc w:val="center"/>
        <w:rPr>
          <w:b/>
          <w:sz w:val="28"/>
          <w:szCs w:val="28"/>
        </w:rPr>
      </w:pPr>
      <w:r>
        <w:rPr>
          <w:b/>
          <w:sz w:val="28"/>
          <w:szCs w:val="28"/>
        </w:rPr>
        <w:t>2. Atbalstītais</w:t>
      </w:r>
      <w:r w:rsidRPr="00E017AF">
        <w:rPr>
          <w:b/>
          <w:sz w:val="28"/>
          <w:szCs w:val="28"/>
        </w:rPr>
        <w:t xml:space="preserve"> valsts budžeta finansējums </w:t>
      </w:r>
      <w:r>
        <w:rPr>
          <w:b/>
          <w:sz w:val="28"/>
          <w:szCs w:val="28"/>
        </w:rPr>
        <w:t>2015.-2020. </w:t>
      </w:r>
      <w:r w:rsidRPr="00E017AF">
        <w:rPr>
          <w:b/>
          <w:sz w:val="28"/>
          <w:szCs w:val="28"/>
        </w:rPr>
        <w:t>gadam radioaktīvo atkritumu pārvaldības sistēmas uzlabošanai</w:t>
      </w:r>
    </w:p>
    <w:p w:rsidR="007716A8" w:rsidRPr="00450EE1" w:rsidRDefault="007716A8" w:rsidP="007716A8">
      <w:pPr>
        <w:spacing w:after="120"/>
        <w:ind w:firstLine="600"/>
        <w:jc w:val="both"/>
        <w:rPr>
          <w:sz w:val="28"/>
          <w:szCs w:val="28"/>
        </w:rPr>
      </w:pPr>
      <w:r w:rsidRPr="00450EE1">
        <w:rPr>
          <w:sz w:val="28"/>
          <w:szCs w:val="28"/>
        </w:rPr>
        <w:t>Radioaktīvo atkritumu pārvaldības programmā tiek sniegta informācija par atbalstīto valsts budžeta finansējumu nepieciešamajiem pasākumiem. Finansējums radioaktīvo atkritumu pārvaldības s</w:t>
      </w:r>
      <w:r>
        <w:rPr>
          <w:sz w:val="28"/>
          <w:szCs w:val="28"/>
        </w:rPr>
        <w:t>istēmas uzlabošanai 2015.-2020. </w:t>
      </w:r>
      <w:r w:rsidRPr="00450EE1">
        <w:rPr>
          <w:sz w:val="28"/>
          <w:szCs w:val="28"/>
        </w:rPr>
        <w:t>gadā piešķirts ar:</w:t>
      </w:r>
    </w:p>
    <w:p w:rsidR="007716A8" w:rsidRPr="00450EE1" w:rsidRDefault="007716A8" w:rsidP="007716A8">
      <w:pPr>
        <w:numPr>
          <w:ilvl w:val="0"/>
          <w:numId w:val="19"/>
        </w:numPr>
        <w:spacing w:after="120"/>
        <w:jc w:val="both"/>
        <w:rPr>
          <w:sz w:val="28"/>
          <w:szCs w:val="28"/>
        </w:rPr>
      </w:pPr>
      <w:r>
        <w:rPr>
          <w:sz w:val="28"/>
          <w:szCs w:val="28"/>
        </w:rPr>
        <w:t>Ministru kabineta 2014. </w:t>
      </w:r>
      <w:r w:rsidRPr="00450EE1">
        <w:rPr>
          <w:sz w:val="28"/>
          <w:szCs w:val="28"/>
        </w:rPr>
        <w:t>gada 1</w:t>
      </w:r>
      <w:r>
        <w:rPr>
          <w:sz w:val="28"/>
          <w:szCs w:val="28"/>
        </w:rPr>
        <w:t>2. novembra sēdes protokola Nr. </w:t>
      </w:r>
      <w:r w:rsidRPr="00450EE1">
        <w:rPr>
          <w:sz w:val="28"/>
          <w:szCs w:val="28"/>
        </w:rPr>
        <w:t>62 2.§ “Informatīvais ziņojums “Papildu finansējuma novirzīšana ministriju un citu centrālo valsts iestāžu jaunajām po</w:t>
      </w:r>
      <w:r>
        <w:rPr>
          <w:sz w:val="28"/>
          <w:szCs w:val="28"/>
        </w:rPr>
        <w:t>litikas iniciatīvām 2015.-2017. </w:t>
      </w:r>
      <w:r w:rsidRPr="00450EE1">
        <w:rPr>
          <w:sz w:val="28"/>
          <w:szCs w:val="28"/>
        </w:rPr>
        <w:t>gadam”” 2. punkt</w:t>
      </w:r>
      <w:r>
        <w:rPr>
          <w:sz w:val="28"/>
          <w:szCs w:val="28"/>
        </w:rPr>
        <w:t>u</w:t>
      </w:r>
      <w:r w:rsidRPr="00450EE1">
        <w:rPr>
          <w:sz w:val="28"/>
          <w:szCs w:val="28"/>
        </w:rPr>
        <w:t>;</w:t>
      </w:r>
    </w:p>
    <w:p w:rsidR="007716A8" w:rsidRPr="00450EE1" w:rsidRDefault="007716A8" w:rsidP="007716A8">
      <w:pPr>
        <w:numPr>
          <w:ilvl w:val="0"/>
          <w:numId w:val="19"/>
        </w:numPr>
        <w:spacing w:after="120"/>
        <w:jc w:val="both"/>
        <w:rPr>
          <w:sz w:val="28"/>
          <w:szCs w:val="28"/>
        </w:rPr>
      </w:pPr>
      <w:r w:rsidRPr="00450EE1">
        <w:rPr>
          <w:sz w:val="28"/>
          <w:szCs w:val="28"/>
        </w:rPr>
        <w:t>Finanšu ministrijas 2014. gada 5. decembra rīkojum</w:t>
      </w:r>
      <w:r>
        <w:rPr>
          <w:sz w:val="28"/>
          <w:szCs w:val="28"/>
        </w:rPr>
        <w:t>a</w:t>
      </w:r>
      <w:r w:rsidRPr="00450EE1">
        <w:rPr>
          <w:sz w:val="28"/>
          <w:szCs w:val="28"/>
        </w:rPr>
        <w:t xml:space="preserve"> Nr. 678 “Par pamatbudžeta apropriācijas pārdali starp programmām, apakšprogrammām un budžeta izdevumu kodiem atbilstoši ekonomiskajām kategorijām” 1.6.2.4. apakšpunkt</w:t>
      </w:r>
      <w:r>
        <w:rPr>
          <w:sz w:val="28"/>
          <w:szCs w:val="28"/>
        </w:rPr>
        <w:t>u</w:t>
      </w:r>
      <w:r w:rsidRPr="00450EE1">
        <w:rPr>
          <w:sz w:val="28"/>
          <w:szCs w:val="28"/>
        </w:rPr>
        <w:t>;</w:t>
      </w:r>
    </w:p>
    <w:p w:rsidR="007716A8" w:rsidRPr="00450EE1" w:rsidRDefault="007716A8" w:rsidP="007716A8">
      <w:pPr>
        <w:numPr>
          <w:ilvl w:val="0"/>
          <w:numId w:val="19"/>
        </w:numPr>
        <w:spacing w:after="120"/>
        <w:jc w:val="both"/>
        <w:rPr>
          <w:sz w:val="28"/>
          <w:szCs w:val="28"/>
        </w:rPr>
      </w:pPr>
      <w:r w:rsidRPr="00450EE1">
        <w:rPr>
          <w:sz w:val="28"/>
          <w:szCs w:val="28"/>
        </w:rPr>
        <w:lastRenderedPageBreak/>
        <w:t>Ministru kabineta 2015.</w:t>
      </w:r>
      <w:r w:rsidRPr="00450EE1">
        <w:t> </w:t>
      </w:r>
      <w:r w:rsidRPr="00450EE1">
        <w:rPr>
          <w:sz w:val="28"/>
          <w:szCs w:val="28"/>
        </w:rPr>
        <w:t>gada 17. marta sēdes protokol</w:t>
      </w:r>
      <w:r>
        <w:rPr>
          <w:sz w:val="28"/>
          <w:szCs w:val="28"/>
        </w:rPr>
        <w:t>a</w:t>
      </w:r>
      <w:r w:rsidRPr="00450EE1">
        <w:rPr>
          <w:sz w:val="28"/>
          <w:szCs w:val="28"/>
        </w:rPr>
        <w:t xml:space="preserve"> Nr. 15 30.</w:t>
      </w:r>
      <w:r>
        <w:rPr>
          <w:sz w:val="28"/>
          <w:szCs w:val="28"/>
        </w:rPr>
        <w:t> </w:t>
      </w:r>
      <w:r w:rsidRPr="00450EE1">
        <w:rPr>
          <w:sz w:val="28"/>
          <w:szCs w:val="28"/>
        </w:rPr>
        <w:t>§ “Informatīvais ziņojums “Par valsts pamatbudžeta un valsts speciālā budžeta bāzi 2016., 2017. un 2018. gadam un bāzes izdevumos neiekļauto ministriju un citu centrālo valsts iestāžu iesniegto pasākumu sarakstu”” 24. punkt</w:t>
      </w:r>
      <w:r>
        <w:rPr>
          <w:sz w:val="28"/>
          <w:szCs w:val="28"/>
        </w:rPr>
        <w:t>u</w:t>
      </w:r>
      <w:r w:rsidRPr="00450EE1">
        <w:rPr>
          <w:sz w:val="28"/>
          <w:szCs w:val="28"/>
        </w:rPr>
        <w:t>;</w:t>
      </w:r>
    </w:p>
    <w:p w:rsidR="007716A8" w:rsidRPr="00450EE1" w:rsidRDefault="007716A8" w:rsidP="007716A8">
      <w:pPr>
        <w:numPr>
          <w:ilvl w:val="0"/>
          <w:numId w:val="19"/>
        </w:numPr>
        <w:spacing w:after="120"/>
        <w:jc w:val="both"/>
        <w:rPr>
          <w:sz w:val="28"/>
          <w:szCs w:val="28"/>
        </w:rPr>
      </w:pPr>
      <w:r w:rsidRPr="00450EE1">
        <w:rPr>
          <w:sz w:val="28"/>
          <w:szCs w:val="28"/>
        </w:rPr>
        <w:t>Ministru kabineta 2015. gada 20. maija rīkojum</w:t>
      </w:r>
      <w:r>
        <w:rPr>
          <w:sz w:val="28"/>
          <w:szCs w:val="28"/>
        </w:rPr>
        <w:t>a</w:t>
      </w:r>
      <w:r w:rsidRPr="00450EE1">
        <w:rPr>
          <w:sz w:val="28"/>
          <w:szCs w:val="28"/>
        </w:rPr>
        <w:t xml:space="preserve"> Nr. 270 “Par apropriācijas pārdali” 1.1.2. apakšpunkt</w:t>
      </w:r>
      <w:r>
        <w:rPr>
          <w:sz w:val="28"/>
          <w:szCs w:val="28"/>
        </w:rPr>
        <w:t>u</w:t>
      </w:r>
      <w:r w:rsidRPr="00450EE1">
        <w:rPr>
          <w:sz w:val="28"/>
          <w:szCs w:val="28"/>
        </w:rPr>
        <w:t>;</w:t>
      </w:r>
    </w:p>
    <w:p w:rsidR="007716A8" w:rsidRDefault="007716A8" w:rsidP="007716A8">
      <w:pPr>
        <w:numPr>
          <w:ilvl w:val="0"/>
          <w:numId w:val="19"/>
        </w:numPr>
        <w:spacing w:after="120"/>
        <w:jc w:val="both"/>
        <w:rPr>
          <w:sz w:val="28"/>
          <w:szCs w:val="28"/>
        </w:rPr>
      </w:pPr>
      <w:r>
        <w:rPr>
          <w:sz w:val="28"/>
          <w:szCs w:val="28"/>
        </w:rPr>
        <w:t>Ministru kabineta 2015. </w:t>
      </w:r>
      <w:r w:rsidRPr="00450EE1">
        <w:rPr>
          <w:sz w:val="28"/>
          <w:szCs w:val="28"/>
        </w:rPr>
        <w:t>gada 27. augusta sēdes protokol</w:t>
      </w:r>
      <w:r>
        <w:rPr>
          <w:sz w:val="28"/>
          <w:szCs w:val="28"/>
        </w:rPr>
        <w:t>a Nr. </w:t>
      </w:r>
      <w:r w:rsidRPr="00450EE1">
        <w:rPr>
          <w:sz w:val="28"/>
          <w:szCs w:val="28"/>
        </w:rPr>
        <w:t>42 3.</w:t>
      </w:r>
      <w:r w:rsidR="00BD320D">
        <w:rPr>
          <w:sz w:val="28"/>
          <w:szCs w:val="28"/>
        </w:rPr>
        <w:t> </w:t>
      </w:r>
      <w:r w:rsidRPr="00450EE1">
        <w:rPr>
          <w:sz w:val="28"/>
          <w:szCs w:val="28"/>
        </w:rPr>
        <w:t xml:space="preserve">§ “Informatīvais ziņojums “Par priekšlikumiem valsts budžeta ieņēmumiem un izdevumiem 2016. gadam un ietvaram </w:t>
      </w:r>
      <w:r>
        <w:rPr>
          <w:sz w:val="28"/>
          <w:szCs w:val="28"/>
        </w:rPr>
        <w:t>2016.-2018. gadam”” 7. punktu;</w:t>
      </w:r>
    </w:p>
    <w:p w:rsidR="007716A8" w:rsidRPr="00450EE1" w:rsidRDefault="007716A8" w:rsidP="007716A8">
      <w:pPr>
        <w:spacing w:after="120"/>
        <w:ind w:firstLine="600"/>
        <w:jc w:val="both"/>
        <w:rPr>
          <w:sz w:val="28"/>
          <w:szCs w:val="28"/>
        </w:rPr>
      </w:pPr>
      <w:r w:rsidRPr="00450EE1">
        <w:rPr>
          <w:sz w:val="28"/>
          <w:szCs w:val="28"/>
        </w:rPr>
        <w:t xml:space="preserve">Ar minētajiem Ministru kabineta lēmumiem tika atbalstīts valsts budžeta finansējums </w:t>
      </w:r>
      <w:r>
        <w:rPr>
          <w:sz w:val="28"/>
          <w:szCs w:val="28"/>
        </w:rPr>
        <w:t>3 136 </w:t>
      </w:r>
      <w:r w:rsidRPr="00450EE1">
        <w:rPr>
          <w:sz w:val="28"/>
          <w:szCs w:val="28"/>
        </w:rPr>
        <w:t>477</w:t>
      </w:r>
      <w:r>
        <w:rPr>
          <w:sz w:val="28"/>
          <w:szCs w:val="28"/>
        </w:rPr>
        <w:t> </w:t>
      </w:r>
      <w:proofErr w:type="spellStart"/>
      <w:r w:rsidRPr="00450EE1">
        <w:rPr>
          <w:i/>
          <w:sz w:val="28"/>
          <w:szCs w:val="28"/>
        </w:rPr>
        <w:t>euro</w:t>
      </w:r>
      <w:proofErr w:type="spellEnd"/>
      <w:r w:rsidRPr="00450EE1">
        <w:rPr>
          <w:sz w:val="28"/>
          <w:szCs w:val="28"/>
        </w:rPr>
        <w:t xml:space="preserve"> apmērā 2015.-2020. gadam šādu radioaktīvo atkritumu pārvaldības sistēmas uzlabošanas pasākumu īstenošanai:</w:t>
      </w:r>
    </w:p>
    <w:p w:rsidR="007716A8" w:rsidRPr="00450EE1" w:rsidRDefault="007716A8" w:rsidP="007716A8">
      <w:pPr>
        <w:numPr>
          <w:ilvl w:val="0"/>
          <w:numId w:val="20"/>
        </w:numPr>
        <w:spacing w:after="120"/>
        <w:jc w:val="both"/>
        <w:rPr>
          <w:sz w:val="28"/>
          <w:szCs w:val="28"/>
        </w:rPr>
      </w:pPr>
      <w:r w:rsidRPr="00450EE1">
        <w:rPr>
          <w:sz w:val="28"/>
          <w:szCs w:val="28"/>
        </w:rPr>
        <w:t>radioaktīvo atkritumu tvertnes būvniecība;</w:t>
      </w:r>
    </w:p>
    <w:p w:rsidR="007716A8" w:rsidRPr="00450EE1" w:rsidRDefault="007716A8" w:rsidP="007716A8">
      <w:pPr>
        <w:numPr>
          <w:ilvl w:val="0"/>
          <w:numId w:val="20"/>
        </w:numPr>
        <w:spacing w:after="120"/>
        <w:jc w:val="both"/>
        <w:rPr>
          <w:sz w:val="28"/>
          <w:szCs w:val="28"/>
        </w:rPr>
      </w:pPr>
      <w:r w:rsidRPr="00450EE1">
        <w:rPr>
          <w:sz w:val="28"/>
          <w:szCs w:val="28"/>
        </w:rPr>
        <w:t>esošo radioaktīvo atkritumu tvertņu ilgtermiņa drošības uzlabojumi;</w:t>
      </w:r>
    </w:p>
    <w:p w:rsidR="007716A8" w:rsidRPr="00450EE1" w:rsidRDefault="007716A8" w:rsidP="007716A8">
      <w:pPr>
        <w:numPr>
          <w:ilvl w:val="0"/>
          <w:numId w:val="20"/>
        </w:numPr>
        <w:spacing w:after="120"/>
        <w:jc w:val="both"/>
        <w:rPr>
          <w:sz w:val="28"/>
          <w:szCs w:val="28"/>
        </w:rPr>
      </w:pPr>
      <w:r w:rsidRPr="00450EE1">
        <w:rPr>
          <w:sz w:val="28"/>
          <w:szCs w:val="28"/>
        </w:rPr>
        <w:t>ilgtermiņa glabātavas būvniecība;</w:t>
      </w:r>
    </w:p>
    <w:p w:rsidR="007716A8" w:rsidRPr="00450EE1" w:rsidRDefault="007716A8" w:rsidP="007716A8">
      <w:pPr>
        <w:numPr>
          <w:ilvl w:val="0"/>
          <w:numId w:val="20"/>
        </w:numPr>
        <w:spacing w:after="120"/>
        <w:jc w:val="both"/>
        <w:rPr>
          <w:sz w:val="28"/>
          <w:szCs w:val="28"/>
        </w:rPr>
      </w:pPr>
      <w:r w:rsidRPr="00450EE1">
        <w:rPr>
          <w:sz w:val="28"/>
          <w:szCs w:val="28"/>
        </w:rPr>
        <w:t>radiācijas kontroles sistēmas uzlabošana glabātavā “Radons”;</w:t>
      </w:r>
    </w:p>
    <w:p w:rsidR="007716A8" w:rsidRPr="00450EE1" w:rsidRDefault="007716A8" w:rsidP="007716A8">
      <w:pPr>
        <w:numPr>
          <w:ilvl w:val="0"/>
          <w:numId w:val="20"/>
        </w:numPr>
        <w:spacing w:after="120"/>
        <w:jc w:val="both"/>
        <w:rPr>
          <w:sz w:val="28"/>
          <w:szCs w:val="28"/>
        </w:rPr>
      </w:pPr>
      <w:r w:rsidRPr="00450EE1">
        <w:rPr>
          <w:sz w:val="28"/>
          <w:szCs w:val="28"/>
        </w:rPr>
        <w:t>glabātavas apsaimniekošana;</w:t>
      </w:r>
    </w:p>
    <w:p w:rsidR="007716A8" w:rsidRPr="00450EE1" w:rsidRDefault="007716A8" w:rsidP="007716A8">
      <w:pPr>
        <w:numPr>
          <w:ilvl w:val="0"/>
          <w:numId w:val="20"/>
        </w:numPr>
        <w:spacing w:after="120"/>
        <w:jc w:val="both"/>
        <w:rPr>
          <w:sz w:val="28"/>
          <w:szCs w:val="28"/>
        </w:rPr>
      </w:pPr>
      <w:r w:rsidRPr="00450EE1">
        <w:rPr>
          <w:sz w:val="28"/>
          <w:szCs w:val="28"/>
        </w:rPr>
        <w:t>drošības uzlabojumi glabātavā “Radons”;</w:t>
      </w:r>
    </w:p>
    <w:p w:rsidR="007716A8" w:rsidRDefault="007716A8" w:rsidP="007716A8">
      <w:pPr>
        <w:numPr>
          <w:ilvl w:val="0"/>
          <w:numId w:val="20"/>
        </w:numPr>
        <w:spacing w:after="120"/>
        <w:jc w:val="both"/>
        <w:rPr>
          <w:sz w:val="28"/>
          <w:szCs w:val="28"/>
        </w:rPr>
      </w:pPr>
      <w:r w:rsidRPr="00450EE1">
        <w:rPr>
          <w:sz w:val="28"/>
          <w:szCs w:val="28"/>
        </w:rPr>
        <w:t>starptautisko ekspertu kodoldrošības un starptautiskais radioaktīvo atkritumu sistēmas novērtējums.</w:t>
      </w:r>
    </w:p>
    <w:p w:rsidR="00E2262F" w:rsidRPr="004A522F" w:rsidRDefault="00E2262F" w:rsidP="00E2262F">
      <w:pPr>
        <w:spacing w:after="120"/>
        <w:jc w:val="both"/>
        <w:rPr>
          <w:sz w:val="28"/>
          <w:szCs w:val="28"/>
        </w:rPr>
      </w:pPr>
    </w:p>
    <w:p w:rsidR="007716A8" w:rsidRPr="00CB563D" w:rsidRDefault="007716A8" w:rsidP="007716A8">
      <w:pPr>
        <w:pStyle w:val="NormalWeb"/>
        <w:shd w:val="clear" w:color="auto" w:fill="FFFFFF"/>
        <w:spacing w:before="0" w:after="120"/>
        <w:jc w:val="center"/>
        <w:rPr>
          <w:rFonts w:ascii="PT Serif" w:hAnsi="PT Serif"/>
          <w:b/>
          <w:bCs/>
          <w:sz w:val="22"/>
          <w:bdr w:val="none" w:sz="0" w:space="0" w:color="auto" w:frame="1"/>
        </w:rPr>
      </w:pPr>
      <w:r w:rsidRPr="00CB563D">
        <w:rPr>
          <w:rFonts w:ascii="PT Serif" w:hAnsi="PT Serif"/>
          <w:b/>
          <w:bCs/>
          <w:bdr w:val="none" w:sz="0" w:space="0" w:color="auto" w:frame="1"/>
        </w:rPr>
        <w:t xml:space="preserve">Piešķirtais valsts budžeta finansējums, </w:t>
      </w:r>
      <w:proofErr w:type="spellStart"/>
      <w:r w:rsidRPr="000F5097">
        <w:rPr>
          <w:rFonts w:ascii="PT Serif" w:hAnsi="PT Serif"/>
          <w:b/>
          <w:bCs/>
          <w:i/>
          <w:bdr w:val="none" w:sz="0" w:space="0" w:color="auto" w:frame="1"/>
        </w:rPr>
        <w:t>euro</w:t>
      </w:r>
      <w:proofErr w:type="spellEnd"/>
    </w:p>
    <w:p w:rsidR="007716A8" w:rsidRDefault="007716A8" w:rsidP="007716A8">
      <w:pPr>
        <w:spacing w:after="120"/>
        <w:ind w:left="960"/>
        <w:jc w:val="right"/>
        <w:rPr>
          <w:sz w:val="22"/>
          <w:szCs w:val="28"/>
        </w:rPr>
      </w:pPr>
      <w:r w:rsidRPr="00A15EAA">
        <w:rPr>
          <w:sz w:val="22"/>
          <w:szCs w:val="28"/>
        </w:rPr>
        <w:t>T</w:t>
      </w:r>
      <w:r>
        <w:rPr>
          <w:sz w:val="22"/>
          <w:szCs w:val="28"/>
        </w:rPr>
        <w:t>abula Nr. 1</w:t>
      </w:r>
    </w:p>
    <w:tbl>
      <w:tblPr>
        <w:tblW w:w="9003" w:type="dxa"/>
        <w:tblLook w:val="04A0" w:firstRow="1" w:lastRow="0" w:firstColumn="1" w:lastColumn="0" w:noHBand="0" w:noVBand="1"/>
      </w:tblPr>
      <w:tblGrid>
        <w:gridCol w:w="2750"/>
        <w:gridCol w:w="618"/>
        <w:gridCol w:w="618"/>
        <w:gridCol w:w="618"/>
        <w:gridCol w:w="618"/>
        <w:gridCol w:w="618"/>
        <w:gridCol w:w="618"/>
        <w:gridCol w:w="618"/>
        <w:gridCol w:w="618"/>
        <w:gridCol w:w="618"/>
        <w:gridCol w:w="683"/>
        <w:gridCol w:w="8"/>
      </w:tblGrid>
      <w:tr w:rsidR="007716A8" w:rsidTr="000C208E">
        <w:trPr>
          <w:gridAfter w:val="1"/>
          <w:wAfter w:w="8" w:type="dxa"/>
          <w:trHeight w:val="257"/>
        </w:trPr>
        <w:tc>
          <w:tcPr>
            <w:tcW w:w="281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716A8" w:rsidRDefault="007716A8" w:rsidP="000C208E">
            <w:pPr>
              <w:jc w:val="center"/>
              <w:rPr>
                <w:b/>
                <w:bCs/>
                <w:color w:val="000000"/>
                <w:sz w:val="20"/>
                <w:szCs w:val="20"/>
              </w:rPr>
            </w:pPr>
            <w:r>
              <w:rPr>
                <w:b/>
                <w:bCs/>
                <w:color w:val="000000"/>
                <w:sz w:val="20"/>
                <w:szCs w:val="20"/>
              </w:rPr>
              <w:t> </w:t>
            </w:r>
          </w:p>
        </w:tc>
        <w:tc>
          <w:tcPr>
            <w:tcW w:w="618" w:type="dxa"/>
            <w:tcBorders>
              <w:top w:val="single" w:sz="4" w:space="0" w:color="auto"/>
              <w:left w:val="nil"/>
              <w:bottom w:val="single" w:sz="4" w:space="0" w:color="auto"/>
              <w:right w:val="single" w:sz="4" w:space="0" w:color="auto"/>
            </w:tcBorders>
            <w:shd w:val="clear" w:color="000000" w:fill="D9D9D9"/>
            <w:vAlign w:val="center"/>
            <w:hideMark/>
          </w:tcPr>
          <w:p w:rsidR="007716A8" w:rsidRDefault="007716A8" w:rsidP="000C208E">
            <w:pPr>
              <w:jc w:val="center"/>
              <w:rPr>
                <w:b/>
                <w:bCs/>
                <w:color w:val="000000"/>
                <w:sz w:val="20"/>
                <w:szCs w:val="20"/>
              </w:rPr>
            </w:pPr>
            <w:r>
              <w:rPr>
                <w:b/>
                <w:bCs/>
                <w:color w:val="000000"/>
                <w:sz w:val="20"/>
                <w:szCs w:val="20"/>
              </w:rPr>
              <w:t>2014</w:t>
            </w:r>
          </w:p>
        </w:tc>
        <w:tc>
          <w:tcPr>
            <w:tcW w:w="618" w:type="dxa"/>
            <w:tcBorders>
              <w:top w:val="single" w:sz="4" w:space="0" w:color="auto"/>
              <w:left w:val="nil"/>
              <w:bottom w:val="single" w:sz="4" w:space="0" w:color="auto"/>
              <w:right w:val="single" w:sz="4" w:space="0" w:color="auto"/>
            </w:tcBorders>
            <w:shd w:val="clear" w:color="000000" w:fill="D9D9D9"/>
            <w:vAlign w:val="center"/>
            <w:hideMark/>
          </w:tcPr>
          <w:p w:rsidR="007716A8" w:rsidRDefault="007716A8" w:rsidP="000C208E">
            <w:pPr>
              <w:jc w:val="center"/>
              <w:rPr>
                <w:b/>
                <w:bCs/>
                <w:color w:val="000000"/>
                <w:sz w:val="20"/>
                <w:szCs w:val="20"/>
              </w:rPr>
            </w:pPr>
            <w:r>
              <w:rPr>
                <w:b/>
                <w:bCs/>
                <w:color w:val="000000"/>
                <w:sz w:val="20"/>
                <w:szCs w:val="20"/>
              </w:rPr>
              <w:t>2015</w:t>
            </w:r>
          </w:p>
        </w:tc>
        <w:tc>
          <w:tcPr>
            <w:tcW w:w="618" w:type="dxa"/>
            <w:tcBorders>
              <w:top w:val="single" w:sz="4" w:space="0" w:color="auto"/>
              <w:left w:val="nil"/>
              <w:bottom w:val="single" w:sz="4" w:space="0" w:color="auto"/>
              <w:right w:val="single" w:sz="4" w:space="0" w:color="auto"/>
            </w:tcBorders>
            <w:shd w:val="clear" w:color="000000" w:fill="D9D9D9"/>
            <w:vAlign w:val="center"/>
            <w:hideMark/>
          </w:tcPr>
          <w:p w:rsidR="007716A8" w:rsidRDefault="007716A8" w:rsidP="000C208E">
            <w:pPr>
              <w:jc w:val="center"/>
              <w:rPr>
                <w:b/>
                <w:bCs/>
                <w:color w:val="000000"/>
                <w:sz w:val="20"/>
                <w:szCs w:val="20"/>
              </w:rPr>
            </w:pPr>
            <w:r>
              <w:rPr>
                <w:b/>
                <w:bCs/>
                <w:color w:val="000000"/>
                <w:sz w:val="20"/>
                <w:szCs w:val="20"/>
              </w:rPr>
              <w:t>2016</w:t>
            </w:r>
          </w:p>
        </w:tc>
        <w:tc>
          <w:tcPr>
            <w:tcW w:w="618" w:type="dxa"/>
            <w:tcBorders>
              <w:top w:val="single" w:sz="4" w:space="0" w:color="auto"/>
              <w:left w:val="nil"/>
              <w:bottom w:val="single" w:sz="4" w:space="0" w:color="auto"/>
              <w:right w:val="single" w:sz="4" w:space="0" w:color="auto"/>
            </w:tcBorders>
            <w:shd w:val="clear" w:color="000000" w:fill="D9D9D9"/>
            <w:vAlign w:val="center"/>
            <w:hideMark/>
          </w:tcPr>
          <w:p w:rsidR="007716A8" w:rsidRDefault="007716A8" w:rsidP="000C208E">
            <w:pPr>
              <w:jc w:val="center"/>
              <w:rPr>
                <w:b/>
                <w:bCs/>
                <w:color w:val="000000"/>
                <w:sz w:val="20"/>
                <w:szCs w:val="20"/>
              </w:rPr>
            </w:pPr>
            <w:r>
              <w:rPr>
                <w:b/>
                <w:bCs/>
                <w:color w:val="000000"/>
                <w:sz w:val="20"/>
                <w:szCs w:val="20"/>
              </w:rPr>
              <w:t>2017</w:t>
            </w:r>
          </w:p>
        </w:tc>
        <w:tc>
          <w:tcPr>
            <w:tcW w:w="618" w:type="dxa"/>
            <w:tcBorders>
              <w:top w:val="single" w:sz="4" w:space="0" w:color="auto"/>
              <w:left w:val="nil"/>
              <w:bottom w:val="single" w:sz="4" w:space="0" w:color="auto"/>
              <w:right w:val="single" w:sz="4" w:space="0" w:color="auto"/>
            </w:tcBorders>
            <w:shd w:val="clear" w:color="000000" w:fill="D9D9D9"/>
            <w:vAlign w:val="center"/>
            <w:hideMark/>
          </w:tcPr>
          <w:p w:rsidR="007716A8" w:rsidRDefault="007716A8" w:rsidP="000C208E">
            <w:pPr>
              <w:jc w:val="center"/>
              <w:rPr>
                <w:b/>
                <w:bCs/>
                <w:color w:val="000000"/>
                <w:sz w:val="20"/>
                <w:szCs w:val="20"/>
              </w:rPr>
            </w:pPr>
            <w:r>
              <w:rPr>
                <w:b/>
                <w:bCs/>
                <w:color w:val="000000"/>
                <w:sz w:val="20"/>
                <w:szCs w:val="20"/>
              </w:rPr>
              <w:t>2018</w:t>
            </w:r>
          </w:p>
        </w:tc>
        <w:tc>
          <w:tcPr>
            <w:tcW w:w="618" w:type="dxa"/>
            <w:tcBorders>
              <w:top w:val="single" w:sz="4" w:space="0" w:color="auto"/>
              <w:left w:val="nil"/>
              <w:bottom w:val="single" w:sz="4" w:space="0" w:color="auto"/>
              <w:right w:val="single" w:sz="4" w:space="0" w:color="auto"/>
            </w:tcBorders>
            <w:shd w:val="clear" w:color="000000" w:fill="D9D9D9"/>
            <w:vAlign w:val="center"/>
            <w:hideMark/>
          </w:tcPr>
          <w:p w:rsidR="007716A8" w:rsidRDefault="007716A8" w:rsidP="000C208E">
            <w:pPr>
              <w:jc w:val="center"/>
              <w:rPr>
                <w:b/>
                <w:bCs/>
                <w:color w:val="000000"/>
                <w:sz w:val="20"/>
                <w:szCs w:val="20"/>
              </w:rPr>
            </w:pPr>
            <w:r>
              <w:rPr>
                <w:b/>
                <w:bCs/>
                <w:color w:val="000000"/>
                <w:sz w:val="20"/>
                <w:szCs w:val="20"/>
              </w:rPr>
              <w:t>2019</w:t>
            </w:r>
          </w:p>
        </w:tc>
        <w:tc>
          <w:tcPr>
            <w:tcW w:w="618" w:type="dxa"/>
            <w:tcBorders>
              <w:top w:val="single" w:sz="4" w:space="0" w:color="auto"/>
              <w:left w:val="nil"/>
              <w:bottom w:val="single" w:sz="4" w:space="0" w:color="auto"/>
              <w:right w:val="single" w:sz="4" w:space="0" w:color="auto"/>
            </w:tcBorders>
            <w:shd w:val="clear" w:color="000000" w:fill="D9D9D9"/>
            <w:vAlign w:val="center"/>
            <w:hideMark/>
          </w:tcPr>
          <w:p w:rsidR="007716A8" w:rsidRDefault="007716A8" w:rsidP="000C208E">
            <w:pPr>
              <w:jc w:val="center"/>
              <w:rPr>
                <w:b/>
                <w:bCs/>
                <w:color w:val="000000"/>
                <w:sz w:val="20"/>
                <w:szCs w:val="20"/>
              </w:rPr>
            </w:pPr>
            <w:r>
              <w:rPr>
                <w:b/>
                <w:bCs/>
                <w:color w:val="000000"/>
                <w:sz w:val="20"/>
                <w:szCs w:val="20"/>
              </w:rPr>
              <w:t>2020</w:t>
            </w:r>
          </w:p>
        </w:tc>
        <w:tc>
          <w:tcPr>
            <w:tcW w:w="618" w:type="dxa"/>
            <w:tcBorders>
              <w:top w:val="single" w:sz="4" w:space="0" w:color="auto"/>
              <w:left w:val="nil"/>
              <w:bottom w:val="single" w:sz="4" w:space="0" w:color="auto"/>
              <w:right w:val="single" w:sz="4" w:space="0" w:color="auto"/>
            </w:tcBorders>
            <w:shd w:val="clear" w:color="000000" w:fill="D9D9D9"/>
            <w:vAlign w:val="center"/>
            <w:hideMark/>
          </w:tcPr>
          <w:p w:rsidR="007716A8" w:rsidRDefault="007716A8" w:rsidP="000C208E">
            <w:pPr>
              <w:jc w:val="center"/>
              <w:rPr>
                <w:b/>
                <w:bCs/>
                <w:color w:val="000000"/>
                <w:sz w:val="20"/>
                <w:szCs w:val="20"/>
              </w:rPr>
            </w:pPr>
            <w:r>
              <w:rPr>
                <w:b/>
                <w:bCs/>
                <w:color w:val="000000"/>
                <w:sz w:val="20"/>
                <w:szCs w:val="20"/>
              </w:rPr>
              <w:t>2021</w:t>
            </w:r>
          </w:p>
        </w:tc>
        <w:tc>
          <w:tcPr>
            <w:tcW w:w="618" w:type="dxa"/>
            <w:tcBorders>
              <w:top w:val="single" w:sz="4" w:space="0" w:color="auto"/>
              <w:left w:val="nil"/>
              <w:bottom w:val="single" w:sz="4" w:space="0" w:color="auto"/>
              <w:right w:val="single" w:sz="4" w:space="0" w:color="auto"/>
            </w:tcBorders>
            <w:shd w:val="clear" w:color="000000" w:fill="D9D9D9"/>
            <w:vAlign w:val="center"/>
            <w:hideMark/>
          </w:tcPr>
          <w:p w:rsidR="007716A8" w:rsidRDefault="007716A8" w:rsidP="000C208E">
            <w:pPr>
              <w:jc w:val="center"/>
              <w:rPr>
                <w:b/>
                <w:bCs/>
                <w:color w:val="000000"/>
                <w:sz w:val="20"/>
                <w:szCs w:val="20"/>
              </w:rPr>
            </w:pPr>
            <w:r>
              <w:rPr>
                <w:b/>
                <w:bCs/>
                <w:color w:val="000000"/>
                <w:sz w:val="20"/>
                <w:szCs w:val="20"/>
              </w:rPr>
              <w:t>2022</w:t>
            </w:r>
          </w:p>
        </w:tc>
        <w:tc>
          <w:tcPr>
            <w:tcW w:w="618" w:type="dxa"/>
            <w:tcBorders>
              <w:top w:val="single" w:sz="4" w:space="0" w:color="auto"/>
              <w:left w:val="nil"/>
              <w:bottom w:val="single" w:sz="4" w:space="0" w:color="auto"/>
              <w:right w:val="single" w:sz="4" w:space="0" w:color="auto"/>
            </w:tcBorders>
            <w:shd w:val="clear" w:color="000000" w:fill="D9D9D9"/>
            <w:vAlign w:val="center"/>
            <w:hideMark/>
          </w:tcPr>
          <w:p w:rsidR="007716A8" w:rsidRDefault="007716A8" w:rsidP="000C208E">
            <w:pPr>
              <w:jc w:val="center"/>
              <w:rPr>
                <w:b/>
                <w:bCs/>
                <w:color w:val="000000"/>
                <w:sz w:val="20"/>
                <w:szCs w:val="20"/>
              </w:rPr>
            </w:pPr>
            <w:r>
              <w:rPr>
                <w:b/>
                <w:bCs/>
                <w:color w:val="000000"/>
                <w:sz w:val="20"/>
                <w:szCs w:val="20"/>
              </w:rPr>
              <w:t>Kopā</w:t>
            </w:r>
          </w:p>
        </w:tc>
      </w:tr>
      <w:tr w:rsidR="007716A8" w:rsidTr="000C208E">
        <w:trPr>
          <w:gridAfter w:val="1"/>
          <w:wAfter w:w="8" w:type="dxa"/>
          <w:trHeight w:val="257"/>
        </w:trPr>
        <w:tc>
          <w:tcPr>
            <w:tcW w:w="2815" w:type="dxa"/>
            <w:tcBorders>
              <w:top w:val="nil"/>
              <w:left w:val="single" w:sz="4" w:space="0" w:color="auto"/>
              <w:bottom w:val="single" w:sz="4" w:space="0" w:color="auto"/>
              <w:right w:val="single" w:sz="4" w:space="0" w:color="auto"/>
            </w:tcBorders>
            <w:shd w:val="clear" w:color="000000" w:fill="70AD47"/>
            <w:vAlign w:val="center"/>
            <w:hideMark/>
          </w:tcPr>
          <w:p w:rsidR="007716A8" w:rsidRDefault="007716A8" w:rsidP="000C208E">
            <w:pPr>
              <w:rPr>
                <w:b/>
                <w:bCs/>
                <w:color w:val="000000"/>
                <w:sz w:val="20"/>
                <w:szCs w:val="20"/>
              </w:rPr>
            </w:pPr>
            <w:r>
              <w:rPr>
                <w:b/>
                <w:bCs/>
                <w:color w:val="000000"/>
                <w:sz w:val="20"/>
                <w:szCs w:val="20"/>
              </w:rPr>
              <w:t>Piešķirtais finansējums KOPĀ</w:t>
            </w:r>
          </w:p>
        </w:tc>
        <w:tc>
          <w:tcPr>
            <w:tcW w:w="618" w:type="dxa"/>
            <w:tcBorders>
              <w:top w:val="nil"/>
              <w:left w:val="nil"/>
              <w:bottom w:val="single" w:sz="4" w:space="0" w:color="auto"/>
              <w:right w:val="single" w:sz="4" w:space="0" w:color="auto"/>
            </w:tcBorders>
            <w:shd w:val="clear" w:color="000000" w:fill="70AD47"/>
            <w:vAlign w:val="center"/>
            <w:hideMark/>
          </w:tcPr>
          <w:p w:rsidR="007716A8" w:rsidRDefault="007716A8" w:rsidP="000C208E">
            <w:pPr>
              <w:jc w:val="right"/>
              <w:rPr>
                <w:b/>
                <w:bCs/>
                <w:color w:val="000000"/>
                <w:sz w:val="20"/>
                <w:szCs w:val="20"/>
              </w:rPr>
            </w:pPr>
            <w:r>
              <w:rPr>
                <w:b/>
                <w:bCs/>
                <w:color w:val="000000"/>
                <w:sz w:val="20"/>
                <w:szCs w:val="20"/>
              </w:rPr>
              <w:t>23 736</w:t>
            </w:r>
          </w:p>
        </w:tc>
        <w:tc>
          <w:tcPr>
            <w:tcW w:w="618" w:type="dxa"/>
            <w:tcBorders>
              <w:top w:val="nil"/>
              <w:left w:val="nil"/>
              <w:bottom w:val="single" w:sz="4" w:space="0" w:color="auto"/>
              <w:right w:val="single" w:sz="4" w:space="0" w:color="auto"/>
            </w:tcBorders>
            <w:shd w:val="clear" w:color="000000" w:fill="70AD47"/>
            <w:vAlign w:val="center"/>
            <w:hideMark/>
          </w:tcPr>
          <w:p w:rsidR="007716A8" w:rsidRDefault="007716A8" w:rsidP="000C208E">
            <w:pPr>
              <w:jc w:val="right"/>
              <w:rPr>
                <w:b/>
                <w:bCs/>
                <w:color w:val="000000"/>
                <w:sz w:val="20"/>
                <w:szCs w:val="20"/>
              </w:rPr>
            </w:pPr>
            <w:r>
              <w:rPr>
                <w:b/>
                <w:bCs/>
                <w:color w:val="000000"/>
                <w:sz w:val="20"/>
                <w:szCs w:val="20"/>
              </w:rPr>
              <w:t>652 142</w:t>
            </w:r>
          </w:p>
        </w:tc>
        <w:tc>
          <w:tcPr>
            <w:tcW w:w="618" w:type="dxa"/>
            <w:tcBorders>
              <w:top w:val="nil"/>
              <w:left w:val="nil"/>
              <w:bottom w:val="single" w:sz="4" w:space="0" w:color="auto"/>
              <w:right w:val="single" w:sz="4" w:space="0" w:color="auto"/>
            </w:tcBorders>
            <w:shd w:val="clear" w:color="000000" w:fill="70AD47"/>
            <w:vAlign w:val="center"/>
            <w:hideMark/>
          </w:tcPr>
          <w:p w:rsidR="007716A8" w:rsidRDefault="007716A8" w:rsidP="000C208E">
            <w:pPr>
              <w:jc w:val="right"/>
              <w:rPr>
                <w:b/>
                <w:bCs/>
                <w:color w:val="000000"/>
                <w:sz w:val="20"/>
                <w:szCs w:val="20"/>
              </w:rPr>
            </w:pPr>
            <w:r>
              <w:rPr>
                <w:b/>
                <w:bCs/>
                <w:color w:val="000000"/>
                <w:sz w:val="20"/>
                <w:szCs w:val="20"/>
              </w:rPr>
              <w:t>498 329</w:t>
            </w:r>
          </w:p>
        </w:tc>
        <w:tc>
          <w:tcPr>
            <w:tcW w:w="618" w:type="dxa"/>
            <w:tcBorders>
              <w:top w:val="nil"/>
              <w:left w:val="nil"/>
              <w:bottom w:val="single" w:sz="4" w:space="0" w:color="auto"/>
              <w:right w:val="single" w:sz="4" w:space="0" w:color="auto"/>
            </w:tcBorders>
            <w:shd w:val="clear" w:color="000000" w:fill="70AD47"/>
            <w:vAlign w:val="center"/>
            <w:hideMark/>
          </w:tcPr>
          <w:p w:rsidR="007716A8" w:rsidRDefault="007716A8" w:rsidP="000C208E">
            <w:pPr>
              <w:jc w:val="right"/>
              <w:rPr>
                <w:b/>
                <w:bCs/>
                <w:color w:val="000000"/>
                <w:sz w:val="20"/>
                <w:szCs w:val="20"/>
              </w:rPr>
            </w:pPr>
            <w:r>
              <w:rPr>
                <w:b/>
                <w:bCs/>
                <w:color w:val="000000"/>
                <w:sz w:val="20"/>
                <w:szCs w:val="20"/>
              </w:rPr>
              <w:t>1 847 402</w:t>
            </w:r>
          </w:p>
        </w:tc>
        <w:tc>
          <w:tcPr>
            <w:tcW w:w="618" w:type="dxa"/>
            <w:tcBorders>
              <w:top w:val="nil"/>
              <w:left w:val="nil"/>
              <w:bottom w:val="single" w:sz="4" w:space="0" w:color="auto"/>
              <w:right w:val="single" w:sz="4" w:space="0" w:color="auto"/>
            </w:tcBorders>
            <w:shd w:val="clear" w:color="000000" w:fill="70AD47"/>
            <w:vAlign w:val="center"/>
            <w:hideMark/>
          </w:tcPr>
          <w:p w:rsidR="007716A8" w:rsidRDefault="007716A8" w:rsidP="000C208E">
            <w:pPr>
              <w:jc w:val="right"/>
              <w:rPr>
                <w:b/>
                <w:bCs/>
                <w:color w:val="000000"/>
                <w:sz w:val="20"/>
                <w:szCs w:val="20"/>
              </w:rPr>
            </w:pPr>
            <w:r>
              <w:rPr>
                <w:b/>
                <w:bCs/>
                <w:color w:val="000000"/>
                <w:sz w:val="20"/>
                <w:szCs w:val="20"/>
              </w:rPr>
              <w:t>2 792 489</w:t>
            </w:r>
          </w:p>
        </w:tc>
        <w:tc>
          <w:tcPr>
            <w:tcW w:w="618" w:type="dxa"/>
            <w:tcBorders>
              <w:top w:val="nil"/>
              <w:left w:val="nil"/>
              <w:bottom w:val="single" w:sz="4" w:space="0" w:color="auto"/>
              <w:right w:val="single" w:sz="4" w:space="0" w:color="auto"/>
            </w:tcBorders>
            <w:shd w:val="clear" w:color="000000" w:fill="70AD47"/>
            <w:vAlign w:val="center"/>
            <w:hideMark/>
          </w:tcPr>
          <w:p w:rsidR="007716A8" w:rsidRDefault="007716A8" w:rsidP="000C208E">
            <w:pPr>
              <w:jc w:val="right"/>
              <w:rPr>
                <w:b/>
                <w:bCs/>
                <w:color w:val="000000"/>
                <w:sz w:val="20"/>
                <w:szCs w:val="20"/>
              </w:rPr>
            </w:pPr>
            <w:r>
              <w:rPr>
                <w:b/>
                <w:bCs/>
                <w:color w:val="000000"/>
                <w:sz w:val="20"/>
                <w:szCs w:val="20"/>
              </w:rPr>
              <w:t>984 000</w:t>
            </w:r>
          </w:p>
        </w:tc>
        <w:tc>
          <w:tcPr>
            <w:tcW w:w="618" w:type="dxa"/>
            <w:tcBorders>
              <w:top w:val="nil"/>
              <w:left w:val="nil"/>
              <w:bottom w:val="single" w:sz="4" w:space="0" w:color="auto"/>
              <w:right w:val="single" w:sz="4" w:space="0" w:color="auto"/>
            </w:tcBorders>
            <w:shd w:val="clear" w:color="000000" w:fill="70AD47"/>
            <w:vAlign w:val="center"/>
            <w:hideMark/>
          </w:tcPr>
          <w:p w:rsidR="007716A8" w:rsidRDefault="007716A8" w:rsidP="000C208E">
            <w:pPr>
              <w:jc w:val="right"/>
              <w:rPr>
                <w:b/>
                <w:bCs/>
                <w:color w:val="000000"/>
                <w:sz w:val="20"/>
                <w:szCs w:val="20"/>
              </w:rPr>
            </w:pPr>
            <w:r>
              <w:rPr>
                <w:b/>
                <w:bCs/>
                <w:color w:val="000000"/>
                <w:sz w:val="20"/>
                <w:szCs w:val="20"/>
              </w:rPr>
              <w:t>935 000</w:t>
            </w:r>
          </w:p>
        </w:tc>
        <w:tc>
          <w:tcPr>
            <w:tcW w:w="618" w:type="dxa"/>
            <w:tcBorders>
              <w:top w:val="nil"/>
              <w:left w:val="nil"/>
              <w:bottom w:val="single" w:sz="4" w:space="0" w:color="auto"/>
              <w:right w:val="single" w:sz="4" w:space="0" w:color="auto"/>
            </w:tcBorders>
            <w:shd w:val="clear" w:color="000000" w:fill="70AD47"/>
            <w:vAlign w:val="center"/>
            <w:hideMark/>
          </w:tcPr>
          <w:p w:rsidR="007716A8" w:rsidRDefault="007716A8" w:rsidP="000C208E">
            <w:pPr>
              <w:jc w:val="right"/>
              <w:rPr>
                <w:b/>
                <w:bCs/>
                <w:color w:val="000000"/>
                <w:sz w:val="20"/>
                <w:szCs w:val="20"/>
              </w:rPr>
            </w:pPr>
            <w:r>
              <w:rPr>
                <w:b/>
                <w:bCs/>
                <w:color w:val="000000"/>
                <w:sz w:val="20"/>
                <w:szCs w:val="20"/>
              </w:rPr>
              <w:t>0</w:t>
            </w:r>
          </w:p>
        </w:tc>
        <w:tc>
          <w:tcPr>
            <w:tcW w:w="618" w:type="dxa"/>
            <w:tcBorders>
              <w:top w:val="nil"/>
              <w:left w:val="nil"/>
              <w:bottom w:val="single" w:sz="4" w:space="0" w:color="auto"/>
              <w:right w:val="single" w:sz="4" w:space="0" w:color="auto"/>
            </w:tcBorders>
            <w:shd w:val="clear" w:color="000000" w:fill="70AD47"/>
            <w:vAlign w:val="center"/>
            <w:hideMark/>
          </w:tcPr>
          <w:p w:rsidR="007716A8" w:rsidRDefault="007716A8" w:rsidP="000C208E">
            <w:pPr>
              <w:rPr>
                <w:b/>
                <w:bCs/>
                <w:color w:val="000000"/>
                <w:sz w:val="20"/>
                <w:szCs w:val="20"/>
              </w:rPr>
            </w:pPr>
            <w:r>
              <w:rPr>
                <w:b/>
                <w:bCs/>
                <w:color w:val="000000"/>
                <w:sz w:val="20"/>
                <w:szCs w:val="20"/>
              </w:rPr>
              <w:t> </w:t>
            </w:r>
          </w:p>
        </w:tc>
        <w:tc>
          <w:tcPr>
            <w:tcW w:w="618" w:type="dxa"/>
            <w:tcBorders>
              <w:top w:val="nil"/>
              <w:left w:val="nil"/>
              <w:bottom w:val="single" w:sz="4" w:space="0" w:color="auto"/>
              <w:right w:val="single" w:sz="4" w:space="0" w:color="auto"/>
            </w:tcBorders>
            <w:shd w:val="clear" w:color="000000" w:fill="70AD47"/>
            <w:vAlign w:val="center"/>
            <w:hideMark/>
          </w:tcPr>
          <w:p w:rsidR="007716A8" w:rsidRDefault="007716A8" w:rsidP="000C208E">
            <w:pPr>
              <w:jc w:val="right"/>
              <w:rPr>
                <w:b/>
                <w:bCs/>
                <w:color w:val="000000"/>
                <w:sz w:val="20"/>
                <w:szCs w:val="20"/>
              </w:rPr>
            </w:pPr>
            <w:r>
              <w:rPr>
                <w:b/>
                <w:bCs/>
                <w:color w:val="000000"/>
                <w:sz w:val="20"/>
                <w:szCs w:val="20"/>
              </w:rPr>
              <w:t>7 733 098</w:t>
            </w:r>
          </w:p>
        </w:tc>
      </w:tr>
      <w:tr w:rsidR="007716A8" w:rsidTr="000C208E">
        <w:trPr>
          <w:gridAfter w:val="1"/>
          <w:wAfter w:w="8" w:type="dxa"/>
          <w:trHeight w:val="1030"/>
        </w:trPr>
        <w:tc>
          <w:tcPr>
            <w:tcW w:w="2815" w:type="dxa"/>
            <w:tcBorders>
              <w:top w:val="nil"/>
              <w:left w:val="single" w:sz="4" w:space="0" w:color="auto"/>
              <w:bottom w:val="single" w:sz="4" w:space="0" w:color="auto"/>
              <w:right w:val="single" w:sz="4" w:space="0" w:color="auto"/>
            </w:tcBorders>
            <w:shd w:val="clear" w:color="000000" w:fill="C6E0B4"/>
            <w:vAlign w:val="center"/>
            <w:hideMark/>
          </w:tcPr>
          <w:p w:rsidR="007716A8" w:rsidRDefault="007716A8" w:rsidP="000C208E">
            <w:pPr>
              <w:rPr>
                <w:b/>
                <w:bCs/>
                <w:color w:val="000000"/>
                <w:sz w:val="20"/>
                <w:szCs w:val="20"/>
              </w:rPr>
            </w:pPr>
            <w:r>
              <w:rPr>
                <w:b/>
                <w:bCs/>
                <w:color w:val="000000"/>
                <w:sz w:val="20"/>
                <w:szCs w:val="20"/>
              </w:rPr>
              <w:t>t.sk. piešķirtais finansējums “Jaunas radioaktīvo atkritumu tvertnes un ilgtermiņa glabātavas būvprojekta izstrāde un būvniecība radioaktīvo atkritumu glabātavā “Radons””, t.sk.</w:t>
            </w:r>
          </w:p>
        </w:tc>
        <w:tc>
          <w:tcPr>
            <w:tcW w:w="618" w:type="dxa"/>
            <w:tcBorders>
              <w:top w:val="nil"/>
              <w:left w:val="nil"/>
              <w:bottom w:val="single" w:sz="4" w:space="0" w:color="auto"/>
              <w:right w:val="single" w:sz="4" w:space="0" w:color="auto"/>
            </w:tcBorders>
            <w:shd w:val="clear" w:color="000000" w:fill="C6E0B4"/>
            <w:vAlign w:val="center"/>
            <w:hideMark/>
          </w:tcPr>
          <w:p w:rsidR="007716A8" w:rsidRDefault="007716A8" w:rsidP="000C208E">
            <w:pPr>
              <w:jc w:val="right"/>
              <w:rPr>
                <w:b/>
                <w:bCs/>
                <w:color w:val="000000"/>
                <w:sz w:val="20"/>
                <w:szCs w:val="20"/>
              </w:rPr>
            </w:pPr>
            <w:r>
              <w:rPr>
                <w:b/>
                <w:bCs/>
                <w:color w:val="000000"/>
                <w:sz w:val="20"/>
                <w:szCs w:val="20"/>
              </w:rPr>
              <w:t>23 736</w:t>
            </w:r>
          </w:p>
        </w:tc>
        <w:tc>
          <w:tcPr>
            <w:tcW w:w="618" w:type="dxa"/>
            <w:tcBorders>
              <w:top w:val="nil"/>
              <w:left w:val="nil"/>
              <w:bottom w:val="single" w:sz="4" w:space="0" w:color="auto"/>
              <w:right w:val="single" w:sz="4" w:space="0" w:color="auto"/>
            </w:tcBorders>
            <w:shd w:val="clear" w:color="000000" w:fill="C6E0B4"/>
            <w:vAlign w:val="center"/>
            <w:hideMark/>
          </w:tcPr>
          <w:p w:rsidR="007716A8" w:rsidRDefault="007716A8" w:rsidP="000C208E">
            <w:pPr>
              <w:jc w:val="right"/>
              <w:rPr>
                <w:b/>
                <w:bCs/>
                <w:color w:val="000000"/>
                <w:sz w:val="20"/>
                <w:szCs w:val="20"/>
              </w:rPr>
            </w:pPr>
            <w:r>
              <w:rPr>
                <w:b/>
                <w:bCs/>
                <w:color w:val="000000"/>
                <w:sz w:val="20"/>
                <w:szCs w:val="20"/>
              </w:rPr>
              <w:t>357 142</w:t>
            </w:r>
          </w:p>
        </w:tc>
        <w:tc>
          <w:tcPr>
            <w:tcW w:w="618" w:type="dxa"/>
            <w:tcBorders>
              <w:top w:val="nil"/>
              <w:left w:val="nil"/>
              <w:bottom w:val="single" w:sz="4" w:space="0" w:color="auto"/>
              <w:right w:val="single" w:sz="4" w:space="0" w:color="auto"/>
            </w:tcBorders>
            <w:shd w:val="clear" w:color="000000" w:fill="C6E0B4"/>
            <w:vAlign w:val="center"/>
            <w:hideMark/>
          </w:tcPr>
          <w:p w:rsidR="007716A8" w:rsidRDefault="007716A8" w:rsidP="000C208E">
            <w:pPr>
              <w:jc w:val="right"/>
              <w:rPr>
                <w:b/>
                <w:bCs/>
                <w:color w:val="000000"/>
                <w:sz w:val="20"/>
                <w:szCs w:val="20"/>
              </w:rPr>
            </w:pPr>
            <w:r>
              <w:rPr>
                <w:b/>
                <w:bCs/>
                <w:color w:val="000000"/>
                <w:sz w:val="20"/>
                <w:szCs w:val="20"/>
              </w:rPr>
              <w:t>498 329</w:t>
            </w:r>
          </w:p>
        </w:tc>
        <w:tc>
          <w:tcPr>
            <w:tcW w:w="618" w:type="dxa"/>
            <w:tcBorders>
              <w:top w:val="nil"/>
              <w:left w:val="nil"/>
              <w:bottom w:val="single" w:sz="4" w:space="0" w:color="auto"/>
              <w:right w:val="single" w:sz="4" w:space="0" w:color="auto"/>
            </w:tcBorders>
            <w:shd w:val="clear" w:color="000000" w:fill="C6E0B4"/>
            <w:vAlign w:val="center"/>
            <w:hideMark/>
          </w:tcPr>
          <w:p w:rsidR="007716A8" w:rsidRDefault="007716A8" w:rsidP="000C208E">
            <w:pPr>
              <w:jc w:val="right"/>
              <w:rPr>
                <w:b/>
                <w:bCs/>
                <w:color w:val="000000"/>
                <w:sz w:val="20"/>
                <w:szCs w:val="20"/>
              </w:rPr>
            </w:pPr>
            <w:r>
              <w:rPr>
                <w:b/>
                <w:bCs/>
                <w:color w:val="000000"/>
                <w:sz w:val="20"/>
                <w:szCs w:val="20"/>
              </w:rPr>
              <w:t>652 402</w:t>
            </w:r>
          </w:p>
        </w:tc>
        <w:tc>
          <w:tcPr>
            <w:tcW w:w="618" w:type="dxa"/>
            <w:tcBorders>
              <w:top w:val="nil"/>
              <w:left w:val="nil"/>
              <w:bottom w:val="single" w:sz="4" w:space="0" w:color="auto"/>
              <w:right w:val="single" w:sz="4" w:space="0" w:color="auto"/>
            </w:tcBorders>
            <w:shd w:val="clear" w:color="000000" w:fill="C6E0B4"/>
            <w:vAlign w:val="center"/>
            <w:hideMark/>
          </w:tcPr>
          <w:p w:rsidR="007716A8" w:rsidRDefault="007716A8" w:rsidP="000C208E">
            <w:pPr>
              <w:jc w:val="right"/>
              <w:rPr>
                <w:b/>
                <w:bCs/>
                <w:color w:val="000000"/>
                <w:sz w:val="20"/>
                <w:szCs w:val="20"/>
              </w:rPr>
            </w:pPr>
            <w:r>
              <w:rPr>
                <w:b/>
                <w:bCs/>
                <w:color w:val="000000"/>
                <w:sz w:val="20"/>
                <w:szCs w:val="20"/>
              </w:rPr>
              <w:t>542 489</w:t>
            </w:r>
          </w:p>
        </w:tc>
        <w:tc>
          <w:tcPr>
            <w:tcW w:w="618" w:type="dxa"/>
            <w:tcBorders>
              <w:top w:val="nil"/>
              <w:left w:val="nil"/>
              <w:bottom w:val="single" w:sz="4" w:space="0" w:color="auto"/>
              <w:right w:val="single" w:sz="4" w:space="0" w:color="auto"/>
            </w:tcBorders>
            <w:shd w:val="clear" w:color="000000" w:fill="C6E0B4"/>
            <w:vAlign w:val="center"/>
            <w:hideMark/>
          </w:tcPr>
          <w:p w:rsidR="007716A8" w:rsidRDefault="007716A8" w:rsidP="000C208E">
            <w:pPr>
              <w:jc w:val="right"/>
              <w:rPr>
                <w:b/>
                <w:bCs/>
                <w:color w:val="000000"/>
                <w:sz w:val="20"/>
                <w:szCs w:val="20"/>
              </w:rPr>
            </w:pPr>
            <w:r>
              <w:rPr>
                <w:b/>
                <w:bCs/>
                <w:color w:val="000000"/>
                <w:sz w:val="20"/>
                <w:szCs w:val="20"/>
              </w:rPr>
              <w:t>0</w:t>
            </w:r>
          </w:p>
        </w:tc>
        <w:tc>
          <w:tcPr>
            <w:tcW w:w="618" w:type="dxa"/>
            <w:tcBorders>
              <w:top w:val="nil"/>
              <w:left w:val="nil"/>
              <w:bottom w:val="single" w:sz="4" w:space="0" w:color="auto"/>
              <w:right w:val="single" w:sz="4" w:space="0" w:color="auto"/>
            </w:tcBorders>
            <w:shd w:val="clear" w:color="000000" w:fill="C6E0B4"/>
            <w:vAlign w:val="center"/>
            <w:hideMark/>
          </w:tcPr>
          <w:p w:rsidR="007716A8" w:rsidRDefault="007716A8" w:rsidP="000C208E">
            <w:pPr>
              <w:jc w:val="right"/>
              <w:rPr>
                <w:b/>
                <w:bCs/>
                <w:color w:val="000000"/>
                <w:sz w:val="20"/>
                <w:szCs w:val="20"/>
              </w:rPr>
            </w:pPr>
            <w:r>
              <w:rPr>
                <w:b/>
                <w:bCs/>
                <w:color w:val="000000"/>
                <w:sz w:val="20"/>
                <w:szCs w:val="20"/>
              </w:rPr>
              <w:t>0</w:t>
            </w:r>
          </w:p>
        </w:tc>
        <w:tc>
          <w:tcPr>
            <w:tcW w:w="618" w:type="dxa"/>
            <w:tcBorders>
              <w:top w:val="nil"/>
              <w:left w:val="nil"/>
              <w:bottom w:val="single" w:sz="4" w:space="0" w:color="auto"/>
              <w:right w:val="single" w:sz="4" w:space="0" w:color="auto"/>
            </w:tcBorders>
            <w:shd w:val="clear" w:color="000000" w:fill="C6E0B4"/>
            <w:vAlign w:val="center"/>
            <w:hideMark/>
          </w:tcPr>
          <w:p w:rsidR="007716A8" w:rsidRDefault="007716A8" w:rsidP="000C208E">
            <w:pPr>
              <w:jc w:val="right"/>
              <w:rPr>
                <w:b/>
                <w:bCs/>
                <w:color w:val="000000"/>
                <w:sz w:val="20"/>
                <w:szCs w:val="20"/>
              </w:rPr>
            </w:pPr>
            <w:r>
              <w:rPr>
                <w:b/>
                <w:bCs/>
                <w:color w:val="000000"/>
                <w:sz w:val="20"/>
                <w:szCs w:val="20"/>
              </w:rPr>
              <w:t>0</w:t>
            </w:r>
          </w:p>
        </w:tc>
        <w:tc>
          <w:tcPr>
            <w:tcW w:w="618" w:type="dxa"/>
            <w:tcBorders>
              <w:top w:val="nil"/>
              <w:left w:val="nil"/>
              <w:bottom w:val="single" w:sz="4" w:space="0" w:color="auto"/>
              <w:right w:val="single" w:sz="4" w:space="0" w:color="auto"/>
            </w:tcBorders>
            <w:shd w:val="clear" w:color="000000" w:fill="C6E0B4"/>
            <w:vAlign w:val="center"/>
            <w:hideMark/>
          </w:tcPr>
          <w:p w:rsidR="007716A8" w:rsidRDefault="007716A8" w:rsidP="000C208E">
            <w:pPr>
              <w:jc w:val="right"/>
              <w:rPr>
                <w:b/>
                <w:bCs/>
                <w:color w:val="000000"/>
                <w:sz w:val="20"/>
                <w:szCs w:val="20"/>
              </w:rPr>
            </w:pPr>
            <w:r>
              <w:rPr>
                <w:b/>
                <w:bCs/>
                <w:color w:val="000000"/>
                <w:sz w:val="20"/>
                <w:szCs w:val="20"/>
              </w:rPr>
              <w:t>0</w:t>
            </w:r>
          </w:p>
        </w:tc>
        <w:tc>
          <w:tcPr>
            <w:tcW w:w="618" w:type="dxa"/>
            <w:tcBorders>
              <w:top w:val="nil"/>
              <w:left w:val="nil"/>
              <w:bottom w:val="single" w:sz="4" w:space="0" w:color="auto"/>
              <w:right w:val="single" w:sz="4" w:space="0" w:color="auto"/>
            </w:tcBorders>
            <w:shd w:val="clear" w:color="000000" w:fill="C6E0B4"/>
            <w:vAlign w:val="center"/>
            <w:hideMark/>
          </w:tcPr>
          <w:p w:rsidR="007716A8" w:rsidRDefault="007716A8" w:rsidP="000C208E">
            <w:pPr>
              <w:jc w:val="right"/>
              <w:rPr>
                <w:b/>
                <w:bCs/>
                <w:color w:val="000000"/>
                <w:sz w:val="20"/>
                <w:szCs w:val="20"/>
              </w:rPr>
            </w:pPr>
            <w:r>
              <w:rPr>
                <w:b/>
                <w:bCs/>
                <w:color w:val="000000"/>
                <w:sz w:val="20"/>
                <w:szCs w:val="20"/>
              </w:rPr>
              <w:t>2 074 098</w:t>
            </w:r>
          </w:p>
        </w:tc>
      </w:tr>
      <w:tr w:rsidR="007716A8" w:rsidTr="000C208E">
        <w:trPr>
          <w:gridAfter w:val="1"/>
          <w:wAfter w:w="8" w:type="dxa"/>
          <w:trHeight w:val="257"/>
        </w:trPr>
        <w:tc>
          <w:tcPr>
            <w:tcW w:w="2815" w:type="dxa"/>
            <w:tcBorders>
              <w:top w:val="nil"/>
              <w:left w:val="single" w:sz="4" w:space="0" w:color="auto"/>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Radioaktīvo atkritumu tvertnes būvniecība</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sz w:val="20"/>
                <w:szCs w:val="20"/>
              </w:rPr>
            </w:pPr>
            <w:r>
              <w:rPr>
                <w:i/>
                <w:iCs/>
                <w:sz w:val="20"/>
                <w:szCs w:val="20"/>
              </w:rPr>
              <w:t>23 736</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271 770</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498 329</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310 912</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329 057</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1 433 804</w:t>
            </w:r>
          </w:p>
        </w:tc>
      </w:tr>
      <w:tr w:rsidR="007716A8" w:rsidTr="000C208E">
        <w:trPr>
          <w:gridAfter w:val="1"/>
          <w:wAfter w:w="8" w:type="dxa"/>
          <w:trHeight w:val="515"/>
        </w:trPr>
        <w:tc>
          <w:tcPr>
            <w:tcW w:w="2815" w:type="dxa"/>
            <w:tcBorders>
              <w:top w:val="nil"/>
              <w:left w:val="single" w:sz="4" w:space="0" w:color="auto"/>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Esošo radioaktīvo atkritumu tvertņu ilgtermiņa drošības uzlabojumi</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56 915</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156 517</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213 432</w:t>
            </w:r>
          </w:p>
        </w:tc>
      </w:tr>
      <w:tr w:rsidR="007716A8" w:rsidTr="000C208E">
        <w:trPr>
          <w:gridAfter w:val="1"/>
          <w:wAfter w:w="8" w:type="dxa"/>
          <w:trHeight w:val="257"/>
        </w:trPr>
        <w:tc>
          <w:tcPr>
            <w:tcW w:w="2815" w:type="dxa"/>
            <w:tcBorders>
              <w:top w:val="nil"/>
              <w:left w:val="single" w:sz="4" w:space="0" w:color="auto"/>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Ilgtermiņu glabātavas būvniecība</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85 372</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284 575</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56 915</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426 862</w:t>
            </w:r>
          </w:p>
        </w:tc>
      </w:tr>
      <w:tr w:rsidR="007716A8" w:rsidTr="000C208E">
        <w:trPr>
          <w:gridAfter w:val="1"/>
          <w:wAfter w:w="8" w:type="dxa"/>
          <w:trHeight w:val="772"/>
        </w:trPr>
        <w:tc>
          <w:tcPr>
            <w:tcW w:w="2815" w:type="dxa"/>
            <w:tcBorders>
              <w:top w:val="nil"/>
              <w:left w:val="single" w:sz="4" w:space="0" w:color="auto"/>
              <w:bottom w:val="single" w:sz="4" w:space="0" w:color="auto"/>
              <w:right w:val="single" w:sz="4" w:space="0" w:color="auto"/>
            </w:tcBorders>
            <w:shd w:val="clear" w:color="000000" w:fill="C6E0B4"/>
            <w:vAlign w:val="center"/>
            <w:hideMark/>
          </w:tcPr>
          <w:p w:rsidR="007716A8" w:rsidRDefault="007716A8" w:rsidP="000C208E">
            <w:pPr>
              <w:rPr>
                <w:b/>
                <w:bCs/>
                <w:color w:val="000000"/>
                <w:sz w:val="20"/>
                <w:szCs w:val="20"/>
              </w:rPr>
            </w:pPr>
            <w:r>
              <w:rPr>
                <w:b/>
                <w:bCs/>
                <w:color w:val="000000"/>
                <w:sz w:val="20"/>
                <w:szCs w:val="20"/>
              </w:rPr>
              <w:lastRenderedPageBreak/>
              <w:t>t.sk. piešķirtais finansējums "Salaspils  kodolreaktora likvidācijas pasākumu kopuma izpildes nodrošināšana" t.sk.</w:t>
            </w:r>
          </w:p>
        </w:tc>
        <w:tc>
          <w:tcPr>
            <w:tcW w:w="618" w:type="dxa"/>
            <w:tcBorders>
              <w:top w:val="nil"/>
              <w:left w:val="nil"/>
              <w:bottom w:val="single" w:sz="4" w:space="0" w:color="auto"/>
              <w:right w:val="single" w:sz="4" w:space="0" w:color="auto"/>
            </w:tcBorders>
            <w:shd w:val="clear" w:color="000000" w:fill="C6E0B4"/>
            <w:vAlign w:val="center"/>
            <w:hideMark/>
          </w:tcPr>
          <w:p w:rsidR="007716A8" w:rsidRDefault="007716A8" w:rsidP="000C208E">
            <w:pPr>
              <w:jc w:val="right"/>
              <w:rPr>
                <w:b/>
                <w:bCs/>
                <w:color w:val="000000"/>
                <w:sz w:val="20"/>
                <w:szCs w:val="20"/>
              </w:rPr>
            </w:pPr>
            <w:r>
              <w:rPr>
                <w:b/>
                <w:bCs/>
                <w:color w:val="000000"/>
                <w:sz w:val="20"/>
                <w:szCs w:val="20"/>
              </w:rPr>
              <w:t>0</w:t>
            </w:r>
          </w:p>
        </w:tc>
        <w:tc>
          <w:tcPr>
            <w:tcW w:w="618" w:type="dxa"/>
            <w:tcBorders>
              <w:top w:val="nil"/>
              <w:left w:val="nil"/>
              <w:bottom w:val="single" w:sz="4" w:space="0" w:color="auto"/>
              <w:right w:val="single" w:sz="4" w:space="0" w:color="auto"/>
            </w:tcBorders>
            <w:shd w:val="clear" w:color="000000" w:fill="C6E0B4"/>
            <w:vAlign w:val="center"/>
            <w:hideMark/>
          </w:tcPr>
          <w:p w:rsidR="007716A8" w:rsidRDefault="007716A8" w:rsidP="000C208E">
            <w:pPr>
              <w:jc w:val="right"/>
              <w:rPr>
                <w:b/>
                <w:bCs/>
                <w:color w:val="000000"/>
                <w:sz w:val="20"/>
                <w:szCs w:val="20"/>
              </w:rPr>
            </w:pPr>
            <w:r>
              <w:rPr>
                <w:b/>
                <w:bCs/>
                <w:color w:val="000000"/>
                <w:sz w:val="20"/>
                <w:szCs w:val="20"/>
              </w:rPr>
              <w:t>295 000</w:t>
            </w:r>
          </w:p>
        </w:tc>
        <w:tc>
          <w:tcPr>
            <w:tcW w:w="618" w:type="dxa"/>
            <w:tcBorders>
              <w:top w:val="nil"/>
              <w:left w:val="nil"/>
              <w:bottom w:val="single" w:sz="4" w:space="0" w:color="auto"/>
              <w:right w:val="single" w:sz="4" w:space="0" w:color="auto"/>
            </w:tcBorders>
            <w:shd w:val="clear" w:color="000000" w:fill="C6E0B4"/>
            <w:vAlign w:val="center"/>
            <w:hideMark/>
          </w:tcPr>
          <w:p w:rsidR="007716A8" w:rsidRDefault="007716A8" w:rsidP="000C208E">
            <w:pPr>
              <w:jc w:val="right"/>
              <w:rPr>
                <w:b/>
                <w:bCs/>
                <w:color w:val="000000"/>
                <w:sz w:val="20"/>
                <w:szCs w:val="20"/>
              </w:rPr>
            </w:pPr>
            <w:r>
              <w:rPr>
                <w:b/>
                <w:bCs/>
                <w:color w:val="000000"/>
                <w:sz w:val="20"/>
                <w:szCs w:val="20"/>
              </w:rPr>
              <w:t>0</w:t>
            </w:r>
          </w:p>
        </w:tc>
        <w:tc>
          <w:tcPr>
            <w:tcW w:w="618" w:type="dxa"/>
            <w:tcBorders>
              <w:top w:val="nil"/>
              <w:left w:val="nil"/>
              <w:bottom w:val="single" w:sz="4" w:space="0" w:color="auto"/>
              <w:right w:val="single" w:sz="4" w:space="0" w:color="auto"/>
            </w:tcBorders>
            <w:shd w:val="clear" w:color="000000" w:fill="C6E0B4"/>
            <w:vAlign w:val="center"/>
            <w:hideMark/>
          </w:tcPr>
          <w:p w:rsidR="007716A8" w:rsidRDefault="007716A8" w:rsidP="000C208E">
            <w:pPr>
              <w:jc w:val="right"/>
              <w:rPr>
                <w:b/>
                <w:bCs/>
                <w:color w:val="000000"/>
                <w:sz w:val="20"/>
                <w:szCs w:val="20"/>
              </w:rPr>
            </w:pPr>
            <w:r>
              <w:rPr>
                <w:b/>
                <w:bCs/>
                <w:color w:val="000000"/>
                <w:sz w:val="20"/>
                <w:szCs w:val="20"/>
              </w:rPr>
              <w:t>1 195 000</w:t>
            </w:r>
          </w:p>
        </w:tc>
        <w:tc>
          <w:tcPr>
            <w:tcW w:w="618" w:type="dxa"/>
            <w:tcBorders>
              <w:top w:val="nil"/>
              <w:left w:val="nil"/>
              <w:bottom w:val="single" w:sz="4" w:space="0" w:color="auto"/>
              <w:right w:val="single" w:sz="4" w:space="0" w:color="auto"/>
            </w:tcBorders>
            <w:shd w:val="clear" w:color="000000" w:fill="C6E0B4"/>
            <w:vAlign w:val="center"/>
            <w:hideMark/>
          </w:tcPr>
          <w:p w:rsidR="007716A8" w:rsidRDefault="007716A8" w:rsidP="000C208E">
            <w:pPr>
              <w:jc w:val="right"/>
              <w:rPr>
                <w:b/>
                <w:bCs/>
                <w:color w:val="000000"/>
                <w:sz w:val="20"/>
                <w:szCs w:val="20"/>
              </w:rPr>
            </w:pPr>
            <w:r>
              <w:rPr>
                <w:b/>
                <w:bCs/>
                <w:color w:val="000000"/>
                <w:sz w:val="20"/>
                <w:szCs w:val="20"/>
              </w:rPr>
              <w:t>2 250 000</w:t>
            </w:r>
          </w:p>
        </w:tc>
        <w:tc>
          <w:tcPr>
            <w:tcW w:w="618" w:type="dxa"/>
            <w:tcBorders>
              <w:top w:val="nil"/>
              <w:left w:val="nil"/>
              <w:bottom w:val="single" w:sz="4" w:space="0" w:color="auto"/>
              <w:right w:val="single" w:sz="4" w:space="0" w:color="auto"/>
            </w:tcBorders>
            <w:shd w:val="clear" w:color="000000" w:fill="C6E0B4"/>
            <w:vAlign w:val="center"/>
            <w:hideMark/>
          </w:tcPr>
          <w:p w:rsidR="007716A8" w:rsidRDefault="007716A8" w:rsidP="000C208E">
            <w:pPr>
              <w:jc w:val="right"/>
              <w:rPr>
                <w:b/>
                <w:bCs/>
                <w:color w:val="000000"/>
                <w:sz w:val="20"/>
                <w:szCs w:val="20"/>
              </w:rPr>
            </w:pPr>
            <w:r>
              <w:rPr>
                <w:b/>
                <w:bCs/>
                <w:color w:val="000000"/>
                <w:sz w:val="20"/>
                <w:szCs w:val="20"/>
              </w:rPr>
              <w:t>984 000</w:t>
            </w:r>
          </w:p>
        </w:tc>
        <w:tc>
          <w:tcPr>
            <w:tcW w:w="618" w:type="dxa"/>
            <w:tcBorders>
              <w:top w:val="nil"/>
              <w:left w:val="nil"/>
              <w:bottom w:val="single" w:sz="4" w:space="0" w:color="auto"/>
              <w:right w:val="single" w:sz="4" w:space="0" w:color="auto"/>
            </w:tcBorders>
            <w:shd w:val="clear" w:color="000000" w:fill="C6E0B4"/>
            <w:vAlign w:val="center"/>
            <w:hideMark/>
          </w:tcPr>
          <w:p w:rsidR="007716A8" w:rsidRDefault="007716A8" w:rsidP="000C208E">
            <w:pPr>
              <w:jc w:val="right"/>
              <w:rPr>
                <w:b/>
                <w:bCs/>
                <w:color w:val="000000"/>
                <w:sz w:val="20"/>
                <w:szCs w:val="20"/>
              </w:rPr>
            </w:pPr>
            <w:r>
              <w:rPr>
                <w:b/>
                <w:bCs/>
                <w:color w:val="000000"/>
                <w:sz w:val="20"/>
                <w:szCs w:val="20"/>
              </w:rPr>
              <w:t>935 000</w:t>
            </w:r>
          </w:p>
        </w:tc>
        <w:tc>
          <w:tcPr>
            <w:tcW w:w="618" w:type="dxa"/>
            <w:tcBorders>
              <w:top w:val="nil"/>
              <w:left w:val="nil"/>
              <w:bottom w:val="single" w:sz="4" w:space="0" w:color="auto"/>
              <w:right w:val="single" w:sz="4" w:space="0" w:color="auto"/>
            </w:tcBorders>
            <w:shd w:val="clear" w:color="000000" w:fill="C6E0B4"/>
            <w:vAlign w:val="center"/>
            <w:hideMark/>
          </w:tcPr>
          <w:p w:rsidR="007716A8" w:rsidRDefault="007716A8" w:rsidP="000C208E">
            <w:pPr>
              <w:jc w:val="right"/>
              <w:rPr>
                <w:b/>
                <w:bCs/>
                <w:color w:val="000000"/>
                <w:sz w:val="20"/>
                <w:szCs w:val="20"/>
              </w:rPr>
            </w:pPr>
            <w:r>
              <w:rPr>
                <w:b/>
                <w:bCs/>
                <w:color w:val="000000"/>
                <w:sz w:val="20"/>
                <w:szCs w:val="20"/>
              </w:rPr>
              <w:t>0</w:t>
            </w:r>
          </w:p>
        </w:tc>
        <w:tc>
          <w:tcPr>
            <w:tcW w:w="618" w:type="dxa"/>
            <w:tcBorders>
              <w:top w:val="nil"/>
              <w:left w:val="nil"/>
              <w:bottom w:val="single" w:sz="4" w:space="0" w:color="auto"/>
              <w:right w:val="single" w:sz="4" w:space="0" w:color="auto"/>
            </w:tcBorders>
            <w:shd w:val="clear" w:color="000000" w:fill="C6E0B4"/>
            <w:vAlign w:val="center"/>
            <w:hideMark/>
          </w:tcPr>
          <w:p w:rsidR="007716A8" w:rsidRDefault="007716A8" w:rsidP="000C208E">
            <w:pPr>
              <w:jc w:val="right"/>
              <w:rPr>
                <w:b/>
                <w:bCs/>
                <w:color w:val="000000"/>
                <w:sz w:val="20"/>
                <w:szCs w:val="20"/>
              </w:rPr>
            </w:pPr>
            <w:r>
              <w:rPr>
                <w:b/>
                <w:bCs/>
                <w:color w:val="000000"/>
                <w:sz w:val="20"/>
                <w:szCs w:val="20"/>
              </w:rPr>
              <w:t>0</w:t>
            </w:r>
          </w:p>
        </w:tc>
        <w:tc>
          <w:tcPr>
            <w:tcW w:w="618" w:type="dxa"/>
            <w:tcBorders>
              <w:top w:val="nil"/>
              <w:left w:val="nil"/>
              <w:bottom w:val="single" w:sz="4" w:space="0" w:color="auto"/>
              <w:right w:val="single" w:sz="4" w:space="0" w:color="auto"/>
            </w:tcBorders>
            <w:shd w:val="clear" w:color="000000" w:fill="C6E0B4"/>
            <w:vAlign w:val="center"/>
            <w:hideMark/>
          </w:tcPr>
          <w:p w:rsidR="007716A8" w:rsidRDefault="007716A8" w:rsidP="000C208E">
            <w:pPr>
              <w:jc w:val="right"/>
              <w:rPr>
                <w:b/>
                <w:bCs/>
                <w:color w:val="000000"/>
                <w:sz w:val="20"/>
                <w:szCs w:val="20"/>
              </w:rPr>
            </w:pPr>
            <w:r>
              <w:rPr>
                <w:b/>
                <w:bCs/>
                <w:color w:val="000000"/>
                <w:sz w:val="20"/>
                <w:szCs w:val="20"/>
              </w:rPr>
              <w:t>5 659 000</w:t>
            </w:r>
          </w:p>
        </w:tc>
      </w:tr>
      <w:tr w:rsidR="007716A8" w:rsidTr="000C208E">
        <w:trPr>
          <w:gridAfter w:val="1"/>
          <w:wAfter w:w="8" w:type="dxa"/>
          <w:trHeight w:val="772"/>
        </w:trPr>
        <w:tc>
          <w:tcPr>
            <w:tcW w:w="2815" w:type="dxa"/>
            <w:tcBorders>
              <w:top w:val="nil"/>
              <w:left w:val="single" w:sz="4" w:space="0" w:color="auto"/>
              <w:bottom w:val="single" w:sz="4" w:space="0" w:color="auto"/>
              <w:right w:val="single" w:sz="4" w:space="0" w:color="auto"/>
            </w:tcBorders>
            <w:shd w:val="clear" w:color="auto" w:fill="auto"/>
            <w:vAlign w:val="center"/>
            <w:hideMark/>
          </w:tcPr>
          <w:p w:rsidR="007716A8" w:rsidRDefault="007716A8" w:rsidP="000C208E">
            <w:pPr>
              <w:rPr>
                <w:b/>
                <w:bCs/>
                <w:color w:val="000000"/>
                <w:sz w:val="20"/>
                <w:szCs w:val="20"/>
              </w:rPr>
            </w:pPr>
            <w:r>
              <w:rPr>
                <w:b/>
                <w:bCs/>
                <w:color w:val="000000"/>
                <w:sz w:val="20"/>
                <w:szCs w:val="20"/>
              </w:rPr>
              <w:t>Laika periodā no 2014.gada līdz 2018.gada 30.jūnijam no piešķirtā finansējuma veiktie faktiskie izdevumi vai veiktas finansējuma pārdales*</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center"/>
              <w:rPr>
                <w:b/>
                <w:bCs/>
                <w:color w:val="000000"/>
                <w:sz w:val="20"/>
                <w:szCs w:val="20"/>
              </w:rPr>
            </w:pPr>
            <w:r>
              <w:rPr>
                <w:b/>
                <w:bCs/>
                <w:color w:val="000000"/>
                <w:sz w:val="20"/>
                <w:szCs w:val="20"/>
              </w:rPr>
              <w:t>0</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color w:val="000000"/>
                <w:sz w:val="20"/>
                <w:szCs w:val="20"/>
              </w:rPr>
            </w:pPr>
            <w:r>
              <w:rPr>
                <w:color w:val="000000"/>
                <w:sz w:val="20"/>
                <w:szCs w:val="20"/>
              </w:rPr>
              <w:t>2 606</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color w:val="000000"/>
                <w:sz w:val="20"/>
                <w:szCs w:val="20"/>
              </w:rPr>
            </w:pPr>
            <w:r>
              <w:rPr>
                <w:color w:val="000000"/>
                <w:sz w:val="20"/>
                <w:szCs w:val="20"/>
              </w:rPr>
              <w:t>2 541</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color w:val="000000"/>
                <w:sz w:val="20"/>
                <w:szCs w:val="20"/>
              </w:rPr>
            </w:pPr>
            <w:r>
              <w:rPr>
                <w:color w:val="000000"/>
                <w:sz w:val="20"/>
                <w:szCs w:val="20"/>
              </w:rPr>
              <w:t>0</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color w:val="000000"/>
                <w:sz w:val="20"/>
                <w:szCs w:val="20"/>
              </w:rPr>
            </w:pPr>
            <w:r>
              <w:rPr>
                <w:color w:val="000000"/>
                <w:sz w:val="20"/>
                <w:szCs w:val="20"/>
              </w:rPr>
              <w:t>400 000</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color w:val="000000"/>
                <w:sz w:val="20"/>
                <w:szCs w:val="20"/>
              </w:rPr>
            </w:pPr>
            <w:r>
              <w:rPr>
                <w:color w:val="000000"/>
                <w:sz w:val="20"/>
                <w:szCs w:val="20"/>
              </w:rPr>
              <w:t>0</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color w:val="000000"/>
                <w:sz w:val="20"/>
                <w:szCs w:val="20"/>
              </w:rPr>
            </w:pPr>
            <w:r>
              <w:rPr>
                <w:color w:val="000000"/>
                <w:sz w:val="20"/>
                <w:szCs w:val="20"/>
              </w:rPr>
              <w:t>0</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color w:val="000000"/>
                <w:sz w:val="20"/>
                <w:szCs w:val="20"/>
              </w:rPr>
            </w:pPr>
            <w:r>
              <w:rPr>
                <w:color w:val="000000"/>
                <w:sz w:val="20"/>
                <w:szCs w:val="20"/>
              </w:rPr>
              <w:t>0</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color w:val="000000"/>
                <w:sz w:val="20"/>
                <w:szCs w:val="20"/>
              </w:rPr>
            </w:pPr>
            <w:r>
              <w:rPr>
                <w:color w:val="000000"/>
                <w:sz w:val="20"/>
                <w:szCs w:val="20"/>
              </w:rPr>
              <w:t>0</w:t>
            </w:r>
          </w:p>
        </w:tc>
        <w:tc>
          <w:tcPr>
            <w:tcW w:w="618"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color w:val="000000"/>
                <w:sz w:val="20"/>
                <w:szCs w:val="20"/>
              </w:rPr>
            </w:pPr>
            <w:r>
              <w:rPr>
                <w:color w:val="000000"/>
                <w:sz w:val="20"/>
                <w:szCs w:val="20"/>
              </w:rPr>
              <w:t>405 147</w:t>
            </w:r>
          </w:p>
        </w:tc>
      </w:tr>
      <w:tr w:rsidR="007716A8" w:rsidTr="000C208E">
        <w:trPr>
          <w:gridAfter w:val="1"/>
          <w:wAfter w:w="8" w:type="dxa"/>
          <w:trHeight w:val="772"/>
        </w:trPr>
        <w:tc>
          <w:tcPr>
            <w:tcW w:w="2815" w:type="dxa"/>
            <w:tcBorders>
              <w:top w:val="nil"/>
              <w:left w:val="single" w:sz="4" w:space="0" w:color="auto"/>
              <w:bottom w:val="single" w:sz="4" w:space="0" w:color="auto"/>
              <w:right w:val="single" w:sz="4" w:space="0" w:color="auto"/>
            </w:tcBorders>
            <w:shd w:val="clear" w:color="000000" w:fill="70AD47"/>
            <w:vAlign w:val="center"/>
            <w:hideMark/>
          </w:tcPr>
          <w:p w:rsidR="007716A8" w:rsidRDefault="007716A8" w:rsidP="000C208E">
            <w:pPr>
              <w:rPr>
                <w:b/>
                <w:bCs/>
                <w:color w:val="000000"/>
                <w:sz w:val="20"/>
                <w:szCs w:val="20"/>
              </w:rPr>
            </w:pPr>
            <w:r>
              <w:rPr>
                <w:b/>
                <w:bCs/>
                <w:color w:val="000000"/>
                <w:sz w:val="20"/>
                <w:szCs w:val="20"/>
              </w:rPr>
              <w:t>Pieejamais finansējums KOPĀ, ņemot vērā jau faktiski veiktos izdevumus (LVĢMC) un finansējuma pārdales</w:t>
            </w:r>
          </w:p>
        </w:tc>
        <w:tc>
          <w:tcPr>
            <w:tcW w:w="618" w:type="dxa"/>
            <w:tcBorders>
              <w:top w:val="nil"/>
              <w:left w:val="nil"/>
              <w:bottom w:val="single" w:sz="4" w:space="0" w:color="auto"/>
              <w:right w:val="single" w:sz="4" w:space="0" w:color="auto"/>
            </w:tcBorders>
            <w:shd w:val="clear" w:color="000000" w:fill="70AD47"/>
            <w:vAlign w:val="center"/>
            <w:hideMark/>
          </w:tcPr>
          <w:p w:rsidR="007716A8" w:rsidRDefault="007716A8" w:rsidP="000C208E">
            <w:pPr>
              <w:jc w:val="right"/>
              <w:rPr>
                <w:b/>
                <w:bCs/>
                <w:color w:val="000000"/>
                <w:sz w:val="20"/>
                <w:szCs w:val="20"/>
              </w:rPr>
            </w:pPr>
            <w:r>
              <w:rPr>
                <w:b/>
                <w:bCs/>
                <w:color w:val="000000"/>
                <w:sz w:val="20"/>
                <w:szCs w:val="20"/>
              </w:rPr>
              <w:t>23 736</w:t>
            </w:r>
          </w:p>
        </w:tc>
        <w:tc>
          <w:tcPr>
            <w:tcW w:w="618" w:type="dxa"/>
            <w:tcBorders>
              <w:top w:val="nil"/>
              <w:left w:val="nil"/>
              <w:bottom w:val="single" w:sz="4" w:space="0" w:color="auto"/>
              <w:right w:val="single" w:sz="4" w:space="0" w:color="auto"/>
            </w:tcBorders>
            <w:shd w:val="clear" w:color="000000" w:fill="70AD47"/>
            <w:vAlign w:val="center"/>
            <w:hideMark/>
          </w:tcPr>
          <w:p w:rsidR="007716A8" w:rsidRDefault="007716A8" w:rsidP="000C208E">
            <w:pPr>
              <w:jc w:val="right"/>
              <w:rPr>
                <w:b/>
                <w:bCs/>
                <w:color w:val="000000"/>
                <w:sz w:val="20"/>
                <w:szCs w:val="20"/>
              </w:rPr>
            </w:pPr>
            <w:r>
              <w:rPr>
                <w:b/>
                <w:bCs/>
                <w:color w:val="000000"/>
                <w:sz w:val="20"/>
                <w:szCs w:val="20"/>
              </w:rPr>
              <w:t>649 536</w:t>
            </w:r>
          </w:p>
        </w:tc>
        <w:tc>
          <w:tcPr>
            <w:tcW w:w="618" w:type="dxa"/>
            <w:tcBorders>
              <w:top w:val="nil"/>
              <w:left w:val="nil"/>
              <w:bottom w:val="single" w:sz="4" w:space="0" w:color="auto"/>
              <w:right w:val="single" w:sz="4" w:space="0" w:color="auto"/>
            </w:tcBorders>
            <w:shd w:val="clear" w:color="000000" w:fill="70AD47"/>
            <w:vAlign w:val="center"/>
            <w:hideMark/>
          </w:tcPr>
          <w:p w:rsidR="007716A8" w:rsidRDefault="007716A8" w:rsidP="000C208E">
            <w:pPr>
              <w:jc w:val="right"/>
              <w:rPr>
                <w:b/>
                <w:bCs/>
                <w:color w:val="000000"/>
                <w:sz w:val="20"/>
                <w:szCs w:val="20"/>
              </w:rPr>
            </w:pPr>
            <w:r>
              <w:rPr>
                <w:b/>
                <w:bCs/>
                <w:color w:val="000000"/>
                <w:sz w:val="20"/>
                <w:szCs w:val="20"/>
              </w:rPr>
              <w:t>495 788</w:t>
            </w:r>
          </w:p>
        </w:tc>
        <w:tc>
          <w:tcPr>
            <w:tcW w:w="618" w:type="dxa"/>
            <w:tcBorders>
              <w:top w:val="nil"/>
              <w:left w:val="nil"/>
              <w:bottom w:val="single" w:sz="4" w:space="0" w:color="auto"/>
              <w:right w:val="single" w:sz="4" w:space="0" w:color="auto"/>
            </w:tcBorders>
            <w:shd w:val="clear" w:color="000000" w:fill="70AD47"/>
            <w:vAlign w:val="center"/>
            <w:hideMark/>
          </w:tcPr>
          <w:p w:rsidR="007716A8" w:rsidRDefault="007716A8" w:rsidP="000C208E">
            <w:pPr>
              <w:jc w:val="right"/>
              <w:rPr>
                <w:b/>
                <w:bCs/>
                <w:color w:val="000000"/>
                <w:sz w:val="20"/>
                <w:szCs w:val="20"/>
              </w:rPr>
            </w:pPr>
            <w:r>
              <w:rPr>
                <w:b/>
                <w:bCs/>
                <w:color w:val="000000"/>
                <w:sz w:val="20"/>
                <w:szCs w:val="20"/>
              </w:rPr>
              <w:t>1 847 402</w:t>
            </w:r>
          </w:p>
        </w:tc>
        <w:tc>
          <w:tcPr>
            <w:tcW w:w="618" w:type="dxa"/>
            <w:tcBorders>
              <w:top w:val="nil"/>
              <w:left w:val="nil"/>
              <w:bottom w:val="single" w:sz="4" w:space="0" w:color="auto"/>
              <w:right w:val="single" w:sz="4" w:space="0" w:color="auto"/>
            </w:tcBorders>
            <w:shd w:val="clear" w:color="000000" w:fill="70AD47"/>
            <w:vAlign w:val="center"/>
            <w:hideMark/>
          </w:tcPr>
          <w:p w:rsidR="007716A8" w:rsidRDefault="007716A8" w:rsidP="000C208E">
            <w:pPr>
              <w:jc w:val="right"/>
              <w:rPr>
                <w:b/>
                <w:bCs/>
                <w:color w:val="000000"/>
                <w:sz w:val="20"/>
                <w:szCs w:val="20"/>
              </w:rPr>
            </w:pPr>
            <w:r>
              <w:rPr>
                <w:b/>
                <w:bCs/>
                <w:color w:val="000000"/>
                <w:sz w:val="20"/>
                <w:szCs w:val="20"/>
              </w:rPr>
              <w:t>2 392 489</w:t>
            </w:r>
          </w:p>
        </w:tc>
        <w:tc>
          <w:tcPr>
            <w:tcW w:w="618" w:type="dxa"/>
            <w:tcBorders>
              <w:top w:val="nil"/>
              <w:left w:val="nil"/>
              <w:bottom w:val="single" w:sz="4" w:space="0" w:color="auto"/>
              <w:right w:val="single" w:sz="4" w:space="0" w:color="auto"/>
            </w:tcBorders>
            <w:shd w:val="clear" w:color="000000" w:fill="70AD47"/>
            <w:vAlign w:val="center"/>
            <w:hideMark/>
          </w:tcPr>
          <w:p w:rsidR="007716A8" w:rsidRDefault="007716A8" w:rsidP="000C208E">
            <w:pPr>
              <w:jc w:val="right"/>
              <w:rPr>
                <w:b/>
                <w:bCs/>
                <w:color w:val="000000"/>
                <w:sz w:val="20"/>
                <w:szCs w:val="20"/>
              </w:rPr>
            </w:pPr>
            <w:r>
              <w:rPr>
                <w:b/>
                <w:bCs/>
                <w:color w:val="000000"/>
                <w:sz w:val="20"/>
                <w:szCs w:val="20"/>
              </w:rPr>
              <w:t>984 000</w:t>
            </w:r>
          </w:p>
        </w:tc>
        <w:tc>
          <w:tcPr>
            <w:tcW w:w="618" w:type="dxa"/>
            <w:tcBorders>
              <w:top w:val="nil"/>
              <w:left w:val="nil"/>
              <w:bottom w:val="single" w:sz="4" w:space="0" w:color="auto"/>
              <w:right w:val="single" w:sz="4" w:space="0" w:color="auto"/>
            </w:tcBorders>
            <w:shd w:val="clear" w:color="000000" w:fill="70AD47"/>
            <w:vAlign w:val="center"/>
            <w:hideMark/>
          </w:tcPr>
          <w:p w:rsidR="007716A8" w:rsidRDefault="007716A8" w:rsidP="000C208E">
            <w:pPr>
              <w:jc w:val="right"/>
              <w:rPr>
                <w:b/>
                <w:bCs/>
                <w:color w:val="000000"/>
                <w:sz w:val="20"/>
                <w:szCs w:val="20"/>
              </w:rPr>
            </w:pPr>
            <w:r>
              <w:rPr>
                <w:b/>
                <w:bCs/>
                <w:color w:val="000000"/>
                <w:sz w:val="20"/>
                <w:szCs w:val="20"/>
              </w:rPr>
              <w:t>935 000</w:t>
            </w:r>
          </w:p>
        </w:tc>
        <w:tc>
          <w:tcPr>
            <w:tcW w:w="618" w:type="dxa"/>
            <w:tcBorders>
              <w:top w:val="nil"/>
              <w:left w:val="nil"/>
              <w:bottom w:val="single" w:sz="4" w:space="0" w:color="auto"/>
              <w:right w:val="single" w:sz="4" w:space="0" w:color="auto"/>
            </w:tcBorders>
            <w:shd w:val="clear" w:color="000000" w:fill="70AD47"/>
            <w:vAlign w:val="center"/>
            <w:hideMark/>
          </w:tcPr>
          <w:p w:rsidR="007716A8" w:rsidRDefault="007716A8" w:rsidP="000C208E">
            <w:pPr>
              <w:jc w:val="right"/>
              <w:rPr>
                <w:b/>
                <w:bCs/>
                <w:color w:val="000000"/>
                <w:sz w:val="20"/>
                <w:szCs w:val="20"/>
              </w:rPr>
            </w:pPr>
            <w:r>
              <w:rPr>
                <w:b/>
                <w:bCs/>
                <w:color w:val="000000"/>
                <w:sz w:val="20"/>
                <w:szCs w:val="20"/>
              </w:rPr>
              <w:t>0</w:t>
            </w:r>
          </w:p>
        </w:tc>
        <w:tc>
          <w:tcPr>
            <w:tcW w:w="618" w:type="dxa"/>
            <w:tcBorders>
              <w:top w:val="nil"/>
              <w:left w:val="nil"/>
              <w:bottom w:val="single" w:sz="4" w:space="0" w:color="auto"/>
              <w:right w:val="single" w:sz="4" w:space="0" w:color="auto"/>
            </w:tcBorders>
            <w:shd w:val="clear" w:color="000000" w:fill="70AD47"/>
            <w:vAlign w:val="center"/>
            <w:hideMark/>
          </w:tcPr>
          <w:p w:rsidR="007716A8" w:rsidRDefault="007716A8" w:rsidP="000C208E">
            <w:pPr>
              <w:jc w:val="right"/>
              <w:rPr>
                <w:b/>
                <w:bCs/>
                <w:color w:val="000000"/>
                <w:sz w:val="20"/>
                <w:szCs w:val="20"/>
              </w:rPr>
            </w:pPr>
            <w:r>
              <w:rPr>
                <w:b/>
                <w:bCs/>
                <w:color w:val="000000"/>
                <w:sz w:val="20"/>
                <w:szCs w:val="20"/>
              </w:rPr>
              <w:t>0</w:t>
            </w:r>
          </w:p>
        </w:tc>
        <w:tc>
          <w:tcPr>
            <w:tcW w:w="618" w:type="dxa"/>
            <w:tcBorders>
              <w:top w:val="nil"/>
              <w:left w:val="nil"/>
              <w:bottom w:val="single" w:sz="4" w:space="0" w:color="auto"/>
              <w:right w:val="single" w:sz="4" w:space="0" w:color="auto"/>
            </w:tcBorders>
            <w:shd w:val="clear" w:color="000000" w:fill="70AD47"/>
            <w:vAlign w:val="center"/>
            <w:hideMark/>
          </w:tcPr>
          <w:p w:rsidR="007716A8" w:rsidRDefault="007716A8" w:rsidP="000C208E">
            <w:pPr>
              <w:jc w:val="right"/>
              <w:rPr>
                <w:b/>
                <w:bCs/>
                <w:color w:val="000000"/>
                <w:sz w:val="20"/>
                <w:szCs w:val="20"/>
              </w:rPr>
            </w:pPr>
            <w:r>
              <w:rPr>
                <w:b/>
                <w:bCs/>
                <w:color w:val="000000"/>
                <w:sz w:val="20"/>
                <w:szCs w:val="20"/>
              </w:rPr>
              <w:t>7 327 951</w:t>
            </w:r>
          </w:p>
        </w:tc>
      </w:tr>
      <w:tr w:rsidR="007716A8" w:rsidTr="000C208E">
        <w:trPr>
          <w:trHeight w:val="1803"/>
        </w:trPr>
        <w:tc>
          <w:tcPr>
            <w:tcW w:w="900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7716A8" w:rsidRDefault="007716A8" w:rsidP="000C208E">
            <w:pPr>
              <w:rPr>
                <w:color w:val="000000"/>
                <w:sz w:val="20"/>
                <w:szCs w:val="20"/>
              </w:rPr>
            </w:pPr>
            <w:r>
              <w:rPr>
                <w:color w:val="000000"/>
                <w:sz w:val="20"/>
                <w:szCs w:val="20"/>
              </w:rPr>
              <w:t>* Laika periodā no 2014.gada līdz 2018.gada 30.jūnijam:</w:t>
            </w:r>
            <w:r>
              <w:rPr>
                <w:color w:val="000000"/>
                <w:sz w:val="20"/>
                <w:szCs w:val="20"/>
              </w:rPr>
              <w:br/>
              <w:t xml:space="preserve">- veikti izdevumi Salaspils kodolreaktora demontāžas iepirkuma dokumentācijas un tehniskās specifikācijas sagatavošanai 2605,87 </w:t>
            </w:r>
            <w:proofErr w:type="spellStart"/>
            <w:r>
              <w:rPr>
                <w:color w:val="000000"/>
                <w:sz w:val="20"/>
                <w:szCs w:val="20"/>
              </w:rPr>
              <w:t>euro</w:t>
            </w:r>
            <w:proofErr w:type="spellEnd"/>
            <w:r>
              <w:rPr>
                <w:color w:val="000000"/>
                <w:sz w:val="20"/>
                <w:szCs w:val="20"/>
              </w:rPr>
              <w:t xml:space="preserve"> apmērā 2015.gadā</w:t>
            </w:r>
            <w:r>
              <w:rPr>
                <w:color w:val="000000"/>
                <w:sz w:val="20"/>
                <w:szCs w:val="20"/>
              </w:rPr>
              <w:br/>
              <w:t xml:space="preserve">- veikti izdevumi saistībā ar 2016. gada 25. jūlijā noslēgto līgumu starp LVĢMC un SIA “Būvuzraugi LV” par piedāvājumu izvērtēšanu no atbalstītā finansējuma </w:t>
            </w:r>
            <w:proofErr w:type="spellStart"/>
            <w:r>
              <w:rPr>
                <w:color w:val="000000"/>
                <w:sz w:val="20"/>
                <w:szCs w:val="20"/>
              </w:rPr>
              <w:t>būvekspertam</w:t>
            </w:r>
            <w:proofErr w:type="spellEnd"/>
            <w:r>
              <w:rPr>
                <w:color w:val="000000"/>
                <w:sz w:val="20"/>
                <w:szCs w:val="20"/>
              </w:rPr>
              <w:t xml:space="preserve">  8 712 </w:t>
            </w:r>
            <w:proofErr w:type="spellStart"/>
            <w:r>
              <w:rPr>
                <w:color w:val="000000"/>
                <w:sz w:val="20"/>
                <w:szCs w:val="20"/>
              </w:rPr>
              <w:t>euro</w:t>
            </w:r>
            <w:proofErr w:type="spellEnd"/>
            <w:r>
              <w:rPr>
                <w:color w:val="000000"/>
                <w:sz w:val="20"/>
                <w:szCs w:val="20"/>
              </w:rPr>
              <w:t xml:space="preserve"> apmērā</w:t>
            </w:r>
            <w:r>
              <w:rPr>
                <w:color w:val="000000"/>
                <w:sz w:val="20"/>
                <w:szCs w:val="20"/>
              </w:rPr>
              <w:br/>
              <w:t xml:space="preserve">- 2016. gadā pēc radona ilgtermiņa drošības novērtējuma ziņojuma veikšanas ietaupītais finansējums 6 170,71 </w:t>
            </w:r>
            <w:proofErr w:type="spellStart"/>
            <w:r>
              <w:rPr>
                <w:color w:val="000000"/>
                <w:sz w:val="20"/>
                <w:szCs w:val="20"/>
              </w:rPr>
              <w:t>euro</w:t>
            </w:r>
            <w:proofErr w:type="spellEnd"/>
            <w:r>
              <w:rPr>
                <w:color w:val="000000"/>
                <w:sz w:val="20"/>
                <w:szCs w:val="20"/>
              </w:rPr>
              <w:t xml:space="preserve"> apmērā, pārcelts radioaktīvo atkritumu tvertnes un ilgtermiņa glabātavas būvprojekta izstrādei un būvniecībai;</w:t>
            </w:r>
            <w:r>
              <w:rPr>
                <w:color w:val="000000"/>
                <w:sz w:val="20"/>
                <w:szCs w:val="20"/>
              </w:rPr>
              <w:br/>
              <w:t>- 2018.gadā veikta apropriācijas pārdale uz Kultūras ministriju (MK 19.06.2018. rīkojums Nr.276)</w:t>
            </w:r>
          </w:p>
        </w:tc>
      </w:tr>
    </w:tbl>
    <w:p w:rsidR="007716A8" w:rsidRDefault="007716A8" w:rsidP="007716A8">
      <w:pPr>
        <w:spacing w:after="120"/>
        <w:ind w:left="960"/>
        <w:jc w:val="center"/>
        <w:rPr>
          <w:rFonts w:ascii="PT Serif" w:hAnsi="PT Serif"/>
          <w:b/>
          <w:bCs/>
          <w:bdr w:val="none" w:sz="0" w:space="0" w:color="auto" w:frame="1"/>
          <w:lang w:eastAsia="lv-LV"/>
        </w:rPr>
      </w:pPr>
    </w:p>
    <w:p w:rsidR="007716A8" w:rsidRPr="000F5097" w:rsidRDefault="007716A8" w:rsidP="007716A8">
      <w:pPr>
        <w:spacing w:after="120"/>
        <w:ind w:left="960"/>
        <w:jc w:val="center"/>
        <w:rPr>
          <w:rFonts w:ascii="PT Serif" w:hAnsi="PT Serif"/>
          <w:b/>
          <w:bCs/>
          <w:bdr w:val="none" w:sz="0" w:space="0" w:color="auto" w:frame="1"/>
          <w:lang w:eastAsia="lv-LV"/>
        </w:rPr>
      </w:pPr>
      <w:r w:rsidRPr="000F5097">
        <w:rPr>
          <w:rFonts w:ascii="PT Serif" w:hAnsi="PT Serif"/>
          <w:b/>
          <w:bCs/>
          <w:bdr w:val="none" w:sz="0" w:space="0" w:color="auto" w:frame="1"/>
          <w:lang w:eastAsia="lv-LV"/>
        </w:rPr>
        <w:t xml:space="preserve">Plānoto īstenojamo pasākumu ietekme uz budžetu, </w:t>
      </w:r>
      <w:proofErr w:type="spellStart"/>
      <w:r w:rsidRPr="000F5097">
        <w:rPr>
          <w:rFonts w:ascii="PT Serif" w:hAnsi="PT Serif"/>
          <w:b/>
          <w:bCs/>
          <w:i/>
          <w:bdr w:val="none" w:sz="0" w:space="0" w:color="auto" w:frame="1"/>
          <w:lang w:eastAsia="lv-LV"/>
        </w:rPr>
        <w:t>euro</w:t>
      </w:r>
      <w:proofErr w:type="spellEnd"/>
    </w:p>
    <w:p w:rsidR="007716A8" w:rsidRDefault="007716A8" w:rsidP="007716A8">
      <w:pPr>
        <w:spacing w:after="120"/>
        <w:ind w:left="960"/>
        <w:jc w:val="right"/>
        <w:rPr>
          <w:sz w:val="22"/>
          <w:szCs w:val="28"/>
        </w:rPr>
      </w:pPr>
      <w:r w:rsidRPr="00A15EAA">
        <w:rPr>
          <w:sz w:val="22"/>
          <w:szCs w:val="28"/>
        </w:rPr>
        <w:t>T</w:t>
      </w:r>
      <w:r>
        <w:rPr>
          <w:sz w:val="22"/>
          <w:szCs w:val="28"/>
        </w:rPr>
        <w:t>abula Nr. 2</w:t>
      </w:r>
    </w:p>
    <w:tbl>
      <w:tblPr>
        <w:tblW w:w="9186" w:type="dxa"/>
        <w:tblLook w:val="04A0" w:firstRow="1" w:lastRow="0" w:firstColumn="1" w:lastColumn="0" w:noHBand="0" w:noVBand="1"/>
      </w:tblPr>
      <w:tblGrid>
        <w:gridCol w:w="2629"/>
        <w:gridCol w:w="628"/>
        <w:gridCol w:w="629"/>
        <w:gridCol w:w="629"/>
        <w:gridCol w:w="629"/>
        <w:gridCol w:w="629"/>
        <w:gridCol w:w="766"/>
        <w:gridCol w:w="666"/>
        <w:gridCol w:w="666"/>
        <w:gridCol w:w="632"/>
        <w:gridCol w:w="683"/>
      </w:tblGrid>
      <w:tr w:rsidR="007716A8" w:rsidRPr="00954078" w:rsidTr="000C208E">
        <w:trPr>
          <w:trHeight w:val="253"/>
        </w:trPr>
        <w:tc>
          <w:tcPr>
            <w:tcW w:w="262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716A8" w:rsidRDefault="007716A8" w:rsidP="000C208E">
            <w:pPr>
              <w:rPr>
                <w:color w:val="000000"/>
                <w:sz w:val="20"/>
                <w:szCs w:val="20"/>
              </w:rPr>
            </w:pPr>
            <w:r>
              <w:rPr>
                <w:color w:val="000000"/>
                <w:sz w:val="20"/>
                <w:szCs w:val="20"/>
              </w:rPr>
              <w:t> </w:t>
            </w:r>
          </w:p>
        </w:tc>
        <w:tc>
          <w:tcPr>
            <w:tcW w:w="628" w:type="dxa"/>
            <w:tcBorders>
              <w:top w:val="single" w:sz="4" w:space="0" w:color="auto"/>
              <w:left w:val="nil"/>
              <w:bottom w:val="single" w:sz="4" w:space="0" w:color="auto"/>
              <w:right w:val="single" w:sz="4" w:space="0" w:color="auto"/>
            </w:tcBorders>
            <w:shd w:val="clear" w:color="000000" w:fill="D9D9D9"/>
            <w:vAlign w:val="center"/>
            <w:hideMark/>
          </w:tcPr>
          <w:p w:rsidR="007716A8" w:rsidRPr="00954078" w:rsidRDefault="007716A8" w:rsidP="000C208E">
            <w:pPr>
              <w:jc w:val="center"/>
              <w:rPr>
                <w:b/>
                <w:bCs/>
                <w:color w:val="000000"/>
                <w:sz w:val="20"/>
                <w:szCs w:val="20"/>
              </w:rPr>
            </w:pPr>
            <w:r w:rsidRPr="00954078">
              <w:rPr>
                <w:b/>
                <w:bCs/>
                <w:color w:val="000000"/>
                <w:sz w:val="20"/>
                <w:szCs w:val="20"/>
              </w:rPr>
              <w:t>2014</w:t>
            </w:r>
          </w:p>
        </w:tc>
        <w:tc>
          <w:tcPr>
            <w:tcW w:w="629" w:type="dxa"/>
            <w:tcBorders>
              <w:top w:val="single" w:sz="4" w:space="0" w:color="auto"/>
              <w:left w:val="nil"/>
              <w:bottom w:val="single" w:sz="4" w:space="0" w:color="auto"/>
              <w:right w:val="single" w:sz="4" w:space="0" w:color="auto"/>
            </w:tcBorders>
            <w:shd w:val="clear" w:color="000000" w:fill="D9D9D9"/>
            <w:vAlign w:val="center"/>
            <w:hideMark/>
          </w:tcPr>
          <w:p w:rsidR="007716A8" w:rsidRPr="00954078" w:rsidRDefault="007716A8" w:rsidP="000C208E">
            <w:pPr>
              <w:jc w:val="center"/>
              <w:rPr>
                <w:b/>
                <w:bCs/>
                <w:color w:val="000000"/>
                <w:sz w:val="20"/>
                <w:szCs w:val="20"/>
              </w:rPr>
            </w:pPr>
            <w:r w:rsidRPr="00954078">
              <w:rPr>
                <w:b/>
                <w:bCs/>
                <w:color w:val="000000"/>
                <w:sz w:val="20"/>
                <w:szCs w:val="20"/>
              </w:rPr>
              <w:t>2015</w:t>
            </w:r>
          </w:p>
        </w:tc>
        <w:tc>
          <w:tcPr>
            <w:tcW w:w="629" w:type="dxa"/>
            <w:tcBorders>
              <w:top w:val="single" w:sz="4" w:space="0" w:color="auto"/>
              <w:left w:val="nil"/>
              <w:bottom w:val="single" w:sz="4" w:space="0" w:color="auto"/>
              <w:right w:val="single" w:sz="4" w:space="0" w:color="auto"/>
            </w:tcBorders>
            <w:shd w:val="clear" w:color="000000" w:fill="D9D9D9"/>
            <w:vAlign w:val="center"/>
            <w:hideMark/>
          </w:tcPr>
          <w:p w:rsidR="007716A8" w:rsidRPr="00954078" w:rsidRDefault="007716A8" w:rsidP="000C208E">
            <w:pPr>
              <w:jc w:val="center"/>
              <w:rPr>
                <w:b/>
                <w:bCs/>
                <w:color w:val="000000"/>
                <w:sz w:val="20"/>
                <w:szCs w:val="20"/>
              </w:rPr>
            </w:pPr>
            <w:r w:rsidRPr="00954078">
              <w:rPr>
                <w:b/>
                <w:bCs/>
                <w:color w:val="000000"/>
                <w:sz w:val="20"/>
                <w:szCs w:val="20"/>
              </w:rPr>
              <w:t>2016</w:t>
            </w:r>
          </w:p>
        </w:tc>
        <w:tc>
          <w:tcPr>
            <w:tcW w:w="629" w:type="dxa"/>
            <w:tcBorders>
              <w:top w:val="single" w:sz="4" w:space="0" w:color="auto"/>
              <w:left w:val="nil"/>
              <w:bottom w:val="single" w:sz="4" w:space="0" w:color="auto"/>
              <w:right w:val="single" w:sz="4" w:space="0" w:color="auto"/>
            </w:tcBorders>
            <w:shd w:val="clear" w:color="000000" w:fill="D9D9D9"/>
            <w:vAlign w:val="center"/>
            <w:hideMark/>
          </w:tcPr>
          <w:p w:rsidR="007716A8" w:rsidRPr="00954078" w:rsidRDefault="007716A8" w:rsidP="000C208E">
            <w:pPr>
              <w:jc w:val="center"/>
              <w:rPr>
                <w:b/>
                <w:bCs/>
                <w:color w:val="000000"/>
                <w:sz w:val="20"/>
                <w:szCs w:val="20"/>
              </w:rPr>
            </w:pPr>
            <w:r w:rsidRPr="00954078">
              <w:rPr>
                <w:b/>
                <w:bCs/>
                <w:color w:val="000000"/>
                <w:sz w:val="20"/>
                <w:szCs w:val="20"/>
              </w:rPr>
              <w:t>2017</w:t>
            </w:r>
          </w:p>
        </w:tc>
        <w:tc>
          <w:tcPr>
            <w:tcW w:w="629" w:type="dxa"/>
            <w:tcBorders>
              <w:top w:val="single" w:sz="4" w:space="0" w:color="auto"/>
              <w:left w:val="nil"/>
              <w:bottom w:val="single" w:sz="4" w:space="0" w:color="auto"/>
              <w:right w:val="single" w:sz="4" w:space="0" w:color="auto"/>
            </w:tcBorders>
            <w:shd w:val="clear" w:color="000000" w:fill="D9D9D9"/>
            <w:vAlign w:val="center"/>
            <w:hideMark/>
          </w:tcPr>
          <w:p w:rsidR="007716A8" w:rsidRPr="00954078" w:rsidRDefault="007716A8" w:rsidP="000C208E">
            <w:pPr>
              <w:jc w:val="center"/>
              <w:rPr>
                <w:b/>
                <w:bCs/>
                <w:color w:val="000000"/>
                <w:sz w:val="20"/>
                <w:szCs w:val="20"/>
              </w:rPr>
            </w:pPr>
            <w:r w:rsidRPr="00954078">
              <w:rPr>
                <w:b/>
                <w:bCs/>
                <w:color w:val="000000"/>
                <w:sz w:val="20"/>
                <w:szCs w:val="20"/>
              </w:rPr>
              <w:t>2018</w:t>
            </w:r>
          </w:p>
        </w:tc>
        <w:tc>
          <w:tcPr>
            <w:tcW w:w="766" w:type="dxa"/>
            <w:tcBorders>
              <w:top w:val="single" w:sz="4" w:space="0" w:color="auto"/>
              <w:left w:val="nil"/>
              <w:bottom w:val="single" w:sz="4" w:space="0" w:color="auto"/>
              <w:right w:val="single" w:sz="4" w:space="0" w:color="auto"/>
            </w:tcBorders>
            <w:shd w:val="clear" w:color="000000" w:fill="D9D9D9"/>
            <w:vAlign w:val="center"/>
            <w:hideMark/>
          </w:tcPr>
          <w:p w:rsidR="007716A8" w:rsidRPr="00954078" w:rsidRDefault="007716A8" w:rsidP="000C208E">
            <w:pPr>
              <w:jc w:val="center"/>
              <w:rPr>
                <w:b/>
                <w:bCs/>
                <w:color w:val="000000"/>
                <w:sz w:val="20"/>
                <w:szCs w:val="20"/>
              </w:rPr>
            </w:pPr>
            <w:r w:rsidRPr="00954078">
              <w:rPr>
                <w:b/>
                <w:bCs/>
                <w:color w:val="000000"/>
                <w:sz w:val="20"/>
                <w:szCs w:val="20"/>
              </w:rPr>
              <w:t>2019</w:t>
            </w:r>
          </w:p>
        </w:tc>
        <w:tc>
          <w:tcPr>
            <w:tcW w:w="666" w:type="dxa"/>
            <w:tcBorders>
              <w:top w:val="single" w:sz="4" w:space="0" w:color="auto"/>
              <w:left w:val="nil"/>
              <w:bottom w:val="single" w:sz="4" w:space="0" w:color="auto"/>
              <w:right w:val="single" w:sz="4" w:space="0" w:color="auto"/>
            </w:tcBorders>
            <w:shd w:val="clear" w:color="000000" w:fill="D9D9D9"/>
            <w:vAlign w:val="center"/>
            <w:hideMark/>
          </w:tcPr>
          <w:p w:rsidR="007716A8" w:rsidRPr="00954078" w:rsidRDefault="007716A8" w:rsidP="000C208E">
            <w:pPr>
              <w:jc w:val="center"/>
              <w:rPr>
                <w:b/>
                <w:bCs/>
                <w:color w:val="000000"/>
                <w:sz w:val="20"/>
                <w:szCs w:val="20"/>
              </w:rPr>
            </w:pPr>
            <w:r w:rsidRPr="00954078">
              <w:rPr>
                <w:b/>
                <w:bCs/>
                <w:color w:val="000000"/>
                <w:sz w:val="20"/>
                <w:szCs w:val="20"/>
              </w:rPr>
              <w:t>2020</w:t>
            </w:r>
          </w:p>
        </w:tc>
        <w:tc>
          <w:tcPr>
            <w:tcW w:w="666" w:type="dxa"/>
            <w:tcBorders>
              <w:top w:val="single" w:sz="4" w:space="0" w:color="auto"/>
              <w:left w:val="nil"/>
              <w:bottom w:val="single" w:sz="4" w:space="0" w:color="auto"/>
              <w:right w:val="single" w:sz="4" w:space="0" w:color="auto"/>
            </w:tcBorders>
            <w:shd w:val="clear" w:color="000000" w:fill="D9D9D9"/>
            <w:vAlign w:val="center"/>
            <w:hideMark/>
          </w:tcPr>
          <w:p w:rsidR="007716A8" w:rsidRPr="00954078" w:rsidRDefault="007716A8" w:rsidP="000C208E">
            <w:pPr>
              <w:jc w:val="center"/>
              <w:rPr>
                <w:b/>
                <w:bCs/>
                <w:color w:val="000000"/>
                <w:sz w:val="20"/>
                <w:szCs w:val="20"/>
              </w:rPr>
            </w:pPr>
            <w:r w:rsidRPr="00954078">
              <w:rPr>
                <w:b/>
                <w:bCs/>
                <w:color w:val="000000"/>
                <w:sz w:val="20"/>
                <w:szCs w:val="20"/>
              </w:rPr>
              <w:t>2021</w:t>
            </w:r>
          </w:p>
        </w:tc>
        <w:tc>
          <w:tcPr>
            <w:tcW w:w="632" w:type="dxa"/>
            <w:tcBorders>
              <w:top w:val="single" w:sz="4" w:space="0" w:color="auto"/>
              <w:left w:val="nil"/>
              <w:bottom w:val="single" w:sz="4" w:space="0" w:color="auto"/>
              <w:right w:val="single" w:sz="4" w:space="0" w:color="auto"/>
            </w:tcBorders>
            <w:shd w:val="clear" w:color="000000" w:fill="D9D9D9"/>
            <w:vAlign w:val="center"/>
            <w:hideMark/>
          </w:tcPr>
          <w:p w:rsidR="007716A8" w:rsidRPr="00954078" w:rsidRDefault="007716A8" w:rsidP="000C208E">
            <w:pPr>
              <w:jc w:val="center"/>
              <w:rPr>
                <w:b/>
                <w:bCs/>
                <w:color w:val="000000"/>
                <w:sz w:val="20"/>
                <w:szCs w:val="20"/>
              </w:rPr>
            </w:pPr>
            <w:r w:rsidRPr="00954078">
              <w:rPr>
                <w:b/>
                <w:bCs/>
                <w:color w:val="000000"/>
                <w:sz w:val="20"/>
                <w:szCs w:val="20"/>
              </w:rPr>
              <w:t>2022</w:t>
            </w:r>
          </w:p>
        </w:tc>
        <w:tc>
          <w:tcPr>
            <w:tcW w:w="683" w:type="dxa"/>
            <w:tcBorders>
              <w:top w:val="single" w:sz="4" w:space="0" w:color="auto"/>
              <w:left w:val="nil"/>
              <w:bottom w:val="single" w:sz="4" w:space="0" w:color="auto"/>
              <w:right w:val="single" w:sz="4" w:space="0" w:color="auto"/>
            </w:tcBorders>
            <w:shd w:val="clear" w:color="000000" w:fill="D9D9D9"/>
            <w:vAlign w:val="center"/>
            <w:hideMark/>
          </w:tcPr>
          <w:p w:rsidR="007716A8" w:rsidRPr="00954078" w:rsidRDefault="007716A8" w:rsidP="000C208E">
            <w:pPr>
              <w:jc w:val="center"/>
              <w:rPr>
                <w:b/>
                <w:bCs/>
                <w:color w:val="000000"/>
                <w:sz w:val="20"/>
                <w:szCs w:val="20"/>
              </w:rPr>
            </w:pPr>
            <w:r w:rsidRPr="00954078">
              <w:rPr>
                <w:b/>
                <w:bCs/>
                <w:color w:val="000000"/>
                <w:sz w:val="20"/>
                <w:szCs w:val="20"/>
              </w:rPr>
              <w:t>Kopā</w:t>
            </w:r>
          </w:p>
        </w:tc>
      </w:tr>
      <w:tr w:rsidR="007716A8" w:rsidRPr="00954078" w:rsidTr="000C208E">
        <w:trPr>
          <w:trHeight w:val="253"/>
        </w:trPr>
        <w:tc>
          <w:tcPr>
            <w:tcW w:w="2629" w:type="dxa"/>
            <w:tcBorders>
              <w:top w:val="nil"/>
              <w:left w:val="single" w:sz="4" w:space="0" w:color="auto"/>
              <w:bottom w:val="single" w:sz="4" w:space="0" w:color="auto"/>
              <w:right w:val="single" w:sz="4" w:space="0" w:color="auto"/>
            </w:tcBorders>
            <w:shd w:val="clear" w:color="auto" w:fill="auto"/>
            <w:vAlign w:val="center"/>
            <w:hideMark/>
          </w:tcPr>
          <w:p w:rsidR="007716A8" w:rsidRPr="00954078" w:rsidRDefault="007716A8" w:rsidP="000C208E">
            <w:pPr>
              <w:rPr>
                <w:b/>
                <w:bCs/>
                <w:color w:val="000000"/>
                <w:sz w:val="20"/>
                <w:szCs w:val="20"/>
              </w:rPr>
            </w:pPr>
            <w:r w:rsidRPr="00954078">
              <w:rPr>
                <w:b/>
                <w:bCs/>
                <w:color w:val="000000"/>
                <w:sz w:val="20"/>
                <w:szCs w:val="20"/>
              </w:rPr>
              <w:t>Izdevumi no VARAM budžeta</w:t>
            </w:r>
          </w:p>
        </w:tc>
        <w:tc>
          <w:tcPr>
            <w:tcW w:w="628"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b/>
                <w:bCs/>
                <w:color w:val="000000"/>
                <w:sz w:val="20"/>
                <w:szCs w:val="20"/>
              </w:rPr>
            </w:pPr>
            <w:r w:rsidRPr="00954078">
              <w:rPr>
                <w:b/>
                <w:bCs/>
                <w:color w:val="000000"/>
                <w:sz w:val="20"/>
                <w:szCs w:val="20"/>
              </w:rPr>
              <w:t>23 736</w:t>
            </w:r>
          </w:p>
        </w:tc>
        <w:tc>
          <w:tcPr>
            <w:tcW w:w="629"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b/>
                <w:bCs/>
                <w:color w:val="000000"/>
                <w:sz w:val="20"/>
                <w:szCs w:val="20"/>
              </w:rPr>
            </w:pPr>
            <w:r w:rsidRPr="00954078">
              <w:rPr>
                <w:b/>
                <w:bCs/>
                <w:color w:val="000000"/>
                <w:sz w:val="20"/>
                <w:szCs w:val="20"/>
              </w:rPr>
              <w:t>649 536</w:t>
            </w:r>
          </w:p>
        </w:tc>
        <w:tc>
          <w:tcPr>
            <w:tcW w:w="629"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b/>
                <w:bCs/>
                <w:color w:val="000000"/>
                <w:sz w:val="20"/>
                <w:szCs w:val="20"/>
              </w:rPr>
            </w:pPr>
            <w:r w:rsidRPr="00954078">
              <w:rPr>
                <w:b/>
                <w:bCs/>
                <w:color w:val="000000"/>
                <w:sz w:val="20"/>
                <w:szCs w:val="20"/>
              </w:rPr>
              <w:t>495 788</w:t>
            </w:r>
          </w:p>
        </w:tc>
        <w:tc>
          <w:tcPr>
            <w:tcW w:w="629"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b/>
                <w:bCs/>
                <w:color w:val="000000"/>
                <w:sz w:val="20"/>
                <w:szCs w:val="20"/>
              </w:rPr>
            </w:pPr>
            <w:r w:rsidRPr="00954078">
              <w:rPr>
                <w:b/>
                <w:bCs/>
                <w:color w:val="000000"/>
                <w:sz w:val="20"/>
                <w:szCs w:val="20"/>
              </w:rPr>
              <w:t>1 847 402</w:t>
            </w:r>
          </w:p>
        </w:tc>
        <w:tc>
          <w:tcPr>
            <w:tcW w:w="629"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b/>
                <w:bCs/>
                <w:color w:val="000000"/>
                <w:sz w:val="20"/>
                <w:szCs w:val="20"/>
              </w:rPr>
            </w:pPr>
            <w:r w:rsidRPr="00954078">
              <w:rPr>
                <w:b/>
                <w:bCs/>
                <w:color w:val="000000"/>
                <w:sz w:val="20"/>
                <w:szCs w:val="20"/>
              </w:rPr>
              <w:t>2 392 489</w:t>
            </w:r>
          </w:p>
        </w:tc>
        <w:tc>
          <w:tcPr>
            <w:tcW w:w="766"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b/>
                <w:bCs/>
                <w:color w:val="000000"/>
                <w:sz w:val="20"/>
                <w:szCs w:val="20"/>
              </w:rPr>
            </w:pPr>
            <w:r w:rsidRPr="00954078">
              <w:rPr>
                <w:b/>
                <w:bCs/>
                <w:color w:val="000000"/>
                <w:sz w:val="20"/>
                <w:szCs w:val="20"/>
              </w:rPr>
              <w:t>984 000</w:t>
            </w:r>
          </w:p>
        </w:tc>
        <w:tc>
          <w:tcPr>
            <w:tcW w:w="666"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b/>
                <w:bCs/>
                <w:color w:val="000000"/>
                <w:sz w:val="20"/>
                <w:szCs w:val="20"/>
              </w:rPr>
            </w:pPr>
            <w:r w:rsidRPr="00954078">
              <w:rPr>
                <w:b/>
                <w:bCs/>
                <w:color w:val="000000"/>
                <w:sz w:val="20"/>
                <w:szCs w:val="20"/>
              </w:rPr>
              <w:t>935 000</w:t>
            </w:r>
          </w:p>
        </w:tc>
        <w:tc>
          <w:tcPr>
            <w:tcW w:w="666"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b/>
                <w:bCs/>
                <w:color w:val="000000"/>
                <w:sz w:val="20"/>
                <w:szCs w:val="20"/>
              </w:rPr>
            </w:pPr>
            <w:r w:rsidRPr="00954078">
              <w:rPr>
                <w:b/>
                <w:bCs/>
                <w:color w:val="000000"/>
                <w:sz w:val="20"/>
                <w:szCs w:val="20"/>
              </w:rPr>
              <w:t>0</w:t>
            </w:r>
          </w:p>
        </w:tc>
        <w:tc>
          <w:tcPr>
            <w:tcW w:w="632"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b/>
                <w:bCs/>
                <w:color w:val="000000"/>
                <w:sz w:val="20"/>
                <w:szCs w:val="20"/>
              </w:rPr>
            </w:pPr>
            <w:r w:rsidRPr="00954078">
              <w:rPr>
                <w:b/>
                <w:bCs/>
                <w:color w:val="000000"/>
                <w:sz w:val="20"/>
                <w:szCs w:val="20"/>
              </w:rPr>
              <w:t>0</w:t>
            </w:r>
          </w:p>
        </w:tc>
        <w:tc>
          <w:tcPr>
            <w:tcW w:w="683"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b/>
                <w:bCs/>
                <w:color w:val="000000"/>
                <w:sz w:val="20"/>
                <w:szCs w:val="20"/>
              </w:rPr>
            </w:pPr>
            <w:r w:rsidRPr="00954078">
              <w:rPr>
                <w:b/>
                <w:bCs/>
                <w:color w:val="000000"/>
                <w:sz w:val="20"/>
                <w:szCs w:val="20"/>
              </w:rPr>
              <w:t>7 327 951</w:t>
            </w:r>
          </w:p>
        </w:tc>
      </w:tr>
      <w:tr w:rsidR="007716A8" w:rsidRPr="00954078" w:rsidTr="000C208E">
        <w:trPr>
          <w:trHeight w:val="253"/>
        </w:trPr>
        <w:tc>
          <w:tcPr>
            <w:tcW w:w="2629" w:type="dxa"/>
            <w:tcBorders>
              <w:top w:val="nil"/>
              <w:left w:val="single" w:sz="4" w:space="0" w:color="auto"/>
              <w:bottom w:val="single" w:sz="4" w:space="0" w:color="auto"/>
              <w:right w:val="single" w:sz="4" w:space="0" w:color="auto"/>
            </w:tcBorders>
            <w:shd w:val="clear" w:color="auto" w:fill="auto"/>
            <w:vAlign w:val="center"/>
            <w:hideMark/>
          </w:tcPr>
          <w:p w:rsidR="007716A8" w:rsidRPr="00954078" w:rsidRDefault="007716A8" w:rsidP="000C208E">
            <w:pPr>
              <w:jc w:val="right"/>
              <w:rPr>
                <w:color w:val="000000"/>
                <w:sz w:val="20"/>
                <w:szCs w:val="20"/>
              </w:rPr>
            </w:pPr>
            <w:r w:rsidRPr="00954078">
              <w:rPr>
                <w:color w:val="000000"/>
                <w:sz w:val="20"/>
                <w:szCs w:val="20"/>
              </w:rPr>
              <w:t>t.sk. pārskaitīti LVĢMC</w:t>
            </w:r>
          </w:p>
        </w:tc>
        <w:tc>
          <w:tcPr>
            <w:tcW w:w="628"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color w:val="000000"/>
                <w:sz w:val="20"/>
                <w:szCs w:val="20"/>
              </w:rPr>
            </w:pPr>
            <w:r w:rsidRPr="00954078">
              <w:rPr>
                <w:color w:val="000000"/>
                <w:sz w:val="20"/>
                <w:szCs w:val="20"/>
              </w:rPr>
              <w:t>23 736</w:t>
            </w:r>
          </w:p>
        </w:tc>
        <w:tc>
          <w:tcPr>
            <w:tcW w:w="629"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color w:val="000000"/>
                <w:sz w:val="20"/>
                <w:szCs w:val="20"/>
              </w:rPr>
            </w:pPr>
            <w:r w:rsidRPr="00954078">
              <w:rPr>
                <w:color w:val="000000"/>
                <w:sz w:val="20"/>
                <w:szCs w:val="20"/>
              </w:rPr>
              <w:t>649 536</w:t>
            </w:r>
          </w:p>
        </w:tc>
        <w:tc>
          <w:tcPr>
            <w:tcW w:w="629"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color w:val="000000"/>
                <w:sz w:val="20"/>
                <w:szCs w:val="20"/>
              </w:rPr>
            </w:pPr>
            <w:r w:rsidRPr="00954078">
              <w:rPr>
                <w:color w:val="000000"/>
                <w:sz w:val="20"/>
                <w:szCs w:val="20"/>
              </w:rPr>
              <w:t>495 788</w:t>
            </w:r>
          </w:p>
        </w:tc>
        <w:tc>
          <w:tcPr>
            <w:tcW w:w="629"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rPr>
                <w:color w:val="000000"/>
                <w:sz w:val="20"/>
                <w:szCs w:val="20"/>
              </w:rPr>
            </w:pPr>
            <w:r w:rsidRPr="00954078">
              <w:rPr>
                <w:color w:val="000000"/>
                <w:sz w:val="20"/>
                <w:szCs w:val="20"/>
              </w:rPr>
              <w:t> </w:t>
            </w:r>
          </w:p>
        </w:tc>
        <w:tc>
          <w:tcPr>
            <w:tcW w:w="629"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rPr>
                <w:color w:val="000000"/>
                <w:sz w:val="20"/>
                <w:szCs w:val="20"/>
              </w:rPr>
            </w:pPr>
            <w:r w:rsidRPr="00954078">
              <w:rPr>
                <w:color w:val="000000"/>
                <w:sz w:val="20"/>
                <w:szCs w:val="20"/>
              </w:rPr>
              <w:t> </w:t>
            </w:r>
          </w:p>
        </w:tc>
        <w:tc>
          <w:tcPr>
            <w:tcW w:w="766"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rPr>
                <w:color w:val="000000"/>
                <w:sz w:val="20"/>
                <w:szCs w:val="20"/>
              </w:rPr>
            </w:pPr>
            <w:r w:rsidRPr="00954078">
              <w:rPr>
                <w:color w:val="000000"/>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rPr>
                <w:color w:val="000000"/>
                <w:sz w:val="20"/>
                <w:szCs w:val="20"/>
              </w:rPr>
            </w:pPr>
            <w:r w:rsidRPr="00954078">
              <w:rPr>
                <w:color w:val="000000"/>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rPr>
                <w:color w:val="000000"/>
                <w:sz w:val="20"/>
                <w:szCs w:val="20"/>
              </w:rPr>
            </w:pPr>
            <w:r w:rsidRPr="00954078">
              <w:rPr>
                <w:color w:val="000000"/>
                <w:sz w:val="20"/>
                <w:szCs w:val="20"/>
              </w:rPr>
              <w:t> </w:t>
            </w:r>
          </w:p>
        </w:tc>
        <w:tc>
          <w:tcPr>
            <w:tcW w:w="632"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rPr>
                <w:color w:val="000000"/>
                <w:sz w:val="20"/>
                <w:szCs w:val="20"/>
              </w:rPr>
            </w:pPr>
            <w:r w:rsidRPr="00954078">
              <w:rPr>
                <w:color w:val="000000"/>
                <w:sz w:val="20"/>
                <w:szCs w:val="20"/>
              </w:rPr>
              <w:t> </w:t>
            </w:r>
          </w:p>
        </w:tc>
        <w:tc>
          <w:tcPr>
            <w:tcW w:w="683"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color w:val="000000"/>
                <w:sz w:val="20"/>
                <w:szCs w:val="20"/>
              </w:rPr>
            </w:pPr>
            <w:r w:rsidRPr="00954078">
              <w:rPr>
                <w:color w:val="000000"/>
                <w:sz w:val="20"/>
                <w:szCs w:val="20"/>
              </w:rPr>
              <w:t>1 169 060</w:t>
            </w:r>
          </w:p>
        </w:tc>
      </w:tr>
      <w:tr w:rsidR="007716A8" w:rsidRPr="00954078" w:rsidTr="000C208E">
        <w:trPr>
          <w:trHeight w:val="253"/>
        </w:trPr>
        <w:tc>
          <w:tcPr>
            <w:tcW w:w="2629" w:type="dxa"/>
            <w:tcBorders>
              <w:top w:val="nil"/>
              <w:left w:val="single" w:sz="4" w:space="0" w:color="auto"/>
              <w:bottom w:val="single" w:sz="4" w:space="0" w:color="auto"/>
              <w:right w:val="single" w:sz="4" w:space="0" w:color="auto"/>
            </w:tcBorders>
            <w:shd w:val="clear" w:color="auto" w:fill="auto"/>
            <w:vAlign w:val="center"/>
            <w:hideMark/>
          </w:tcPr>
          <w:p w:rsidR="007716A8" w:rsidRPr="00954078" w:rsidRDefault="007716A8" w:rsidP="000C208E">
            <w:pPr>
              <w:jc w:val="right"/>
              <w:rPr>
                <w:color w:val="000000"/>
                <w:sz w:val="20"/>
                <w:szCs w:val="20"/>
              </w:rPr>
            </w:pPr>
            <w:r w:rsidRPr="00954078">
              <w:rPr>
                <w:color w:val="000000"/>
                <w:sz w:val="20"/>
                <w:szCs w:val="20"/>
              </w:rPr>
              <w:t>t.sk. ieguldījums LVĢMC pamatkapitālā</w:t>
            </w:r>
          </w:p>
        </w:tc>
        <w:tc>
          <w:tcPr>
            <w:tcW w:w="628"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rPr>
                <w:color w:val="000000"/>
                <w:sz w:val="20"/>
                <w:szCs w:val="20"/>
              </w:rPr>
            </w:pPr>
            <w:r w:rsidRPr="00954078">
              <w:rPr>
                <w:color w:val="000000"/>
                <w:sz w:val="20"/>
                <w:szCs w:val="20"/>
              </w:rPr>
              <w:t> </w:t>
            </w:r>
          </w:p>
        </w:tc>
        <w:tc>
          <w:tcPr>
            <w:tcW w:w="629"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rPr>
                <w:color w:val="000000"/>
                <w:sz w:val="20"/>
                <w:szCs w:val="20"/>
              </w:rPr>
            </w:pPr>
            <w:r w:rsidRPr="00954078">
              <w:rPr>
                <w:color w:val="000000"/>
                <w:sz w:val="20"/>
                <w:szCs w:val="20"/>
              </w:rPr>
              <w:t> </w:t>
            </w:r>
          </w:p>
        </w:tc>
        <w:tc>
          <w:tcPr>
            <w:tcW w:w="629"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rPr>
                <w:color w:val="000000"/>
                <w:sz w:val="20"/>
                <w:szCs w:val="20"/>
              </w:rPr>
            </w:pPr>
            <w:r w:rsidRPr="00954078">
              <w:rPr>
                <w:color w:val="000000"/>
                <w:sz w:val="20"/>
                <w:szCs w:val="20"/>
              </w:rPr>
              <w:t> </w:t>
            </w:r>
          </w:p>
        </w:tc>
        <w:tc>
          <w:tcPr>
            <w:tcW w:w="629"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color w:val="000000"/>
                <w:sz w:val="20"/>
                <w:szCs w:val="20"/>
              </w:rPr>
            </w:pPr>
            <w:r w:rsidRPr="00954078">
              <w:rPr>
                <w:color w:val="000000"/>
                <w:sz w:val="20"/>
                <w:szCs w:val="20"/>
              </w:rPr>
              <w:t>1 847 402</w:t>
            </w:r>
          </w:p>
        </w:tc>
        <w:tc>
          <w:tcPr>
            <w:tcW w:w="629"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rPr>
                <w:color w:val="000000"/>
                <w:sz w:val="20"/>
                <w:szCs w:val="20"/>
              </w:rPr>
            </w:pPr>
            <w:r w:rsidRPr="00954078">
              <w:rPr>
                <w:color w:val="000000"/>
                <w:sz w:val="20"/>
                <w:szCs w:val="20"/>
              </w:rPr>
              <w:t> </w:t>
            </w:r>
          </w:p>
        </w:tc>
        <w:tc>
          <w:tcPr>
            <w:tcW w:w="766"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rPr>
                <w:color w:val="000000"/>
                <w:sz w:val="20"/>
                <w:szCs w:val="20"/>
              </w:rPr>
            </w:pPr>
            <w:r w:rsidRPr="00954078">
              <w:rPr>
                <w:color w:val="000000"/>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rPr>
                <w:color w:val="000000"/>
                <w:sz w:val="20"/>
                <w:szCs w:val="20"/>
              </w:rPr>
            </w:pPr>
            <w:r w:rsidRPr="00954078">
              <w:rPr>
                <w:color w:val="000000"/>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rPr>
                <w:color w:val="000000"/>
                <w:sz w:val="20"/>
                <w:szCs w:val="20"/>
              </w:rPr>
            </w:pPr>
            <w:r w:rsidRPr="00954078">
              <w:rPr>
                <w:color w:val="000000"/>
                <w:sz w:val="20"/>
                <w:szCs w:val="20"/>
              </w:rPr>
              <w:t> </w:t>
            </w:r>
          </w:p>
        </w:tc>
        <w:tc>
          <w:tcPr>
            <w:tcW w:w="632"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rPr>
                <w:color w:val="000000"/>
                <w:sz w:val="20"/>
                <w:szCs w:val="20"/>
              </w:rPr>
            </w:pPr>
            <w:r w:rsidRPr="00954078">
              <w:rPr>
                <w:color w:val="000000"/>
                <w:sz w:val="20"/>
                <w:szCs w:val="20"/>
              </w:rPr>
              <w:t> </w:t>
            </w:r>
          </w:p>
        </w:tc>
        <w:tc>
          <w:tcPr>
            <w:tcW w:w="683"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color w:val="000000"/>
                <w:sz w:val="20"/>
                <w:szCs w:val="20"/>
              </w:rPr>
            </w:pPr>
            <w:r w:rsidRPr="00954078">
              <w:rPr>
                <w:color w:val="000000"/>
                <w:sz w:val="20"/>
                <w:szCs w:val="20"/>
              </w:rPr>
              <w:t>1 847 402</w:t>
            </w:r>
          </w:p>
        </w:tc>
      </w:tr>
      <w:tr w:rsidR="007716A8" w:rsidRPr="00954078" w:rsidTr="000C208E">
        <w:trPr>
          <w:trHeight w:val="253"/>
        </w:trPr>
        <w:tc>
          <w:tcPr>
            <w:tcW w:w="2629" w:type="dxa"/>
            <w:tcBorders>
              <w:top w:val="nil"/>
              <w:left w:val="single" w:sz="4" w:space="0" w:color="auto"/>
              <w:bottom w:val="single" w:sz="4" w:space="0" w:color="auto"/>
              <w:right w:val="single" w:sz="4" w:space="0" w:color="auto"/>
            </w:tcBorders>
            <w:shd w:val="clear" w:color="auto" w:fill="auto"/>
            <w:vAlign w:val="center"/>
            <w:hideMark/>
          </w:tcPr>
          <w:p w:rsidR="007716A8" w:rsidRPr="00954078" w:rsidRDefault="007716A8" w:rsidP="000C208E">
            <w:pPr>
              <w:jc w:val="right"/>
              <w:rPr>
                <w:color w:val="000000"/>
                <w:sz w:val="20"/>
                <w:szCs w:val="20"/>
              </w:rPr>
            </w:pPr>
            <w:r w:rsidRPr="00954078">
              <w:rPr>
                <w:color w:val="000000"/>
                <w:sz w:val="20"/>
                <w:szCs w:val="20"/>
              </w:rPr>
              <w:t>t.sk. vēl VARAM budžetā plānotie izdevumi</w:t>
            </w:r>
          </w:p>
        </w:tc>
        <w:tc>
          <w:tcPr>
            <w:tcW w:w="628"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rPr>
                <w:color w:val="000000"/>
                <w:sz w:val="20"/>
                <w:szCs w:val="20"/>
              </w:rPr>
            </w:pPr>
            <w:r w:rsidRPr="00954078">
              <w:rPr>
                <w:color w:val="000000"/>
                <w:sz w:val="20"/>
                <w:szCs w:val="20"/>
              </w:rPr>
              <w:t> </w:t>
            </w:r>
          </w:p>
        </w:tc>
        <w:tc>
          <w:tcPr>
            <w:tcW w:w="629"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rPr>
                <w:color w:val="000000"/>
                <w:sz w:val="20"/>
                <w:szCs w:val="20"/>
              </w:rPr>
            </w:pPr>
            <w:r w:rsidRPr="00954078">
              <w:rPr>
                <w:color w:val="000000"/>
                <w:sz w:val="20"/>
                <w:szCs w:val="20"/>
              </w:rPr>
              <w:t> </w:t>
            </w:r>
          </w:p>
        </w:tc>
        <w:tc>
          <w:tcPr>
            <w:tcW w:w="629"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rPr>
                <w:color w:val="000000"/>
                <w:sz w:val="20"/>
                <w:szCs w:val="20"/>
              </w:rPr>
            </w:pPr>
            <w:r w:rsidRPr="00954078">
              <w:rPr>
                <w:color w:val="000000"/>
                <w:sz w:val="20"/>
                <w:szCs w:val="20"/>
              </w:rPr>
              <w:t> </w:t>
            </w:r>
          </w:p>
        </w:tc>
        <w:tc>
          <w:tcPr>
            <w:tcW w:w="629"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rPr>
                <w:color w:val="000000"/>
                <w:sz w:val="20"/>
                <w:szCs w:val="20"/>
              </w:rPr>
            </w:pPr>
            <w:r w:rsidRPr="00954078">
              <w:rPr>
                <w:color w:val="000000"/>
                <w:sz w:val="20"/>
                <w:szCs w:val="20"/>
              </w:rPr>
              <w:t> </w:t>
            </w:r>
          </w:p>
        </w:tc>
        <w:tc>
          <w:tcPr>
            <w:tcW w:w="629"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color w:val="000000"/>
                <w:sz w:val="20"/>
                <w:szCs w:val="20"/>
              </w:rPr>
            </w:pPr>
            <w:r w:rsidRPr="00954078">
              <w:rPr>
                <w:color w:val="000000"/>
                <w:sz w:val="20"/>
                <w:szCs w:val="20"/>
              </w:rPr>
              <w:t>2 392 489</w:t>
            </w:r>
          </w:p>
        </w:tc>
        <w:tc>
          <w:tcPr>
            <w:tcW w:w="766"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color w:val="000000"/>
                <w:sz w:val="20"/>
                <w:szCs w:val="20"/>
              </w:rPr>
            </w:pPr>
            <w:r w:rsidRPr="00954078">
              <w:rPr>
                <w:color w:val="000000"/>
                <w:sz w:val="20"/>
                <w:szCs w:val="20"/>
              </w:rPr>
              <w:t>984 000</w:t>
            </w:r>
          </w:p>
        </w:tc>
        <w:tc>
          <w:tcPr>
            <w:tcW w:w="666"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color w:val="000000"/>
                <w:sz w:val="20"/>
                <w:szCs w:val="20"/>
              </w:rPr>
            </w:pPr>
            <w:r w:rsidRPr="00954078">
              <w:rPr>
                <w:color w:val="000000"/>
                <w:sz w:val="20"/>
                <w:szCs w:val="20"/>
              </w:rPr>
              <w:t>935 000</w:t>
            </w:r>
          </w:p>
        </w:tc>
        <w:tc>
          <w:tcPr>
            <w:tcW w:w="666"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color w:val="000000"/>
                <w:sz w:val="20"/>
                <w:szCs w:val="20"/>
              </w:rPr>
            </w:pPr>
            <w:r w:rsidRPr="00954078">
              <w:rPr>
                <w:color w:val="000000"/>
                <w:sz w:val="20"/>
                <w:szCs w:val="20"/>
              </w:rPr>
              <w:t>0</w:t>
            </w:r>
          </w:p>
        </w:tc>
        <w:tc>
          <w:tcPr>
            <w:tcW w:w="632"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color w:val="000000"/>
                <w:sz w:val="20"/>
                <w:szCs w:val="20"/>
              </w:rPr>
            </w:pPr>
            <w:r w:rsidRPr="00954078">
              <w:rPr>
                <w:color w:val="000000"/>
                <w:sz w:val="20"/>
                <w:szCs w:val="20"/>
              </w:rPr>
              <w:t>0</w:t>
            </w:r>
          </w:p>
        </w:tc>
        <w:tc>
          <w:tcPr>
            <w:tcW w:w="683"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color w:val="000000"/>
                <w:sz w:val="20"/>
                <w:szCs w:val="20"/>
              </w:rPr>
            </w:pPr>
            <w:r w:rsidRPr="00954078">
              <w:rPr>
                <w:color w:val="000000"/>
                <w:sz w:val="20"/>
                <w:szCs w:val="20"/>
              </w:rPr>
              <w:t>4 311 489</w:t>
            </w:r>
          </w:p>
        </w:tc>
      </w:tr>
      <w:tr w:rsidR="007716A8" w:rsidRPr="00954078" w:rsidTr="000C208E">
        <w:trPr>
          <w:trHeight w:val="507"/>
        </w:trPr>
        <w:tc>
          <w:tcPr>
            <w:tcW w:w="2629" w:type="dxa"/>
            <w:tcBorders>
              <w:top w:val="nil"/>
              <w:left w:val="single" w:sz="4" w:space="0" w:color="auto"/>
              <w:bottom w:val="single" w:sz="4" w:space="0" w:color="auto"/>
              <w:right w:val="single" w:sz="4" w:space="0" w:color="auto"/>
            </w:tcBorders>
            <w:shd w:val="clear" w:color="auto" w:fill="auto"/>
            <w:vAlign w:val="center"/>
            <w:hideMark/>
          </w:tcPr>
          <w:p w:rsidR="007716A8" w:rsidRPr="00954078" w:rsidRDefault="007716A8" w:rsidP="000C208E">
            <w:pPr>
              <w:rPr>
                <w:b/>
                <w:bCs/>
                <w:color w:val="000000"/>
                <w:sz w:val="20"/>
                <w:szCs w:val="20"/>
              </w:rPr>
            </w:pPr>
            <w:r w:rsidRPr="00954078">
              <w:rPr>
                <w:b/>
                <w:bCs/>
                <w:color w:val="000000"/>
                <w:sz w:val="20"/>
                <w:szCs w:val="20"/>
              </w:rPr>
              <w:t>Plānotais izdevumu veikšanas grafiks jauno pasākumu īstenošanai</w:t>
            </w:r>
          </w:p>
        </w:tc>
        <w:tc>
          <w:tcPr>
            <w:tcW w:w="628"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b/>
                <w:bCs/>
                <w:color w:val="000000"/>
                <w:sz w:val="20"/>
                <w:szCs w:val="20"/>
              </w:rPr>
            </w:pPr>
            <w:r w:rsidRPr="00954078">
              <w:rPr>
                <w:b/>
                <w:bCs/>
                <w:color w:val="000000"/>
                <w:sz w:val="20"/>
                <w:szCs w:val="20"/>
              </w:rPr>
              <w:t>0</w:t>
            </w:r>
          </w:p>
        </w:tc>
        <w:tc>
          <w:tcPr>
            <w:tcW w:w="629"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b/>
                <w:bCs/>
                <w:color w:val="000000"/>
                <w:sz w:val="20"/>
                <w:szCs w:val="20"/>
              </w:rPr>
            </w:pPr>
            <w:r w:rsidRPr="00954078">
              <w:rPr>
                <w:b/>
                <w:bCs/>
                <w:color w:val="000000"/>
                <w:sz w:val="20"/>
                <w:szCs w:val="20"/>
              </w:rPr>
              <w:t>0</w:t>
            </w:r>
          </w:p>
        </w:tc>
        <w:tc>
          <w:tcPr>
            <w:tcW w:w="629"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b/>
                <w:bCs/>
                <w:color w:val="000000"/>
                <w:sz w:val="20"/>
                <w:szCs w:val="20"/>
              </w:rPr>
            </w:pPr>
            <w:r w:rsidRPr="00954078">
              <w:rPr>
                <w:b/>
                <w:bCs/>
                <w:color w:val="000000"/>
                <w:sz w:val="20"/>
                <w:szCs w:val="20"/>
              </w:rPr>
              <w:t>0</w:t>
            </w:r>
          </w:p>
        </w:tc>
        <w:tc>
          <w:tcPr>
            <w:tcW w:w="629"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b/>
                <w:bCs/>
                <w:color w:val="000000"/>
                <w:sz w:val="20"/>
                <w:szCs w:val="20"/>
              </w:rPr>
            </w:pPr>
            <w:r w:rsidRPr="00954078">
              <w:rPr>
                <w:b/>
                <w:bCs/>
                <w:color w:val="000000"/>
                <w:sz w:val="20"/>
                <w:szCs w:val="20"/>
              </w:rPr>
              <w:t>0</w:t>
            </w:r>
          </w:p>
        </w:tc>
        <w:tc>
          <w:tcPr>
            <w:tcW w:w="629"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b/>
                <w:bCs/>
                <w:color w:val="000000"/>
                <w:sz w:val="20"/>
                <w:szCs w:val="20"/>
              </w:rPr>
            </w:pPr>
            <w:r w:rsidRPr="00954078">
              <w:rPr>
                <w:b/>
                <w:bCs/>
                <w:color w:val="000000"/>
                <w:sz w:val="20"/>
                <w:szCs w:val="20"/>
              </w:rPr>
              <w:t>0</w:t>
            </w:r>
          </w:p>
        </w:tc>
        <w:tc>
          <w:tcPr>
            <w:tcW w:w="766"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b/>
                <w:bCs/>
                <w:color w:val="000000"/>
                <w:sz w:val="20"/>
                <w:szCs w:val="20"/>
              </w:rPr>
            </w:pPr>
            <w:r w:rsidRPr="00954078">
              <w:rPr>
                <w:b/>
                <w:color w:val="000000"/>
                <w:sz w:val="20"/>
                <w:szCs w:val="20"/>
              </w:rPr>
              <w:t>180 000</w:t>
            </w:r>
          </w:p>
        </w:tc>
        <w:tc>
          <w:tcPr>
            <w:tcW w:w="666"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b/>
                <w:bCs/>
                <w:color w:val="000000"/>
                <w:sz w:val="20"/>
                <w:szCs w:val="20"/>
              </w:rPr>
            </w:pPr>
            <w:r w:rsidRPr="00954078">
              <w:rPr>
                <w:b/>
                <w:color w:val="000000"/>
                <w:sz w:val="20"/>
                <w:szCs w:val="20"/>
              </w:rPr>
              <w:t>1 967 402</w:t>
            </w:r>
          </w:p>
        </w:tc>
        <w:tc>
          <w:tcPr>
            <w:tcW w:w="666"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b/>
                <w:bCs/>
                <w:color w:val="000000"/>
                <w:sz w:val="20"/>
                <w:szCs w:val="20"/>
              </w:rPr>
            </w:pPr>
            <w:r w:rsidRPr="00954078">
              <w:rPr>
                <w:b/>
                <w:color w:val="000000"/>
                <w:sz w:val="20"/>
                <w:szCs w:val="20"/>
              </w:rPr>
              <w:t>1 792 598</w:t>
            </w:r>
          </w:p>
        </w:tc>
        <w:tc>
          <w:tcPr>
            <w:tcW w:w="632"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b/>
                <w:bCs/>
                <w:color w:val="000000"/>
                <w:sz w:val="20"/>
                <w:szCs w:val="20"/>
              </w:rPr>
            </w:pPr>
            <w:r w:rsidRPr="00954078">
              <w:rPr>
                <w:b/>
                <w:color w:val="000000"/>
                <w:sz w:val="20"/>
                <w:szCs w:val="20"/>
              </w:rPr>
              <w:t>0</w:t>
            </w:r>
          </w:p>
        </w:tc>
        <w:tc>
          <w:tcPr>
            <w:tcW w:w="683"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b/>
                <w:bCs/>
                <w:color w:val="000000"/>
                <w:sz w:val="20"/>
                <w:szCs w:val="20"/>
              </w:rPr>
            </w:pPr>
            <w:r w:rsidRPr="00954078">
              <w:rPr>
                <w:b/>
                <w:bCs/>
                <w:color w:val="000000"/>
                <w:sz w:val="20"/>
                <w:szCs w:val="20"/>
              </w:rPr>
              <w:t>3 940 000</w:t>
            </w:r>
          </w:p>
        </w:tc>
      </w:tr>
      <w:tr w:rsidR="007716A8" w:rsidRPr="00954078" w:rsidTr="000C208E">
        <w:trPr>
          <w:trHeight w:val="760"/>
        </w:trPr>
        <w:tc>
          <w:tcPr>
            <w:tcW w:w="2629" w:type="dxa"/>
            <w:tcBorders>
              <w:top w:val="nil"/>
              <w:left w:val="single" w:sz="4" w:space="0" w:color="auto"/>
              <w:bottom w:val="single" w:sz="4" w:space="0" w:color="auto"/>
              <w:right w:val="single" w:sz="4" w:space="0" w:color="auto"/>
            </w:tcBorders>
            <w:shd w:val="clear" w:color="auto" w:fill="auto"/>
            <w:vAlign w:val="center"/>
            <w:hideMark/>
          </w:tcPr>
          <w:p w:rsidR="007716A8" w:rsidRPr="00954078" w:rsidRDefault="007716A8" w:rsidP="000C208E">
            <w:pPr>
              <w:jc w:val="right"/>
              <w:rPr>
                <w:color w:val="000000"/>
                <w:sz w:val="20"/>
                <w:szCs w:val="20"/>
              </w:rPr>
            </w:pPr>
            <w:r w:rsidRPr="00954078">
              <w:rPr>
                <w:color w:val="000000"/>
                <w:sz w:val="20"/>
                <w:szCs w:val="20"/>
              </w:rPr>
              <w:t xml:space="preserve">t.sk. Jaunas radioaktīvo atkritumu tvertnes, ilgtermiņa glabātavas un esošo radioaktīvo atkritumu tvertņu pārsegšanas projekta izstrādei </w:t>
            </w:r>
          </w:p>
        </w:tc>
        <w:tc>
          <w:tcPr>
            <w:tcW w:w="628"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rPr>
                <w:color w:val="000000"/>
                <w:sz w:val="20"/>
                <w:szCs w:val="20"/>
              </w:rPr>
            </w:pPr>
            <w:r w:rsidRPr="00954078">
              <w:rPr>
                <w:color w:val="000000"/>
                <w:sz w:val="20"/>
                <w:szCs w:val="20"/>
              </w:rPr>
              <w:t> </w:t>
            </w:r>
          </w:p>
        </w:tc>
        <w:tc>
          <w:tcPr>
            <w:tcW w:w="629"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rPr>
                <w:color w:val="000000"/>
                <w:sz w:val="20"/>
                <w:szCs w:val="20"/>
              </w:rPr>
            </w:pPr>
            <w:r w:rsidRPr="00954078">
              <w:rPr>
                <w:color w:val="000000"/>
                <w:sz w:val="20"/>
                <w:szCs w:val="20"/>
              </w:rPr>
              <w:t> </w:t>
            </w:r>
          </w:p>
        </w:tc>
        <w:tc>
          <w:tcPr>
            <w:tcW w:w="629"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rPr>
                <w:color w:val="000000"/>
                <w:sz w:val="20"/>
                <w:szCs w:val="20"/>
              </w:rPr>
            </w:pPr>
            <w:r w:rsidRPr="00954078">
              <w:rPr>
                <w:color w:val="000000"/>
                <w:sz w:val="20"/>
                <w:szCs w:val="20"/>
              </w:rPr>
              <w:t> </w:t>
            </w:r>
          </w:p>
        </w:tc>
        <w:tc>
          <w:tcPr>
            <w:tcW w:w="629"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rPr>
                <w:color w:val="000000"/>
                <w:sz w:val="20"/>
                <w:szCs w:val="20"/>
              </w:rPr>
            </w:pPr>
            <w:r w:rsidRPr="00954078">
              <w:rPr>
                <w:color w:val="000000"/>
                <w:sz w:val="20"/>
                <w:szCs w:val="20"/>
              </w:rPr>
              <w:t> </w:t>
            </w:r>
          </w:p>
        </w:tc>
        <w:tc>
          <w:tcPr>
            <w:tcW w:w="629"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color w:val="000000"/>
                <w:sz w:val="20"/>
                <w:szCs w:val="20"/>
              </w:rPr>
            </w:pPr>
          </w:p>
        </w:tc>
        <w:tc>
          <w:tcPr>
            <w:tcW w:w="766"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b/>
                <w:color w:val="000000"/>
                <w:sz w:val="20"/>
                <w:szCs w:val="20"/>
              </w:rPr>
            </w:pPr>
            <w:r w:rsidRPr="00954078">
              <w:rPr>
                <w:b/>
                <w:color w:val="000000"/>
                <w:sz w:val="20"/>
                <w:szCs w:val="20"/>
              </w:rPr>
              <w:t>15 000</w:t>
            </w:r>
          </w:p>
        </w:tc>
        <w:tc>
          <w:tcPr>
            <w:tcW w:w="666"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rPr>
                <w:b/>
                <w:color w:val="000000"/>
                <w:sz w:val="20"/>
                <w:szCs w:val="20"/>
              </w:rPr>
            </w:pPr>
            <w:r w:rsidRPr="00954078">
              <w:rPr>
                <w:b/>
                <w:color w:val="000000"/>
                <w:sz w:val="20"/>
                <w:szCs w:val="20"/>
              </w:rPr>
              <w:t> 612 402</w:t>
            </w:r>
          </w:p>
        </w:tc>
        <w:tc>
          <w:tcPr>
            <w:tcW w:w="666"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b/>
                <w:color w:val="000000"/>
                <w:sz w:val="20"/>
                <w:szCs w:val="20"/>
              </w:rPr>
            </w:pPr>
            <w:r w:rsidRPr="00954078">
              <w:rPr>
                <w:color w:val="000000"/>
                <w:sz w:val="20"/>
                <w:szCs w:val="20"/>
              </w:rPr>
              <w:t> </w:t>
            </w:r>
            <w:r w:rsidRPr="00954078">
              <w:rPr>
                <w:b/>
                <w:color w:val="000000"/>
                <w:sz w:val="20"/>
                <w:szCs w:val="20"/>
              </w:rPr>
              <w:t>12 598</w:t>
            </w:r>
          </w:p>
        </w:tc>
        <w:tc>
          <w:tcPr>
            <w:tcW w:w="632"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rPr>
                <w:color w:val="000000"/>
                <w:sz w:val="20"/>
                <w:szCs w:val="20"/>
              </w:rPr>
            </w:pPr>
            <w:r w:rsidRPr="00954078">
              <w:rPr>
                <w:color w:val="000000"/>
                <w:sz w:val="20"/>
                <w:szCs w:val="20"/>
              </w:rPr>
              <w:t> </w:t>
            </w:r>
          </w:p>
        </w:tc>
        <w:tc>
          <w:tcPr>
            <w:tcW w:w="683"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color w:val="000000"/>
                <w:sz w:val="20"/>
                <w:szCs w:val="20"/>
              </w:rPr>
            </w:pPr>
            <w:r w:rsidRPr="00954078">
              <w:rPr>
                <w:color w:val="000000"/>
                <w:sz w:val="20"/>
                <w:szCs w:val="20"/>
              </w:rPr>
              <w:t>640 000</w:t>
            </w:r>
          </w:p>
        </w:tc>
      </w:tr>
      <w:tr w:rsidR="007716A8" w:rsidRPr="00954078" w:rsidTr="000C208E">
        <w:trPr>
          <w:trHeight w:val="760"/>
        </w:trPr>
        <w:tc>
          <w:tcPr>
            <w:tcW w:w="2629" w:type="dxa"/>
            <w:tcBorders>
              <w:top w:val="nil"/>
              <w:left w:val="single" w:sz="4" w:space="0" w:color="auto"/>
              <w:bottom w:val="single" w:sz="4" w:space="0" w:color="auto"/>
              <w:right w:val="single" w:sz="4" w:space="0" w:color="auto"/>
            </w:tcBorders>
            <w:shd w:val="clear" w:color="auto" w:fill="auto"/>
            <w:vAlign w:val="center"/>
            <w:hideMark/>
          </w:tcPr>
          <w:p w:rsidR="007716A8" w:rsidRPr="00954078" w:rsidRDefault="007716A8" w:rsidP="000C208E">
            <w:pPr>
              <w:jc w:val="right"/>
              <w:rPr>
                <w:color w:val="000000"/>
                <w:sz w:val="20"/>
                <w:szCs w:val="20"/>
              </w:rPr>
            </w:pPr>
            <w:r w:rsidRPr="00954078">
              <w:rPr>
                <w:color w:val="000000"/>
                <w:sz w:val="20"/>
                <w:szCs w:val="20"/>
              </w:rPr>
              <w:t>t.sk. Salaspils kodolreaktora izpēte un demontāžas projektu (t.sk būvprojekta) izstrādei plānotais finansējums</w:t>
            </w:r>
          </w:p>
        </w:tc>
        <w:tc>
          <w:tcPr>
            <w:tcW w:w="628"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rPr>
                <w:color w:val="000000"/>
                <w:sz w:val="20"/>
                <w:szCs w:val="20"/>
              </w:rPr>
            </w:pPr>
            <w:r w:rsidRPr="00954078">
              <w:rPr>
                <w:color w:val="000000"/>
                <w:sz w:val="20"/>
                <w:szCs w:val="20"/>
              </w:rPr>
              <w:t> </w:t>
            </w:r>
          </w:p>
        </w:tc>
        <w:tc>
          <w:tcPr>
            <w:tcW w:w="629"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rPr>
                <w:color w:val="000000"/>
                <w:sz w:val="20"/>
                <w:szCs w:val="20"/>
              </w:rPr>
            </w:pPr>
            <w:r w:rsidRPr="00954078">
              <w:rPr>
                <w:color w:val="000000"/>
                <w:sz w:val="20"/>
                <w:szCs w:val="20"/>
              </w:rPr>
              <w:t> </w:t>
            </w:r>
          </w:p>
        </w:tc>
        <w:tc>
          <w:tcPr>
            <w:tcW w:w="629"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rPr>
                <w:color w:val="000000"/>
                <w:sz w:val="20"/>
                <w:szCs w:val="20"/>
              </w:rPr>
            </w:pPr>
            <w:r w:rsidRPr="00954078">
              <w:rPr>
                <w:color w:val="000000"/>
                <w:sz w:val="20"/>
                <w:szCs w:val="20"/>
              </w:rPr>
              <w:t> </w:t>
            </w:r>
          </w:p>
        </w:tc>
        <w:tc>
          <w:tcPr>
            <w:tcW w:w="629"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rPr>
                <w:color w:val="000000"/>
                <w:sz w:val="20"/>
                <w:szCs w:val="20"/>
              </w:rPr>
            </w:pPr>
            <w:r w:rsidRPr="00954078">
              <w:rPr>
                <w:color w:val="000000"/>
                <w:sz w:val="20"/>
                <w:szCs w:val="20"/>
              </w:rPr>
              <w:t> </w:t>
            </w:r>
          </w:p>
        </w:tc>
        <w:tc>
          <w:tcPr>
            <w:tcW w:w="629"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color w:val="000000"/>
                <w:sz w:val="20"/>
                <w:szCs w:val="20"/>
              </w:rPr>
            </w:pPr>
          </w:p>
        </w:tc>
        <w:tc>
          <w:tcPr>
            <w:tcW w:w="766"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rPr>
                <w:b/>
                <w:color w:val="000000"/>
                <w:sz w:val="20"/>
                <w:szCs w:val="20"/>
              </w:rPr>
            </w:pPr>
            <w:r w:rsidRPr="00954078">
              <w:rPr>
                <w:b/>
                <w:color w:val="000000"/>
                <w:sz w:val="20"/>
                <w:szCs w:val="20"/>
              </w:rPr>
              <w:t>15 000</w:t>
            </w:r>
          </w:p>
        </w:tc>
        <w:tc>
          <w:tcPr>
            <w:tcW w:w="666"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b/>
                <w:color w:val="000000"/>
                <w:sz w:val="20"/>
                <w:szCs w:val="20"/>
              </w:rPr>
            </w:pPr>
            <w:r w:rsidRPr="00954078">
              <w:rPr>
                <w:b/>
                <w:color w:val="000000"/>
                <w:sz w:val="20"/>
                <w:szCs w:val="20"/>
              </w:rPr>
              <w:t>1 205 000</w:t>
            </w:r>
          </w:p>
        </w:tc>
        <w:tc>
          <w:tcPr>
            <w:tcW w:w="666"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b/>
                <w:color w:val="000000"/>
                <w:sz w:val="20"/>
                <w:szCs w:val="20"/>
              </w:rPr>
            </w:pPr>
            <w:r w:rsidRPr="00954078">
              <w:rPr>
                <w:b/>
                <w:color w:val="000000"/>
                <w:sz w:val="20"/>
                <w:szCs w:val="20"/>
              </w:rPr>
              <w:t>1 630 000</w:t>
            </w:r>
          </w:p>
        </w:tc>
        <w:tc>
          <w:tcPr>
            <w:tcW w:w="632"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rPr>
                <w:color w:val="000000"/>
                <w:sz w:val="20"/>
                <w:szCs w:val="20"/>
              </w:rPr>
            </w:pPr>
            <w:r w:rsidRPr="00954078">
              <w:rPr>
                <w:color w:val="000000"/>
                <w:sz w:val="20"/>
                <w:szCs w:val="20"/>
              </w:rPr>
              <w:t> </w:t>
            </w:r>
          </w:p>
        </w:tc>
        <w:tc>
          <w:tcPr>
            <w:tcW w:w="683"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color w:val="000000"/>
                <w:sz w:val="20"/>
                <w:szCs w:val="20"/>
              </w:rPr>
            </w:pPr>
            <w:r w:rsidRPr="00954078">
              <w:rPr>
                <w:color w:val="000000"/>
                <w:sz w:val="20"/>
                <w:szCs w:val="20"/>
              </w:rPr>
              <w:t>2 850 000</w:t>
            </w:r>
          </w:p>
        </w:tc>
      </w:tr>
      <w:tr w:rsidR="004467D4" w:rsidRPr="00954078" w:rsidTr="000C208E">
        <w:trPr>
          <w:trHeight w:val="253"/>
        </w:trPr>
        <w:tc>
          <w:tcPr>
            <w:tcW w:w="2629" w:type="dxa"/>
            <w:tcBorders>
              <w:top w:val="nil"/>
              <w:left w:val="single" w:sz="4" w:space="0" w:color="auto"/>
              <w:bottom w:val="single" w:sz="4" w:space="0" w:color="auto"/>
              <w:right w:val="single" w:sz="4" w:space="0" w:color="auto"/>
            </w:tcBorders>
            <w:shd w:val="clear" w:color="auto" w:fill="auto"/>
            <w:vAlign w:val="center"/>
          </w:tcPr>
          <w:p w:rsidR="004467D4" w:rsidRPr="00954078" w:rsidRDefault="004467D4" w:rsidP="004467D4">
            <w:pPr>
              <w:jc w:val="right"/>
              <w:rPr>
                <w:color w:val="000000"/>
                <w:sz w:val="20"/>
                <w:szCs w:val="20"/>
              </w:rPr>
            </w:pPr>
            <w:r w:rsidRPr="00954078">
              <w:rPr>
                <w:color w:val="000000"/>
                <w:sz w:val="20"/>
                <w:szCs w:val="20"/>
              </w:rPr>
              <w:t>t.sk. Salaspils kodolreaktora uzturēšanai</w:t>
            </w:r>
          </w:p>
        </w:tc>
        <w:tc>
          <w:tcPr>
            <w:tcW w:w="628" w:type="dxa"/>
            <w:tcBorders>
              <w:top w:val="nil"/>
              <w:left w:val="nil"/>
              <w:bottom w:val="single" w:sz="4" w:space="0" w:color="auto"/>
              <w:right w:val="single" w:sz="4" w:space="0" w:color="auto"/>
            </w:tcBorders>
            <w:shd w:val="clear" w:color="auto" w:fill="auto"/>
            <w:vAlign w:val="center"/>
          </w:tcPr>
          <w:p w:rsidR="004467D4" w:rsidRPr="00954078" w:rsidRDefault="004467D4" w:rsidP="000C208E">
            <w:pPr>
              <w:jc w:val="right"/>
              <w:rPr>
                <w:b/>
                <w:bCs/>
                <w:color w:val="C00000"/>
                <w:sz w:val="20"/>
                <w:szCs w:val="20"/>
              </w:rPr>
            </w:pPr>
          </w:p>
        </w:tc>
        <w:tc>
          <w:tcPr>
            <w:tcW w:w="629" w:type="dxa"/>
            <w:tcBorders>
              <w:top w:val="nil"/>
              <w:left w:val="nil"/>
              <w:bottom w:val="single" w:sz="4" w:space="0" w:color="auto"/>
              <w:right w:val="single" w:sz="4" w:space="0" w:color="auto"/>
            </w:tcBorders>
            <w:shd w:val="clear" w:color="auto" w:fill="auto"/>
            <w:vAlign w:val="center"/>
          </w:tcPr>
          <w:p w:rsidR="004467D4" w:rsidRPr="00954078" w:rsidRDefault="004467D4" w:rsidP="000C208E">
            <w:pPr>
              <w:jc w:val="right"/>
              <w:rPr>
                <w:b/>
                <w:bCs/>
                <w:color w:val="C00000"/>
                <w:sz w:val="20"/>
                <w:szCs w:val="20"/>
              </w:rPr>
            </w:pPr>
          </w:p>
        </w:tc>
        <w:tc>
          <w:tcPr>
            <w:tcW w:w="629" w:type="dxa"/>
            <w:tcBorders>
              <w:top w:val="nil"/>
              <w:left w:val="nil"/>
              <w:bottom w:val="single" w:sz="4" w:space="0" w:color="auto"/>
              <w:right w:val="single" w:sz="4" w:space="0" w:color="auto"/>
            </w:tcBorders>
            <w:shd w:val="clear" w:color="auto" w:fill="auto"/>
            <w:vAlign w:val="center"/>
          </w:tcPr>
          <w:p w:rsidR="004467D4" w:rsidRPr="00954078" w:rsidRDefault="004467D4" w:rsidP="000C208E">
            <w:pPr>
              <w:jc w:val="right"/>
              <w:rPr>
                <w:b/>
                <w:bCs/>
                <w:color w:val="C00000"/>
                <w:sz w:val="20"/>
                <w:szCs w:val="20"/>
              </w:rPr>
            </w:pPr>
          </w:p>
        </w:tc>
        <w:tc>
          <w:tcPr>
            <w:tcW w:w="629" w:type="dxa"/>
            <w:tcBorders>
              <w:top w:val="nil"/>
              <w:left w:val="nil"/>
              <w:bottom w:val="single" w:sz="4" w:space="0" w:color="auto"/>
              <w:right w:val="single" w:sz="4" w:space="0" w:color="auto"/>
            </w:tcBorders>
            <w:shd w:val="clear" w:color="auto" w:fill="auto"/>
            <w:vAlign w:val="center"/>
          </w:tcPr>
          <w:p w:rsidR="004467D4" w:rsidRPr="00954078" w:rsidRDefault="004467D4" w:rsidP="000C208E">
            <w:pPr>
              <w:jc w:val="right"/>
              <w:rPr>
                <w:b/>
                <w:bCs/>
                <w:color w:val="C00000"/>
                <w:sz w:val="20"/>
                <w:szCs w:val="20"/>
              </w:rPr>
            </w:pPr>
          </w:p>
        </w:tc>
        <w:tc>
          <w:tcPr>
            <w:tcW w:w="629" w:type="dxa"/>
            <w:tcBorders>
              <w:top w:val="nil"/>
              <w:left w:val="nil"/>
              <w:bottom w:val="single" w:sz="4" w:space="0" w:color="auto"/>
              <w:right w:val="single" w:sz="4" w:space="0" w:color="auto"/>
            </w:tcBorders>
            <w:shd w:val="clear" w:color="auto" w:fill="auto"/>
            <w:vAlign w:val="center"/>
          </w:tcPr>
          <w:p w:rsidR="004467D4" w:rsidRPr="00954078" w:rsidRDefault="004467D4" w:rsidP="000C208E">
            <w:pPr>
              <w:jc w:val="right"/>
              <w:rPr>
                <w:b/>
                <w:bCs/>
                <w:color w:val="C00000"/>
                <w:sz w:val="20"/>
                <w:szCs w:val="20"/>
              </w:rPr>
            </w:pPr>
          </w:p>
        </w:tc>
        <w:tc>
          <w:tcPr>
            <w:tcW w:w="766" w:type="dxa"/>
            <w:tcBorders>
              <w:top w:val="nil"/>
              <w:left w:val="nil"/>
              <w:bottom w:val="single" w:sz="4" w:space="0" w:color="auto"/>
              <w:right w:val="single" w:sz="4" w:space="0" w:color="auto"/>
            </w:tcBorders>
            <w:shd w:val="clear" w:color="auto" w:fill="auto"/>
            <w:vAlign w:val="center"/>
          </w:tcPr>
          <w:p w:rsidR="004467D4" w:rsidRPr="00954078" w:rsidRDefault="004467D4" w:rsidP="000C208E">
            <w:pPr>
              <w:jc w:val="right"/>
              <w:rPr>
                <w:b/>
                <w:bCs/>
                <w:sz w:val="20"/>
                <w:szCs w:val="20"/>
              </w:rPr>
            </w:pPr>
            <w:r w:rsidRPr="00954078">
              <w:rPr>
                <w:b/>
                <w:bCs/>
                <w:sz w:val="20"/>
                <w:szCs w:val="20"/>
              </w:rPr>
              <w:t>150 000</w:t>
            </w:r>
          </w:p>
        </w:tc>
        <w:tc>
          <w:tcPr>
            <w:tcW w:w="666" w:type="dxa"/>
            <w:tcBorders>
              <w:top w:val="nil"/>
              <w:left w:val="nil"/>
              <w:bottom w:val="single" w:sz="4" w:space="0" w:color="auto"/>
              <w:right w:val="single" w:sz="4" w:space="0" w:color="auto"/>
            </w:tcBorders>
            <w:shd w:val="clear" w:color="auto" w:fill="auto"/>
            <w:vAlign w:val="center"/>
          </w:tcPr>
          <w:p w:rsidR="004467D4" w:rsidRPr="00954078" w:rsidRDefault="004467D4" w:rsidP="000C208E">
            <w:pPr>
              <w:jc w:val="right"/>
              <w:rPr>
                <w:b/>
                <w:bCs/>
                <w:sz w:val="20"/>
                <w:szCs w:val="20"/>
              </w:rPr>
            </w:pPr>
            <w:r w:rsidRPr="00954078">
              <w:rPr>
                <w:b/>
                <w:bCs/>
                <w:sz w:val="20"/>
                <w:szCs w:val="20"/>
              </w:rPr>
              <w:t>150 000</w:t>
            </w:r>
          </w:p>
        </w:tc>
        <w:tc>
          <w:tcPr>
            <w:tcW w:w="666" w:type="dxa"/>
            <w:tcBorders>
              <w:top w:val="nil"/>
              <w:left w:val="nil"/>
              <w:bottom w:val="single" w:sz="4" w:space="0" w:color="auto"/>
              <w:right w:val="single" w:sz="4" w:space="0" w:color="auto"/>
            </w:tcBorders>
            <w:shd w:val="clear" w:color="auto" w:fill="auto"/>
            <w:vAlign w:val="center"/>
          </w:tcPr>
          <w:p w:rsidR="004467D4" w:rsidRPr="00954078" w:rsidRDefault="004467D4" w:rsidP="000C208E">
            <w:pPr>
              <w:jc w:val="right"/>
              <w:rPr>
                <w:b/>
                <w:bCs/>
                <w:sz w:val="20"/>
                <w:szCs w:val="20"/>
              </w:rPr>
            </w:pPr>
          </w:p>
        </w:tc>
        <w:tc>
          <w:tcPr>
            <w:tcW w:w="632" w:type="dxa"/>
            <w:tcBorders>
              <w:top w:val="nil"/>
              <w:left w:val="nil"/>
              <w:bottom w:val="single" w:sz="4" w:space="0" w:color="auto"/>
              <w:right w:val="single" w:sz="4" w:space="0" w:color="auto"/>
            </w:tcBorders>
            <w:shd w:val="clear" w:color="auto" w:fill="auto"/>
            <w:vAlign w:val="center"/>
          </w:tcPr>
          <w:p w:rsidR="004467D4" w:rsidRPr="00954078" w:rsidRDefault="004467D4" w:rsidP="000C208E">
            <w:pPr>
              <w:jc w:val="right"/>
              <w:rPr>
                <w:b/>
                <w:bCs/>
                <w:sz w:val="20"/>
                <w:szCs w:val="20"/>
              </w:rPr>
            </w:pPr>
          </w:p>
        </w:tc>
        <w:tc>
          <w:tcPr>
            <w:tcW w:w="683" w:type="dxa"/>
            <w:tcBorders>
              <w:top w:val="nil"/>
              <w:left w:val="nil"/>
              <w:bottom w:val="single" w:sz="4" w:space="0" w:color="auto"/>
              <w:right w:val="single" w:sz="4" w:space="0" w:color="auto"/>
            </w:tcBorders>
            <w:shd w:val="clear" w:color="auto" w:fill="auto"/>
            <w:vAlign w:val="center"/>
          </w:tcPr>
          <w:p w:rsidR="004467D4" w:rsidRPr="00954078" w:rsidRDefault="004467D4" w:rsidP="000C208E">
            <w:pPr>
              <w:jc w:val="right"/>
              <w:rPr>
                <w:b/>
                <w:bCs/>
                <w:sz w:val="20"/>
                <w:szCs w:val="20"/>
              </w:rPr>
            </w:pPr>
            <w:r w:rsidRPr="00954078">
              <w:rPr>
                <w:b/>
                <w:bCs/>
                <w:sz w:val="20"/>
                <w:szCs w:val="20"/>
              </w:rPr>
              <w:t>300 000</w:t>
            </w:r>
          </w:p>
        </w:tc>
      </w:tr>
      <w:tr w:rsidR="007716A8" w:rsidRPr="00954078" w:rsidTr="000C208E">
        <w:trPr>
          <w:trHeight w:val="253"/>
        </w:trPr>
        <w:tc>
          <w:tcPr>
            <w:tcW w:w="2629" w:type="dxa"/>
            <w:tcBorders>
              <w:top w:val="nil"/>
              <w:left w:val="single" w:sz="4" w:space="0" w:color="auto"/>
              <w:bottom w:val="single" w:sz="4" w:space="0" w:color="auto"/>
              <w:right w:val="single" w:sz="4" w:space="0" w:color="auto"/>
            </w:tcBorders>
            <w:shd w:val="clear" w:color="auto" w:fill="auto"/>
            <w:vAlign w:val="center"/>
            <w:hideMark/>
          </w:tcPr>
          <w:p w:rsidR="007716A8" w:rsidRPr="00954078" w:rsidRDefault="007716A8" w:rsidP="000C208E">
            <w:pPr>
              <w:rPr>
                <w:b/>
                <w:bCs/>
                <w:color w:val="C00000"/>
                <w:sz w:val="20"/>
                <w:szCs w:val="20"/>
              </w:rPr>
            </w:pPr>
            <w:r w:rsidRPr="00954078">
              <w:rPr>
                <w:b/>
                <w:bCs/>
                <w:color w:val="C00000"/>
                <w:sz w:val="20"/>
                <w:szCs w:val="20"/>
              </w:rPr>
              <w:t>Ietekme uz vispārējās valdības budžeta bilanci</w:t>
            </w:r>
          </w:p>
        </w:tc>
        <w:tc>
          <w:tcPr>
            <w:tcW w:w="628"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b/>
                <w:bCs/>
                <w:color w:val="C00000"/>
                <w:sz w:val="20"/>
                <w:szCs w:val="20"/>
              </w:rPr>
            </w:pPr>
            <w:r w:rsidRPr="00954078">
              <w:rPr>
                <w:b/>
                <w:bCs/>
                <w:color w:val="C00000"/>
                <w:sz w:val="20"/>
                <w:szCs w:val="20"/>
              </w:rPr>
              <w:t>23 736</w:t>
            </w:r>
          </w:p>
        </w:tc>
        <w:tc>
          <w:tcPr>
            <w:tcW w:w="629"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b/>
                <w:bCs/>
                <w:color w:val="C00000"/>
                <w:sz w:val="20"/>
                <w:szCs w:val="20"/>
              </w:rPr>
            </w:pPr>
            <w:r w:rsidRPr="00954078">
              <w:rPr>
                <w:b/>
                <w:bCs/>
                <w:color w:val="C00000"/>
                <w:sz w:val="20"/>
                <w:szCs w:val="20"/>
              </w:rPr>
              <w:t>649 536</w:t>
            </w:r>
          </w:p>
        </w:tc>
        <w:tc>
          <w:tcPr>
            <w:tcW w:w="629"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b/>
                <w:bCs/>
                <w:color w:val="C00000"/>
                <w:sz w:val="20"/>
                <w:szCs w:val="20"/>
              </w:rPr>
            </w:pPr>
            <w:r w:rsidRPr="00954078">
              <w:rPr>
                <w:b/>
                <w:bCs/>
                <w:color w:val="C00000"/>
                <w:sz w:val="20"/>
                <w:szCs w:val="20"/>
              </w:rPr>
              <w:t>495 788</w:t>
            </w:r>
          </w:p>
        </w:tc>
        <w:tc>
          <w:tcPr>
            <w:tcW w:w="629"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b/>
                <w:bCs/>
                <w:color w:val="C00000"/>
                <w:sz w:val="20"/>
                <w:szCs w:val="20"/>
              </w:rPr>
            </w:pPr>
            <w:r w:rsidRPr="00954078">
              <w:rPr>
                <w:b/>
                <w:bCs/>
                <w:color w:val="C00000"/>
                <w:sz w:val="20"/>
                <w:szCs w:val="20"/>
              </w:rPr>
              <w:t>1 847 402</w:t>
            </w:r>
          </w:p>
        </w:tc>
        <w:tc>
          <w:tcPr>
            <w:tcW w:w="629"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b/>
                <w:bCs/>
                <w:color w:val="C00000"/>
                <w:sz w:val="20"/>
                <w:szCs w:val="20"/>
              </w:rPr>
            </w:pPr>
            <w:r w:rsidRPr="00954078">
              <w:rPr>
                <w:b/>
                <w:bCs/>
                <w:color w:val="C00000"/>
                <w:sz w:val="20"/>
                <w:szCs w:val="20"/>
              </w:rPr>
              <w:t>2 392 489</w:t>
            </w:r>
          </w:p>
        </w:tc>
        <w:tc>
          <w:tcPr>
            <w:tcW w:w="766" w:type="dxa"/>
            <w:tcBorders>
              <w:top w:val="nil"/>
              <w:left w:val="nil"/>
              <w:bottom w:val="single" w:sz="4" w:space="0" w:color="auto"/>
              <w:right w:val="single" w:sz="4" w:space="0" w:color="auto"/>
            </w:tcBorders>
            <w:shd w:val="clear" w:color="auto" w:fill="auto"/>
            <w:vAlign w:val="center"/>
            <w:hideMark/>
          </w:tcPr>
          <w:p w:rsidR="007716A8" w:rsidRPr="00954078" w:rsidRDefault="004467D4" w:rsidP="000C208E">
            <w:pPr>
              <w:jc w:val="right"/>
              <w:rPr>
                <w:b/>
                <w:bCs/>
                <w:color w:val="C00000"/>
                <w:sz w:val="20"/>
                <w:szCs w:val="20"/>
              </w:rPr>
            </w:pPr>
            <w:r w:rsidRPr="00954078">
              <w:rPr>
                <w:b/>
                <w:bCs/>
                <w:color w:val="C00000"/>
                <w:sz w:val="20"/>
                <w:szCs w:val="20"/>
              </w:rPr>
              <w:t>804</w:t>
            </w:r>
            <w:r w:rsidR="007716A8" w:rsidRPr="00954078">
              <w:rPr>
                <w:b/>
                <w:bCs/>
                <w:color w:val="C00000"/>
                <w:sz w:val="20"/>
                <w:szCs w:val="20"/>
              </w:rPr>
              <w:t xml:space="preserve"> 000</w:t>
            </w:r>
          </w:p>
        </w:tc>
        <w:tc>
          <w:tcPr>
            <w:tcW w:w="666"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b/>
                <w:bCs/>
                <w:color w:val="C00000"/>
                <w:sz w:val="20"/>
                <w:szCs w:val="20"/>
              </w:rPr>
            </w:pPr>
            <w:r w:rsidRPr="00954078">
              <w:rPr>
                <w:b/>
                <w:bCs/>
                <w:color w:val="C00000"/>
                <w:sz w:val="20"/>
                <w:szCs w:val="20"/>
              </w:rPr>
              <w:t>-1</w:t>
            </w:r>
            <w:r w:rsidR="004467D4" w:rsidRPr="00954078">
              <w:rPr>
                <w:b/>
                <w:bCs/>
                <w:color w:val="C00000"/>
                <w:sz w:val="20"/>
                <w:szCs w:val="20"/>
              </w:rPr>
              <w:t xml:space="preserve"> 032 402</w:t>
            </w:r>
          </w:p>
        </w:tc>
        <w:tc>
          <w:tcPr>
            <w:tcW w:w="666"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b/>
                <w:bCs/>
                <w:color w:val="C00000"/>
                <w:sz w:val="20"/>
                <w:szCs w:val="20"/>
              </w:rPr>
            </w:pPr>
            <w:r w:rsidRPr="00954078">
              <w:rPr>
                <w:b/>
                <w:bCs/>
                <w:color w:val="C00000"/>
                <w:sz w:val="20"/>
                <w:szCs w:val="20"/>
              </w:rPr>
              <w:t>-1 792 598</w:t>
            </w:r>
          </w:p>
        </w:tc>
        <w:tc>
          <w:tcPr>
            <w:tcW w:w="632" w:type="dxa"/>
            <w:tcBorders>
              <w:top w:val="nil"/>
              <w:left w:val="nil"/>
              <w:bottom w:val="single" w:sz="4" w:space="0" w:color="auto"/>
              <w:right w:val="single" w:sz="4" w:space="0" w:color="auto"/>
            </w:tcBorders>
            <w:shd w:val="clear" w:color="auto" w:fill="auto"/>
            <w:vAlign w:val="center"/>
            <w:hideMark/>
          </w:tcPr>
          <w:p w:rsidR="007716A8" w:rsidRPr="00954078" w:rsidRDefault="007716A8" w:rsidP="000C208E">
            <w:pPr>
              <w:jc w:val="right"/>
              <w:rPr>
                <w:b/>
                <w:bCs/>
                <w:color w:val="C00000"/>
                <w:sz w:val="20"/>
                <w:szCs w:val="20"/>
              </w:rPr>
            </w:pPr>
            <w:r w:rsidRPr="00954078">
              <w:rPr>
                <w:b/>
                <w:bCs/>
                <w:color w:val="C00000"/>
                <w:sz w:val="20"/>
                <w:szCs w:val="20"/>
              </w:rPr>
              <w:t>0</w:t>
            </w:r>
          </w:p>
        </w:tc>
        <w:tc>
          <w:tcPr>
            <w:tcW w:w="683" w:type="dxa"/>
            <w:tcBorders>
              <w:top w:val="nil"/>
              <w:left w:val="nil"/>
              <w:bottom w:val="single" w:sz="4" w:space="0" w:color="auto"/>
              <w:right w:val="single" w:sz="4" w:space="0" w:color="auto"/>
            </w:tcBorders>
            <w:shd w:val="clear" w:color="auto" w:fill="auto"/>
            <w:vAlign w:val="center"/>
            <w:hideMark/>
          </w:tcPr>
          <w:p w:rsidR="007716A8" w:rsidRPr="00954078" w:rsidRDefault="004467D4" w:rsidP="000C208E">
            <w:pPr>
              <w:jc w:val="right"/>
              <w:rPr>
                <w:b/>
                <w:bCs/>
                <w:color w:val="C00000"/>
                <w:sz w:val="20"/>
                <w:szCs w:val="20"/>
              </w:rPr>
            </w:pPr>
            <w:r w:rsidRPr="00954078">
              <w:rPr>
                <w:b/>
                <w:bCs/>
                <w:color w:val="C00000"/>
                <w:sz w:val="20"/>
                <w:szCs w:val="20"/>
              </w:rPr>
              <w:t>3 387 951</w:t>
            </w:r>
          </w:p>
        </w:tc>
      </w:tr>
      <w:tr w:rsidR="007716A8" w:rsidTr="000C208E">
        <w:trPr>
          <w:trHeight w:val="253"/>
        </w:trPr>
        <w:tc>
          <w:tcPr>
            <w:tcW w:w="850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716A8" w:rsidRPr="00954078" w:rsidRDefault="007716A8" w:rsidP="000C208E">
            <w:pPr>
              <w:jc w:val="right"/>
              <w:rPr>
                <w:b/>
                <w:bCs/>
                <w:color w:val="000000"/>
                <w:sz w:val="20"/>
                <w:szCs w:val="20"/>
              </w:rPr>
            </w:pPr>
            <w:r w:rsidRPr="00954078">
              <w:rPr>
                <w:b/>
                <w:bCs/>
                <w:color w:val="000000"/>
                <w:sz w:val="20"/>
                <w:szCs w:val="20"/>
              </w:rPr>
              <w:t>Pieejamā finansējuma atlikums</w:t>
            </w:r>
          </w:p>
        </w:tc>
        <w:tc>
          <w:tcPr>
            <w:tcW w:w="683" w:type="dxa"/>
            <w:tcBorders>
              <w:top w:val="nil"/>
              <w:left w:val="nil"/>
              <w:bottom w:val="single" w:sz="4" w:space="0" w:color="auto"/>
              <w:right w:val="single" w:sz="4" w:space="0" w:color="auto"/>
            </w:tcBorders>
            <w:shd w:val="clear" w:color="auto" w:fill="auto"/>
            <w:vAlign w:val="center"/>
            <w:hideMark/>
          </w:tcPr>
          <w:p w:rsidR="007716A8" w:rsidRPr="004467D4" w:rsidRDefault="004467D4" w:rsidP="000C208E">
            <w:pPr>
              <w:jc w:val="right"/>
              <w:rPr>
                <w:b/>
                <w:bCs/>
                <w:sz w:val="20"/>
                <w:szCs w:val="20"/>
              </w:rPr>
            </w:pPr>
            <w:r w:rsidRPr="00954078">
              <w:rPr>
                <w:b/>
                <w:bCs/>
                <w:sz w:val="20"/>
                <w:szCs w:val="20"/>
              </w:rPr>
              <w:t>3 387 951</w:t>
            </w:r>
          </w:p>
        </w:tc>
      </w:tr>
    </w:tbl>
    <w:p w:rsidR="007716A8" w:rsidRDefault="007716A8" w:rsidP="007716A8">
      <w:pPr>
        <w:jc w:val="center"/>
        <w:rPr>
          <w:b/>
          <w:bCs/>
          <w:color w:val="000000"/>
        </w:rPr>
      </w:pPr>
    </w:p>
    <w:p w:rsidR="007716A8" w:rsidRPr="000F5097" w:rsidRDefault="007716A8" w:rsidP="007716A8">
      <w:pPr>
        <w:jc w:val="center"/>
        <w:rPr>
          <w:b/>
          <w:bCs/>
          <w:i/>
          <w:iCs/>
          <w:color w:val="000000"/>
        </w:rPr>
      </w:pPr>
      <w:r w:rsidRPr="000F5097">
        <w:rPr>
          <w:b/>
          <w:bCs/>
          <w:color w:val="000000"/>
        </w:rPr>
        <w:t xml:space="preserve">Informācija par finansējumu pasākumiem saistībā ar glabātavas "Radons" uzturēšanu, kas tiek īstenoti atbilstoši plānotajam, </w:t>
      </w:r>
      <w:proofErr w:type="spellStart"/>
      <w:r w:rsidRPr="000F5097">
        <w:rPr>
          <w:b/>
          <w:bCs/>
          <w:i/>
          <w:iCs/>
          <w:color w:val="000000"/>
        </w:rPr>
        <w:t>euro</w:t>
      </w:r>
      <w:proofErr w:type="spellEnd"/>
    </w:p>
    <w:p w:rsidR="007716A8" w:rsidRPr="00CB563D" w:rsidRDefault="007716A8" w:rsidP="007716A8">
      <w:pPr>
        <w:spacing w:after="120"/>
        <w:ind w:left="960"/>
        <w:jc w:val="right"/>
        <w:rPr>
          <w:sz w:val="22"/>
          <w:szCs w:val="28"/>
        </w:rPr>
      </w:pPr>
      <w:r w:rsidRPr="00A15EAA">
        <w:rPr>
          <w:sz w:val="22"/>
          <w:szCs w:val="28"/>
        </w:rPr>
        <w:t>T</w:t>
      </w:r>
      <w:r>
        <w:rPr>
          <w:sz w:val="22"/>
          <w:szCs w:val="28"/>
        </w:rPr>
        <w:t>abula Nr. 3</w:t>
      </w:r>
    </w:p>
    <w:tbl>
      <w:tblPr>
        <w:tblW w:w="9093" w:type="dxa"/>
        <w:tblLook w:val="04A0" w:firstRow="1" w:lastRow="0" w:firstColumn="1" w:lastColumn="0" w:noHBand="0" w:noVBand="1"/>
      </w:tblPr>
      <w:tblGrid>
        <w:gridCol w:w="2788"/>
        <w:gridCol w:w="624"/>
        <w:gridCol w:w="624"/>
        <w:gridCol w:w="624"/>
        <w:gridCol w:w="625"/>
        <w:gridCol w:w="625"/>
        <w:gridCol w:w="625"/>
        <w:gridCol w:w="625"/>
        <w:gridCol w:w="625"/>
        <w:gridCol w:w="625"/>
        <w:gridCol w:w="683"/>
      </w:tblGrid>
      <w:tr w:rsidR="007716A8" w:rsidTr="000C208E">
        <w:trPr>
          <w:trHeight w:val="255"/>
        </w:trPr>
        <w:tc>
          <w:tcPr>
            <w:tcW w:w="284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716A8" w:rsidRDefault="007716A8" w:rsidP="000C208E">
            <w:pPr>
              <w:jc w:val="center"/>
              <w:rPr>
                <w:b/>
                <w:bCs/>
                <w:color w:val="000000"/>
                <w:sz w:val="20"/>
                <w:szCs w:val="20"/>
              </w:rPr>
            </w:pPr>
            <w:r>
              <w:rPr>
                <w:b/>
                <w:bCs/>
                <w:color w:val="000000"/>
                <w:sz w:val="20"/>
                <w:szCs w:val="20"/>
              </w:rPr>
              <w:t> </w:t>
            </w:r>
          </w:p>
        </w:tc>
        <w:tc>
          <w:tcPr>
            <w:tcW w:w="625" w:type="dxa"/>
            <w:tcBorders>
              <w:top w:val="single" w:sz="4" w:space="0" w:color="auto"/>
              <w:left w:val="nil"/>
              <w:bottom w:val="single" w:sz="4" w:space="0" w:color="auto"/>
              <w:right w:val="single" w:sz="4" w:space="0" w:color="auto"/>
            </w:tcBorders>
            <w:shd w:val="clear" w:color="000000" w:fill="D9D9D9"/>
            <w:vAlign w:val="center"/>
            <w:hideMark/>
          </w:tcPr>
          <w:p w:rsidR="007716A8" w:rsidRDefault="007716A8" w:rsidP="000C208E">
            <w:pPr>
              <w:jc w:val="center"/>
              <w:rPr>
                <w:b/>
                <w:bCs/>
                <w:color w:val="000000"/>
                <w:sz w:val="20"/>
                <w:szCs w:val="20"/>
              </w:rPr>
            </w:pPr>
            <w:r>
              <w:rPr>
                <w:b/>
                <w:bCs/>
                <w:color w:val="000000"/>
                <w:sz w:val="20"/>
                <w:szCs w:val="20"/>
              </w:rPr>
              <w:t>2014</w:t>
            </w:r>
          </w:p>
        </w:tc>
        <w:tc>
          <w:tcPr>
            <w:tcW w:w="625" w:type="dxa"/>
            <w:tcBorders>
              <w:top w:val="single" w:sz="4" w:space="0" w:color="auto"/>
              <w:left w:val="nil"/>
              <w:bottom w:val="single" w:sz="4" w:space="0" w:color="auto"/>
              <w:right w:val="single" w:sz="4" w:space="0" w:color="auto"/>
            </w:tcBorders>
            <w:shd w:val="clear" w:color="000000" w:fill="D9D9D9"/>
            <w:vAlign w:val="center"/>
            <w:hideMark/>
          </w:tcPr>
          <w:p w:rsidR="007716A8" w:rsidRDefault="007716A8" w:rsidP="000C208E">
            <w:pPr>
              <w:jc w:val="center"/>
              <w:rPr>
                <w:b/>
                <w:bCs/>
                <w:color w:val="000000"/>
                <w:sz w:val="20"/>
                <w:szCs w:val="20"/>
              </w:rPr>
            </w:pPr>
            <w:r>
              <w:rPr>
                <w:b/>
                <w:bCs/>
                <w:color w:val="000000"/>
                <w:sz w:val="20"/>
                <w:szCs w:val="20"/>
              </w:rPr>
              <w:t>2015</w:t>
            </w:r>
          </w:p>
        </w:tc>
        <w:tc>
          <w:tcPr>
            <w:tcW w:w="625" w:type="dxa"/>
            <w:tcBorders>
              <w:top w:val="single" w:sz="4" w:space="0" w:color="auto"/>
              <w:left w:val="nil"/>
              <w:bottom w:val="single" w:sz="4" w:space="0" w:color="auto"/>
              <w:right w:val="single" w:sz="4" w:space="0" w:color="auto"/>
            </w:tcBorders>
            <w:shd w:val="clear" w:color="000000" w:fill="D9D9D9"/>
            <w:vAlign w:val="center"/>
            <w:hideMark/>
          </w:tcPr>
          <w:p w:rsidR="007716A8" w:rsidRDefault="007716A8" w:rsidP="000C208E">
            <w:pPr>
              <w:jc w:val="center"/>
              <w:rPr>
                <w:b/>
                <w:bCs/>
                <w:color w:val="000000"/>
                <w:sz w:val="20"/>
                <w:szCs w:val="20"/>
              </w:rPr>
            </w:pPr>
            <w:r>
              <w:rPr>
                <w:b/>
                <w:bCs/>
                <w:color w:val="000000"/>
                <w:sz w:val="20"/>
                <w:szCs w:val="20"/>
              </w:rPr>
              <w:t>2016</w:t>
            </w:r>
          </w:p>
        </w:tc>
        <w:tc>
          <w:tcPr>
            <w:tcW w:w="625" w:type="dxa"/>
            <w:tcBorders>
              <w:top w:val="single" w:sz="4" w:space="0" w:color="auto"/>
              <w:left w:val="nil"/>
              <w:bottom w:val="single" w:sz="4" w:space="0" w:color="auto"/>
              <w:right w:val="single" w:sz="4" w:space="0" w:color="auto"/>
            </w:tcBorders>
            <w:shd w:val="clear" w:color="000000" w:fill="D9D9D9"/>
            <w:vAlign w:val="center"/>
            <w:hideMark/>
          </w:tcPr>
          <w:p w:rsidR="007716A8" w:rsidRDefault="007716A8" w:rsidP="000C208E">
            <w:pPr>
              <w:jc w:val="center"/>
              <w:rPr>
                <w:b/>
                <w:bCs/>
                <w:color w:val="000000"/>
                <w:sz w:val="20"/>
                <w:szCs w:val="20"/>
              </w:rPr>
            </w:pPr>
            <w:r>
              <w:rPr>
                <w:b/>
                <w:bCs/>
                <w:color w:val="000000"/>
                <w:sz w:val="20"/>
                <w:szCs w:val="20"/>
              </w:rPr>
              <w:t>2017</w:t>
            </w:r>
          </w:p>
        </w:tc>
        <w:tc>
          <w:tcPr>
            <w:tcW w:w="625" w:type="dxa"/>
            <w:tcBorders>
              <w:top w:val="single" w:sz="4" w:space="0" w:color="auto"/>
              <w:left w:val="nil"/>
              <w:bottom w:val="single" w:sz="4" w:space="0" w:color="auto"/>
              <w:right w:val="single" w:sz="4" w:space="0" w:color="auto"/>
            </w:tcBorders>
            <w:shd w:val="clear" w:color="000000" w:fill="D9D9D9"/>
            <w:vAlign w:val="center"/>
            <w:hideMark/>
          </w:tcPr>
          <w:p w:rsidR="007716A8" w:rsidRDefault="007716A8" w:rsidP="000C208E">
            <w:pPr>
              <w:jc w:val="center"/>
              <w:rPr>
                <w:b/>
                <w:bCs/>
                <w:color w:val="000000"/>
                <w:sz w:val="20"/>
                <w:szCs w:val="20"/>
              </w:rPr>
            </w:pPr>
            <w:r>
              <w:rPr>
                <w:b/>
                <w:bCs/>
                <w:color w:val="000000"/>
                <w:sz w:val="20"/>
                <w:szCs w:val="20"/>
              </w:rPr>
              <w:t>2018</w:t>
            </w:r>
          </w:p>
        </w:tc>
        <w:tc>
          <w:tcPr>
            <w:tcW w:w="625" w:type="dxa"/>
            <w:tcBorders>
              <w:top w:val="single" w:sz="4" w:space="0" w:color="auto"/>
              <w:left w:val="nil"/>
              <w:bottom w:val="single" w:sz="4" w:space="0" w:color="auto"/>
              <w:right w:val="single" w:sz="4" w:space="0" w:color="auto"/>
            </w:tcBorders>
            <w:shd w:val="clear" w:color="000000" w:fill="D9D9D9"/>
            <w:vAlign w:val="center"/>
            <w:hideMark/>
          </w:tcPr>
          <w:p w:rsidR="007716A8" w:rsidRDefault="007716A8" w:rsidP="000C208E">
            <w:pPr>
              <w:jc w:val="center"/>
              <w:rPr>
                <w:b/>
                <w:bCs/>
                <w:color w:val="000000"/>
                <w:sz w:val="20"/>
                <w:szCs w:val="20"/>
              </w:rPr>
            </w:pPr>
            <w:r>
              <w:rPr>
                <w:b/>
                <w:bCs/>
                <w:color w:val="000000"/>
                <w:sz w:val="20"/>
                <w:szCs w:val="20"/>
              </w:rPr>
              <w:t>2019</w:t>
            </w:r>
          </w:p>
        </w:tc>
        <w:tc>
          <w:tcPr>
            <w:tcW w:w="625" w:type="dxa"/>
            <w:tcBorders>
              <w:top w:val="single" w:sz="4" w:space="0" w:color="auto"/>
              <w:left w:val="nil"/>
              <w:bottom w:val="single" w:sz="4" w:space="0" w:color="auto"/>
              <w:right w:val="single" w:sz="4" w:space="0" w:color="auto"/>
            </w:tcBorders>
            <w:shd w:val="clear" w:color="000000" w:fill="D9D9D9"/>
            <w:vAlign w:val="center"/>
            <w:hideMark/>
          </w:tcPr>
          <w:p w:rsidR="007716A8" w:rsidRDefault="007716A8" w:rsidP="000C208E">
            <w:pPr>
              <w:jc w:val="center"/>
              <w:rPr>
                <w:b/>
                <w:bCs/>
                <w:color w:val="000000"/>
                <w:sz w:val="20"/>
                <w:szCs w:val="20"/>
              </w:rPr>
            </w:pPr>
            <w:r>
              <w:rPr>
                <w:b/>
                <w:bCs/>
                <w:color w:val="000000"/>
                <w:sz w:val="20"/>
                <w:szCs w:val="20"/>
              </w:rPr>
              <w:t>2020</w:t>
            </w:r>
          </w:p>
        </w:tc>
        <w:tc>
          <w:tcPr>
            <w:tcW w:w="625" w:type="dxa"/>
            <w:tcBorders>
              <w:top w:val="single" w:sz="4" w:space="0" w:color="auto"/>
              <w:left w:val="nil"/>
              <w:bottom w:val="single" w:sz="4" w:space="0" w:color="auto"/>
              <w:right w:val="single" w:sz="4" w:space="0" w:color="auto"/>
            </w:tcBorders>
            <w:shd w:val="clear" w:color="000000" w:fill="D9D9D9"/>
            <w:vAlign w:val="center"/>
            <w:hideMark/>
          </w:tcPr>
          <w:p w:rsidR="007716A8" w:rsidRDefault="007716A8" w:rsidP="000C208E">
            <w:pPr>
              <w:jc w:val="center"/>
              <w:rPr>
                <w:b/>
                <w:bCs/>
                <w:color w:val="000000"/>
                <w:sz w:val="20"/>
                <w:szCs w:val="20"/>
              </w:rPr>
            </w:pPr>
            <w:r>
              <w:rPr>
                <w:b/>
                <w:bCs/>
                <w:color w:val="000000"/>
                <w:sz w:val="20"/>
                <w:szCs w:val="20"/>
              </w:rPr>
              <w:t>2021</w:t>
            </w:r>
          </w:p>
        </w:tc>
        <w:tc>
          <w:tcPr>
            <w:tcW w:w="625" w:type="dxa"/>
            <w:tcBorders>
              <w:top w:val="single" w:sz="4" w:space="0" w:color="auto"/>
              <w:left w:val="nil"/>
              <w:bottom w:val="single" w:sz="4" w:space="0" w:color="auto"/>
              <w:right w:val="single" w:sz="4" w:space="0" w:color="auto"/>
            </w:tcBorders>
            <w:shd w:val="clear" w:color="000000" w:fill="D9D9D9"/>
            <w:vAlign w:val="center"/>
            <w:hideMark/>
          </w:tcPr>
          <w:p w:rsidR="007716A8" w:rsidRDefault="007716A8" w:rsidP="000C208E">
            <w:pPr>
              <w:jc w:val="center"/>
              <w:rPr>
                <w:b/>
                <w:bCs/>
                <w:color w:val="000000"/>
                <w:sz w:val="20"/>
                <w:szCs w:val="20"/>
              </w:rPr>
            </w:pPr>
            <w:r>
              <w:rPr>
                <w:b/>
                <w:bCs/>
                <w:color w:val="000000"/>
                <w:sz w:val="20"/>
                <w:szCs w:val="20"/>
              </w:rPr>
              <w:t>2022</w:t>
            </w:r>
          </w:p>
        </w:tc>
        <w:tc>
          <w:tcPr>
            <w:tcW w:w="625" w:type="dxa"/>
            <w:tcBorders>
              <w:top w:val="single" w:sz="4" w:space="0" w:color="auto"/>
              <w:left w:val="nil"/>
              <w:bottom w:val="single" w:sz="4" w:space="0" w:color="auto"/>
              <w:right w:val="single" w:sz="4" w:space="0" w:color="auto"/>
            </w:tcBorders>
            <w:shd w:val="clear" w:color="000000" w:fill="D9D9D9"/>
            <w:vAlign w:val="center"/>
            <w:hideMark/>
          </w:tcPr>
          <w:p w:rsidR="007716A8" w:rsidRDefault="007716A8" w:rsidP="000C208E">
            <w:pPr>
              <w:jc w:val="center"/>
              <w:rPr>
                <w:b/>
                <w:bCs/>
                <w:color w:val="000000"/>
                <w:sz w:val="20"/>
                <w:szCs w:val="20"/>
              </w:rPr>
            </w:pPr>
            <w:r>
              <w:rPr>
                <w:b/>
                <w:bCs/>
                <w:color w:val="000000"/>
                <w:sz w:val="20"/>
                <w:szCs w:val="20"/>
              </w:rPr>
              <w:t>Kopā</w:t>
            </w:r>
          </w:p>
        </w:tc>
      </w:tr>
      <w:tr w:rsidR="007716A8" w:rsidTr="000C208E">
        <w:trPr>
          <w:trHeight w:val="255"/>
        </w:trPr>
        <w:tc>
          <w:tcPr>
            <w:tcW w:w="2843" w:type="dxa"/>
            <w:tcBorders>
              <w:top w:val="nil"/>
              <w:left w:val="single" w:sz="4" w:space="0" w:color="auto"/>
              <w:bottom w:val="single" w:sz="4" w:space="0" w:color="auto"/>
              <w:right w:val="single" w:sz="4" w:space="0" w:color="auto"/>
            </w:tcBorders>
            <w:shd w:val="clear" w:color="000000" w:fill="E2EFDA"/>
            <w:vAlign w:val="center"/>
            <w:hideMark/>
          </w:tcPr>
          <w:p w:rsidR="007716A8" w:rsidRDefault="007716A8" w:rsidP="000C208E">
            <w:pPr>
              <w:rPr>
                <w:color w:val="000000"/>
                <w:sz w:val="20"/>
                <w:szCs w:val="20"/>
              </w:rPr>
            </w:pPr>
            <w:r>
              <w:rPr>
                <w:color w:val="000000"/>
                <w:sz w:val="20"/>
                <w:szCs w:val="20"/>
              </w:rPr>
              <w:t>Uzturēšanas pasākumi glabātavā “Radons”</w:t>
            </w:r>
          </w:p>
        </w:tc>
        <w:tc>
          <w:tcPr>
            <w:tcW w:w="625" w:type="dxa"/>
            <w:tcBorders>
              <w:top w:val="nil"/>
              <w:left w:val="nil"/>
              <w:bottom w:val="single" w:sz="4" w:space="0" w:color="auto"/>
              <w:right w:val="single" w:sz="4" w:space="0" w:color="auto"/>
            </w:tcBorders>
            <w:shd w:val="clear" w:color="000000" w:fill="E2EFDA"/>
            <w:vAlign w:val="center"/>
            <w:hideMark/>
          </w:tcPr>
          <w:p w:rsidR="007716A8" w:rsidRDefault="007716A8" w:rsidP="000C208E">
            <w:pPr>
              <w:jc w:val="right"/>
              <w:rPr>
                <w:color w:val="000000"/>
                <w:sz w:val="20"/>
                <w:szCs w:val="20"/>
              </w:rPr>
            </w:pPr>
            <w:r>
              <w:rPr>
                <w:color w:val="000000"/>
                <w:sz w:val="20"/>
                <w:szCs w:val="20"/>
              </w:rPr>
              <w:t>0</w:t>
            </w:r>
          </w:p>
        </w:tc>
        <w:tc>
          <w:tcPr>
            <w:tcW w:w="625" w:type="dxa"/>
            <w:tcBorders>
              <w:top w:val="nil"/>
              <w:left w:val="nil"/>
              <w:bottom w:val="single" w:sz="4" w:space="0" w:color="auto"/>
              <w:right w:val="single" w:sz="4" w:space="0" w:color="auto"/>
            </w:tcBorders>
            <w:shd w:val="clear" w:color="000000" w:fill="E2EFDA"/>
            <w:vAlign w:val="center"/>
            <w:hideMark/>
          </w:tcPr>
          <w:p w:rsidR="007716A8" w:rsidRDefault="007716A8" w:rsidP="000C208E">
            <w:pPr>
              <w:jc w:val="right"/>
              <w:rPr>
                <w:color w:val="000000"/>
                <w:sz w:val="20"/>
                <w:szCs w:val="20"/>
              </w:rPr>
            </w:pPr>
            <w:r>
              <w:rPr>
                <w:color w:val="000000"/>
                <w:sz w:val="20"/>
                <w:szCs w:val="20"/>
              </w:rPr>
              <w:t>0</w:t>
            </w:r>
          </w:p>
        </w:tc>
        <w:tc>
          <w:tcPr>
            <w:tcW w:w="625" w:type="dxa"/>
            <w:tcBorders>
              <w:top w:val="nil"/>
              <w:left w:val="nil"/>
              <w:bottom w:val="single" w:sz="4" w:space="0" w:color="auto"/>
              <w:right w:val="single" w:sz="4" w:space="0" w:color="auto"/>
            </w:tcBorders>
            <w:shd w:val="clear" w:color="000000" w:fill="E2EFDA"/>
            <w:vAlign w:val="center"/>
            <w:hideMark/>
          </w:tcPr>
          <w:p w:rsidR="007716A8" w:rsidRDefault="007716A8" w:rsidP="000C208E">
            <w:pPr>
              <w:jc w:val="right"/>
              <w:rPr>
                <w:color w:val="000000"/>
                <w:sz w:val="20"/>
                <w:szCs w:val="20"/>
              </w:rPr>
            </w:pPr>
            <w:r>
              <w:rPr>
                <w:color w:val="000000"/>
                <w:sz w:val="20"/>
                <w:szCs w:val="20"/>
              </w:rPr>
              <w:t>0</w:t>
            </w:r>
          </w:p>
        </w:tc>
        <w:tc>
          <w:tcPr>
            <w:tcW w:w="625" w:type="dxa"/>
            <w:tcBorders>
              <w:top w:val="nil"/>
              <w:left w:val="nil"/>
              <w:bottom w:val="single" w:sz="4" w:space="0" w:color="auto"/>
              <w:right w:val="single" w:sz="4" w:space="0" w:color="auto"/>
            </w:tcBorders>
            <w:shd w:val="clear" w:color="000000" w:fill="E2EFDA"/>
            <w:vAlign w:val="center"/>
            <w:hideMark/>
          </w:tcPr>
          <w:p w:rsidR="007716A8" w:rsidRDefault="007716A8" w:rsidP="000C208E">
            <w:pPr>
              <w:jc w:val="right"/>
              <w:rPr>
                <w:color w:val="000000"/>
                <w:sz w:val="20"/>
                <w:szCs w:val="20"/>
              </w:rPr>
            </w:pPr>
            <w:r>
              <w:rPr>
                <w:color w:val="000000"/>
                <w:sz w:val="20"/>
                <w:szCs w:val="20"/>
              </w:rPr>
              <w:t>300 227</w:t>
            </w:r>
          </w:p>
        </w:tc>
        <w:tc>
          <w:tcPr>
            <w:tcW w:w="625" w:type="dxa"/>
            <w:tcBorders>
              <w:top w:val="nil"/>
              <w:left w:val="nil"/>
              <w:bottom w:val="single" w:sz="4" w:space="0" w:color="auto"/>
              <w:right w:val="single" w:sz="4" w:space="0" w:color="auto"/>
            </w:tcBorders>
            <w:shd w:val="clear" w:color="000000" w:fill="E2EFDA"/>
            <w:vAlign w:val="center"/>
            <w:hideMark/>
          </w:tcPr>
          <w:p w:rsidR="007716A8" w:rsidRDefault="007716A8" w:rsidP="000C208E">
            <w:pPr>
              <w:jc w:val="right"/>
              <w:rPr>
                <w:color w:val="000000"/>
                <w:sz w:val="20"/>
                <w:szCs w:val="20"/>
              </w:rPr>
            </w:pPr>
            <w:r>
              <w:rPr>
                <w:color w:val="000000"/>
                <w:sz w:val="20"/>
                <w:szCs w:val="20"/>
              </w:rPr>
              <w:t>398 094</w:t>
            </w:r>
          </w:p>
        </w:tc>
        <w:tc>
          <w:tcPr>
            <w:tcW w:w="625" w:type="dxa"/>
            <w:tcBorders>
              <w:top w:val="nil"/>
              <w:left w:val="nil"/>
              <w:bottom w:val="single" w:sz="4" w:space="0" w:color="auto"/>
              <w:right w:val="single" w:sz="4" w:space="0" w:color="auto"/>
            </w:tcBorders>
            <w:shd w:val="clear" w:color="000000" w:fill="E2EFDA"/>
            <w:vAlign w:val="center"/>
            <w:hideMark/>
          </w:tcPr>
          <w:p w:rsidR="007716A8" w:rsidRDefault="007716A8" w:rsidP="000C208E">
            <w:pPr>
              <w:jc w:val="right"/>
              <w:rPr>
                <w:color w:val="000000"/>
                <w:sz w:val="20"/>
                <w:szCs w:val="20"/>
              </w:rPr>
            </w:pPr>
            <w:r>
              <w:rPr>
                <w:color w:val="000000"/>
                <w:sz w:val="20"/>
                <w:szCs w:val="20"/>
              </w:rPr>
              <w:t>193 897</w:t>
            </w:r>
          </w:p>
        </w:tc>
        <w:tc>
          <w:tcPr>
            <w:tcW w:w="625" w:type="dxa"/>
            <w:tcBorders>
              <w:top w:val="nil"/>
              <w:left w:val="nil"/>
              <w:bottom w:val="single" w:sz="4" w:space="0" w:color="auto"/>
              <w:right w:val="single" w:sz="4" w:space="0" w:color="auto"/>
            </w:tcBorders>
            <w:shd w:val="clear" w:color="000000" w:fill="E2EFDA"/>
            <w:vAlign w:val="center"/>
            <w:hideMark/>
          </w:tcPr>
          <w:p w:rsidR="007716A8" w:rsidRDefault="007716A8" w:rsidP="000C208E">
            <w:pPr>
              <w:jc w:val="right"/>
              <w:rPr>
                <w:color w:val="000000"/>
                <w:sz w:val="20"/>
                <w:szCs w:val="20"/>
              </w:rPr>
            </w:pPr>
            <w:r>
              <w:rPr>
                <w:color w:val="000000"/>
                <w:sz w:val="20"/>
                <w:szCs w:val="20"/>
              </w:rPr>
              <w:t>193 897</w:t>
            </w:r>
          </w:p>
        </w:tc>
        <w:tc>
          <w:tcPr>
            <w:tcW w:w="625" w:type="dxa"/>
            <w:tcBorders>
              <w:top w:val="nil"/>
              <w:left w:val="nil"/>
              <w:bottom w:val="single" w:sz="4" w:space="0" w:color="auto"/>
              <w:right w:val="single" w:sz="4" w:space="0" w:color="auto"/>
            </w:tcBorders>
            <w:shd w:val="clear" w:color="000000" w:fill="E2EFDA"/>
            <w:vAlign w:val="center"/>
            <w:hideMark/>
          </w:tcPr>
          <w:p w:rsidR="007716A8" w:rsidRDefault="007716A8" w:rsidP="000C208E">
            <w:pPr>
              <w:jc w:val="right"/>
              <w:rPr>
                <w:color w:val="000000"/>
                <w:sz w:val="20"/>
                <w:szCs w:val="20"/>
              </w:rPr>
            </w:pPr>
            <w:r>
              <w:rPr>
                <w:color w:val="000000"/>
                <w:sz w:val="20"/>
                <w:szCs w:val="20"/>
              </w:rPr>
              <w:t>136 982</w:t>
            </w:r>
          </w:p>
        </w:tc>
        <w:tc>
          <w:tcPr>
            <w:tcW w:w="625" w:type="dxa"/>
            <w:tcBorders>
              <w:top w:val="nil"/>
              <w:left w:val="nil"/>
              <w:bottom w:val="single" w:sz="4" w:space="0" w:color="auto"/>
              <w:right w:val="single" w:sz="4" w:space="0" w:color="auto"/>
            </w:tcBorders>
            <w:shd w:val="clear" w:color="000000" w:fill="E2EFDA"/>
            <w:vAlign w:val="center"/>
            <w:hideMark/>
          </w:tcPr>
          <w:p w:rsidR="007716A8" w:rsidRDefault="007716A8" w:rsidP="000C208E">
            <w:pPr>
              <w:jc w:val="right"/>
              <w:rPr>
                <w:color w:val="000000"/>
                <w:sz w:val="20"/>
                <w:szCs w:val="20"/>
              </w:rPr>
            </w:pPr>
            <w:r>
              <w:rPr>
                <w:color w:val="000000"/>
                <w:sz w:val="20"/>
                <w:szCs w:val="20"/>
              </w:rPr>
              <w:t>136 982</w:t>
            </w:r>
          </w:p>
        </w:tc>
        <w:tc>
          <w:tcPr>
            <w:tcW w:w="625" w:type="dxa"/>
            <w:tcBorders>
              <w:top w:val="nil"/>
              <w:left w:val="nil"/>
              <w:bottom w:val="single" w:sz="4" w:space="0" w:color="auto"/>
              <w:right w:val="single" w:sz="4" w:space="0" w:color="auto"/>
            </w:tcBorders>
            <w:shd w:val="clear" w:color="000000" w:fill="E2EFDA"/>
            <w:vAlign w:val="center"/>
            <w:hideMark/>
          </w:tcPr>
          <w:p w:rsidR="007716A8" w:rsidRDefault="007716A8" w:rsidP="000C208E">
            <w:pPr>
              <w:jc w:val="right"/>
              <w:rPr>
                <w:color w:val="000000"/>
                <w:sz w:val="20"/>
                <w:szCs w:val="20"/>
              </w:rPr>
            </w:pPr>
            <w:r>
              <w:rPr>
                <w:color w:val="000000"/>
                <w:sz w:val="20"/>
                <w:szCs w:val="20"/>
              </w:rPr>
              <w:t>1 223 097</w:t>
            </w:r>
          </w:p>
        </w:tc>
      </w:tr>
      <w:tr w:rsidR="007716A8" w:rsidTr="000C208E">
        <w:trPr>
          <w:trHeight w:val="510"/>
        </w:trPr>
        <w:tc>
          <w:tcPr>
            <w:tcW w:w="2843" w:type="dxa"/>
            <w:tcBorders>
              <w:top w:val="nil"/>
              <w:left w:val="single" w:sz="4" w:space="0" w:color="auto"/>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Radiācijas kontroles sistēmas uzlabošana glabātavā "Radons"</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108 138</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120 000</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56 915</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56 915</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341 968</w:t>
            </w:r>
          </w:p>
        </w:tc>
      </w:tr>
      <w:tr w:rsidR="007716A8" w:rsidTr="000C208E">
        <w:trPr>
          <w:trHeight w:val="255"/>
        </w:trPr>
        <w:tc>
          <w:tcPr>
            <w:tcW w:w="2843" w:type="dxa"/>
            <w:tcBorders>
              <w:top w:val="nil"/>
              <w:left w:val="single" w:sz="4" w:space="0" w:color="auto"/>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Glabātavas apsaimniekošana (uzturēšana)</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56 915</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56 915</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136 982</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136 982</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sz w:val="20"/>
                <w:szCs w:val="20"/>
              </w:rPr>
            </w:pPr>
            <w:r>
              <w:rPr>
                <w:i/>
                <w:iCs/>
                <w:sz w:val="20"/>
                <w:szCs w:val="20"/>
              </w:rPr>
              <w:t>136 982</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sz w:val="20"/>
                <w:szCs w:val="20"/>
              </w:rPr>
            </w:pPr>
            <w:r>
              <w:rPr>
                <w:i/>
                <w:iCs/>
                <w:sz w:val="20"/>
                <w:szCs w:val="20"/>
              </w:rPr>
              <w:t>136 982</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524 776</w:t>
            </w:r>
          </w:p>
        </w:tc>
      </w:tr>
      <w:tr w:rsidR="007716A8" w:rsidTr="000C208E">
        <w:trPr>
          <w:trHeight w:val="255"/>
        </w:trPr>
        <w:tc>
          <w:tcPr>
            <w:tcW w:w="2843" w:type="dxa"/>
            <w:tcBorders>
              <w:top w:val="nil"/>
              <w:left w:val="single" w:sz="4" w:space="0" w:color="auto"/>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Drošības uzlabojumi glabātavā "Radons"</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135 174</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164 265</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299 439</w:t>
            </w:r>
          </w:p>
        </w:tc>
      </w:tr>
      <w:tr w:rsidR="007716A8" w:rsidTr="000C208E">
        <w:trPr>
          <w:trHeight w:val="765"/>
        </w:trPr>
        <w:tc>
          <w:tcPr>
            <w:tcW w:w="2843" w:type="dxa"/>
            <w:tcBorders>
              <w:top w:val="nil"/>
              <w:left w:val="single" w:sz="4" w:space="0" w:color="auto"/>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Starptautisko ekspertu kodoldrošības un starptautiskais radioaktīvo atkritumu sistēmas novērtējums</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56 914</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0</w:t>
            </w:r>
          </w:p>
        </w:tc>
        <w:tc>
          <w:tcPr>
            <w:tcW w:w="625" w:type="dxa"/>
            <w:tcBorders>
              <w:top w:val="nil"/>
              <w:left w:val="nil"/>
              <w:bottom w:val="single" w:sz="4" w:space="0" w:color="auto"/>
              <w:right w:val="single" w:sz="4" w:space="0" w:color="auto"/>
            </w:tcBorders>
            <w:shd w:val="clear" w:color="auto" w:fill="auto"/>
            <w:vAlign w:val="center"/>
            <w:hideMark/>
          </w:tcPr>
          <w:p w:rsidR="007716A8" w:rsidRDefault="007716A8" w:rsidP="000C208E">
            <w:pPr>
              <w:jc w:val="right"/>
              <w:rPr>
                <w:i/>
                <w:iCs/>
                <w:color w:val="000000"/>
                <w:sz w:val="20"/>
                <w:szCs w:val="20"/>
              </w:rPr>
            </w:pPr>
            <w:r>
              <w:rPr>
                <w:i/>
                <w:iCs/>
                <w:color w:val="000000"/>
                <w:sz w:val="20"/>
                <w:szCs w:val="20"/>
              </w:rPr>
              <w:t>56 914</w:t>
            </w:r>
          </w:p>
        </w:tc>
      </w:tr>
    </w:tbl>
    <w:p w:rsidR="007716A8" w:rsidRDefault="007716A8" w:rsidP="007716A8">
      <w:pPr>
        <w:pStyle w:val="NormalWeb"/>
        <w:shd w:val="clear" w:color="auto" w:fill="FFFFFF"/>
        <w:spacing w:before="0" w:after="120"/>
        <w:ind w:firstLine="0"/>
        <w:rPr>
          <w:rFonts w:ascii="PT Serif" w:hAnsi="PT Serif"/>
          <w:b/>
          <w:bCs/>
          <w:bdr w:val="none" w:sz="0" w:space="0" w:color="auto" w:frame="1"/>
        </w:rPr>
      </w:pPr>
    </w:p>
    <w:p w:rsidR="007716A8" w:rsidRPr="00450EE1" w:rsidRDefault="007716A8" w:rsidP="007716A8">
      <w:pPr>
        <w:spacing w:after="120"/>
        <w:ind w:left="600"/>
        <w:jc w:val="center"/>
        <w:rPr>
          <w:b/>
          <w:sz w:val="28"/>
          <w:szCs w:val="28"/>
        </w:rPr>
      </w:pPr>
      <w:r>
        <w:rPr>
          <w:b/>
          <w:sz w:val="28"/>
          <w:szCs w:val="28"/>
        </w:rPr>
        <w:t>3. </w:t>
      </w:r>
      <w:r w:rsidRPr="00450EE1">
        <w:rPr>
          <w:b/>
          <w:sz w:val="28"/>
          <w:szCs w:val="28"/>
        </w:rPr>
        <w:t xml:space="preserve">Informācija par atklāta konkursa “Jaunas radioaktīvo atkritumu tvertnes </w:t>
      </w:r>
      <w:r w:rsidRPr="00360D4C">
        <w:rPr>
          <w:b/>
          <w:sz w:val="28"/>
          <w:szCs w:val="28"/>
        </w:rPr>
        <w:t>un ilgtermiņa glabātavas būvprojekta</w:t>
      </w:r>
      <w:r w:rsidRPr="00450EE1">
        <w:rPr>
          <w:b/>
          <w:sz w:val="28"/>
          <w:szCs w:val="28"/>
        </w:rPr>
        <w:t xml:space="preserve"> izstrāde un būvniecība radioaktīvo atkritumu glabātavā “Radons””</w:t>
      </w:r>
      <w:r w:rsidRPr="00450EE1">
        <w:rPr>
          <w:sz w:val="28"/>
          <w:szCs w:val="28"/>
        </w:rPr>
        <w:t xml:space="preserve"> </w:t>
      </w:r>
      <w:r>
        <w:rPr>
          <w:b/>
          <w:sz w:val="28"/>
          <w:szCs w:val="28"/>
        </w:rPr>
        <w:t>iepirkumu</w:t>
      </w:r>
    </w:p>
    <w:p w:rsidR="007716A8" w:rsidRPr="00450EE1" w:rsidRDefault="007716A8" w:rsidP="007716A8">
      <w:pPr>
        <w:spacing w:after="120"/>
        <w:ind w:firstLine="600"/>
        <w:jc w:val="both"/>
        <w:rPr>
          <w:sz w:val="28"/>
          <w:szCs w:val="28"/>
        </w:rPr>
      </w:pPr>
      <w:r>
        <w:rPr>
          <w:sz w:val="28"/>
          <w:szCs w:val="28"/>
        </w:rPr>
        <w:t xml:space="preserve">Saskaņā ar </w:t>
      </w:r>
      <w:r w:rsidRPr="00672761">
        <w:rPr>
          <w:sz w:val="28"/>
          <w:szCs w:val="28"/>
        </w:rPr>
        <w:t xml:space="preserve">LVĢMC </w:t>
      </w:r>
      <w:r>
        <w:rPr>
          <w:sz w:val="28"/>
          <w:szCs w:val="28"/>
        </w:rPr>
        <w:t xml:space="preserve">sniegto informāciju LVĢMC </w:t>
      </w:r>
      <w:r w:rsidRPr="00672761">
        <w:rPr>
          <w:sz w:val="28"/>
          <w:szCs w:val="28"/>
        </w:rPr>
        <w:t>2016. gada 30. novembrī</w:t>
      </w:r>
      <w:r>
        <w:rPr>
          <w:sz w:val="28"/>
          <w:szCs w:val="28"/>
        </w:rPr>
        <w:t>, ievērojot Publisko iepirkumu likuma prasības,</w:t>
      </w:r>
      <w:r w:rsidRPr="00450EE1">
        <w:rPr>
          <w:sz w:val="28"/>
          <w:szCs w:val="28"/>
        </w:rPr>
        <w:t xml:space="preserve"> izsludināja iepirkum</w:t>
      </w:r>
      <w:r>
        <w:rPr>
          <w:sz w:val="28"/>
          <w:szCs w:val="28"/>
        </w:rPr>
        <w:t>u</w:t>
      </w:r>
      <w:r w:rsidRPr="00450EE1">
        <w:rPr>
          <w:sz w:val="28"/>
          <w:szCs w:val="28"/>
        </w:rPr>
        <w:t xml:space="preserve"> – atklātu konkursu “Jaunas radioaktīvo atkritumu tvertnes un ilgtermiņa glabātavas būvprojekta izstrāde un būvniecība radioaktīv</w:t>
      </w:r>
      <w:r>
        <w:rPr>
          <w:sz w:val="28"/>
          <w:szCs w:val="28"/>
        </w:rPr>
        <w:t>o atkritumu glabātavā “Radons””</w:t>
      </w:r>
      <w:r>
        <w:rPr>
          <w:rStyle w:val="FootnoteReference"/>
          <w:sz w:val="28"/>
          <w:szCs w:val="28"/>
        </w:rPr>
        <w:footnoteReference w:id="4"/>
      </w:r>
      <w:r>
        <w:rPr>
          <w:sz w:val="28"/>
          <w:szCs w:val="28"/>
        </w:rPr>
        <w:t>. Kā i</w:t>
      </w:r>
      <w:r w:rsidRPr="007542BE">
        <w:rPr>
          <w:sz w:val="28"/>
          <w:szCs w:val="28"/>
        </w:rPr>
        <w:t>epirkuma piedāvājumu iesniegšanas termiņš tika noteikts 2016. gada 27. decembris.</w:t>
      </w:r>
    </w:p>
    <w:p w:rsidR="007716A8" w:rsidRDefault="007716A8" w:rsidP="007716A8">
      <w:pPr>
        <w:spacing w:after="120"/>
        <w:ind w:firstLine="600"/>
        <w:jc w:val="both"/>
        <w:rPr>
          <w:sz w:val="28"/>
          <w:szCs w:val="28"/>
        </w:rPr>
      </w:pPr>
      <w:r>
        <w:rPr>
          <w:sz w:val="28"/>
          <w:szCs w:val="28"/>
        </w:rPr>
        <w:t xml:space="preserve">Saskaņā ar </w:t>
      </w:r>
      <w:r w:rsidRPr="00672761">
        <w:rPr>
          <w:sz w:val="28"/>
          <w:szCs w:val="28"/>
        </w:rPr>
        <w:t xml:space="preserve">LVĢMC </w:t>
      </w:r>
      <w:r>
        <w:rPr>
          <w:sz w:val="28"/>
          <w:szCs w:val="28"/>
        </w:rPr>
        <w:t>sniegto informāciju</w:t>
      </w:r>
      <w:r w:rsidRPr="00350AC3">
        <w:rPr>
          <w:sz w:val="28"/>
          <w:szCs w:val="28"/>
        </w:rPr>
        <w:t xml:space="preserve"> LVĢMC iepirkuma komisija līdz</w:t>
      </w:r>
      <w:r w:rsidRPr="00450EE1">
        <w:rPr>
          <w:sz w:val="28"/>
          <w:szCs w:val="28"/>
        </w:rPr>
        <w:t xml:space="preserve"> 2017. gada 21. martam veica pretendentu iesniegto piedāvājumu vērtēšanu atbilstoši iepirkuma nolikuma prasībām, tajā skaitā piesaistot būvniecības ekspertus pretendentu tehnisko un finanšu piedāvājumu vērtēšanai. </w:t>
      </w:r>
      <w:r>
        <w:rPr>
          <w:sz w:val="28"/>
          <w:szCs w:val="28"/>
        </w:rPr>
        <w:t>Būvniecības eksperti savu vērtējumu sniedza 2016. gada 25. </w:t>
      </w:r>
      <w:r w:rsidRPr="00450EE1">
        <w:rPr>
          <w:sz w:val="28"/>
          <w:szCs w:val="28"/>
        </w:rPr>
        <w:t xml:space="preserve">jūlijā </w:t>
      </w:r>
      <w:r>
        <w:rPr>
          <w:sz w:val="28"/>
          <w:szCs w:val="28"/>
        </w:rPr>
        <w:t>s</w:t>
      </w:r>
      <w:r w:rsidRPr="00450EE1">
        <w:rPr>
          <w:sz w:val="28"/>
          <w:szCs w:val="28"/>
        </w:rPr>
        <w:t xml:space="preserve">tarp LVĢMC un </w:t>
      </w:r>
      <w:proofErr w:type="spellStart"/>
      <w:r>
        <w:rPr>
          <w:sz w:val="28"/>
          <w:szCs w:val="28"/>
        </w:rPr>
        <w:t>būvekspertu</w:t>
      </w:r>
      <w:proofErr w:type="spellEnd"/>
      <w:r w:rsidRPr="00450EE1">
        <w:rPr>
          <w:sz w:val="28"/>
          <w:szCs w:val="28"/>
        </w:rPr>
        <w:t xml:space="preserve"> </w:t>
      </w:r>
      <w:r>
        <w:rPr>
          <w:sz w:val="28"/>
          <w:szCs w:val="28"/>
        </w:rPr>
        <w:t xml:space="preserve">noslēgtā </w:t>
      </w:r>
      <w:r w:rsidRPr="00450EE1">
        <w:rPr>
          <w:sz w:val="28"/>
          <w:szCs w:val="28"/>
        </w:rPr>
        <w:t>līgum</w:t>
      </w:r>
      <w:r>
        <w:rPr>
          <w:sz w:val="28"/>
          <w:szCs w:val="28"/>
        </w:rPr>
        <w:t>a ietvaros.</w:t>
      </w:r>
    </w:p>
    <w:p w:rsidR="007716A8" w:rsidRPr="002F0A0E" w:rsidRDefault="007716A8" w:rsidP="007716A8">
      <w:pPr>
        <w:spacing w:after="120"/>
        <w:ind w:firstLine="600"/>
        <w:jc w:val="both"/>
        <w:rPr>
          <w:b/>
          <w:sz w:val="28"/>
          <w:szCs w:val="28"/>
        </w:rPr>
      </w:pPr>
      <w:r>
        <w:rPr>
          <w:sz w:val="28"/>
          <w:szCs w:val="28"/>
        </w:rPr>
        <w:t xml:space="preserve">Saskaņā ar </w:t>
      </w:r>
      <w:r w:rsidRPr="00672761">
        <w:rPr>
          <w:sz w:val="28"/>
          <w:szCs w:val="28"/>
        </w:rPr>
        <w:t xml:space="preserve">LVĢMC </w:t>
      </w:r>
      <w:r>
        <w:rPr>
          <w:sz w:val="28"/>
          <w:szCs w:val="28"/>
        </w:rPr>
        <w:t>sniegto informāciju</w:t>
      </w:r>
      <w:r w:rsidRPr="006B7096">
        <w:rPr>
          <w:sz w:val="28"/>
          <w:szCs w:val="28"/>
        </w:rPr>
        <w:t xml:space="preserve"> iepirkumā</w:t>
      </w:r>
      <w:r w:rsidRPr="002F0A0E">
        <w:rPr>
          <w:sz w:val="28"/>
          <w:szCs w:val="28"/>
        </w:rPr>
        <w:t xml:space="preserve"> tika saņemti divi</w:t>
      </w:r>
      <w:r>
        <w:rPr>
          <w:rStyle w:val="FootnoteReference"/>
          <w:sz w:val="28"/>
          <w:szCs w:val="28"/>
        </w:rPr>
        <w:footnoteReference w:id="5"/>
      </w:r>
      <w:r w:rsidRPr="002F0A0E">
        <w:rPr>
          <w:sz w:val="28"/>
          <w:szCs w:val="28"/>
        </w:rPr>
        <w:t xml:space="preserve"> piedāvājumi, no kuriem tikai viens piedāvājums (8 215 738 </w:t>
      </w:r>
      <w:proofErr w:type="spellStart"/>
      <w:r w:rsidRPr="002F0A0E">
        <w:rPr>
          <w:i/>
          <w:sz w:val="28"/>
          <w:szCs w:val="28"/>
        </w:rPr>
        <w:t>euro</w:t>
      </w:r>
      <w:proofErr w:type="spellEnd"/>
      <w:r w:rsidRPr="002F0A0E">
        <w:rPr>
          <w:i/>
          <w:sz w:val="28"/>
          <w:szCs w:val="28"/>
        </w:rPr>
        <w:t xml:space="preserve"> </w:t>
      </w:r>
      <w:r w:rsidRPr="002F0A0E">
        <w:rPr>
          <w:sz w:val="28"/>
          <w:szCs w:val="28"/>
        </w:rPr>
        <w:t>apmērā) atbilda konkursa nosacījumiem.</w:t>
      </w:r>
    </w:p>
    <w:p w:rsidR="007716A8" w:rsidRPr="002F0A0E" w:rsidRDefault="007716A8" w:rsidP="007716A8">
      <w:pPr>
        <w:spacing w:after="120"/>
        <w:ind w:firstLine="600"/>
        <w:jc w:val="both"/>
        <w:rPr>
          <w:sz w:val="28"/>
          <w:szCs w:val="28"/>
        </w:rPr>
      </w:pPr>
      <w:r w:rsidRPr="002F0A0E">
        <w:rPr>
          <w:sz w:val="28"/>
          <w:szCs w:val="28"/>
        </w:rPr>
        <w:t>Ņemot vērā to, ka paredzamā līgumcena bija lielāka par Eiropas Savienības noteiktajām līgumcenu robežvērtībām, saskaņā ar LVĢMC sniegto informāciju, tika pieņemts lēmums minēto iepirkumu izbeigt bez rezultāta un izsludināt jaunu iepirkumu</w:t>
      </w:r>
      <w:r>
        <w:rPr>
          <w:sz w:val="28"/>
          <w:szCs w:val="28"/>
        </w:rPr>
        <w:t>.</w:t>
      </w:r>
    </w:p>
    <w:p w:rsidR="007716A8" w:rsidRDefault="007716A8" w:rsidP="007716A8">
      <w:pPr>
        <w:spacing w:after="120"/>
        <w:ind w:firstLine="600"/>
        <w:jc w:val="both"/>
        <w:rPr>
          <w:sz w:val="28"/>
          <w:szCs w:val="28"/>
        </w:rPr>
      </w:pPr>
      <w:r w:rsidRPr="002F0A0E">
        <w:rPr>
          <w:sz w:val="28"/>
          <w:szCs w:val="28"/>
        </w:rPr>
        <w:t>Saska</w:t>
      </w:r>
      <w:r>
        <w:rPr>
          <w:sz w:val="28"/>
          <w:szCs w:val="28"/>
        </w:rPr>
        <w:t>ņā ar LVĢMC sniegto informāciju</w:t>
      </w:r>
      <w:r w:rsidRPr="002F0A0E">
        <w:rPr>
          <w:sz w:val="28"/>
          <w:szCs w:val="28"/>
        </w:rPr>
        <w:t xml:space="preserve"> LVĢMC 2018.</w:t>
      </w:r>
      <w:r w:rsidRPr="00450EE1">
        <w:rPr>
          <w:sz w:val="28"/>
          <w:szCs w:val="28"/>
        </w:rPr>
        <w:t xml:space="preserve"> gada </w:t>
      </w:r>
      <w:r>
        <w:rPr>
          <w:sz w:val="28"/>
          <w:szCs w:val="28"/>
        </w:rPr>
        <w:t>26</w:t>
      </w:r>
      <w:r w:rsidRPr="00450EE1">
        <w:rPr>
          <w:sz w:val="28"/>
          <w:szCs w:val="28"/>
        </w:rPr>
        <w:t>. </w:t>
      </w:r>
      <w:r>
        <w:rPr>
          <w:sz w:val="28"/>
          <w:szCs w:val="28"/>
        </w:rPr>
        <w:t xml:space="preserve">janvārī, ievērojot Publisko iepirkumu likuma prasības par publiskā iepirkuma paziņojuma </w:t>
      </w:r>
      <w:r>
        <w:rPr>
          <w:sz w:val="28"/>
          <w:szCs w:val="28"/>
        </w:rPr>
        <w:lastRenderedPageBreak/>
        <w:t>publicēšanu Eiropas Savienības Oficiālajā Vēstnesī,</w:t>
      </w:r>
      <w:r w:rsidRPr="00450EE1">
        <w:rPr>
          <w:sz w:val="28"/>
          <w:szCs w:val="28"/>
        </w:rPr>
        <w:t xml:space="preserve"> izsludināja </w:t>
      </w:r>
      <w:r>
        <w:rPr>
          <w:sz w:val="28"/>
          <w:szCs w:val="28"/>
        </w:rPr>
        <w:t xml:space="preserve">starptautisku </w:t>
      </w:r>
      <w:r w:rsidRPr="00450EE1">
        <w:rPr>
          <w:sz w:val="28"/>
          <w:szCs w:val="28"/>
        </w:rPr>
        <w:t>iepirkum</w:t>
      </w:r>
      <w:r>
        <w:rPr>
          <w:sz w:val="28"/>
          <w:szCs w:val="28"/>
        </w:rPr>
        <w:t>u</w:t>
      </w:r>
      <w:r w:rsidRPr="00450EE1">
        <w:rPr>
          <w:sz w:val="28"/>
          <w:szCs w:val="28"/>
        </w:rPr>
        <w:t xml:space="preserve"> – atklātu konkursu “Jaunas radioaktīvo atkritumu tvertnes un ilgtermiņa glabātavas būvprojekta izstrāde un būvniecība radioaktīvo atkritumu glabātavā “</w:t>
      </w:r>
      <w:r>
        <w:rPr>
          <w:sz w:val="28"/>
          <w:szCs w:val="28"/>
        </w:rPr>
        <w:t>Radons””</w:t>
      </w:r>
      <w:r>
        <w:rPr>
          <w:rStyle w:val="FootnoteReference"/>
          <w:sz w:val="28"/>
          <w:szCs w:val="28"/>
        </w:rPr>
        <w:footnoteReference w:id="6"/>
      </w:r>
      <w:r>
        <w:rPr>
          <w:sz w:val="28"/>
          <w:szCs w:val="28"/>
        </w:rPr>
        <w:t>. Kā i</w:t>
      </w:r>
      <w:r w:rsidRPr="00373BAF">
        <w:rPr>
          <w:sz w:val="28"/>
          <w:szCs w:val="28"/>
        </w:rPr>
        <w:t>epirkuma piedāvājumu iesniegšanas termiņš tika noteikts 2018.</w:t>
      </w:r>
      <w:r>
        <w:rPr>
          <w:sz w:val="28"/>
          <w:szCs w:val="28"/>
        </w:rPr>
        <w:t> </w:t>
      </w:r>
      <w:r w:rsidRPr="00373BAF">
        <w:rPr>
          <w:sz w:val="28"/>
          <w:szCs w:val="28"/>
        </w:rPr>
        <w:t>gada 27.</w:t>
      </w:r>
      <w:r>
        <w:rPr>
          <w:sz w:val="28"/>
          <w:szCs w:val="28"/>
        </w:rPr>
        <w:t> </w:t>
      </w:r>
      <w:r w:rsidRPr="00373BAF">
        <w:rPr>
          <w:sz w:val="28"/>
          <w:szCs w:val="28"/>
        </w:rPr>
        <w:t>februāris. Pamatojoties uz vairāku pretendentu jautājumiem</w:t>
      </w:r>
      <w:r>
        <w:rPr>
          <w:sz w:val="28"/>
          <w:szCs w:val="28"/>
        </w:rPr>
        <w:t xml:space="preserve"> par iepirkuma nolikumu un dokumentāciju, LVĢMC i</w:t>
      </w:r>
      <w:r w:rsidRPr="00373BAF">
        <w:rPr>
          <w:sz w:val="28"/>
          <w:szCs w:val="28"/>
        </w:rPr>
        <w:t xml:space="preserve">epirkuma komisija nolēma pagarināt piedāvājumu iesniegšanas termiņu līdz </w:t>
      </w:r>
      <w:r>
        <w:rPr>
          <w:sz w:val="28"/>
          <w:szCs w:val="28"/>
        </w:rPr>
        <w:t>2018. gada 12. martam.</w:t>
      </w:r>
    </w:p>
    <w:p w:rsidR="007716A8" w:rsidRPr="00BC49C5" w:rsidRDefault="007716A8" w:rsidP="007716A8">
      <w:pPr>
        <w:spacing w:after="120"/>
        <w:ind w:firstLine="600"/>
        <w:jc w:val="both"/>
        <w:rPr>
          <w:sz w:val="28"/>
          <w:szCs w:val="28"/>
        </w:rPr>
      </w:pPr>
      <w:r w:rsidRPr="002F0A0E">
        <w:rPr>
          <w:sz w:val="28"/>
          <w:szCs w:val="28"/>
        </w:rPr>
        <w:t xml:space="preserve">Saskaņā ar LVĢMC sniegto </w:t>
      </w:r>
      <w:r>
        <w:rPr>
          <w:sz w:val="28"/>
          <w:szCs w:val="28"/>
        </w:rPr>
        <w:t>informāciju</w:t>
      </w:r>
      <w:r w:rsidRPr="006B7096">
        <w:rPr>
          <w:sz w:val="28"/>
          <w:szCs w:val="28"/>
        </w:rPr>
        <w:t xml:space="preserve"> iepirkuma procedūras</w:t>
      </w:r>
      <w:r w:rsidRPr="00D16DC4">
        <w:rPr>
          <w:sz w:val="28"/>
          <w:szCs w:val="28"/>
        </w:rPr>
        <w:t xml:space="preserve"> rezultātā tika </w:t>
      </w:r>
      <w:r>
        <w:rPr>
          <w:sz w:val="28"/>
          <w:szCs w:val="28"/>
        </w:rPr>
        <w:t>saņemts</w:t>
      </w:r>
      <w:r w:rsidRPr="00D16DC4">
        <w:rPr>
          <w:sz w:val="28"/>
          <w:szCs w:val="28"/>
        </w:rPr>
        <w:t xml:space="preserve"> </w:t>
      </w:r>
      <w:r>
        <w:rPr>
          <w:sz w:val="28"/>
          <w:szCs w:val="28"/>
        </w:rPr>
        <w:t xml:space="preserve">tikai </w:t>
      </w:r>
      <w:r w:rsidRPr="00D16DC4">
        <w:rPr>
          <w:sz w:val="28"/>
          <w:szCs w:val="28"/>
        </w:rPr>
        <w:t>viens piedāvājums</w:t>
      </w:r>
      <w:r>
        <w:rPr>
          <w:sz w:val="28"/>
          <w:szCs w:val="28"/>
        </w:rPr>
        <w:t xml:space="preserve"> - par kopējo </w:t>
      </w:r>
      <w:r w:rsidRPr="00BC49C5">
        <w:rPr>
          <w:sz w:val="28"/>
          <w:szCs w:val="28"/>
        </w:rPr>
        <w:t>summu 10 272 622,27 </w:t>
      </w:r>
      <w:proofErr w:type="spellStart"/>
      <w:r w:rsidRPr="00BC49C5">
        <w:rPr>
          <w:i/>
          <w:sz w:val="28"/>
          <w:szCs w:val="28"/>
        </w:rPr>
        <w:t>euro</w:t>
      </w:r>
      <w:proofErr w:type="spellEnd"/>
      <w:r>
        <w:rPr>
          <w:i/>
          <w:sz w:val="28"/>
          <w:szCs w:val="28"/>
        </w:rPr>
        <w:t xml:space="preserve"> </w:t>
      </w:r>
      <w:r w:rsidRPr="00303AE2">
        <w:rPr>
          <w:sz w:val="28"/>
          <w:szCs w:val="28"/>
        </w:rPr>
        <w:t>(ar PVN)</w:t>
      </w:r>
      <w:r>
        <w:rPr>
          <w:rStyle w:val="FootnoteReference"/>
          <w:sz w:val="28"/>
          <w:szCs w:val="28"/>
        </w:rPr>
        <w:footnoteReference w:id="7"/>
      </w:r>
      <w:r w:rsidRPr="00303AE2">
        <w:rPr>
          <w:sz w:val="28"/>
          <w:szCs w:val="28"/>
        </w:rPr>
        <w:t>.</w:t>
      </w:r>
    </w:p>
    <w:p w:rsidR="007716A8" w:rsidRDefault="007716A8" w:rsidP="007716A8">
      <w:pPr>
        <w:spacing w:before="120"/>
        <w:ind w:firstLine="600"/>
        <w:jc w:val="both"/>
        <w:rPr>
          <w:sz w:val="28"/>
          <w:szCs w:val="28"/>
        </w:rPr>
      </w:pPr>
      <w:r w:rsidRPr="002F0A0E">
        <w:rPr>
          <w:sz w:val="28"/>
          <w:szCs w:val="28"/>
        </w:rPr>
        <w:t xml:space="preserve">Saskaņā ar LVĢMC sniegto </w:t>
      </w:r>
      <w:r>
        <w:rPr>
          <w:sz w:val="28"/>
          <w:szCs w:val="28"/>
        </w:rPr>
        <w:t>informāciju</w:t>
      </w:r>
      <w:r w:rsidRPr="00BA41CF">
        <w:rPr>
          <w:sz w:val="28"/>
          <w:szCs w:val="28"/>
        </w:rPr>
        <w:t xml:space="preserve"> atbilstoši</w:t>
      </w:r>
      <w:r w:rsidRPr="00BA41CF">
        <w:rPr>
          <w:b/>
          <w:sz w:val="28"/>
          <w:szCs w:val="28"/>
        </w:rPr>
        <w:t xml:space="preserve"> </w:t>
      </w:r>
      <w:proofErr w:type="spellStart"/>
      <w:r w:rsidRPr="00BA41CF">
        <w:rPr>
          <w:sz w:val="28"/>
          <w:szCs w:val="28"/>
        </w:rPr>
        <w:t>būveksperta</w:t>
      </w:r>
      <w:proofErr w:type="spellEnd"/>
      <w:r w:rsidRPr="00CC13C4">
        <w:rPr>
          <w:sz w:val="28"/>
          <w:szCs w:val="28"/>
        </w:rPr>
        <w:t xml:space="preserve"> 2018. gada 27. marta atzinumam</w:t>
      </w:r>
      <w:r>
        <w:rPr>
          <w:sz w:val="28"/>
          <w:szCs w:val="28"/>
        </w:rPr>
        <w:t xml:space="preserve"> tika secināts, ka pretendenta</w:t>
      </w:r>
      <w:r w:rsidRPr="006A7DA6">
        <w:rPr>
          <w:sz w:val="28"/>
          <w:szCs w:val="28"/>
        </w:rPr>
        <w:t xml:space="preserve"> </w:t>
      </w:r>
      <w:r>
        <w:rPr>
          <w:sz w:val="28"/>
          <w:szCs w:val="28"/>
        </w:rPr>
        <w:t xml:space="preserve">finanšu </w:t>
      </w:r>
      <w:r w:rsidRPr="006A7DA6">
        <w:rPr>
          <w:sz w:val="28"/>
          <w:szCs w:val="28"/>
        </w:rPr>
        <w:t>piedāvājums</w:t>
      </w:r>
      <w:r>
        <w:rPr>
          <w:sz w:val="28"/>
          <w:szCs w:val="28"/>
        </w:rPr>
        <w:t xml:space="preserve">, piedāvājumā esošā detalizācijas pakāpē, uzskatāms par objektīvu un piedāvājuma tāmē ietvertās summas ir atbilstošas tirgus situācijai un izmaksu tendencēm būvniecības </w:t>
      </w:r>
      <w:r w:rsidRPr="00F33843">
        <w:rPr>
          <w:sz w:val="28"/>
          <w:szCs w:val="28"/>
        </w:rPr>
        <w:t>nozarē.</w:t>
      </w:r>
      <w:r>
        <w:rPr>
          <w:sz w:val="28"/>
          <w:szCs w:val="28"/>
        </w:rPr>
        <w:t xml:space="preserve"> Tomēr paredzamā līgumcena būtiski pārsniedz šim mērķiem pieejamo valsts budžeta finansējumu, tādēļ LVĢMC par šo situāciju informēja VARAM.</w:t>
      </w:r>
    </w:p>
    <w:p w:rsidR="007716A8" w:rsidRPr="00450EE1" w:rsidRDefault="007716A8" w:rsidP="007716A8">
      <w:pPr>
        <w:spacing w:before="120"/>
        <w:ind w:left="600"/>
        <w:jc w:val="center"/>
        <w:rPr>
          <w:b/>
          <w:sz w:val="28"/>
          <w:szCs w:val="28"/>
        </w:rPr>
      </w:pPr>
      <w:r>
        <w:rPr>
          <w:b/>
          <w:sz w:val="28"/>
          <w:szCs w:val="28"/>
        </w:rPr>
        <w:t>4. </w:t>
      </w:r>
      <w:r w:rsidRPr="00450EE1">
        <w:rPr>
          <w:b/>
          <w:sz w:val="28"/>
          <w:szCs w:val="28"/>
        </w:rPr>
        <w:t>Informācija par atklāta konkursa “</w:t>
      </w:r>
      <w:r w:rsidRPr="0008624B">
        <w:rPr>
          <w:b/>
          <w:sz w:val="28"/>
          <w:szCs w:val="28"/>
        </w:rPr>
        <w:t>Salaspils kodolreaktora likvidācija</w:t>
      </w:r>
      <w:r w:rsidRPr="00450EE1">
        <w:rPr>
          <w:b/>
          <w:sz w:val="28"/>
          <w:szCs w:val="28"/>
        </w:rPr>
        <w:t>”</w:t>
      </w:r>
      <w:r w:rsidRPr="00450EE1">
        <w:rPr>
          <w:sz w:val="28"/>
          <w:szCs w:val="28"/>
        </w:rPr>
        <w:t xml:space="preserve"> </w:t>
      </w:r>
      <w:r>
        <w:rPr>
          <w:b/>
          <w:sz w:val="28"/>
          <w:szCs w:val="28"/>
        </w:rPr>
        <w:t>iepirkumu</w:t>
      </w:r>
    </w:p>
    <w:p w:rsidR="007716A8" w:rsidRPr="00450EE1" w:rsidRDefault="007716A8" w:rsidP="007716A8">
      <w:pPr>
        <w:spacing w:after="120"/>
        <w:ind w:firstLine="600"/>
        <w:jc w:val="both"/>
        <w:rPr>
          <w:sz w:val="28"/>
          <w:szCs w:val="28"/>
        </w:rPr>
      </w:pPr>
      <w:r w:rsidRPr="002F0A0E">
        <w:rPr>
          <w:sz w:val="28"/>
          <w:szCs w:val="28"/>
        </w:rPr>
        <w:t xml:space="preserve">Saskaņā ar LVĢMC sniegto </w:t>
      </w:r>
      <w:r w:rsidRPr="00BA41CF">
        <w:rPr>
          <w:sz w:val="28"/>
          <w:szCs w:val="28"/>
        </w:rPr>
        <w:t>informāciju</w:t>
      </w:r>
      <w:r>
        <w:rPr>
          <w:iCs/>
          <w:sz w:val="28"/>
          <w:szCs w:val="28"/>
        </w:rPr>
        <w:t xml:space="preserve"> </w:t>
      </w:r>
      <w:r w:rsidRPr="00AA072F">
        <w:rPr>
          <w:iCs/>
          <w:sz w:val="28"/>
          <w:szCs w:val="28"/>
        </w:rPr>
        <w:t>LVĢMC 2018. gada 7.</w:t>
      </w:r>
      <w:r>
        <w:rPr>
          <w:iCs/>
          <w:sz w:val="28"/>
          <w:szCs w:val="28"/>
        </w:rPr>
        <w:t> </w:t>
      </w:r>
      <w:r w:rsidRPr="00AA072F">
        <w:rPr>
          <w:iCs/>
          <w:sz w:val="28"/>
          <w:szCs w:val="28"/>
        </w:rPr>
        <w:t xml:space="preserve">aprīlī, </w:t>
      </w:r>
      <w:r w:rsidRPr="00AA072F">
        <w:rPr>
          <w:sz w:val="28"/>
          <w:szCs w:val="28"/>
        </w:rPr>
        <w:t xml:space="preserve">ievērojot Publisko iepirkumu likuma prasības par publiskā iepirkuma </w:t>
      </w:r>
      <w:r w:rsidRPr="0022208F">
        <w:rPr>
          <w:sz w:val="28"/>
          <w:szCs w:val="28"/>
        </w:rPr>
        <w:t xml:space="preserve">paziņojuma publicēšanu Eiropas Savienības Oficiālajā Vēstnesī, </w:t>
      </w:r>
      <w:r w:rsidRPr="0022208F">
        <w:rPr>
          <w:iCs/>
          <w:sz w:val="28"/>
          <w:szCs w:val="28"/>
        </w:rPr>
        <w:t>izsludināja starptautisko iepirkumu “Salaspils kodolreaktora likvidācija”</w:t>
      </w:r>
      <w:r>
        <w:rPr>
          <w:rStyle w:val="FootnoteReference"/>
          <w:iCs/>
          <w:sz w:val="28"/>
          <w:szCs w:val="28"/>
        </w:rPr>
        <w:footnoteReference w:id="8"/>
      </w:r>
      <w:r w:rsidRPr="0022208F">
        <w:rPr>
          <w:iCs/>
          <w:sz w:val="28"/>
          <w:szCs w:val="28"/>
        </w:rPr>
        <w:t xml:space="preserve">. </w:t>
      </w:r>
      <w:r>
        <w:rPr>
          <w:iCs/>
          <w:sz w:val="28"/>
          <w:szCs w:val="28"/>
        </w:rPr>
        <w:t xml:space="preserve">Kā </w:t>
      </w:r>
      <w:r>
        <w:rPr>
          <w:sz w:val="28"/>
          <w:szCs w:val="28"/>
        </w:rPr>
        <w:t>i</w:t>
      </w:r>
      <w:r w:rsidRPr="0022208F">
        <w:rPr>
          <w:sz w:val="28"/>
          <w:szCs w:val="28"/>
        </w:rPr>
        <w:t>epirkuma piedāvājumu iesniegšanas termiņš tika noteikts 2018. gada 11. maijs.</w:t>
      </w:r>
      <w:r>
        <w:rPr>
          <w:sz w:val="28"/>
          <w:szCs w:val="28"/>
        </w:rPr>
        <w:t xml:space="preserve"> </w:t>
      </w:r>
    </w:p>
    <w:p w:rsidR="007716A8" w:rsidRPr="00984C99" w:rsidRDefault="007716A8" w:rsidP="007716A8">
      <w:pPr>
        <w:spacing w:after="120"/>
        <w:ind w:firstLine="600"/>
        <w:jc w:val="both"/>
        <w:rPr>
          <w:sz w:val="28"/>
          <w:szCs w:val="28"/>
          <w:highlight w:val="yellow"/>
        </w:rPr>
      </w:pPr>
      <w:r w:rsidRPr="002F0A0E">
        <w:rPr>
          <w:sz w:val="28"/>
          <w:szCs w:val="28"/>
        </w:rPr>
        <w:t xml:space="preserve">Saskaņā ar LVĢMC sniegto </w:t>
      </w:r>
      <w:r w:rsidRPr="00BA41CF">
        <w:rPr>
          <w:sz w:val="28"/>
          <w:szCs w:val="28"/>
        </w:rPr>
        <w:t>informāciju</w:t>
      </w:r>
      <w:r>
        <w:rPr>
          <w:sz w:val="28"/>
          <w:szCs w:val="28"/>
        </w:rPr>
        <w:t xml:space="preserve"> i</w:t>
      </w:r>
      <w:r w:rsidRPr="003D0341">
        <w:rPr>
          <w:sz w:val="28"/>
          <w:szCs w:val="28"/>
        </w:rPr>
        <w:t>epirkuma procedūras rezultātā tika iesniegti divi</w:t>
      </w:r>
      <w:r>
        <w:rPr>
          <w:sz w:val="28"/>
          <w:szCs w:val="28"/>
        </w:rPr>
        <w:t xml:space="preserve"> piedāvājumi</w:t>
      </w:r>
      <w:r w:rsidRPr="003D0341">
        <w:rPr>
          <w:sz w:val="28"/>
          <w:szCs w:val="28"/>
        </w:rPr>
        <w:t xml:space="preserve">, </w:t>
      </w:r>
      <w:r>
        <w:rPr>
          <w:sz w:val="28"/>
          <w:szCs w:val="28"/>
        </w:rPr>
        <w:t xml:space="preserve">viens par </w:t>
      </w:r>
      <w:r w:rsidRPr="00984C99">
        <w:rPr>
          <w:sz w:val="28"/>
          <w:szCs w:val="28"/>
        </w:rPr>
        <w:t>23 198 999,98 </w:t>
      </w:r>
      <w:proofErr w:type="spellStart"/>
      <w:r w:rsidRPr="00984C99">
        <w:rPr>
          <w:i/>
          <w:sz w:val="28"/>
          <w:szCs w:val="28"/>
        </w:rPr>
        <w:t>euro</w:t>
      </w:r>
      <w:proofErr w:type="spellEnd"/>
      <w:r w:rsidRPr="00984C99">
        <w:rPr>
          <w:sz w:val="28"/>
          <w:szCs w:val="28"/>
        </w:rPr>
        <w:t xml:space="preserve"> un </w:t>
      </w:r>
      <w:r>
        <w:rPr>
          <w:sz w:val="28"/>
          <w:szCs w:val="28"/>
        </w:rPr>
        <w:t xml:space="preserve">otrs par </w:t>
      </w:r>
      <w:r w:rsidRPr="00984C99">
        <w:rPr>
          <w:sz w:val="28"/>
          <w:szCs w:val="28"/>
        </w:rPr>
        <w:t>4 332 561,89 </w:t>
      </w:r>
      <w:proofErr w:type="spellStart"/>
      <w:r w:rsidRPr="00984C99">
        <w:rPr>
          <w:i/>
          <w:sz w:val="28"/>
          <w:szCs w:val="28"/>
        </w:rPr>
        <w:t>euro</w:t>
      </w:r>
      <w:proofErr w:type="spellEnd"/>
      <w:r>
        <w:rPr>
          <w:rStyle w:val="FootnoteReference"/>
          <w:i/>
          <w:sz w:val="28"/>
          <w:szCs w:val="28"/>
        </w:rPr>
        <w:footnoteReference w:id="9"/>
      </w:r>
      <w:r w:rsidRPr="00984C99">
        <w:rPr>
          <w:sz w:val="28"/>
          <w:szCs w:val="28"/>
        </w:rPr>
        <w:t>.</w:t>
      </w:r>
    </w:p>
    <w:p w:rsidR="007716A8" w:rsidRDefault="007716A8" w:rsidP="007716A8">
      <w:pPr>
        <w:spacing w:after="120"/>
        <w:ind w:firstLine="600"/>
        <w:jc w:val="both"/>
        <w:rPr>
          <w:sz w:val="28"/>
          <w:szCs w:val="28"/>
        </w:rPr>
      </w:pPr>
      <w:r w:rsidRPr="002F0A0E">
        <w:rPr>
          <w:sz w:val="28"/>
          <w:szCs w:val="28"/>
        </w:rPr>
        <w:t xml:space="preserve">Saskaņā ar LVĢMC sniegto </w:t>
      </w:r>
      <w:r w:rsidRPr="00BA41CF">
        <w:rPr>
          <w:sz w:val="28"/>
          <w:szCs w:val="28"/>
        </w:rPr>
        <w:t>informāciju</w:t>
      </w:r>
      <w:r>
        <w:rPr>
          <w:sz w:val="28"/>
          <w:szCs w:val="28"/>
        </w:rPr>
        <w:t xml:space="preserve"> LVĢMC iepirkuma komisija pašlaik veic</w:t>
      </w:r>
      <w:r w:rsidRPr="00450EE1">
        <w:rPr>
          <w:sz w:val="28"/>
          <w:szCs w:val="28"/>
        </w:rPr>
        <w:t xml:space="preserve"> pretendentu iesniegto piedāvājumu vērtēšanu atbilstoši iepirkuma nolikuma prasībām, tajā skaitā piesaistot </w:t>
      </w:r>
      <w:proofErr w:type="spellStart"/>
      <w:r>
        <w:rPr>
          <w:sz w:val="28"/>
          <w:szCs w:val="28"/>
        </w:rPr>
        <w:t>būveksperta</w:t>
      </w:r>
      <w:proofErr w:type="spellEnd"/>
      <w:r>
        <w:rPr>
          <w:sz w:val="28"/>
          <w:szCs w:val="28"/>
        </w:rPr>
        <w:t xml:space="preserve"> ekspertus. Iesniedzējiem ir pieprasīta papildu informācija un skaidrojumi.</w:t>
      </w:r>
    </w:p>
    <w:p w:rsidR="007716A8" w:rsidRDefault="007716A8" w:rsidP="001B1509">
      <w:pPr>
        <w:spacing w:after="120"/>
        <w:jc w:val="both"/>
        <w:rPr>
          <w:sz w:val="28"/>
          <w:szCs w:val="28"/>
        </w:rPr>
      </w:pPr>
    </w:p>
    <w:p w:rsidR="001B1509" w:rsidRDefault="001B1509" w:rsidP="001B1509">
      <w:pPr>
        <w:spacing w:after="120"/>
        <w:jc w:val="both"/>
        <w:rPr>
          <w:sz w:val="28"/>
          <w:szCs w:val="28"/>
        </w:rPr>
      </w:pPr>
    </w:p>
    <w:p w:rsidR="001B1509" w:rsidRDefault="001B1509" w:rsidP="001B1509">
      <w:pPr>
        <w:spacing w:after="120"/>
        <w:jc w:val="both"/>
        <w:rPr>
          <w:sz w:val="28"/>
          <w:szCs w:val="28"/>
        </w:rPr>
      </w:pPr>
    </w:p>
    <w:p w:rsidR="001B1509" w:rsidRDefault="001B1509" w:rsidP="001B1509">
      <w:pPr>
        <w:spacing w:after="120"/>
        <w:jc w:val="both"/>
        <w:rPr>
          <w:sz w:val="28"/>
          <w:szCs w:val="28"/>
        </w:rPr>
      </w:pPr>
    </w:p>
    <w:p w:rsidR="007716A8" w:rsidRPr="000151FE" w:rsidRDefault="007716A8" w:rsidP="007716A8">
      <w:pPr>
        <w:spacing w:after="120"/>
        <w:ind w:left="600"/>
        <w:jc w:val="center"/>
        <w:rPr>
          <w:b/>
          <w:sz w:val="28"/>
          <w:szCs w:val="28"/>
        </w:rPr>
      </w:pPr>
      <w:r>
        <w:rPr>
          <w:b/>
          <w:sz w:val="28"/>
          <w:szCs w:val="28"/>
        </w:rPr>
        <w:lastRenderedPageBreak/>
        <w:t>5</w:t>
      </w:r>
      <w:r w:rsidRPr="000151FE">
        <w:rPr>
          <w:b/>
          <w:sz w:val="28"/>
          <w:szCs w:val="28"/>
        </w:rPr>
        <w:t xml:space="preserve">. Informācija </w:t>
      </w:r>
      <w:r>
        <w:rPr>
          <w:b/>
          <w:sz w:val="28"/>
          <w:szCs w:val="28"/>
        </w:rPr>
        <w:t xml:space="preserve">par plānotiem </w:t>
      </w:r>
      <w:r w:rsidRPr="000151FE">
        <w:rPr>
          <w:b/>
          <w:sz w:val="28"/>
          <w:szCs w:val="28"/>
        </w:rPr>
        <w:t>atklātu konkursu “</w:t>
      </w:r>
      <w:r w:rsidRPr="009B5BD0">
        <w:rPr>
          <w:b/>
          <w:sz w:val="28"/>
          <w:szCs w:val="28"/>
        </w:rPr>
        <w:t>Jaunas radioaktīvo atkritumu tvertnes, ilgtermiņa glabātavas un esošo radioaktīvo atkritumu tvertņu pārsegšanas projekta izstrāde radioaktīv</w:t>
      </w:r>
      <w:r>
        <w:rPr>
          <w:b/>
          <w:sz w:val="28"/>
          <w:szCs w:val="28"/>
        </w:rPr>
        <w:t xml:space="preserve">o atkritumu glabātavai “Radons” un </w:t>
      </w:r>
      <w:r w:rsidRPr="009B5BD0">
        <w:rPr>
          <w:b/>
          <w:sz w:val="28"/>
          <w:szCs w:val="28"/>
        </w:rPr>
        <w:t>Salaspils kodolreaktora izpētes un demontāžas projekta izstrād</w:t>
      </w:r>
      <w:r>
        <w:rPr>
          <w:b/>
          <w:sz w:val="28"/>
          <w:szCs w:val="28"/>
        </w:rPr>
        <w:t>e” iepirkumiem</w:t>
      </w:r>
    </w:p>
    <w:p w:rsidR="007716A8" w:rsidRPr="00AC25AE" w:rsidRDefault="007716A8" w:rsidP="007716A8">
      <w:pPr>
        <w:spacing w:after="120"/>
        <w:ind w:firstLine="600"/>
        <w:jc w:val="both"/>
        <w:rPr>
          <w:sz w:val="28"/>
          <w:szCs w:val="28"/>
        </w:rPr>
      </w:pPr>
      <w:r>
        <w:rPr>
          <w:sz w:val="28"/>
          <w:szCs w:val="28"/>
        </w:rPr>
        <w:t>Ievērojot, ka LVĢMC 2018. gada 26. </w:t>
      </w:r>
      <w:r w:rsidRPr="00934F79">
        <w:rPr>
          <w:sz w:val="28"/>
          <w:szCs w:val="28"/>
        </w:rPr>
        <w:t>janvārī</w:t>
      </w:r>
      <w:r>
        <w:rPr>
          <w:sz w:val="28"/>
          <w:szCs w:val="28"/>
        </w:rPr>
        <w:t xml:space="preserve"> izsludinātā iepirkuma “</w:t>
      </w:r>
      <w:r w:rsidRPr="00934F79">
        <w:rPr>
          <w:sz w:val="28"/>
          <w:szCs w:val="28"/>
        </w:rPr>
        <w:t>Jaunas radioaktīvo atkritumu tvertnes un ilgtermiņa glabātavas būvprojekta izstrāde un būvniecība radioaktīvo atkritumu glabātavā “Radons”</w:t>
      </w:r>
      <w:r>
        <w:rPr>
          <w:sz w:val="28"/>
          <w:szCs w:val="28"/>
        </w:rPr>
        <w:t xml:space="preserve">” un </w:t>
      </w:r>
      <w:r w:rsidRPr="00AA072F">
        <w:rPr>
          <w:iCs/>
          <w:sz w:val="28"/>
          <w:szCs w:val="28"/>
        </w:rPr>
        <w:t>2018. gada 7.</w:t>
      </w:r>
      <w:r>
        <w:rPr>
          <w:iCs/>
          <w:sz w:val="28"/>
          <w:szCs w:val="28"/>
        </w:rPr>
        <w:t> </w:t>
      </w:r>
      <w:r w:rsidRPr="00AA072F">
        <w:rPr>
          <w:iCs/>
          <w:sz w:val="28"/>
          <w:szCs w:val="28"/>
        </w:rPr>
        <w:t>aprīlī</w:t>
      </w:r>
      <w:r>
        <w:rPr>
          <w:iCs/>
          <w:sz w:val="28"/>
          <w:szCs w:val="28"/>
        </w:rPr>
        <w:t xml:space="preserve"> izsludinātā iepirkuma </w:t>
      </w:r>
      <w:r w:rsidRPr="0022208F">
        <w:rPr>
          <w:iCs/>
          <w:sz w:val="28"/>
          <w:szCs w:val="28"/>
        </w:rPr>
        <w:t>“Salaspils kodolreaktora likvidācija”</w:t>
      </w:r>
      <w:r>
        <w:rPr>
          <w:iCs/>
          <w:sz w:val="28"/>
          <w:szCs w:val="28"/>
        </w:rPr>
        <w:t xml:space="preserve"> rezultātā saņemtie </w:t>
      </w:r>
      <w:r>
        <w:rPr>
          <w:sz w:val="28"/>
          <w:szCs w:val="28"/>
        </w:rPr>
        <w:t xml:space="preserve">finanšu </w:t>
      </w:r>
      <w:r w:rsidRPr="001B21F2">
        <w:rPr>
          <w:sz w:val="28"/>
          <w:szCs w:val="28"/>
        </w:rPr>
        <w:t xml:space="preserve">piedāvājumi ievērojami pārsniedz piešķirto valsts budžeta finansējumu, </w:t>
      </w:r>
      <w:r>
        <w:rPr>
          <w:sz w:val="28"/>
          <w:szCs w:val="28"/>
        </w:rPr>
        <w:t>saskaņā ar</w:t>
      </w:r>
      <w:r w:rsidRPr="001B21F2">
        <w:rPr>
          <w:sz w:val="28"/>
          <w:szCs w:val="28"/>
        </w:rPr>
        <w:t xml:space="preserve"> LVĢMC sniegto informāciju, </w:t>
      </w:r>
      <w:r>
        <w:rPr>
          <w:sz w:val="28"/>
          <w:szCs w:val="28"/>
        </w:rPr>
        <w:t>LVĢMC</w:t>
      </w:r>
      <w:r w:rsidRPr="001B21F2">
        <w:rPr>
          <w:sz w:val="28"/>
          <w:szCs w:val="28"/>
        </w:rPr>
        <w:t xml:space="preserve"> ierosina pārtraukt iepriekšminētos iepirkumus un izsludināt jaunus iepirkumu konkursus “Jaunas</w:t>
      </w:r>
      <w:r w:rsidRPr="00595753">
        <w:rPr>
          <w:sz w:val="28"/>
          <w:szCs w:val="28"/>
        </w:rPr>
        <w:t xml:space="preserve"> radioaktīvo atkritumu tvertnes, ilgtermiņa glabātavas un esošo radioaktīvo atkritumu tvertņu pārsegšanas projekta</w:t>
      </w:r>
      <w:r w:rsidRPr="00AD0CE8">
        <w:rPr>
          <w:sz w:val="28"/>
          <w:szCs w:val="28"/>
        </w:rPr>
        <w:t xml:space="preserve"> izstrāde</w:t>
      </w:r>
      <w:r>
        <w:rPr>
          <w:sz w:val="28"/>
          <w:szCs w:val="28"/>
        </w:rPr>
        <w:t xml:space="preserve"> radioaktīvo atkritumu glabātavai</w:t>
      </w:r>
      <w:r w:rsidRPr="00AD0CE8">
        <w:rPr>
          <w:sz w:val="28"/>
          <w:szCs w:val="28"/>
        </w:rPr>
        <w:t xml:space="preserve"> “Radons”</w:t>
      </w:r>
      <w:r>
        <w:rPr>
          <w:iCs/>
          <w:sz w:val="28"/>
          <w:szCs w:val="28"/>
        </w:rPr>
        <w:t>”</w:t>
      </w:r>
      <w:r w:rsidRPr="00935077">
        <w:rPr>
          <w:iCs/>
          <w:sz w:val="28"/>
          <w:szCs w:val="28"/>
        </w:rPr>
        <w:t xml:space="preserve"> un </w:t>
      </w:r>
      <w:r>
        <w:rPr>
          <w:iCs/>
          <w:sz w:val="28"/>
          <w:szCs w:val="28"/>
        </w:rPr>
        <w:t>“</w:t>
      </w:r>
      <w:r w:rsidRPr="00935077">
        <w:rPr>
          <w:iCs/>
          <w:sz w:val="28"/>
          <w:szCs w:val="28"/>
        </w:rPr>
        <w:t xml:space="preserve">Salaspils </w:t>
      </w:r>
      <w:r w:rsidRPr="006C0D77">
        <w:rPr>
          <w:iCs/>
          <w:sz w:val="28"/>
          <w:szCs w:val="28"/>
        </w:rPr>
        <w:t>kodolreaktora izpētes un demontāžas projekta izstrāde</w:t>
      </w:r>
      <w:r>
        <w:rPr>
          <w:sz w:val="28"/>
          <w:lang w:eastAsia="lv-LV"/>
        </w:rPr>
        <w:t>”</w:t>
      </w:r>
      <w:r w:rsidRPr="006C0D77">
        <w:rPr>
          <w:sz w:val="28"/>
          <w:szCs w:val="28"/>
        </w:rPr>
        <w:t>. Iepirkumu rezultātā paredzēts izstrādāt jaunas radioaktīvo atkritumu tvertnes, ilgtermiņa glabātavas un esošo radioaktīvo atkritumu tvertņu pārsegšanas būvprojektu</w:t>
      </w:r>
      <w:r>
        <w:rPr>
          <w:sz w:val="28"/>
          <w:szCs w:val="28"/>
        </w:rPr>
        <w:t xml:space="preserve">, kā arī izstrādāt Salaspils kodolreaktora demontāžas projektu. Jaunos iepirkumu konkursus atbilstoši </w:t>
      </w:r>
      <w:r w:rsidRPr="00AA072F">
        <w:rPr>
          <w:sz w:val="28"/>
          <w:szCs w:val="28"/>
        </w:rPr>
        <w:t>Pu</w:t>
      </w:r>
      <w:r>
        <w:rPr>
          <w:sz w:val="28"/>
          <w:szCs w:val="28"/>
        </w:rPr>
        <w:t xml:space="preserve">blisko iepirkumu likuma prasībām plānots </w:t>
      </w:r>
      <w:r w:rsidRPr="0022208F">
        <w:rPr>
          <w:sz w:val="28"/>
          <w:szCs w:val="28"/>
        </w:rPr>
        <w:t>publicē</w:t>
      </w:r>
      <w:r>
        <w:rPr>
          <w:sz w:val="28"/>
          <w:szCs w:val="28"/>
        </w:rPr>
        <w:t>t</w:t>
      </w:r>
      <w:r w:rsidRPr="0022208F">
        <w:rPr>
          <w:sz w:val="28"/>
          <w:szCs w:val="28"/>
        </w:rPr>
        <w:t xml:space="preserve"> Eiropas Savienības Oficiālajā Vēstnesī</w:t>
      </w:r>
      <w:r>
        <w:rPr>
          <w:sz w:val="28"/>
          <w:szCs w:val="28"/>
        </w:rPr>
        <w:t>, tādā veidā palielinot iespēju iepirkumu konkursā pieteikties ārvalstu uzņēmumiem, kas specializējas radioaktīvo būvju projektēšanā un demontāžā.</w:t>
      </w:r>
    </w:p>
    <w:p w:rsidR="007716A8" w:rsidRDefault="007716A8" w:rsidP="007716A8">
      <w:pPr>
        <w:spacing w:after="120"/>
        <w:ind w:firstLine="600"/>
        <w:jc w:val="both"/>
        <w:rPr>
          <w:sz w:val="28"/>
          <w:szCs w:val="28"/>
        </w:rPr>
      </w:pPr>
      <w:r w:rsidRPr="002F0A0E">
        <w:rPr>
          <w:sz w:val="28"/>
          <w:szCs w:val="28"/>
        </w:rPr>
        <w:t xml:space="preserve">Saskaņā ar LVĢMC sniegto </w:t>
      </w:r>
      <w:r w:rsidRPr="00BA41CF">
        <w:rPr>
          <w:sz w:val="28"/>
          <w:szCs w:val="28"/>
        </w:rPr>
        <w:t>informāciju</w:t>
      </w:r>
      <w:r>
        <w:rPr>
          <w:sz w:val="28"/>
          <w:szCs w:val="28"/>
        </w:rPr>
        <w:t xml:space="preserve"> iepirkumu rezultātā plānots veikt d</w:t>
      </w:r>
      <w:r w:rsidRPr="00BD4F66">
        <w:rPr>
          <w:sz w:val="28"/>
          <w:szCs w:val="28"/>
        </w:rPr>
        <w:t>etalizēt</w:t>
      </w:r>
      <w:r>
        <w:rPr>
          <w:sz w:val="28"/>
          <w:szCs w:val="28"/>
        </w:rPr>
        <w:t>u Salaspils</w:t>
      </w:r>
      <w:r w:rsidRPr="00BD4F66">
        <w:rPr>
          <w:sz w:val="28"/>
          <w:szCs w:val="28"/>
        </w:rPr>
        <w:t xml:space="preserve"> </w:t>
      </w:r>
      <w:r>
        <w:rPr>
          <w:sz w:val="28"/>
          <w:szCs w:val="28"/>
        </w:rPr>
        <w:t>kodolreaktora un ēku</w:t>
      </w:r>
      <w:r w:rsidRPr="00BD4F66">
        <w:rPr>
          <w:sz w:val="28"/>
          <w:szCs w:val="28"/>
        </w:rPr>
        <w:t xml:space="preserve"> apsekošan</w:t>
      </w:r>
      <w:r>
        <w:rPr>
          <w:sz w:val="28"/>
          <w:szCs w:val="28"/>
        </w:rPr>
        <w:t>u</w:t>
      </w:r>
      <w:r w:rsidRPr="00BD4F66">
        <w:rPr>
          <w:sz w:val="28"/>
          <w:szCs w:val="28"/>
        </w:rPr>
        <w:t>, uzmērījum</w:t>
      </w:r>
      <w:r>
        <w:rPr>
          <w:sz w:val="28"/>
          <w:szCs w:val="28"/>
        </w:rPr>
        <w:t xml:space="preserve">u, kā arī pašreizējā </w:t>
      </w:r>
      <w:r w:rsidRPr="00BD4F66">
        <w:rPr>
          <w:sz w:val="28"/>
          <w:szCs w:val="28"/>
        </w:rPr>
        <w:t>radioaktivitātes</w:t>
      </w:r>
      <w:r>
        <w:rPr>
          <w:sz w:val="28"/>
          <w:szCs w:val="28"/>
        </w:rPr>
        <w:t xml:space="preserve"> līmeņa</w:t>
      </w:r>
      <w:r w:rsidRPr="00BD4F66">
        <w:rPr>
          <w:sz w:val="28"/>
          <w:szCs w:val="28"/>
        </w:rPr>
        <w:t xml:space="preserve"> izpēt</w:t>
      </w:r>
      <w:r>
        <w:rPr>
          <w:sz w:val="28"/>
          <w:szCs w:val="28"/>
        </w:rPr>
        <w:t>i</w:t>
      </w:r>
      <w:r w:rsidRPr="00666DFE">
        <w:rPr>
          <w:sz w:val="28"/>
          <w:szCs w:val="28"/>
        </w:rPr>
        <w:t>, kas ļautu iegūt ļoti detālu informāciju par demontējamo objektu – Salaspils kodolreaktoru, kā arī par turpmāk nepieciešamajiem darbiem veicot Salaspils kodolreaktora likvidācijas pasākumu kopumu.</w:t>
      </w:r>
      <w:r w:rsidRPr="00D435B3">
        <w:rPr>
          <w:b/>
          <w:sz w:val="28"/>
          <w:szCs w:val="28"/>
        </w:rPr>
        <w:t xml:space="preserve"> </w:t>
      </w:r>
      <w:r w:rsidRPr="00D435B3">
        <w:rPr>
          <w:sz w:val="28"/>
          <w:szCs w:val="28"/>
        </w:rPr>
        <w:t xml:space="preserve">Iepirkumu rezultātā tiks aktualizēti </w:t>
      </w:r>
      <w:r>
        <w:rPr>
          <w:sz w:val="28"/>
          <w:szCs w:val="28"/>
        </w:rPr>
        <w:t>aprēķini par radioaktīvo atkritumu apjomu, kas radīsies Salaspils kodolreaktora likvidācijas pasākumu rezultātā, ņemot vērā to, ka atsevišķu materiālu radioaktivitātes līmenis ar laiku samazinās.</w:t>
      </w:r>
    </w:p>
    <w:p w:rsidR="007716A8" w:rsidRDefault="007716A8" w:rsidP="007716A8">
      <w:pPr>
        <w:spacing w:after="120"/>
        <w:ind w:firstLine="600"/>
        <w:jc w:val="both"/>
        <w:rPr>
          <w:iCs/>
          <w:sz w:val="28"/>
          <w:szCs w:val="28"/>
        </w:rPr>
      </w:pPr>
      <w:r w:rsidRPr="002F3B49">
        <w:rPr>
          <w:sz w:val="28"/>
          <w:szCs w:val="28"/>
        </w:rPr>
        <w:t xml:space="preserve">Saskaņā ar LVĢMC sniegto informāciju, plānoto jauno pasākumu darbu apjoms, sadalījums un tiem nepieciešamais finansējums (tabula Nr.4) ir balstīts uz LVĢMC 2018. gada 26. janvārī un </w:t>
      </w:r>
      <w:r w:rsidRPr="002F3B49">
        <w:rPr>
          <w:iCs/>
          <w:sz w:val="28"/>
          <w:szCs w:val="28"/>
        </w:rPr>
        <w:t>2018. gada 7. aprīlī izsludināto iepirkumu rezultātā pretendentu saņemtajiem piedāvājumiem.</w:t>
      </w:r>
    </w:p>
    <w:p w:rsidR="0091115C" w:rsidRDefault="0091115C" w:rsidP="007716A8">
      <w:pPr>
        <w:spacing w:after="120"/>
        <w:ind w:firstLine="600"/>
        <w:jc w:val="both"/>
        <w:rPr>
          <w:iCs/>
          <w:sz w:val="28"/>
          <w:szCs w:val="28"/>
        </w:rPr>
      </w:pPr>
    </w:p>
    <w:p w:rsidR="0091115C" w:rsidRDefault="0091115C" w:rsidP="007716A8">
      <w:pPr>
        <w:spacing w:after="120"/>
        <w:ind w:firstLine="600"/>
        <w:jc w:val="both"/>
        <w:rPr>
          <w:iCs/>
          <w:sz w:val="28"/>
          <w:szCs w:val="28"/>
        </w:rPr>
      </w:pPr>
    </w:p>
    <w:p w:rsidR="0091115C" w:rsidRDefault="0091115C" w:rsidP="007716A8">
      <w:pPr>
        <w:spacing w:after="120"/>
        <w:ind w:firstLine="600"/>
        <w:jc w:val="both"/>
        <w:rPr>
          <w:iCs/>
          <w:sz w:val="28"/>
          <w:szCs w:val="28"/>
        </w:rPr>
      </w:pPr>
    </w:p>
    <w:p w:rsidR="0091115C" w:rsidRDefault="0091115C" w:rsidP="007716A8">
      <w:pPr>
        <w:spacing w:after="120"/>
        <w:ind w:firstLine="600"/>
        <w:jc w:val="both"/>
        <w:rPr>
          <w:iCs/>
          <w:sz w:val="28"/>
          <w:szCs w:val="28"/>
        </w:rPr>
      </w:pPr>
    </w:p>
    <w:p w:rsidR="0091115C" w:rsidRDefault="0091115C" w:rsidP="007716A8">
      <w:pPr>
        <w:spacing w:after="120"/>
        <w:ind w:firstLine="600"/>
        <w:jc w:val="both"/>
        <w:rPr>
          <w:iCs/>
          <w:sz w:val="28"/>
          <w:szCs w:val="28"/>
        </w:rPr>
      </w:pPr>
    </w:p>
    <w:p w:rsidR="0091115C" w:rsidRPr="002F3B49" w:rsidRDefault="0091115C" w:rsidP="007716A8">
      <w:pPr>
        <w:spacing w:after="120"/>
        <w:ind w:firstLine="600"/>
        <w:jc w:val="both"/>
        <w:rPr>
          <w:sz w:val="28"/>
          <w:szCs w:val="28"/>
        </w:rPr>
      </w:pPr>
    </w:p>
    <w:p w:rsidR="007716A8" w:rsidRDefault="007716A8" w:rsidP="007716A8">
      <w:pPr>
        <w:spacing w:after="120"/>
        <w:jc w:val="center"/>
        <w:rPr>
          <w:b/>
          <w:szCs w:val="28"/>
        </w:rPr>
      </w:pPr>
      <w:r>
        <w:rPr>
          <w:b/>
          <w:szCs w:val="28"/>
        </w:rPr>
        <w:t>P</w:t>
      </w:r>
      <w:r w:rsidRPr="006E6405">
        <w:rPr>
          <w:b/>
          <w:szCs w:val="28"/>
        </w:rPr>
        <w:t xml:space="preserve">lānotais finansējums </w:t>
      </w:r>
      <w:r w:rsidRPr="00504DBC">
        <w:rPr>
          <w:b/>
          <w:szCs w:val="28"/>
        </w:rPr>
        <w:t>iepirkumu “Jaunas radioaktīvo atkritumu tvertnes, ilgtermiņa glabātavas un esošo radioaktīvo atkritumu tvertņu pārsegšanas projekta izstrāde radioaktīvo atkritumu glabātavai “Radons”” un “Salaspils kodolreaktora izpētes un demontāžas projekta izstrāde” īstenošanai</w:t>
      </w:r>
      <w:r>
        <w:rPr>
          <w:b/>
          <w:szCs w:val="28"/>
        </w:rPr>
        <w:t xml:space="preserve"> atbilstoši</w:t>
      </w:r>
      <w:r w:rsidRPr="00B24551">
        <w:t xml:space="preserve"> </w:t>
      </w:r>
      <w:r>
        <w:rPr>
          <w:b/>
          <w:szCs w:val="28"/>
        </w:rPr>
        <w:t>LVĢMC sniegtajai informācijai</w:t>
      </w:r>
    </w:p>
    <w:p w:rsidR="007716A8" w:rsidRPr="006E6405" w:rsidRDefault="007716A8" w:rsidP="007716A8">
      <w:pPr>
        <w:spacing w:after="120"/>
        <w:jc w:val="right"/>
        <w:rPr>
          <w:b/>
          <w:szCs w:val="28"/>
        </w:rPr>
      </w:pPr>
      <w:r w:rsidRPr="003A128E">
        <w:rPr>
          <w:sz w:val="22"/>
          <w:szCs w:val="28"/>
        </w:rPr>
        <w:t>Tabula Nr. </w:t>
      </w:r>
      <w:r>
        <w:rPr>
          <w:sz w:val="22"/>
          <w:szCs w:val="28"/>
        </w:rPr>
        <w:t>4</w:t>
      </w:r>
    </w:p>
    <w:tbl>
      <w:tblPr>
        <w:tblStyle w:val="TableGrid"/>
        <w:tblW w:w="8869" w:type="dxa"/>
        <w:tblLook w:val="04A0" w:firstRow="1" w:lastRow="0" w:firstColumn="1" w:lastColumn="0" w:noHBand="0" w:noVBand="1"/>
      </w:tblPr>
      <w:tblGrid>
        <w:gridCol w:w="3998"/>
        <w:gridCol w:w="1289"/>
        <w:gridCol w:w="1194"/>
        <w:gridCol w:w="1194"/>
        <w:gridCol w:w="1194"/>
      </w:tblGrid>
      <w:tr w:rsidR="007716A8" w:rsidRPr="00FE4DAA" w:rsidTr="000C208E">
        <w:trPr>
          <w:trHeight w:val="432"/>
        </w:trPr>
        <w:tc>
          <w:tcPr>
            <w:tcW w:w="3998" w:type="dxa"/>
            <w:shd w:val="clear" w:color="auto" w:fill="7B7B7B" w:themeFill="accent3" w:themeFillShade="BF"/>
            <w:vAlign w:val="center"/>
          </w:tcPr>
          <w:p w:rsidR="007716A8" w:rsidRPr="00FE4DAA" w:rsidRDefault="007716A8" w:rsidP="000C208E">
            <w:pPr>
              <w:spacing w:after="120"/>
              <w:jc w:val="both"/>
              <w:rPr>
                <w:b/>
                <w:sz w:val="20"/>
                <w:szCs w:val="20"/>
              </w:rPr>
            </w:pPr>
            <w:proofErr w:type="spellStart"/>
            <w:r w:rsidRPr="00FE4DAA">
              <w:rPr>
                <w:b/>
                <w:sz w:val="20"/>
                <w:szCs w:val="20"/>
              </w:rPr>
              <w:t>Pasākums</w:t>
            </w:r>
            <w:proofErr w:type="spellEnd"/>
          </w:p>
        </w:tc>
        <w:tc>
          <w:tcPr>
            <w:tcW w:w="1289" w:type="dxa"/>
            <w:shd w:val="clear" w:color="auto" w:fill="7B7B7B" w:themeFill="accent3" w:themeFillShade="BF"/>
            <w:vAlign w:val="center"/>
          </w:tcPr>
          <w:p w:rsidR="007716A8" w:rsidRPr="00FE4DAA" w:rsidRDefault="007716A8" w:rsidP="000C208E">
            <w:pPr>
              <w:spacing w:after="120"/>
              <w:jc w:val="center"/>
              <w:rPr>
                <w:b/>
                <w:sz w:val="20"/>
                <w:szCs w:val="20"/>
              </w:rPr>
            </w:pPr>
            <w:r w:rsidRPr="00FE4DAA">
              <w:rPr>
                <w:b/>
                <w:sz w:val="20"/>
                <w:szCs w:val="20"/>
              </w:rPr>
              <w:t>2019. gads</w:t>
            </w:r>
          </w:p>
        </w:tc>
        <w:tc>
          <w:tcPr>
            <w:tcW w:w="1194" w:type="dxa"/>
            <w:shd w:val="clear" w:color="auto" w:fill="7B7B7B" w:themeFill="accent3" w:themeFillShade="BF"/>
            <w:vAlign w:val="center"/>
          </w:tcPr>
          <w:p w:rsidR="007716A8" w:rsidRPr="00FE4DAA" w:rsidRDefault="007716A8" w:rsidP="000C208E">
            <w:pPr>
              <w:spacing w:after="120"/>
              <w:jc w:val="center"/>
              <w:rPr>
                <w:b/>
                <w:sz w:val="20"/>
                <w:szCs w:val="20"/>
              </w:rPr>
            </w:pPr>
            <w:r w:rsidRPr="00FE4DAA">
              <w:rPr>
                <w:b/>
                <w:sz w:val="20"/>
                <w:szCs w:val="20"/>
              </w:rPr>
              <w:t>2020. gads</w:t>
            </w:r>
          </w:p>
        </w:tc>
        <w:tc>
          <w:tcPr>
            <w:tcW w:w="1194" w:type="dxa"/>
            <w:shd w:val="clear" w:color="auto" w:fill="7B7B7B" w:themeFill="accent3" w:themeFillShade="BF"/>
            <w:vAlign w:val="center"/>
          </w:tcPr>
          <w:p w:rsidR="007716A8" w:rsidRPr="00FE4DAA" w:rsidRDefault="007716A8" w:rsidP="000C208E">
            <w:pPr>
              <w:spacing w:after="120"/>
              <w:jc w:val="center"/>
              <w:rPr>
                <w:b/>
                <w:sz w:val="20"/>
                <w:szCs w:val="20"/>
              </w:rPr>
            </w:pPr>
            <w:r w:rsidRPr="00FE4DAA">
              <w:rPr>
                <w:b/>
                <w:sz w:val="20"/>
                <w:szCs w:val="20"/>
              </w:rPr>
              <w:t>2021. gads</w:t>
            </w:r>
          </w:p>
        </w:tc>
        <w:tc>
          <w:tcPr>
            <w:tcW w:w="1194" w:type="dxa"/>
            <w:shd w:val="clear" w:color="auto" w:fill="7B7B7B" w:themeFill="accent3" w:themeFillShade="BF"/>
          </w:tcPr>
          <w:p w:rsidR="007716A8" w:rsidRPr="00FE4DAA" w:rsidRDefault="007716A8" w:rsidP="000C208E">
            <w:pPr>
              <w:spacing w:after="120"/>
              <w:jc w:val="center"/>
              <w:rPr>
                <w:b/>
                <w:sz w:val="20"/>
                <w:szCs w:val="20"/>
              </w:rPr>
            </w:pPr>
            <w:proofErr w:type="spellStart"/>
            <w:r w:rsidRPr="00FE4DAA">
              <w:rPr>
                <w:b/>
                <w:sz w:val="20"/>
                <w:szCs w:val="20"/>
              </w:rPr>
              <w:t>Kopā</w:t>
            </w:r>
            <w:proofErr w:type="spellEnd"/>
          </w:p>
        </w:tc>
      </w:tr>
      <w:tr w:rsidR="007716A8" w:rsidRPr="00FE4DAA" w:rsidTr="000C208E">
        <w:trPr>
          <w:trHeight w:val="565"/>
        </w:trPr>
        <w:tc>
          <w:tcPr>
            <w:tcW w:w="8869" w:type="dxa"/>
            <w:gridSpan w:val="5"/>
            <w:shd w:val="clear" w:color="auto" w:fill="D9D9D9" w:themeFill="background1" w:themeFillShade="D9"/>
          </w:tcPr>
          <w:p w:rsidR="007716A8" w:rsidRPr="006D2250" w:rsidRDefault="007716A8" w:rsidP="000C208E">
            <w:pPr>
              <w:spacing w:after="120"/>
              <w:jc w:val="both"/>
              <w:rPr>
                <w:sz w:val="20"/>
                <w:szCs w:val="20"/>
                <w:lang w:val="lv-LV"/>
              </w:rPr>
            </w:pPr>
            <w:r w:rsidRPr="005E5EDB">
              <w:rPr>
                <w:bCs/>
                <w:sz w:val="20"/>
                <w:szCs w:val="20"/>
                <w:lang w:eastAsia="lv-LV"/>
              </w:rPr>
              <w:t>Jaunas radioaktīvo atkritumu tvertnes, ilgtermiņa glabātavas un esošo radioaktīvo atkritumu tvertņu pārsegšanas projekta izstrādei plānotais finansējums</w:t>
            </w:r>
          </w:p>
        </w:tc>
      </w:tr>
      <w:tr w:rsidR="007716A8" w:rsidRPr="00FE4DAA" w:rsidTr="000C208E">
        <w:trPr>
          <w:trHeight w:val="611"/>
        </w:trPr>
        <w:tc>
          <w:tcPr>
            <w:tcW w:w="3998" w:type="dxa"/>
          </w:tcPr>
          <w:p w:rsidR="007716A8" w:rsidRPr="006D2250" w:rsidRDefault="007716A8" w:rsidP="000C208E">
            <w:pPr>
              <w:spacing w:after="120"/>
              <w:jc w:val="right"/>
              <w:rPr>
                <w:bCs/>
                <w:sz w:val="20"/>
                <w:szCs w:val="20"/>
                <w:lang w:val="lv-LV" w:eastAsia="lv-LV"/>
              </w:rPr>
            </w:pPr>
            <w:r w:rsidRPr="005E5EDB">
              <w:rPr>
                <w:sz w:val="20"/>
                <w:szCs w:val="20"/>
              </w:rPr>
              <w:lastRenderedPageBreak/>
              <w:t>Ekspertu pakalpojumi – projektēšanas iepirkuma izvērtēšana</w:t>
            </w:r>
          </w:p>
        </w:tc>
        <w:tc>
          <w:tcPr>
            <w:tcW w:w="1289" w:type="dxa"/>
          </w:tcPr>
          <w:p w:rsidR="007716A8" w:rsidRPr="00FE4DAA" w:rsidRDefault="007716A8" w:rsidP="000C208E">
            <w:pPr>
              <w:spacing w:after="120"/>
              <w:jc w:val="center"/>
              <w:rPr>
                <w:sz w:val="20"/>
                <w:szCs w:val="20"/>
              </w:rPr>
            </w:pPr>
            <w:r w:rsidRPr="00FE4DAA">
              <w:rPr>
                <w:sz w:val="20"/>
                <w:szCs w:val="20"/>
              </w:rPr>
              <w:t>10 000</w:t>
            </w:r>
          </w:p>
        </w:tc>
        <w:tc>
          <w:tcPr>
            <w:tcW w:w="1194" w:type="dxa"/>
          </w:tcPr>
          <w:p w:rsidR="007716A8" w:rsidRPr="00FE4DAA" w:rsidRDefault="007716A8" w:rsidP="000C208E">
            <w:pPr>
              <w:spacing w:after="120"/>
              <w:jc w:val="center"/>
              <w:rPr>
                <w:sz w:val="20"/>
                <w:szCs w:val="20"/>
              </w:rPr>
            </w:pPr>
            <w:r w:rsidRPr="00FE4DAA">
              <w:rPr>
                <w:sz w:val="20"/>
                <w:szCs w:val="20"/>
              </w:rPr>
              <w:t>-</w:t>
            </w:r>
          </w:p>
        </w:tc>
        <w:tc>
          <w:tcPr>
            <w:tcW w:w="1194" w:type="dxa"/>
          </w:tcPr>
          <w:p w:rsidR="007716A8" w:rsidRPr="00FE4DAA" w:rsidRDefault="007716A8" w:rsidP="000C208E">
            <w:pPr>
              <w:spacing w:after="120"/>
              <w:jc w:val="center"/>
              <w:rPr>
                <w:sz w:val="20"/>
                <w:szCs w:val="20"/>
              </w:rPr>
            </w:pPr>
            <w:r w:rsidRPr="00FE4DAA">
              <w:rPr>
                <w:sz w:val="20"/>
                <w:szCs w:val="20"/>
              </w:rPr>
              <w:t>-</w:t>
            </w:r>
          </w:p>
        </w:tc>
        <w:tc>
          <w:tcPr>
            <w:tcW w:w="1194" w:type="dxa"/>
          </w:tcPr>
          <w:p w:rsidR="007716A8" w:rsidRPr="00FE4DAA" w:rsidRDefault="007716A8" w:rsidP="000C208E">
            <w:pPr>
              <w:spacing w:after="120"/>
              <w:jc w:val="center"/>
              <w:rPr>
                <w:b/>
                <w:sz w:val="20"/>
                <w:szCs w:val="20"/>
              </w:rPr>
            </w:pPr>
            <w:r w:rsidRPr="00FE4DAA">
              <w:rPr>
                <w:b/>
                <w:sz w:val="20"/>
                <w:szCs w:val="20"/>
              </w:rPr>
              <w:t>10 000</w:t>
            </w:r>
          </w:p>
        </w:tc>
      </w:tr>
      <w:tr w:rsidR="007716A8" w:rsidRPr="00FE4DAA" w:rsidTr="000C208E">
        <w:trPr>
          <w:trHeight w:val="446"/>
        </w:trPr>
        <w:tc>
          <w:tcPr>
            <w:tcW w:w="3998" w:type="dxa"/>
          </w:tcPr>
          <w:p w:rsidR="007716A8" w:rsidRPr="006D2250" w:rsidRDefault="007716A8" w:rsidP="000C208E">
            <w:pPr>
              <w:spacing w:after="120"/>
              <w:jc w:val="right"/>
              <w:rPr>
                <w:sz w:val="20"/>
                <w:szCs w:val="20"/>
                <w:lang w:val="lv-LV"/>
              </w:rPr>
            </w:pPr>
            <w:r w:rsidRPr="005E5EDB">
              <w:rPr>
                <w:sz w:val="20"/>
                <w:szCs w:val="20"/>
              </w:rPr>
              <w:t>Juridiskie pakalpojumi jaunas dokumentācijas sagatavošanai, piedāvājumu neatkarīgai vērtēšanai</w:t>
            </w:r>
          </w:p>
        </w:tc>
        <w:tc>
          <w:tcPr>
            <w:tcW w:w="1289" w:type="dxa"/>
          </w:tcPr>
          <w:p w:rsidR="007716A8" w:rsidRPr="00FE4DAA" w:rsidRDefault="007716A8" w:rsidP="000C208E">
            <w:pPr>
              <w:spacing w:after="120"/>
              <w:jc w:val="center"/>
              <w:rPr>
                <w:sz w:val="20"/>
                <w:szCs w:val="20"/>
              </w:rPr>
            </w:pPr>
            <w:r w:rsidRPr="00FE4DAA">
              <w:rPr>
                <w:sz w:val="20"/>
                <w:szCs w:val="20"/>
              </w:rPr>
              <w:t>5 000</w:t>
            </w:r>
          </w:p>
        </w:tc>
        <w:tc>
          <w:tcPr>
            <w:tcW w:w="1194" w:type="dxa"/>
          </w:tcPr>
          <w:p w:rsidR="007716A8" w:rsidRPr="00FE4DAA" w:rsidRDefault="007716A8" w:rsidP="000C208E">
            <w:pPr>
              <w:spacing w:after="120"/>
              <w:jc w:val="center"/>
              <w:rPr>
                <w:sz w:val="20"/>
                <w:szCs w:val="20"/>
              </w:rPr>
            </w:pPr>
            <w:r w:rsidRPr="00FE4DAA">
              <w:rPr>
                <w:sz w:val="20"/>
                <w:szCs w:val="20"/>
              </w:rPr>
              <w:t>-</w:t>
            </w:r>
          </w:p>
        </w:tc>
        <w:tc>
          <w:tcPr>
            <w:tcW w:w="1194" w:type="dxa"/>
          </w:tcPr>
          <w:p w:rsidR="007716A8" w:rsidRPr="00FE4DAA" w:rsidRDefault="007716A8" w:rsidP="000C208E">
            <w:pPr>
              <w:spacing w:after="120"/>
              <w:jc w:val="center"/>
              <w:rPr>
                <w:sz w:val="20"/>
                <w:szCs w:val="20"/>
              </w:rPr>
            </w:pPr>
            <w:r w:rsidRPr="00FE4DAA">
              <w:rPr>
                <w:sz w:val="20"/>
                <w:szCs w:val="20"/>
              </w:rPr>
              <w:t>-</w:t>
            </w:r>
          </w:p>
        </w:tc>
        <w:tc>
          <w:tcPr>
            <w:tcW w:w="1194" w:type="dxa"/>
          </w:tcPr>
          <w:p w:rsidR="007716A8" w:rsidRPr="00FE4DAA" w:rsidRDefault="007716A8" w:rsidP="000C208E">
            <w:pPr>
              <w:spacing w:after="120"/>
              <w:jc w:val="center"/>
              <w:rPr>
                <w:b/>
                <w:sz w:val="20"/>
                <w:szCs w:val="20"/>
              </w:rPr>
            </w:pPr>
            <w:r w:rsidRPr="00FE4DAA">
              <w:rPr>
                <w:b/>
                <w:sz w:val="20"/>
                <w:szCs w:val="20"/>
              </w:rPr>
              <w:t>5 000</w:t>
            </w:r>
          </w:p>
        </w:tc>
      </w:tr>
      <w:tr w:rsidR="007716A8" w:rsidRPr="00FE4DAA" w:rsidTr="000C208E">
        <w:trPr>
          <w:trHeight w:val="446"/>
        </w:trPr>
        <w:tc>
          <w:tcPr>
            <w:tcW w:w="3998" w:type="dxa"/>
          </w:tcPr>
          <w:p w:rsidR="007716A8" w:rsidRPr="00DF73E2" w:rsidRDefault="007716A8" w:rsidP="000C208E">
            <w:pPr>
              <w:jc w:val="right"/>
              <w:rPr>
                <w:b/>
                <w:sz w:val="20"/>
                <w:szCs w:val="20"/>
              </w:rPr>
            </w:pPr>
            <w:proofErr w:type="spellStart"/>
            <w:r w:rsidRPr="00FE4DAA">
              <w:rPr>
                <w:sz w:val="20"/>
                <w:szCs w:val="20"/>
              </w:rPr>
              <w:t>Projektēšanas</w:t>
            </w:r>
            <w:proofErr w:type="spellEnd"/>
            <w:r w:rsidRPr="00FE4DAA">
              <w:rPr>
                <w:sz w:val="20"/>
                <w:szCs w:val="20"/>
              </w:rPr>
              <w:t xml:space="preserve"> </w:t>
            </w:r>
            <w:proofErr w:type="spellStart"/>
            <w:r w:rsidRPr="00FE4DAA">
              <w:rPr>
                <w:sz w:val="20"/>
                <w:szCs w:val="20"/>
              </w:rPr>
              <w:t>darbi</w:t>
            </w:r>
            <w:proofErr w:type="spellEnd"/>
            <w:r>
              <w:rPr>
                <w:sz w:val="20"/>
                <w:szCs w:val="20"/>
              </w:rPr>
              <w:t xml:space="preserve"> </w:t>
            </w:r>
            <w:proofErr w:type="spellStart"/>
            <w:r w:rsidRPr="00DF73E2">
              <w:rPr>
                <w:b/>
                <w:sz w:val="20"/>
                <w:szCs w:val="20"/>
              </w:rPr>
              <w:t>ar</w:t>
            </w:r>
            <w:proofErr w:type="spellEnd"/>
            <w:r w:rsidRPr="00DF73E2">
              <w:rPr>
                <w:b/>
                <w:sz w:val="20"/>
                <w:szCs w:val="20"/>
              </w:rPr>
              <w:t xml:space="preserve"> </w:t>
            </w:r>
          </w:p>
          <w:p w:rsidR="007716A8" w:rsidRPr="00FE4DAA" w:rsidRDefault="007716A8" w:rsidP="000C208E">
            <w:pPr>
              <w:jc w:val="right"/>
              <w:rPr>
                <w:sz w:val="20"/>
                <w:szCs w:val="20"/>
              </w:rPr>
            </w:pPr>
            <w:proofErr w:type="spellStart"/>
            <w:r w:rsidRPr="00DF73E2">
              <w:rPr>
                <w:b/>
                <w:sz w:val="20"/>
                <w:szCs w:val="20"/>
              </w:rPr>
              <w:t>autoruzraudzību</w:t>
            </w:r>
            <w:proofErr w:type="spellEnd"/>
          </w:p>
        </w:tc>
        <w:tc>
          <w:tcPr>
            <w:tcW w:w="1289" w:type="dxa"/>
          </w:tcPr>
          <w:p w:rsidR="007716A8" w:rsidRPr="00FE4DAA" w:rsidRDefault="007716A8" w:rsidP="000C208E">
            <w:pPr>
              <w:spacing w:after="120"/>
              <w:jc w:val="center"/>
              <w:rPr>
                <w:sz w:val="20"/>
                <w:szCs w:val="20"/>
              </w:rPr>
            </w:pPr>
            <w:r>
              <w:rPr>
                <w:sz w:val="20"/>
                <w:szCs w:val="20"/>
              </w:rPr>
              <w:t>-</w:t>
            </w:r>
          </w:p>
        </w:tc>
        <w:tc>
          <w:tcPr>
            <w:tcW w:w="1194" w:type="dxa"/>
          </w:tcPr>
          <w:p w:rsidR="007716A8" w:rsidRPr="00FE4DAA" w:rsidRDefault="007716A8" w:rsidP="000C208E">
            <w:pPr>
              <w:spacing w:after="120"/>
              <w:jc w:val="center"/>
              <w:rPr>
                <w:b/>
                <w:sz w:val="20"/>
                <w:szCs w:val="20"/>
              </w:rPr>
            </w:pPr>
            <w:r w:rsidRPr="00365254">
              <w:rPr>
                <w:b/>
                <w:sz w:val="20"/>
                <w:szCs w:val="20"/>
              </w:rPr>
              <w:t>587 402</w:t>
            </w:r>
          </w:p>
        </w:tc>
        <w:tc>
          <w:tcPr>
            <w:tcW w:w="1194" w:type="dxa"/>
          </w:tcPr>
          <w:p w:rsidR="007716A8" w:rsidRPr="00FE4DAA" w:rsidRDefault="007716A8" w:rsidP="000C208E">
            <w:pPr>
              <w:spacing w:after="120"/>
              <w:jc w:val="center"/>
              <w:rPr>
                <w:b/>
                <w:sz w:val="20"/>
                <w:szCs w:val="20"/>
              </w:rPr>
            </w:pPr>
            <w:r w:rsidRPr="00FE4DAA">
              <w:rPr>
                <w:b/>
                <w:sz w:val="20"/>
                <w:szCs w:val="20"/>
              </w:rPr>
              <w:t>12 598</w:t>
            </w:r>
          </w:p>
        </w:tc>
        <w:tc>
          <w:tcPr>
            <w:tcW w:w="1194" w:type="dxa"/>
          </w:tcPr>
          <w:p w:rsidR="007716A8" w:rsidRPr="00FE4DAA" w:rsidRDefault="007716A8" w:rsidP="000C208E">
            <w:pPr>
              <w:spacing w:after="120"/>
              <w:jc w:val="center"/>
              <w:rPr>
                <w:b/>
                <w:sz w:val="20"/>
                <w:szCs w:val="20"/>
              </w:rPr>
            </w:pPr>
            <w:r w:rsidRPr="00DF73E2">
              <w:rPr>
                <w:b/>
                <w:sz w:val="20"/>
                <w:szCs w:val="20"/>
              </w:rPr>
              <w:t>600 000</w:t>
            </w:r>
          </w:p>
        </w:tc>
      </w:tr>
      <w:tr w:rsidR="007716A8" w:rsidRPr="00FE4DAA" w:rsidTr="000C208E">
        <w:trPr>
          <w:trHeight w:val="446"/>
        </w:trPr>
        <w:tc>
          <w:tcPr>
            <w:tcW w:w="3998" w:type="dxa"/>
          </w:tcPr>
          <w:p w:rsidR="007716A8" w:rsidRPr="00FE4DAA" w:rsidRDefault="007716A8" w:rsidP="000C208E">
            <w:pPr>
              <w:spacing w:after="120"/>
              <w:jc w:val="right"/>
              <w:rPr>
                <w:sz w:val="20"/>
                <w:szCs w:val="20"/>
              </w:rPr>
            </w:pPr>
            <w:proofErr w:type="spellStart"/>
            <w:r w:rsidRPr="00FE4DAA">
              <w:rPr>
                <w:sz w:val="20"/>
                <w:szCs w:val="20"/>
              </w:rPr>
              <w:t>Būvprojekta</w:t>
            </w:r>
            <w:proofErr w:type="spellEnd"/>
            <w:r w:rsidRPr="00FE4DAA">
              <w:rPr>
                <w:sz w:val="20"/>
                <w:szCs w:val="20"/>
              </w:rPr>
              <w:t xml:space="preserve"> </w:t>
            </w:r>
            <w:proofErr w:type="spellStart"/>
            <w:r w:rsidRPr="00FE4DAA">
              <w:rPr>
                <w:sz w:val="20"/>
                <w:szCs w:val="20"/>
              </w:rPr>
              <w:t>ekspertīze</w:t>
            </w:r>
            <w:proofErr w:type="spellEnd"/>
          </w:p>
        </w:tc>
        <w:tc>
          <w:tcPr>
            <w:tcW w:w="1289" w:type="dxa"/>
          </w:tcPr>
          <w:p w:rsidR="007716A8" w:rsidRPr="00FE4DAA" w:rsidRDefault="007716A8" w:rsidP="000C208E">
            <w:pPr>
              <w:spacing w:after="120"/>
              <w:jc w:val="center"/>
              <w:rPr>
                <w:sz w:val="20"/>
                <w:szCs w:val="20"/>
              </w:rPr>
            </w:pPr>
            <w:r w:rsidRPr="00FE4DAA">
              <w:rPr>
                <w:sz w:val="20"/>
                <w:szCs w:val="20"/>
              </w:rPr>
              <w:t>-</w:t>
            </w:r>
          </w:p>
        </w:tc>
        <w:tc>
          <w:tcPr>
            <w:tcW w:w="1194" w:type="dxa"/>
          </w:tcPr>
          <w:p w:rsidR="007716A8" w:rsidRPr="00FE4DAA" w:rsidRDefault="007716A8" w:rsidP="000C208E">
            <w:pPr>
              <w:spacing w:after="120"/>
              <w:jc w:val="center"/>
              <w:rPr>
                <w:sz w:val="20"/>
                <w:szCs w:val="20"/>
              </w:rPr>
            </w:pPr>
            <w:r w:rsidRPr="00FE4DAA">
              <w:rPr>
                <w:sz w:val="20"/>
                <w:szCs w:val="20"/>
              </w:rPr>
              <w:t>25 000</w:t>
            </w:r>
          </w:p>
        </w:tc>
        <w:tc>
          <w:tcPr>
            <w:tcW w:w="1194" w:type="dxa"/>
          </w:tcPr>
          <w:p w:rsidR="007716A8" w:rsidRPr="00FE4DAA" w:rsidRDefault="007716A8" w:rsidP="000C208E">
            <w:pPr>
              <w:spacing w:after="120"/>
              <w:jc w:val="center"/>
              <w:rPr>
                <w:sz w:val="20"/>
                <w:szCs w:val="20"/>
              </w:rPr>
            </w:pPr>
            <w:r w:rsidRPr="00FE4DAA">
              <w:rPr>
                <w:sz w:val="20"/>
                <w:szCs w:val="20"/>
              </w:rPr>
              <w:t>-</w:t>
            </w:r>
          </w:p>
        </w:tc>
        <w:tc>
          <w:tcPr>
            <w:tcW w:w="1194" w:type="dxa"/>
          </w:tcPr>
          <w:p w:rsidR="007716A8" w:rsidRPr="00FE4DAA" w:rsidRDefault="007716A8" w:rsidP="000C208E">
            <w:pPr>
              <w:spacing w:after="120"/>
              <w:jc w:val="center"/>
              <w:rPr>
                <w:b/>
                <w:sz w:val="20"/>
                <w:szCs w:val="20"/>
              </w:rPr>
            </w:pPr>
            <w:r w:rsidRPr="00FE4DAA">
              <w:rPr>
                <w:b/>
                <w:sz w:val="20"/>
                <w:szCs w:val="20"/>
              </w:rPr>
              <w:t>25 000</w:t>
            </w:r>
          </w:p>
        </w:tc>
      </w:tr>
      <w:tr w:rsidR="007716A8" w:rsidRPr="00FE4DAA" w:rsidTr="000C208E">
        <w:trPr>
          <w:trHeight w:val="467"/>
        </w:trPr>
        <w:tc>
          <w:tcPr>
            <w:tcW w:w="8869" w:type="dxa"/>
            <w:gridSpan w:val="5"/>
            <w:shd w:val="clear" w:color="auto" w:fill="D9D9D9" w:themeFill="background1" w:themeFillShade="D9"/>
          </w:tcPr>
          <w:p w:rsidR="007716A8" w:rsidRPr="006D2250" w:rsidRDefault="007716A8" w:rsidP="000C208E">
            <w:pPr>
              <w:spacing w:after="120"/>
              <w:jc w:val="both"/>
              <w:rPr>
                <w:sz w:val="20"/>
                <w:szCs w:val="20"/>
                <w:lang w:val="lv-LV"/>
              </w:rPr>
            </w:pPr>
            <w:r w:rsidRPr="005E5EDB">
              <w:rPr>
                <w:bCs/>
                <w:sz w:val="20"/>
                <w:szCs w:val="20"/>
                <w:lang w:eastAsia="lv-LV"/>
              </w:rPr>
              <w:t>Salaspils kodolreaktora izpēte un demontāžas projektu (t.sk būvprojekta) izstrādei plānotais finansējums</w:t>
            </w:r>
          </w:p>
        </w:tc>
      </w:tr>
      <w:tr w:rsidR="007716A8" w:rsidRPr="00FE4DAA" w:rsidTr="000C208E">
        <w:trPr>
          <w:trHeight w:val="432"/>
        </w:trPr>
        <w:tc>
          <w:tcPr>
            <w:tcW w:w="3998" w:type="dxa"/>
          </w:tcPr>
          <w:p w:rsidR="007716A8" w:rsidRPr="006D2250" w:rsidRDefault="007716A8" w:rsidP="000C208E">
            <w:pPr>
              <w:spacing w:after="120"/>
              <w:jc w:val="right"/>
              <w:rPr>
                <w:sz w:val="20"/>
                <w:szCs w:val="20"/>
                <w:lang w:val="lv-LV"/>
              </w:rPr>
            </w:pPr>
            <w:r w:rsidRPr="005E5EDB">
              <w:rPr>
                <w:sz w:val="20"/>
                <w:szCs w:val="20"/>
              </w:rPr>
              <w:t>Ekspertu pakalpojumi – projektēšanas un demontāžas plāna iepirkuma izvērtēšana</w:t>
            </w:r>
          </w:p>
        </w:tc>
        <w:tc>
          <w:tcPr>
            <w:tcW w:w="1289" w:type="dxa"/>
          </w:tcPr>
          <w:p w:rsidR="007716A8" w:rsidRPr="00FE4DAA" w:rsidRDefault="007716A8" w:rsidP="000C208E">
            <w:pPr>
              <w:spacing w:after="120"/>
              <w:jc w:val="center"/>
              <w:rPr>
                <w:sz w:val="20"/>
                <w:szCs w:val="20"/>
              </w:rPr>
            </w:pPr>
            <w:r w:rsidRPr="00FE4DAA">
              <w:rPr>
                <w:sz w:val="20"/>
                <w:szCs w:val="20"/>
              </w:rPr>
              <w:t>10 000</w:t>
            </w:r>
          </w:p>
        </w:tc>
        <w:tc>
          <w:tcPr>
            <w:tcW w:w="1194" w:type="dxa"/>
          </w:tcPr>
          <w:p w:rsidR="007716A8" w:rsidRPr="00FE4DAA" w:rsidRDefault="007716A8" w:rsidP="000C208E">
            <w:pPr>
              <w:spacing w:after="120"/>
              <w:jc w:val="center"/>
              <w:rPr>
                <w:sz w:val="20"/>
                <w:szCs w:val="20"/>
              </w:rPr>
            </w:pPr>
            <w:r w:rsidRPr="00FE4DAA">
              <w:rPr>
                <w:sz w:val="20"/>
                <w:szCs w:val="20"/>
              </w:rPr>
              <w:t>-</w:t>
            </w:r>
          </w:p>
        </w:tc>
        <w:tc>
          <w:tcPr>
            <w:tcW w:w="1194" w:type="dxa"/>
          </w:tcPr>
          <w:p w:rsidR="007716A8" w:rsidRPr="00FE4DAA" w:rsidRDefault="007716A8" w:rsidP="000C208E">
            <w:pPr>
              <w:spacing w:after="120"/>
              <w:jc w:val="center"/>
              <w:rPr>
                <w:sz w:val="20"/>
                <w:szCs w:val="20"/>
              </w:rPr>
            </w:pPr>
            <w:r w:rsidRPr="00FE4DAA">
              <w:rPr>
                <w:sz w:val="20"/>
                <w:szCs w:val="20"/>
              </w:rPr>
              <w:t>-</w:t>
            </w:r>
          </w:p>
        </w:tc>
        <w:tc>
          <w:tcPr>
            <w:tcW w:w="1194" w:type="dxa"/>
          </w:tcPr>
          <w:p w:rsidR="007716A8" w:rsidRPr="00FE4DAA" w:rsidRDefault="007716A8" w:rsidP="000C208E">
            <w:pPr>
              <w:spacing w:after="120"/>
              <w:jc w:val="center"/>
              <w:rPr>
                <w:b/>
                <w:sz w:val="20"/>
                <w:szCs w:val="20"/>
              </w:rPr>
            </w:pPr>
            <w:r w:rsidRPr="00FE4DAA">
              <w:rPr>
                <w:b/>
                <w:sz w:val="20"/>
                <w:szCs w:val="20"/>
              </w:rPr>
              <w:t>10 000</w:t>
            </w:r>
          </w:p>
        </w:tc>
      </w:tr>
      <w:tr w:rsidR="007716A8" w:rsidRPr="00FE4DAA" w:rsidTr="000C208E">
        <w:trPr>
          <w:trHeight w:val="432"/>
        </w:trPr>
        <w:tc>
          <w:tcPr>
            <w:tcW w:w="3998" w:type="dxa"/>
          </w:tcPr>
          <w:p w:rsidR="007716A8" w:rsidRPr="006D2250" w:rsidRDefault="007716A8" w:rsidP="000C208E">
            <w:pPr>
              <w:spacing w:after="120"/>
              <w:jc w:val="right"/>
              <w:rPr>
                <w:sz w:val="20"/>
                <w:szCs w:val="20"/>
                <w:lang w:val="lv-LV"/>
              </w:rPr>
            </w:pPr>
            <w:r w:rsidRPr="005E5EDB">
              <w:rPr>
                <w:sz w:val="20"/>
                <w:szCs w:val="20"/>
              </w:rPr>
              <w:t>Juridiskie pakalpojumi jaunas dokumentācijas sagatavošanai, piedāvājumu neatkarīgai vērtēšanai</w:t>
            </w:r>
          </w:p>
        </w:tc>
        <w:tc>
          <w:tcPr>
            <w:tcW w:w="1289" w:type="dxa"/>
          </w:tcPr>
          <w:p w:rsidR="007716A8" w:rsidRPr="00FE4DAA" w:rsidRDefault="007716A8" w:rsidP="000C208E">
            <w:pPr>
              <w:spacing w:after="120"/>
              <w:jc w:val="center"/>
              <w:rPr>
                <w:sz w:val="20"/>
                <w:szCs w:val="20"/>
              </w:rPr>
            </w:pPr>
            <w:r w:rsidRPr="00FE4DAA">
              <w:rPr>
                <w:sz w:val="20"/>
                <w:szCs w:val="20"/>
              </w:rPr>
              <w:t>5 000</w:t>
            </w:r>
          </w:p>
        </w:tc>
        <w:tc>
          <w:tcPr>
            <w:tcW w:w="1194" w:type="dxa"/>
          </w:tcPr>
          <w:p w:rsidR="007716A8" w:rsidRPr="00FE4DAA" w:rsidRDefault="007716A8" w:rsidP="000C208E">
            <w:pPr>
              <w:spacing w:after="120"/>
              <w:jc w:val="center"/>
              <w:rPr>
                <w:sz w:val="20"/>
                <w:szCs w:val="20"/>
              </w:rPr>
            </w:pPr>
            <w:r w:rsidRPr="00FE4DAA">
              <w:rPr>
                <w:sz w:val="20"/>
                <w:szCs w:val="20"/>
              </w:rPr>
              <w:t>-</w:t>
            </w:r>
          </w:p>
        </w:tc>
        <w:tc>
          <w:tcPr>
            <w:tcW w:w="1194" w:type="dxa"/>
          </w:tcPr>
          <w:p w:rsidR="007716A8" w:rsidRPr="00FE4DAA" w:rsidRDefault="007716A8" w:rsidP="000C208E">
            <w:pPr>
              <w:spacing w:after="120"/>
              <w:jc w:val="center"/>
              <w:rPr>
                <w:sz w:val="20"/>
                <w:szCs w:val="20"/>
              </w:rPr>
            </w:pPr>
            <w:r w:rsidRPr="00FE4DAA">
              <w:rPr>
                <w:sz w:val="20"/>
                <w:szCs w:val="20"/>
              </w:rPr>
              <w:t>-</w:t>
            </w:r>
          </w:p>
        </w:tc>
        <w:tc>
          <w:tcPr>
            <w:tcW w:w="1194" w:type="dxa"/>
          </w:tcPr>
          <w:p w:rsidR="007716A8" w:rsidRPr="00FE4DAA" w:rsidRDefault="007716A8" w:rsidP="000C208E">
            <w:pPr>
              <w:spacing w:after="120"/>
              <w:jc w:val="center"/>
              <w:rPr>
                <w:b/>
                <w:sz w:val="20"/>
                <w:szCs w:val="20"/>
              </w:rPr>
            </w:pPr>
            <w:r w:rsidRPr="00FE4DAA">
              <w:rPr>
                <w:b/>
                <w:sz w:val="20"/>
                <w:szCs w:val="20"/>
              </w:rPr>
              <w:t>5 000</w:t>
            </w:r>
          </w:p>
        </w:tc>
      </w:tr>
      <w:tr w:rsidR="007716A8" w:rsidRPr="00FE4DAA" w:rsidTr="000C208E">
        <w:trPr>
          <w:trHeight w:val="432"/>
        </w:trPr>
        <w:tc>
          <w:tcPr>
            <w:tcW w:w="3998" w:type="dxa"/>
          </w:tcPr>
          <w:p w:rsidR="007716A8" w:rsidRPr="006D2250" w:rsidRDefault="007716A8" w:rsidP="000C208E">
            <w:pPr>
              <w:spacing w:after="120"/>
              <w:jc w:val="right"/>
              <w:rPr>
                <w:sz w:val="20"/>
                <w:szCs w:val="20"/>
                <w:lang w:val="lv-LV"/>
              </w:rPr>
            </w:pPr>
            <w:r w:rsidRPr="005E5EDB">
              <w:rPr>
                <w:sz w:val="20"/>
                <w:szCs w:val="20"/>
              </w:rPr>
              <w:t>Projektēšanas un demontāžas plāna izstrādes darbi, t.sk</w:t>
            </w:r>
            <w:r w:rsidRPr="005E5EDB">
              <w:rPr>
                <w:b/>
                <w:sz w:val="20"/>
                <w:szCs w:val="20"/>
              </w:rPr>
              <w:t>. arhīvu materiālu izpēte un analīze, detalizēta reaktora un ēku apsekošana, uzmērījumu veikšana un radioaktivitātes izpēte, ģeoloģiskā izpēte un modeļu izstrāde demontāžas plāna vajadzībām</w:t>
            </w:r>
          </w:p>
        </w:tc>
        <w:tc>
          <w:tcPr>
            <w:tcW w:w="1289" w:type="dxa"/>
          </w:tcPr>
          <w:p w:rsidR="007716A8" w:rsidRPr="00FE4DAA" w:rsidRDefault="007716A8" w:rsidP="000C208E">
            <w:pPr>
              <w:spacing w:after="120"/>
              <w:jc w:val="center"/>
              <w:rPr>
                <w:sz w:val="20"/>
                <w:szCs w:val="20"/>
              </w:rPr>
            </w:pPr>
            <w:r w:rsidRPr="00FE4DAA">
              <w:rPr>
                <w:sz w:val="20"/>
                <w:szCs w:val="20"/>
              </w:rPr>
              <w:t>-</w:t>
            </w:r>
          </w:p>
        </w:tc>
        <w:tc>
          <w:tcPr>
            <w:tcW w:w="1194" w:type="dxa"/>
          </w:tcPr>
          <w:p w:rsidR="007716A8" w:rsidRPr="00FE4DAA" w:rsidRDefault="007716A8" w:rsidP="000C208E">
            <w:pPr>
              <w:spacing w:after="120"/>
              <w:jc w:val="center"/>
              <w:rPr>
                <w:b/>
                <w:sz w:val="20"/>
                <w:szCs w:val="20"/>
              </w:rPr>
            </w:pPr>
            <w:r w:rsidRPr="00FE4DAA">
              <w:rPr>
                <w:b/>
                <w:sz w:val="20"/>
                <w:szCs w:val="20"/>
              </w:rPr>
              <w:t>1 200 000</w:t>
            </w:r>
          </w:p>
        </w:tc>
        <w:tc>
          <w:tcPr>
            <w:tcW w:w="1194" w:type="dxa"/>
          </w:tcPr>
          <w:p w:rsidR="007716A8" w:rsidRPr="00FE4DAA" w:rsidRDefault="007716A8" w:rsidP="000C208E">
            <w:pPr>
              <w:spacing w:after="120"/>
              <w:jc w:val="center"/>
              <w:rPr>
                <w:b/>
                <w:sz w:val="20"/>
                <w:szCs w:val="20"/>
              </w:rPr>
            </w:pPr>
            <w:r w:rsidRPr="00FE4DAA">
              <w:rPr>
                <w:b/>
                <w:sz w:val="20"/>
                <w:szCs w:val="20"/>
              </w:rPr>
              <w:t>200 000</w:t>
            </w:r>
          </w:p>
        </w:tc>
        <w:tc>
          <w:tcPr>
            <w:tcW w:w="1194" w:type="dxa"/>
          </w:tcPr>
          <w:p w:rsidR="007716A8" w:rsidRPr="00FE4DAA" w:rsidRDefault="007716A8" w:rsidP="000C208E">
            <w:pPr>
              <w:spacing w:after="120"/>
              <w:jc w:val="center"/>
              <w:rPr>
                <w:b/>
                <w:sz w:val="20"/>
                <w:szCs w:val="20"/>
              </w:rPr>
            </w:pPr>
            <w:r w:rsidRPr="00FE4DAA">
              <w:rPr>
                <w:b/>
                <w:sz w:val="20"/>
                <w:szCs w:val="20"/>
              </w:rPr>
              <w:t>1 400 000</w:t>
            </w:r>
          </w:p>
        </w:tc>
      </w:tr>
      <w:tr w:rsidR="007716A8" w:rsidRPr="00FE4DAA" w:rsidTr="000C208E">
        <w:trPr>
          <w:trHeight w:val="432"/>
        </w:trPr>
        <w:tc>
          <w:tcPr>
            <w:tcW w:w="3998" w:type="dxa"/>
          </w:tcPr>
          <w:p w:rsidR="007716A8" w:rsidRPr="00FE4DAA" w:rsidRDefault="007716A8" w:rsidP="000C208E">
            <w:pPr>
              <w:spacing w:after="120"/>
              <w:jc w:val="right"/>
              <w:rPr>
                <w:sz w:val="20"/>
                <w:szCs w:val="20"/>
              </w:rPr>
            </w:pPr>
            <w:proofErr w:type="spellStart"/>
            <w:r w:rsidRPr="00FE4DAA">
              <w:rPr>
                <w:sz w:val="20"/>
                <w:szCs w:val="20"/>
              </w:rPr>
              <w:t>Izpildīto</w:t>
            </w:r>
            <w:proofErr w:type="spellEnd"/>
            <w:r w:rsidRPr="00FE4DAA">
              <w:rPr>
                <w:sz w:val="20"/>
                <w:szCs w:val="20"/>
              </w:rPr>
              <w:t xml:space="preserve"> </w:t>
            </w:r>
            <w:proofErr w:type="spellStart"/>
            <w:r w:rsidRPr="00FE4DAA">
              <w:rPr>
                <w:sz w:val="20"/>
                <w:szCs w:val="20"/>
              </w:rPr>
              <w:t>darbu</w:t>
            </w:r>
            <w:proofErr w:type="spellEnd"/>
            <w:r w:rsidRPr="00FE4DAA">
              <w:rPr>
                <w:sz w:val="20"/>
                <w:szCs w:val="20"/>
              </w:rPr>
              <w:t xml:space="preserve"> </w:t>
            </w:r>
            <w:proofErr w:type="spellStart"/>
            <w:r w:rsidRPr="00FE4DAA">
              <w:rPr>
                <w:sz w:val="20"/>
                <w:szCs w:val="20"/>
              </w:rPr>
              <w:t>ekspertīze</w:t>
            </w:r>
            <w:proofErr w:type="spellEnd"/>
          </w:p>
        </w:tc>
        <w:tc>
          <w:tcPr>
            <w:tcW w:w="1289" w:type="dxa"/>
          </w:tcPr>
          <w:p w:rsidR="007716A8" w:rsidRPr="00FE4DAA" w:rsidRDefault="007716A8" w:rsidP="000C208E">
            <w:pPr>
              <w:spacing w:after="120"/>
              <w:jc w:val="center"/>
              <w:rPr>
                <w:sz w:val="20"/>
                <w:szCs w:val="20"/>
              </w:rPr>
            </w:pPr>
            <w:r w:rsidRPr="00FE4DAA">
              <w:rPr>
                <w:sz w:val="20"/>
                <w:szCs w:val="20"/>
              </w:rPr>
              <w:t>-</w:t>
            </w:r>
          </w:p>
        </w:tc>
        <w:tc>
          <w:tcPr>
            <w:tcW w:w="1194" w:type="dxa"/>
          </w:tcPr>
          <w:p w:rsidR="007716A8" w:rsidRPr="00FE4DAA" w:rsidRDefault="007716A8" w:rsidP="000C208E">
            <w:pPr>
              <w:spacing w:after="120"/>
              <w:jc w:val="center"/>
              <w:rPr>
                <w:sz w:val="20"/>
                <w:szCs w:val="20"/>
              </w:rPr>
            </w:pPr>
            <w:r w:rsidRPr="00FE4DAA">
              <w:rPr>
                <w:sz w:val="20"/>
                <w:szCs w:val="20"/>
              </w:rPr>
              <w:t>5 000</w:t>
            </w:r>
          </w:p>
        </w:tc>
        <w:tc>
          <w:tcPr>
            <w:tcW w:w="1194" w:type="dxa"/>
          </w:tcPr>
          <w:p w:rsidR="007716A8" w:rsidRPr="00FE4DAA" w:rsidRDefault="007716A8" w:rsidP="000C208E">
            <w:pPr>
              <w:spacing w:after="120"/>
              <w:jc w:val="center"/>
              <w:rPr>
                <w:sz w:val="20"/>
                <w:szCs w:val="20"/>
              </w:rPr>
            </w:pPr>
            <w:r w:rsidRPr="00FE4DAA">
              <w:rPr>
                <w:sz w:val="20"/>
                <w:szCs w:val="20"/>
              </w:rPr>
              <w:t>-</w:t>
            </w:r>
          </w:p>
        </w:tc>
        <w:tc>
          <w:tcPr>
            <w:tcW w:w="1194" w:type="dxa"/>
          </w:tcPr>
          <w:p w:rsidR="007716A8" w:rsidRPr="00FE4DAA" w:rsidRDefault="007716A8" w:rsidP="000C208E">
            <w:pPr>
              <w:spacing w:after="120"/>
              <w:jc w:val="center"/>
              <w:rPr>
                <w:b/>
                <w:sz w:val="20"/>
                <w:szCs w:val="20"/>
              </w:rPr>
            </w:pPr>
            <w:r w:rsidRPr="00FE4DAA">
              <w:rPr>
                <w:b/>
                <w:sz w:val="20"/>
                <w:szCs w:val="20"/>
              </w:rPr>
              <w:t>5 000</w:t>
            </w:r>
          </w:p>
        </w:tc>
      </w:tr>
      <w:tr w:rsidR="007716A8" w:rsidRPr="00FE4DAA" w:rsidTr="000C208E">
        <w:trPr>
          <w:trHeight w:val="432"/>
        </w:trPr>
        <w:tc>
          <w:tcPr>
            <w:tcW w:w="3998" w:type="dxa"/>
          </w:tcPr>
          <w:p w:rsidR="007716A8" w:rsidRPr="006D2250" w:rsidRDefault="007716A8" w:rsidP="000C208E">
            <w:pPr>
              <w:spacing w:after="120"/>
              <w:jc w:val="right"/>
              <w:rPr>
                <w:sz w:val="20"/>
                <w:szCs w:val="20"/>
                <w:lang w:val="lv-LV"/>
              </w:rPr>
            </w:pPr>
            <w:r w:rsidRPr="005E5EDB">
              <w:rPr>
                <w:sz w:val="20"/>
                <w:szCs w:val="20"/>
              </w:rPr>
              <w:t xml:space="preserve">Projektēšanas un demontāžas plāna izstrādes darbi, </w:t>
            </w:r>
            <w:r w:rsidRPr="005E5EDB">
              <w:rPr>
                <w:b/>
                <w:sz w:val="20"/>
                <w:szCs w:val="20"/>
              </w:rPr>
              <w:t>t.sk. kodolreaktora demontāžas plāna, būvprojekta izstrāde un saskaņošana ar attiecīgajām iestādēm un autoruzraudzība</w:t>
            </w:r>
          </w:p>
        </w:tc>
        <w:tc>
          <w:tcPr>
            <w:tcW w:w="1289" w:type="dxa"/>
          </w:tcPr>
          <w:p w:rsidR="007716A8" w:rsidRPr="00FE4DAA" w:rsidRDefault="007716A8" w:rsidP="000C208E">
            <w:pPr>
              <w:spacing w:after="120"/>
              <w:jc w:val="center"/>
              <w:rPr>
                <w:sz w:val="20"/>
                <w:szCs w:val="20"/>
              </w:rPr>
            </w:pPr>
            <w:r w:rsidRPr="00FE4DAA">
              <w:rPr>
                <w:sz w:val="20"/>
                <w:szCs w:val="20"/>
              </w:rPr>
              <w:t>-</w:t>
            </w:r>
          </w:p>
        </w:tc>
        <w:tc>
          <w:tcPr>
            <w:tcW w:w="1194" w:type="dxa"/>
          </w:tcPr>
          <w:p w:rsidR="007716A8" w:rsidRPr="00FE4DAA" w:rsidRDefault="007716A8" w:rsidP="000C208E">
            <w:pPr>
              <w:spacing w:after="120"/>
              <w:jc w:val="center"/>
              <w:rPr>
                <w:sz w:val="20"/>
                <w:szCs w:val="20"/>
              </w:rPr>
            </w:pPr>
            <w:r w:rsidRPr="00FE4DAA">
              <w:rPr>
                <w:sz w:val="20"/>
                <w:szCs w:val="20"/>
              </w:rPr>
              <w:t>-</w:t>
            </w:r>
          </w:p>
        </w:tc>
        <w:tc>
          <w:tcPr>
            <w:tcW w:w="1194" w:type="dxa"/>
          </w:tcPr>
          <w:p w:rsidR="007716A8" w:rsidRPr="00FE4DAA" w:rsidRDefault="007716A8" w:rsidP="000C208E">
            <w:pPr>
              <w:spacing w:after="120"/>
              <w:jc w:val="center"/>
              <w:rPr>
                <w:sz w:val="20"/>
                <w:szCs w:val="20"/>
              </w:rPr>
            </w:pPr>
            <w:r w:rsidRPr="00FE4DAA">
              <w:rPr>
                <w:sz w:val="20"/>
                <w:szCs w:val="20"/>
              </w:rPr>
              <w:t>1 400 000</w:t>
            </w:r>
          </w:p>
        </w:tc>
        <w:tc>
          <w:tcPr>
            <w:tcW w:w="1194" w:type="dxa"/>
          </w:tcPr>
          <w:p w:rsidR="007716A8" w:rsidRPr="00FE4DAA" w:rsidRDefault="007716A8" w:rsidP="000C208E">
            <w:pPr>
              <w:spacing w:after="120"/>
              <w:jc w:val="center"/>
              <w:rPr>
                <w:b/>
                <w:sz w:val="20"/>
                <w:szCs w:val="20"/>
              </w:rPr>
            </w:pPr>
            <w:r w:rsidRPr="00FE4DAA">
              <w:rPr>
                <w:b/>
                <w:sz w:val="20"/>
                <w:szCs w:val="20"/>
              </w:rPr>
              <w:t>1 400 000</w:t>
            </w:r>
          </w:p>
        </w:tc>
      </w:tr>
      <w:tr w:rsidR="007716A8" w:rsidRPr="00FE4DAA" w:rsidTr="000C208E">
        <w:trPr>
          <w:trHeight w:val="432"/>
        </w:trPr>
        <w:tc>
          <w:tcPr>
            <w:tcW w:w="3998" w:type="dxa"/>
          </w:tcPr>
          <w:p w:rsidR="007716A8" w:rsidRPr="00FE4DAA" w:rsidRDefault="007716A8" w:rsidP="000C208E">
            <w:pPr>
              <w:spacing w:after="120"/>
              <w:jc w:val="right"/>
              <w:rPr>
                <w:sz w:val="20"/>
                <w:szCs w:val="20"/>
              </w:rPr>
            </w:pPr>
            <w:proofErr w:type="spellStart"/>
            <w:r w:rsidRPr="00FE4DAA">
              <w:rPr>
                <w:sz w:val="20"/>
                <w:szCs w:val="20"/>
              </w:rPr>
              <w:t>Izpildīto</w:t>
            </w:r>
            <w:proofErr w:type="spellEnd"/>
            <w:r w:rsidRPr="00FE4DAA">
              <w:rPr>
                <w:sz w:val="20"/>
                <w:szCs w:val="20"/>
              </w:rPr>
              <w:t xml:space="preserve"> </w:t>
            </w:r>
            <w:proofErr w:type="spellStart"/>
            <w:r w:rsidRPr="00FE4DAA">
              <w:rPr>
                <w:sz w:val="20"/>
                <w:szCs w:val="20"/>
              </w:rPr>
              <w:t>darbu</w:t>
            </w:r>
            <w:proofErr w:type="spellEnd"/>
            <w:r w:rsidRPr="00FE4DAA">
              <w:rPr>
                <w:sz w:val="20"/>
                <w:szCs w:val="20"/>
              </w:rPr>
              <w:t xml:space="preserve"> </w:t>
            </w:r>
            <w:proofErr w:type="spellStart"/>
            <w:r w:rsidRPr="00FE4DAA">
              <w:rPr>
                <w:sz w:val="20"/>
                <w:szCs w:val="20"/>
              </w:rPr>
              <w:t>ekspertīze</w:t>
            </w:r>
            <w:proofErr w:type="spellEnd"/>
          </w:p>
        </w:tc>
        <w:tc>
          <w:tcPr>
            <w:tcW w:w="1289" w:type="dxa"/>
          </w:tcPr>
          <w:p w:rsidR="007716A8" w:rsidRPr="00FE4DAA" w:rsidRDefault="007716A8" w:rsidP="000C208E">
            <w:pPr>
              <w:spacing w:after="120"/>
              <w:jc w:val="center"/>
              <w:rPr>
                <w:sz w:val="20"/>
                <w:szCs w:val="20"/>
              </w:rPr>
            </w:pPr>
            <w:r w:rsidRPr="00FE4DAA">
              <w:rPr>
                <w:sz w:val="20"/>
                <w:szCs w:val="20"/>
              </w:rPr>
              <w:t>-</w:t>
            </w:r>
          </w:p>
        </w:tc>
        <w:tc>
          <w:tcPr>
            <w:tcW w:w="1194" w:type="dxa"/>
          </w:tcPr>
          <w:p w:rsidR="007716A8" w:rsidRPr="00FE4DAA" w:rsidRDefault="007716A8" w:rsidP="000C208E">
            <w:pPr>
              <w:spacing w:after="120"/>
              <w:jc w:val="center"/>
              <w:rPr>
                <w:sz w:val="20"/>
                <w:szCs w:val="20"/>
              </w:rPr>
            </w:pPr>
            <w:r w:rsidRPr="00FE4DAA">
              <w:rPr>
                <w:sz w:val="20"/>
                <w:szCs w:val="20"/>
              </w:rPr>
              <w:t>-</w:t>
            </w:r>
          </w:p>
        </w:tc>
        <w:tc>
          <w:tcPr>
            <w:tcW w:w="1194" w:type="dxa"/>
          </w:tcPr>
          <w:p w:rsidR="007716A8" w:rsidRPr="00FE4DAA" w:rsidRDefault="007716A8" w:rsidP="000C208E">
            <w:pPr>
              <w:spacing w:after="120"/>
              <w:jc w:val="center"/>
              <w:rPr>
                <w:sz w:val="20"/>
                <w:szCs w:val="20"/>
              </w:rPr>
            </w:pPr>
            <w:r w:rsidRPr="00FE4DAA">
              <w:rPr>
                <w:sz w:val="20"/>
                <w:szCs w:val="20"/>
              </w:rPr>
              <w:t>5 000</w:t>
            </w:r>
          </w:p>
        </w:tc>
        <w:tc>
          <w:tcPr>
            <w:tcW w:w="1194" w:type="dxa"/>
          </w:tcPr>
          <w:p w:rsidR="007716A8" w:rsidRPr="00FE4DAA" w:rsidRDefault="007716A8" w:rsidP="000C208E">
            <w:pPr>
              <w:spacing w:after="120"/>
              <w:jc w:val="center"/>
              <w:rPr>
                <w:b/>
                <w:sz w:val="20"/>
                <w:szCs w:val="20"/>
              </w:rPr>
            </w:pPr>
            <w:r w:rsidRPr="00FE4DAA">
              <w:rPr>
                <w:b/>
                <w:sz w:val="20"/>
                <w:szCs w:val="20"/>
              </w:rPr>
              <w:t>5 000</w:t>
            </w:r>
          </w:p>
        </w:tc>
      </w:tr>
      <w:tr w:rsidR="007716A8" w:rsidRPr="00FE4DAA" w:rsidTr="000C208E">
        <w:trPr>
          <w:trHeight w:val="432"/>
        </w:trPr>
        <w:tc>
          <w:tcPr>
            <w:tcW w:w="3998" w:type="dxa"/>
          </w:tcPr>
          <w:p w:rsidR="007716A8" w:rsidRPr="00FE4DAA" w:rsidRDefault="007716A8" w:rsidP="000C208E">
            <w:pPr>
              <w:spacing w:after="120"/>
              <w:jc w:val="right"/>
              <w:rPr>
                <w:sz w:val="20"/>
                <w:szCs w:val="20"/>
              </w:rPr>
            </w:pPr>
            <w:proofErr w:type="spellStart"/>
            <w:r w:rsidRPr="00FE4DAA">
              <w:rPr>
                <w:sz w:val="20"/>
                <w:szCs w:val="20"/>
              </w:rPr>
              <w:t>Būvprojekta</w:t>
            </w:r>
            <w:proofErr w:type="spellEnd"/>
            <w:r w:rsidRPr="00FE4DAA">
              <w:rPr>
                <w:sz w:val="20"/>
                <w:szCs w:val="20"/>
              </w:rPr>
              <w:t xml:space="preserve"> </w:t>
            </w:r>
            <w:proofErr w:type="spellStart"/>
            <w:r w:rsidRPr="00FE4DAA">
              <w:rPr>
                <w:sz w:val="20"/>
                <w:szCs w:val="20"/>
              </w:rPr>
              <w:t>ekspertīze</w:t>
            </w:r>
            <w:proofErr w:type="spellEnd"/>
          </w:p>
        </w:tc>
        <w:tc>
          <w:tcPr>
            <w:tcW w:w="1289" w:type="dxa"/>
          </w:tcPr>
          <w:p w:rsidR="007716A8" w:rsidRPr="00FE4DAA" w:rsidRDefault="007716A8" w:rsidP="000C208E">
            <w:pPr>
              <w:spacing w:after="120"/>
              <w:jc w:val="center"/>
              <w:rPr>
                <w:sz w:val="20"/>
                <w:szCs w:val="20"/>
              </w:rPr>
            </w:pPr>
            <w:r w:rsidRPr="00FE4DAA">
              <w:rPr>
                <w:sz w:val="20"/>
                <w:szCs w:val="20"/>
              </w:rPr>
              <w:t>-</w:t>
            </w:r>
          </w:p>
        </w:tc>
        <w:tc>
          <w:tcPr>
            <w:tcW w:w="1194" w:type="dxa"/>
          </w:tcPr>
          <w:p w:rsidR="007716A8" w:rsidRPr="00FE4DAA" w:rsidRDefault="007716A8" w:rsidP="000C208E">
            <w:pPr>
              <w:spacing w:after="120"/>
              <w:jc w:val="center"/>
              <w:rPr>
                <w:sz w:val="20"/>
                <w:szCs w:val="20"/>
              </w:rPr>
            </w:pPr>
            <w:r w:rsidRPr="00FE4DAA">
              <w:rPr>
                <w:sz w:val="20"/>
                <w:szCs w:val="20"/>
              </w:rPr>
              <w:t>-</w:t>
            </w:r>
          </w:p>
        </w:tc>
        <w:tc>
          <w:tcPr>
            <w:tcW w:w="1194" w:type="dxa"/>
          </w:tcPr>
          <w:p w:rsidR="007716A8" w:rsidRPr="00FE4DAA" w:rsidRDefault="007716A8" w:rsidP="000C208E">
            <w:pPr>
              <w:spacing w:after="120"/>
              <w:jc w:val="center"/>
              <w:rPr>
                <w:sz w:val="20"/>
                <w:szCs w:val="20"/>
              </w:rPr>
            </w:pPr>
            <w:r w:rsidRPr="00FE4DAA">
              <w:rPr>
                <w:sz w:val="20"/>
                <w:szCs w:val="20"/>
              </w:rPr>
              <w:t>25 000</w:t>
            </w:r>
          </w:p>
        </w:tc>
        <w:tc>
          <w:tcPr>
            <w:tcW w:w="1194" w:type="dxa"/>
          </w:tcPr>
          <w:p w:rsidR="007716A8" w:rsidRPr="00FE4DAA" w:rsidRDefault="007716A8" w:rsidP="000C208E">
            <w:pPr>
              <w:spacing w:after="120"/>
              <w:jc w:val="center"/>
              <w:rPr>
                <w:b/>
                <w:sz w:val="20"/>
                <w:szCs w:val="20"/>
              </w:rPr>
            </w:pPr>
            <w:r w:rsidRPr="00FE4DAA">
              <w:rPr>
                <w:b/>
                <w:sz w:val="20"/>
                <w:szCs w:val="20"/>
              </w:rPr>
              <w:t>25 000</w:t>
            </w:r>
          </w:p>
        </w:tc>
      </w:tr>
      <w:tr w:rsidR="007716A8" w:rsidRPr="00FE4DAA" w:rsidTr="000C208E">
        <w:trPr>
          <w:trHeight w:val="432"/>
        </w:trPr>
        <w:tc>
          <w:tcPr>
            <w:tcW w:w="3998" w:type="dxa"/>
            <w:shd w:val="clear" w:color="auto" w:fill="D9D9D9" w:themeFill="background1" w:themeFillShade="D9"/>
            <w:vAlign w:val="center"/>
          </w:tcPr>
          <w:p w:rsidR="007716A8" w:rsidRPr="00FE4DAA" w:rsidRDefault="007716A8" w:rsidP="000C208E">
            <w:pPr>
              <w:spacing w:after="120"/>
              <w:jc w:val="right"/>
              <w:rPr>
                <w:b/>
                <w:sz w:val="20"/>
                <w:szCs w:val="20"/>
              </w:rPr>
            </w:pPr>
            <w:proofErr w:type="spellStart"/>
            <w:r w:rsidRPr="00FE4DAA">
              <w:rPr>
                <w:b/>
                <w:sz w:val="20"/>
                <w:szCs w:val="20"/>
              </w:rPr>
              <w:t>Kopā</w:t>
            </w:r>
            <w:proofErr w:type="spellEnd"/>
            <w:r w:rsidRPr="00FE4DAA">
              <w:rPr>
                <w:b/>
                <w:sz w:val="20"/>
                <w:szCs w:val="20"/>
              </w:rPr>
              <w:t>:</w:t>
            </w:r>
          </w:p>
        </w:tc>
        <w:tc>
          <w:tcPr>
            <w:tcW w:w="1289" w:type="dxa"/>
            <w:shd w:val="clear" w:color="auto" w:fill="D9D9D9" w:themeFill="background1" w:themeFillShade="D9"/>
            <w:vAlign w:val="center"/>
          </w:tcPr>
          <w:p w:rsidR="007716A8" w:rsidRPr="00751713" w:rsidRDefault="007716A8" w:rsidP="000C208E">
            <w:pPr>
              <w:spacing w:after="120"/>
              <w:jc w:val="center"/>
              <w:rPr>
                <w:b/>
                <w:sz w:val="20"/>
                <w:szCs w:val="20"/>
              </w:rPr>
            </w:pPr>
            <w:r w:rsidRPr="00751713">
              <w:rPr>
                <w:b/>
                <w:sz w:val="20"/>
                <w:szCs w:val="20"/>
              </w:rPr>
              <w:t>30 000</w:t>
            </w:r>
          </w:p>
        </w:tc>
        <w:tc>
          <w:tcPr>
            <w:tcW w:w="1194" w:type="dxa"/>
            <w:shd w:val="clear" w:color="auto" w:fill="D9D9D9" w:themeFill="background1" w:themeFillShade="D9"/>
            <w:vAlign w:val="center"/>
          </w:tcPr>
          <w:p w:rsidR="007716A8" w:rsidRPr="00751713" w:rsidRDefault="007716A8" w:rsidP="000C208E">
            <w:pPr>
              <w:spacing w:after="120"/>
              <w:jc w:val="center"/>
              <w:rPr>
                <w:b/>
                <w:sz w:val="20"/>
                <w:szCs w:val="20"/>
              </w:rPr>
            </w:pPr>
            <w:r w:rsidRPr="00751713">
              <w:rPr>
                <w:b/>
                <w:sz w:val="20"/>
                <w:szCs w:val="20"/>
              </w:rPr>
              <w:t>1 817 402</w:t>
            </w:r>
          </w:p>
        </w:tc>
        <w:tc>
          <w:tcPr>
            <w:tcW w:w="1194" w:type="dxa"/>
            <w:shd w:val="clear" w:color="auto" w:fill="D9D9D9" w:themeFill="background1" w:themeFillShade="D9"/>
            <w:vAlign w:val="center"/>
          </w:tcPr>
          <w:p w:rsidR="007716A8" w:rsidRPr="00FE4DAA" w:rsidRDefault="007716A8" w:rsidP="000C208E">
            <w:pPr>
              <w:spacing w:after="120"/>
              <w:jc w:val="center"/>
              <w:rPr>
                <w:b/>
                <w:sz w:val="20"/>
                <w:szCs w:val="20"/>
              </w:rPr>
            </w:pPr>
            <w:r w:rsidRPr="00FE4DAA">
              <w:rPr>
                <w:b/>
                <w:sz w:val="20"/>
                <w:szCs w:val="20"/>
              </w:rPr>
              <w:t>1</w:t>
            </w:r>
            <w:r>
              <w:rPr>
                <w:b/>
                <w:sz w:val="20"/>
                <w:szCs w:val="20"/>
              </w:rPr>
              <w:t> 6</w:t>
            </w:r>
            <w:r w:rsidRPr="00FE4DAA">
              <w:rPr>
                <w:b/>
                <w:sz w:val="20"/>
                <w:szCs w:val="20"/>
              </w:rPr>
              <w:t>42 598</w:t>
            </w:r>
          </w:p>
        </w:tc>
        <w:tc>
          <w:tcPr>
            <w:tcW w:w="1194" w:type="dxa"/>
            <w:shd w:val="clear" w:color="auto" w:fill="D9D9D9" w:themeFill="background1" w:themeFillShade="D9"/>
            <w:vAlign w:val="center"/>
          </w:tcPr>
          <w:p w:rsidR="007716A8" w:rsidRPr="00FE4DAA" w:rsidRDefault="007716A8" w:rsidP="000C208E">
            <w:pPr>
              <w:spacing w:after="120"/>
              <w:jc w:val="center"/>
              <w:rPr>
                <w:b/>
                <w:sz w:val="20"/>
                <w:szCs w:val="20"/>
              </w:rPr>
            </w:pPr>
            <w:r>
              <w:rPr>
                <w:b/>
                <w:sz w:val="20"/>
                <w:szCs w:val="20"/>
              </w:rPr>
              <w:t>3 4</w:t>
            </w:r>
            <w:r w:rsidRPr="00FE4DAA">
              <w:rPr>
                <w:b/>
                <w:sz w:val="20"/>
                <w:szCs w:val="20"/>
              </w:rPr>
              <w:t>90 000</w:t>
            </w:r>
          </w:p>
        </w:tc>
      </w:tr>
    </w:tbl>
    <w:p w:rsidR="007716A8" w:rsidRDefault="007716A8" w:rsidP="007716A8">
      <w:pPr>
        <w:spacing w:after="120"/>
        <w:ind w:firstLine="600"/>
        <w:jc w:val="both"/>
        <w:rPr>
          <w:sz w:val="28"/>
          <w:szCs w:val="28"/>
        </w:rPr>
        <w:sectPr w:rsidR="007716A8" w:rsidSect="00C464DD">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134" w:left="1701" w:header="720" w:footer="720" w:gutter="0"/>
          <w:pgNumType w:start="1"/>
          <w:cols w:space="720"/>
          <w:titlePg/>
          <w:docGrid w:linePitch="360"/>
        </w:sectPr>
      </w:pPr>
    </w:p>
    <w:p w:rsidR="007716A8" w:rsidRDefault="007716A8" w:rsidP="007716A8">
      <w:pPr>
        <w:spacing w:after="120"/>
        <w:jc w:val="center"/>
        <w:rPr>
          <w:b/>
          <w:szCs w:val="28"/>
        </w:rPr>
      </w:pPr>
      <w:r w:rsidRPr="00DD20C4">
        <w:rPr>
          <w:b/>
          <w:szCs w:val="28"/>
        </w:rPr>
        <w:lastRenderedPageBreak/>
        <w:t xml:space="preserve">Plānotais </w:t>
      </w:r>
      <w:r>
        <w:rPr>
          <w:b/>
          <w:szCs w:val="28"/>
        </w:rPr>
        <w:t>laika grafiks</w:t>
      </w:r>
      <w:r w:rsidRPr="00F40C92">
        <w:rPr>
          <w:b/>
          <w:szCs w:val="28"/>
        </w:rPr>
        <w:t xml:space="preserve"> iepirkumu </w:t>
      </w:r>
      <w:r>
        <w:rPr>
          <w:b/>
          <w:szCs w:val="28"/>
        </w:rPr>
        <w:t>“</w:t>
      </w:r>
      <w:r w:rsidRPr="00F40C92">
        <w:rPr>
          <w:b/>
          <w:szCs w:val="28"/>
        </w:rPr>
        <w:t xml:space="preserve">Jaunas radioaktīvo atkritumu tvertnes, ilgtermiņa glabātavas un esošo radioaktīvo atkritumu tvertņu pārsegšanas projekta izstrāde radioaktīvo atkritumu glabātavai “Radons”” un “Salaspils kodolreaktora izpētes </w:t>
      </w:r>
      <w:r>
        <w:rPr>
          <w:b/>
          <w:szCs w:val="28"/>
        </w:rPr>
        <w:t xml:space="preserve">un demontāžas projekta izstrāde” </w:t>
      </w:r>
      <w:r w:rsidRPr="00DD20C4">
        <w:rPr>
          <w:b/>
          <w:szCs w:val="28"/>
        </w:rPr>
        <w:t>īstenošanai</w:t>
      </w:r>
      <w:r>
        <w:rPr>
          <w:b/>
          <w:szCs w:val="28"/>
        </w:rPr>
        <w:t xml:space="preserve"> atbilstoši</w:t>
      </w:r>
      <w:r w:rsidRPr="00B24551">
        <w:t xml:space="preserve"> </w:t>
      </w:r>
      <w:r>
        <w:rPr>
          <w:b/>
          <w:szCs w:val="28"/>
        </w:rPr>
        <w:t>LVĢMC sniegtajai informācijai</w:t>
      </w:r>
    </w:p>
    <w:p w:rsidR="007716A8" w:rsidRPr="003A128E" w:rsidRDefault="007716A8" w:rsidP="007716A8">
      <w:pPr>
        <w:spacing w:after="120"/>
        <w:ind w:firstLine="600"/>
        <w:jc w:val="right"/>
        <w:rPr>
          <w:sz w:val="22"/>
          <w:szCs w:val="28"/>
        </w:rPr>
      </w:pPr>
      <w:r w:rsidRPr="003A128E">
        <w:rPr>
          <w:sz w:val="22"/>
          <w:szCs w:val="28"/>
        </w:rPr>
        <w:t>Tabula Nr. </w:t>
      </w:r>
      <w:r>
        <w:rPr>
          <w:sz w:val="22"/>
          <w:szCs w:val="28"/>
        </w:rPr>
        <w:t>5</w:t>
      </w:r>
    </w:p>
    <w:tbl>
      <w:tblPr>
        <w:tblW w:w="4723" w:type="pct"/>
        <w:jc w:val="center"/>
        <w:tblLayout w:type="fixed"/>
        <w:tblLook w:val="04A0" w:firstRow="1" w:lastRow="0" w:firstColumn="1" w:lastColumn="0" w:noHBand="0" w:noVBand="1"/>
      </w:tblPr>
      <w:tblGrid>
        <w:gridCol w:w="2612"/>
        <w:gridCol w:w="365"/>
        <w:gridCol w:w="338"/>
        <w:gridCol w:w="348"/>
        <w:gridCol w:w="348"/>
        <w:gridCol w:w="348"/>
        <w:gridCol w:w="353"/>
        <w:gridCol w:w="361"/>
        <w:gridCol w:w="340"/>
        <w:gridCol w:w="353"/>
        <w:gridCol w:w="356"/>
        <w:gridCol w:w="356"/>
        <w:gridCol w:w="361"/>
        <w:gridCol w:w="340"/>
        <w:gridCol w:w="348"/>
        <w:gridCol w:w="361"/>
        <w:gridCol w:w="356"/>
        <w:gridCol w:w="356"/>
        <w:gridCol w:w="340"/>
        <w:gridCol w:w="356"/>
        <w:gridCol w:w="356"/>
        <w:gridCol w:w="340"/>
        <w:gridCol w:w="340"/>
        <w:gridCol w:w="340"/>
        <w:gridCol w:w="356"/>
        <w:gridCol w:w="356"/>
        <w:gridCol w:w="345"/>
        <w:gridCol w:w="356"/>
        <w:gridCol w:w="356"/>
        <w:gridCol w:w="348"/>
        <w:gridCol w:w="353"/>
        <w:gridCol w:w="345"/>
      </w:tblGrid>
      <w:tr w:rsidR="007716A8" w:rsidTr="000C208E">
        <w:trPr>
          <w:cantSplit/>
          <w:trHeight w:val="453"/>
          <w:jc w:val="center"/>
        </w:trPr>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6A8" w:rsidRPr="002A617C" w:rsidRDefault="007716A8" w:rsidP="000C208E">
            <w:pPr>
              <w:rPr>
                <w:b/>
                <w:color w:val="000000"/>
                <w:sz w:val="20"/>
                <w:szCs w:val="20"/>
              </w:rPr>
            </w:pPr>
            <w:r w:rsidRPr="00747B14">
              <w:rPr>
                <w:b/>
                <w:color w:val="000000"/>
                <w:sz w:val="22"/>
                <w:szCs w:val="20"/>
              </w:rPr>
              <w:t>Aktivitāte/ mēneši</w:t>
            </w:r>
          </w:p>
        </w:tc>
        <w:tc>
          <w:tcPr>
            <w:tcW w:w="135"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716A8" w:rsidRPr="009B0DEA" w:rsidRDefault="007716A8" w:rsidP="000C208E">
            <w:pPr>
              <w:ind w:left="113" w:right="113"/>
              <w:jc w:val="center"/>
              <w:rPr>
                <w:b/>
                <w:color w:val="000000"/>
                <w:sz w:val="16"/>
                <w:szCs w:val="16"/>
              </w:rPr>
            </w:pPr>
            <w:r w:rsidRPr="009B0DEA">
              <w:rPr>
                <w:b/>
                <w:color w:val="000000"/>
                <w:sz w:val="16"/>
                <w:szCs w:val="16"/>
              </w:rPr>
              <w:t>1</w:t>
            </w:r>
          </w:p>
        </w:tc>
        <w:tc>
          <w:tcPr>
            <w:tcW w:w="125"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716A8" w:rsidRPr="009B0DEA" w:rsidRDefault="007716A8" w:rsidP="000C208E">
            <w:pPr>
              <w:ind w:left="113" w:right="113"/>
              <w:jc w:val="center"/>
              <w:rPr>
                <w:b/>
                <w:color w:val="000000"/>
                <w:sz w:val="16"/>
                <w:szCs w:val="16"/>
              </w:rPr>
            </w:pPr>
            <w:r w:rsidRPr="009B0DEA">
              <w:rPr>
                <w:b/>
                <w:color w:val="000000"/>
                <w:sz w:val="16"/>
                <w:szCs w:val="16"/>
              </w:rPr>
              <w:t>2</w:t>
            </w:r>
          </w:p>
        </w:tc>
        <w:tc>
          <w:tcPr>
            <w:tcW w:w="129"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716A8" w:rsidRPr="009B0DEA" w:rsidRDefault="007716A8" w:rsidP="000C208E">
            <w:pPr>
              <w:ind w:left="113" w:right="113"/>
              <w:jc w:val="center"/>
              <w:rPr>
                <w:b/>
                <w:color w:val="000000"/>
                <w:sz w:val="16"/>
                <w:szCs w:val="16"/>
              </w:rPr>
            </w:pPr>
            <w:r w:rsidRPr="009B0DEA">
              <w:rPr>
                <w:b/>
                <w:color w:val="000000"/>
                <w:sz w:val="16"/>
                <w:szCs w:val="16"/>
              </w:rPr>
              <w:t>3</w:t>
            </w:r>
          </w:p>
        </w:tc>
        <w:tc>
          <w:tcPr>
            <w:tcW w:w="129"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716A8" w:rsidRPr="009B0DEA" w:rsidRDefault="007716A8" w:rsidP="000C208E">
            <w:pPr>
              <w:ind w:left="113" w:right="113"/>
              <w:jc w:val="center"/>
              <w:rPr>
                <w:b/>
                <w:color w:val="000000"/>
                <w:sz w:val="16"/>
                <w:szCs w:val="16"/>
              </w:rPr>
            </w:pPr>
            <w:r w:rsidRPr="009B0DEA">
              <w:rPr>
                <w:b/>
                <w:color w:val="000000"/>
                <w:sz w:val="16"/>
                <w:szCs w:val="16"/>
              </w:rPr>
              <w:t>4</w:t>
            </w:r>
          </w:p>
        </w:tc>
        <w:tc>
          <w:tcPr>
            <w:tcW w:w="129"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716A8" w:rsidRPr="009B0DEA" w:rsidRDefault="007716A8" w:rsidP="000C208E">
            <w:pPr>
              <w:ind w:left="113" w:right="113"/>
              <w:jc w:val="center"/>
              <w:rPr>
                <w:b/>
                <w:color w:val="000000"/>
                <w:sz w:val="16"/>
                <w:szCs w:val="16"/>
              </w:rPr>
            </w:pPr>
            <w:r w:rsidRPr="009B0DEA">
              <w:rPr>
                <w:b/>
                <w:color w:val="000000"/>
                <w:sz w:val="16"/>
                <w:szCs w:val="16"/>
              </w:rPr>
              <w:t>5</w:t>
            </w:r>
          </w:p>
        </w:tc>
        <w:tc>
          <w:tcPr>
            <w:tcW w:w="131"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716A8" w:rsidRPr="009B0DEA" w:rsidRDefault="007716A8" w:rsidP="000C208E">
            <w:pPr>
              <w:ind w:left="113" w:right="113"/>
              <w:jc w:val="center"/>
              <w:rPr>
                <w:b/>
                <w:color w:val="000000"/>
                <w:sz w:val="16"/>
                <w:szCs w:val="16"/>
              </w:rPr>
            </w:pPr>
            <w:r w:rsidRPr="009B0DEA">
              <w:rPr>
                <w:b/>
                <w:color w:val="000000"/>
                <w:sz w:val="16"/>
                <w:szCs w:val="16"/>
              </w:rPr>
              <w:t>6</w:t>
            </w:r>
          </w:p>
        </w:tc>
        <w:tc>
          <w:tcPr>
            <w:tcW w:w="134"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716A8" w:rsidRPr="009B0DEA" w:rsidRDefault="007716A8" w:rsidP="000C208E">
            <w:pPr>
              <w:ind w:left="113" w:right="113"/>
              <w:jc w:val="center"/>
              <w:rPr>
                <w:b/>
                <w:color w:val="000000"/>
                <w:sz w:val="16"/>
                <w:szCs w:val="16"/>
              </w:rPr>
            </w:pPr>
            <w:r w:rsidRPr="009B0DEA">
              <w:rPr>
                <w:b/>
                <w:color w:val="000000"/>
                <w:sz w:val="16"/>
                <w:szCs w:val="16"/>
              </w:rPr>
              <w:t>7</w:t>
            </w:r>
          </w:p>
        </w:tc>
        <w:tc>
          <w:tcPr>
            <w:tcW w:w="126"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716A8" w:rsidRPr="009B0DEA" w:rsidRDefault="007716A8" w:rsidP="000C208E">
            <w:pPr>
              <w:ind w:left="113" w:right="113"/>
              <w:jc w:val="center"/>
              <w:rPr>
                <w:b/>
                <w:color w:val="000000"/>
                <w:sz w:val="16"/>
                <w:szCs w:val="16"/>
              </w:rPr>
            </w:pPr>
            <w:r w:rsidRPr="009B0DEA">
              <w:rPr>
                <w:b/>
                <w:color w:val="000000"/>
                <w:sz w:val="16"/>
                <w:szCs w:val="16"/>
              </w:rPr>
              <w:t>8</w:t>
            </w:r>
          </w:p>
        </w:tc>
        <w:tc>
          <w:tcPr>
            <w:tcW w:w="131"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716A8" w:rsidRPr="009B0DEA" w:rsidRDefault="007716A8" w:rsidP="000C208E">
            <w:pPr>
              <w:ind w:left="113" w:right="113"/>
              <w:jc w:val="center"/>
              <w:rPr>
                <w:b/>
                <w:color w:val="000000"/>
                <w:sz w:val="16"/>
                <w:szCs w:val="16"/>
              </w:rPr>
            </w:pPr>
            <w:r w:rsidRPr="009B0DEA">
              <w:rPr>
                <w:b/>
                <w:color w:val="000000"/>
                <w:sz w:val="16"/>
                <w:szCs w:val="16"/>
              </w:rPr>
              <w:t>9</w:t>
            </w:r>
          </w:p>
        </w:tc>
        <w:tc>
          <w:tcPr>
            <w:tcW w:w="132"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716A8" w:rsidRPr="009B0DEA" w:rsidRDefault="007716A8" w:rsidP="000C208E">
            <w:pPr>
              <w:ind w:left="113" w:right="113"/>
              <w:jc w:val="center"/>
              <w:rPr>
                <w:b/>
                <w:color w:val="000000"/>
                <w:sz w:val="16"/>
                <w:szCs w:val="16"/>
              </w:rPr>
            </w:pPr>
            <w:r w:rsidRPr="009B0DEA">
              <w:rPr>
                <w:b/>
                <w:color w:val="000000"/>
                <w:sz w:val="16"/>
                <w:szCs w:val="16"/>
              </w:rPr>
              <w:t>10</w:t>
            </w:r>
          </w:p>
        </w:tc>
        <w:tc>
          <w:tcPr>
            <w:tcW w:w="132"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716A8" w:rsidRPr="009B0DEA" w:rsidRDefault="007716A8" w:rsidP="000C208E">
            <w:pPr>
              <w:ind w:left="113" w:right="113"/>
              <w:jc w:val="center"/>
              <w:rPr>
                <w:b/>
                <w:color w:val="000000"/>
                <w:sz w:val="16"/>
                <w:szCs w:val="16"/>
              </w:rPr>
            </w:pPr>
            <w:r w:rsidRPr="009B0DEA">
              <w:rPr>
                <w:b/>
                <w:color w:val="000000"/>
                <w:sz w:val="16"/>
                <w:szCs w:val="16"/>
              </w:rPr>
              <w:t>11</w:t>
            </w:r>
          </w:p>
        </w:tc>
        <w:tc>
          <w:tcPr>
            <w:tcW w:w="134"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716A8" w:rsidRPr="009B0DEA" w:rsidRDefault="007716A8" w:rsidP="000C208E">
            <w:pPr>
              <w:ind w:left="113" w:right="113"/>
              <w:jc w:val="center"/>
              <w:rPr>
                <w:b/>
                <w:color w:val="000000"/>
                <w:sz w:val="16"/>
                <w:szCs w:val="16"/>
              </w:rPr>
            </w:pPr>
            <w:r w:rsidRPr="009B0DEA">
              <w:rPr>
                <w:b/>
                <w:color w:val="000000"/>
                <w:sz w:val="16"/>
                <w:szCs w:val="16"/>
              </w:rPr>
              <w:t>12</w:t>
            </w:r>
          </w:p>
        </w:tc>
        <w:tc>
          <w:tcPr>
            <w:tcW w:w="126"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716A8" w:rsidRPr="009B0DEA" w:rsidRDefault="007716A8" w:rsidP="000C208E">
            <w:pPr>
              <w:ind w:left="113" w:right="113"/>
              <w:jc w:val="center"/>
              <w:rPr>
                <w:b/>
                <w:color w:val="000000"/>
                <w:sz w:val="16"/>
                <w:szCs w:val="16"/>
              </w:rPr>
            </w:pPr>
            <w:r w:rsidRPr="009B0DEA">
              <w:rPr>
                <w:b/>
                <w:color w:val="000000"/>
                <w:sz w:val="16"/>
                <w:szCs w:val="16"/>
              </w:rPr>
              <w:t>13</w:t>
            </w:r>
          </w:p>
        </w:tc>
        <w:tc>
          <w:tcPr>
            <w:tcW w:w="129"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716A8" w:rsidRPr="009B0DEA" w:rsidRDefault="007716A8" w:rsidP="000C208E">
            <w:pPr>
              <w:ind w:left="113" w:right="113"/>
              <w:jc w:val="center"/>
              <w:rPr>
                <w:b/>
                <w:color w:val="000000"/>
                <w:sz w:val="16"/>
                <w:szCs w:val="16"/>
              </w:rPr>
            </w:pPr>
            <w:r w:rsidRPr="009B0DEA">
              <w:rPr>
                <w:b/>
                <w:color w:val="000000"/>
                <w:sz w:val="16"/>
                <w:szCs w:val="16"/>
              </w:rPr>
              <w:t>14</w:t>
            </w:r>
          </w:p>
        </w:tc>
        <w:tc>
          <w:tcPr>
            <w:tcW w:w="134"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716A8" w:rsidRPr="009B0DEA" w:rsidRDefault="007716A8" w:rsidP="000C208E">
            <w:pPr>
              <w:ind w:left="113" w:right="113"/>
              <w:jc w:val="center"/>
              <w:rPr>
                <w:b/>
                <w:color w:val="000000"/>
                <w:sz w:val="16"/>
                <w:szCs w:val="16"/>
              </w:rPr>
            </w:pPr>
            <w:r w:rsidRPr="009B0DEA">
              <w:rPr>
                <w:b/>
                <w:color w:val="000000"/>
                <w:sz w:val="16"/>
                <w:szCs w:val="16"/>
              </w:rPr>
              <w:t>15</w:t>
            </w:r>
          </w:p>
        </w:tc>
        <w:tc>
          <w:tcPr>
            <w:tcW w:w="132"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716A8" w:rsidRPr="009B0DEA" w:rsidRDefault="007716A8" w:rsidP="000C208E">
            <w:pPr>
              <w:ind w:left="113" w:right="113"/>
              <w:jc w:val="center"/>
              <w:rPr>
                <w:b/>
                <w:color w:val="000000"/>
                <w:sz w:val="16"/>
                <w:szCs w:val="16"/>
              </w:rPr>
            </w:pPr>
            <w:r w:rsidRPr="009B0DEA">
              <w:rPr>
                <w:b/>
                <w:color w:val="000000"/>
                <w:sz w:val="16"/>
                <w:szCs w:val="16"/>
              </w:rPr>
              <w:t>16</w:t>
            </w:r>
          </w:p>
        </w:tc>
        <w:tc>
          <w:tcPr>
            <w:tcW w:w="132"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716A8" w:rsidRPr="009B0DEA" w:rsidRDefault="007716A8" w:rsidP="000C208E">
            <w:pPr>
              <w:ind w:left="113" w:right="113"/>
              <w:jc w:val="center"/>
              <w:rPr>
                <w:b/>
                <w:color w:val="000000"/>
                <w:sz w:val="16"/>
                <w:szCs w:val="16"/>
              </w:rPr>
            </w:pPr>
            <w:r w:rsidRPr="009B0DEA">
              <w:rPr>
                <w:b/>
                <w:color w:val="000000"/>
                <w:sz w:val="16"/>
                <w:szCs w:val="16"/>
              </w:rPr>
              <w:t>17</w:t>
            </w:r>
          </w:p>
        </w:tc>
        <w:tc>
          <w:tcPr>
            <w:tcW w:w="126"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716A8" w:rsidRPr="009B0DEA" w:rsidRDefault="007716A8" w:rsidP="000C208E">
            <w:pPr>
              <w:ind w:left="113" w:right="113"/>
              <w:jc w:val="center"/>
              <w:rPr>
                <w:b/>
                <w:color w:val="000000"/>
                <w:sz w:val="16"/>
                <w:szCs w:val="16"/>
              </w:rPr>
            </w:pPr>
            <w:r w:rsidRPr="009B0DEA">
              <w:rPr>
                <w:b/>
                <w:color w:val="000000"/>
                <w:sz w:val="16"/>
                <w:szCs w:val="16"/>
              </w:rPr>
              <w:t>18</w:t>
            </w:r>
          </w:p>
        </w:tc>
        <w:tc>
          <w:tcPr>
            <w:tcW w:w="132"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716A8" w:rsidRPr="009B0DEA" w:rsidRDefault="007716A8" w:rsidP="000C208E">
            <w:pPr>
              <w:ind w:left="113" w:right="113"/>
              <w:jc w:val="center"/>
              <w:rPr>
                <w:b/>
                <w:color w:val="000000"/>
                <w:sz w:val="16"/>
                <w:szCs w:val="16"/>
              </w:rPr>
            </w:pPr>
            <w:r w:rsidRPr="009B0DEA">
              <w:rPr>
                <w:b/>
                <w:color w:val="000000"/>
                <w:sz w:val="16"/>
                <w:szCs w:val="16"/>
              </w:rPr>
              <w:t>19</w:t>
            </w:r>
          </w:p>
        </w:tc>
        <w:tc>
          <w:tcPr>
            <w:tcW w:w="132"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716A8" w:rsidRPr="009B0DEA" w:rsidRDefault="007716A8" w:rsidP="000C208E">
            <w:pPr>
              <w:ind w:left="113" w:right="113"/>
              <w:jc w:val="center"/>
              <w:rPr>
                <w:b/>
                <w:color w:val="000000"/>
                <w:sz w:val="16"/>
                <w:szCs w:val="16"/>
              </w:rPr>
            </w:pPr>
            <w:r w:rsidRPr="009B0DEA">
              <w:rPr>
                <w:b/>
                <w:color w:val="000000"/>
                <w:sz w:val="16"/>
                <w:szCs w:val="16"/>
              </w:rPr>
              <w:t>20</w:t>
            </w:r>
          </w:p>
        </w:tc>
        <w:tc>
          <w:tcPr>
            <w:tcW w:w="126"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716A8" w:rsidRPr="009B0DEA" w:rsidRDefault="007716A8" w:rsidP="000C208E">
            <w:pPr>
              <w:ind w:left="113" w:right="113"/>
              <w:jc w:val="center"/>
              <w:rPr>
                <w:b/>
                <w:color w:val="000000"/>
                <w:sz w:val="16"/>
                <w:szCs w:val="16"/>
              </w:rPr>
            </w:pPr>
            <w:r w:rsidRPr="009B0DEA">
              <w:rPr>
                <w:b/>
                <w:color w:val="000000"/>
                <w:sz w:val="16"/>
                <w:szCs w:val="16"/>
              </w:rPr>
              <w:t>21</w:t>
            </w:r>
          </w:p>
        </w:tc>
        <w:tc>
          <w:tcPr>
            <w:tcW w:w="126"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716A8" w:rsidRPr="009B0DEA" w:rsidRDefault="007716A8" w:rsidP="000C208E">
            <w:pPr>
              <w:ind w:left="113" w:right="113"/>
              <w:jc w:val="center"/>
              <w:rPr>
                <w:b/>
                <w:color w:val="000000"/>
                <w:sz w:val="16"/>
                <w:szCs w:val="16"/>
              </w:rPr>
            </w:pPr>
            <w:r w:rsidRPr="009B0DEA">
              <w:rPr>
                <w:b/>
                <w:color w:val="000000"/>
                <w:sz w:val="16"/>
                <w:szCs w:val="16"/>
              </w:rPr>
              <w:t>22</w:t>
            </w:r>
          </w:p>
        </w:tc>
        <w:tc>
          <w:tcPr>
            <w:tcW w:w="126"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716A8" w:rsidRPr="009B0DEA" w:rsidRDefault="007716A8" w:rsidP="000C208E">
            <w:pPr>
              <w:ind w:left="113" w:right="113"/>
              <w:jc w:val="center"/>
              <w:rPr>
                <w:b/>
                <w:color w:val="000000"/>
                <w:sz w:val="16"/>
                <w:szCs w:val="16"/>
              </w:rPr>
            </w:pPr>
            <w:r w:rsidRPr="009B0DEA">
              <w:rPr>
                <w:b/>
                <w:color w:val="000000"/>
                <w:sz w:val="16"/>
                <w:szCs w:val="16"/>
              </w:rPr>
              <w:t>23</w:t>
            </w:r>
          </w:p>
        </w:tc>
        <w:tc>
          <w:tcPr>
            <w:tcW w:w="132"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716A8" w:rsidRPr="009B0DEA" w:rsidRDefault="007716A8" w:rsidP="000C208E">
            <w:pPr>
              <w:ind w:left="113" w:right="113"/>
              <w:jc w:val="center"/>
              <w:rPr>
                <w:b/>
                <w:color w:val="000000"/>
                <w:sz w:val="16"/>
                <w:szCs w:val="16"/>
              </w:rPr>
            </w:pPr>
            <w:r w:rsidRPr="009B0DEA">
              <w:rPr>
                <w:b/>
                <w:color w:val="000000"/>
                <w:sz w:val="16"/>
                <w:szCs w:val="16"/>
              </w:rPr>
              <w:t>24</w:t>
            </w:r>
          </w:p>
        </w:tc>
        <w:tc>
          <w:tcPr>
            <w:tcW w:w="132"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716A8" w:rsidRPr="009B0DEA" w:rsidRDefault="007716A8" w:rsidP="000C208E">
            <w:pPr>
              <w:ind w:left="113" w:right="113"/>
              <w:jc w:val="center"/>
              <w:rPr>
                <w:b/>
                <w:color w:val="000000"/>
                <w:sz w:val="16"/>
                <w:szCs w:val="16"/>
              </w:rPr>
            </w:pPr>
            <w:r w:rsidRPr="009B0DEA">
              <w:rPr>
                <w:b/>
                <w:color w:val="000000"/>
                <w:sz w:val="16"/>
                <w:szCs w:val="16"/>
              </w:rPr>
              <w:t>25</w:t>
            </w:r>
          </w:p>
        </w:tc>
        <w:tc>
          <w:tcPr>
            <w:tcW w:w="128"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716A8" w:rsidRPr="009B0DEA" w:rsidRDefault="007716A8" w:rsidP="000C208E">
            <w:pPr>
              <w:ind w:left="113" w:right="113"/>
              <w:jc w:val="center"/>
              <w:rPr>
                <w:b/>
                <w:color w:val="000000"/>
                <w:sz w:val="16"/>
                <w:szCs w:val="16"/>
              </w:rPr>
            </w:pPr>
            <w:r w:rsidRPr="009B0DEA">
              <w:rPr>
                <w:b/>
                <w:color w:val="000000"/>
                <w:sz w:val="16"/>
                <w:szCs w:val="16"/>
              </w:rPr>
              <w:t>26</w:t>
            </w:r>
          </w:p>
        </w:tc>
        <w:tc>
          <w:tcPr>
            <w:tcW w:w="132"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716A8" w:rsidRPr="009B0DEA" w:rsidRDefault="007716A8" w:rsidP="000C208E">
            <w:pPr>
              <w:ind w:left="113" w:right="113"/>
              <w:jc w:val="center"/>
              <w:rPr>
                <w:b/>
                <w:color w:val="000000"/>
                <w:sz w:val="16"/>
                <w:szCs w:val="16"/>
              </w:rPr>
            </w:pPr>
            <w:r w:rsidRPr="009B0DEA">
              <w:rPr>
                <w:b/>
                <w:color w:val="000000"/>
                <w:sz w:val="16"/>
                <w:szCs w:val="16"/>
              </w:rPr>
              <w:t>27</w:t>
            </w:r>
          </w:p>
        </w:tc>
        <w:tc>
          <w:tcPr>
            <w:tcW w:w="132"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716A8" w:rsidRPr="009B0DEA" w:rsidRDefault="007716A8" w:rsidP="000C208E">
            <w:pPr>
              <w:ind w:left="113" w:right="113"/>
              <w:jc w:val="center"/>
              <w:rPr>
                <w:b/>
                <w:color w:val="000000"/>
                <w:sz w:val="16"/>
                <w:szCs w:val="16"/>
              </w:rPr>
            </w:pPr>
            <w:r w:rsidRPr="009B0DEA">
              <w:rPr>
                <w:b/>
                <w:color w:val="000000"/>
                <w:sz w:val="16"/>
                <w:szCs w:val="16"/>
              </w:rPr>
              <w:t>28</w:t>
            </w:r>
          </w:p>
        </w:tc>
        <w:tc>
          <w:tcPr>
            <w:tcW w:w="129"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716A8" w:rsidRPr="009B0DEA" w:rsidRDefault="007716A8" w:rsidP="000C208E">
            <w:pPr>
              <w:ind w:left="113" w:right="113"/>
              <w:jc w:val="center"/>
              <w:rPr>
                <w:b/>
                <w:color w:val="000000"/>
                <w:sz w:val="16"/>
                <w:szCs w:val="16"/>
              </w:rPr>
            </w:pPr>
            <w:r w:rsidRPr="009B0DEA">
              <w:rPr>
                <w:b/>
                <w:color w:val="000000"/>
                <w:sz w:val="16"/>
                <w:szCs w:val="16"/>
              </w:rPr>
              <w:t>29</w:t>
            </w:r>
          </w:p>
        </w:tc>
        <w:tc>
          <w:tcPr>
            <w:tcW w:w="131" w:type="pct"/>
            <w:tcBorders>
              <w:top w:val="single" w:sz="4" w:space="0" w:color="auto"/>
              <w:left w:val="nil"/>
              <w:bottom w:val="single" w:sz="4" w:space="0" w:color="auto"/>
              <w:right w:val="single" w:sz="4" w:space="0" w:color="auto"/>
            </w:tcBorders>
            <w:textDirection w:val="btLr"/>
          </w:tcPr>
          <w:p w:rsidR="007716A8" w:rsidRPr="009B0DEA" w:rsidRDefault="007716A8" w:rsidP="000C208E">
            <w:pPr>
              <w:ind w:left="113" w:right="113"/>
              <w:jc w:val="center"/>
              <w:rPr>
                <w:b/>
                <w:color w:val="000000"/>
                <w:sz w:val="16"/>
                <w:szCs w:val="16"/>
              </w:rPr>
            </w:pPr>
            <w:r>
              <w:rPr>
                <w:b/>
                <w:color w:val="000000"/>
                <w:sz w:val="16"/>
                <w:szCs w:val="16"/>
              </w:rPr>
              <w:t>30</w:t>
            </w:r>
          </w:p>
        </w:tc>
        <w:tc>
          <w:tcPr>
            <w:tcW w:w="128" w:type="pct"/>
            <w:tcBorders>
              <w:top w:val="single" w:sz="4" w:space="0" w:color="auto"/>
              <w:left w:val="nil"/>
              <w:bottom w:val="single" w:sz="4" w:space="0" w:color="auto"/>
              <w:right w:val="single" w:sz="4" w:space="0" w:color="auto"/>
            </w:tcBorders>
            <w:textDirection w:val="btLr"/>
          </w:tcPr>
          <w:p w:rsidR="007716A8" w:rsidRPr="009B0DEA" w:rsidRDefault="007716A8" w:rsidP="000C208E">
            <w:pPr>
              <w:ind w:left="113" w:right="113"/>
              <w:jc w:val="center"/>
              <w:rPr>
                <w:b/>
                <w:color w:val="000000"/>
                <w:sz w:val="16"/>
                <w:szCs w:val="16"/>
              </w:rPr>
            </w:pPr>
            <w:r>
              <w:rPr>
                <w:b/>
                <w:color w:val="000000"/>
                <w:sz w:val="16"/>
                <w:szCs w:val="16"/>
              </w:rPr>
              <w:t>31</w:t>
            </w:r>
          </w:p>
        </w:tc>
      </w:tr>
      <w:tr w:rsidR="00472112" w:rsidTr="000C208E">
        <w:trPr>
          <w:trHeight w:val="1077"/>
          <w:jc w:val="center"/>
        </w:trPr>
        <w:tc>
          <w:tcPr>
            <w:tcW w:w="968" w:type="pct"/>
            <w:tcBorders>
              <w:top w:val="single" w:sz="4" w:space="0" w:color="auto"/>
              <w:left w:val="single" w:sz="4" w:space="0" w:color="auto"/>
              <w:bottom w:val="single" w:sz="4" w:space="0" w:color="auto"/>
              <w:right w:val="single" w:sz="4" w:space="0" w:color="auto"/>
            </w:tcBorders>
            <w:shd w:val="clear" w:color="auto" w:fill="auto"/>
            <w:hideMark/>
          </w:tcPr>
          <w:p w:rsidR="007716A8" w:rsidRPr="00541594" w:rsidRDefault="007716A8" w:rsidP="000C208E">
            <w:pPr>
              <w:rPr>
                <w:b/>
                <w:color w:val="000000"/>
                <w:sz w:val="20"/>
                <w:szCs w:val="20"/>
              </w:rPr>
            </w:pPr>
            <w:r w:rsidRPr="00541594">
              <w:rPr>
                <w:b/>
                <w:color w:val="000000"/>
                <w:sz w:val="20"/>
                <w:szCs w:val="20"/>
              </w:rPr>
              <w:t>1. Jaunas radioaktīvo atkritumu tvertnes un ilgtermiņa glabātavas būvprojekta izstrāde radioaktīvo atkritumu glabātavā “Radons”</w:t>
            </w:r>
          </w:p>
        </w:tc>
        <w:tc>
          <w:tcPr>
            <w:tcW w:w="135"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5"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1"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4"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1"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4"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4"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8"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1" w:type="pct"/>
            <w:tcBorders>
              <w:top w:val="single" w:sz="4" w:space="0" w:color="auto"/>
              <w:left w:val="single" w:sz="4" w:space="0" w:color="auto"/>
              <w:bottom w:val="single" w:sz="4" w:space="0" w:color="auto"/>
              <w:right w:val="single" w:sz="4" w:space="0" w:color="auto"/>
            </w:tcBorders>
            <w:shd w:val="clear" w:color="auto" w:fill="4472C4" w:themeFill="accent5"/>
          </w:tcPr>
          <w:p w:rsidR="007716A8" w:rsidRPr="004B7970" w:rsidRDefault="007716A8" w:rsidP="000C208E">
            <w:pPr>
              <w:rPr>
                <w:rFonts w:ascii="Calibri" w:hAnsi="Calibri"/>
                <w:color w:val="000000"/>
                <w:sz w:val="16"/>
                <w:szCs w:val="16"/>
              </w:rPr>
            </w:pPr>
          </w:p>
        </w:tc>
        <w:tc>
          <w:tcPr>
            <w:tcW w:w="128" w:type="pct"/>
            <w:tcBorders>
              <w:top w:val="single" w:sz="4" w:space="0" w:color="auto"/>
              <w:left w:val="single" w:sz="4" w:space="0" w:color="auto"/>
              <w:bottom w:val="single" w:sz="4" w:space="0" w:color="auto"/>
              <w:right w:val="single" w:sz="4" w:space="0" w:color="auto"/>
            </w:tcBorders>
            <w:shd w:val="clear" w:color="auto" w:fill="4472C4" w:themeFill="accent5"/>
          </w:tcPr>
          <w:p w:rsidR="007716A8" w:rsidRPr="004B7970" w:rsidRDefault="007716A8" w:rsidP="000C208E">
            <w:pPr>
              <w:rPr>
                <w:rFonts w:ascii="Calibri" w:hAnsi="Calibri"/>
                <w:color w:val="000000"/>
                <w:sz w:val="16"/>
                <w:szCs w:val="16"/>
              </w:rPr>
            </w:pPr>
          </w:p>
        </w:tc>
      </w:tr>
      <w:tr w:rsidR="007716A8" w:rsidTr="000C208E">
        <w:trPr>
          <w:trHeight w:val="611"/>
          <w:jc w:val="center"/>
        </w:trPr>
        <w:tc>
          <w:tcPr>
            <w:tcW w:w="968" w:type="pct"/>
            <w:tcBorders>
              <w:top w:val="single" w:sz="4" w:space="0" w:color="auto"/>
              <w:left w:val="single" w:sz="4" w:space="0" w:color="auto"/>
              <w:bottom w:val="single" w:sz="4" w:space="0" w:color="auto"/>
              <w:right w:val="single" w:sz="4" w:space="0" w:color="auto"/>
            </w:tcBorders>
            <w:shd w:val="clear" w:color="auto" w:fill="auto"/>
            <w:hideMark/>
          </w:tcPr>
          <w:p w:rsidR="007716A8" w:rsidRPr="002A617C" w:rsidRDefault="007716A8" w:rsidP="000C208E">
            <w:pPr>
              <w:jc w:val="right"/>
              <w:rPr>
                <w:color w:val="000000"/>
                <w:sz w:val="20"/>
                <w:szCs w:val="20"/>
              </w:rPr>
            </w:pPr>
            <w:r w:rsidRPr="002A617C">
              <w:rPr>
                <w:color w:val="000000"/>
                <w:sz w:val="20"/>
                <w:szCs w:val="20"/>
              </w:rPr>
              <w:t>1.1</w:t>
            </w:r>
            <w:r>
              <w:rPr>
                <w:color w:val="000000"/>
                <w:sz w:val="20"/>
                <w:szCs w:val="20"/>
              </w:rPr>
              <w:t>. </w:t>
            </w:r>
            <w:r w:rsidRPr="002A617C">
              <w:rPr>
                <w:color w:val="000000"/>
                <w:sz w:val="20"/>
                <w:szCs w:val="20"/>
              </w:rPr>
              <w:t>piedāvājumu saņemšana un izvērtēšana, atzinumu sagatavošana</w:t>
            </w:r>
          </w:p>
        </w:tc>
        <w:tc>
          <w:tcPr>
            <w:tcW w:w="135" w:type="pct"/>
            <w:tcBorders>
              <w:top w:val="single" w:sz="4" w:space="0" w:color="auto"/>
              <w:left w:val="nil"/>
              <w:bottom w:val="single" w:sz="4" w:space="0" w:color="auto"/>
              <w:right w:val="single" w:sz="4" w:space="0" w:color="auto"/>
            </w:tcBorders>
            <w:shd w:val="clear" w:color="auto" w:fill="A5A5A5" w:themeFill="accent3"/>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5" w:type="pct"/>
            <w:tcBorders>
              <w:top w:val="single" w:sz="4" w:space="0" w:color="auto"/>
              <w:left w:val="nil"/>
              <w:bottom w:val="single" w:sz="4" w:space="0" w:color="auto"/>
              <w:right w:val="single" w:sz="4" w:space="0" w:color="auto"/>
            </w:tcBorders>
            <w:shd w:val="clear" w:color="auto" w:fill="A5A5A5" w:themeFill="accent3"/>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A5A5A5" w:themeFill="accent3"/>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A5A5A5" w:themeFill="accent3"/>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A5A5A5" w:themeFill="accent3"/>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1" w:type="pct"/>
            <w:tcBorders>
              <w:top w:val="single" w:sz="4" w:space="0" w:color="auto"/>
              <w:left w:val="nil"/>
              <w:bottom w:val="single" w:sz="4" w:space="0" w:color="auto"/>
              <w:right w:val="single" w:sz="4" w:space="0" w:color="auto"/>
            </w:tcBorders>
            <w:shd w:val="clear" w:color="auto" w:fill="A5A5A5" w:themeFill="accent3"/>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4"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1"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4"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4"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1" w:type="pct"/>
            <w:tcBorders>
              <w:top w:val="single" w:sz="4" w:space="0" w:color="auto"/>
              <w:left w:val="single" w:sz="4" w:space="0" w:color="auto"/>
              <w:bottom w:val="single" w:sz="4" w:space="0" w:color="auto"/>
              <w:right w:val="single" w:sz="4" w:space="0" w:color="auto"/>
            </w:tcBorders>
          </w:tcPr>
          <w:p w:rsidR="007716A8" w:rsidRPr="004B7970" w:rsidRDefault="007716A8" w:rsidP="000C208E">
            <w:pPr>
              <w:rPr>
                <w:rFonts w:ascii="Calibri" w:hAnsi="Calibri"/>
                <w:color w:val="000000"/>
                <w:sz w:val="16"/>
                <w:szCs w:val="16"/>
              </w:rPr>
            </w:pPr>
          </w:p>
        </w:tc>
        <w:tc>
          <w:tcPr>
            <w:tcW w:w="128" w:type="pct"/>
            <w:tcBorders>
              <w:top w:val="single" w:sz="4" w:space="0" w:color="auto"/>
              <w:left w:val="single" w:sz="4" w:space="0" w:color="auto"/>
              <w:bottom w:val="single" w:sz="4" w:space="0" w:color="auto"/>
              <w:right w:val="single" w:sz="4" w:space="0" w:color="auto"/>
            </w:tcBorders>
          </w:tcPr>
          <w:p w:rsidR="007716A8" w:rsidRPr="004B7970" w:rsidRDefault="007716A8" w:rsidP="000C208E">
            <w:pPr>
              <w:rPr>
                <w:rFonts w:ascii="Calibri" w:hAnsi="Calibri"/>
                <w:color w:val="000000"/>
                <w:sz w:val="16"/>
                <w:szCs w:val="16"/>
              </w:rPr>
            </w:pPr>
          </w:p>
        </w:tc>
      </w:tr>
      <w:tr w:rsidR="007716A8" w:rsidTr="000C208E">
        <w:trPr>
          <w:trHeight w:val="346"/>
          <w:jc w:val="center"/>
        </w:trPr>
        <w:tc>
          <w:tcPr>
            <w:tcW w:w="968" w:type="pct"/>
            <w:tcBorders>
              <w:top w:val="single" w:sz="4" w:space="0" w:color="auto"/>
              <w:left w:val="single" w:sz="4" w:space="0" w:color="auto"/>
              <w:bottom w:val="single" w:sz="4" w:space="0" w:color="auto"/>
              <w:right w:val="single" w:sz="4" w:space="0" w:color="auto"/>
            </w:tcBorders>
            <w:shd w:val="clear" w:color="auto" w:fill="auto"/>
            <w:hideMark/>
          </w:tcPr>
          <w:p w:rsidR="007716A8" w:rsidRPr="002A617C" w:rsidRDefault="007716A8" w:rsidP="000C208E">
            <w:pPr>
              <w:jc w:val="right"/>
              <w:rPr>
                <w:color w:val="000000"/>
                <w:sz w:val="20"/>
                <w:szCs w:val="20"/>
              </w:rPr>
            </w:pPr>
            <w:r w:rsidRPr="002A617C">
              <w:rPr>
                <w:color w:val="000000"/>
                <w:sz w:val="20"/>
                <w:szCs w:val="20"/>
              </w:rPr>
              <w:t>1.2</w:t>
            </w:r>
            <w:r>
              <w:rPr>
                <w:color w:val="000000"/>
                <w:sz w:val="20"/>
                <w:szCs w:val="20"/>
              </w:rPr>
              <w:t>. </w:t>
            </w:r>
            <w:r w:rsidRPr="002A617C">
              <w:rPr>
                <w:color w:val="000000"/>
                <w:sz w:val="20"/>
                <w:szCs w:val="20"/>
              </w:rPr>
              <w:t>līguma noslēgšana</w:t>
            </w:r>
          </w:p>
        </w:tc>
        <w:tc>
          <w:tcPr>
            <w:tcW w:w="135"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5"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1"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4" w:type="pct"/>
            <w:tcBorders>
              <w:top w:val="single" w:sz="4" w:space="0" w:color="auto"/>
              <w:left w:val="nil"/>
              <w:bottom w:val="single" w:sz="4" w:space="0" w:color="auto"/>
              <w:right w:val="single" w:sz="4" w:space="0" w:color="auto"/>
            </w:tcBorders>
            <w:shd w:val="clear" w:color="auto" w:fill="70AD47" w:themeFill="accent6"/>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1"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4"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4"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1" w:type="pct"/>
            <w:tcBorders>
              <w:top w:val="single" w:sz="4" w:space="0" w:color="auto"/>
              <w:left w:val="single" w:sz="4" w:space="0" w:color="auto"/>
              <w:bottom w:val="single" w:sz="4" w:space="0" w:color="auto"/>
              <w:right w:val="single" w:sz="4" w:space="0" w:color="auto"/>
            </w:tcBorders>
          </w:tcPr>
          <w:p w:rsidR="007716A8" w:rsidRPr="004B7970" w:rsidRDefault="007716A8" w:rsidP="000C208E">
            <w:pPr>
              <w:rPr>
                <w:rFonts w:ascii="Calibri" w:hAnsi="Calibri"/>
                <w:color w:val="000000"/>
                <w:sz w:val="16"/>
                <w:szCs w:val="16"/>
              </w:rPr>
            </w:pPr>
          </w:p>
        </w:tc>
        <w:tc>
          <w:tcPr>
            <w:tcW w:w="128" w:type="pct"/>
            <w:tcBorders>
              <w:top w:val="single" w:sz="4" w:space="0" w:color="auto"/>
              <w:left w:val="single" w:sz="4" w:space="0" w:color="auto"/>
              <w:bottom w:val="single" w:sz="4" w:space="0" w:color="auto"/>
              <w:right w:val="single" w:sz="4" w:space="0" w:color="auto"/>
            </w:tcBorders>
          </w:tcPr>
          <w:p w:rsidR="007716A8" w:rsidRPr="004B7970" w:rsidRDefault="007716A8" w:rsidP="000C208E">
            <w:pPr>
              <w:rPr>
                <w:rFonts w:ascii="Calibri" w:hAnsi="Calibri"/>
                <w:color w:val="000000"/>
                <w:sz w:val="16"/>
                <w:szCs w:val="16"/>
              </w:rPr>
            </w:pPr>
          </w:p>
        </w:tc>
      </w:tr>
      <w:tr w:rsidR="007716A8" w:rsidTr="000C208E">
        <w:trPr>
          <w:trHeight w:val="349"/>
          <w:jc w:val="center"/>
        </w:trPr>
        <w:tc>
          <w:tcPr>
            <w:tcW w:w="968" w:type="pct"/>
            <w:tcBorders>
              <w:top w:val="single" w:sz="4" w:space="0" w:color="auto"/>
              <w:left w:val="single" w:sz="4" w:space="0" w:color="auto"/>
              <w:bottom w:val="single" w:sz="4" w:space="0" w:color="auto"/>
              <w:right w:val="single" w:sz="4" w:space="0" w:color="auto"/>
            </w:tcBorders>
            <w:shd w:val="clear" w:color="auto" w:fill="auto"/>
            <w:hideMark/>
          </w:tcPr>
          <w:p w:rsidR="007716A8" w:rsidRPr="002A617C" w:rsidRDefault="007716A8" w:rsidP="000C208E">
            <w:pPr>
              <w:jc w:val="right"/>
              <w:rPr>
                <w:color w:val="000000"/>
                <w:sz w:val="20"/>
                <w:szCs w:val="20"/>
              </w:rPr>
            </w:pPr>
            <w:r w:rsidRPr="002A617C">
              <w:rPr>
                <w:color w:val="000000"/>
                <w:sz w:val="20"/>
                <w:szCs w:val="20"/>
              </w:rPr>
              <w:t>1.3</w:t>
            </w:r>
            <w:r>
              <w:rPr>
                <w:color w:val="000000"/>
                <w:sz w:val="20"/>
                <w:szCs w:val="20"/>
              </w:rPr>
              <w:t>. </w:t>
            </w:r>
            <w:r w:rsidRPr="002A617C">
              <w:rPr>
                <w:color w:val="000000"/>
                <w:sz w:val="20"/>
                <w:szCs w:val="20"/>
              </w:rPr>
              <w:t>projektēšana</w:t>
            </w:r>
          </w:p>
        </w:tc>
        <w:tc>
          <w:tcPr>
            <w:tcW w:w="135"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5"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1"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4"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ED7D31" w:themeFill="accent2"/>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1" w:type="pct"/>
            <w:tcBorders>
              <w:top w:val="single" w:sz="4" w:space="0" w:color="auto"/>
              <w:left w:val="nil"/>
              <w:bottom w:val="single" w:sz="4" w:space="0" w:color="auto"/>
              <w:right w:val="single" w:sz="4" w:space="0" w:color="auto"/>
            </w:tcBorders>
            <w:shd w:val="clear" w:color="auto" w:fill="ED7D31" w:themeFill="accent2"/>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ED7D31" w:themeFill="accent2"/>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ED7D31" w:themeFill="accent2"/>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4" w:type="pct"/>
            <w:tcBorders>
              <w:top w:val="single" w:sz="4" w:space="0" w:color="auto"/>
              <w:left w:val="nil"/>
              <w:bottom w:val="single" w:sz="4" w:space="0" w:color="auto"/>
              <w:right w:val="single" w:sz="4" w:space="0" w:color="auto"/>
            </w:tcBorders>
            <w:shd w:val="clear" w:color="auto" w:fill="ED7D31" w:themeFill="accent2"/>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ED7D31" w:themeFill="accent2"/>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ED7D31" w:themeFill="accent2"/>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4" w:type="pct"/>
            <w:tcBorders>
              <w:top w:val="single" w:sz="4" w:space="0" w:color="auto"/>
              <w:left w:val="nil"/>
              <w:bottom w:val="single" w:sz="4" w:space="0" w:color="auto"/>
              <w:right w:val="single" w:sz="4" w:space="0" w:color="auto"/>
            </w:tcBorders>
            <w:shd w:val="clear" w:color="auto" w:fill="ED7D31" w:themeFill="accent2"/>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ED7D31" w:themeFill="accent2"/>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ED7D31" w:themeFill="accent2"/>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ED7D31" w:themeFill="accent2"/>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ED7D31" w:themeFill="accent2"/>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1" w:type="pct"/>
            <w:tcBorders>
              <w:top w:val="single" w:sz="4" w:space="0" w:color="auto"/>
              <w:left w:val="single" w:sz="4" w:space="0" w:color="auto"/>
              <w:bottom w:val="single" w:sz="4" w:space="0" w:color="auto"/>
              <w:right w:val="single" w:sz="4" w:space="0" w:color="auto"/>
            </w:tcBorders>
          </w:tcPr>
          <w:p w:rsidR="007716A8" w:rsidRPr="004B7970" w:rsidRDefault="007716A8" w:rsidP="000C208E">
            <w:pPr>
              <w:rPr>
                <w:rFonts w:ascii="Calibri" w:hAnsi="Calibri"/>
                <w:color w:val="000000"/>
                <w:sz w:val="16"/>
                <w:szCs w:val="16"/>
              </w:rPr>
            </w:pPr>
          </w:p>
        </w:tc>
        <w:tc>
          <w:tcPr>
            <w:tcW w:w="128" w:type="pct"/>
            <w:tcBorders>
              <w:top w:val="single" w:sz="4" w:space="0" w:color="auto"/>
              <w:left w:val="single" w:sz="4" w:space="0" w:color="auto"/>
              <w:bottom w:val="single" w:sz="4" w:space="0" w:color="auto"/>
              <w:right w:val="single" w:sz="4" w:space="0" w:color="auto"/>
            </w:tcBorders>
          </w:tcPr>
          <w:p w:rsidR="007716A8" w:rsidRPr="004B7970" w:rsidRDefault="007716A8" w:rsidP="000C208E">
            <w:pPr>
              <w:rPr>
                <w:rFonts w:ascii="Calibri" w:hAnsi="Calibri"/>
                <w:color w:val="000000"/>
                <w:sz w:val="16"/>
                <w:szCs w:val="16"/>
              </w:rPr>
            </w:pPr>
          </w:p>
        </w:tc>
      </w:tr>
      <w:tr w:rsidR="00472112" w:rsidTr="000C208E">
        <w:trPr>
          <w:trHeight w:val="393"/>
          <w:jc w:val="center"/>
        </w:trPr>
        <w:tc>
          <w:tcPr>
            <w:tcW w:w="968" w:type="pct"/>
            <w:tcBorders>
              <w:top w:val="single" w:sz="4" w:space="0" w:color="auto"/>
              <w:left w:val="single" w:sz="4" w:space="0" w:color="auto"/>
              <w:bottom w:val="single" w:sz="4" w:space="0" w:color="auto"/>
              <w:right w:val="single" w:sz="4" w:space="0" w:color="auto"/>
            </w:tcBorders>
            <w:shd w:val="clear" w:color="auto" w:fill="auto"/>
            <w:noWrap/>
            <w:hideMark/>
          </w:tcPr>
          <w:p w:rsidR="007716A8" w:rsidRPr="00541594" w:rsidRDefault="007716A8" w:rsidP="000C208E">
            <w:pPr>
              <w:rPr>
                <w:b/>
                <w:color w:val="000000"/>
                <w:sz w:val="20"/>
                <w:szCs w:val="20"/>
              </w:rPr>
            </w:pPr>
            <w:r w:rsidRPr="00541594">
              <w:rPr>
                <w:b/>
                <w:color w:val="000000"/>
                <w:sz w:val="20"/>
                <w:szCs w:val="20"/>
              </w:rPr>
              <w:t>2. Salaspils kodolreaktora likvidācija</w:t>
            </w:r>
          </w:p>
        </w:tc>
        <w:tc>
          <w:tcPr>
            <w:tcW w:w="135"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5"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1"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4"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1"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4"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4"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8"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4472C4" w:themeFill="accent5"/>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1" w:type="pct"/>
            <w:tcBorders>
              <w:top w:val="single" w:sz="4" w:space="0" w:color="auto"/>
              <w:left w:val="nil"/>
              <w:bottom w:val="single" w:sz="4" w:space="0" w:color="auto"/>
              <w:right w:val="single" w:sz="4" w:space="0" w:color="auto"/>
            </w:tcBorders>
            <w:shd w:val="clear" w:color="auto" w:fill="4472C4" w:themeFill="accent5"/>
          </w:tcPr>
          <w:p w:rsidR="007716A8" w:rsidRPr="004B7970" w:rsidRDefault="007716A8" w:rsidP="000C208E">
            <w:pPr>
              <w:rPr>
                <w:rFonts w:ascii="Calibri" w:hAnsi="Calibri"/>
                <w:color w:val="000000"/>
                <w:sz w:val="16"/>
                <w:szCs w:val="16"/>
              </w:rPr>
            </w:pPr>
          </w:p>
        </w:tc>
        <w:tc>
          <w:tcPr>
            <w:tcW w:w="128" w:type="pct"/>
            <w:tcBorders>
              <w:top w:val="single" w:sz="4" w:space="0" w:color="auto"/>
              <w:left w:val="nil"/>
              <w:bottom w:val="single" w:sz="4" w:space="0" w:color="auto"/>
              <w:right w:val="single" w:sz="4" w:space="0" w:color="auto"/>
            </w:tcBorders>
            <w:shd w:val="clear" w:color="auto" w:fill="4472C4" w:themeFill="accent5"/>
          </w:tcPr>
          <w:p w:rsidR="007716A8" w:rsidRPr="004B7970" w:rsidRDefault="007716A8" w:rsidP="000C208E">
            <w:pPr>
              <w:rPr>
                <w:rFonts w:ascii="Calibri" w:hAnsi="Calibri"/>
                <w:color w:val="000000"/>
                <w:sz w:val="16"/>
                <w:szCs w:val="16"/>
              </w:rPr>
            </w:pPr>
          </w:p>
        </w:tc>
      </w:tr>
      <w:tr w:rsidR="007716A8" w:rsidTr="000C208E">
        <w:trPr>
          <w:trHeight w:val="529"/>
          <w:jc w:val="center"/>
        </w:trPr>
        <w:tc>
          <w:tcPr>
            <w:tcW w:w="968" w:type="pct"/>
            <w:tcBorders>
              <w:top w:val="single" w:sz="4" w:space="0" w:color="auto"/>
              <w:left w:val="single" w:sz="4" w:space="0" w:color="auto"/>
              <w:bottom w:val="single" w:sz="4" w:space="0" w:color="auto"/>
              <w:right w:val="single" w:sz="4" w:space="0" w:color="auto"/>
            </w:tcBorders>
            <w:shd w:val="clear" w:color="auto" w:fill="auto"/>
            <w:hideMark/>
          </w:tcPr>
          <w:p w:rsidR="007716A8" w:rsidRPr="002A617C" w:rsidRDefault="007716A8" w:rsidP="000C208E">
            <w:pPr>
              <w:jc w:val="right"/>
              <w:rPr>
                <w:color w:val="000000"/>
                <w:sz w:val="20"/>
                <w:szCs w:val="20"/>
              </w:rPr>
            </w:pPr>
            <w:r w:rsidRPr="002A617C">
              <w:rPr>
                <w:color w:val="000000"/>
                <w:sz w:val="20"/>
                <w:szCs w:val="20"/>
              </w:rPr>
              <w:t>2.1</w:t>
            </w:r>
            <w:r>
              <w:rPr>
                <w:color w:val="000000"/>
                <w:sz w:val="20"/>
                <w:szCs w:val="20"/>
              </w:rPr>
              <w:t>. </w:t>
            </w:r>
            <w:r w:rsidRPr="002A617C">
              <w:rPr>
                <w:color w:val="000000"/>
                <w:sz w:val="20"/>
                <w:szCs w:val="20"/>
              </w:rPr>
              <w:t>piedāvājumu saņemšana un izvērtēšana, atzinumu sagatavošana</w:t>
            </w:r>
          </w:p>
        </w:tc>
        <w:tc>
          <w:tcPr>
            <w:tcW w:w="135" w:type="pct"/>
            <w:tcBorders>
              <w:top w:val="single" w:sz="4" w:space="0" w:color="auto"/>
              <w:left w:val="nil"/>
              <w:bottom w:val="single" w:sz="4" w:space="0" w:color="auto"/>
              <w:right w:val="single" w:sz="4" w:space="0" w:color="auto"/>
            </w:tcBorders>
            <w:shd w:val="clear" w:color="auto" w:fill="A5A5A5" w:themeFill="accent3"/>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5" w:type="pct"/>
            <w:tcBorders>
              <w:top w:val="single" w:sz="4" w:space="0" w:color="auto"/>
              <w:left w:val="nil"/>
              <w:bottom w:val="single" w:sz="4" w:space="0" w:color="auto"/>
              <w:right w:val="single" w:sz="4" w:space="0" w:color="auto"/>
            </w:tcBorders>
            <w:shd w:val="clear" w:color="auto" w:fill="A5A5A5" w:themeFill="accent3"/>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A5A5A5" w:themeFill="accent3"/>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A5A5A5" w:themeFill="accent3"/>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A5A5A5" w:themeFill="accent3"/>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1" w:type="pct"/>
            <w:tcBorders>
              <w:top w:val="single" w:sz="4" w:space="0" w:color="auto"/>
              <w:left w:val="nil"/>
              <w:bottom w:val="single" w:sz="4" w:space="0" w:color="auto"/>
              <w:right w:val="single" w:sz="4" w:space="0" w:color="auto"/>
            </w:tcBorders>
            <w:shd w:val="clear" w:color="auto" w:fill="A5A5A5" w:themeFill="accent3"/>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4"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1"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4"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4"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1" w:type="pct"/>
            <w:tcBorders>
              <w:top w:val="single" w:sz="4" w:space="0" w:color="auto"/>
              <w:left w:val="single" w:sz="4" w:space="0" w:color="auto"/>
              <w:bottom w:val="single" w:sz="4" w:space="0" w:color="auto"/>
              <w:right w:val="single" w:sz="4" w:space="0" w:color="auto"/>
            </w:tcBorders>
          </w:tcPr>
          <w:p w:rsidR="007716A8" w:rsidRPr="004B7970" w:rsidRDefault="007716A8" w:rsidP="000C208E">
            <w:pPr>
              <w:rPr>
                <w:rFonts w:ascii="Calibri" w:hAnsi="Calibri"/>
                <w:color w:val="000000"/>
                <w:sz w:val="16"/>
                <w:szCs w:val="16"/>
              </w:rPr>
            </w:pPr>
          </w:p>
        </w:tc>
        <w:tc>
          <w:tcPr>
            <w:tcW w:w="128" w:type="pct"/>
            <w:tcBorders>
              <w:top w:val="single" w:sz="4" w:space="0" w:color="auto"/>
              <w:left w:val="single" w:sz="4" w:space="0" w:color="auto"/>
              <w:bottom w:val="single" w:sz="4" w:space="0" w:color="auto"/>
              <w:right w:val="single" w:sz="4" w:space="0" w:color="auto"/>
            </w:tcBorders>
          </w:tcPr>
          <w:p w:rsidR="007716A8" w:rsidRPr="004B7970" w:rsidRDefault="007716A8" w:rsidP="000C208E">
            <w:pPr>
              <w:rPr>
                <w:rFonts w:ascii="Calibri" w:hAnsi="Calibri"/>
                <w:color w:val="000000"/>
                <w:sz w:val="16"/>
                <w:szCs w:val="16"/>
              </w:rPr>
            </w:pPr>
          </w:p>
        </w:tc>
      </w:tr>
      <w:tr w:rsidR="007716A8" w:rsidTr="000C208E">
        <w:trPr>
          <w:trHeight w:val="371"/>
          <w:jc w:val="center"/>
        </w:trPr>
        <w:tc>
          <w:tcPr>
            <w:tcW w:w="968" w:type="pct"/>
            <w:tcBorders>
              <w:top w:val="single" w:sz="4" w:space="0" w:color="auto"/>
              <w:left w:val="single" w:sz="4" w:space="0" w:color="auto"/>
              <w:bottom w:val="single" w:sz="4" w:space="0" w:color="auto"/>
              <w:right w:val="single" w:sz="4" w:space="0" w:color="auto"/>
            </w:tcBorders>
            <w:shd w:val="clear" w:color="auto" w:fill="auto"/>
            <w:hideMark/>
          </w:tcPr>
          <w:p w:rsidR="007716A8" w:rsidRPr="002A617C" w:rsidRDefault="007716A8" w:rsidP="000C208E">
            <w:pPr>
              <w:jc w:val="right"/>
              <w:rPr>
                <w:color w:val="000000"/>
                <w:sz w:val="20"/>
                <w:szCs w:val="20"/>
              </w:rPr>
            </w:pPr>
            <w:r w:rsidRPr="002A617C">
              <w:rPr>
                <w:color w:val="000000"/>
                <w:sz w:val="20"/>
                <w:szCs w:val="20"/>
              </w:rPr>
              <w:t>2.2</w:t>
            </w:r>
            <w:r>
              <w:rPr>
                <w:color w:val="000000"/>
                <w:sz w:val="20"/>
                <w:szCs w:val="20"/>
              </w:rPr>
              <w:t>. </w:t>
            </w:r>
            <w:r w:rsidRPr="002A617C">
              <w:rPr>
                <w:color w:val="000000"/>
                <w:sz w:val="20"/>
                <w:szCs w:val="20"/>
              </w:rPr>
              <w:t>līguma noslēgšana</w:t>
            </w:r>
          </w:p>
        </w:tc>
        <w:tc>
          <w:tcPr>
            <w:tcW w:w="135"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5"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1"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4" w:type="pct"/>
            <w:tcBorders>
              <w:top w:val="single" w:sz="4" w:space="0" w:color="auto"/>
              <w:left w:val="nil"/>
              <w:bottom w:val="single" w:sz="4" w:space="0" w:color="auto"/>
              <w:right w:val="single" w:sz="4" w:space="0" w:color="auto"/>
            </w:tcBorders>
            <w:shd w:val="clear" w:color="auto" w:fill="70AD47" w:themeFill="accent6"/>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1"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4"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4"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1" w:type="pct"/>
            <w:tcBorders>
              <w:top w:val="single" w:sz="4" w:space="0" w:color="auto"/>
              <w:left w:val="single" w:sz="4" w:space="0" w:color="auto"/>
              <w:bottom w:val="single" w:sz="4" w:space="0" w:color="auto"/>
              <w:right w:val="single" w:sz="4" w:space="0" w:color="auto"/>
            </w:tcBorders>
          </w:tcPr>
          <w:p w:rsidR="007716A8" w:rsidRPr="004B7970" w:rsidRDefault="007716A8" w:rsidP="000C208E">
            <w:pPr>
              <w:rPr>
                <w:rFonts w:ascii="Calibri" w:hAnsi="Calibri"/>
                <w:color w:val="000000"/>
                <w:sz w:val="16"/>
                <w:szCs w:val="16"/>
              </w:rPr>
            </w:pPr>
          </w:p>
        </w:tc>
        <w:tc>
          <w:tcPr>
            <w:tcW w:w="128" w:type="pct"/>
            <w:tcBorders>
              <w:top w:val="single" w:sz="4" w:space="0" w:color="auto"/>
              <w:left w:val="single" w:sz="4" w:space="0" w:color="auto"/>
              <w:bottom w:val="single" w:sz="4" w:space="0" w:color="auto"/>
              <w:right w:val="single" w:sz="4" w:space="0" w:color="auto"/>
            </w:tcBorders>
          </w:tcPr>
          <w:p w:rsidR="007716A8" w:rsidRPr="004B7970" w:rsidRDefault="007716A8" w:rsidP="000C208E">
            <w:pPr>
              <w:rPr>
                <w:rFonts w:ascii="Calibri" w:hAnsi="Calibri"/>
                <w:color w:val="000000"/>
                <w:sz w:val="16"/>
                <w:szCs w:val="16"/>
              </w:rPr>
            </w:pPr>
          </w:p>
        </w:tc>
      </w:tr>
      <w:tr w:rsidR="007716A8" w:rsidTr="000C208E">
        <w:trPr>
          <w:trHeight w:val="361"/>
          <w:jc w:val="center"/>
        </w:trPr>
        <w:tc>
          <w:tcPr>
            <w:tcW w:w="968" w:type="pct"/>
            <w:tcBorders>
              <w:top w:val="single" w:sz="4" w:space="0" w:color="auto"/>
              <w:left w:val="single" w:sz="4" w:space="0" w:color="auto"/>
              <w:bottom w:val="single" w:sz="4" w:space="0" w:color="auto"/>
              <w:right w:val="single" w:sz="4" w:space="0" w:color="auto"/>
            </w:tcBorders>
            <w:shd w:val="clear" w:color="auto" w:fill="auto"/>
            <w:hideMark/>
          </w:tcPr>
          <w:p w:rsidR="007716A8" w:rsidRPr="002A617C" w:rsidRDefault="007716A8" w:rsidP="000C208E">
            <w:pPr>
              <w:jc w:val="right"/>
              <w:rPr>
                <w:color w:val="000000"/>
                <w:sz w:val="20"/>
                <w:szCs w:val="20"/>
              </w:rPr>
            </w:pPr>
            <w:r>
              <w:rPr>
                <w:color w:val="000000"/>
                <w:sz w:val="20"/>
                <w:szCs w:val="20"/>
              </w:rPr>
              <w:t>2.3. </w:t>
            </w:r>
            <w:r w:rsidRPr="002A617C">
              <w:rPr>
                <w:color w:val="000000"/>
                <w:sz w:val="20"/>
                <w:szCs w:val="20"/>
              </w:rPr>
              <w:t>projektēšana</w:t>
            </w:r>
          </w:p>
        </w:tc>
        <w:tc>
          <w:tcPr>
            <w:tcW w:w="135"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5"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1"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4" w:type="pct"/>
            <w:tcBorders>
              <w:top w:val="single" w:sz="4" w:space="0" w:color="auto"/>
              <w:left w:val="nil"/>
              <w:bottom w:val="single" w:sz="4" w:space="0" w:color="auto"/>
              <w:right w:val="single" w:sz="4" w:space="0" w:color="auto"/>
            </w:tcBorders>
            <w:shd w:val="clear" w:color="auto" w:fill="auto"/>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ED7D31" w:themeFill="accent2"/>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1" w:type="pct"/>
            <w:tcBorders>
              <w:top w:val="single" w:sz="4" w:space="0" w:color="auto"/>
              <w:left w:val="nil"/>
              <w:bottom w:val="single" w:sz="4" w:space="0" w:color="auto"/>
              <w:right w:val="single" w:sz="4" w:space="0" w:color="auto"/>
            </w:tcBorders>
            <w:shd w:val="clear" w:color="auto" w:fill="ED7D31" w:themeFill="accent2"/>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ED7D31" w:themeFill="accent2"/>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ED7D31" w:themeFill="accent2"/>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4" w:type="pct"/>
            <w:tcBorders>
              <w:top w:val="single" w:sz="4" w:space="0" w:color="auto"/>
              <w:left w:val="nil"/>
              <w:bottom w:val="single" w:sz="4" w:space="0" w:color="auto"/>
              <w:right w:val="single" w:sz="4" w:space="0" w:color="auto"/>
            </w:tcBorders>
            <w:shd w:val="clear" w:color="auto" w:fill="ED7D31" w:themeFill="accent2"/>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ED7D31" w:themeFill="accent2"/>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ED7D31" w:themeFill="accent2"/>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4" w:type="pct"/>
            <w:tcBorders>
              <w:top w:val="single" w:sz="4" w:space="0" w:color="auto"/>
              <w:left w:val="nil"/>
              <w:bottom w:val="single" w:sz="4" w:space="0" w:color="auto"/>
              <w:right w:val="single" w:sz="4" w:space="0" w:color="auto"/>
            </w:tcBorders>
            <w:shd w:val="clear" w:color="auto" w:fill="ED7D31" w:themeFill="accent2"/>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ED7D31" w:themeFill="accent2"/>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ED7D31" w:themeFill="accent2"/>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ED7D31" w:themeFill="accent2"/>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ED7D31" w:themeFill="accent2"/>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ED7D31" w:themeFill="accent2"/>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ED7D31" w:themeFill="accent2"/>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ED7D31" w:themeFill="accent2"/>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6" w:type="pct"/>
            <w:tcBorders>
              <w:top w:val="single" w:sz="4" w:space="0" w:color="auto"/>
              <w:left w:val="nil"/>
              <w:bottom w:val="single" w:sz="4" w:space="0" w:color="auto"/>
              <w:right w:val="single" w:sz="4" w:space="0" w:color="auto"/>
            </w:tcBorders>
            <w:shd w:val="clear" w:color="auto" w:fill="ED7D31" w:themeFill="accent2"/>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ED7D31" w:themeFill="accent2"/>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ED7D31" w:themeFill="accent2"/>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8" w:type="pct"/>
            <w:tcBorders>
              <w:top w:val="single" w:sz="4" w:space="0" w:color="auto"/>
              <w:left w:val="nil"/>
              <w:bottom w:val="single" w:sz="4" w:space="0" w:color="auto"/>
              <w:right w:val="single" w:sz="4" w:space="0" w:color="auto"/>
            </w:tcBorders>
            <w:shd w:val="clear" w:color="auto" w:fill="ED7D31" w:themeFill="accent2"/>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ED7D31" w:themeFill="accent2"/>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2" w:type="pct"/>
            <w:tcBorders>
              <w:top w:val="single" w:sz="4" w:space="0" w:color="auto"/>
              <w:left w:val="nil"/>
              <w:bottom w:val="single" w:sz="4" w:space="0" w:color="auto"/>
              <w:right w:val="single" w:sz="4" w:space="0" w:color="auto"/>
            </w:tcBorders>
            <w:shd w:val="clear" w:color="auto" w:fill="ED7D31" w:themeFill="accent2"/>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29" w:type="pct"/>
            <w:tcBorders>
              <w:top w:val="single" w:sz="4" w:space="0" w:color="auto"/>
              <w:left w:val="nil"/>
              <w:bottom w:val="single" w:sz="4" w:space="0" w:color="auto"/>
              <w:right w:val="single" w:sz="4" w:space="0" w:color="auto"/>
            </w:tcBorders>
            <w:shd w:val="clear" w:color="auto" w:fill="ED7D31" w:themeFill="accent2"/>
            <w:noWrap/>
            <w:vAlign w:val="bottom"/>
            <w:hideMark/>
          </w:tcPr>
          <w:p w:rsidR="007716A8" w:rsidRPr="004B7970" w:rsidRDefault="007716A8" w:rsidP="000C208E">
            <w:pPr>
              <w:rPr>
                <w:rFonts w:ascii="Calibri" w:hAnsi="Calibri"/>
                <w:color w:val="000000"/>
                <w:sz w:val="16"/>
                <w:szCs w:val="16"/>
              </w:rPr>
            </w:pPr>
            <w:r w:rsidRPr="004B7970">
              <w:rPr>
                <w:rFonts w:ascii="Calibri" w:hAnsi="Calibri"/>
                <w:color w:val="000000"/>
                <w:sz w:val="16"/>
                <w:szCs w:val="16"/>
              </w:rPr>
              <w:t> </w:t>
            </w:r>
          </w:p>
        </w:tc>
        <w:tc>
          <w:tcPr>
            <w:tcW w:w="131" w:type="pct"/>
            <w:tcBorders>
              <w:top w:val="single" w:sz="4" w:space="0" w:color="auto"/>
              <w:left w:val="single" w:sz="4" w:space="0" w:color="auto"/>
              <w:bottom w:val="single" w:sz="4" w:space="0" w:color="auto"/>
              <w:right w:val="single" w:sz="4" w:space="0" w:color="auto"/>
            </w:tcBorders>
            <w:shd w:val="clear" w:color="auto" w:fill="ED7D31" w:themeFill="accent2"/>
          </w:tcPr>
          <w:p w:rsidR="007716A8" w:rsidRPr="004B7970" w:rsidRDefault="007716A8" w:rsidP="000C208E">
            <w:pPr>
              <w:rPr>
                <w:rFonts w:ascii="Calibri" w:hAnsi="Calibri"/>
                <w:color w:val="000000"/>
                <w:sz w:val="16"/>
                <w:szCs w:val="16"/>
              </w:rPr>
            </w:pPr>
          </w:p>
        </w:tc>
        <w:tc>
          <w:tcPr>
            <w:tcW w:w="128" w:type="pct"/>
            <w:tcBorders>
              <w:top w:val="single" w:sz="4" w:space="0" w:color="auto"/>
              <w:left w:val="single" w:sz="4" w:space="0" w:color="auto"/>
              <w:bottom w:val="single" w:sz="4" w:space="0" w:color="auto"/>
              <w:right w:val="single" w:sz="4" w:space="0" w:color="auto"/>
            </w:tcBorders>
            <w:shd w:val="clear" w:color="auto" w:fill="ED7D31" w:themeFill="accent2"/>
          </w:tcPr>
          <w:p w:rsidR="007716A8" w:rsidRPr="004B7970" w:rsidRDefault="007716A8" w:rsidP="000C208E">
            <w:pPr>
              <w:rPr>
                <w:rFonts w:ascii="Calibri" w:hAnsi="Calibri"/>
                <w:color w:val="000000"/>
                <w:sz w:val="16"/>
                <w:szCs w:val="16"/>
              </w:rPr>
            </w:pPr>
          </w:p>
        </w:tc>
      </w:tr>
    </w:tbl>
    <w:p w:rsidR="00A219CA" w:rsidRDefault="00A219CA" w:rsidP="007716A8">
      <w:pPr>
        <w:spacing w:after="120"/>
        <w:jc w:val="both"/>
        <w:rPr>
          <w:sz w:val="28"/>
          <w:szCs w:val="28"/>
        </w:rPr>
      </w:pPr>
    </w:p>
    <w:p w:rsidR="00A219CA" w:rsidRDefault="00A219CA" w:rsidP="007716A8">
      <w:pPr>
        <w:spacing w:after="120"/>
        <w:jc w:val="both"/>
        <w:rPr>
          <w:sz w:val="28"/>
          <w:szCs w:val="28"/>
        </w:rPr>
        <w:sectPr w:rsidR="00A219CA" w:rsidSect="00A219CA">
          <w:headerReference w:type="first" r:id="rId13"/>
          <w:type w:val="evenPage"/>
          <w:pgSz w:w="16840" w:h="11907" w:orient="landscape" w:code="9"/>
          <w:pgMar w:top="1701" w:right="1418" w:bottom="1134" w:left="1134" w:header="720" w:footer="720" w:gutter="0"/>
          <w:pgNumType w:start="11"/>
          <w:cols w:space="720"/>
          <w:titlePg/>
          <w:docGrid w:linePitch="360"/>
        </w:sectPr>
      </w:pPr>
    </w:p>
    <w:p w:rsidR="007716A8" w:rsidRPr="00583841" w:rsidRDefault="007716A8" w:rsidP="00A219CA">
      <w:pPr>
        <w:spacing w:after="120"/>
        <w:ind w:firstLine="720"/>
        <w:jc w:val="center"/>
        <w:rPr>
          <w:b/>
          <w:sz w:val="28"/>
          <w:szCs w:val="28"/>
        </w:rPr>
      </w:pPr>
      <w:r>
        <w:rPr>
          <w:b/>
          <w:sz w:val="28"/>
          <w:szCs w:val="28"/>
        </w:rPr>
        <w:lastRenderedPageBreak/>
        <w:t>6</w:t>
      </w:r>
      <w:r w:rsidRPr="00AB3388">
        <w:rPr>
          <w:b/>
          <w:sz w:val="28"/>
          <w:szCs w:val="28"/>
        </w:rPr>
        <w:t>. Turpmākā rīcība</w:t>
      </w:r>
    </w:p>
    <w:p w:rsidR="007716A8" w:rsidRPr="00D35B3E" w:rsidRDefault="00F85B5C" w:rsidP="007716A8">
      <w:pPr>
        <w:spacing w:after="120"/>
        <w:ind w:firstLine="720"/>
        <w:jc w:val="both"/>
        <w:rPr>
          <w:sz w:val="28"/>
          <w:szCs w:val="28"/>
        </w:rPr>
      </w:pPr>
      <w:r>
        <w:rPr>
          <w:sz w:val="28"/>
          <w:szCs w:val="28"/>
        </w:rPr>
        <w:t>1</w:t>
      </w:r>
      <w:r w:rsidR="007716A8" w:rsidRPr="0015711A">
        <w:rPr>
          <w:sz w:val="28"/>
          <w:szCs w:val="28"/>
        </w:rPr>
        <w:t>. </w:t>
      </w:r>
      <w:r w:rsidR="007716A8" w:rsidRPr="00D35B3E">
        <w:rPr>
          <w:sz w:val="28"/>
          <w:szCs w:val="28"/>
        </w:rPr>
        <w:t>Ministru kabinetam jautājumu par Salaspils kodolreaktora uzturēšanas darbu nodrošināšanai 2019. gadā un 2020. gadā nepieciešamo finansējumu 150 000 </w:t>
      </w:r>
      <w:proofErr w:type="spellStart"/>
      <w:r w:rsidR="007716A8" w:rsidRPr="00D35B3E">
        <w:rPr>
          <w:sz w:val="28"/>
          <w:szCs w:val="28"/>
        </w:rPr>
        <w:t>euro</w:t>
      </w:r>
      <w:proofErr w:type="spellEnd"/>
      <w:r w:rsidR="007716A8" w:rsidRPr="00D35B3E">
        <w:rPr>
          <w:sz w:val="28"/>
          <w:szCs w:val="28"/>
        </w:rPr>
        <w:t xml:space="preserve"> apmērā izskatīt Ministru kabinetā vienlaikus ar informatīvo ziņojumu “Par valsts budžeta izdevumu pārskatīšanas 2019., 2020.un 2021. gadam rezultātiem un priekšlikumi par šo rezultātu izmantošanu likumprojekta “Par vidēja termiņa budžeta ietvaru 2019., 2020. un 2021. gadam” un likumprojekta “Par valsts budžetu 2019. gadam” izstrādes procesā.</w:t>
      </w:r>
    </w:p>
    <w:p w:rsidR="007716A8" w:rsidRPr="00D35B3E" w:rsidRDefault="00F85B5C" w:rsidP="007716A8">
      <w:pPr>
        <w:pStyle w:val="CommentText"/>
        <w:ind w:firstLine="720"/>
        <w:jc w:val="both"/>
        <w:rPr>
          <w:sz w:val="28"/>
          <w:lang w:eastAsia="lv-LV"/>
        </w:rPr>
      </w:pPr>
      <w:r>
        <w:rPr>
          <w:sz w:val="28"/>
          <w:lang w:eastAsia="lv-LV"/>
        </w:rPr>
        <w:t>2</w:t>
      </w:r>
      <w:r w:rsidR="007716A8" w:rsidRPr="00D35B3E">
        <w:rPr>
          <w:sz w:val="28"/>
          <w:lang w:eastAsia="lv-LV"/>
        </w:rPr>
        <w:t>. Pēc LVĢMC iepirkuma “</w:t>
      </w:r>
      <w:r w:rsidR="007716A8" w:rsidRPr="00D35B3E">
        <w:rPr>
          <w:sz w:val="28"/>
          <w:szCs w:val="28"/>
        </w:rPr>
        <w:t>Jaunas radioaktīvo atkritumu tvertnes, ilgtermiņa glabātavas un esošo radioaktīvo atkritumu tvertņu pārsegšanas projekta izstrāde radioaktīvo atkritumu glabātavai “Radons”</w:t>
      </w:r>
      <w:r w:rsidR="007716A8" w:rsidRPr="00D35B3E">
        <w:rPr>
          <w:iCs/>
          <w:sz w:val="28"/>
          <w:szCs w:val="28"/>
        </w:rPr>
        <w:t>” un iepirkuma “Salaspils kodolreaktora izpētes un demontāžas projekta izstrāde</w:t>
      </w:r>
      <w:r w:rsidR="007716A8" w:rsidRPr="00D35B3E">
        <w:rPr>
          <w:sz w:val="28"/>
          <w:lang w:eastAsia="lv-LV"/>
        </w:rPr>
        <w:t>”, veikšanas, bet pirms saistību uzņemšanās, informēt Ministru kabinetu par iepirkumos plānoto darbu aktuālajām izmaksām, nepieciešamības gadījumā piedāvājot ietekmes neitralizējošus pasākumus un iesniedzot Ministru kabinetā izskatīšanai rīkojuma projektu par finan</w:t>
      </w:r>
      <w:r w:rsidR="00B73BA5">
        <w:rPr>
          <w:sz w:val="28"/>
          <w:lang w:eastAsia="lv-LV"/>
        </w:rPr>
        <w:t>sējuma pārdali no 2016. - 2018. </w:t>
      </w:r>
      <w:r w:rsidR="007716A8" w:rsidRPr="00D35B3E">
        <w:rPr>
          <w:sz w:val="28"/>
          <w:lang w:eastAsia="lv-LV"/>
        </w:rPr>
        <w:t>gada neatliekamā pasākuma “Salaspils kodolreaktora likvidācijas pasākumu kopums izpildes nodrošināšana” un par atļauju izmantot līdzšinēji LVĢMC pamatkapitālā ieguldīto finansējumu.</w:t>
      </w:r>
    </w:p>
    <w:p w:rsidR="007716A8" w:rsidRPr="00450EE1" w:rsidRDefault="007716A8" w:rsidP="007716A8">
      <w:pPr>
        <w:pStyle w:val="CommentText"/>
        <w:ind w:firstLine="720"/>
        <w:jc w:val="both"/>
        <w:rPr>
          <w:sz w:val="28"/>
          <w:szCs w:val="28"/>
        </w:rPr>
      </w:pPr>
    </w:p>
    <w:p w:rsidR="007716A8" w:rsidRDefault="007716A8" w:rsidP="007716A8">
      <w:pPr>
        <w:jc w:val="both"/>
        <w:rPr>
          <w:sz w:val="28"/>
          <w:szCs w:val="28"/>
        </w:rPr>
      </w:pPr>
    </w:p>
    <w:p w:rsidR="007716A8" w:rsidRPr="00450EE1" w:rsidRDefault="007716A8" w:rsidP="007716A8">
      <w:pPr>
        <w:jc w:val="both"/>
        <w:rPr>
          <w:sz w:val="28"/>
          <w:szCs w:val="28"/>
        </w:rPr>
      </w:pPr>
      <w:r w:rsidRPr="00450EE1">
        <w:rPr>
          <w:sz w:val="28"/>
          <w:szCs w:val="28"/>
        </w:rPr>
        <w:t>V</w:t>
      </w:r>
      <w:r>
        <w:rPr>
          <w:sz w:val="28"/>
          <w:szCs w:val="28"/>
        </w:rPr>
        <w:t>ides aizsardzības un reģionālās attīstības ministrs</w:t>
      </w:r>
      <w:r>
        <w:rPr>
          <w:sz w:val="28"/>
          <w:szCs w:val="28"/>
        </w:rPr>
        <w:tab/>
      </w:r>
      <w:r>
        <w:rPr>
          <w:sz w:val="28"/>
          <w:szCs w:val="28"/>
        </w:rPr>
        <w:tab/>
      </w:r>
      <w:r w:rsidRPr="00450EE1">
        <w:rPr>
          <w:sz w:val="28"/>
          <w:szCs w:val="28"/>
        </w:rPr>
        <w:t>Kaspars Gerhards</w:t>
      </w:r>
    </w:p>
    <w:p w:rsidR="007716A8" w:rsidRDefault="007716A8" w:rsidP="007716A8">
      <w:pPr>
        <w:spacing w:after="120"/>
        <w:rPr>
          <w:sz w:val="28"/>
          <w:szCs w:val="28"/>
        </w:rPr>
      </w:pPr>
    </w:p>
    <w:p w:rsidR="007716A8" w:rsidRPr="00450EE1" w:rsidRDefault="007716A8" w:rsidP="007716A8">
      <w:pPr>
        <w:spacing w:after="120"/>
        <w:rPr>
          <w:sz w:val="28"/>
          <w:szCs w:val="28"/>
        </w:rPr>
      </w:pPr>
    </w:p>
    <w:p w:rsidR="007716A8" w:rsidRPr="00E30C95" w:rsidRDefault="007716A8" w:rsidP="007716A8">
      <w:pPr>
        <w:pStyle w:val="Footer"/>
        <w:tabs>
          <w:tab w:val="left" w:pos="720"/>
        </w:tabs>
        <w:spacing w:after="0"/>
        <w:ind w:firstLine="0"/>
        <w:rPr>
          <w:sz w:val="22"/>
          <w:szCs w:val="22"/>
        </w:rPr>
      </w:pPr>
      <w:r>
        <w:rPr>
          <w:sz w:val="22"/>
          <w:szCs w:val="22"/>
        </w:rPr>
        <w:t>Balode</w:t>
      </w:r>
      <w:r w:rsidRPr="00E30C95">
        <w:rPr>
          <w:sz w:val="22"/>
          <w:szCs w:val="22"/>
        </w:rPr>
        <w:t xml:space="preserve"> </w:t>
      </w:r>
      <w:r>
        <w:rPr>
          <w:sz w:val="22"/>
          <w:szCs w:val="22"/>
        </w:rPr>
        <w:t>67026490</w:t>
      </w:r>
    </w:p>
    <w:p w:rsidR="007716A8" w:rsidRDefault="005A7CEB" w:rsidP="007716A8">
      <w:pPr>
        <w:pStyle w:val="Footer"/>
        <w:tabs>
          <w:tab w:val="clear" w:pos="4153"/>
          <w:tab w:val="clear" w:pos="8306"/>
        </w:tabs>
        <w:spacing w:after="0"/>
        <w:ind w:firstLine="0"/>
        <w:rPr>
          <w:sz w:val="22"/>
          <w:szCs w:val="22"/>
        </w:rPr>
      </w:pPr>
      <w:hyperlink r:id="rId14" w:history="1">
        <w:r w:rsidR="007716A8" w:rsidRPr="002E3B7E">
          <w:rPr>
            <w:rStyle w:val="Hyperlink"/>
            <w:sz w:val="22"/>
            <w:szCs w:val="22"/>
          </w:rPr>
          <w:t>Zita.Balode@varam.gov.lv</w:t>
        </w:r>
      </w:hyperlink>
    </w:p>
    <w:p w:rsidR="007716A8" w:rsidRDefault="007716A8" w:rsidP="007716A8">
      <w:pPr>
        <w:pStyle w:val="Footer"/>
        <w:tabs>
          <w:tab w:val="left" w:pos="720"/>
        </w:tabs>
        <w:spacing w:after="0"/>
        <w:ind w:firstLine="0"/>
        <w:rPr>
          <w:sz w:val="22"/>
          <w:szCs w:val="22"/>
        </w:rPr>
      </w:pPr>
      <w:proofErr w:type="spellStart"/>
      <w:r>
        <w:rPr>
          <w:sz w:val="22"/>
          <w:szCs w:val="22"/>
        </w:rPr>
        <w:t>Cudečka</w:t>
      </w:r>
      <w:proofErr w:type="spellEnd"/>
      <w:r>
        <w:rPr>
          <w:sz w:val="22"/>
          <w:szCs w:val="22"/>
        </w:rPr>
        <w:t xml:space="preserve"> – Puriņa 67026461</w:t>
      </w:r>
    </w:p>
    <w:p w:rsidR="007716A8" w:rsidRPr="00ED7CE7" w:rsidRDefault="005A7CEB" w:rsidP="007716A8">
      <w:pPr>
        <w:pStyle w:val="Footer"/>
        <w:tabs>
          <w:tab w:val="left" w:pos="720"/>
        </w:tabs>
        <w:spacing w:after="0"/>
        <w:ind w:firstLine="0"/>
        <w:rPr>
          <w:rStyle w:val="Hyperlink"/>
          <w:sz w:val="22"/>
          <w:szCs w:val="22"/>
        </w:rPr>
      </w:pPr>
      <w:hyperlink r:id="rId15" w:history="1">
        <w:r w:rsidR="007716A8" w:rsidRPr="00F049E1">
          <w:rPr>
            <w:rStyle w:val="Hyperlink"/>
            <w:sz w:val="22"/>
            <w:szCs w:val="22"/>
          </w:rPr>
          <w:t>Natalija.Cudecka-Purina@varam.gov.lv</w:t>
        </w:r>
      </w:hyperlink>
      <w:r w:rsidR="007716A8">
        <w:rPr>
          <w:sz w:val="22"/>
          <w:szCs w:val="22"/>
        </w:rPr>
        <w:t xml:space="preserve"> </w:t>
      </w:r>
    </w:p>
    <w:p w:rsidR="002F30DA" w:rsidRDefault="002F30DA"/>
    <w:sectPr w:rsidR="002F30DA" w:rsidSect="000311ED">
      <w:headerReference w:type="default" r:id="rId16"/>
      <w:headerReference w:type="first" r:id="rId17"/>
      <w:type w:val="evenPage"/>
      <w:pgSz w:w="11907" w:h="16840" w:code="9"/>
      <w:pgMar w:top="1418"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98A" w:rsidRDefault="0056298A" w:rsidP="007716A8">
      <w:r>
        <w:separator/>
      </w:r>
    </w:p>
  </w:endnote>
  <w:endnote w:type="continuationSeparator" w:id="0">
    <w:p w:rsidR="0056298A" w:rsidRDefault="0056298A" w:rsidP="0077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PT Serif">
    <w:altName w:val="Times New Roman"/>
    <w:charset w:val="00"/>
    <w:family w:val="auto"/>
    <w:pitch w:val="variable"/>
    <w:sig w:usb0="00000001" w:usb1="5000204B" w:usb2="00000000" w:usb3="00000000" w:csb0="00000097"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6A8" w:rsidRDefault="007716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16A8" w:rsidRDefault="007716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6A8" w:rsidRDefault="007716A8" w:rsidP="00406C1D">
    <w:pPr>
      <w:pStyle w:val="Footer"/>
      <w:framePr w:wrap="around" w:vAnchor="text" w:hAnchor="margin" w:xAlign="right" w:y="1"/>
      <w:ind w:firstLine="0"/>
      <w:rPr>
        <w:rStyle w:val="PageNumber"/>
      </w:rPr>
    </w:pPr>
  </w:p>
  <w:p w:rsidR="007716A8" w:rsidRPr="00CE4C05" w:rsidRDefault="007716A8" w:rsidP="000E741C">
    <w:pPr>
      <w:spacing w:after="120"/>
      <w:jc w:val="both"/>
      <w:rPr>
        <w:sz w:val="22"/>
        <w:szCs w:val="22"/>
      </w:rPr>
    </w:pPr>
    <w:r w:rsidRPr="00CE4C05">
      <w:rPr>
        <w:sz w:val="22"/>
        <w:szCs w:val="22"/>
      </w:rPr>
      <w:t>VIDMZino_</w:t>
    </w:r>
    <w:r w:rsidR="005A7CEB">
      <w:rPr>
        <w:sz w:val="22"/>
        <w:szCs w:val="22"/>
      </w:rPr>
      <w:t>0711</w:t>
    </w:r>
    <w:r>
      <w:rPr>
        <w:sz w:val="22"/>
        <w:szCs w:val="22"/>
      </w:rPr>
      <w:t>18</w:t>
    </w:r>
    <w:r w:rsidRPr="00CE4C05">
      <w:rPr>
        <w:sz w:val="22"/>
        <w:szCs w:val="22"/>
      </w:rPr>
      <w:t>_</w:t>
    </w:r>
    <w:r>
      <w:rPr>
        <w:sz w:val="22"/>
        <w:szCs w:val="22"/>
      </w:rPr>
      <w:t>papildfin_Radons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6A8" w:rsidRPr="00CE4C05" w:rsidRDefault="007716A8" w:rsidP="00CE4C05">
    <w:pPr>
      <w:spacing w:after="120"/>
      <w:jc w:val="both"/>
      <w:rPr>
        <w:sz w:val="22"/>
        <w:szCs w:val="22"/>
      </w:rPr>
    </w:pPr>
    <w:r w:rsidRPr="00CE4C05">
      <w:rPr>
        <w:sz w:val="22"/>
        <w:szCs w:val="22"/>
      </w:rPr>
      <w:t>VIDMZino_</w:t>
    </w:r>
    <w:r w:rsidR="005A7CEB">
      <w:rPr>
        <w:sz w:val="22"/>
        <w:szCs w:val="22"/>
      </w:rPr>
      <w:t>0711</w:t>
    </w:r>
    <w:r>
      <w:rPr>
        <w:sz w:val="22"/>
        <w:szCs w:val="22"/>
      </w:rPr>
      <w:t>18</w:t>
    </w:r>
    <w:r w:rsidRPr="00CE4C05">
      <w:rPr>
        <w:sz w:val="22"/>
        <w:szCs w:val="22"/>
      </w:rPr>
      <w:t>_</w:t>
    </w:r>
    <w:r>
      <w:rPr>
        <w:sz w:val="22"/>
        <w:szCs w:val="22"/>
      </w:rPr>
      <w:t>papildfin_Radons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98A" w:rsidRDefault="0056298A" w:rsidP="007716A8">
      <w:r>
        <w:separator/>
      </w:r>
    </w:p>
  </w:footnote>
  <w:footnote w:type="continuationSeparator" w:id="0">
    <w:p w:rsidR="0056298A" w:rsidRDefault="0056298A" w:rsidP="007716A8">
      <w:r>
        <w:continuationSeparator/>
      </w:r>
    </w:p>
  </w:footnote>
  <w:footnote w:id="1">
    <w:p w:rsidR="007716A8" w:rsidRPr="005D32B3" w:rsidRDefault="007716A8" w:rsidP="007716A8">
      <w:pPr>
        <w:pStyle w:val="Heading3"/>
        <w:spacing w:after="0"/>
        <w:jc w:val="both"/>
        <w:rPr>
          <w:sz w:val="20"/>
          <w:szCs w:val="20"/>
        </w:rPr>
      </w:pPr>
      <w:r w:rsidRPr="00B12472">
        <w:rPr>
          <w:rStyle w:val="FootnoteReference"/>
          <w:rFonts w:cs="Times New Roman"/>
          <w:b w:val="0"/>
          <w:sz w:val="20"/>
          <w:szCs w:val="20"/>
        </w:rPr>
        <w:footnoteRef/>
      </w:r>
      <w:r w:rsidRPr="00B12472">
        <w:rPr>
          <w:rFonts w:cs="Times New Roman"/>
          <w:b w:val="0"/>
          <w:sz w:val="20"/>
          <w:szCs w:val="20"/>
        </w:rPr>
        <w:t xml:space="preserve"> Ministru kabineta 2009.</w:t>
      </w:r>
      <w:r>
        <w:rPr>
          <w:rFonts w:cs="Times New Roman"/>
          <w:b w:val="0"/>
          <w:sz w:val="20"/>
          <w:szCs w:val="20"/>
        </w:rPr>
        <w:t> </w:t>
      </w:r>
      <w:r w:rsidRPr="00B12472">
        <w:rPr>
          <w:rFonts w:cs="Times New Roman"/>
          <w:b w:val="0"/>
          <w:sz w:val="20"/>
          <w:szCs w:val="20"/>
        </w:rPr>
        <w:t>gada 1.</w:t>
      </w:r>
      <w:r>
        <w:rPr>
          <w:rFonts w:cs="Times New Roman"/>
          <w:b w:val="0"/>
          <w:sz w:val="20"/>
          <w:szCs w:val="20"/>
        </w:rPr>
        <w:t> </w:t>
      </w:r>
      <w:r w:rsidRPr="00B12472">
        <w:rPr>
          <w:rFonts w:cs="Times New Roman"/>
          <w:b w:val="0"/>
          <w:sz w:val="20"/>
          <w:szCs w:val="20"/>
        </w:rPr>
        <w:t>jūlija rīkojums Nr.</w:t>
      </w:r>
      <w:r>
        <w:rPr>
          <w:rFonts w:cs="Times New Roman"/>
          <w:b w:val="0"/>
          <w:sz w:val="20"/>
          <w:szCs w:val="20"/>
        </w:rPr>
        <w:t> </w:t>
      </w:r>
      <w:r w:rsidRPr="00B12472">
        <w:rPr>
          <w:rFonts w:cs="Times New Roman"/>
          <w:b w:val="0"/>
          <w:sz w:val="20"/>
          <w:szCs w:val="20"/>
        </w:rPr>
        <w:t xml:space="preserve">448 </w:t>
      </w:r>
      <w:r>
        <w:rPr>
          <w:rFonts w:cs="Times New Roman"/>
          <w:b w:val="0"/>
          <w:sz w:val="20"/>
          <w:szCs w:val="20"/>
        </w:rPr>
        <w:t>“</w:t>
      </w:r>
      <w:r w:rsidRPr="00B12472">
        <w:rPr>
          <w:rStyle w:val="Strong"/>
          <w:bCs/>
          <w:sz w:val="20"/>
          <w:szCs w:val="20"/>
        </w:rPr>
        <w:t>Par valsts aģentūras "Latvijas Vides, ģeoloģijas un meteoroloģijas aģentūra" un Bīstamo atkritumu pārvaldības valsts aģentūras likvidāciju un valsts sabiedrības ar ierobežotu atbildību "Latvijas Vides, ģeoloģijas un meteoroloģijas centrs" dibināšanu</w:t>
      </w:r>
      <w:r>
        <w:rPr>
          <w:rStyle w:val="Strong"/>
          <w:bCs/>
          <w:sz w:val="20"/>
          <w:szCs w:val="20"/>
        </w:rPr>
        <w:t>”</w:t>
      </w:r>
    </w:p>
  </w:footnote>
  <w:footnote w:id="2">
    <w:p w:rsidR="007716A8" w:rsidRDefault="007716A8" w:rsidP="007716A8">
      <w:pPr>
        <w:pStyle w:val="FootnoteText"/>
        <w:jc w:val="both"/>
      </w:pPr>
      <w:r>
        <w:rPr>
          <w:rStyle w:val="FootnoteReference"/>
        </w:rPr>
        <w:footnoteRef/>
      </w:r>
      <w:r>
        <w:t> </w:t>
      </w:r>
      <w:hyperlink r:id="rId1" w:history="1">
        <w:r w:rsidRPr="00371874">
          <w:rPr>
            <w:rStyle w:val="Hyperlink"/>
          </w:rPr>
          <w:t>http://old.vpvb.gov.lv/ivn/projekti/atzinumi/RadonsNZ.pdf</w:t>
        </w:r>
      </w:hyperlink>
      <w:r>
        <w:t xml:space="preserve"> </w:t>
      </w:r>
    </w:p>
  </w:footnote>
  <w:footnote w:id="3">
    <w:p w:rsidR="007716A8" w:rsidRPr="0084595F" w:rsidRDefault="007716A8" w:rsidP="007716A8">
      <w:pPr>
        <w:pStyle w:val="FootnoteText"/>
        <w:jc w:val="both"/>
      </w:pPr>
      <w:r w:rsidRPr="0084595F">
        <w:rPr>
          <w:rStyle w:val="FootnoteReference"/>
        </w:rPr>
        <w:footnoteRef/>
      </w:r>
      <w:r w:rsidRPr="0084595F">
        <w:t xml:space="preserve"> M</w:t>
      </w:r>
      <w:r>
        <w:t>inistru kabineta</w:t>
      </w:r>
      <w:r w:rsidRPr="0084595F">
        <w:t xml:space="preserve"> rīkojuma projekts "Par valsts sabiedrības ar ierobežotu atbildību "Latvijas Vides, ģeoloģijas un meteoroloģijas centrs" pamatkapitāla samazināšanu un valsts nekustamā īpašuma Miera ielā 31, Salaspilī, Salaspils novadā nodošanu Latvijas Universitātes īpašumā", izsludināts Valsts sekretāru sanāksmē 2011.gada 29.decembrī, VSS-1444</w:t>
      </w:r>
    </w:p>
  </w:footnote>
  <w:footnote w:id="4">
    <w:p w:rsidR="007716A8" w:rsidRDefault="007716A8" w:rsidP="007716A8">
      <w:pPr>
        <w:pStyle w:val="FootnoteText"/>
      </w:pPr>
      <w:r>
        <w:rPr>
          <w:rStyle w:val="FootnoteReference"/>
        </w:rPr>
        <w:footnoteRef/>
      </w:r>
      <w:r>
        <w:t> </w:t>
      </w:r>
      <w:hyperlink r:id="rId2" w:history="1">
        <w:r w:rsidRPr="00A60611">
          <w:rPr>
            <w:rStyle w:val="Hyperlink"/>
          </w:rPr>
          <w:t>https://pvs.iub.gov.lv/show/473990</w:t>
        </w:r>
      </w:hyperlink>
      <w:r>
        <w:t xml:space="preserve"> </w:t>
      </w:r>
    </w:p>
  </w:footnote>
  <w:footnote w:id="5">
    <w:p w:rsidR="007716A8" w:rsidRDefault="007716A8" w:rsidP="007716A8">
      <w:pPr>
        <w:pStyle w:val="FootnoteText"/>
      </w:pPr>
      <w:r>
        <w:rPr>
          <w:rStyle w:val="FootnoteReference"/>
        </w:rPr>
        <w:footnoteRef/>
      </w:r>
      <w:r>
        <w:t> </w:t>
      </w:r>
      <w:hyperlink r:id="rId3" w:history="1">
        <w:r w:rsidRPr="00A60611">
          <w:rPr>
            <w:rStyle w:val="Hyperlink"/>
          </w:rPr>
          <w:t>http://www.meteo.lv/fs/files/CMSP_Purchase_Attach/00/00/00/21/19/atversana.pdf</w:t>
        </w:r>
      </w:hyperlink>
      <w:r>
        <w:t xml:space="preserve"> </w:t>
      </w:r>
    </w:p>
  </w:footnote>
  <w:footnote w:id="6">
    <w:p w:rsidR="007716A8" w:rsidRDefault="007716A8" w:rsidP="007716A8">
      <w:pPr>
        <w:pStyle w:val="FootnoteText"/>
      </w:pPr>
      <w:r>
        <w:rPr>
          <w:rStyle w:val="FootnoteReference"/>
        </w:rPr>
        <w:footnoteRef/>
      </w:r>
      <w:r>
        <w:t> </w:t>
      </w:r>
      <w:hyperlink r:id="rId4" w:history="1">
        <w:r w:rsidRPr="00A60611">
          <w:rPr>
            <w:rStyle w:val="Hyperlink"/>
          </w:rPr>
          <w:t>https://pvs.iub.gov.lv/show/524460</w:t>
        </w:r>
      </w:hyperlink>
      <w:r>
        <w:t xml:space="preserve"> </w:t>
      </w:r>
    </w:p>
  </w:footnote>
  <w:footnote w:id="7">
    <w:p w:rsidR="007716A8" w:rsidRDefault="007716A8" w:rsidP="007716A8">
      <w:pPr>
        <w:pStyle w:val="FootnoteText"/>
      </w:pPr>
      <w:r>
        <w:rPr>
          <w:rStyle w:val="FootnoteReference"/>
        </w:rPr>
        <w:footnoteRef/>
      </w:r>
      <w:r>
        <w:t> </w:t>
      </w:r>
      <w:hyperlink r:id="rId5" w:history="1">
        <w:r w:rsidRPr="00A60611">
          <w:rPr>
            <w:rStyle w:val="Hyperlink"/>
          </w:rPr>
          <w:t>http://www.meteo.lv/fs/files/CMSP_Purchase_Attach/00/00/00/19/37/0002.pdf</w:t>
        </w:r>
      </w:hyperlink>
      <w:r>
        <w:t xml:space="preserve"> </w:t>
      </w:r>
    </w:p>
  </w:footnote>
  <w:footnote w:id="8">
    <w:p w:rsidR="007716A8" w:rsidRDefault="007716A8" w:rsidP="007716A8">
      <w:pPr>
        <w:pStyle w:val="FootnoteText"/>
      </w:pPr>
      <w:r>
        <w:rPr>
          <w:rStyle w:val="FootnoteReference"/>
        </w:rPr>
        <w:footnoteRef/>
      </w:r>
      <w:r>
        <w:t> </w:t>
      </w:r>
      <w:hyperlink r:id="rId6" w:history="1">
        <w:r w:rsidRPr="00A60611">
          <w:rPr>
            <w:rStyle w:val="Hyperlink"/>
          </w:rPr>
          <w:t>https://pvs.iub.gov.lv/show/532154</w:t>
        </w:r>
      </w:hyperlink>
      <w:r>
        <w:t xml:space="preserve"> </w:t>
      </w:r>
    </w:p>
  </w:footnote>
  <w:footnote w:id="9">
    <w:p w:rsidR="007716A8" w:rsidRDefault="007716A8" w:rsidP="007716A8">
      <w:pPr>
        <w:pStyle w:val="FootnoteText"/>
      </w:pPr>
      <w:r>
        <w:rPr>
          <w:rStyle w:val="FootnoteReference"/>
        </w:rPr>
        <w:footnoteRef/>
      </w:r>
      <w:r>
        <w:t> </w:t>
      </w:r>
      <w:hyperlink r:id="rId7" w:history="1">
        <w:r w:rsidRPr="00A60611">
          <w:rPr>
            <w:rStyle w:val="Hyperlink"/>
          </w:rPr>
          <w:t>http://www.meteo.lv/fs/files/CMSP_Purchase_Attach/00/00/00/21/13/Protokols.pdf</w:t>
        </w:r>
      </w:hyperlink>
      <w:r>
        <w:t xml:space="preserve">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6A8" w:rsidRDefault="007716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16A8" w:rsidRDefault="007716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457843481"/>
      <w:docPartObj>
        <w:docPartGallery w:val="Page Numbers (Top of Page)"/>
        <w:docPartUnique/>
      </w:docPartObj>
    </w:sdtPr>
    <w:sdtEndPr>
      <w:rPr>
        <w:noProof/>
      </w:rPr>
    </w:sdtEndPr>
    <w:sdtContent>
      <w:p w:rsidR="007716A8" w:rsidRPr="0065662A" w:rsidRDefault="007716A8" w:rsidP="007716A8">
        <w:pPr>
          <w:pStyle w:val="Header"/>
          <w:jc w:val="center"/>
          <w:rPr>
            <w:sz w:val="24"/>
            <w:szCs w:val="24"/>
          </w:rPr>
        </w:pPr>
        <w:r w:rsidRPr="0065662A">
          <w:rPr>
            <w:sz w:val="24"/>
            <w:szCs w:val="24"/>
          </w:rPr>
          <w:fldChar w:fldCharType="begin"/>
        </w:r>
        <w:r w:rsidRPr="0065662A">
          <w:rPr>
            <w:sz w:val="24"/>
            <w:szCs w:val="24"/>
          </w:rPr>
          <w:instrText xml:space="preserve"> PAGE   \* MERGEFORMAT </w:instrText>
        </w:r>
        <w:r w:rsidRPr="0065662A">
          <w:rPr>
            <w:sz w:val="24"/>
            <w:szCs w:val="24"/>
          </w:rPr>
          <w:fldChar w:fldCharType="separate"/>
        </w:r>
        <w:r w:rsidR="005A7CEB">
          <w:rPr>
            <w:noProof/>
            <w:sz w:val="24"/>
            <w:szCs w:val="24"/>
          </w:rPr>
          <w:t>10</w:t>
        </w:r>
        <w:r w:rsidRPr="0065662A">
          <w:rPr>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6A8" w:rsidRPr="00A219CA" w:rsidRDefault="007716A8" w:rsidP="00A219CA">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4DD" w:rsidRPr="0065662A" w:rsidRDefault="00C464DD" w:rsidP="00A219CA">
    <w:pPr>
      <w:pStyle w:val="Header"/>
      <w:jc w:val="center"/>
      <w:rPr>
        <w:sz w:val="24"/>
        <w:szCs w:val="24"/>
      </w:rPr>
    </w:pPr>
    <w:r w:rsidRPr="0065662A">
      <w:rPr>
        <w:sz w:val="24"/>
        <w:szCs w:val="24"/>
      </w:rPr>
      <w:t>11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396088"/>
      <w:docPartObj>
        <w:docPartGallery w:val="Page Numbers (Top of Page)"/>
        <w:docPartUnique/>
      </w:docPartObj>
    </w:sdtPr>
    <w:sdtEndPr>
      <w:rPr>
        <w:noProof/>
      </w:rPr>
    </w:sdtEndPr>
    <w:sdtContent>
      <w:p w:rsidR="00A219CA" w:rsidRPr="00DE3BC9" w:rsidRDefault="00A219CA" w:rsidP="007716A8">
        <w:pPr>
          <w:pStyle w:val="Header"/>
          <w:jc w:val="center"/>
        </w:pPr>
        <w:r>
          <w:t>12</w: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022249"/>
      <w:docPartObj>
        <w:docPartGallery w:val="Page Numbers (Top of Page)"/>
        <w:docPartUnique/>
      </w:docPartObj>
    </w:sdtPr>
    <w:sdtEndPr>
      <w:rPr>
        <w:noProof/>
        <w:sz w:val="24"/>
        <w:szCs w:val="24"/>
      </w:rPr>
    </w:sdtEndPr>
    <w:sdtContent>
      <w:p w:rsidR="00A219CA" w:rsidRPr="0065662A" w:rsidRDefault="00A219CA" w:rsidP="00A219CA">
        <w:pPr>
          <w:pStyle w:val="Header"/>
          <w:jc w:val="center"/>
          <w:rPr>
            <w:sz w:val="24"/>
            <w:szCs w:val="24"/>
          </w:rPr>
        </w:pPr>
        <w:r w:rsidRPr="0065662A">
          <w:rPr>
            <w:sz w:val="24"/>
            <w:szCs w:val="24"/>
          </w:rPr>
          <w:t>12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3EC2A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41101"/>
    <w:multiLevelType w:val="hybridMultilevel"/>
    <w:tmpl w:val="D8224E18"/>
    <w:lvl w:ilvl="0" w:tplc="1750C05A">
      <w:start w:val="1"/>
      <w:numFmt w:val="bullet"/>
      <w:lvlText w:val=""/>
      <w:lvlJc w:val="left"/>
      <w:pPr>
        <w:tabs>
          <w:tab w:val="num" w:pos="720"/>
        </w:tabs>
        <w:ind w:left="720" w:hanging="360"/>
      </w:pPr>
      <w:rPr>
        <w:rFonts w:ascii="Symbol" w:hAnsi="Symbol" w:hint="default"/>
        <w:color w:val="auto"/>
      </w:rPr>
    </w:lvl>
    <w:lvl w:ilvl="1" w:tplc="C7F8FA0C" w:tentative="1">
      <w:start w:val="1"/>
      <w:numFmt w:val="bullet"/>
      <w:lvlText w:val="o"/>
      <w:lvlJc w:val="left"/>
      <w:pPr>
        <w:tabs>
          <w:tab w:val="num" w:pos="1440"/>
        </w:tabs>
        <w:ind w:left="1440" w:hanging="360"/>
      </w:pPr>
      <w:rPr>
        <w:rFonts w:ascii="Courier New" w:hAnsi="Courier New" w:cs="Courier New" w:hint="default"/>
      </w:rPr>
    </w:lvl>
    <w:lvl w:ilvl="2" w:tplc="3746EB74" w:tentative="1">
      <w:start w:val="1"/>
      <w:numFmt w:val="bullet"/>
      <w:lvlText w:val=""/>
      <w:lvlJc w:val="left"/>
      <w:pPr>
        <w:tabs>
          <w:tab w:val="num" w:pos="2160"/>
        </w:tabs>
        <w:ind w:left="2160" w:hanging="360"/>
      </w:pPr>
      <w:rPr>
        <w:rFonts w:ascii="Wingdings" w:hAnsi="Wingdings" w:hint="default"/>
      </w:rPr>
    </w:lvl>
    <w:lvl w:ilvl="3" w:tplc="85766428" w:tentative="1">
      <w:start w:val="1"/>
      <w:numFmt w:val="bullet"/>
      <w:lvlText w:val=""/>
      <w:lvlJc w:val="left"/>
      <w:pPr>
        <w:tabs>
          <w:tab w:val="num" w:pos="2880"/>
        </w:tabs>
        <w:ind w:left="2880" w:hanging="360"/>
      </w:pPr>
      <w:rPr>
        <w:rFonts w:ascii="Symbol" w:hAnsi="Symbol" w:hint="default"/>
      </w:rPr>
    </w:lvl>
    <w:lvl w:ilvl="4" w:tplc="BCD84870" w:tentative="1">
      <w:start w:val="1"/>
      <w:numFmt w:val="bullet"/>
      <w:lvlText w:val="o"/>
      <w:lvlJc w:val="left"/>
      <w:pPr>
        <w:tabs>
          <w:tab w:val="num" w:pos="3600"/>
        </w:tabs>
        <w:ind w:left="3600" w:hanging="360"/>
      </w:pPr>
      <w:rPr>
        <w:rFonts w:ascii="Courier New" w:hAnsi="Courier New" w:cs="Courier New" w:hint="default"/>
      </w:rPr>
    </w:lvl>
    <w:lvl w:ilvl="5" w:tplc="7938FAE6" w:tentative="1">
      <w:start w:val="1"/>
      <w:numFmt w:val="bullet"/>
      <w:lvlText w:val=""/>
      <w:lvlJc w:val="left"/>
      <w:pPr>
        <w:tabs>
          <w:tab w:val="num" w:pos="4320"/>
        </w:tabs>
        <w:ind w:left="4320" w:hanging="360"/>
      </w:pPr>
      <w:rPr>
        <w:rFonts w:ascii="Wingdings" w:hAnsi="Wingdings" w:hint="default"/>
      </w:rPr>
    </w:lvl>
    <w:lvl w:ilvl="6" w:tplc="F9F0F0B8" w:tentative="1">
      <w:start w:val="1"/>
      <w:numFmt w:val="bullet"/>
      <w:lvlText w:val=""/>
      <w:lvlJc w:val="left"/>
      <w:pPr>
        <w:tabs>
          <w:tab w:val="num" w:pos="5040"/>
        </w:tabs>
        <w:ind w:left="5040" w:hanging="360"/>
      </w:pPr>
      <w:rPr>
        <w:rFonts w:ascii="Symbol" w:hAnsi="Symbol" w:hint="default"/>
      </w:rPr>
    </w:lvl>
    <w:lvl w:ilvl="7" w:tplc="7B005212" w:tentative="1">
      <w:start w:val="1"/>
      <w:numFmt w:val="bullet"/>
      <w:lvlText w:val="o"/>
      <w:lvlJc w:val="left"/>
      <w:pPr>
        <w:tabs>
          <w:tab w:val="num" w:pos="5760"/>
        </w:tabs>
        <w:ind w:left="5760" w:hanging="360"/>
      </w:pPr>
      <w:rPr>
        <w:rFonts w:ascii="Courier New" w:hAnsi="Courier New" w:cs="Courier New" w:hint="default"/>
      </w:rPr>
    </w:lvl>
    <w:lvl w:ilvl="8" w:tplc="00B8FCA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B68C3"/>
    <w:multiLevelType w:val="multilevel"/>
    <w:tmpl w:val="A0124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49224A"/>
    <w:multiLevelType w:val="hybridMultilevel"/>
    <w:tmpl w:val="1ABAABF6"/>
    <w:lvl w:ilvl="0" w:tplc="E472A2F6">
      <w:start w:val="9"/>
      <w:numFmt w:val="bullet"/>
      <w:lvlText w:val="-"/>
      <w:lvlJc w:val="left"/>
      <w:pPr>
        <w:tabs>
          <w:tab w:val="num" w:pos="1080"/>
        </w:tabs>
        <w:ind w:left="1080" w:hanging="360"/>
      </w:pPr>
      <w:rPr>
        <w:rFonts w:ascii="Times New Roman" w:eastAsia="Times New Roman" w:hAnsi="Times New Roman" w:cs="Times New Roman" w:hint="default"/>
      </w:rPr>
    </w:lvl>
    <w:lvl w:ilvl="1" w:tplc="62BA0460">
      <w:start w:val="1"/>
      <w:numFmt w:val="bullet"/>
      <w:lvlText w:val=""/>
      <w:lvlJc w:val="left"/>
      <w:pPr>
        <w:tabs>
          <w:tab w:val="num" w:pos="1800"/>
        </w:tabs>
        <w:ind w:left="1800" w:hanging="360"/>
      </w:pPr>
      <w:rPr>
        <w:rFonts w:ascii="Symbol" w:hAnsi="Symbol" w:hint="default"/>
      </w:rPr>
    </w:lvl>
    <w:lvl w:ilvl="2" w:tplc="4606E75A" w:tentative="1">
      <w:start w:val="1"/>
      <w:numFmt w:val="bullet"/>
      <w:lvlText w:val=""/>
      <w:lvlJc w:val="left"/>
      <w:pPr>
        <w:tabs>
          <w:tab w:val="num" w:pos="2520"/>
        </w:tabs>
        <w:ind w:left="2520" w:hanging="360"/>
      </w:pPr>
      <w:rPr>
        <w:rFonts w:ascii="Wingdings" w:hAnsi="Wingdings" w:hint="default"/>
      </w:rPr>
    </w:lvl>
    <w:lvl w:ilvl="3" w:tplc="14D0AEBA">
      <w:start w:val="9"/>
      <w:numFmt w:val="bullet"/>
      <w:lvlText w:val="-"/>
      <w:lvlJc w:val="left"/>
      <w:pPr>
        <w:tabs>
          <w:tab w:val="num" w:pos="3240"/>
        </w:tabs>
        <w:ind w:left="3240" w:hanging="360"/>
      </w:pPr>
      <w:rPr>
        <w:rFonts w:ascii="Times New Roman" w:eastAsia="Times New Roman" w:hAnsi="Times New Roman" w:cs="Times New Roman" w:hint="default"/>
      </w:rPr>
    </w:lvl>
    <w:lvl w:ilvl="4" w:tplc="A9687210" w:tentative="1">
      <w:start w:val="1"/>
      <w:numFmt w:val="bullet"/>
      <w:lvlText w:val="o"/>
      <w:lvlJc w:val="left"/>
      <w:pPr>
        <w:tabs>
          <w:tab w:val="num" w:pos="3960"/>
        </w:tabs>
        <w:ind w:left="3960" w:hanging="360"/>
      </w:pPr>
      <w:rPr>
        <w:rFonts w:ascii="Courier New" w:hAnsi="Courier New" w:hint="default"/>
      </w:rPr>
    </w:lvl>
    <w:lvl w:ilvl="5" w:tplc="41BC28B0" w:tentative="1">
      <w:start w:val="1"/>
      <w:numFmt w:val="bullet"/>
      <w:lvlText w:val=""/>
      <w:lvlJc w:val="left"/>
      <w:pPr>
        <w:tabs>
          <w:tab w:val="num" w:pos="4680"/>
        </w:tabs>
        <w:ind w:left="4680" w:hanging="360"/>
      </w:pPr>
      <w:rPr>
        <w:rFonts w:ascii="Wingdings" w:hAnsi="Wingdings" w:hint="default"/>
      </w:rPr>
    </w:lvl>
    <w:lvl w:ilvl="6" w:tplc="4D0E7B94" w:tentative="1">
      <w:start w:val="1"/>
      <w:numFmt w:val="bullet"/>
      <w:lvlText w:val=""/>
      <w:lvlJc w:val="left"/>
      <w:pPr>
        <w:tabs>
          <w:tab w:val="num" w:pos="5400"/>
        </w:tabs>
        <w:ind w:left="5400" w:hanging="360"/>
      </w:pPr>
      <w:rPr>
        <w:rFonts w:ascii="Symbol" w:hAnsi="Symbol" w:hint="default"/>
      </w:rPr>
    </w:lvl>
    <w:lvl w:ilvl="7" w:tplc="62CCAC6E" w:tentative="1">
      <w:start w:val="1"/>
      <w:numFmt w:val="bullet"/>
      <w:lvlText w:val="o"/>
      <w:lvlJc w:val="left"/>
      <w:pPr>
        <w:tabs>
          <w:tab w:val="num" w:pos="6120"/>
        </w:tabs>
        <w:ind w:left="6120" w:hanging="360"/>
      </w:pPr>
      <w:rPr>
        <w:rFonts w:ascii="Courier New" w:hAnsi="Courier New" w:hint="default"/>
      </w:rPr>
    </w:lvl>
    <w:lvl w:ilvl="8" w:tplc="AD6A54C2"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82458A"/>
    <w:multiLevelType w:val="multilevel"/>
    <w:tmpl w:val="D778A03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28C3547"/>
    <w:multiLevelType w:val="hybridMultilevel"/>
    <w:tmpl w:val="367483E4"/>
    <w:lvl w:ilvl="0" w:tplc="115C32AC">
      <w:start w:val="1"/>
      <w:numFmt w:val="decimal"/>
      <w:lvlText w:val="%1."/>
      <w:lvlJc w:val="left"/>
      <w:pPr>
        <w:ind w:left="720" w:hanging="360"/>
      </w:pPr>
    </w:lvl>
    <w:lvl w:ilvl="1" w:tplc="8258D506">
      <w:start w:val="1"/>
      <w:numFmt w:val="lowerLetter"/>
      <w:lvlText w:val="%2."/>
      <w:lvlJc w:val="left"/>
      <w:pPr>
        <w:ind w:left="1440" w:hanging="360"/>
      </w:pPr>
    </w:lvl>
    <w:lvl w:ilvl="2" w:tplc="0220C1B8">
      <w:start w:val="1"/>
      <w:numFmt w:val="lowerRoman"/>
      <w:lvlText w:val="%3."/>
      <w:lvlJc w:val="right"/>
      <w:pPr>
        <w:ind w:left="2160" w:hanging="180"/>
      </w:pPr>
    </w:lvl>
    <w:lvl w:ilvl="3" w:tplc="5B36B3E6">
      <w:start w:val="1"/>
      <w:numFmt w:val="decimal"/>
      <w:lvlText w:val="%4."/>
      <w:lvlJc w:val="left"/>
      <w:pPr>
        <w:ind w:left="2880" w:hanging="360"/>
      </w:pPr>
    </w:lvl>
    <w:lvl w:ilvl="4" w:tplc="0B7AC2B2">
      <w:start w:val="1"/>
      <w:numFmt w:val="lowerLetter"/>
      <w:lvlText w:val="%5."/>
      <w:lvlJc w:val="left"/>
      <w:pPr>
        <w:ind w:left="3600" w:hanging="360"/>
      </w:pPr>
    </w:lvl>
    <w:lvl w:ilvl="5" w:tplc="9B8E26D2">
      <w:start w:val="1"/>
      <w:numFmt w:val="lowerRoman"/>
      <w:lvlText w:val="%6."/>
      <w:lvlJc w:val="right"/>
      <w:pPr>
        <w:ind w:left="4320" w:hanging="180"/>
      </w:pPr>
    </w:lvl>
    <w:lvl w:ilvl="6" w:tplc="906640AC">
      <w:start w:val="1"/>
      <w:numFmt w:val="decimal"/>
      <w:lvlText w:val="%7."/>
      <w:lvlJc w:val="left"/>
      <w:pPr>
        <w:ind w:left="5040" w:hanging="360"/>
      </w:pPr>
    </w:lvl>
    <w:lvl w:ilvl="7" w:tplc="8C005E00">
      <w:start w:val="1"/>
      <w:numFmt w:val="lowerLetter"/>
      <w:lvlText w:val="%8."/>
      <w:lvlJc w:val="left"/>
      <w:pPr>
        <w:ind w:left="5760" w:hanging="360"/>
      </w:pPr>
    </w:lvl>
    <w:lvl w:ilvl="8" w:tplc="B5529BE4">
      <w:start w:val="1"/>
      <w:numFmt w:val="lowerRoman"/>
      <w:lvlText w:val="%9."/>
      <w:lvlJc w:val="right"/>
      <w:pPr>
        <w:ind w:left="6480" w:hanging="180"/>
      </w:pPr>
    </w:lvl>
  </w:abstractNum>
  <w:abstractNum w:abstractNumId="6" w15:restartNumberingAfterBreak="0">
    <w:nsid w:val="131B2DEF"/>
    <w:multiLevelType w:val="hybridMultilevel"/>
    <w:tmpl w:val="5D449670"/>
    <w:lvl w:ilvl="0" w:tplc="C0BEDF38">
      <w:start w:val="1"/>
      <w:numFmt w:val="decimal"/>
      <w:lvlText w:val="%1."/>
      <w:lvlJc w:val="left"/>
      <w:pPr>
        <w:tabs>
          <w:tab w:val="num" w:pos="720"/>
        </w:tabs>
        <w:ind w:left="720" w:hanging="360"/>
      </w:pPr>
      <w:rPr>
        <w:rFonts w:hint="default"/>
      </w:rPr>
    </w:lvl>
    <w:lvl w:ilvl="1" w:tplc="0BE233A2" w:tentative="1">
      <w:start w:val="1"/>
      <w:numFmt w:val="lowerLetter"/>
      <w:lvlText w:val="%2."/>
      <w:lvlJc w:val="left"/>
      <w:pPr>
        <w:tabs>
          <w:tab w:val="num" w:pos="1440"/>
        </w:tabs>
        <w:ind w:left="1440" w:hanging="360"/>
      </w:pPr>
    </w:lvl>
    <w:lvl w:ilvl="2" w:tplc="145C4E0C" w:tentative="1">
      <w:start w:val="1"/>
      <w:numFmt w:val="lowerRoman"/>
      <w:lvlText w:val="%3."/>
      <w:lvlJc w:val="right"/>
      <w:pPr>
        <w:tabs>
          <w:tab w:val="num" w:pos="2160"/>
        </w:tabs>
        <w:ind w:left="2160" w:hanging="180"/>
      </w:pPr>
    </w:lvl>
    <w:lvl w:ilvl="3" w:tplc="9E56E8D6" w:tentative="1">
      <w:start w:val="1"/>
      <w:numFmt w:val="decimal"/>
      <w:lvlText w:val="%4."/>
      <w:lvlJc w:val="left"/>
      <w:pPr>
        <w:tabs>
          <w:tab w:val="num" w:pos="2880"/>
        </w:tabs>
        <w:ind w:left="2880" w:hanging="360"/>
      </w:pPr>
    </w:lvl>
    <w:lvl w:ilvl="4" w:tplc="1AE63C0A" w:tentative="1">
      <w:start w:val="1"/>
      <w:numFmt w:val="lowerLetter"/>
      <w:lvlText w:val="%5."/>
      <w:lvlJc w:val="left"/>
      <w:pPr>
        <w:tabs>
          <w:tab w:val="num" w:pos="3600"/>
        </w:tabs>
        <w:ind w:left="3600" w:hanging="360"/>
      </w:pPr>
    </w:lvl>
    <w:lvl w:ilvl="5" w:tplc="B0789656" w:tentative="1">
      <w:start w:val="1"/>
      <w:numFmt w:val="lowerRoman"/>
      <w:lvlText w:val="%6."/>
      <w:lvlJc w:val="right"/>
      <w:pPr>
        <w:tabs>
          <w:tab w:val="num" w:pos="4320"/>
        </w:tabs>
        <w:ind w:left="4320" w:hanging="180"/>
      </w:pPr>
    </w:lvl>
    <w:lvl w:ilvl="6" w:tplc="F428585A" w:tentative="1">
      <w:start w:val="1"/>
      <w:numFmt w:val="decimal"/>
      <w:lvlText w:val="%7."/>
      <w:lvlJc w:val="left"/>
      <w:pPr>
        <w:tabs>
          <w:tab w:val="num" w:pos="5040"/>
        </w:tabs>
        <w:ind w:left="5040" w:hanging="360"/>
      </w:pPr>
    </w:lvl>
    <w:lvl w:ilvl="7" w:tplc="E76CD10C" w:tentative="1">
      <w:start w:val="1"/>
      <w:numFmt w:val="lowerLetter"/>
      <w:lvlText w:val="%8."/>
      <w:lvlJc w:val="left"/>
      <w:pPr>
        <w:tabs>
          <w:tab w:val="num" w:pos="5760"/>
        </w:tabs>
        <w:ind w:left="5760" w:hanging="360"/>
      </w:pPr>
    </w:lvl>
    <w:lvl w:ilvl="8" w:tplc="620E06F0" w:tentative="1">
      <w:start w:val="1"/>
      <w:numFmt w:val="lowerRoman"/>
      <w:lvlText w:val="%9."/>
      <w:lvlJc w:val="right"/>
      <w:pPr>
        <w:tabs>
          <w:tab w:val="num" w:pos="6480"/>
        </w:tabs>
        <w:ind w:left="6480" w:hanging="180"/>
      </w:pPr>
    </w:lvl>
  </w:abstractNum>
  <w:abstractNum w:abstractNumId="7" w15:restartNumberingAfterBreak="0">
    <w:nsid w:val="13DA3C6F"/>
    <w:multiLevelType w:val="hybridMultilevel"/>
    <w:tmpl w:val="681C6E90"/>
    <w:lvl w:ilvl="0" w:tplc="44AE4234">
      <w:start w:val="1"/>
      <w:numFmt w:val="decimal"/>
      <w:lvlText w:val="%1."/>
      <w:lvlJc w:val="left"/>
      <w:pPr>
        <w:tabs>
          <w:tab w:val="num" w:pos="1095"/>
        </w:tabs>
        <w:ind w:left="1095" w:hanging="735"/>
      </w:pPr>
      <w:rPr>
        <w:rFonts w:hint="default"/>
      </w:rPr>
    </w:lvl>
    <w:lvl w:ilvl="1" w:tplc="30D0FDCC" w:tentative="1">
      <w:start w:val="1"/>
      <w:numFmt w:val="lowerLetter"/>
      <w:lvlText w:val="%2."/>
      <w:lvlJc w:val="left"/>
      <w:pPr>
        <w:tabs>
          <w:tab w:val="num" w:pos="1440"/>
        </w:tabs>
        <w:ind w:left="1440" w:hanging="360"/>
      </w:pPr>
    </w:lvl>
    <w:lvl w:ilvl="2" w:tplc="4026749A" w:tentative="1">
      <w:start w:val="1"/>
      <w:numFmt w:val="lowerRoman"/>
      <w:lvlText w:val="%3."/>
      <w:lvlJc w:val="right"/>
      <w:pPr>
        <w:tabs>
          <w:tab w:val="num" w:pos="2160"/>
        </w:tabs>
        <w:ind w:left="2160" w:hanging="180"/>
      </w:pPr>
    </w:lvl>
    <w:lvl w:ilvl="3" w:tplc="DD72086C" w:tentative="1">
      <w:start w:val="1"/>
      <w:numFmt w:val="decimal"/>
      <w:lvlText w:val="%4."/>
      <w:lvlJc w:val="left"/>
      <w:pPr>
        <w:tabs>
          <w:tab w:val="num" w:pos="2880"/>
        </w:tabs>
        <w:ind w:left="2880" w:hanging="360"/>
      </w:pPr>
    </w:lvl>
    <w:lvl w:ilvl="4" w:tplc="59DCB9DC" w:tentative="1">
      <w:start w:val="1"/>
      <w:numFmt w:val="lowerLetter"/>
      <w:lvlText w:val="%5."/>
      <w:lvlJc w:val="left"/>
      <w:pPr>
        <w:tabs>
          <w:tab w:val="num" w:pos="3600"/>
        </w:tabs>
        <w:ind w:left="3600" w:hanging="360"/>
      </w:pPr>
    </w:lvl>
    <w:lvl w:ilvl="5" w:tplc="CB421CBC" w:tentative="1">
      <w:start w:val="1"/>
      <w:numFmt w:val="lowerRoman"/>
      <w:lvlText w:val="%6."/>
      <w:lvlJc w:val="right"/>
      <w:pPr>
        <w:tabs>
          <w:tab w:val="num" w:pos="4320"/>
        </w:tabs>
        <w:ind w:left="4320" w:hanging="180"/>
      </w:pPr>
    </w:lvl>
    <w:lvl w:ilvl="6" w:tplc="AA1EC350" w:tentative="1">
      <w:start w:val="1"/>
      <w:numFmt w:val="decimal"/>
      <w:lvlText w:val="%7."/>
      <w:lvlJc w:val="left"/>
      <w:pPr>
        <w:tabs>
          <w:tab w:val="num" w:pos="5040"/>
        </w:tabs>
        <w:ind w:left="5040" w:hanging="360"/>
      </w:pPr>
    </w:lvl>
    <w:lvl w:ilvl="7" w:tplc="6F06A4BA" w:tentative="1">
      <w:start w:val="1"/>
      <w:numFmt w:val="lowerLetter"/>
      <w:lvlText w:val="%8."/>
      <w:lvlJc w:val="left"/>
      <w:pPr>
        <w:tabs>
          <w:tab w:val="num" w:pos="5760"/>
        </w:tabs>
        <w:ind w:left="5760" w:hanging="360"/>
      </w:pPr>
    </w:lvl>
    <w:lvl w:ilvl="8" w:tplc="E7E26344" w:tentative="1">
      <w:start w:val="1"/>
      <w:numFmt w:val="lowerRoman"/>
      <w:lvlText w:val="%9."/>
      <w:lvlJc w:val="right"/>
      <w:pPr>
        <w:tabs>
          <w:tab w:val="num" w:pos="6480"/>
        </w:tabs>
        <w:ind w:left="6480" w:hanging="180"/>
      </w:pPr>
    </w:lvl>
  </w:abstractNum>
  <w:abstractNum w:abstractNumId="8" w15:restartNumberingAfterBreak="0">
    <w:nsid w:val="19057F95"/>
    <w:multiLevelType w:val="hybridMultilevel"/>
    <w:tmpl w:val="85CC486A"/>
    <w:lvl w:ilvl="0" w:tplc="40182D5E">
      <w:start w:val="1"/>
      <w:numFmt w:val="decimal"/>
      <w:lvlText w:val="%1)"/>
      <w:lvlJc w:val="left"/>
      <w:pPr>
        <w:tabs>
          <w:tab w:val="num" w:pos="930"/>
        </w:tabs>
        <w:ind w:left="930" w:hanging="750"/>
      </w:pPr>
      <w:rPr>
        <w:rFonts w:ascii="Times New Roman" w:eastAsia="Times New Roman" w:hAnsi="Times New Roman" w:cs="Times New Roman"/>
      </w:rPr>
    </w:lvl>
    <w:lvl w:ilvl="1" w:tplc="B8AC371A" w:tentative="1">
      <w:start w:val="1"/>
      <w:numFmt w:val="lowerLetter"/>
      <w:lvlText w:val="%2."/>
      <w:lvlJc w:val="left"/>
      <w:pPr>
        <w:tabs>
          <w:tab w:val="num" w:pos="1440"/>
        </w:tabs>
        <w:ind w:left="1440" w:hanging="360"/>
      </w:pPr>
    </w:lvl>
    <w:lvl w:ilvl="2" w:tplc="5F385164" w:tentative="1">
      <w:start w:val="1"/>
      <w:numFmt w:val="lowerRoman"/>
      <w:lvlText w:val="%3."/>
      <w:lvlJc w:val="right"/>
      <w:pPr>
        <w:tabs>
          <w:tab w:val="num" w:pos="2160"/>
        </w:tabs>
        <w:ind w:left="2160" w:hanging="180"/>
      </w:pPr>
    </w:lvl>
    <w:lvl w:ilvl="3" w:tplc="BB1CAB72" w:tentative="1">
      <w:start w:val="1"/>
      <w:numFmt w:val="decimal"/>
      <w:lvlText w:val="%4."/>
      <w:lvlJc w:val="left"/>
      <w:pPr>
        <w:tabs>
          <w:tab w:val="num" w:pos="2880"/>
        </w:tabs>
        <w:ind w:left="2880" w:hanging="360"/>
      </w:pPr>
    </w:lvl>
    <w:lvl w:ilvl="4" w:tplc="D55E13B6" w:tentative="1">
      <w:start w:val="1"/>
      <w:numFmt w:val="lowerLetter"/>
      <w:lvlText w:val="%5."/>
      <w:lvlJc w:val="left"/>
      <w:pPr>
        <w:tabs>
          <w:tab w:val="num" w:pos="3600"/>
        </w:tabs>
        <w:ind w:left="3600" w:hanging="360"/>
      </w:pPr>
    </w:lvl>
    <w:lvl w:ilvl="5" w:tplc="89307F66" w:tentative="1">
      <w:start w:val="1"/>
      <w:numFmt w:val="lowerRoman"/>
      <w:lvlText w:val="%6."/>
      <w:lvlJc w:val="right"/>
      <w:pPr>
        <w:tabs>
          <w:tab w:val="num" w:pos="4320"/>
        </w:tabs>
        <w:ind w:left="4320" w:hanging="180"/>
      </w:pPr>
    </w:lvl>
    <w:lvl w:ilvl="6" w:tplc="DE7E4BBC" w:tentative="1">
      <w:start w:val="1"/>
      <w:numFmt w:val="decimal"/>
      <w:lvlText w:val="%7."/>
      <w:lvlJc w:val="left"/>
      <w:pPr>
        <w:tabs>
          <w:tab w:val="num" w:pos="5040"/>
        </w:tabs>
        <w:ind w:left="5040" w:hanging="360"/>
      </w:pPr>
    </w:lvl>
    <w:lvl w:ilvl="7" w:tplc="D5EE92C2" w:tentative="1">
      <w:start w:val="1"/>
      <w:numFmt w:val="lowerLetter"/>
      <w:lvlText w:val="%8."/>
      <w:lvlJc w:val="left"/>
      <w:pPr>
        <w:tabs>
          <w:tab w:val="num" w:pos="5760"/>
        </w:tabs>
        <w:ind w:left="5760" w:hanging="360"/>
      </w:pPr>
    </w:lvl>
    <w:lvl w:ilvl="8" w:tplc="9AFAF286" w:tentative="1">
      <w:start w:val="1"/>
      <w:numFmt w:val="lowerRoman"/>
      <w:lvlText w:val="%9."/>
      <w:lvlJc w:val="right"/>
      <w:pPr>
        <w:tabs>
          <w:tab w:val="num" w:pos="6480"/>
        </w:tabs>
        <w:ind w:left="6480" w:hanging="180"/>
      </w:pPr>
    </w:lvl>
  </w:abstractNum>
  <w:abstractNum w:abstractNumId="9" w15:restartNumberingAfterBreak="0">
    <w:nsid w:val="1EAC516D"/>
    <w:multiLevelType w:val="hybridMultilevel"/>
    <w:tmpl w:val="8AE2A44A"/>
    <w:lvl w:ilvl="0" w:tplc="C17C6ADE">
      <w:start w:val="1"/>
      <w:numFmt w:val="decimal"/>
      <w:lvlText w:val="%1)"/>
      <w:lvlJc w:val="left"/>
      <w:pPr>
        <w:ind w:left="1069" w:hanging="360"/>
      </w:pPr>
      <w:rPr>
        <w:rFonts w:hint="default"/>
        <w:color w:val="000000"/>
      </w:rPr>
    </w:lvl>
    <w:lvl w:ilvl="1" w:tplc="25629788" w:tentative="1">
      <w:start w:val="1"/>
      <w:numFmt w:val="lowerLetter"/>
      <w:lvlText w:val="%2."/>
      <w:lvlJc w:val="left"/>
      <w:pPr>
        <w:ind w:left="1789" w:hanging="360"/>
      </w:pPr>
    </w:lvl>
    <w:lvl w:ilvl="2" w:tplc="DC344736" w:tentative="1">
      <w:start w:val="1"/>
      <w:numFmt w:val="lowerRoman"/>
      <w:lvlText w:val="%3."/>
      <w:lvlJc w:val="right"/>
      <w:pPr>
        <w:ind w:left="2509" w:hanging="180"/>
      </w:pPr>
    </w:lvl>
    <w:lvl w:ilvl="3" w:tplc="3C9816F8" w:tentative="1">
      <w:start w:val="1"/>
      <w:numFmt w:val="decimal"/>
      <w:lvlText w:val="%4."/>
      <w:lvlJc w:val="left"/>
      <w:pPr>
        <w:ind w:left="3229" w:hanging="360"/>
      </w:pPr>
    </w:lvl>
    <w:lvl w:ilvl="4" w:tplc="8BE2E32E" w:tentative="1">
      <w:start w:val="1"/>
      <w:numFmt w:val="lowerLetter"/>
      <w:lvlText w:val="%5."/>
      <w:lvlJc w:val="left"/>
      <w:pPr>
        <w:ind w:left="3949" w:hanging="360"/>
      </w:pPr>
    </w:lvl>
    <w:lvl w:ilvl="5" w:tplc="00844980" w:tentative="1">
      <w:start w:val="1"/>
      <w:numFmt w:val="lowerRoman"/>
      <w:lvlText w:val="%6."/>
      <w:lvlJc w:val="right"/>
      <w:pPr>
        <w:ind w:left="4669" w:hanging="180"/>
      </w:pPr>
    </w:lvl>
    <w:lvl w:ilvl="6" w:tplc="14BE02E6" w:tentative="1">
      <w:start w:val="1"/>
      <w:numFmt w:val="decimal"/>
      <w:lvlText w:val="%7."/>
      <w:lvlJc w:val="left"/>
      <w:pPr>
        <w:ind w:left="5389" w:hanging="360"/>
      </w:pPr>
    </w:lvl>
    <w:lvl w:ilvl="7" w:tplc="8D7A1596" w:tentative="1">
      <w:start w:val="1"/>
      <w:numFmt w:val="lowerLetter"/>
      <w:lvlText w:val="%8."/>
      <w:lvlJc w:val="left"/>
      <w:pPr>
        <w:ind w:left="6109" w:hanging="360"/>
      </w:pPr>
    </w:lvl>
    <w:lvl w:ilvl="8" w:tplc="90FA3B14" w:tentative="1">
      <w:start w:val="1"/>
      <w:numFmt w:val="lowerRoman"/>
      <w:lvlText w:val="%9."/>
      <w:lvlJc w:val="right"/>
      <w:pPr>
        <w:ind w:left="6829" w:hanging="180"/>
      </w:pPr>
    </w:lvl>
  </w:abstractNum>
  <w:abstractNum w:abstractNumId="10" w15:restartNumberingAfterBreak="0">
    <w:nsid w:val="278A0F98"/>
    <w:multiLevelType w:val="hybridMultilevel"/>
    <w:tmpl w:val="E2AC8A54"/>
    <w:lvl w:ilvl="0" w:tplc="67882B28">
      <w:start w:val="1"/>
      <w:numFmt w:val="decimal"/>
      <w:lvlText w:val="%1."/>
      <w:lvlJc w:val="left"/>
      <w:pPr>
        <w:tabs>
          <w:tab w:val="num" w:pos="720"/>
        </w:tabs>
        <w:ind w:left="720" w:hanging="360"/>
      </w:pPr>
      <w:rPr>
        <w:rFonts w:hint="default"/>
      </w:rPr>
    </w:lvl>
    <w:lvl w:ilvl="1" w:tplc="22E65C20" w:tentative="1">
      <w:start w:val="1"/>
      <w:numFmt w:val="lowerLetter"/>
      <w:lvlText w:val="%2."/>
      <w:lvlJc w:val="left"/>
      <w:pPr>
        <w:tabs>
          <w:tab w:val="num" w:pos="1440"/>
        </w:tabs>
        <w:ind w:left="1440" w:hanging="360"/>
      </w:pPr>
    </w:lvl>
    <w:lvl w:ilvl="2" w:tplc="952C201E">
      <w:start w:val="1"/>
      <w:numFmt w:val="lowerRoman"/>
      <w:lvlText w:val="%3."/>
      <w:lvlJc w:val="right"/>
      <w:pPr>
        <w:tabs>
          <w:tab w:val="num" w:pos="2160"/>
        </w:tabs>
        <w:ind w:left="2160" w:hanging="180"/>
      </w:pPr>
    </w:lvl>
    <w:lvl w:ilvl="3" w:tplc="7840933E" w:tentative="1">
      <w:start w:val="1"/>
      <w:numFmt w:val="decimal"/>
      <w:lvlText w:val="%4."/>
      <w:lvlJc w:val="left"/>
      <w:pPr>
        <w:tabs>
          <w:tab w:val="num" w:pos="2880"/>
        </w:tabs>
        <w:ind w:left="2880" w:hanging="360"/>
      </w:pPr>
    </w:lvl>
    <w:lvl w:ilvl="4" w:tplc="3F0C3412" w:tentative="1">
      <w:start w:val="1"/>
      <w:numFmt w:val="lowerLetter"/>
      <w:lvlText w:val="%5."/>
      <w:lvlJc w:val="left"/>
      <w:pPr>
        <w:tabs>
          <w:tab w:val="num" w:pos="3600"/>
        </w:tabs>
        <w:ind w:left="3600" w:hanging="360"/>
      </w:pPr>
    </w:lvl>
    <w:lvl w:ilvl="5" w:tplc="160C3026" w:tentative="1">
      <w:start w:val="1"/>
      <w:numFmt w:val="lowerRoman"/>
      <w:lvlText w:val="%6."/>
      <w:lvlJc w:val="right"/>
      <w:pPr>
        <w:tabs>
          <w:tab w:val="num" w:pos="4320"/>
        </w:tabs>
        <w:ind w:left="4320" w:hanging="180"/>
      </w:pPr>
    </w:lvl>
    <w:lvl w:ilvl="6" w:tplc="98323E0E" w:tentative="1">
      <w:start w:val="1"/>
      <w:numFmt w:val="decimal"/>
      <w:lvlText w:val="%7."/>
      <w:lvlJc w:val="left"/>
      <w:pPr>
        <w:tabs>
          <w:tab w:val="num" w:pos="5040"/>
        </w:tabs>
        <w:ind w:left="5040" w:hanging="360"/>
      </w:pPr>
    </w:lvl>
    <w:lvl w:ilvl="7" w:tplc="26502510" w:tentative="1">
      <w:start w:val="1"/>
      <w:numFmt w:val="lowerLetter"/>
      <w:lvlText w:val="%8."/>
      <w:lvlJc w:val="left"/>
      <w:pPr>
        <w:tabs>
          <w:tab w:val="num" w:pos="5760"/>
        </w:tabs>
        <w:ind w:left="5760" w:hanging="360"/>
      </w:pPr>
    </w:lvl>
    <w:lvl w:ilvl="8" w:tplc="257454FC" w:tentative="1">
      <w:start w:val="1"/>
      <w:numFmt w:val="lowerRoman"/>
      <w:lvlText w:val="%9."/>
      <w:lvlJc w:val="right"/>
      <w:pPr>
        <w:tabs>
          <w:tab w:val="num" w:pos="6480"/>
        </w:tabs>
        <w:ind w:left="6480" w:hanging="180"/>
      </w:pPr>
    </w:lvl>
  </w:abstractNum>
  <w:abstractNum w:abstractNumId="11" w15:restartNumberingAfterBreak="0">
    <w:nsid w:val="2D9D1482"/>
    <w:multiLevelType w:val="multilevel"/>
    <w:tmpl w:val="F09C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C3604A"/>
    <w:multiLevelType w:val="hybridMultilevel"/>
    <w:tmpl w:val="2424E10A"/>
    <w:lvl w:ilvl="0" w:tplc="495A8974">
      <w:start w:val="1"/>
      <w:numFmt w:val="decimal"/>
      <w:lvlText w:val="%1."/>
      <w:lvlJc w:val="left"/>
      <w:pPr>
        <w:tabs>
          <w:tab w:val="num" w:pos="1080"/>
        </w:tabs>
        <w:ind w:left="1080" w:hanging="360"/>
      </w:pPr>
      <w:rPr>
        <w:rFonts w:ascii="Arial" w:hAnsi="Arial" w:hint="default"/>
        <w:b w:val="0"/>
        <w:i w:val="0"/>
        <w:sz w:val="20"/>
        <w:szCs w:val="20"/>
      </w:rPr>
    </w:lvl>
    <w:lvl w:ilvl="1" w:tplc="C6EA78D2">
      <w:start w:val="1"/>
      <w:numFmt w:val="lowerLetter"/>
      <w:lvlText w:val="%2."/>
      <w:lvlJc w:val="left"/>
      <w:pPr>
        <w:tabs>
          <w:tab w:val="num" w:pos="1800"/>
        </w:tabs>
        <w:ind w:left="1800" w:hanging="360"/>
      </w:pPr>
    </w:lvl>
    <w:lvl w:ilvl="2" w:tplc="7868A032" w:tentative="1">
      <w:start w:val="1"/>
      <w:numFmt w:val="lowerRoman"/>
      <w:lvlText w:val="%3."/>
      <w:lvlJc w:val="right"/>
      <w:pPr>
        <w:tabs>
          <w:tab w:val="num" w:pos="2520"/>
        </w:tabs>
        <w:ind w:left="2520" w:hanging="180"/>
      </w:pPr>
    </w:lvl>
    <w:lvl w:ilvl="3" w:tplc="4BDEDF38" w:tentative="1">
      <w:start w:val="1"/>
      <w:numFmt w:val="decimal"/>
      <w:lvlText w:val="%4."/>
      <w:lvlJc w:val="left"/>
      <w:pPr>
        <w:tabs>
          <w:tab w:val="num" w:pos="3240"/>
        </w:tabs>
        <w:ind w:left="3240" w:hanging="360"/>
      </w:pPr>
    </w:lvl>
    <w:lvl w:ilvl="4" w:tplc="0784A426" w:tentative="1">
      <w:start w:val="1"/>
      <w:numFmt w:val="lowerLetter"/>
      <w:lvlText w:val="%5."/>
      <w:lvlJc w:val="left"/>
      <w:pPr>
        <w:tabs>
          <w:tab w:val="num" w:pos="3960"/>
        </w:tabs>
        <w:ind w:left="3960" w:hanging="360"/>
      </w:pPr>
    </w:lvl>
    <w:lvl w:ilvl="5" w:tplc="B88C5570" w:tentative="1">
      <w:start w:val="1"/>
      <w:numFmt w:val="lowerRoman"/>
      <w:lvlText w:val="%6."/>
      <w:lvlJc w:val="right"/>
      <w:pPr>
        <w:tabs>
          <w:tab w:val="num" w:pos="4680"/>
        </w:tabs>
        <w:ind w:left="4680" w:hanging="180"/>
      </w:pPr>
    </w:lvl>
    <w:lvl w:ilvl="6" w:tplc="205E1D80" w:tentative="1">
      <w:start w:val="1"/>
      <w:numFmt w:val="decimal"/>
      <w:lvlText w:val="%7."/>
      <w:lvlJc w:val="left"/>
      <w:pPr>
        <w:tabs>
          <w:tab w:val="num" w:pos="5400"/>
        </w:tabs>
        <w:ind w:left="5400" w:hanging="360"/>
      </w:pPr>
    </w:lvl>
    <w:lvl w:ilvl="7" w:tplc="04D2424E" w:tentative="1">
      <w:start w:val="1"/>
      <w:numFmt w:val="lowerLetter"/>
      <w:lvlText w:val="%8."/>
      <w:lvlJc w:val="left"/>
      <w:pPr>
        <w:tabs>
          <w:tab w:val="num" w:pos="6120"/>
        </w:tabs>
        <w:ind w:left="6120" w:hanging="360"/>
      </w:pPr>
    </w:lvl>
    <w:lvl w:ilvl="8" w:tplc="228EE5D8" w:tentative="1">
      <w:start w:val="1"/>
      <w:numFmt w:val="lowerRoman"/>
      <w:lvlText w:val="%9."/>
      <w:lvlJc w:val="right"/>
      <w:pPr>
        <w:tabs>
          <w:tab w:val="num" w:pos="6840"/>
        </w:tabs>
        <w:ind w:left="6840" w:hanging="180"/>
      </w:pPr>
    </w:lvl>
  </w:abstractNum>
  <w:abstractNum w:abstractNumId="13" w15:restartNumberingAfterBreak="0">
    <w:nsid w:val="39A6654A"/>
    <w:multiLevelType w:val="hybridMultilevel"/>
    <w:tmpl w:val="422E6344"/>
    <w:lvl w:ilvl="0" w:tplc="63A408E4">
      <w:start w:val="1"/>
      <w:numFmt w:val="decimal"/>
      <w:lvlText w:val="%1)"/>
      <w:lvlJc w:val="left"/>
      <w:pPr>
        <w:ind w:left="1069" w:hanging="360"/>
      </w:pPr>
      <w:rPr>
        <w:rFonts w:hint="default"/>
      </w:rPr>
    </w:lvl>
    <w:lvl w:ilvl="1" w:tplc="4F12C9AA" w:tentative="1">
      <w:start w:val="1"/>
      <w:numFmt w:val="lowerLetter"/>
      <w:lvlText w:val="%2."/>
      <w:lvlJc w:val="left"/>
      <w:pPr>
        <w:ind w:left="1789" w:hanging="360"/>
      </w:pPr>
    </w:lvl>
    <w:lvl w:ilvl="2" w:tplc="06F64F16" w:tentative="1">
      <w:start w:val="1"/>
      <w:numFmt w:val="lowerRoman"/>
      <w:lvlText w:val="%3."/>
      <w:lvlJc w:val="right"/>
      <w:pPr>
        <w:ind w:left="2509" w:hanging="180"/>
      </w:pPr>
    </w:lvl>
    <w:lvl w:ilvl="3" w:tplc="6A8AB300" w:tentative="1">
      <w:start w:val="1"/>
      <w:numFmt w:val="decimal"/>
      <w:lvlText w:val="%4."/>
      <w:lvlJc w:val="left"/>
      <w:pPr>
        <w:ind w:left="3229" w:hanging="360"/>
      </w:pPr>
    </w:lvl>
    <w:lvl w:ilvl="4" w:tplc="880CBAC4" w:tentative="1">
      <w:start w:val="1"/>
      <w:numFmt w:val="lowerLetter"/>
      <w:lvlText w:val="%5."/>
      <w:lvlJc w:val="left"/>
      <w:pPr>
        <w:ind w:left="3949" w:hanging="360"/>
      </w:pPr>
    </w:lvl>
    <w:lvl w:ilvl="5" w:tplc="AA58A75A" w:tentative="1">
      <w:start w:val="1"/>
      <w:numFmt w:val="lowerRoman"/>
      <w:lvlText w:val="%6."/>
      <w:lvlJc w:val="right"/>
      <w:pPr>
        <w:ind w:left="4669" w:hanging="180"/>
      </w:pPr>
    </w:lvl>
    <w:lvl w:ilvl="6" w:tplc="97BA2212" w:tentative="1">
      <w:start w:val="1"/>
      <w:numFmt w:val="decimal"/>
      <w:lvlText w:val="%7."/>
      <w:lvlJc w:val="left"/>
      <w:pPr>
        <w:ind w:left="5389" w:hanging="360"/>
      </w:pPr>
    </w:lvl>
    <w:lvl w:ilvl="7" w:tplc="98A8F7E8" w:tentative="1">
      <w:start w:val="1"/>
      <w:numFmt w:val="lowerLetter"/>
      <w:lvlText w:val="%8."/>
      <w:lvlJc w:val="left"/>
      <w:pPr>
        <w:ind w:left="6109" w:hanging="360"/>
      </w:pPr>
    </w:lvl>
    <w:lvl w:ilvl="8" w:tplc="4A645310" w:tentative="1">
      <w:start w:val="1"/>
      <w:numFmt w:val="lowerRoman"/>
      <w:lvlText w:val="%9."/>
      <w:lvlJc w:val="right"/>
      <w:pPr>
        <w:ind w:left="6829" w:hanging="180"/>
      </w:pPr>
    </w:lvl>
  </w:abstractNum>
  <w:abstractNum w:abstractNumId="14" w15:restartNumberingAfterBreak="0">
    <w:nsid w:val="48744B83"/>
    <w:multiLevelType w:val="multilevel"/>
    <w:tmpl w:val="27AE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3A5A9F"/>
    <w:multiLevelType w:val="multilevel"/>
    <w:tmpl w:val="9FD682AE"/>
    <w:lvl w:ilvl="0">
      <w:start w:val="1"/>
      <w:numFmt w:val="decimal"/>
      <w:lvlText w:val="%1."/>
      <w:lvlJc w:val="left"/>
      <w:pPr>
        <w:tabs>
          <w:tab w:val="num" w:pos="885"/>
        </w:tabs>
        <w:ind w:left="885" w:hanging="52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09404FC"/>
    <w:multiLevelType w:val="hybridMultilevel"/>
    <w:tmpl w:val="4420F06E"/>
    <w:lvl w:ilvl="0" w:tplc="3CB685D0">
      <w:start w:val="1"/>
      <w:numFmt w:val="decimal"/>
      <w:lvlText w:val="%1."/>
      <w:lvlJc w:val="left"/>
      <w:pPr>
        <w:tabs>
          <w:tab w:val="num" w:pos="1800"/>
        </w:tabs>
        <w:ind w:left="1800" w:hanging="360"/>
      </w:pPr>
      <w:rPr>
        <w:rFonts w:hint="default"/>
      </w:rPr>
    </w:lvl>
    <w:lvl w:ilvl="1" w:tplc="2522FC1C" w:tentative="1">
      <w:start w:val="1"/>
      <w:numFmt w:val="lowerLetter"/>
      <w:lvlText w:val="%2."/>
      <w:lvlJc w:val="left"/>
      <w:pPr>
        <w:tabs>
          <w:tab w:val="num" w:pos="2520"/>
        </w:tabs>
        <w:ind w:left="2520" w:hanging="360"/>
      </w:pPr>
    </w:lvl>
    <w:lvl w:ilvl="2" w:tplc="47E4471A" w:tentative="1">
      <w:start w:val="1"/>
      <w:numFmt w:val="lowerRoman"/>
      <w:lvlText w:val="%3."/>
      <w:lvlJc w:val="right"/>
      <w:pPr>
        <w:tabs>
          <w:tab w:val="num" w:pos="3240"/>
        </w:tabs>
        <w:ind w:left="3240" w:hanging="180"/>
      </w:pPr>
    </w:lvl>
    <w:lvl w:ilvl="3" w:tplc="10A4CBDC" w:tentative="1">
      <w:start w:val="1"/>
      <w:numFmt w:val="decimal"/>
      <w:lvlText w:val="%4."/>
      <w:lvlJc w:val="left"/>
      <w:pPr>
        <w:tabs>
          <w:tab w:val="num" w:pos="3960"/>
        </w:tabs>
        <w:ind w:left="3960" w:hanging="360"/>
      </w:pPr>
    </w:lvl>
    <w:lvl w:ilvl="4" w:tplc="5BF8AC80" w:tentative="1">
      <w:start w:val="1"/>
      <w:numFmt w:val="lowerLetter"/>
      <w:lvlText w:val="%5."/>
      <w:lvlJc w:val="left"/>
      <w:pPr>
        <w:tabs>
          <w:tab w:val="num" w:pos="4680"/>
        </w:tabs>
        <w:ind w:left="4680" w:hanging="360"/>
      </w:pPr>
    </w:lvl>
    <w:lvl w:ilvl="5" w:tplc="1A14EF10" w:tentative="1">
      <w:start w:val="1"/>
      <w:numFmt w:val="lowerRoman"/>
      <w:lvlText w:val="%6."/>
      <w:lvlJc w:val="right"/>
      <w:pPr>
        <w:tabs>
          <w:tab w:val="num" w:pos="5400"/>
        </w:tabs>
        <w:ind w:left="5400" w:hanging="180"/>
      </w:pPr>
    </w:lvl>
    <w:lvl w:ilvl="6" w:tplc="B9E419AA" w:tentative="1">
      <w:start w:val="1"/>
      <w:numFmt w:val="decimal"/>
      <w:lvlText w:val="%7."/>
      <w:lvlJc w:val="left"/>
      <w:pPr>
        <w:tabs>
          <w:tab w:val="num" w:pos="6120"/>
        </w:tabs>
        <w:ind w:left="6120" w:hanging="360"/>
      </w:pPr>
    </w:lvl>
    <w:lvl w:ilvl="7" w:tplc="D0284158" w:tentative="1">
      <w:start w:val="1"/>
      <w:numFmt w:val="lowerLetter"/>
      <w:lvlText w:val="%8."/>
      <w:lvlJc w:val="left"/>
      <w:pPr>
        <w:tabs>
          <w:tab w:val="num" w:pos="6840"/>
        </w:tabs>
        <w:ind w:left="6840" w:hanging="360"/>
      </w:pPr>
    </w:lvl>
    <w:lvl w:ilvl="8" w:tplc="34680B28" w:tentative="1">
      <w:start w:val="1"/>
      <w:numFmt w:val="lowerRoman"/>
      <w:lvlText w:val="%9."/>
      <w:lvlJc w:val="right"/>
      <w:pPr>
        <w:tabs>
          <w:tab w:val="num" w:pos="7560"/>
        </w:tabs>
        <w:ind w:left="7560" w:hanging="180"/>
      </w:pPr>
    </w:lvl>
  </w:abstractNum>
  <w:abstractNum w:abstractNumId="17" w15:restartNumberingAfterBreak="0">
    <w:nsid w:val="58D644DC"/>
    <w:multiLevelType w:val="hybridMultilevel"/>
    <w:tmpl w:val="37787B26"/>
    <w:lvl w:ilvl="0" w:tplc="1A7A24EA">
      <w:start w:val="3"/>
      <w:numFmt w:val="decimal"/>
      <w:lvlText w:val="%1."/>
      <w:lvlJc w:val="left"/>
      <w:pPr>
        <w:ind w:left="960" w:hanging="360"/>
      </w:pPr>
      <w:rPr>
        <w:rFonts w:hint="default"/>
      </w:rPr>
    </w:lvl>
    <w:lvl w:ilvl="1" w:tplc="6D724378" w:tentative="1">
      <w:start w:val="1"/>
      <w:numFmt w:val="lowerLetter"/>
      <w:lvlText w:val="%2."/>
      <w:lvlJc w:val="left"/>
      <w:pPr>
        <w:ind w:left="1680" w:hanging="360"/>
      </w:pPr>
    </w:lvl>
    <w:lvl w:ilvl="2" w:tplc="E40A017A" w:tentative="1">
      <w:start w:val="1"/>
      <w:numFmt w:val="lowerRoman"/>
      <w:lvlText w:val="%3."/>
      <w:lvlJc w:val="right"/>
      <w:pPr>
        <w:ind w:left="2400" w:hanging="180"/>
      </w:pPr>
    </w:lvl>
    <w:lvl w:ilvl="3" w:tplc="24D465EC" w:tentative="1">
      <w:start w:val="1"/>
      <w:numFmt w:val="decimal"/>
      <w:lvlText w:val="%4."/>
      <w:lvlJc w:val="left"/>
      <w:pPr>
        <w:ind w:left="3120" w:hanging="360"/>
      </w:pPr>
    </w:lvl>
    <w:lvl w:ilvl="4" w:tplc="A184ADFC" w:tentative="1">
      <w:start w:val="1"/>
      <w:numFmt w:val="lowerLetter"/>
      <w:lvlText w:val="%5."/>
      <w:lvlJc w:val="left"/>
      <w:pPr>
        <w:ind w:left="3840" w:hanging="360"/>
      </w:pPr>
    </w:lvl>
    <w:lvl w:ilvl="5" w:tplc="22FC786E" w:tentative="1">
      <w:start w:val="1"/>
      <w:numFmt w:val="lowerRoman"/>
      <w:lvlText w:val="%6."/>
      <w:lvlJc w:val="right"/>
      <w:pPr>
        <w:ind w:left="4560" w:hanging="180"/>
      </w:pPr>
    </w:lvl>
    <w:lvl w:ilvl="6" w:tplc="A9FE1C10" w:tentative="1">
      <w:start w:val="1"/>
      <w:numFmt w:val="decimal"/>
      <w:lvlText w:val="%7."/>
      <w:lvlJc w:val="left"/>
      <w:pPr>
        <w:ind w:left="5280" w:hanging="360"/>
      </w:pPr>
    </w:lvl>
    <w:lvl w:ilvl="7" w:tplc="D7BE2A0A" w:tentative="1">
      <w:start w:val="1"/>
      <w:numFmt w:val="lowerLetter"/>
      <w:lvlText w:val="%8."/>
      <w:lvlJc w:val="left"/>
      <w:pPr>
        <w:ind w:left="6000" w:hanging="360"/>
      </w:pPr>
    </w:lvl>
    <w:lvl w:ilvl="8" w:tplc="41AA6BF8" w:tentative="1">
      <w:start w:val="1"/>
      <w:numFmt w:val="lowerRoman"/>
      <w:lvlText w:val="%9."/>
      <w:lvlJc w:val="right"/>
      <w:pPr>
        <w:ind w:left="6720" w:hanging="180"/>
      </w:pPr>
    </w:lvl>
  </w:abstractNum>
  <w:abstractNum w:abstractNumId="18" w15:restartNumberingAfterBreak="0">
    <w:nsid w:val="5A815C36"/>
    <w:multiLevelType w:val="hybridMultilevel"/>
    <w:tmpl w:val="76202352"/>
    <w:lvl w:ilvl="0" w:tplc="A2169E52">
      <w:start w:val="1"/>
      <w:numFmt w:val="decimal"/>
      <w:lvlText w:val="%1."/>
      <w:lvlJc w:val="left"/>
      <w:pPr>
        <w:tabs>
          <w:tab w:val="num" w:pos="720"/>
        </w:tabs>
        <w:ind w:left="720" w:hanging="360"/>
      </w:pPr>
      <w:rPr>
        <w:rFonts w:hint="default"/>
      </w:rPr>
    </w:lvl>
    <w:lvl w:ilvl="1" w:tplc="4D042136" w:tentative="1">
      <w:start w:val="1"/>
      <w:numFmt w:val="lowerLetter"/>
      <w:lvlText w:val="%2."/>
      <w:lvlJc w:val="left"/>
      <w:pPr>
        <w:tabs>
          <w:tab w:val="num" w:pos="1440"/>
        </w:tabs>
        <w:ind w:left="1440" w:hanging="360"/>
      </w:pPr>
    </w:lvl>
    <w:lvl w:ilvl="2" w:tplc="82BE19AA" w:tentative="1">
      <w:start w:val="1"/>
      <w:numFmt w:val="lowerRoman"/>
      <w:lvlText w:val="%3."/>
      <w:lvlJc w:val="right"/>
      <w:pPr>
        <w:tabs>
          <w:tab w:val="num" w:pos="2160"/>
        </w:tabs>
        <w:ind w:left="2160" w:hanging="180"/>
      </w:pPr>
    </w:lvl>
    <w:lvl w:ilvl="3" w:tplc="E432CF24" w:tentative="1">
      <w:start w:val="1"/>
      <w:numFmt w:val="decimal"/>
      <w:lvlText w:val="%4."/>
      <w:lvlJc w:val="left"/>
      <w:pPr>
        <w:tabs>
          <w:tab w:val="num" w:pos="2880"/>
        </w:tabs>
        <w:ind w:left="2880" w:hanging="360"/>
      </w:pPr>
    </w:lvl>
    <w:lvl w:ilvl="4" w:tplc="585C2962" w:tentative="1">
      <w:start w:val="1"/>
      <w:numFmt w:val="lowerLetter"/>
      <w:lvlText w:val="%5."/>
      <w:lvlJc w:val="left"/>
      <w:pPr>
        <w:tabs>
          <w:tab w:val="num" w:pos="3600"/>
        </w:tabs>
        <w:ind w:left="3600" w:hanging="360"/>
      </w:pPr>
    </w:lvl>
    <w:lvl w:ilvl="5" w:tplc="E2A42882" w:tentative="1">
      <w:start w:val="1"/>
      <w:numFmt w:val="lowerRoman"/>
      <w:lvlText w:val="%6."/>
      <w:lvlJc w:val="right"/>
      <w:pPr>
        <w:tabs>
          <w:tab w:val="num" w:pos="4320"/>
        </w:tabs>
        <w:ind w:left="4320" w:hanging="180"/>
      </w:pPr>
    </w:lvl>
    <w:lvl w:ilvl="6" w:tplc="7BACF680" w:tentative="1">
      <w:start w:val="1"/>
      <w:numFmt w:val="decimal"/>
      <w:lvlText w:val="%7."/>
      <w:lvlJc w:val="left"/>
      <w:pPr>
        <w:tabs>
          <w:tab w:val="num" w:pos="5040"/>
        </w:tabs>
        <w:ind w:left="5040" w:hanging="360"/>
      </w:pPr>
    </w:lvl>
    <w:lvl w:ilvl="7" w:tplc="4ACCD89E" w:tentative="1">
      <w:start w:val="1"/>
      <w:numFmt w:val="lowerLetter"/>
      <w:lvlText w:val="%8."/>
      <w:lvlJc w:val="left"/>
      <w:pPr>
        <w:tabs>
          <w:tab w:val="num" w:pos="5760"/>
        </w:tabs>
        <w:ind w:left="5760" w:hanging="360"/>
      </w:pPr>
    </w:lvl>
    <w:lvl w:ilvl="8" w:tplc="AB7EB58A" w:tentative="1">
      <w:start w:val="1"/>
      <w:numFmt w:val="lowerRoman"/>
      <w:lvlText w:val="%9."/>
      <w:lvlJc w:val="right"/>
      <w:pPr>
        <w:tabs>
          <w:tab w:val="num" w:pos="6480"/>
        </w:tabs>
        <w:ind w:left="6480" w:hanging="180"/>
      </w:pPr>
    </w:lvl>
  </w:abstractNum>
  <w:abstractNum w:abstractNumId="19" w15:restartNumberingAfterBreak="0">
    <w:nsid w:val="66AB70C1"/>
    <w:multiLevelType w:val="hybridMultilevel"/>
    <w:tmpl w:val="4AC6DE22"/>
    <w:lvl w:ilvl="0" w:tplc="E7F8CBFA">
      <w:start w:val="1"/>
      <w:numFmt w:val="decimal"/>
      <w:lvlText w:val="%1)"/>
      <w:lvlJc w:val="left"/>
      <w:pPr>
        <w:ind w:left="1080" w:hanging="360"/>
      </w:pPr>
      <w:rPr>
        <w:rFonts w:ascii="Times New Roman" w:eastAsia="Times New Roman" w:hAnsi="Times New Roman" w:cs="Times New Roman"/>
      </w:rPr>
    </w:lvl>
    <w:lvl w:ilvl="1" w:tplc="E1AAE268" w:tentative="1">
      <w:start w:val="1"/>
      <w:numFmt w:val="lowerLetter"/>
      <w:lvlText w:val="%2."/>
      <w:lvlJc w:val="left"/>
      <w:pPr>
        <w:ind w:left="1800" w:hanging="360"/>
      </w:pPr>
    </w:lvl>
    <w:lvl w:ilvl="2" w:tplc="586CC3D8" w:tentative="1">
      <w:start w:val="1"/>
      <w:numFmt w:val="lowerRoman"/>
      <w:lvlText w:val="%3."/>
      <w:lvlJc w:val="right"/>
      <w:pPr>
        <w:ind w:left="2520" w:hanging="180"/>
      </w:pPr>
    </w:lvl>
    <w:lvl w:ilvl="3" w:tplc="B780358A" w:tentative="1">
      <w:start w:val="1"/>
      <w:numFmt w:val="decimal"/>
      <w:lvlText w:val="%4."/>
      <w:lvlJc w:val="left"/>
      <w:pPr>
        <w:ind w:left="3240" w:hanging="360"/>
      </w:pPr>
    </w:lvl>
    <w:lvl w:ilvl="4" w:tplc="408EFB08" w:tentative="1">
      <w:start w:val="1"/>
      <w:numFmt w:val="lowerLetter"/>
      <w:lvlText w:val="%5."/>
      <w:lvlJc w:val="left"/>
      <w:pPr>
        <w:ind w:left="3960" w:hanging="360"/>
      </w:pPr>
    </w:lvl>
    <w:lvl w:ilvl="5" w:tplc="2244E632" w:tentative="1">
      <w:start w:val="1"/>
      <w:numFmt w:val="lowerRoman"/>
      <w:lvlText w:val="%6."/>
      <w:lvlJc w:val="right"/>
      <w:pPr>
        <w:ind w:left="4680" w:hanging="180"/>
      </w:pPr>
    </w:lvl>
    <w:lvl w:ilvl="6" w:tplc="8BC47B8C" w:tentative="1">
      <w:start w:val="1"/>
      <w:numFmt w:val="decimal"/>
      <w:lvlText w:val="%7."/>
      <w:lvlJc w:val="left"/>
      <w:pPr>
        <w:ind w:left="5400" w:hanging="360"/>
      </w:pPr>
    </w:lvl>
    <w:lvl w:ilvl="7" w:tplc="19A667C8" w:tentative="1">
      <w:start w:val="1"/>
      <w:numFmt w:val="lowerLetter"/>
      <w:lvlText w:val="%8."/>
      <w:lvlJc w:val="left"/>
      <w:pPr>
        <w:ind w:left="6120" w:hanging="360"/>
      </w:pPr>
    </w:lvl>
    <w:lvl w:ilvl="8" w:tplc="CA1AE000" w:tentative="1">
      <w:start w:val="1"/>
      <w:numFmt w:val="lowerRoman"/>
      <w:lvlText w:val="%9."/>
      <w:lvlJc w:val="right"/>
      <w:pPr>
        <w:ind w:left="6840" w:hanging="180"/>
      </w:pPr>
    </w:lvl>
  </w:abstractNum>
  <w:abstractNum w:abstractNumId="20" w15:restartNumberingAfterBreak="0">
    <w:nsid w:val="66F22583"/>
    <w:multiLevelType w:val="multilevel"/>
    <w:tmpl w:val="AE6E5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A34DD5"/>
    <w:multiLevelType w:val="hybridMultilevel"/>
    <w:tmpl w:val="A8381C24"/>
    <w:lvl w:ilvl="0" w:tplc="A71A2734">
      <w:start w:val="1"/>
      <w:numFmt w:val="decimal"/>
      <w:lvlText w:val="%1)"/>
      <w:lvlJc w:val="left"/>
      <w:pPr>
        <w:ind w:left="960" w:hanging="360"/>
      </w:pPr>
      <w:rPr>
        <w:rFonts w:hint="default"/>
      </w:rPr>
    </w:lvl>
    <w:lvl w:ilvl="1" w:tplc="50426624" w:tentative="1">
      <w:start w:val="1"/>
      <w:numFmt w:val="lowerLetter"/>
      <w:lvlText w:val="%2."/>
      <w:lvlJc w:val="left"/>
      <w:pPr>
        <w:ind w:left="1680" w:hanging="360"/>
      </w:pPr>
    </w:lvl>
    <w:lvl w:ilvl="2" w:tplc="E7CE732A" w:tentative="1">
      <w:start w:val="1"/>
      <w:numFmt w:val="lowerRoman"/>
      <w:lvlText w:val="%3."/>
      <w:lvlJc w:val="right"/>
      <w:pPr>
        <w:ind w:left="2400" w:hanging="180"/>
      </w:pPr>
    </w:lvl>
    <w:lvl w:ilvl="3" w:tplc="870EA6BC" w:tentative="1">
      <w:start w:val="1"/>
      <w:numFmt w:val="decimal"/>
      <w:lvlText w:val="%4."/>
      <w:lvlJc w:val="left"/>
      <w:pPr>
        <w:ind w:left="3120" w:hanging="360"/>
      </w:pPr>
    </w:lvl>
    <w:lvl w:ilvl="4" w:tplc="EC1C9E70" w:tentative="1">
      <w:start w:val="1"/>
      <w:numFmt w:val="lowerLetter"/>
      <w:lvlText w:val="%5."/>
      <w:lvlJc w:val="left"/>
      <w:pPr>
        <w:ind w:left="3840" w:hanging="360"/>
      </w:pPr>
    </w:lvl>
    <w:lvl w:ilvl="5" w:tplc="A4A60396" w:tentative="1">
      <w:start w:val="1"/>
      <w:numFmt w:val="lowerRoman"/>
      <w:lvlText w:val="%6."/>
      <w:lvlJc w:val="right"/>
      <w:pPr>
        <w:ind w:left="4560" w:hanging="180"/>
      </w:pPr>
    </w:lvl>
    <w:lvl w:ilvl="6" w:tplc="06949858" w:tentative="1">
      <w:start w:val="1"/>
      <w:numFmt w:val="decimal"/>
      <w:lvlText w:val="%7."/>
      <w:lvlJc w:val="left"/>
      <w:pPr>
        <w:ind w:left="5280" w:hanging="360"/>
      </w:pPr>
    </w:lvl>
    <w:lvl w:ilvl="7" w:tplc="D70ED916" w:tentative="1">
      <w:start w:val="1"/>
      <w:numFmt w:val="lowerLetter"/>
      <w:lvlText w:val="%8."/>
      <w:lvlJc w:val="left"/>
      <w:pPr>
        <w:ind w:left="6000" w:hanging="360"/>
      </w:pPr>
    </w:lvl>
    <w:lvl w:ilvl="8" w:tplc="AF947312" w:tentative="1">
      <w:start w:val="1"/>
      <w:numFmt w:val="lowerRoman"/>
      <w:lvlText w:val="%9."/>
      <w:lvlJc w:val="right"/>
      <w:pPr>
        <w:ind w:left="6720" w:hanging="180"/>
      </w:pPr>
    </w:lvl>
  </w:abstractNum>
  <w:abstractNum w:abstractNumId="22" w15:restartNumberingAfterBreak="0">
    <w:nsid w:val="6C20637F"/>
    <w:multiLevelType w:val="hybridMultilevel"/>
    <w:tmpl w:val="1F8CA10C"/>
    <w:lvl w:ilvl="0" w:tplc="A3160A4E">
      <w:start w:val="20"/>
      <w:numFmt w:val="bullet"/>
      <w:lvlText w:val="-"/>
      <w:lvlJc w:val="left"/>
      <w:pPr>
        <w:ind w:left="540" w:hanging="360"/>
      </w:pPr>
      <w:rPr>
        <w:rFonts w:ascii="Times New Roman" w:eastAsia="Times New Roman" w:hAnsi="Times New Roman" w:cs="Times New Roman" w:hint="default"/>
      </w:rPr>
    </w:lvl>
    <w:lvl w:ilvl="1" w:tplc="A28688DE" w:tentative="1">
      <w:start w:val="1"/>
      <w:numFmt w:val="bullet"/>
      <w:lvlText w:val="o"/>
      <w:lvlJc w:val="left"/>
      <w:pPr>
        <w:ind w:left="1260" w:hanging="360"/>
      </w:pPr>
      <w:rPr>
        <w:rFonts w:ascii="Courier New" w:hAnsi="Courier New" w:cs="Courier New" w:hint="default"/>
      </w:rPr>
    </w:lvl>
    <w:lvl w:ilvl="2" w:tplc="26DE9D7A" w:tentative="1">
      <w:start w:val="1"/>
      <w:numFmt w:val="bullet"/>
      <w:lvlText w:val=""/>
      <w:lvlJc w:val="left"/>
      <w:pPr>
        <w:ind w:left="1980" w:hanging="360"/>
      </w:pPr>
      <w:rPr>
        <w:rFonts w:ascii="Wingdings" w:hAnsi="Wingdings" w:hint="default"/>
      </w:rPr>
    </w:lvl>
    <w:lvl w:ilvl="3" w:tplc="DE00620A" w:tentative="1">
      <w:start w:val="1"/>
      <w:numFmt w:val="bullet"/>
      <w:lvlText w:val=""/>
      <w:lvlJc w:val="left"/>
      <w:pPr>
        <w:ind w:left="2700" w:hanging="360"/>
      </w:pPr>
      <w:rPr>
        <w:rFonts w:ascii="Symbol" w:hAnsi="Symbol" w:hint="default"/>
      </w:rPr>
    </w:lvl>
    <w:lvl w:ilvl="4" w:tplc="AF388D72" w:tentative="1">
      <w:start w:val="1"/>
      <w:numFmt w:val="bullet"/>
      <w:lvlText w:val="o"/>
      <w:lvlJc w:val="left"/>
      <w:pPr>
        <w:ind w:left="3420" w:hanging="360"/>
      </w:pPr>
      <w:rPr>
        <w:rFonts w:ascii="Courier New" w:hAnsi="Courier New" w:cs="Courier New" w:hint="default"/>
      </w:rPr>
    </w:lvl>
    <w:lvl w:ilvl="5" w:tplc="D8049A54" w:tentative="1">
      <w:start w:val="1"/>
      <w:numFmt w:val="bullet"/>
      <w:lvlText w:val=""/>
      <w:lvlJc w:val="left"/>
      <w:pPr>
        <w:ind w:left="4140" w:hanging="360"/>
      </w:pPr>
      <w:rPr>
        <w:rFonts w:ascii="Wingdings" w:hAnsi="Wingdings" w:hint="default"/>
      </w:rPr>
    </w:lvl>
    <w:lvl w:ilvl="6" w:tplc="FCF858C6" w:tentative="1">
      <w:start w:val="1"/>
      <w:numFmt w:val="bullet"/>
      <w:lvlText w:val=""/>
      <w:lvlJc w:val="left"/>
      <w:pPr>
        <w:ind w:left="4860" w:hanging="360"/>
      </w:pPr>
      <w:rPr>
        <w:rFonts w:ascii="Symbol" w:hAnsi="Symbol" w:hint="default"/>
      </w:rPr>
    </w:lvl>
    <w:lvl w:ilvl="7" w:tplc="26E0C590" w:tentative="1">
      <w:start w:val="1"/>
      <w:numFmt w:val="bullet"/>
      <w:lvlText w:val="o"/>
      <w:lvlJc w:val="left"/>
      <w:pPr>
        <w:ind w:left="5580" w:hanging="360"/>
      </w:pPr>
      <w:rPr>
        <w:rFonts w:ascii="Courier New" w:hAnsi="Courier New" w:cs="Courier New" w:hint="default"/>
      </w:rPr>
    </w:lvl>
    <w:lvl w:ilvl="8" w:tplc="B2F4D1F8" w:tentative="1">
      <w:start w:val="1"/>
      <w:numFmt w:val="bullet"/>
      <w:lvlText w:val=""/>
      <w:lvlJc w:val="left"/>
      <w:pPr>
        <w:ind w:left="6300" w:hanging="360"/>
      </w:pPr>
      <w:rPr>
        <w:rFonts w:ascii="Wingdings" w:hAnsi="Wingdings" w:hint="default"/>
      </w:rPr>
    </w:lvl>
  </w:abstractNum>
  <w:abstractNum w:abstractNumId="23" w15:restartNumberingAfterBreak="0">
    <w:nsid w:val="79ED590F"/>
    <w:multiLevelType w:val="hybridMultilevel"/>
    <w:tmpl w:val="CCD462A2"/>
    <w:lvl w:ilvl="0" w:tplc="2DE62E0E">
      <w:start w:val="1"/>
      <w:numFmt w:val="bullet"/>
      <w:lvlText w:val=""/>
      <w:lvlJc w:val="left"/>
      <w:pPr>
        <w:tabs>
          <w:tab w:val="num" w:pos="1108"/>
        </w:tabs>
        <w:ind w:left="1108" w:hanging="360"/>
      </w:pPr>
      <w:rPr>
        <w:rFonts w:ascii="Symbol" w:hAnsi="Symbol" w:hint="default"/>
      </w:rPr>
    </w:lvl>
    <w:lvl w:ilvl="1" w:tplc="439E5858" w:tentative="1">
      <w:start w:val="1"/>
      <w:numFmt w:val="lowerLetter"/>
      <w:lvlText w:val="%2."/>
      <w:lvlJc w:val="left"/>
      <w:pPr>
        <w:tabs>
          <w:tab w:val="num" w:pos="2188"/>
        </w:tabs>
        <w:ind w:left="2188" w:hanging="360"/>
      </w:pPr>
    </w:lvl>
    <w:lvl w:ilvl="2" w:tplc="ABC635CA" w:tentative="1">
      <w:start w:val="1"/>
      <w:numFmt w:val="lowerRoman"/>
      <w:lvlText w:val="%3."/>
      <w:lvlJc w:val="right"/>
      <w:pPr>
        <w:tabs>
          <w:tab w:val="num" w:pos="2908"/>
        </w:tabs>
        <w:ind w:left="2908" w:hanging="180"/>
      </w:pPr>
    </w:lvl>
    <w:lvl w:ilvl="3" w:tplc="039240BC" w:tentative="1">
      <w:start w:val="1"/>
      <w:numFmt w:val="decimal"/>
      <w:lvlText w:val="%4."/>
      <w:lvlJc w:val="left"/>
      <w:pPr>
        <w:tabs>
          <w:tab w:val="num" w:pos="3628"/>
        </w:tabs>
        <w:ind w:left="3628" w:hanging="360"/>
      </w:pPr>
    </w:lvl>
    <w:lvl w:ilvl="4" w:tplc="BE405904" w:tentative="1">
      <w:start w:val="1"/>
      <w:numFmt w:val="lowerLetter"/>
      <w:lvlText w:val="%5."/>
      <w:lvlJc w:val="left"/>
      <w:pPr>
        <w:tabs>
          <w:tab w:val="num" w:pos="4348"/>
        </w:tabs>
        <w:ind w:left="4348" w:hanging="360"/>
      </w:pPr>
    </w:lvl>
    <w:lvl w:ilvl="5" w:tplc="862CE4A4" w:tentative="1">
      <w:start w:val="1"/>
      <w:numFmt w:val="lowerRoman"/>
      <w:lvlText w:val="%6."/>
      <w:lvlJc w:val="right"/>
      <w:pPr>
        <w:tabs>
          <w:tab w:val="num" w:pos="5068"/>
        </w:tabs>
        <w:ind w:left="5068" w:hanging="180"/>
      </w:pPr>
    </w:lvl>
    <w:lvl w:ilvl="6" w:tplc="1674C826" w:tentative="1">
      <w:start w:val="1"/>
      <w:numFmt w:val="decimal"/>
      <w:lvlText w:val="%7."/>
      <w:lvlJc w:val="left"/>
      <w:pPr>
        <w:tabs>
          <w:tab w:val="num" w:pos="5788"/>
        </w:tabs>
        <w:ind w:left="5788" w:hanging="360"/>
      </w:pPr>
    </w:lvl>
    <w:lvl w:ilvl="7" w:tplc="1298AED0" w:tentative="1">
      <w:start w:val="1"/>
      <w:numFmt w:val="lowerLetter"/>
      <w:lvlText w:val="%8."/>
      <w:lvlJc w:val="left"/>
      <w:pPr>
        <w:tabs>
          <w:tab w:val="num" w:pos="6508"/>
        </w:tabs>
        <w:ind w:left="6508" w:hanging="360"/>
      </w:pPr>
    </w:lvl>
    <w:lvl w:ilvl="8" w:tplc="030C42F4" w:tentative="1">
      <w:start w:val="1"/>
      <w:numFmt w:val="lowerRoman"/>
      <w:lvlText w:val="%9."/>
      <w:lvlJc w:val="right"/>
      <w:pPr>
        <w:tabs>
          <w:tab w:val="num" w:pos="7228"/>
        </w:tabs>
        <w:ind w:left="7228" w:hanging="180"/>
      </w:pPr>
    </w:lvl>
  </w:abstractNum>
  <w:abstractNum w:abstractNumId="24" w15:restartNumberingAfterBreak="0">
    <w:nsid w:val="7B3041B4"/>
    <w:multiLevelType w:val="hybridMultilevel"/>
    <w:tmpl w:val="777EC2D2"/>
    <w:lvl w:ilvl="0" w:tplc="3E9EB0E0">
      <w:start w:val="1"/>
      <w:numFmt w:val="decimal"/>
      <w:lvlText w:val="%1."/>
      <w:lvlJc w:val="left"/>
      <w:pPr>
        <w:ind w:left="1080" w:hanging="360"/>
      </w:pPr>
      <w:rPr>
        <w:rFonts w:hint="default"/>
      </w:rPr>
    </w:lvl>
    <w:lvl w:ilvl="1" w:tplc="F9A4C93C" w:tentative="1">
      <w:start w:val="1"/>
      <w:numFmt w:val="lowerLetter"/>
      <w:lvlText w:val="%2."/>
      <w:lvlJc w:val="left"/>
      <w:pPr>
        <w:ind w:left="1800" w:hanging="360"/>
      </w:pPr>
    </w:lvl>
    <w:lvl w:ilvl="2" w:tplc="AF283EA2" w:tentative="1">
      <w:start w:val="1"/>
      <w:numFmt w:val="lowerRoman"/>
      <w:lvlText w:val="%3."/>
      <w:lvlJc w:val="right"/>
      <w:pPr>
        <w:ind w:left="2520" w:hanging="180"/>
      </w:pPr>
    </w:lvl>
    <w:lvl w:ilvl="3" w:tplc="2CBEF302" w:tentative="1">
      <w:start w:val="1"/>
      <w:numFmt w:val="decimal"/>
      <w:lvlText w:val="%4."/>
      <w:lvlJc w:val="left"/>
      <w:pPr>
        <w:ind w:left="3240" w:hanging="360"/>
      </w:pPr>
    </w:lvl>
    <w:lvl w:ilvl="4" w:tplc="34FC12EC" w:tentative="1">
      <w:start w:val="1"/>
      <w:numFmt w:val="lowerLetter"/>
      <w:lvlText w:val="%5."/>
      <w:lvlJc w:val="left"/>
      <w:pPr>
        <w:ind w:left="3960" w:hanging="360"/>
      </w:pPr>
    </w:lvl>
    <w:lvl w:ilvl="5" w:tplc="2A569660" w:tentative="1">
      <w:start w:val="1"/>
      <w:numFmt w:val="lowerRoman"/>
      <w:lvlText w:val="%6."/>
      <w:lvlJc w:val="right"/>
      <w:pPr>
        <w:ind w:left="4680" w:hanging="180"/>
      </w:pPr>
    </w:lvl>
    <w:lvl w:ilvl="6" w:tplc="7C08E5B0" w:tentative="1">
      <w:start w:val="1"/>
      <w:numFmt w:val="decimal"/>
      <w:lvlText w:val="%7."/>
      <w:lvlJc w:val="left"/>
      <w:pPr>
        <w:ind w:left="5400" w:hanging="360"/>
      </w:pPr>
    </w:lvl>
    <w:lvl w:ilvl="7" w:tplc="49BAF250" w:tentative="1">
      <w:start w:val="1"/>
      <w:numFmt w:val="lowerLetter"/>
      <w:lvlText w:val="%8."/>
      <w:lvlJc w:val="left"/>
      <w:pPr>
        <w:ind w:left="6120" w:hanging="360"/>
      </w:pPr>
    </w:lvl>
    <w:lvl w:ilvl="8" w:tplc="8236DDF6" w:tentative="1">
      <w:start w:val="1"/>
      <w:numFmt w:val="lowerRoman"/>
      <w:lvlText w:val="%9."/>
      <w:lvlJc w:val="right"/>
      <w:pPr>
        <w:ind w:left="6840" w:hanging="180"/>
      </w:pPr>
    </w:lvl>
  </w:abstractNum>
  <w:abstractNum w:abstractNumId="25" w15:restartNumberingAfterBreak="0">
    <w:nsid w:val="7DBD16B0"/>
    <w:multiLevelType w:val="hybridMultilevel"/>
    <w:tmpl w:val="DA22F3F8"/>
    <w:lvl w:ilvl="0" w:tplc="07E67CB0">
      <w:start w:val="1"/>
      <w:numFmt w:val="decimal"/>
      <w:lvlText w:val="%1)"/>
      <w:lvlJc w:val="left"/>
      <w:pPr>
        <w:ind w:left="720" w:hanging="360"/>
      </w:pPr>
      <w:rPr>
        <w:rFonts w:hint="default"/>
      </w:rPr>
    </w:lvl>
    <w:lvl w:ilvl="1" w:tplc="05CE2B16" w:tentative="1">
      <w:start w:val="1"/>
      <w:numFmt w:val="lowerLetter"/>
      <w:lvlText w:val="%2."/>
      <w:lvlJc w:val="left"/>
      <w:pPr>
        <w:ind w:left="1440" w:hanging="360"/>
      </w:pPr>
    </w:lvl>
    <w:lvl w:ilvl="2" w:tplc="3222ADC4" w:tentative="1">
      <w:start w:val="1"/>
      <w:numFmt w:val="lowerRoman"/>
      <w:lvlText w:val="%3."/>
      <w:lvlJc w:val="right"/>
      <w:pPr>
        <w:ind w:left="2160" w:hanging="180"/>
      </w:pPr>
    </w:lvl>
    <w:lvl w:ilvl="3" w:tplc="B9AEE5E2" w:tentative="1">
      <w:start w:val="1"/>
      <w:numFmt w:val="decimal"/>
      <w:lvlText w:val="%4."/>
      <w:lvlJc w:val="left"/>
      <w:pPr>
        <w:ind w:left="2880" w:hanging="360"/>
      </w:pPr>
    </w:lvl>
    <w:lvl w:ilvl="4" w:tplc="C240C64E" w:tentative="1">
      <w:start w:val="1"/>
      <w:numFmt w:val="lowerLetter"/>
      <w:lvlText w:val="%5."/>
      <w:lvlJc w:val="left"/>
      <w:pPr>
        <w:ind w:left="3600" w:hanging="360"/>
      </w:pPr>
    </w:lvl>
    <w:lvl w:ilvl="5" w:tplc="1F54364C" w:tentative="1">
      <w:start w:val="1"/>
      <w:numFmt w:val="lowerRoman"/>
      <w:lvlText w:val="%6."/>
      <w:lvlJc w:val="right"/>
      <w:pPr>
        <w:ind w:left="4320" w:hanging="180"/>
      </w:pPr>
    </w:lvl>
    <w:lvl w:ilvl="6" w:tplc="82A0CC04" w:tentative="1">
      <w:start w:val="1"/>
      <w:numFmt w:val="decimal"/>
      <w:lvlText w:val="%7."/>
      <w:lvlJc w:val="left"/>
      <w:pPr>
        <w:ind w:left="5040" w:hanging="360"/>
      </w:pPr>
    </w:lvl>
    <w:lvl w:ilvl="7" w:tplc="4910589A" w:tentative="1">
      <w:start w:val="1"/>
      <w:numFmt w:val="lowerLetter"/>
      <w:lvlText w:val="%8."/>
      <w:lvlJc w:val="left"/>
      <w:pPr>
        <w:ind w:left="5760" w:hanging="360"/>
      </w:pPr>
    </w:lvl>
    <w:lvl w:ilvl="8" w:tplc="9260FC0C"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7"/>
  </w:num>
  <w:num w:numId="5">
    <w:abstractNumId w:val="10"/>
  </w:num>
  <w:num w:numId="6">
    <w:abstractNumId w:val="15"/>
  </w:num>
  <w:num w:numId="7">
    <w:abstractNumId w:val="23"/>
  </w:num>
  <w:num w:numId="8">
    <w:abstractNumId w:val="3"/>
  </w:num>
  <w:num w:numId="9">
    <w:abstractNumId w:val="11"/>
  </w:num>
  <w:num w:numId="10">
    <w:abstractNumId w:val="20"/>
  </w:num>
  <w:num w:numId="11">
    <w:abstractNumId w:val="2"/>
  </w:num>
  <w:num w:numId="12">
    <w:abstractNumId w:val="14"/>
  </w:num>
  <w:num w:numId="13">
    <w:abstractNumId w:val="12"/>
  </w:num>
  <w:num w:numId="14">
    <w:abstractNumId w:val="6"/>
  </w:num>
  <w:num w:numId="15">
    <w:abstractNumId w:val="18"/>
  </w:num>
  <w:num w:numId="16">
    <w:abstractNumId w:val="16"/>
  </w:num>
  <w:num w:numId="17">
    <w:abstractNumId w:val="19"/>
  </w:num>
  <w:num w:numId="18">
    <w:abstractNumId w:val="9"/>
  </w:num>
  <w:num w:numId="19">
    <w:abstractNumId w:val="25"/>
  </w:num>
  <w:num w:numId="20">
    <w:abstractNumId w:val="21"/>
  </w:num>
  <w:num w:numId="21">
    <w:abstractNumId w:val="24"/>
  </w:num>
  <w:num w:numId="22">
    <w:abstractNumId w:val="13"/>
  </w:num>
  <w:num w:numId="23">
    <w:abstractNumId w:val="17"/>
  </w:num>
  <w:num w:numId="24">
    <w:abstractNumId w:val="0"/>
  </w:num>
  <w:num w:numId="25">
    <w:abstractNumId w:val="22"/>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AE"/>
    <w:rsid w:val="000B31B5"/>
    <w:rsid w:val="001B1509"/>
    <w:rsid w:val="002F30DA"/>
    <w:rsid w:val="003863D5"/>
    <w:rsid w:val="003E3829"/>
    <w:rsid w:val="004467D4"/>
    <w:rsid w:val="00472112"/>
    <w:rsid w:val="00561DAE"/>
    <w:rsid w:val="0056298A"/>
    <w:rsid w:val="005A7CEB"/>
    <w:rsid w:val="005E5EDB"/>
    <w:rsid w:val="006436C3"/>
    <w:rsid w:val="0065662A"/>
    <w:rsid w:val="00666773"/>
    <w:rsid w:val="006D2250"/>
    <w:rsid w:val="007507AC"/>
    <w:rsid w:val="007716A8"/>
    <w:rsid w:val="00823332"/>
    <w:rsid w:val="008A5207"/>
    <w:rsid w:val="008C3FE4"/>
    <w:rsid w:val="0091115C"/>
    <w:rsid w:val="00954078"/>
    <w:rsid w:val="009B2822"/>
    <w:rsid w:val="00A219CA"/>
    <w:rsid w:val="00AB6F79"/>
    <w:rsid w:val="00B73BA5"/>
    <w:rsid w:val="00BA1A64"/>
    <w:rsid w:val="00BD320D"/>
    <w:rsid w:val="00C464DD"/>
    <w:rsid w:val="00D35B3E"/>
    <w:rsid w:val="00D8611D"/>
    <w:rsid w:val="00DA73D2"/>
    <w:rsid w:val="00E2262F"/>
    <w:rsid w:val="00E23D20"/>
    <w:rsid w:val="00F17FFD"/>
    <w:rsid w:val="00F85B5C"/>
    <w:rsid w:val="00F9532F"/>
    <w:rsid w:val="00FC3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BF83BFC-C47B-47CE-B731-BE16436A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20"/>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6A8"/>
    <w:pPr>
      <w:spacing w:after="0"/>
      <w:ind w:firstLine="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16A8"/>
    <w:pPr>
      <w:keepNext/>
      <w:spacing w:after="120"/>
      <w:jc w:val="center"/>
      <w:outlineLvl w:val="0"/>
    </w:pPr>
    <w:rPr>
      <w:rFonts w:cs="Arial"/>
      <w:b/>
      <w:bCs/>
      <w:kern w:val="32"/>
      <w:sz w:val="44"/>
      <w:szCs w:val="44"/>
      <w:lang w:eastAsia="lv-LV"/>
    </w:rPr>
  </w:style>
  <w:style w:type="paragraph" w:styleId="Heading2">
    <w:name w:val="heading 2"/>
    <w:basedOn w:val="Normal"/>
    <w:next w:val="Normal"/>
    <w:link w:val="Heading2Char"/>
    <w:qFormat/>
    <w:rsid w:val="007716A8"/>
    <w:pPr>
      <w:keepNext/>
      <w:spacing w:after="120"/>
      <w:jc w:val="center"/>
      <w:outlineLvl w:val="1"/>
    </w:pPr>
    <w:rPr>
      <w:rFonts w:cs="Arial"/>
      <w:b/>
      <w:bCs/>
      <w:iCs/>
      <w:sz w:val="36"/>
      <w:szCs w:val="28"/>
      <w:lang w:eastAsia="lv-LV"/>
    </w:rPr>
  </w:style>
  <w:style w:type="paragraph" w:styleId="Heading3">
    <w:name w:val="heading 3"/>
    <w:basedOn w:val="Normal"/>
    <w:next w:val="Normal"/>
    <w:link w:val="Heading3Char"/>
    <w:qFormat/>
    <w:rsid w:val="007716A8"/>
    <w:pPr>
      <w:keepNext/>
      <w:spacing w:after="120"/>
      <w:jc w:val="center"/>
      <w:outlineLvl w:val="2"/>
    </w:pPr>
    <w:rPr>
      <w:rFonts w:cs="Arial"/>
      <w:b/>
      <w:bCs/>
      <w:sz w:val="32"/>
      <w:szCs w:val="26"/>
      <w:lang w:eastAsia="lv-LV"/>
    </w:rPr>
  </w:style>
  <w:style w:type="paragraph" w:styleId="Heading4">
    <w:name w:val="heading 4"/>
    <w:basedOn w:val="Normal"/>
    <w:next w:val="Normal"/>
    <w:link w:val="Heading4Char"/>
    <w:qFormat/>
    <w:rsid w:val="007716A8"/>
    <w:pPr>
      <w:keepNext/>
      <w:jc w:val="center"/>
      <w:outlineLvl w:val="3"/>
    </w:pPr>
    <w:rPr>
      <w:b/>
      <w:bCs/>
      <w:sz w:val="28"/>
    </w:rPr>
  </w:style>
  <w:style w:type="paragraph" w:styleId="Heading5">
    <w:name w:val="heading 5"/>
    <w:basedOn w:val="Normal"/>
    <w:next w:val="Normal"/>
    <w:link w:val="Heading5Char"/>
    <w:qFormat/>
    <w:rsid w:val="007716A8"/>
    <w:pPr>
      <w:keepNext/>
      <w:ind w:left="360"/>
      <w:jc w:val="both"/>
      <w:outlineLvl w:val="4"/>
    </w:pPr>
    <w:rPr>
      <w:b/>
      <w:bCs/>
      <w:sz w:val="28"/>
    </w:rPr>
  </w:style>
  <w:style w:type="paragraph" w:styleId="Heading6">
    <w:name w:val="heading 6"/>
    <w:basedOn w:val="Normal"/>
    <w:next w:val="Normal"/>
    <w:link w:val="Heading6Char"/>
    <w:qFormat/>
    <w:rsid w:val="007716A8"/>
    <w:pPr>
      <w:keepNext/>
      <w:ind w:firstLine="720"/>
      <w:outlineLvl w:val="5"/>
    </w:pPr>
    <w:rPr>
      <w:sz w:val="28"/>
    </w:rPr>
  </w:style>
  <w:style w:type="paragraph" w:styleId="Heading7">
    <w:name w:val="heading 7"/>
    <w:basedOn w:val="Normal"/>
    <w:next w:val="Normal"/>
    <w:link w:val="Heading7Char"/>
    <w:qFormat/>
    <w:rsid w:val="007716A8"/>
    <w:pPr>
      <w:keepNext/>
      <w:ind w:firstLine="720"/>
      <w:jc w:val="both"/>
      <w:outlineLvl w:val="6"/>
    </w:pPr>
    <w:rPr>
      <w:sz w:val="28"/>
    </w:rPr>
  </w:style>
  <w:style w:type="paragraph" w:styleId="Heading8">
    <w:name w:val="heading 8"/>
    <w:basedOn w:val="Normal"/>
    <w:next w:val="Normal"/>
    <w:link w:val="Heading8Char"/>
    <w:qFormat/>
    <w:rsid w:val="007716A8"/>
    <w:pPr>
      <w:keepNext/>
      <w:ind w:firstLine="720"/>
      <w:outlineLvl w:val="7"/>
    </w:pPr>
    <w:rPr>
      <w:b/>
      <w:sz w:val="28"/>
      <w:u w:val="single"/>
    </w:rPr>
  </w:style>
  <w:style w:type="paragraph" w:styleId="Heading9">
    <w:name w:val="heading 9"/>
    <w:basedOn w:val="Normal"/>
    <w:next w:val="Normal"/>
    <w:link w:val="Heading9Char"/>
    <w:qFormat/>
    <w:rsid w:val="007716A8"/>
    <w:pPr>
      <w:keepNext/>
      <w:tabs>
        <w:tab w:val="num" w:pos="360"/>
      </w:tabs>
      <w:spacing w:after="100"/>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6A8"/>
    <w:rPr>
      <w:rFonts w:ascii="Times New Roman" w:eastAsia="Times New Roman" w:hAnsi="Times New Roman" w:cs="Arial"/>
      <w:b/>
      <w:bCs/>
      <w:kern w:val="32"/>
      <w:sz w:val="44"/>
      <w:szCs w:val="44"/>
      <w:lang w:eastAsia="lv-LV"/>
    </w:rPr>
  </w:style>
  <w:style w:type="character" w:customStyle="1" w:styleId="Heading2Char">
    <w:name w:val="Heading 2 Char"/>
    <w:basedOn w:val="DefaultParagraphFont"/>
    <w:link w:val="Heading2"/>
    <w:rsid w:val="007716A8"/>
    <w:rPr>
      <w:rFonts w:ascii="Times New Roman" w:eastAsia="Times New Roman" w:hAnsi="Times New Roman" w:cs="Arial"/>
      <w:b/>
      <w:bCs/>
      <w:iCs/>
      <w:sz w:val="36"/>
      <w:szCs w:val="28"/>
      <w:lang w:eastAsia="lv-LV"/>
    </w:rPr>
  </w:style>
  <w:style w:type="character" w:customStyle="1" w:styleId="Heading3Char">
    <w:name w:val="Heading 3 Char"/>
    <w:basedOn w:val="DefaultParagraphFont"/>
    <w:link w:val="Heading3"/>
    <w:rsid w:val="007716A8"/>
    <w:rPr>
      <w:rFonts w:ascii="Times New Roman" w:eastAsia="Times New Roman" w:hAnsi="Times New Roman" w:cs="Arial"/>
      <w:b/>
      <w:bCs/>
      <w:sz w:val="32"/>
      <w:szCs w:val="26"/>
      <w:lang w:eastAsia="lv-LV"/>
    </w:rPr>
  </w:style>
  <w:style w:type="character" w:customStyle="1" w:styleId="Heading4Char">
    <w:name w:val="Heading 4 Char"/>
    <w:basedOn w:val="DefaultParagraphFont"/>
    <w:link w:val="Heading4"/>
    <w:rsid w:val="007716A8"/>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7716A8"/>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7716A8"/>
    <w:rPr>
      <w:rFonts w:ascii="Times New Roman" w:eastAsia="Times New Roman" w:hAnsi="Times New Roman" w:cs="Times New Roman"/>
      <w:sz w:val="28"/>
      <w:szCs w:val="24"/>
    </w:rPr>
  </w:style>
  <w:style w:type="character" w:customStyle="1" w:styleId="Heading7Char">
    <w:name w:val="Heading 7 Char"/>
    <w:basedOn w:val="DefaultParagraphFont"/>
    <w:link w:val="Heading7"/>
    <w:rsid w:val="007716A8"/>
    <w:rPr>
      <w:rFonts w:ascii="Times New Roman" w:eastAsia="Times New Roman" w:hAnsi="Times New Roman" w:cs="Times New Roman"/>
      <w:sz w:val="28"/>
      <w:szCs w:val="24"/>
    </w:rPr>
  </w:style>
  <w:style w:type="character" w:customStyle="1" w:styleId="Heading8Char">
    <w:name w:val="Heading 8 Char"/>
    <w:basedOn w:val="DefaultParagraphFont"/>
    <w:link w:val="Heading8"/>
    <w:rsid w:val="007716A8"/>
    <w:rPr>
      <w:rFonts w:ascii="Times New Roman" w:eastAsia="Times New Roman" w:hAnsi="Times New Roman" w:cs="Times New Roman"/>
      <w:b/>
      <w:sz w:val="28"/>
      <w:szCs w:val="24"/>
      <w:u w:val="single"/>
    </w:rPr>
  </w:style>
  <w:style w:type="character" w:customStyle="1" w:styleId="Heading9Char">
    <w:name w:val="Heading 9 Char"/>
    <w:basedOn w:val="DefaultParagraphFont"/>
    <w:link w:val="Heading9"/>
    <w:rsid w:val="007716A8"/>
    <w:rPr>
      <w:rFonts w:ascii="Times New Roman" w:eastAsia="Times New Roman" w:hAnsi="Times New Roman" w:cs="Times New Roman"/>
      <w:b/>
      <w:sz w:val="24"/>
      <w:szCs w:val="24"/>
    </w:rPr>
  </w:style>
  <w:style w:type="paragraph" w:styleId="BodyText2">
    <w:name w:val="Body Text 2"/>
    <w:basedOn w:val="Normal"/>
    <w:link w:val="BodyText2Char"/>
    <w:rsid w:val="007716A8"/>
    <w:pPr>
      <w:jc w:val="both"/>
    </w:pPr>
    <w:rPr>
      <w:sz w:val="28"/>
    </w:rPr>
  </w:style>
  <w:style w:type="character" w:customStyle="1" w:styleId="BodyText2Char">
    <w:name w:val="Body Text 2 Char"/>
    <w:basedOn w:val="DefaultParagraphFont"/>
    <w:link w:val="BodyText2"/>
    <w:rsid w:val="007716A8"/>
    <w:rPr>
      <w:rFonts w:ascii="Times New Roman" w:eastAsia="Times New Roman" w:hAnsi="Times New Roman" w:cs="Times New Roman"/>
      <w:sz w:val="28"/>
      <w:szCs w:val="24"/>
    </w:rPr>
  </w:style>
  <w:style w:type="paragraph" w:styleId="BodyText">
    <w:name w:val="Body Text"/>
    <w:basedOn w:val="Normal"/>
    <w:link w:val="BodyTextChar"/>
    <w:rsid w:val="007716A8"/>
    <w:pPr>
      <w:spacing w:after="120"/>
      <w:ind w:firstLine="720"/>
      <w:jc w:val="both"/>
    </w:pPr>
    <w:rPr>
      <w:sz w:val="28"/>
      <w:szCs w:val="28"/>
      <w:lang w:eastAsia="lv-LV"/>
    </w:rPr>
  </w:style>
  <w:style w:type="character" w:customStyle="1" w:styleId="BodyTextChar">
    <w:name w:val="Body Text Char"/>
    <w:basedOn w:val="DefaultParagraphFont"/>
    <w:link w:val="BodyText"/>
    <w:rsid w:val="007716A8"/>
    <w:rPr>
      <w:rFonts w:ascii="Times New Roman" w:eastAsia="Times New Roman" w:hAnsi="Times New Roman" w:cs="Times New Roman"/>
      <w:sz w:val="28"/>
      <w:szCs w:val="28"/>
      <w:lang w:eastAsia="lv-LV"/>
    </w:rPr>
  </w:style>
  <w:style w:type="paragraph" w:styleId="Header">
    <w:name w:val="header"/>
    <w:basedOn w:val="Normal"/>
    <w:link w:val="HeaderChar"/>
    <w:uiPriority w:val="99"/>
    <w:rsid w:val="007716A8"/>
    <w:pPr>
      <w:tabs>
        <w:tab w:val="center" w:pos="4153"/>
        <w:tab w:val="right" w:pos="8306"/>
      </w:tabs>
      <w:spacing w:after="120"/>
      <w:ind w:firstLine="720"/>
      <w:jc w:val="both"/>
    </w:pPr>
    <w:rPr>
      <w:sz w:val="28"/>
      <w:szCs w:val="28"/>
      <w:lang w:eastAsia="lv-LV"/>
    </w:rPr>
  </w:style>
  <w:style w:type="character" w:customStyle="1" w:styleId="HeaderChar">
    <w:name w:val="Header Char"/>
    <w:basedOn w:val="DefaultParagraphFont"/>
    <w:link w:val="Header"/>
    <w:uiPriority w:val="99"/>
    <w:rsid w:val="007716A8"/>
    <w:rPr>
      <w:rFonts w:ascii="Times New Roman" w:eastAsia="Times New Roman" w:hAnsi="Times New Roman" w:cs="Times New Roman"/>
      <w:sz w:val="28"/>
      <w:szCs w:val="28"/>
      <w:lang w:eastAsia="lv-LV"/>
    </w:rPr>
  </w:style>
  <w:style w:type="character" w:styleId="Strong">
    <w:name w:val="Strong"/>
    <w:uiPriority w:val="22"/>
    <w:qFormat/>
    <w:rsid w:val="007716A8"/>
    <w:rPr>
      <w:b/>
      <w:bCs/>
    </w:rPr>
  </w:style>
  <w:style w:type="character" w:styleId="PageNumber">
    <w:name w:val="page number"/>
    <w:basedOn w:val="DefaultParagraphFont"/>
    <w:rsid w:val="007716A8"/>
  </w:style>
  <w:style w:type="paragraph" w:styleId="Footer">
    <w:name w:val="footer"/>
    <w:basedOn w:val="Normal"/>
    <w:link w:val="FooterChar"/>
    <w:rsid w:val="007716A8"/>
    <w:pPr>
      <w:tabs>
        <w:tab w:val="center" w:pos="4153"/>
        <w:tab w:val="right" w:pos="8306"/>
      </w:tabs>
      <w:spacing w:after="120"/>
      <w:ind w:firstLine="720"/>
      <w:jc w:val="both"/>
    </w:pPr>
    <w:rPr>
      <w:sz w:val="28"/>
      <w:szCs w:val="28"/>
      <w:lang w:eastAsia="lv-LV"/>
    </w:rPr>
  </w:style>
  <w:style w:type="character" w:customStyle="1" w:styleId="FooterChar">
    <w:name w:val="Footer Char"/>
    <w:basedOn w:val="DefaultParagraphFont"/>
    <w:link w:val="Footer"/>
    <w:rsid w:val="007716A8"/>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rsid w:val="007716A8"/>
    <w:pPr>
      <w:spacing w:before="120"/>
      <w:ind w:firstLine="720"/>
    </w:pPr>
    <w:rPr>
      <w:sz w:val="28"/>
    </w:rPr>
  </w:style>
  <w:style w:type="character" w:customStyle="1" w:styleId="BodyTextIndentChar">
    <w:name w:val="Body Text Indent Char"/>
    <w:basedOn w:val="DefaultParagraphFont"/>
    <w:link w:val="BodyTextIndent"/>
    <w:rsid w:val="007716A8"/>
    <w:rPr>
      <w:rFonts w:ascii="Times New Roman" w:eastAsia="Times New Roman" w:hAnsi="Times New Roman" w:cs="Times New Roman"/>
      <w:sz w:val="28"/>
      <w:szCs w:val="24"/>
    </w:rPr>
  </w:style>
  <w:style w:type="paragraph" w:styleId="BodyTextIndent2">
    <w:name w:val="Body Text Indent 2"/>
    <w:basedOn w:val="Normal"/>
    <w:link w:val="BodyTextIndent2Char"/>
    <w:rsid w:val="007716A8"/>
    <w:pPr>
      <w:ind w:firstLine="720"/>
      <w:jc w:val="both"/>
    </w:pPr>
    <w:rPr>
      <w:sz w:val="28"/>
    </w:rPr>
  </w:style>
  <w:style w:type="character" w:customStyle="1" w:styleId="BodyTextIndent2Char">
    <w:name w:val="Body Text Indent 2 Char"/>
    <w:basedOn w:val="DefaultParagraphFont"/>
    <w:link w:val="BodyTextIndent2"/>
    <w:rsid w:val="007716A8"/>
    <w:rPr>
      <w:rFonts w:ascii="Times New Roman" w:eastAsia="Times New Roman" w:hAnsi="Times New Roman" w:cs="Times New Roman"/>
      <w:sz w:val="28"/>
      <w:szCs w:val="24"/>
    </w:rPr>
  </w:style>
  <w:style w:type="paragraph" w:styleId="BodyTextIndent3">
    <w:name w:val="Body Text Indent 3"/>
    <w:basedOn w:val="Normal"/>
    <w:link w:val="BodyTextIndent3Char"/>
    <w:rsid w:val="007716A8"/>
    <w:pPr>
      <w:ind w:firstLine="714"/>
      <w:jc w:val="both"/>
    </w:pPr>
    <w:rPr>
      <w:sz w:val="28"/>
    </w:rPr>
  </w:style>
  <w:style w:type="character" w:customStyle="1" w:styleId="BodyTextIndent3Char">
    <w:name w:val="Body Text Indent 3 Char"/>
    <w:basedOn w:val="DefaultParagraphFont"/>
    <w:link w:val="BodyTextIndent3"/>
    <w:rsid w:val="007716A8"/>
    <w:rPr>
      <w:rFonts w:ascii="Times New Roman" w:eastAsia="Times New Roman" w:hAnsi="Times New Roman" w:cs="Times New Roman"/>
      <w:sz w:val="28"/>
      <w:szCs w:val="24"/>
    </w:rPr>
  </w:style>
  <w:style w:type="character" w:customStyle="1" w:styleId="Virsraksts3Rakstz">
    <w:name w:val="Virsraksts 3 Rakstz."/>
    <w:rsid w:val="007716A8"/>
    <w:rPr>
      <w:rFonts w:cs="Arial"/>
      <w:b/>
      <w:bCs/>
      <w:noProof w:val="0"/>
      <w:sz w:val="32"/>
      <w:szCs w:val="26"/>
      <w:lang w:val="lv-LV" w:eastAsia="lv-LV" w:bidi="ar-SA"/>
    </w:rPr>
  </w:style>
  <w:style w:type="paragraph" w:styleId="TOC1">
    <w:name w:val="toc 1"/>
    <w:basedOn w:val="Normal"/>
    <w:next w:val="Normal"/>
    <w:autoRedefine/>
    <w:semiHidden/>
    <w:rsid w:val="007716A8"/>
    <w:pPr>
      <w:spacing w:before="120"/>
    </w:pPr>
    <w:rPr>
      <w:b/>
      <w:i/>
    </w:rPr>
  </w:style>
  <w:style w:type="paragraph" w:styleId="TOC2">
    <w:name w:val="toc 2"/>
    <w:basedOn w:val="Normal"/>
    <w:next w:val="Normal"/>
    <w:autoRedefine/>
    <w:semiHidden/>
    <w:rsid w:val="007716A8"/>
    <w:pPr>
      <w:spacing w:before="120"/>
      <w:ind w:left="240"/>
    </w:pPr>
    <w:rPr>
      <w:b/>
      <w:sz w:val="22"/>
    </w:rPr>
  </w:style>
  <w:style w:type="character" w:styleId="Hyperlink">
    <w:name w:val="Hyperlink"/>
    <w:rsid w:val="007716A8"/>
    <w:rPr>
      <w:color w:val="0000FF"/>
      <w:u w:val="single"/>
    </w:rPr>
  </w:style>
  <w:style w:type="paragraph" w:styleId="BodyText3">
    <w:name w:val="Body Text 3"/>
    <w:basedOn w:val="Normal"/>
    <w:link w:val="BodyText3Char"/>
    <w:rsid w:val="007716A8"/>
    <w:pPr>
      <w:spacing w:after="120"/>
    </w:pPr>
    <w:rPr>
      <w:sz w:val="16"/>
    </w:rPr>
  </w:style>
  <w:style w:type="character" w:customStyle="1" w:styleId="BodyText3Char">
    <w:name w:val="Body Text 3 Char"/>
    <w:basedOn w:val="DefaultParagraphFont"/>
    <w:link w:val="BodyText3"/>
    <w:rsid w:val="007716A8"/>
    <w:rPr>
      <w:rFonts w:ascii="Times New Roman" w:eastAsia="Times New Roman" w:hAnsi="Times New Roman" w:cs="Times New Roman"/>
      <w:sz w:val="16"/>
      <w:szCs w:val="24"/>
    </w:rPr>
  </w:style>
  <w:style w:type="paragraph" w:customStyle="1" w:styleId="Balonteksts1">
    <w:name w:val="Balonteksts1"/>
    <w:basedOn w:val="Normal"/>
    <w:semiHidden/>
    <w:rsid w:val="007716A8"/>
    <w:rPr>
      <w:rFonts w:ascii="Tahoma" w:hAnsi="Tahoma" w:cs="Tahoma"/>
      <w:sz w:val="16"/>
      <w:szCs w:val="16"/>
    </w:rPr>
  </w:style>
  <w:style w:type="paragraph" w:styleId="BlockText">
    <w:name w:val="Block Text"/>
    <w:basedOn w:val="Normal"/>
    <w:rsid w:val="007716A8"/>
    <w:pPr>
      <w:shd w:val="clear" w:color="auto" w:fill="FFFFFF"/>
      <w:ind w:left="709" w:right="38"/>
      <w:jc w:val="both"/>
    </w:pPr>
    <w:rPr>
      <w:sz w:val="28"/>
    </w:rPr>
  </w:style>
  <w:style w:type="paragraph" w:styleId="Title">
    <w:name w:val="Title"/>
    <w:basedOn w:val="Normal"/>
    <w:link w:val="TitleChar"/>
    <w:qFormat/>
    <w:rsid w:val="007716A8"/>
    <w:pPr>
      <w:jc w:val="center"/>
    </w:pPr>
    <w:rPr>
      <w:b/>
      <w:i/>
      <w:szCs w:val="20"/>
    </w:rPr>
  </w:style>
  <w:style w:type="character" w:customStyle="1" w:styleId="TitleChar">
    <w:name w:val="Title Char"/>
    <w:basedOn w:val="DefaultParagraphFont"/>
    <w:link w:val="Title"/>
    <w:rsid w:val="007716A8"/>
    <w:rPr>
      <w:rFonts w:ascii="Times New Roman" w:eastAsia="Times New Roman" w:hAnsi="Times New Roman" w:cs="Times New Roman"/>
      <w:b/>
      <w:i/>
      <w:sz w:val="24"/>
      <w:szCs w:val="20"/>
    </w:rPr>
  </w:style>
  <w:style w:type="character" w:styleId="FollowedHyperlink">
    <w:name w:val="FollowedHyperlink"/>
    <w:rsid w:val="007716A8"/>
    <w:rPr>
      <w:color w:val="800080"/>
      <w:u w:val="single"/>
    </w:rPr>
  </w:style>
  <w:style w:type="paragraph" w:styleId="BalloonText">
    <w:name w:val="Balloon Text"/>
    <w:basedOn w:val="Normal"/>
    <w:link w:val="BalloonTextChar"/>
    <w:semiHidden/>
    <w:rsid w:val="007716A8"/>
    <w:rPr>
      <w:rFonts w:ascii="Tahoma" w:hAnsi="Tahoma" w:cs="Tahoma"/>
      <w:sz w:val="16"/>
      <w:szCs w:val="16"/>
    </w:rPr>
  </w:style>
  <w:style w:type="character" w:customStyle="1" w:styleId="BalloonTextChar">
    <w:name w:val="Balloon Text Char"/>
    <w:basedOn w:val="DefaultParagraphFont"/>
    <w:link w:val="BalloonText"/>
    <w:semiHidden/>
    <w:rsid w:val="007716A8"/>
    <w:rPr>
      <w:rFonts w:ascii="Tahoma" w:eastAsia="Times New Roman" w:hAnsi="Tahoma" w:cs="Tahoma"/>
      <w:sz w:val="16"/>
      <w:szCs w:val="16"/>
    </w:rPr>
  </w:style>
  <w:style w:type="paragraph" w:styleId="NormalWeb">
    <w:name w:val="Normal (Web)"/>
    <w:basedOn w:val="Normal"/>
    <w:uiPriority w:val="99"/>
    <w:rsid w:val="007716A8"/>
    <w:pPr>
      <w:spacing w:before="75" w:after="75"/>
      <w:ind w:firstLine="375"/>
      <w:jc w:val="both"/>
    </w:pPr>
    <w:rPr>
      <w:lang w:eastAsia="lv-LV"/>
    </w:rPr>
  </w:style>
  <w:style w:type="paragraph" w:customStyle="1" w:styleId="naislab">
    <w:name w:val="naislab"/>
    <w:basedOn w:val="Normal"/>
    <w:rsid w:val="007716A8"/>
    <w:pPr>
      <w:spacing w:before="100" w:beforeAutospacing="1" w:after="100" w:afterAutospacing="1"/>
    </w:pPr>
    <w:rPr>
      <w:lang w:eastAsia="lv-LV"/>
    </w:rPr>
  </w:style>
  <w:style w:type="paragraph" w:customStyle="1" w:styleId="naisf">
    <w:name w:val="naisf"/>
    <w:basedOn w:val="Normal"/>
    <w:rsid w:val="007716A8"/>
    <w:pPr>
      <w:spacing w:before="75" w:after="75"/>
      <w:ind w:firstLine="375"/>
      <w:jc w:val="both"/>
    </w:pPr>
    <w:rPr>
      <w:lang w:eastAsia="lv-LV"/>
    </w:rPr>
  </w:style>
  <w:style w:type="paragraph" w:customStyle="1" w:styleId="naisnod">
    <w:name w:val="naisnod"/>
    <w:basedOn w:val="Normal"/>
    <w:rsid w:val="007716A8"/>
    <w:pPr>
      <w:spacing w:before="450" w:after="225"/>
      <w:jc w:val="center"/>
    </w:pPr>
    <w:rPr>
      <w:b/>
      <w:bCs/>
      <w:lang w:eastAsia="lv-LV"/>
    </w:rPr>
  </w:style>
  <w:style w:type="paragraph" w:customStyle="1" w:styleId="naisc">
    <w:name w:val="naisc"/>
    <w:basedOn w:val="Normal"/>
    <w:rsid w:val="007716A8"/>
    <w:pPr>
      <w:spacing w:before="75" w:after="75"/>
      <w:jc w:val="center"/>
    </w:pPr>
    <w:rPr>
      <w:lang w:eastAsia="lv-LV"/>
    </w:rPr>
  </w:style>
  <w:style w:type="paragraph" w:styleId="HTMLPreformatted">
    <w:name w:val="HTML Preformatted"/>
    <w:basedOn w:val="Normal"/>
    <w:link w:val="HTMLPreformattedChar"/>
    <w:rsid w:val="00771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rsid w:val="007716A8"/>
    <w:rPr>
      <w:rFonts w:ascii="Courier New" w:eastAsia="Times New Roman" w:hAnsi="Courier New" w:cs="Courier New"/>
      <w:sz w:val="20"/>
      <w:szCs w:val="20"/>
      <w:lang w:eastAsia="lv-LV"/>
    </w:rPr>
  </w:style>
  <w:style w:type="table" w:styleId="TableGrid">
    <w:name w:val="Table Grid"/>
    <w:basedOn w:val="TableNormal"/>
    <w:rsid w:val="007716A8"/>
    <w:pPr>
      <w:spacing w:after="0"/>
      <w:ind w:firstLine="0"/>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716A8"/>
    <w:rPr>
      <w:sz w:val="16"/>
      <w:szCs w:val="16"/>
    </w:rPr>
  </w:style>
  <w:style w:type="paragraph" w:styleId="CommentText">
    <w:name w:val="annotation text"/>
    <w:basedOn w:val="Normal"/>
    <w:link w:val="CommentTextChar"/>
    <w:uiPriority w:val="99"/>
    <w:rsid w:val="007716A8"/>
    <w:rPr>
      <w:sz w:val="20"/>
      <w:szCs w:val="20"/>
    </w:rPr>
  </w:style>
  <w:style w:type="character" w:customStyle="1" w:styleId="CommentTextChar">
    <w:name w:val="Comment Text Char"/>
    <w:basedOn w:val="DefaultParagraphFont"/>
    <w:link w:val="CommentText"/>
    <w:uiPriority w:val="99"/>
    <w:rsid w:val="007716A8"/>
    <w:rPr>
      <w:rFonts w:ascii="Times New Roman" w:eastAsia="Times New Roman" w:hAnsi="Times New Roman" w:cs="Times New Roman"/>
      <w:sz w:val="20"/>
      <w:szCs w:val="20"/>
    </w:rPr>
  </w:style>
  <w:style w:type="paragraph" w:customStyle="1" w:styleId="CharChar1CharCharChar">
    <w:name w:val="Char Char1 Char Char Char"/>
    <w:basedOn w:val="Normal"/>
    <w:next w:val="Normal"/>
    <w:rsid w:val="007716A8"/>
    <w:pPr>
      <w:spacing w:before="120" w:after="160" w:line="240" w:lineRule="exact"/>
      <w:ind w:firstLine="720"/>
      <w:jc w:val="both"/>
    </w:pPr>
    <w:rPr>
      <w:rFonts w:ascii="Verdana" w:hAnsi="Verdana"/>
      <w:sz w:val="20"/>
      <w:szCs w:val="20"/>
      <w:lang w:val="en-US"/>
    </w:rPr>
  </w:style>
  <w:style w:type="paragraph" w:customStyle="1" w:styleId="programmas">
    <w:name w:val="programmas"/>
    <w:basedOn w:val="Normal"/>
    <w:rsid w:val="007716A8"/>
    <w:pPr>
      <w:widowControl w:val="0"/>
      <w:spacing w:before="120"/>
      <w:jc w:val="center"/>
    </w:pPr>
    <w:rPr>
      <w:szCs w:val="20"/>
      <w:u w:val="single"/>
      <w:lang w:val="en-US"/>
    </w:rPr>
  </w:style>
  <w:style w:type="paragraph" w:styleId="FootnoteText">
    <w:name w:val="footnote text"/>
    <w:basedOn w:val="Normal"/>
    <w:link w:val="FootnoteTextChar"/>
    <w:rsid w:val="007716A8"/>
    <w:rPr>
      <w:sz w:val="20"/>
      <w:szCs w:val="20"/>
      <w:lang w:eastAsia="x-none"/>
    </w:rPr>
  </w:style>
  <w:style w:type="character" w:customStyle="1" w:styleId="FootnoteTextChar">
    <w:name w:val="Footnote Text Char"/>
    <w:basedOn w:val="DefaultParagraphFont"/>
    <w:link w:val="FootnoteText"/>
    <w:rsid w:val="007716A8"/>
    <w:rPr>
      <w:rFonts w:ascii="Times New Roman" w:eastAsia="Times New Roman" w:hAnsi="Times New Roman" w:cs="Times New Roman"/>
      <w:sz w:val="20"/>
      <w:szCs w:val="20"/>
      <w:lang w:eastAsia="x-none"/>
    </w:rPr>
  </w:style>
  <w:style w:type="character" w:styleId="FootnoteReference">
    <w:name w:val="footnote reference"/>
    <w:rsid w:val="007716A8"/>
    <w:rPr>
      <w:vertAlign w:val="superscript"/>
    </w:rPr>
  </w:style>
  <w:style w:type="paragraph" w:styleId="ListParagraph">
    <w:name w:val="List Paragraph"/>
    <w:aliases w:val="2"/>
    <w:basedOn w:val="Normal"/>
    <w:link w:val="ListParagraphChar"/>
    <w:uiPriority w:val="34"/>
    <w:qFormat/>
    <w:rsid w:val="007716A8"/>
    <w:pPr>
      <w:spacing w:after="200" w:line="276" w:lineRule="auto"/>
      <w:ind w:left="720"/>
      <w:contextualSpacing/>
    </w:pPr>
    <w:rPr>
      <w:rFonts w:ascii="Calibri" w:hAnsi="Calibri"/>
      <w:sz w:val="22"/>
      <w:szCs w:val="22"/>
      <w:lang w:val="en-US"/>
    </w:rPr>
  </w:style>
  <w:style w:type="paragraph" w:customStyle="1" w:styleId="Default">
    <w:name w:val="Default"/>
    <w:rsid w:val="007716A8"/>
    <w:pPr>
      <w:autoSpaceDE w:val="0"/>
      <w:autoSpaceDN w:val="0"/>
      <w:adjustRightInd w:val="0"/>
      <w:spacing w:after="0"/>
      <w:ind w:firstLine="0"/>
      <w:jc w:val="left"/>
    </w:pPr>
    <w:rPr>
      <w:rFonts w:ascii="Times New Roman" w:eastAsia="Times New Roman" w:hAnsi="Times New Roman" w:cs="Times New Roman"/>
      <w:color w:val="000000"/>
      <w:sz w:val="24"/>
      <w:szCs w:val="24"/>
      <w:lang w:eastAsia="lv-LV"/>
    </w:rPr>
  </w:style>
  <w:style w:type="character" w:customStyle="1" w:styleId="ListParagraphChar">
    <w:name w:val="List Paragraph Char"/>
    <w:aliases w:val="2 Char"/>
    <w:link w:val="ListParagraph"/>
    <w:uiPriority w:val="34"/>
    <w:locked/>
    <w:rsid w:val="007716A8"/>
    <w:rPr>
      <w:rFonts w:ascii="Calibri" w:eastAsia="Times New Roman" w:hAnsi="Calibri" w:cs="Times New Roman"/>
      <w:lang w:val="en-US"/>
    </w:rPr>
  </w:style>
  <w:style w:type="paragraph" w:customStyle="1" w:styleId="tv213">
    <w:name w:val="tv213"/>
    <w:basedOn w:val="Normal"/>
    <w:rsid w:val="007716A8"/>
    <w:pPr>
      <w:spacing w:before="100" w:beforeAutospacing="1" w:after="100" w:afterAutospacing="1"/>
    </w:pPr>
    <w:rPr>
      <w:lang w:eastAsia="lv-LV"/>
    </w:rPr>
  </w:style>
  <w:style w:type="character" w:customStyle="1" w:styleId="apple-converted-space">
    <w:name w:val="apple-converted-space"/>
    <w:rsid w:val="007716A8"/>
  </w:style>
  <w:style w:type="paragraph" w:styleId="CommentSubject">
    <w:name w:val="annotation subject"/>
    <w:basedOn w:val="CommentText"/>
    <w:next w:val="CommentText"/>
    <w:link w:val="CommentSubjectChar"/>
    <w:rsid w:val="007716A8"/>
    <w:rPr>
      <w:b/>
      <w:bCs/>
    </w:rPr>
  </w:style>
  <w:style w:type="character" w:customStyle="1" w:styleId="CommentSubjectChar">
    <w:name w:val="Comment Subject Char"/>
    <w:basedOn w:val="CommentTextChar"/>
    <w:link w:val="CommentSubject"/>
    <w:rsid w:val="007716A8"/>
    <w:rPr>
      <w:rFonts w:ascii="Times New Roman" w:eastAsia="Times New Roman" w:hAnsi="Times New Roman" w:cs="Times New Roman"/>
      <w:b/>
      <w:bCs/>
      <w:sz w:val="20"/>
      <w:szCs w:val="20"/>
    </w:rPr>
  </w:style>
  <w:style w:type="paragraph" w:customStyle="1" w:styleId="xmsonormal">
    <w:name w:val="x_msonormal"/>
    <w:basedOn w:val="Normal"/>
    <w:rsid w:val="007716A8"/>
    <w:pPr>
      <w:spacing w:before="100" w:beforeAutospacing="1" w:after="100" w:afterAutospacing="1"/>
    </w:pPr>
    <w:rPr>
      <w:lang w:val="en-US"/>
    </w:rPr>
  </w:style>
  <w:style w:type="paragraph" w:customStyle="1" w:styleId="xmsolistparagraph">
    <w:name w:val="x_msolistparagraph"/>
    <w:basedOn w:val="Normal"/>
    <w:rsid w:val="007716A8"/>
    <w:pPr>
      <w:spacing w:before="100" w:beforeAutospacing="1" w:after="100" w:afterAutospacing="1"/>
    </w:pPr>
    <w:rPr>
      <w:lang w:val="en-US"/>
    </w:rPr>
  </w:style>
  <w:style w:type="character" w:customStyle="1" w:styleId="object">
    <w:name w:val="object"/>
    <w:rsid w:val="007716A8"/>
  </w:style>
  <w:style w:type="paragraph" w:styleId="EndnoteText">
    <w:name w:val="endnote text"/>
    <w:basedOn w:val="Normal"/>
    <w:link w:val="EndnoteTextChar"/>
    <w:uiPriority w:val="99"/>
    <w:semiHidden/>
    <w:unhideWhenUsed/>
    <w:rsid w:val="007716A8"/>
    <w:pPr>
      <w:jc w:val="both"/>
    </w:pPr>
    <w:rPr>
      <w:color w:val="333333"/>
      <w:sz w:val="20"/>
      <w:szCs w:val="20"/>
    </w:rPr>
  </w:style>
  <w:style w:type="character" w:customStyle="1" w:styleId="EndnoteTextChar">
    <w:name w:val="Endnote Text Char"/>
    <w:basedOn w:val="DefaultParagraphFont"/>
    <w:link w:val="EndnoteText"/>
    <w:uiPriority w:val="99"/>
    <w:semiHidden/>
    <w:rsid w:val="007716A8"/>
    <w:rPr>
      <w:rFonts w:ascii="Times New Roman" w:eastAsia="Times New Roman" w:hAnsi="Times New Roman" w:cs="Times New Roman"/>
      <w:color w:val="333333"/>
      <w:sz w:val="20"/>
      <w:szCs w:val="20"/>
    </w:rPr>
  </w:style>
  <w:style w:type="paragraph" w:styleId="NoSpacing">
    <w:name w:val="No Spacing"/>
    <w:uiPriority w:val="1"/>
    <w:qFormat/>
    <w:rsid w:val="007716A8"/>
    <w:pPr>
      <w:spacing w:after="0"/>
      <w:ind w:firstLine="0"/>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Natalija.Cudecka-Purina@varam.gov.lv"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Zita.Balode@vara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eteo.lv/fs/files/CMSP_Purchase_Attach/00/00/00/21/19/atversana.pdf" TargetMode="External"/><Relationship Id="rId7" Type="http://schemas.openxmlformats.org/officeDocument/2006/relationships/hyperlink" Target="http://www.meteo.lv/fs/files/CMSP_Purchase_Attach/00/00/00/21/13/Protokols.pdf" TargetMode="External"/><Relationship Id="rId2" Type="http://schemas.openxmlformats.org/officeDocument/2006/relationships/hyperlink" Target="https://pvs.iub.gov.lv/show/473990" TargetMode="External"/><Relationship Id="rId1" Type="http://schemas.openxmlformats.org/officeDocument/2006/relationships/hyperlink" Target="http://old.vpvb.gov.lv/ivn/projekti/atzinumi/RadonsNZ.pdf" TargetMode="External"/><Relationship Id="rId6" Type="http://schemas.openxmlformats.org/officeDocument/2006/relationships/hyperlink" Target="https://pvs.iub.gov.lv/show/532154" TargetMode="External"/><Relationship Id="rId5" Type="http://schemas.openxmlformats.org/officeDocument/2006/relationships/hyperlink" Target="http://www.meteo.lv/fs/files/CMSP_Purchase_Attach/00/00/00/19/37/0002.pdf" TargetMode="External"/><Relationship Id="rId4" Type="http://schemas.openxmlformats.org/officeDocument/2006/relationships/hyperlink" Target="https://pvs.iub.gov.lv/show/524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16872</Words>
  <Characters>9618</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Informatīvais ziņojums “Jaunas radioaktīvo atkritumu tvertnes, ilgtermiņa glabātavas un esošo radioaktīvo atkritumu tvertņu pārsegšanas projekta izstrāde radioaktīvo atkritumu glabātavai “Radons” un Salaspils kodolreaktora izpētes un demontāžas projekta i</vt:lpstr>
    </vt:vector>
  </TitlesOfParts>
  <Company>VARAM</Company>
  <LinksUpToDate>false</LinksUpToDate>
  <CharactersWithSpaces>26438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“Jaunas radioaktīvo atkritumu tvertnes, ilgtermiņa glabātavas un esošo radioaktīvo atkritumu tvertņu pārsegšanas projekta izstrāde radioaktīvo atkritumu glabātavai “Radons” un Salaspils kodolreaktora izpētes un demontāžas projekta izstrāde”</dc:title>
  <dc:creator>Zita Balode</dc:creator>
  <dc:description>zita.balode@varam.gov.lv
67026490</dc:description>
  <cp:lastModifiedBy>Zita Balode</cp:lastModifiedBy>
  <cp:revision>15</cp:revision>
  <dcterms:created xsi:type="dcterms:W3CDTF">2018-11-07T08:41:00Z</dcterms:created>
  <dcterms:modified xsi:type="dcterms:W3CDTF">2018-11-07T09:23:00Z</dcterms:modified>
  <cp:category>Vides politika</cp:category>
</cp:coreProperties>
</file>