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6CF0" w14:textId="77777777" w:rsidR="002D6C57" w:rsidRPr="00D522F8" w:rsidRDefault="002D6C57" w:rsidP="002D6C57">
      <w:pPr>
        <w:suppressAutoHyphens/>
        <w:spacing w:after="0" w:line="100" w:lineRule="atLeast"/>
        <w:ind w:firstLine="576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_GoBack"/>
      <w:bookmarkEnd w:id="0"/>
      <w:r w:rsidRPr="00D522F8">
        <w:rPr>
          <w:rFonts w:ascii="Times New Roman" w:eastAsia="Times New Roman" w:hAnsi="Times New Roman" w:cs="Times New Roman"/>
          <w:i/>
          <w:sz w:val="26"/>
          <w:szCs w:val="28"/>
          <w:lang w:eastAsia="ar-SA"/>
        </w:rPr>
        <w:t>Projekts</w:t>
      </w:r>
    </w:p>
    <w:p w14:paraId="5F68017C" w14:textId="77777777" w:rsidR="002D6C57" w:rsidRPr="00D522F8" w:rsidRDefault="002D6C57" w:rsidP="002D6C57">
      <w:pPr>
        <w:keepNext/>
        <w:numPr>
          <w:ilvl w:val="1"/>
          <w:numId w:val="0"/>
        </w:numPr>
        <w:tabs>
          <w:tab w:val="num" w:pos="576"/>
          <w:tab w:val="left" w:pos="993"/>
        </w:tabs>
        <w:suppressAutoHyphens/>
        <w:spacing w:before="360" w:after="12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0"/>
          <w:lang w:eastAsia="ar-SA"/>
        </w:rPr>
      </w:pPr>
      <w:proofErr w:type="gramStart"/>
      <w:r w:rsidRPr="00D522F8">
        <w:rPr>
          <w:rFonts w:ascii="Times New Roman" w:eastAsia="Times New Roman" w:hAnsi="Times New Roman" w:cs="Times New Roman"/>
          <w:b/>
          <w:caps/>
          <w:sz w:val="30"/>
          <w:szCs w:val="20"/>
          <w:lang w:eastAsia="ar-SA"/>
        </w:rPr>
        <w:t>LATVIJAS REPUBLIKAS MINISTRU KABINETS</w:t>
      </w:r>
      <w:proofErr w:type="gramEnd"/>
    </w:p>
    <w:p w14:paraId="15023F36" w14:textId="77777777" w:rsidR="002D6C57" w:rsidRPr="00D522F8" w:rsidRDefault="002D6C57" w:rsidP="002D6C5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14:paraId="123FB584" w14:textId="77777777" w:rsidR="002D6C57" w:rsidRPr="00D522F8" w:rsidRDefault="002D6C57" w:rsidP="002D6C5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233397" w14:textId="77777777" w:rsidR="002D6C57" w:rsidRPr="00D522F8" w:rsidRDefault="002D6C57" w:rsidP="002D6C5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>2018. gada ___. _______</w:t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Noteikumi Nr. ____</w:t>
      </w:r>
    </w:p>
    <w:p w14:paraId="2E7EE8E5" w14:textId="71A36C56" w:rsidR="002D6C57" w:rsidRPr="00D522F8" w:rsidRDefault="002D6C57" w:rsidP="002D6C5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>Rīgā</w:t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(prot.</w:t>
      </w:r>
      <w:r w:rsidR="0016227E"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522F8">
        <w:rPr>
          <w:rFonts w:ascii="Times New Roman" w:eastAsia="Times New Roman" w:hAnsi="Times New Roman" w:cs="Times New Roman"/>
          <w:sz w:val="24"/>
          <w:szCs w:val="24"/>
          <w:lang w:eastAsia="ar-SA"/>
        </w:rPr>
        <w:t>Nr. ___,___. §)</w:t>
      </w:r>
    </w:p>
    <w:p w14:paraId="55B96624" w14:textId="77777777" w:rsidR="002D6C57" w:rsidRPr="002D6C57" w:rsidRDefault="002D6C57" w:rsidP="002D6C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ar-SA"/>
        </w:rPr>
      </w:pPr>
    </w:p>
    <w:p w14:paraId="449061D2" w14:textId="54F9E9E9" w:rsidR="002D6C57" w:rsidRPr="002D6C57" w:rsidRDefault="002D6C57" w:rsidP="002D6C5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D6C57">
        <w:rPr>
          <w:rFonts w:ascii="Times New Roman" w:eastAsia="Times New Roman" w:hAnsi="Times New Roman" w:cs="EUAlbertina"/>
          <w:b/>
          <w:bCs/>
          <w:color w:val="000000"/>
          <w:sz w:val="26"/>
          <w:szCs w:val="26"/>
          <w:lang w:eastAsia="lv-LV"/>
        </w:rPr>
        <w:t xml:space="preserve">Grozījumi Ministru kabineta 2014. gada 7. janvāra noteikumos Nr. 16 </w:t>
      </w:r>
      <w:r w:rsidR="00CD207B" w:rsidRPr="00CD207B">
        <w:rPr>
          <w:rFonts w:ascii="Times New Roman" w:eastAsia="Times New Roman" w:hAnsi="Times New Roman" w:cs="EUAlbertina"/>
          <w:b/>
          <w:bCs/>
          <w:color w:val="000000"/>
          <w:sz w:val="26"/>
          <w:szCs w:val="26"/>
          <w:lang w:eastAsia="lv-LV"/>
        </w:rPr>
        <w:t>“</w:t>
      </w:r>
      <w:r w:rsidRPr="002D6C57">
        <w:rPr>
          <w:rFonts w:ascii="Times New Roman" w:eastAsia="Times New Roman" w:hAnsi="Times New Roman" w:cs="EUAlbertina"/>
          <w:b/>
          <w:bCs/>
          <w:color w:val="000000"/>
          <w:sz w:val="26"/>
          <w:szCs w:val="26"/>
          <w:lang w:eastAsia="lv-LV"/>
        </w:rPr>
        <w:t>Trokšņa novērtēšanas un pārvaldības kārtība”</w:t>
      </w:r>
    </w:p>
    <w:p w14:paraId="35EFADA8" w14:textId="77777777" w:rsidR="00B571FA" w:rsidRDefault="00B571FA" w:rsidP="002D6C57">
      <w:pPr>
        <w:suppressAutoHyphens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</w:pPr>
    </w:p>
    <w:p w14:paraId="4ED80FA6" w14:textId="77777777" w:rsidR="00B571FA" w:rsidRDefault="002D6C57" w:rsidP="002D6C57">
      <w:pPr>
        <w:suppressAutoHyphens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  <w:t>Izdoti saskaņā ar likuma "Par piesārņojumu"</w:t>
      </w:r>
    </w:p>
    <w:p w14:paraId="7205A0F5" w14:textId="51DD2F3E" w:rsidR="002D6C57" w:rsidRPr="002D6C57" w:rsidRDefault="002D6C57" w:rsidP="002D6C57">
      <w:pPr>
        <w:suppressAutoHyphens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  <w:t xml:space="preserve"> 18.</w:t>
      </w:r>
      <w:r w:rsidRPr="002D6C57">
        <w:rPr>
          <w:rFonts w:ascii="Times New Roman" w:eastAsia="Times New Roman" w:hAnsi="Times New Roman" w:cs="EUAlbertina"/>
          <w:i/>
          <w:color w:val="000000"/>
          <w:sz w:val="24"/>
          <w:szCs w:val="24"/>
          <w:vertAlign w:val="superscript"/>
          <w:lang w:eastAsia="lv-LV"/>
        </w:rPr>
        <w:t>1</w:t>
      </w:r>
      <w:r w:rsidRPr="002D6C57"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  <w:t> panta trešo daļu</w:t>
      </w:r>
    </w:p>
    <w:p w14:paraId="5CFCD7E1" w14:textId="77777777" w:rsidR="002D6C57" w:rsidRPr="002D6C57" w:rsidRDefault="002D6C57" w:rsidP="002D6C57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EUAlbertina"/>
          <w:i/>
          <w:color w:val="000000"/>
          <w:sz w:val="24"/>
          <w:szCs w:val="24"/>
          <w:lang w:eastAsia="lv-LV"/>
        </w:rPr>
      </w:pPr>
    </w:p>
    <w:p w14:paraId="6AF2BCC2" w14:textId="3CAD17CA" w:rsidR="002D6C57" w:rsidRPr="002D6C57" w:rsidRDefault="002D6C57" w:rsidP="002D6C5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Izdarīt Ministru kabineta 2014. gada 7. janvāra noteikumos Nr. 16 </w:t>
      </w:r>
      <w:r w:rsidR="00CD207B" w:rsidRPr="00CD20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“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Trokšņa novērtēšanas un pārvaldības kārtība” (Latvijas Vēstnesis, 2014, 16. nr., 2015, 193. nr., 2017, 254. nr., 2018, 157. nr</w:t>
      </w:r>
      <w:r w:rsidR="00EF6E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šādus grozījumus:</w:t>
      </w:r>
    </w:p>
    <w:p w14:paraId="7D405F80" w14:textId="28558BDC" w:rsidR="002D6C57" w:rsidRPr="002D6C57" w:rsidRDefault="002D6C57" w:rsidP="002D6C5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6C57">
        <w:rPr>
          <w:rFonts w:ascii="Times New Roman" w:eastAsia="Times New Roman" w:hAnsi="Times New Roman" w:cs="Times New Roman"/>
          <w:sz w:val="24"/>
          <w:szCs w:val="24"/>
        </w:rPr>
        <w:t>Svītrot noteikumu</w:t>
      </w:r>
      <w:r w:rsidRPr="00C64A76">
        <w:rPr>
          <w:rFonts w:ascii="Times New Roman" w:eastAsia="Times New Roman" w:hAnsi="Times New Roman" w:cs="Times New Roman"/>
          <w:sz w:val="24"/>
          <w:szCs w:val="24"/>
        </w:rPr>
        <w:t xml:space="preserve"> 6.5. apakšpunktu</w:t>
      </w:r>
      <w:r w:rsidR="0013486B" w:rsidRPr="00C64A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9CA99D" w14:textId="388734DD" w:rsidR="002D6C57" w:rsidRPr="002D6C57" w:rsidRDefault="006B5A22" w:rsidP="002D6C57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22F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I</w:t>
      </w:r>
      <w:r w:rsidRPr="006B5A22">
        <w:rPr>
          <w:rFonts w:ascii="Times New Roman" w:eastAsia="Times New Roman" w:hAnsi="Times New Roman" w:cs="Times New Roman"/>
          <w:sz w:val="24"/>
          <w:szCs w:val="24"/>
        </w:rPr>
        <w:t>zteikt informatīvo atsauci</w:t>
      </w:r>
      <w:r w:rsidR="00C96A90">
        <w:rPr>
          <w:rFonts w:ascii="Times New Roman" w:eastAsia="Times New Roman" w:hAnsi="Times New Roman" w:cs="Times New Roman"/>
          <w:sz w:val="24"/>
          <w:szCs w:val="24"/>
        </w:rPr>
        <w:t xml:space="preserve"> uz Eiropas Savienības direktīvām</w:t>
      </w:r>
      <w:r w:rsidRPr="006B5A22">
        <w:rPr>
          <w:rFonts w:ascii="Times New Roman" w:eastAsia="Times New Roman" w:hAnsi="Times New Roman" w:cs="Times New Roman"/>
          <w:sz w:val="24"/>
          <w:szCs w:val="24"/>
        </w:rPr>
        <w:t xml:space="preserve"> šādā redakcijā:</w:t>
      </w:r>
    </w:p>
    <w:p w14:paraId="7A23A61A" w14:textId="77777777" w:rsidR="002D6C57" w:rsidRPr="002D6C57" w:rsidRDefault="002D6C57" w:rsidP="002D6C5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2D6C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Informatīva atsauce uz Eiropas Savienības direktīvām</w:t>
      </w:r>
    </w:p>
    <w:p w14:paraId="44A82AE2" w14:textId="77777777" w:rsidR="002D6C57" w:rsidRPr="002D6C57" w:rsidRDefault="002D6C57" w:rsidP="00A84962">
      <w:pPr>
        <w:spacing w:before="120" w:after="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6C57">
        <w:rPr>
          <w:rFonts w:ascii="Times New Roman" w:eastAsia="Times New Roman" w:hAnsi="Times New Roman" w:cs="Times New Roman"/>
          <w:sz w:val="24"/>
          <w:szCs w:val="24"/>
        </w:rPr>
        <w:t xml:space="preserve">Noteikumos iekļautas tiesību normas, </w:t>
      </w:r>
      <w:r w:rsidRPr="00291AAB">
        <w:rPr>
          <w:rFonts w:ascii="Times New Roman" w:eastAsia="Times New Roman" w:hAnsi="Times New Roman" w:cs="Times New Roman"/>
          <w:sz w:val="24"/>
          <w:szCs w:val="24"/>
        </w:rPr>
        <w:t>kas izriet no:</w:t>
      </w:r>
    </w:p>
    <w:p w14:paraId="0281E843" w14:textId="77777777" w:rsidR="002D6C57" w:rsidRDefault="002D6C57" w:rsidP="00A84962">
      <w:pPr>
        <w:numPr>
          <w:ilvl w:val="0"/>
          <w:numId w:val="2"/>
        </w:numPr>
        <w:suppressAutoHyphens/>
        <w:spacing w:before="120" w:after="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6C57">
        <w:rPr>
          <w:rFonts w:ascii="Times New Roman" w:eastAsia="Times New Roman" w:hAnsi="Times New Roman" w:cs="Times New Roman"/>
          <w:sz w:val="24"/>
          <w:szCs w:val="24"/>
        </w:rPr>
        <w:t>Eiropas Parlamenta un Padomes 2002. gada 25. jūnija Direktīvas 2002/48/EK par vides trokšņa novērtēšanu un pārvaldību;</w:t>
      </w:r>
    </w:p>
    <w:p w14:paraId="4A4E19E7" w14:textId="423D3F2F" w:rsidR="002D6C57" w:rsidRPr="00A84962" w:rsidRDefault="002D6C57" w:rsidP="00A84962">
      <w:pPr>
        <w:numPr>
          <w:ilvl w:val="0"/>
          <w:numId w:val="2"/>
        </w:numPr>
        <w:suppressAutoHyphens/>
        <w:spacing w:before="120" w:after="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962">
        <w:rPr>
          <w:rFonts w:ascii="Times New Roman" w:eastAsia="Times New Roman" w:hAnsi="Times New Roman" w:cs="Times New Roman"/>
          <w:sz w:val="24"/>
          <w:szCs w:val="24"/>
        </w:rPr>
        <w:t>Komisijas Direktīvas (ES) 2015/996 (2015. gada 19. maijs), ar ko nosaka kopīgas trokšņa novērtēšanas metodes saskaņā ar Eiropas Parlamenta un Padomes Direktīvu 2004/49/EK</w:t>
      </w:r>
      <w:r w:rsidR="00A84962" w:rsidRPr="00A84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6A3A2" w14:textId="4E2EBD24" w:rsidR="002D6C57" w:rsidRPr="002D6C57" w:rsidRDefault="002D6C57" w:rsidP="002D6C57">
      <w:pPr>
        <w:numPr>
          <w:ilvl w:val="0"/>
          <w:numId w:val="1"/>
        </w:numPr>
        <w:suppressAutoHyphens/>
        <w:spacing w:before="120" w:after="0" w:line="240" w:lineRule="auto"/>
        <w:ind w:left="426" w:hanging="284"/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Svītrot noteikumu 1.</w:t>
      </w:r>
      <w:r w:rsidRPr="002D6C57">
        <w:rPr>
          <w:rFonts w:ascii="Times New Roman" w:eastAsia="Times New Roman" w:hAnsi="Times New Roman" w:cs="EUAlbertina"/>
          <w:color w:val="000000"/>
          <w:sz w:val="28"/>
          <w:szCs w:val="24"/>
          <w:lang w:eastAsia="lv-LV"/>
        </w:rPr>
        <w:t> </w:t>
      </w: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pielikuma 3. un 4. punktu</w:t>
      </w:r>
      <w:r w:rsidR="00CD207B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 xml:space="preserve">. </w:t>
      </w:r>
    </w:p>
    <w:p w14:paraId="69304A93" w14:textId="77777777" w:rsidR="002D6C57" w:rsidRPr="002D6C57" w:rsidRDefault="002D6C57" w:rsidP="002D6C57">
      <w:pPr>
        <w:numPr>
          <w:ilvl w:val="0"/>
          <w:numId w:val="1"/>
        </w:numPr>
        <w:suppressAutoHyphens/>
        <w:spacing w:before="120" w:after="0" w:line="240" w:lineRule="auto"/>
        <w:ind w:left="426" w:hanging="284"/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Izteikt noteikumu 1. pielikuma 7. punktu šādā redakcijā:</w:t>
      </w:r>
    </w:p>
    <w:p w14:paraId="7CA9E99A" w14:textId="77777777" w:rsidR="002D6C57" w:rsidRPr="002D6C57" w:rsidRDefault="002D6C57" w:rsidP="002D6C57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“7. 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Vides trokšņa emisijas datu (ievades datu) mērījumiem izmanto</w:t>
      </w: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 xml:space="preserve"> piemērojamos standartos noteikto metožu principus. Vides aizsardzības un reģionālās attīstības ministrija iesaka nacionālajai standartizācijas institūcijai to standartu sarakstu, kurus var piemērot attiecībā uz vides trokšņa mērīšanu (turpmāk – piemērojamiem standarti). Nacionālā standartizācijas institūcija publicē savā tīmekļvietnē sarakstu ar piemērojamiem standartiem, kas adaptēti nacionālo standartu statusā.”</w:t>
      </w:r>
    </w:p>
    <w:p w14:paraId="2AC9A03B" w14:textId="77777777" w:rsidR="00B70FA1" w:rsidRDefault="002D6C57" w:rsidP="00B70FA1">
      <w:pPr>
        <w:numPr>
          <w:ilvl w:val="0"/>
          <w:numId w:val="1"/>
        </w:numPr>
        <w:suppressAutoHyphens/>
        <w:spacing w:before="120" w:after="0" w:line="240" w:lineRule="auto"/>
        <w:ind w:left="426" w:hanging="284"/>
        <w:jc w:val="both"/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</w:pPr>
      <w:r w:rsidRPr="002D6C57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 xml:space="preserve">Svītrot </w:t>
      </w:r>
      <w:r w:rsidRPr="00A84962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noteikumu 2. pielikuma 1. piezīmi</w:t>
      </w:r>
      <w:r w:rsidR="00A84962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.</w:t>
      </w:r>
    </w:p>
    <w:p w14:paraId="0F635A8E" w14:textId="1414B192" w:rsidR="00CD207B" w:rsidRPr="00B70FA1" w:rsidRDefault="002D6C57" w:rsidP="00B70FA1">
      <w:pPr>
        <w:numPr>
          <w:ilvl w:val="0"/>
          <w:numId w:val="1"/>
        </w:numPr>
        <w:suppressAutoHyphens/>
        <w:spacing w:before="120" w:after="0" w:line="240" w:lineRule="auto"/>
        <w:ind w:left="426" w:hanging="284"/>
        <w:jc w:val="both"/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</w:pPr>
      <w:r w:rsidRPr="00B70FA1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Papildināt noteikumus ar 5.</w:t>
      </w:r>
      <w:r w:rsidR="0013486B" w:rsidRPr="00B70FA1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 </w:t>
      </w:r>
      <w:r w:rsidRPr="00B70FA1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pielikumu</w:t>
      </w:r>
      <w:r w:rsidR="0023346E" w:rsidRPr="00B70FA1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 xml:space="preserve"> (pielikumā)</w:t>
      </w:r>
      <w:r w:rsidR="00A84962" w:rsidRPr="00B70FA1">
        <w:rPr>
          <w:rFonts w:ascii="Times New Roman" w:eastAsia="Times New Roman" w:hAnsi="Times New Roman" w:cs="EUAlbertina"/>
          <w:color w:val="000000"/>
          <w:sz w:val="24"/>
          <w:szCs w:val="24"/>
          <w:lang w:eastAsia="lv-LV"/>
        </w:rPr>
        <w:t>.</w:t>
      </w:r>
    </w:p>
    <w:p w14:paraId="7195A5DE" w14:textId="77777777" w:rsidR="00CD207B" w:rsidRPr="00CD207B" w:rsidRDefault="00CD207B" w:rsidP="00CD207B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5091CE7" w14:textId="34491C67" w:rsidR="002D6C57" w:rsidRPr="002D6C57" w:rsidRDefault="002D6C57" w:rsidP="004C6EAE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Ministru prezidents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="00147A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āris 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Kučinskis</w:t>
      </w:r>
    </w:p>
    <w:p w14:paraId="1E64191F" w14:textId="77777777" w:rsidR="002D6C57" w:rsidRPr="002D6C57" w:rsidRDefault="002D6C57" w:rsidP="00A8496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Vides aizsardzības un reģionālās</w:t>
      </w:r>
    </w:p>
    <w:p w14:paraId="01247635" w14:textId="5081DC67" w:rsidR="002D6C57" w:rsidRPr="002D6C57" w:rsidRDefault="002D6C57" w:rsidP="004C6EAE">
      <w:p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attīstības ministrs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A84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</w:t>
      </w:r>
      <w:r w:rsidR="00147A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aspars </w:t>
      </w:r>
      <w:r w:rsidRPr="002D6C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Gerhards</w:t>
      </w:r>
    </w:p>
    <w:sectPr w:rsidR="002D6C57" w:rsidRPr="002D6C57" w:rsidSect="00B571FA"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9945" w14:textId="77777777" w:rsidR="00BE3FAE" w:rsidRDefault="00BE3FAE" w:rsidP="002D6C57">
      <w:pPr>
        <w:spacing w:after="0" w:line="240" w:lineRule="auto"/>
      </w:pPr>
      <w:r>
        <w:separator/>
      </w:r>
    </w:p>
  </w:endnote>
  <w:endnote w:type="continuationSeparator" w:id="0">
    <w:p w14:paraId="657BBE1E" w14:textId="77777777" w:rsidR="00BE3FAE" w:rsidRDefault="00BE3FAE" w:rsidP="002D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5C5" w14:textId="77777777" w:rsidR="002D6C57" w:rsidRDefault="002D6C57">
    <w:pPr>
      <w:pStyle w:val="Footer"/>
    </w:pPr>
  </w:p>
  <w:p w14:paraId="19DC19E4" w14:textId="77777777" w:rsidR="002D6C57" w:rsidRDefault="002D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75B1" w14:textId="6A0C1ED5" w:rsidR="004F60F2" w:rsidRPr="00D522F8" w:rsidRDefault="004F60F2">
    <w:pPr>
      <w:pStyle w:val="Footer"/>
      <w:rPr>
        <w:rFonts w:ascii="Times New Roman" w:hAnsi="Times New Roman" w:cs="Times New Roman"/>
        <w:sz w:val="20"/>
        <w:szCs w:val="20"/>
      </w:rPr>
    </w:pPr>
    <w:r w:rsidRPr="00D522F8">
      <w:rPr>
        <w:rFonts w:ascii="Times New Roman" w:hAnsi="Times New Roman" w:cs="Times New Roman"/>
        <w:sz w:val="20"/>
        <w:szCs w:val="20"/>
      </w:rPr>
      <w:t>VARAMNot_</w:t>
    </w:r>
    <w:r w:rsidR="00D522F8">
      <w:rPr>
        <w:rFonts w:ascii="Times New Roman" w:hAnsi="Times New Roman" w:cs="Times New Roman"/>
        <w:sz w:val="20"/>
        <w:szCs w:val="20"/>
      </w:rPr>
      <w:t>2</w:t>
    </w:r>
    <w:r w:rsidR="00491E86">
      <w:rPr>
        <w:rFonts w:ascii="Times New Roman" w:hAnsi="Times New Roman" w:cs="Times New Roman"/>
        <w:sz w:val="20"/>
        <w:szCs w:val="20"/>
      </w:rPr>
      <w:t>3</w:t>
    </w:r>
    <w:r w:rsidRPr="00D522F8">
      <w:rPr>
        <w:rFonts w:ascii="Times New Roman" w:hAnsi="Times New Roman" w:cs="Times New Roman"/>
        <w:sz w:val="20"/>
        <w:szCs w:val="20"/>
      </w:rPr>
      <w:t>112018_</w:t>
    </w:r>
    <w:r w:rsidR="00F650DA">
      <w:rPr>
        <w:rFonts w:ascii="Times New Roman" w:hAnsi="Times New Roman" w:cs="Times New Roman"/>
        <w:sz w:val="20"/>
        <w:szCs w:val="20"/>
      </w:rPr>
      <w:t>t</w:t>
    </w:r>
    <w:r w:rsidRPr="00D522F8">
      <w:rPr>
        <w:rFonts w:ascii="Times New Roman" w:hAnsi="Times New Roman" w:cs="Times New Roman"/>
        <w:sz w:val="20"/>
        <w:szCs w:val="20"/>
      </w:rPr>
      <w:t>roksnis_metodes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CCE6" w14:textId="77777777" w:rsidR="00BE3FAE" w:rsidRDefault="00BE3FAE" w:rsidP="002D6C57">
      <w:pPr>
        <w:spacing w:after="0" w:line="240" w:lineRule="auto"/>
      </w:pPr>
      <w:r>
        <w:separator/>
      </w:r>
    </w:p>
  </w:footnote>
  <w:footnote w:type="continuationSeparator" w:id="0">
    <w:p w14:paraId="1D512D09" w14:textId="77777777" w:rsidR="00BE3FAE" w:rsidRDefault="00BE3FAE" w:rsidP="002D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97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9E0EFC" w14:textId="77777777" w:rsidR="00CD207B" w:rsidRPr="00D522F8" w:rsidRDefault="00CD20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22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2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2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9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22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0B1B9C1" w14:textId="77777777" w:rsidR="002D6C57" w:rsidRDefault="002D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9E3"/>
    <w:multiLevelType w:val="hybridMultilevel"/>
    <w:tmpl w:val="13B66C90"/>
    <w:lvl w:ilvl="0" w:tplc="4E6601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C61B48"/>
    <w:multiLevelType w:val="hybridMultilevel"/>
    <w:tmpl w:val="50D44F8C"/>
    <w:lvl w:ilvl="0" w:tplc="68921C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7"/>
    <w:rsid w:val="00002F2B"/>
    <w:rsid w:val="0013486B"/>
    <w:rsid w:val="00147A4F"/>
    <w:rsid w:val="0016227E"/>
    <w:rsid w:val="001735BD"/>
    <w:rsid w:val="001C4C94"/>
    <w:rsid w:val="001D5D63"/>
    <w:rsid w:val="0023346E"/>
    <w:rsid w:val="002453B3"/>
    <w:rsid w:val="00291AAB"/>
    <w:rsid w:val="002C66FD"/>
    <w:rsid w:val="002D6C57"/>
    <w:rsid w:val="002F649F"/>
    <w:rsid w:val="003A3F14"/>
    <w:rsid w:val="00411303"/>
    <w:rsid w:val="00491E86"/>
    <w:rsid w:val="004C6EAE"/>
    <w:rsid w:val="004F60F2"/>
    <w:rsid w:val="004F640D"/>
    <w:rsid w:val="00500CA9"/>
    <w:rsid w:val="005422A9"/>
    <w:rsid w:val="00586AB8"/>
    <w:rsid w:val="00661738"/>
    <w:rsid w:val="006B5A22"/>
    <w:rsid w:val="006B7E32"/>
    <w:rsid w:val="00736E5C"/>
    <w:rsid w:val="00755327"/>
    <w:rsid w:val="00757BE5"/>
    <w:rsid w:val="00783720"/>
    <w:rsid w:val="007D66C2"/>
    <w:rsid w:val="008C5E53"/>
    <w:rsid w:val="008E503E"/>
    <w:rsid w:val="00963639"/>
    <w:rsid w:val="00972ECA"/>
    <w:rsid w:val="009956A6"/>
    <w:rsid w:val="009B2E5D"/>
    <w:rsid w:val="00A170E8"/>
    <w:rsid w:val="00A350A0"/>
    <w:rsid w:val="00A6056F"/>
    <w:rsid w:val="00A84962"/>
    <w:rsid w:val="00AF2A4F"/>
    <w:rsid w:val="00B26F2B"/>
    <w:rsid w:val="00B36BBA"/>
    <w:rsid w:val="00B46C1B"/>
    <w:rsid w:val="00B571FA"/>
    <w:rsid w:val="00B70FA1"/>
    <w:rsid w:val="00BA0150"/>
    <w:rsid w:val="00BE3FAE"/>
    <w:rsid w:val="00BE772B"/>
    <w:rsid w:val="00C64A76"/>
    <w:rsid w:val="00C74B6E"/>
    <w:rsid w:val="00C96A90"/>
    <w:rsid w:val="00CD207B"/>
    <w:rsid w:val="00D522F8"/>
    <w:rsid w:val="00D661A8"/>
    <w:rsid w:val="00DA37EC"/>
    <w:rsid w:val="00E551FF"/>
    <w:rsid w:val="00E76E05"/>
    <w:rsid w:val="00E86F89"/>
    <w:rsid w:val="00EC7787"/>
    <w:rsid w:val="00EF6EC6"/>
    <w:rsid w:val="00F02495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BE54"/>
  <w15:chartTrackingRefBased/>
  <w15:docId w15:val="{2E60AA84-DDB0-4C1A-8781-027FEBCF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57"/>
  </w:style>
  <w:style w:type="paragraph" w:styleId="Footer">
    <w:name w:val="footer"/>
    <w:basedOn w:val="Normal"/>
    <w:link w:val="FooterChar"/>
    <w:uiPriority w:val="99"/>
    <w:unhideWhenUsed/>
    <w:rsid w:val="002D6C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57"/>
  </w:style>
  <w:style w:type="paragraph" w:customStyle="1" w:styleId="naisnod">
    <w:name w:val="naisnod"/>
    <w:basedOn w:val="Normal"/>
    <w:rsid w:val="002D6C57"/>
    <w:pPr>
      <w:suppressAutoHyphens/>
      <w:spacing w:before="150" w:after="150" w:line="100" w:lineRule="atLeast"/>
      <w:jc w:val="center"/>
    </w:pPr>
    <w:rPr>
      <w:rFonts w:ascii="EUAlbertina" w:eastAsia="Times New Roman" w:hAnsi="EUAlbertina" w:cs="EUAlbertina"/>
      <w:b/>
      <w:bCs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2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0658-7F02-4881-856C-B481DDD8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7.janvāra noteikumos Nr. 16 "Trokšņa novērtēšanas un pārvaldības kārtība"</vt:lpstr>
    </vt:vector>
  </TitlesOfParts>
  <Company>Vides aizsardzības un reģionālās attīstības ministrija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7.janvāra noteikumos Nr. 16 "Trokšņa novērtēšanas un pārvaldības kārtība"</dc:title>
  <dc:subject>MK noteikumu projekts</dc:subject>
  <dc:creator>Judīte Dipāne</dc:creator>
  <cp:keywords/>
  <dc:description>67026415, judite.dipane@varam.gov.lv</dc:description>
  <cp:lastModifiedBy>Jekaterina Borovika</cp:lastModifiedBy>
  <cp:revision>2</cp:revision>
  <cp:lastPrinted>2018-12-11T08:34:00Z</cp:lastPrinted>
  <dcterms:created xsi:type="dcterms:W3CDTF">2018-12-11T13:59:00Z</dcterms:created>
  <dcterms:modified xsi:type="dcterms:W3CDTF">2018-12-11T13:59:00Z</dcterms:modified>
</cp:coreProperties>
</file>