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C9AEC" w14:textId="77777777" w:rsidR="00711E89" w:rsidRPr="00D24502" w:rsidRDefault="009D7541" w:rsidP="00EB3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1. </w:t>
      </w:r>
      <w:r w:rsidR="00711E89"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pielikums </w:t>
      </w:r>
    </w:p>
    <w:p w14:paraId="3D5037A9" w14:textId="77777777" w:rsidR="00711E89" w:rsidRPr="00D24502" w:rsidRDefault="00EB3ACF" w:rsidP="00EB3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14:paraId="497425D6" w14:textId="77777777" w:rsidR="00711E89" w:rsidRPr="00D24502" w:rsidRDefault="00711E89" w:rsidP="00EB3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EB3ACF"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EB3ACF"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gada _________</w:t>
      </w:r>
    </w:p>
    <w:p w14:paraId="07DC5B9C" w14:textId="77777777" w:rsidR="00711E89" w:rsidRPr="00D24502" w:rsidRDefault="00711E89" w:rsidP="00EB3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4502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</w:t>
      </w:r>
    </w:p>
    <w:p w14:paraId="2BB3337C" w14:textId="77777777" w:rsidR="00711E89" w:rsidRPr="00EB3ACF" w:rsidRDefault="00711E89" w:rsidP="00EB3A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14:paraId="14CADE49" w14:textId="799EF0CC" w:rsidR="005C3C62" w:rsidRPr="00D24502" w:rsidRDefault="00D24502" w:rsidP="00EB3ACF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1. </w:t>
      </w:r>
      <w:r w:rsidR="005C3C62" w:rsidRPr="00D245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Videi kaitīgu preču atkritumu </w:t>
      </w:r>
      <w:r w:rsidR="00F80CD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savākšanas un </w:t>
      </w:r>
      <w:r w:rsidR="005C3C62" w:rsidRPr="00D245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reģenerācijas apjomi</w:t>
      </w:r>
      <w:r w:rsidR="007F0A2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(izņemot riepas)</w:t>
      </w:r>
      <w:r w:rsidR="005C3C62" w:rsidRPr="00D245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(%)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5538"/>
        <w:gridCol w:w="3806"/>
        <w:gridCol w:w="3901"/>
      </w:tblGrid>
      <w:tr w:rsidR="003F617B" w:rsidRPr="00EB3ACF" w14:paraId="4BD40AC2" w14:textId="77777777" w:rsidTr="004F38AF">
        <w:trPr>
          <w:trHeight w:val="20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E5FE0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Nr. p. k.</w:t>
            </w:r>
          </w:p>
          <w:p w14:paraId="3370E78C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6FB12A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Videi kaitīgas preces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10EC60CB" w14:textId="5085D759" w:rsidR="003F617B" w:rsidRPr="00EB3ACF" w:rsidRDefault="003F617B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Videi kaitīgu preču atkritumu pieņemšanas vai savākšanas apjomi līdz 31. decembrim (%) attiecībā pret attiecīgajā gadā realizēto vai savas saimnieciskās darbības nodrošināšanai ievesto un izmantoto videi kaitīgu preču apjomu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49F8A1" w14:textId="77777777" w:rsidR="003F617B" w:rsidRPr="00EB3ACF" w:rsidRDefault="003F617B" w:rsidP="00BB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Videi kaitīgu preču atkritumu reģenerētie (tajā skaitā atkārtotai izmantošanai sagatavotie un pārstrādātie)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apjomi līdz 31. decembrim (%) attiecībā pret attiecīgajā gadā pieņemto vai savākto (pārstrādes iekārtā nogādāto) videi kaitīgu preču atkritumu apjomu</w:t>
            </w:r>
            <w:r w:rsidRPr="00A52FF0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</w:tr>
      <w:tr w:rsidR="003F617B" w:rsidRPr="00EB3ACF" w14:paraId="656E0BA6" w14:textId="77777777" w:rsidTr="004F38A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E6111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6E81AB" w14:textId="77777777" w:rsidR="003F617B" w:rsidRPr="00EB3ACF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Smēreļļas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26DBF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590052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</w:tr>
      <w:tr w:rsidR="003F617B" w:rsidRPr="00EB3ACF" w14:paraId="053C218C" w14:textId="77777777" w:rsidTr="004F38A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1D28B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70646" w14:textId="77777777" w:rsidR="003F617B" w:rsidRPr="00EB3ACF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Ozona slāni noārdošās vielas (piemēram, freoni, </w:t>
            </w:r>
            <w:proofErr w:type="spellStart"/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haloni</w:t>
            </w:r>
            <w:proofErr w:type="spellEnd"/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), par kurām jāmaksā dabas resursu nodoklis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27F60F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78AFF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52FF0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</w:tr>
      <w:tr w:rsidR="003F617B" w:rsidRPr="00EB3ACF" w14:paraId="35A0C36D" w14:textId="77777777" w:rsidTr="004F38AF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E2629" w14:textId="00B2CE86" w:rsidR="003F617B" w:rsidRPr="00EB3ACF" w:rsidRDefault="007F0A20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3F617B" w:rsidRPr="00EB3ACF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9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D7C0" w14:textId="77777777" w:rsidR="003F617B" w:rsidRPr="00EB3ACF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Eļļas filtri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68E66A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30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C2914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</w:tr>
    </w:tbl>
    <w:p w14:paraId="7375FA4C" w14:textId="77777777" w:rsidR="00EB3ACF" w:rsidRDefault="00EB3ACF" w:rsidP="00EB3A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4B082BA2" w14:textId="02B0213E" w:rsidR="007F0A20" w:rsidRPr="00E90C22" w:rsidRDefault="00E90C22" w:rsidP="00E90C22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2. </w:t>
      </w:r>
      <w:r w:rsidRPr="00E90C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Nolietotu visu veidu riepu </w:t>
      </w:r>
      <w:r w:rsidR="007F0A20" w:rsidRPr="00E90C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savākšanas un reģenerācijas apjomi 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7F0A20" w14:paraId="4BAB1C61" w14:textId="77777777" w:rsidTr="007F0A20">
        <w:tc>
          <w:tcPr>
            <w:tcW w:w="2324" w:type="dxa"/>
          </w:tcPr>
          <w:p w14:paraId="730C0C08" w14:textId="190D1762" w:rsidR="007F0A20" w:rsidRPr="007F0A20" w:rsidRDefault="007F0A20" w:rsidP="00E90C22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eastAsia="Times New Roman" w:hAnsi="Times New Roman" w:cs="Times New Roman"/>
                <w:bCs/>
                <w:lang w:eastAsia="lv-LV"/>
              </w:rPr>
              <w:t>Nolietotu riepu pieņemšanas vai sav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ākšanas apjoms līdz 2019. </w:t>
            </w:r>
            <w:r w:rsidRPr="007F0A2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gada 31. decembrim (%) attiecībā pret attiecīgajā gadā realizēto vai savas saimnieciskās darbības nodrošināšanai ievesto un izmantoto </w:t>
            </w:r>
            <w:r w:rsid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riepu</w:t>
            </w:r>
            <w:r w:rsidRPr="007F0A20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apjomu</w:t>
            </w:r>
          </w:p>
        </w:tc>
        <w:tc>
          <w:tcPr>
            <w:tcW w:w="2324" w:type="dxa"/>
          </w:tcPr>
          <w:p w14:paraId="30368CF0" w14:textId="0435E896" w:rsidR="007F0A20" w:rsidRPr="007F0A20" w:rsidRDefault="00E90C22" w:rsidP="007342D1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Nolietotu riepu pieņemšanas vai savākšanas apjom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s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2020. 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1. janvāra līdz 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31. decembrim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(%) attiecībā pret attiecīgajā gadā realizēto vai savas saimnieciskās darbības nodrošināšanai ievesto un izmantoto riepu apjomu</w:t>
            </w:r>
          </w:p>
        </w:tc>
        <w:tc>
          <w:tcPr>
            <w:tcW w:w="2325" w:type="dxa"/>
          </w:tcPr>
          <w:p w14:paraId="37C99ABF" w14:textId="62A1587F" w:rsidR="007F0A20" w:rsidRPr="007F0A20" w:rsidRDefault="00E90C22" w:rsidP="000C5402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Nolietotu riepu p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ieņemšanas vai savākšanas apjoms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2021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. 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gada no 1. janvāra līdz 31. decembrim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(%) attiecībā pret attiecīgajā gadā realizēto vai savas saimnieciskās darbības nodrošināšanai ievesto un izmantoto riepu apjomu</w:t>
            </w:r>
          </w:p>
        </w:tc>
        <w:tc>
          <w:tcPr>
            <w:tcW w:w="2325" w:type="dxa"/>
          </w:tcPr>
          <w:p w14:paraId="4C4256C5" w14:textId="6A5FA022" w:rsidR="007F0A20" w:rsidRPr="007F0A20" w:rsidRDefault="00E90C22" w:rsidP="007342D1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Nolietotu riepu pieņemšanas vai savākšanas apjom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s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2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. 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gada no 1. janvāra līdz 31. decembrim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(%) attiecībā pret attiecīgajā gadā realizēto vai savas saimnieciskās darbības nodrošināšanai ievesto un izmantoto riepu apjomu</w:t>
            </w:r>
          </w:p>
        </w:tc>
        <w:tc>
          <w:tcPr>
            <w:tcW w:w="2325" w:type="dxa"/>
          </w:tcPr>
          <w:p w14:paraId="2807A50D" w14:textId="1C31EB83" w:rsidR="007F0A20" w:rsidRPr="007F0A20" w:rsidRDefault="00E90C22" w:rsidP="00E90C22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Nolietotu riepu p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ieņemšanas vai savākšanas apjoms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7342D1">
              <w:rPr>
                <w:rFonts w:ascii="Times New Roman" w:eastAsia="Times New Roman" w:hAnsi="Times New Roman" w:cs="Times New Roman"/>
                <w:bCs/>
                <w:lang w:eastAsia="lv-LV"/>
              </w:rPr>
              <w:t>. 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gada no 1. janvāra līdz 31. decembrim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Pr="00E90C22">
              <w:rPr>
                <w:rFonts w:ascii="Times New Roman" w:eastAsia="Times New Roman" w:hAnsi="Times New Roman" w:cs="Times New Roman"/>
                <w:bCs/>
                <w:lang w:eastAsia="lv-LV"/>
              </w:rPr>
              <w:t>(%) attiecībā pret attiecīgajā gadā realizēto vai savas saimnieciskās darbības nodrošināšanai ievesto un izmantoto riepu apjomu</w:t>
            </w:r>
          </w:p>
        </w:tc>
        <w:tc>
          <w:tcPr>
            <w:tcW w:w="2325" w:type="dxa"/>
          </w:tcPr>
          <w:p w14:paraId="4853A343" w14:textId="2D709007" w:rsidR="007F0A20" w:rsidRPr="007F0A20" w:rsidRDefault="007F0A20" w:rsidP="00455FD8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eastAsia="Times New Roman" w:hAnsi="Times New Roman" w:cs="Times New Roman"/>
                <w:bCs/>
                <w:lang w:eastAsia="lv-LV"/>
              </w:rPr>
              <w:t>Nolietotu riepu reģenerēt</w:t>
            </w:r>
            <w:r w:rsidR="00455FD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ais </w:t>
            </w:r>
            <w:r w:rsidRPr="007F0A20">
              <w:rPr>
                <w:rFonts w:ascii="Times New Roman" w:eastAsia="Times New Roman" w:hAnsi="Times New Roman" w:cs="Times New Roman"/>
                <w:bCs/>
                <w:lang w:eastAsia="lv-LV"/>
              </w:rPr>
              <w:t>(tajā skaitā atkārtotai izmantošanai sagatavot</w:t>
            </w:r>
            <w:r w:rsidR="00455FD8">
              <w:rPr>
                <w:rFonts w:ascii="Times New Roman" w:eastAsia="Times New Roman" w:hAnsi="Times New Roman" w:cs="Times New Roman"/>
                <w:bCs/>
                <w:lang w:eastAsia="lv-LV"/>
              </w:rPr>
              <w:t>ais un pārstrādātais) apjoms līdz 31. </w:t>
            </w:r>
            <w:bookmarkStart w:id="0" w:name="_GoBack"/>
            <w:bookmarkEnd w:id="0"/>
            <w:r w:rsidRPr="007F0A20">
              <w:rPr>
                <w:rFonts w:ascii="Times New Roman" w:eastAsia="Times New Roman" w:hAnsi="Times New Roman" w:cs="Times New Roman"/>
                <w:bCs/>
                <w:lang w:eastAsia="lv-LV"/>
              </w:rPr>
              <w:t>decembrim (%) attiecībā pret attiecīgajā gadā pieņemto vai savākto (pārstrādes iekārtā nogādāto) videi kaitīgu preču atkritumu apjomu</w:t>
            </w:r>
            <w:r w:rsidRPr="007F0A20">
              <w:rPr>
                <w:rFonts w:ascii="Times New Roman" w:eastAsia="Times New Roman" w:hAnsi="Times New Roman" w:cs="Times New Roman"/>
                <w:bCs/>
                <w:vertAlign w:val="superscript"/>
                <w:lang w:eastAsia="lv-LV"/>
              </w:rPr>
              <w:t>1</w:t>
            </w:r>
          </w:p>
        </w:tc>
      </w:tr>
      <w:tr w:rsidR="007F0A20" w14:paraId="08FB2031" w14:textId="77777777" w:rsidTr="007F0A20">
        <w:tc>
          <w:tcPr>
            <w:tcW w:w="2324" w:type="dxa"/>
          </w:tcPr>
          <w:p w14:paraId="7E6C834F" w14:textId="69D451EE" w:rsidR="007F0A20" w:rsidRPr="007F0A20" w:rsidRDefault="007F0A20" w:rsidP="007F0A20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24" w:type="dxa"/>
          </w:tcPr>
          <w:p w14:paraId="23F6783E" w14:textId="11580CBA" w:rsidR="007F0A20" w:rsidRPr="007F0A20" w:rsidRDefault="007F0A20" w:rsidP="007F0A20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25" w:type="dxa"/>
          </w:tcPr>
          <w:p w14:paraId="416FB6D1" w14:textId="79ECF94F" w:rsidR="007F0A20" w:rsidRPr="007F0A20" w:rsidRDefault="007F0A20" w:rsidP="007F0A20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25" w:type="dxa"/>
          </w:tcPr>
          <w:p w14:paraId="75C55706" w14:textId="13253F51" w:rsidR="007F0A20" w:rsidRPr="007F0A20" w:rsidRDefault="007F0A20" w:rsidP="007F0A20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25" w:type="dxa"/>
          </w:tcPr>
          <w:p w14:paraId="2EA87EFC" w14:textId="16FAC465" w:rsidR="007F0A20" w:rsidRPr="007F0A20" w:rsidRDefault="007F0A20" w:rsidP="007F0A20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25" w:type="dxa"/>
          </w:tcPr>
          <w:p w14:paraId="111C627D" w14:textId="2D4D127C" w:rsidR="007F0A20" w:rsidRPr="007F0A20" w:rsidRDefault="007F0A20" w:rsidP="007F0A20">
            <w:pPr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7F0A20">
              <w:rPr>
                <w:rFonts w:ascii="Times New Roman" w:hAnsi="Times New Roman" w:cs="Times New Roman"/>
              </w:rPr>
              <w:t>80</w:t>
            </w:r>
          </w:p>
        </w:tc>
      </w:tr>
    </w:tbl>
    <w:p w14:paraId="608E53BB" w14:textId="77777777" w:rsidR="007F0A20" w:rsidRDefault="007F0A20" w:rsidP="007F0A20">
      <w:pPr>
        <w:shd w:val="clear" w:color="auto" w:fill="FFFFFF"/>
        <w:spacing w:before="120"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B6625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2F07AC" w14:textId="77777777" w:rsidR="007F0A20" w:rsidRPr="00CB6625" w:rsidRDefault="007F0A20" w:rsidP="007F0A20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2F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CB66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Nolietotu riepu pārstrādes veicējam jānodrošina atbilstība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normatīvajos aktos par</w:t>
      </w:r>
      <w:r w:rsidRPr="00CB66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atkritumu statusa piemērošanas izbeigšan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CB66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gumijas materiāliem, kas iegūti no nolietotām riepām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noteiktajām prasībām.</w:t>
      </w:r>
    </w:p>
    <w:p w14:paraId="7DC0E033" w14:textId="77777777" w:rsidR="007F0A20" w:rsidRDefault="007F0A20" w:rsidP="000C5402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47E565C" w14:textId="6AC240E6" w:rsidR="005C3C62" w:rsidRPr="00D24502" w:rsidRDefault="00E90C22" w:rsidP="00EB3ACF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</w:t>
      </w:r>
      <w:r w:rsidR="00D245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5C3C62" w:rsidRPr="00D2450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Bateriju un akumulatoru atkritumu savākšanas un pārstrādes apjomi (%)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"/>
        <w:gridCol w:w="4551"/>
        <w:gridCol w:w="4793"/>
        <w:gridCol w:w="3901"/>
      </w:tblGrid>
      <w:tr w:rsidR="003F617B" w:rsidRPr="00EB3ACF" w14:paraId="57763BFC" w14:textId="77777777" w:rsidTr="00684D1F">
        <w:trPr>
          <w:trHeight w:val="123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C3D3D9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Nr. p. k.</w:t>
            </w:r>
          </w:p>
          <w:p w14:paraId="0CA3102A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AFD720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Videi kaitīgas preces – elektriskie akumulatori un galvaniskie strāvas avoti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2DCC57D" w14:textId="20CA5F7C" w:rsidR="003F617B" w:rsidRPr="00EB3ACF" w:rsidRDefault="003F617B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Bateriju un akumulatoru atkritumu pieņemšanas vai savākšanas apjomi līdz 31. decembrim (%) attiecībā pret attiecīgajā gadā realizēto vai savas saimnieciskās darbības nodrošināšanai ievesto un izmantoto bateriju un akumulatoru apjomu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90FE3C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Pārstrādātais bateriju un akumul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atoru atkritumu apjoms līdz 31. </w:t>
            </w: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decembrim (%) attiecībā pret attiecīgajā gadā pieņemto vai savākto (pārstrādes iekārtā nogādāto) bateriju un akumulatoru atkritumu apjomu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</w:tr>
      <w:tr w:rsidR="003F617B" w:rsidRPr="00EB3ACF" w14:paraId="629004E1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E211A0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AF5E1" w14:textId="77777777" w:rsidR="003F617B" w:rsidRPr="00EB3ACF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Svinu saturoši elektriskie akumulatori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8271FE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BE5E9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</w:tr>
      <w:tr w:rsidR="003F617B" w:rsidRPr="00EB3ACF" w14:paraId="0E21026C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181D2E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2447B4" w14:textId="212BD6CB" w:rsidR="003F617B" w:rsidRPr="00EB3ACF" w:rsidRDefault="00D4645D" w:rsidP="00D46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Elektriskie akumulatori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Ni-Cd</w:t>
            </w:r>
            <w:proofErr w:type="spellEnd"/>
            <w:r w:rsidR="003F617B" w:rsidRPr="00EB3ACF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E3A75D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869D6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</w:tr>
      <w:tr w:rsidR="003F617B" w:rsidRPr="00EB3ACF" w14:paraId="659DD99A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6AE3F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76587" w14:textId="77777777" w:rsidR="003F617B" w:rsidRPr="00EB3ACF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Galvaniskie elementi un galvaniskās baterijas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5FCA9A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EC55A1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</w:tr>
      <w:tr w:rsidR="003F617B" w:rsidRPr="00EB3ACF" w14:paraId="34D11061" w14:textId="77777777" w:rsidTr="003F617B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1DA29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B4258" w14:textId="77777777" w:rsidR="003F617B" w:rsidRPr="00EB3ACF" w:rsidRDefault="003F617B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Citi elektriskie akumulatori</w:t>
            </w:r>
          </w:p>
        </w:tc>
        <w:tc>
          <w:tcPr>
            <w:tcW w:w="1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859087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45</w:t>
            </w:r>
          </w:p>
        </w:tc>
        <w:tc>
          <w:tcPr>
            <w:tcW w:w="1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682B5" w14:textId="77777777" w:rsidR="003F617B" w:rsidRPr="00EB3ACF" w:rsidRDefault="003F617B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50</w:t>
            </w:r>
          </w:p>
        </w:tc>
      </w:tr>
    </w:tbl>
    <w:p w14:paraId="536E1CAC" w14:textId="77777777" w:rsidR="00995F23" w:rsidRDefault="005C3C62" w:rsidP="00ED14A8">
      <w:pPr>
        <w:shd w:val="clear" w:color="auto" w:fill="FFFFFF"/>
        <w:spacing w:before="120"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64CA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</w:p>
    <w:p w14:paraId="424EDE9B" w14:textId="77777777" w:rsidR="005C3C62" w:rsidRPr="00A64CAA" w:rsidRDefault="00A52FF0" w:rsidP="008F429D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2F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C3C62" w:rsidRPr="00A64CAA">
        <w:rPr>
          <w:rFonts w:ascii="Times New Roman" w:eastAsia="Times New Roman" w:hAnsi="Times New Roman" w:cs="Times New Roman"/>
          <w:sz w:val="24"/>
          <w:szCs w:val="24"/>
          <w:lang w:eastAsia="lv-LV"/>
        </w:rPr>
        <w:t>Bateriju un akumulatoru pārstrādes procesu efektivitāti nosaka atbilstoši Eiropas Komisijas 2012. gada 11. jūnija Regulai Nr. 493/2012, ar ko saskaņā ar Eiropas Parlamenta un Padomes Direktīvu </w:t>
      </w:r>
      <w:hyperlink r:id="rId7" w:tgtFrame="_blank" w:history="1">
        <w:r w:rsidR="005C3C62" w:rsidRPr="00A64CAA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2006/66/EK</w:t>
        </w:r>
      </w:hyperlink>
      <w:r w:rsidR="005C3C62" w:rsidRPr="00A64C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paredz sīki izstrādātus noteikumus attiecībā uz bateriju un akumulatoru atkritumu pārstrādes procesu pārstrādes </w:t>
      </w:r>
      <w:proofErr w:type="spellStart"/>
      <w:r w:rsidR="005C3C62" w:rsidRPr="00A64CAA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mērķlielumu</w:t>
      </w:r>
      <w:proofErr w:type="spellEnd"/>
      <w:r w:rsidR="005C3C62" w:rsidRPr="00A64C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aprēķināšanu.</w:t>
      </w:r>
    </w:p>
    <w:p w14:paraId="49761EC2" w14:textId="77777777" w:rsidR="003F617B" w:rsidRDefault="003F617B" w:rsidP="00EB3AC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560B318" w14:textId="7EA90F41" w:rsidR="005C3C62" w:rsidRPr="004F38AF" w:rsidRDefault="00E90C22" w:rsidP="00EB3ACF">
      <w:pPr>
        <w:shd w:val="clear" w:color="auto" w:fill="FFFFFF"/>
        <w:spacing w:after="12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</w:t>
      </w:r>
      <w:r w:rsidR="005C3C62" w:rsidRPr="004F38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Elektrisko un elektronisko iekārtu savākšanas, sagata</w:t>
      </w:r>
      <w:r w:rsidR="00B72F5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vošanas atkārtotai izmantošanai vai</w:t>
      </w:r>
      <w:r w:rsidR="005C3C62" w:rsidRPr="004F38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pārstrā</w:t>
      </w:r>
      <w:r w:rsidR="004F38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des un reģenerācijas apjomi (%)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"/>
        <w:gridCol w:w="3758"/>
        <w:gridCol w:w="2178"/>
        <w:gridCol w:w="1650"/>
        <w:gridCol w:w="2925"/>
        <w:gridCol w:w="3052"/>
      </w:tblGrid>
      <w:tr w:rsidR="00367C69" w:rsidRPr="00EB3ACF" w14:paraId="7335E2FA" w14:textId="77777777" w:rsidTr="005C3C62">
        <w:trPr>
          <w:trHeight w:val="450"/>
        </w:trPr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C37EBA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Nr. p. k.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E18BB3" w14:textId="0A74FC1A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Videi kaitīgas preces – elektriskās un elektroniskās iekārtas atbilstoši normatīvajiem aktiem par elektrisko un elektronisko iekārtu kategorijām un marķēšanas prasībām un šo iekārtu atkritumu apsaimniekošanas prasībām un kārtību</w:t>
            </w:r>
            <w:r w:rsidR="00F80CD4" w:rsidRPr="00F80CD4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B91B9B" w14:textId="77777777" w:rsidR="005C3C62" w:rsidRPr="00367C69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67C69">
              <w:rPr>
                <w:rFonts w:ascii="Times New Roman" w:eastAsia="Times New Roman" w:hAnsi="Times New Roman" w:cs="Times New Roman"/>
                <w:lang w:eastAsia="lv-LV"/>
              </w:rPr>
              <w:t>Elektrisko un elektronisko iekārtu atkritumu pieņemšanas vai savākšanas apjomi līdz 31. decembrim (%) attiecībā pret attiecīgajā gadā realizēto vai savas saimnieciskās darbības nodrošināšanai ievesto un izmantoto elektrisko un elektronisko iekārtu apjomu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8D21E8" w14:textId="0EBDCB73" w:rsidR="005C3C62" w:rsidRPr="00367C69" w:rsidRDefault="005C3C62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67C69">
              <w:rPr>
                <w:rFonts w:ascii="Times New Roman" w:eastAsia="Times New Roman" w:hAnsi="Times New Roman" w:cs="Times New Roman"/>
                <w:lang w:eastAsia="lv-LV"/>
              </w:rPr>
              <w:t>Elektrisko un elektronisko iekārtu atkritumu apjomi, kas sagatavoti atkārtotai izmantošanai vai pārstrādāti līdz 31. decembrim (%), attiecībā pret attiecīgajā gadā pieņemto vai savākto (pārstrādes iekārtā nogādāto) elektrisko un elektronisko iekārtu atkritumu apjomu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90E1DF" w14:textId="2232C57C" w:rsidR="005C3C62" w:rsidRPr="00EB3ACF" w:rsidRDefault="005C3C62" w:rsidP="0068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Elektrisko un elektronisko iekārtu atkritumu reģenerētie (tajā skaitā atkārtotai izmantošanai sagatavotie un pārstrādātie) apjomi līdz 31. decembrim (%) attiecībā pret attiecīgajā gadā pieņemto vai savākto (pārstrādes iekārtā nogādāto) elektrisko un elektronisko iekārtu atkritumu apjomu</w:t>
            </w:r>
          </w:p>
        </w:tc>
      </w:tr>
      <w:tr w:rsidR="00367C69" w:rsidRPr="00EB3ACF" w14:paraId="1923AB28" w14:textId="77777777" w:rsidTr="005C3C62">
        <w:trPr>
          <w:trHeight w:val="45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518F26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D883C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04123" w14:textId="7B44FB4A" w:rsidR="005C3C62" w:rsidRPr="00367C69" w:rsidRDefault="004F38AF" w:rsidP="003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5C3C62" w:rsidRPr="00367C69">
              <w:rPr>
                <w:rFonts w:ascii="Times New Roman" w:eastAsia="Times New Roman" w:hAnsi="Times New Roman" w:cs="Times New Roman"/>
                <w:lang w:eastAsia="lv-LV"/>
              </w:rPr>
              <w:t>īdz 202</w:t>
            </w:r>
            <w:r w:rsidR="00367C69" w:rsidRPr="00367C69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5C3C62" w:rsidRPr="00367C69">
              <w:rPr>
                <w:rFonts w:ascii="Times New Roman" w:eastAsia="Times New Roman" w:hAnsi="Times New Roman" w:cs="Times New Roman"/>
                <w:lang w:eastAsia="lv-LV"/>
              </w:rPr>
              <w:t>. gada 3</w:t>
            </w:r>
            <w:r w:rsidR="00367C69" w:rsidRPr="00367C69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5C3C62" w:rsidRPr="00367C69">
              <w:rPr>
                <w:rFonts w:ascii="Times New Roman" w:eastAsia="Times New Roman" w:hAnsi="Times New Roman" w:cs="Times New Roman"/>
                <w:lang w:eastAsia="lv-LV"/>
              </w:rPr>
              <w:t>. </w:t>
            </w:r>
            <w:r w:rsidR="00367C69" w:rsidRPr="00367C69">
              <w:rPr>
                <w:rFonts w:ascii="Times New Roman" w:eastAsia="Times New Roman" w:hAnsi="Times New Roman" w:cs="Times New Roman"/>
                <w:lang w:eastAsia="lv-LV"/>
              </w:rPr>
              <w:t>decembrim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F9F4D" w14:textId="049141BD" w:rsidR="005C3C62" w:rsidRPr="00367C69" w:rsidRDefault="005C3C62" w:rsidP="0036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67C69">
              <w:rPr>
                <w:rFonts w:ascii="Times New Roman" w:eastAsia="Times New Roman" w:hAnsi="Times New Roman" w:cs="Times New Roman"/>
                <w:lang w:eastAsia="lv-LV"/>
              </w:rPr>
              <w:t>no 2021. gada 1. </w:t>
            </w:r>
            <w:r w:rsidR="00367C69" w:rsidRPr="00367C69">
              <w:rPr>
                <w:rFonts w:ascii="Times New Roman" w:eastAsia="Times New Roman" w:hAnsi="Times New Roman" w:cs="Times New Roman"/>
                <w:lang w:eastAsia="lv-LV"/>
              </w:rPr>
              <w:t>janvāra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F20AB" w14:textId="77777777" w:rsidR="005C3C62" w:rsidRPr="00367C69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0515D6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67C69" w:rsidRPr="00EB3ACF" w14:paraId="25CD0969" w14:textId="77777777" w:rsidTr="005C3C62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9CD1D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EE921F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Temperatūras maiņas iekārtas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689F22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D9618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640025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6654B9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</w:tr>
      <w:tr w:rsidR="00367C69" w:rsidRPr="00EB3ACF" w14:paraId="595375CA" w14:textId="77777777" w:rsidTr="005C3C62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EED092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C43931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Ekrāni, monitori un iekārtas ar ekrānu, kura virsmas laukums ir lielāks nekā 100 cm</w:t>
            </w:r>
            <w:r w:rsidRPr="00EB3ACF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309EF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0D67D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149E2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9C4016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</w:tr>
      <w:tr w:rsidR="00367C69" w:rsidRPr="00EB3ACF" w14:paraId="764D2270" w14:textId="77777777" w:rsidTr="005C3C62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AB280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FEDCD2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Spuldzes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A5C19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C1601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505EC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0F53E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</w:p>
        </w:tc>
      </w:tr>
      <w:tr w:rsidR="00367C69" w:rsidRPr="00EB3ACF" w14:paraId="494EDBF1" w14:textId="77777777" w:rsidTr="005C3C62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F1781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56A3C" w14:textId="464A8E23" w:rsidR="00DC14AC" w:rsidRPr="00EB3ACF" w:rsidRDefault="005C3C62" w:rsidP="00A3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Liela izmēra iekārtas (vismaz viens ārējais izmērs pārsniedz 50 cm), </w:t>
            </w:r>
            <w:r w:rsidR="00A321F6">
              <w:rPr>
                <w:rFonts w:ascii="Times New Roman" w:eastAsia="Times New Roman" w:hAnsi="Times New Roman" w:cs="Times New Roman"/>
                <w:lang w:eastAsia="lv-LV"/>
              </w:rPr>
              <w:t>tai skaitā</w:t>
            </w: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 mājsaimniecības preces; IT un telesakaru iekārtas; patērētāju iekārtas; gaismekļi; skaņu vai attēlu demonstrējošas iekārtas, mūzikas ierīces; elektriski un elektroniski instrumenti; rotaļlietas, izklaides un sporta aprīkojums; medicīnas ierīces; monitoringa un kontroles instrumenti; automātiskie sadalītāji; ierīces elektriskās strāvas ražošanai</w:t>
            </w:r>
            <w:r w:rsidR="00DC14A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C14AC" w:rsidRPr="00DC14AC">
              <w:rPr>
                <w:rFonts w:ascii="Times New Roman" w:eastAsia="Times New Roman" w:hAnsi="Times New Roman" w:cs="Times New Roman"/>
                <w:lang w:eastAsia="lv-LV"/>
              </w:rPr>
              <w:t>un citas iekārtas (izņemot šā pielikuma 1., 2. un 3. kategorijā ietilpstošās iekārtas).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94662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3DD520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25F6F5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FCFAD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</w:p>
        </w:tc>
      </w:tr>
      <w:tr w:rsidR="00367C69" w:rsidRPr="00EB3ACF" w14:paraId="3D97AA5F" w14:textId="77777777" w:rsidTr="005C3C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879F3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B5177" w14:textId="2BF58439" w:rsidR="00DC14AC" w:rsidRPr="00EB3ACF" w:rsidRDefault="005C3C62" w:rsidP="00A3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Maza izmēra iekārtas (neviens ārējais izmērs nepārsniedz 50 cm), </w:t>
            </w:r>
            <w:r w:rsidR="00A321F6">
              <w:rPr>
                <w:rFonts w:ascii="Times New Roman" w:eastAsia="Times New Roman" w:hAnsi="Times New Roman" w:cs="Times New Roman"/>
                <w:lang w:eastAsia="lv-LV"/>
              </w:rPr>
              <w:t>tai skaitā</w:t>
            </w: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 xml:space="preserve"> mājsaimniecības preces; patērētāju iekārtas; gaismekļi; skaņu vai attēlu demonstrējošas iekārtas, mūzikas ierīces; elektriski un elektroniski instrumenti; rotaļlietas, izklaides un sporta aprīkojums; medicīnas ierīces; monitoringa un kontroles instrumenti; automātiskie sadalītāji; ierīces elektriskās strāvas ražošanai</w:t>
            </w:r>
            <w:r w:rsidR="00DC14A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="00DC14AC" w:rsidRPr="00DC14AC">
              <w:rPr>
                <w:rFonts w:ascii="Times New Roman" w:eastAsia="Times New Roman" w:hAnsi="Times New Roman" w:cs="Times New Roman"/>
                <w:lang w:eastAsia="lv-LV"/>
              </w:rPr>
              <w:t>(izņemot šā pielikuma 1., 2., 3. un 6. kategorijā ietilpstošās iekārtas).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A6D1E" w14:textId="1EC7171A" w:rsidR="00E50A44" w:rsidRPr="00EB3ACF" w:rsidRDefault="005C3C62" w:rsidP="003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40,5</w:t>
            </w:r>
          </w:p>
          <w:p w14:paraId="5D28CE5F" w14:textId="77777777" w:rsidR="005C3C62" w:rsidRPr="00EB3ACF" w:rsidRDefault="005C3C62" w:rsidP="00EB3AC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81EE61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2A6DF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E8BC97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</w:tr>
      <w:tr w:rsidR="00367C69" w:rsidRPr="00EB3ACF" w14:paraId="4A2FEA71" w14:textId="77777777" w:rsidTr="005C3C6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FDD38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869DF7" w14:textId="77777777" w:rsidR="005C3C62" w:rsidRPr="00EB3ACF" w:rsidRDefault="005C3C62" w:rsidP="00EB3A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Mazas IT un telekomunikāciju iekārtas (neviens ārējais izmērs nepārsniedz 50 cm)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66C081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40,5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40269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0D3F0D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38A572" w14:textId="77777777" w:rsidR="005C3C62" w:rsidRPr="00EB3ACF" w:rsidRDefault="005C3C62" w:rsidP="00EB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B3ACF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</w:tr>
    </w:tbl>
    <w:p w14:paraId="73990E85" w14:textId="77777777" w:rsidR="00F80CD4" w:rsidRPr="004F38AF" w:rsidRDefault="00F80CD4" w:rsidP="004F38AF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4F38AF">
        <w:rPr>
          <w:rFonts w:ascii="Times New Roman" w:hAnsi="Times New Roman" w:cs="Times New Roman"/>
          <w:sz w:val="24"/>
        </w:rPr>
        <w:t>Piezīme.</w:t>
      </w:r>
    </w:p>
    <w:p w14:paraId="7158141A" w14:textId="1EE3C1E3" w:rsidR="004F38AF" w:rsidRPr="004F38AF" w:rsidRDefault="00F80CD4" w:rsidP="00F80C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38AF">
        <w:rPr>
          <w:rFonts w:ascii="Times New Roman" w:hAnsi="Times New Roman" w:cs="Times New Roman"/>
          <w:sz w:val="24"/>
          <w:vertAlign w:val="superscript"/>
        </w:rPr>
        <w:t>3</w:t>
      </w:r>
      <w:r w:rsidRPr="004F38AF">
        <w:rPr>
          <w:rFonts w:ascii="Times New Roman" w:hAnsi="Times New Roman" w:cs="Times New Roman"/>
          <w:sz w:val="24"/>
        </w:rPr>
        <w:t xml:space="preserve"> </w:t>
      </w:r>
      <w:r w:rsidR="004F38AF" w:rsidRPr="004F38AF">
        <w:rPr>
          <w:rFonts w:ascii="Times New Roman" w:hAnsi="Times New Roman" w:cs="Times New Roman"/>
          <w:sz w:val="24"/>
        </w:rPr>
        <w:t>E</w:t>
      </w:r>
      <w:r w:rsidRPr="004F38AF">
        <w:rPr>
          <w:rFonts w:ascii="Times New Roman" w:hAnsi="Times New Roman" w:cs="Times New Roman"/>
          <w:sz w:val="24"/>
        </w:rPr>
        <w:t xml:space="preserve">lektrisko un elektronisko iekārtu atkritumu savākšanu, </w:t>
      </w:r>
      <w:r w:rsidR="004F38AF" w:rsidRPr="004F38AF">
        <w:rPr>
          <w:rFonts w:ascii="Times New Roman" w:hAnsi="Times New Roman" w:cs="Times New Roman"/>
          <w:sz w:val="24"/>
        </w:rPr>
        <w:t>sagatavošanu atkārtotai izmantošanai</w:t>
      </w:r>
      <w:r w:rsidR="00EB0950">
        <w:rPr>
          <w:rFonts w:ascii="Times New Roman" w:hAnsi="Times New Roman" w:cs="Times New Roman"/>
          <w:sz w:val="24"/>
        </w:rPr>
        <w:t xml:space="preserve"> vai</w:t>
      </w:r>
      <w:r w:rsidR="004F38AF" w:rsidRPr="004F38AF">
        <w:rPr>
          <w:rFonts w:ascii="Times New Roman" w:hAnsi="Times New Roman" w:cs="Times New Roman"/>
          <w:sz w:val="24"/>
        </w:rPr>
        <w:t xml:space="preserve"> </w:t>
      </w:r>
      <w:r w:rsidRPr="004F38AF">
        <w:rPr>
          <w:rFonts w:ascii="Times New Roman" w:hAnsi="Times New Roman" w:cs="Times New Roman"/>
          <w:sz w:val="24"/>
        </w:rPr>
        <w:t>pārstrādi un reģenerāciju uzskata par izpildītu, ja nodrošināta visu elektrisko un elektronisko iekārtu kategoriju atkritumu savākšana</w:t>
      </w:r>
      <w:r w:rsidR="004F38AF" w:rsidRPr="004F38AF">
        <w:rPr>
          <w:rFonts w:ascii="Times New Roman" w:hAnsi="Times New Roman" w:cs="Times New Roman"/>
          <w:sz w:val="24"/>
        </w:rPr>
        <w:t>, sagatavošana</w:t>
      </w:r>
      <w:r w:rsidR="00EB0950">
        <w:rPr>
          <w:rFonts w:ascii="Times New Roman" w:hAnsi="Times New Roman" w:cs="Times New Roman"/>
          <w:sz w:val="24"/>
        </w:rPr>
        <w:t xml:space="preserve"> atkārtotai izmantošanai vai </w:t>
      </w:r>
      <w:r w:rsidR="004F38AF" w:rsidRPr="004F38AF">
        <w:rPr>
          <w:rFonts w:ascii="Times New Roman" w:hAnsi="Times New Roman" w:cs="Times New Roman"/>
          <w:sz w:val="24"/>
        </w:rPr>
        <w:t>pārstrāde un reģenerācija.</w:t>
      </w:r>
    </w:p>
    <w:p w14:paraId="5B08187D" w14:textId="77777777" w:rsidR="004F38AF" w:rsidRDefault="004F38AF" w:rsidP="00F80CD4">
      <w:pPr>
        <w:spacing w:after="0" w:line="240" w:lineRule="auto"/>
        <w:rPr>
          <w:rFonts w:ascii="Times New Roman" w:hAnsi="Times New Roman" w:cs="Times New Roman"/>
        </w:rPr>
      </w:pPr>
    </w:p>
    <w:p w14:paraId="768575F8" w14:textId="77777777" w:rsidR="004F38AF" w:rsidRDefault="004F38AF" w:rsidP="00F80CD4">
      <w:pPr>
        <w:spacing w:after="0" w:line="240" w:lineRule="auto"/>
        <w:rPr>
          <w:rFonts w:ascii="Times New Roman" w:hAnsi="Times New Roman" w:cs="Times New Roman"/>
        </w:rPr>
      </w:pPr>
    </w:p>
    <w:p w14:paraId="790BA047" w14:textId="77777777" w:rsidR="004F38AF" w:rsidRDefault="004F38AF" w:rsidP="00F80CD4">
      <w:pPr>
        <w:spacing w:after="0" w:line="240" w:lineRule="auto"/>
        <w:rPr>
          <w:rFonts w:ascii="Times New Roman" w:hAnsi="Times New Roman" w:cs="Times New Roman"/>
        </w:rPr>
      </w:pPr>
    </w:p>
    <w:p w14:paraId="526D0072" w14:textId="77777777" w:rsidR="00D24502" w:rsidRPr="00D24502" w:rsidRDefault="00D24502" w:rsidP="00D24502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4502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</w:t>
      </w:r>
    </w:p>
    <w:p w14:paraId="3AB6F4F3" w14:textId="77777777" w:rsidR="00D24502" w:rsidRPr="00D24502" w:rsidRDefault="00D24502" w:rsidP="00D2450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4502">
        <w:rPr>
          <w:rFonts w:ascii="Times New Roman" w:eastAsia="Times New Roman" w:hAnsi="Times New Roman" w:cs="Times New Roman"/>
          <w:sz w:val="28"/>
          <w:szCs w:val="28"/>
          <w:lang w:eastAsia="lv-LV"/>
        </w:rPr>
        <w:t>reģionālās attīstības ministrs</w:t>
      </w:r>
      <w:r w:rsidRPr="00D245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45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45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45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45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Kaspars Gerhards</w:t>
      </w:r>
    </w:p>
    <w:p w14:paraId="17DFD876" w14:textId="77777777" w:rsidR="00D24502" w:rsidRPr="00EB3ACF" w:rsidRDefault="00D24502" w:rsidP="00EB3ACF">
      <w:pPr>
        <w:spacing w:after="0" w:line="240" w:lineRule="auto"/>
        <w:rPr>
          <w:rFonts w:ascii="Times New Roman" w:hAnsi="Times New Roman" w:cs="Times New Roman"/>
        </w:rPr>
      </w:pPr>
    </w:p>
    <w:sectPr w:rsidR="00D24502" w:rsidRPr="00EB3ACF" w:rsidSect="00EB3ACF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363DE0" w16cid:durableId="1F7195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737D" w14:textId="77777777" w:rsidR="00EB3ACF" w:rsidRDefault="00EB3ACF" w:rsidP="00EB3ACF">
      <w:pPr>
        <w:spacing w:after="0" w:line="240" w:lineRule="auto"/>
      </w:pPr>
      <w:r>
        <w:separator/>
      </w:r>
    </w:p>
  </w:endnote>
  <w:endnote w:type="continuationSeparator" w:id="0">
    <w:p w14:paraId="481D502E" w14:textId="77777777" w:rsidR="00EB3ACF" w:rsidRDefault="00EB3ACF" w:rsidP="00EB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1EED" w14:textId="567D265A" w:rsidR="00EB3ACF" w:rsidRDefault="00A7176D">
    <w:pPr>
      <w:pStyle w:val="Footer"/>
    </w:pPr>
    <w:r>
      <w:rPr>
        <w:rFonts w:ascii="Times New Roman" w:hAnsi="Times New Roman" w:cs="Times New Roman"/>
      </w:rPr>
      <w:t>VARAMnotp01_2011</w:t>
    </w:r>
    <w:r w:rsidR="00EB3ACF" w:rsidRPr="00EB3ACF">
      <w:rPr>
        <w:rFonts w:ascii="Times New Roman" w:hAnsi="Times New Roman" w:cs="Times New Roman"/>
      </w:rPr>
      <w:t>18_drn_</w:t>
    </w:r>
    <w:r w:rsidR="00EB3ACF">
      <w:rPr>
        <w:rFonts w:ascii="Times New Roman" w:hAnsi="Times New Roman" w:cs="Times New Roman"/>
      </w:rPr>
      <w:t>V</w:t>
    </w:r>
    <w:r w:rsidR="00EB3ACF" w:rsidRPr="00EB3ACF">
      <w:rPr>
        <w:rFonts w:ascii="Times New Roman" w:hAnsi="Times New Roman" w:cs="Times New Roman"/>
      </w:rPr>
      <w:t>KP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A6C0" w14:textId="581DC6F9" w:rsidR="00EB3ACF" w:rsidRPr="00EB3ACF" w:rsidRDefault="00A7176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VARAMnotp01_2011</w:t>
    </w:r>
    <w:r w:rsidR="00EB3ACF" w:rsidRPr="00EB3ACF">
      <w:rPr>
        <w:rFonts w:ascii="Times New Roman" w:hAnsi="Times New Roman" w:cs="Times New Roman"/>
      </w:rPr>
      <w:t>18_drn_</w:t>
    </w:r>
    <w:r w:rsidR="00EB3ACF">
      <w:rPr>
        <w:rFonts w:ascii="Times New Roman" w:hAnsi="Times New Roman" w:cs="Times New Roman"/>
      </w:rPr>
      <w:t>V</w:t>
    </w:r>
    <w:r w:rsidR="00EB3ACF" w:rsidRPr="00EB3ACF">
      <w:rPr>
        <w:rFonts w:ascii="Times New Roman" w:hAnsi="Times New Roman" w:cs="Times New Roman"/>
      </w:rPr>
      <w:t>KP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5412E" w14:textId="77777777" w:rsidR="00EB3ACF" w:rsidRDefault="00EB3ACF" w:rsidP="00EB3ACF">
      <w:pPr>
        <w:spacing w:after="0" w:line="240" w:lineRule="auto"/>
      </w:pPr>
      <w:r>
        <w:separator/>
      </w:r>
    </w:p>
  </w:footnote>
  <w:footnote w:type="continuationSeparator" w:id="0">
    <w:p w14:paraId="06166E97" w14:textId="77777777" w:rsidR="00EB3ACF" w:rsidRDefault="00EB3ACF" w:rsidP="00EB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563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5013D10" w14:textId="77777777" w:rsidR="00EB3ACF" w:rsidRPr="00EB3ACF" w:rsidRDefault="00C70C23">
        <w:pPr>
          <w:pStyle w:val="Header"/>
          <w:jc w:val="center"/>
          <w:rPr>
            <w:rFonts w:ascii="Times New Roman" w:hAnsi="Times New Roman" w:cs="Times New Roman"/>
          </w:rPr>
        </w:pPr>
        <w:r w:rsidRPr="00EB3ACF">
          <w:rPr>
            <w:rFonts w:ascii="Times New Roman" w:hAnsi="Times New Roman" w:cs="Times New Roman"/>
          </w:rPr>
          <w:fldChar w:fldCharType="begin"/>
        </w:r>
        <w:r w:rsidR="00EB3ACF" w:rsidRPr="00EB3ACF">
          <w:rPr>
            <w:rFonts w:ascii="Times New Roman" w:hAnsi="Times New Roman" w:cs="Times New Roman"/>
          </w:rPr>
          <w:instrText xml:space="preserve"> PAGE   \* MERGEFORMAT </w:instrText>
        </w:r>
        <w:r w:rsidRPr="00EB3ACF">
          <w:rPr>
            <w:rFonts w:ascii="Times New Roman" w:hAnsi="Times New Roman" w:cs="Times New Roman"/>
          </w:rPr>
          <w:fldChar w:fldCharType="separate"/>
        </w:r>
        <w:r w:rsidR="00455FD8">
          <w:rPr>
            <w:rFonts w:ascii="Times New Roman" w:hAnsi="Times New Roman" w:cs="Times New Roman"/>
            <w:noProof/>
          </w:rPr>
          <w:t>3</w:t>
        </w:r>
        <w:r w:rsidRPr="00EB3AC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B9065F5" w14:textId="77777777" w:rsidR="00EB3ACF" w:rsidRDefault="00EB3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62"/>
    <w:rsid w:val="000C0166"/>
    <w:rsid w:val="000C5402"/>
    <w:rsid w:val="000C68B7"/>
    <w:rsid w:val="000D0235"/>
    <w:rsid w:val="001945B2"/>
    <w:rsid w:val="002C35AA"/>
    <w:rsid w:val="00367C69"/>
    <w:rsid w:val="00392D90"/>
    <w:rsid w:val="003C10D6"/>
    <w:rsid w:val="003F617B"/>
    <w:rsid w:val="00416A91"/>
    <w:rsid w:val="00455FD8"/>
    <w:rsid w:val="00463FFA"/>
    <w:rsid w:val="004F38AF"/>
    <w:rsid w:val="00524223"/>
    <w:rsid w:val="005C3C62"/>
    <w:rsid w:val="00684D1F"/>
    <w:rsid w:val="00711E89"/>
    <w:rsid w:val="007342D1"/>
    <w:rsid w:val="007F0A20"/>
    <w:rsid w:val="008F429D"/>
    <w:rsid w:val="00995F23"/>
    <w:rsid w:val="009A7A3F"/>
    <w:rsid w:val="009D7541"/>
    <w:rsid w:val="009E4647"/>
    <w:rsid w:val="00A321F6"/>
    <w:rsid w:val="00A52FF0"/>
    <w:rsid w:val="00A64CAA"/>
    <w:rsid w:val="00A7176D"/>
    <w:rsid w:val="00AE0143"/>
    <w:rsid w:val="00B72F56"/>
    <w:rsid w:val="00BB4128"/>
    <w:rsid w:val="00C70C23"/>
    <w:rsid w:val="00CB6625"/>
    <w:rsid w:val="00D14E2E"/>
    <w:rsid w:val="00D24502"/>
    <w:rsid w:val="00D4645D"/>
    <w:rsid w:val="00DC14AC"/>
    <w:rsid w:val="00E26521"/>
    <w:rsid w:val="00E30A8D"/>
    <w:rsid w:val="00E42019"/>
    <w:rsid w:val="00E50A44"/>
    <w:rsid w:val="00E90C22"/>
    <w:rsid w:val="00EB0950"/>
    <w:rsid w:val="00EB3ACF"/>
    <w:rsid w:val="00EB4FA0"/>
    <w:rsid w:val="00ED14A8"/>
    <w:rsid w:val="00F8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50083"/>
  <w15:docId w15:val="{5397ECA1-6226-4C63-A4C6-526842B8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CF"/>
  </w:style>
  <w:style w:type="paragraph" w:styleId="Footer">
    <w:name w:val="footer"/>
    <w:basedOn w:val="Normal"/>
    <w:link w:val="FooterChar"/>
    <w:uiPriority w:val="99"/>
    <w:unhideWhenUsed/>
    <w:rsid w:val="00EB3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CF"/>
  </w:style>
  <w:style w:type="character" w:styleId="CommentReference">
    <w:name w:val="annotation reference"/>
    <w:basedOn w:val="DefaultParagraphFont"/>
    <w:uiPriority w:val="99"/>
    <w:semiHidden/>
    <w:unhideWhenUsed/>
    <w:rsid w:val="0019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27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2006/66/oj/?locale=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6AFA3-2388-4210-9D30-AC527BFE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4222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atbrīvojuma piemērošanu no dabas resursu nodokļa samaksas par videi kaitīgām precēm</vt:lpstr>
    </vt:vector>
  </TitlesOfParts>
  <Company>VARAM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atbrīvojuma piemērošanu no dabas resursu nodokļa samaksas par videi kaitīgām precēm</dc:title>
  <dc:subject>1.pielikums</dc:subject>
  <dc:creator>Tatjana Alekse</dc:creator>
  <cp:keywords/>
  <dc:description>tālrunis 67026479; tatjana.alekse@varam.gov.lv</dc:description>
  <cp:lastModifiedBy>Tatjana Alekse</cp:lastModifiedBy>
  <cp:revision>5</cp:revision>
  <cp:lastPrinted>2018-12-10T15:17:00Z</cp:lastPrinted>
  <dcterms:created xsi:type="dcterms:W3CDTF">2018-10-17T08:04:00Z</dcterms:created>
  <dcterms:modified xsi:type="dcterms:W3CDTF">2018-12-10T16:02:00Z</dcterms:modified>
</cp:coreProperties>
</file>