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2570DF" w:rsidRDefault="00544968" w:rsidP="00EC6E12">
      <w:pPr>
        <w:pStyle w:val="NoSpacing"/>
        <w:jc w:val="center"/>
        <w:rPr>
          <w:rFonts w:ascii="Times New Roman" w:hAnsi="Times New Roman" w:cs="Times New Roman"/>
          <w:b/>
          <w:sz w:val="28"/>
          <w:szCs w:val="24"/>
          <w:lang w:eastAsia="lv-LV"/>
        </w:rPr>
      </w:pPr>
      <w:r w:rsidRPr="00544968">
        <w:rPr>
          <w:rFonts w:ascii="Times New Roman" w:hAnsi="Times New Roman" w:cs="Times New Roman"/>
          <w:b/>
          <w:sz w:val="28"/>
          <w:szCs w:val="24"/>
          <w:lang w:eastAsia="lv-LV"/>
        </w:rPr>
        <w:t>Ministru kabineta noteikumu projekta "Gr</w:t>
      </w:r>
      <w:r>
        <w:rPr>
          <w:rFonts w:ascii="Times New Roman" w:hAnsi="Times New Roman" w:cs="Times New Roman"/>
          <w:b/>
          <w:sz w:val="28"/>
          <w:szCs w:val="24"/>
          <w:lang w:eastAsia="lv-LV"/>
        </w:rPr>
        <w:t>ozījum</w:t>
      </w:r>
      <w:r w:rsidR="007465F1">
        <w:rPr>
          <w:rFonts w:ascii="Times New Roman" w:hAnsi="Times New Roman" w:cs="Times New Roman"/>
          <w:b/>
          <w:sz w:val="28"/>
          <w:szCs w:val="24"/>
          <w:lang w:eastAsia="lv-LV"/>
        </w:rPr>
        <w:t>i</w:t>
      </w:r>
      <w:r>
        <w:rPr>
          <w:rFonts w:ascii="Times New Roman" w:hAnsi="Times New Roman" w:cs="Times New Roman"/>
          <w:b/>
          <w:sz w:val="28"/>
          <w:szCs w:val="24"/>
          <w:lang w:eastAsia="lv-LV"/>
        </w:rPr>
        <w:t xml:space="preserve"> Ministru kabineta 2018.</w:t>
      </w:r>
      <w:r w:rsidRPr="00544968">
        <w:rPr>
          <w:rFonts w:ascii="Times New Roman" w:hAnsi="Times New Roman" w:cs="Times New Roman"/>
          <w:b/>
          <w:sz w:val="28"/>
          <w:szCs w:val="24"/>
          <w:lang w:eastAsia="lv-LV"/>
        </w:rPr>
        <w:t>gada 28.augusta noteikumos Nr. 555  "Veselības aprūpes pakalpojumu organizēšanas un samaksas kārtība"" sākotnējās ietekmes novērtējuma ziņojums (anotācija)</w:t>
      </w:r>
    </w:p>
    <w:p w:rsidR="00EC6E12" w:rsidRPr="002570D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RPr="002570DF" w:rsidTr="006936E5">
        <w:tc>
          <w:tcPr>
            <w:tcW w:w="9356" w:type="dxa"/>
          </w:tcPr>
          <w:p w:rsidR="00EC6E12" w:rsidRPr="002570DF" w:rsidRDefault="00EC6E12" w:rsidP="00EC6E12">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Tiesību akta projekta anotācijas kopsavilkums</w:t>
            </w:r>
          </w:p>
        </w:tc>
      </w:tr>
      <w:tr w:rsidR="00130487" w:rsidRPr="002570DF" w:rsidTr="006936E5">
        <w:tc>
          <w:tcPr>
            <w:tcW w:w="9356" w:type="dxa"/>
          </w:tcPr>
          <w:p w:rsidR="00130487" w:rsidRPr="002570DF" w:rsidRDefault="00130487" w:rsidP="00EC6E12">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Projekts šo jomu neskar</w:t>
            </w:r>
            <w:r w:rsidR="007272A8" w:rsidRPr="002570DF">
              <w:rPr>
                <w:rFonts w:ascii="Times New Roman" w:hAnsi="Times New Roman" w:cs="Times New Roman"/>
                <w:sz w:val="24"/>
                <w:szCs w:val="24"/>
                <w:lang w:eastAsia="lv-LV"/>
              </w:rPr>
              <w:t>.</w:t>
            </w:r>
          </w:p>
        </w:tc>
      </w:tr>
    </w:tbl>
    <w:p w:rsidR="00EC6E12" w:rsidRPr="002570D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RPr="002570DF" w:rsidTr="0079260F">
        <w:tc>
          <w:tcPr>
            <w:tcW w:w="9356" w:type="dxa"/>
            <w:gridSpan w:val="3"/>
          </w:tcPr>
          <w:p w:rsidR="00EC6E12" w:rsidRPr="002570DF" w:rsidRDefault="00EC6E12" w:rsidP="00EC6E12">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I. Tiesību akta projekta izstrādes nepieciešamība</w:t>
            </w:r>
          </w:p>
        </w:tc>
      </w:tr>
      <w:tr w:rsidR="00130487" w:rsidRPr="002570DF" w:rsidTr="0079260F">
        <w:tc>
          <w:tcPr>
            <w:tcW w:w="568" w:type="dxa"/>
          </w:tcPr>
          <w:p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1.</w:t>
            </w:r>
          </w:p>
        </w:tc>
        <w:tc>
          <w:tcPr>
            <w:tcW w:w="1559" w:type="dxa"/>
          </w:tcPr>
          <w:p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Pamatojums</w:t>
            </w:r>
          </w:p>
        </w:tc>
        <w:tc>
          <w:tcPr>
            <w:tcW w:w="7229" w:type="dxa"/>
          </w:tcPr>
          <w:p w:rsidR="00544968" w:rsidRPr="00544968" w:rsidRDefault="00544968" w:rsidP="00544968">
            <w:pPr>
              <w:pStyle w:val="NoSpacing"/>
              <w:ind w:firstLine="311"/>
              <w:jc w:val="both"/>
              <w:rPr>
                <w:rFonts w:ascii="Times New Roman" w:hAnsi="Times New Roman" w:cs="Times New Roman"/>
                <w:sz w:val="24"/>
              </w:rPr>
            </w:pPr>
            <w:r w:rsidRPr="00544968">
              <w:rPr>
                <w:rFonts w:ascii="Times New Roman" w:hAnsi="Times New Roman" w:cs="Times New Roman"/>
                <w:sz w:val="24"/>
              </w:rPr>
              <w:t>Ministru kabineta noteikumu “Grozījum</w:t>
            </w:r>
            <w:r w:rsidR="007465F1">
              <w:rPr>
                <w:rFonts w:ascii="Times New Roman" w:hAnsi="Times New Roman" w:cs="Times New Roman"/>
                <w:sz w:val="24"/>
              </w:rPr>
              <w:t>i</w:t>
            </w:r>
            <w:r w:rsidRPr="00544968">
              <w:rPr>
                <w:rFonts w:ascii="Times New Roman" w:hAnsi="Times New Roman" w:cs="Times New Roman"/>
                <w:sz w:val="24"/>
              </w:rPr>
              <w:t xml:space="preserve"> Ministru kabineta 2018.gada 28.augusta noteikumos Nr.555 “Veselības aprūpes pakalpojumu organizēšanas un samaksas kārtība”” projekts (turpmāk – noteikumu projekts) izstrādāts, pamatojoties uz: </w:t>
            </w:r>
          </w:p>
          <w:p w:rsidR="00544968" w:rsidRPr="00544968" w:rsidRDefault="00544968" w:rsidP="00544968">
            <w:pPr>
              <w:pStyle w:val="NoSpacing"/>
              <w:ind w:firstLine="311"/>
              <w:jc w:val="both"/>
              <w:rPr>
                <w:rFonts w:ascii="Times New Roman" w:hAnsi="Times New Roman" w:cs="Times New Roman"/>
                <w:sz w:val="24"/>
              </w:rPr>
            </w:pPr>
            <w:r w:rsidRPr="00544968">
              <w:rPr>
                <w:rFonts w:ascii="Times New Roman" w:hAnsi="Times New Roman" w:cs="Times New Roman"/>
                <w:sz w:val="24"/>
              </w:rPr>
              <w:t>- Ministru kabineta 2010.gada 29.jūnija noteikumiem Nr.595 “Noteikumi par zemāko mēnešalgu un speciālo piemaksu ārstniecības personām”;</w:t>
            </w:r>
          </w:p>
          <w:p w:rsidR="00141C42" w:rsidRDefault="00544968" w:rsidP="00544968">
            <w:pPr>
              <w:pStyle w:val="NoSpacing"/>
              <w:ind w:firstLine="311"/>
              <w:jc w:val="both"/>
              <w:rPr>
                <w:rFonts w:ascii="Times New Roman" w:hAnsi="Times New Roman" w:cs="Times New Roman"/>
                <w:sz w:val="24"/>
              </w:rPr>
            </w:pPr>
            <w:r w:rsidRPr="00544968">
              <w:rPr>
                <w:rFonts w:ascii="Times New Roman" w:hAnsi="Times New Roman" w:cs="Times New Roman"/>
                <w:sz w:val="24"/>
              </w:rPr>
              <w:t xml:space="preserve">- Informatīvais ziņojums </w:t>
            </w:r>
            <w:r w:rsidR="00CD0E25">
              <w:rPr>
                <w:rFonts w:ascii="Times New Roman" w:hAnsi="Times New Roman" w:cs="Times New Roman"/>
                <w:sz w:val="24"/>
              </w:rPr>
              <w:t>“</w:t>
            </w:r>
            <w:r w:rsidRPr="00544968">
              <w:rPr>
                <w:rFonts w:ascii="Times New Roman" w:hAnsi="Times New Roman" w:cs="Times New Roman"/>
                <w:sz w:val="24"/>
              </w:rPr>
              <w:t>Par ārstniecības personu un ārstniecības iestāžu pārējā personāla atlīdzības palielināšanu 2019.-2021.gadam</w:t>
            </w:r>
            <w:r w:rsidR="00CD0E25">
              <w:rPr>
                <w:rFonts w:ascii="Times New Roman" w:hAnsi="Times New Roman" w:cs="Times New Roman"/>
                <w:sz w:val="24"/>
              </w:rPr>
              <w:t>”</w:t>
            </w:r>
            <w:r w:rsidRPr="00544968">
              <w:rPr>
                <w:rFonts w:ascii="Times New Roman" w:hAnsi="Times New Roman" w:cs="Times New Roman"/>
                <w:sz w:val="24"/>
              </w:rPr>
              <w:t xml:space="preserve"> (protokols Nr.56 46.§) (turpmāk - informatīvais ziņojums)</w:t>
            </w:r>
            <w:r w:rsidR="00141C42">
              <w:rPr>
                <w:rFonts w:ascii="Times New Roman" w:hAnsi="Times New Roman" w:cs="Times New Roman"/>
                <w:sz w:val="24"/>
              </w:rPr>
              <w:t>;</w:t>
            </w:r>
          </w:p>
          <w:p w:rsidR="00544968" w:rsidRPr="002570DF" w:rsidRDefault="00141C42" w:rsidP="00292835">
            <w:pPr>
              <w:pStyle w:val="NoSpacing"/>
              <w:ind w:firstLine="311"/>
              <w:jc w:val="both"/>
              <w:rPr>
                <w:rFonts w:ascii="Times New Roman" w:hAnsi="Times New Roman" w:cs="Times New Roman"/>
              </w:rPr>
            </w:pPr>
            <w:r>
              <w:rPr>
                <w:rFonts w:ascii="Times New Roman" w:hAnsi="Times New Roman" w:cs="Times New Roman"/>
                <w:sz w:val="24"/>
              </w:rPr>
              <w:t xml:space="preserve">- </w:t>
            </w:r>
            <w:r w:rsidRPr="00141C42">
              <w:rPr>
                <w:rFonts w:ascii="Times New Roman" w:hAnsi="Times New Roman" w:cs="Times New Roman"/>
                <w:sz w:val="24"/>
              </w:rPr>
              <w:t>Ministru kabineta 2017.gada 7.augusta rīkojums Nr.394 “Par konceptuālo ziņojumu “Par veselības aprūpes sistēmas reformu””</w:t>
            </w:r>
            <w:r w:rsidRPr="00544968">
              <w:rPr>
                <w:rFonts w:ascii="Times New Roman" w:hAnsi="Times New Roman" w:cs="Times New Roman"/>
                <w:sz w:val="24"/>
              </w:rPr>
              <w:t xml:space="preserve"> (turpmāk </w:t>
            </w:r>
            <w:r>
              <w:rPr>
                <w:rFonts w:ascii="Times New Roman" w:hAnsi="Times New Roman" w:cs="Times New Roman"/>
                <w:sz w:val="24"/>
              </w:rPr>
              <w:t>–</w:t>
            </w:r>
            <w:r w:rsidRPr="00544968">
              <w:rPr>
                <w:rFonts w:ascii="Times New Roman" w:hAnsi="Times New Roman" w:cs="Times New Roman"/>
                <w:sz w:val="24"/>
              </w:rPr>
              <w:t xml:space="preserve"> </w:t>
            </w:r>
            <w:r>
              <w:rPr>
                <w:rFonts w:ascii="Times New Roman" w:hAnsi="Times New Roman" w:cs="Times New Roman"/>
                <w:sz w:val="24"/>
              </w:rPr>
              <w:t xml:space="preserve">MK </w:t>
            </w:r>
            <w:r w:rsidRPr="00141C42">
              <w:rPr>
                <w:rFonts w:ascii="Times New Roman" w:hAnsi="Times New Roman" w:cs="Times New Roman"/>
                <w:sz w:val="24"/>
              </w:rPr>
              <w:t>rīkojums Nr.394</w:t>
            </w:r>
            <w:r w:rsidRPr="00544968">
              <w:rPr>
                <w:rFonts w:ascii="Times New Roman" w:hAnsi="Times New Roman" w:cs="Times New Roman"/>
                <w:sz w:val="24"/>
              </w:rPr>
              <w:t>)</w:t>
            </w:r>
            <w:r w:rsidR="00544968" w:rsidRPr="00544968">
              <w:rPr>
                <w:rFonts w:ascii="Times New Roman" w:hAnsi="Times New Roman" w:cs="Times New Roman"/>
                <w:sz w:val="24"/>
              </w:rPr>
              <w:t>.</w:t>
            </w:r>
          </w:p>
        </w:tc>
      </w:tr>
      <w:tr w:rsidR="0079260F" w:rsidRPr="002570DF" w:rsidTr="0079260F">
        <w:tc>
          <w:tcPr>
            <w:tcW w:w="568" w:type="dxa"/>
          </w:tcPr>
          <w:p w:rsidR="0079260F" w:rsidRPr="002570DF" w:rsidRDefault="0079260F" w:rsidP="0079260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2.</w:t>
            </w:r>
          </w:p>
        </w:tc>
        <w:tc>
          <w:tcPr>
            <w:tcW w:w="1559" w:type="dxa"/>
          </w:tcPr>
          <w:p w:rsidR="00152501" w:rsidRPr="002570DF" w:rsidRDefault="0079260F" w:rsidP="0079260F">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Pr="002570DF" w:rsidRDefault="0079260F" w:rsidP="00152501">
            <w:pPr>
              <w:jc w:val="center"/>
            </w:pPr>
          </w:p>
        </w:tc>
        <w:tc>
          <w:tcPr>
            <w:tcW w:w="7229" w:type="dxa"/>
          </w:tcPr>
          <w:p w:rsidR="00544968" w:rsidRPr="00544968" w:rsidRDefault="00544968" w:rsidP="00544968">
            <w:pPr>
              <w:ind w:firstLine="453"/>
              <w:jc w:val="both"/>
              <w:rPr>
                <w:rFonts w:cstheme="minorBidi"/>
                <w:bCs/>
                <w:noProof/>
              </w:rPr>
            </w:pPr>
            <w:r w:rsidRPr="00544968">
              <w:rPr>
                <w:rFonts w:cstheme="minorBidi"/>
                <w:bCs/>
                <w:noProof/>
              </w:rPr>
              <w:t xml:space="preserve">Kārtību, kādā iedzīvotāji saņem valsts apmaksātos veselības aprūpes pakalpojumus nosaka Ministru kabineta 2018.gada 28.augusta noteikumos Nr. 555  "Veselības aprūpes pakalpojumu organizēšanas un samaksas kārtība" (turpmāk – noteikumi). </w:t>
            </w:r>
          </w:p>
          <w:p w:rsidR="00544968" w:rsidRPr="00141C42" w:rsidRDefault="00544968" w:rsidP="00544968">
            <w:pPr>
              <w:ind w:firstLine="453"/>
              <w:jc w:val="both"/>
              <w:rPr>
                <w:rFonts w:cstheme="minorBidi"/>
                <w:bCs/>
                <w:noProof/>
              </w:rPr>
            </w:pPr>
            <w:r w:rsidRPr="00141C42">
              <w:rPr>
                <w:rFonts w:cstheme="minorBidi"/>
                <w:bCs/>
                <w:noProof/>
              </w:rPr>
              <w:t>Saskaņā ar M</w:t>
            </w:r>
            <w:r w:rsidR="00141C42" w:rsidRPr="00141C42">
              <w:rPr>
                <w:rFonts w:cstheme="minorBidi"/>
                <w:bCs/>
                <w:noProof/>
              </w:rPr>
              <w:t>K</w:t>
            </w:r>
            <w:r w:rsidRPr="00141C42">
              <w:rPr>
                <w:rFonts w:cstheme="minorBidi"/>
                <w:bCs/>
                <w:noProof/>
              </w:rPr>
              <w:t xml:space="preserve"> rīkojum</w:t>
            </w:r>
            <w:r w:rsidR="00141C42">
              <w:rPr>
                <w:rFonts w:cstheme="minorBidi"/>
                <w:bCs/>
                <w:noProof/>
              </w:rPr>
              <w:t xml:space="preserve">a </w:t>
            </w:r>
            <w:r w:rsidR="00146F77">
              <w:rPr>
                <w:rFonts w:cstheme="minorBidi"/>
                <w:bCs/>
                <w:noProof/>
              </w:rPr>
              <w:t xml:space="preserve">Nr.394  </w:t>
            </w:r>
            <w:r w:rsidRPr="00141C42">
              <w:rPr>
                <w:rFonts w:cstheme="minorBidi"/>
                <w:bCs/>
                <w:noProof/>
              </w:rPr>
              <w:t>281. punkt</w:t>
            </w:r>
            <w:r w:rsidR="00141C42">
              <w:rPr>
                <w:rFonts w:cstheme="minorBidi"/>
                <w:bCs/>
                <w:noProof/>
              </w:rPr>
              <w:t>ā noteikto, ā</w:t>
            </w:r>
            <w:r w:rsidRPr="00141C42">
              <w:rPr>
                <w:rFonts w:cstheme="minorBidi"/>
                <w:bCs/>
                <w:noProof/>
              </w:rPr>
              <w:t xml:space="preserve">rstniecības personu darba samaksas palielināšanai līdz 2023. gadam nepieciešams novirzīt 500,8 miljonus </w:t>
            </w:r>
            <w:r w:rsidRPr="00141C42">
              <w:rPr>
                <w:rFonts w:cstheme="minorBidi"/>
                <w:bCs/>
                <w:i/>
                <w:noProof/>
              </w:rPr>
              <w:t>euro</w:t>
            </w:r>
            <w:r w:rsidRPr="00141C42">
              <w:rPr>
                <w:rFonts w:cstheme="minorBidi"/>
                <w:bCs/>
                <w:noProof/>
              </w:rPr>
              <w:t>, ārstu un funkcionālo speciālistu vidējā darba samaksai 2021. gadā par mērķi nosakot divkāršu tautsaimniecībā nodarbināto vidējo darba samaksu. Ārstniecības un pacientu aprūpes personu darba samaksai nepieciešams sasniegt 60%, bet ārstniecības un pacientu aprūpes atbalsta personu vidējā darba samaksa nepieciešams sasniegt 40% no ārstu un funkcionālo speciālistu vidējās darba samaksas, lielāku finansējuma apjomu paredzot stacionārajām ārstniecības iestādēm. Šāds solis ļaus apturēt ārstniecības personāla migrāciju gan uz ambulatoro sektoru, gan arī migrāciju uz citām ES valstīm, kas šobrīd rada ļoti būtiskus draudus stacionāro veselības a</w:t>
            </w:r>
            <w:r w:rsidR="00292835">
              <w:rPr>
                <w:rFonts w:cstheme="minorBidi"/>
                <w:bCs/>
                <w:noProof/>
              </w:rPr>
              <w:t>prūpes pakalpojumu pieejamībai.</w:t>
            </w:r>
          </w:p>
          <w:p w:rsidR="006E48D4" w:rsidRDefault="00544968" w:rsidP="00544968">
            <w:pPr>
              <w:ind w:firstLine="453"/>
              <w:jc w:val="both"/>
              <w:rPr>
                <w:rFonts w:cstheme="minorBidi"/>
                <w:bCs/>
                <w:noProof/>
              </w:rPr>
            </w:pPr>
            <w:r w:rsidRPr="00825CF8">
              <w:rPr>
                <w:rFonts w:cstheme="minorBidi"/>
                <w:bCs/>
                <w:noProof/>
              </w:rPr>
              <w:t xml:space="preserve">Veselības ministrija </w:t>
            </w:r>
            <w:r w:rsidR="00825CF8" w:rsidRPr="00825CF8">
              <w:rPr>
                <w:rFonts w:cstheme="minorBidi"/>
                <w:bCs/>
                <w:noProof/>
              </w:rPr>
              <w:t>izveidoja darba grup</w:t>
            </w:r>
            <w:r w:rsidR="000B67F5">
              <w:rPr>
                <w:rFonts w:cstheme="minorBidi"/>
                <w:bCs/>
                <w:noProof/>
              </w:rPr>
              <w:t>u</w:t>
            </w:r>
            <w:r w:rsidR="00825CF8" w:rsidRPr="00825CF8">
              <w:rPr>
                <w:rFonts w:cstheme="minorBidi"/>
                <w:bCs/>
                <w:noProof/>
                <w:vertAlign w:val="superscript"/>
              </w:rPr>
              <w:footnoteReference w:id="1"/>
            </w:r>
            <w:r w:rsidR="00825CF8" w:rsidRPr="00825CF8">
              <w:rPr>
                <w:rFonts w:cstheme="minorBidi"/>
                <w:bCs/>
                <w:noProof/>
              </w:rPr>
              <w:t xml:space="preserve"> (kurā piedalījās pārstāvji no Latvijas Ārstniecības un aprūpes darbinieku arodbiedrības, Latvijas Veselības un sociālās aprūpes darbinieku arodbiedrības, Latvijas Māsu asociācijas, Latvijas Slimnīcu biedrības, valsts un pašvaldību slimnīcām, Latvijas Jauno ārstu asociācijas, biedrības “Veselības aprūpes darba devēju asociācija”, kā arī pārstāvji no Veselības ministrijas (turpmāk – darba grupas pārstāvji))</w:t>
            </w:r>
            <w:r w:rsidR="000B67F5">
              <w:rPr>
                <w:rFonts w:cstheme="minorBidi"/>
                <w:bCs/>
                <w:noProof/>
              </w:rPr>
              <w:t>,</w:t>
            </w:r>
            <w:r w:rsidR="000B67F5">
              <w:t xml:space="preserve"> </w:t>
            </w:r>
            <w:r w:rsidR="006E48D4" w:rsidRPr="006E48D4">
              <w:rPr>
                <w:rFonts w:cstheme="minorBidi"/>
                <w:bCs/>
                <w:noProof/>
              </w:rPr>
              <w:t xml:space="preserve">kurā tika diskutēts par pasākumiem, lai novērstu veselības aprūpes darbinieku aizplūšanu no nozares, par ārstniecības iestādēs strādājošajiem darba samaksas palielināšanu un par virsstundu </w:t>
            </w:r>
            <w:r w:rsidR="006E48D4" w:rsidRPr="006E48D4">
              <w:rPr>
                <w:rFonts w:cstheme="minorBidi"/>
                <w:bCs/>
                <w:noProof/>
              </w:rPr>
              <w:lastRenderedPageBreak/>
              <w:t>apmaksu. Darba grupa konceptuāli atbalstīja Veselības ministrijas piedāvāto variantu darba samaksas pieaugumam ārstniecības iestādēs strādājošiem 2019.- 2021. gadam vidēji 20% apmērā katru gadu, 2021. gadā ārstu vidējai darba samaksai sasniedzot divkāršu tautsaimniecībā nodarbināto vidējo darba samaksu.</w:t>
            </w:r>
          </w:p>
          <w:p w:rsidR="00544968" w:rsidRPr="007B07D3" w:rsidRDefault="00292835" w:rsidP="00544968">
            <w:pPr>
              <w:ind w:firstLine="453"/>
              <w:jc w:val="both"/>
              <w:rPr>
                <w:rFonts w:cstheme="minorBidi"/>
                <w:bCs/>
                <w:noProof/>
              </w:rPr>
            </w:pPr>
            <w:r>
              <w:rPr>
                <w:rFonts w:cstheme="minorBidi"/>
                <w:bCs/>
                <w:noProof/>
              </w:rPr>
              <w:t>T</w:t>
            </w:r>
            <w:r w:rsidR="00544968" w:rsidRPr="00292835">
              <w:rPr>
                <w:rFonts w:cstheme="minorBidi"/>
                <w:bCs/>
                <w:noProof/>
              </w:rPr>
              <w:t>ika izvērtēt</w:t>
            </w:r>
            <w:r w:rsidR="00146F77">
              <w:rPr>
                <w:rFonts w:cstheme="minorBidi"/>
                <w:bCs/>
                <w:noProof/>
              </w:rPr>
              <w:t>a</w:t>
            </w:r>
            <w:r w:rsidR="00544968" w:rsidRPr="00292835">
              <w:rPr>
                <w:rFonts w:cstheme="minorBidi"/>
                <w:bCs/>
                <w:noProof/>
              </w:rPr>
              <w:t xml:space="preserve"> veselības nozares sistēmā strādājošo esoš</w:t>
            </w:r>
            <w:r w:rsidR="00146F77">
              <w:rPr>
                <w:rFonts w:cstheme="minorBidi"/>
                <w:bCs/>
                <w:noProof/>
              </w:rPr>
              <w:t>ā</w:t>
            </w:r>
            <w:r w:rsidR="00544968" w:rsidRPr="00292835">
              <w:rPr>
                <w:rFonts w:cstheme="minorBidi"/>
                <w:bCs/>
                <w:noProof/>
              </w:rPr>
              <w:t xml:space="preserve"> </w:t>
            </w:r>
            <w:r w:rsidR="00146F77">
              <w:rPr>
                <w:rFonts w:cstheme="minorBidi"/>
                <w:bCs/>
                <w:noProof/>
              </w:rPr>
              <w:t>darba samaksa</w:t>
            </w:r>
            <w:r w:rsidR="00544968" w:rsidRPr="00292835">
              <w:rPr>
                <w:rFonts w:cstheme="minorBidi"/>
                <w:bCs/>
                <w:noProof/>
              </w:rPr>
              <w:t xml:space="preserve"> un lemts par 201</w:t>
            </w:r>
            <w:r w:rsidRPr="00292835">
              <w:rPr>
                <w:rFonts w:cstheme="minorBidi"/>
                <w:bCs/>
                <w:noProof/>
              </w:rPr>
              <w:t>9</w:t>
            </w:r>
            <w:r w:rsidR="00146F77">
              <w:rPr>
                <w:rFonts w:cstheme="minorBidi"/>
                <w:bCs/>
                <w:noProof/>
              </w:rPr>
              <w:t>.</w:t>
            </w:r>
            <w:r w:rsidR="00544968" w:rsidRPr="00292835">
              <w:rPr>
                <w:rFonts w:cstheme="minorBidi"/>
                <w:bCs/>
                <w:noProof/>
              </w:rPr>
              <w:t>gadam piešķirtā papildus fina</w:t>
            </w:r>
            <w:r w:rsidR="00146F77">
              <w:rPr>
                <w:rFonts w:cstheme="minorBidi"/>
                <w:bCs/>
                <w:noProof/>
              </w:rPr>
              <w:t xml:space="preserve">nsējuma </w:t>
            </w:r>
            <w:r w:rsidR="00544968" w:rsidRPr="00292835">
              <w:rPr>
                <w:rFonts w:cstheme="minorBidi"/>
                <w:bCs/>
                <w:noProof/>
              </w:rPr>
              <w:t xml:space="preserve">ārstniecības personu darba samaksas paaugstināšanai. </w:t>
            </w:r>
            <w:r w:rsidR="00544968" w:rsidRPr="00B25312">
              <w:rPr>
                <w:rFonts w:cstheme="minorBidi"/>
                <w:bCs/>
                <w:noProof/>
              </w:rPr>
              <w:t xml:space="preserve">Minētās darba grupas </w:t>
            </w:r>
            <w:r w:rsidR="00544968" w:rsidRPr="007B07D3">
              <w:rPr>
                <w:rFonts w:cstheme="minorBidi"/>
                <w:bCs/>
                <w:noProof/>
              </w:rPr>
              <w:t>ietvaros, tika atbalstīts Noteikumu projekta 1.</w:t>
            </w:r>
            <w:r w:rsidR="00B25312" w:rsidRPr="007B07D3">
              <w:rPr>
                <w:rFonts w:cstheme="minorBidi"/>
                <w:bCs/>
                <w:noProof/>
              </w:rPr>
              <w:t>1</w:t>
            </w:r>
            <w:r w:rsidR="00544968" w:rsidRPr="007B07D3">
              <w:rPr>
                <w:rFonts w:cstheme="minorBidi"/>
                <w:bCs/>
                <w:noProof/>
              </w:rPr>
              <w:t>. </w:t>
            </w:r>
            <w:r w:rsidR="00B25312" w:rsidRPr="007B07D3">
              <w:rPr>
                <w:rFonts w:cstheme="minorBidi"/>
                <w:bCs/>
                <w:noProof/>
              </w:rPr>
              <w:t>apakšpunktā</w:t>
            </w:r>
            <w:r w:rsidR="00544968" w:rsidRPr="007B07D3">
              <w:rPr>
                <w:rFonts w:cstheme="minorBidi"/>
                <w:bCs/>
                <w:noProof/>
              </w:rPr>
              <w:t xml:space="preserve"> iekļautais vidējās darba samaksas pieaugums (ievērojot iepriekš minēto darba samaksa proporcijas sadalījumu pa Noteikumu projekta 1.</w:t>
            </w:r>
            <w:r w:rsidR="00931501" w:rsidRPr="007B07D3">
              <w:rPr>
                <w:rFonts w:cstheme="minorBidi"/>
                <w:bCs/>
                <w:noProof/>
              </w:rPr>
              <w:t>1</w:t>
            </w:r>
            <w:r w:rsidR="00544968" w:rsidRPr="007B07D3">
              <w:rPr>
                <w:rFonts w:cstheme="minorBidi"/>
                <w:bCs/>
                <w:noProof/>
              </w:rPr>
              <w:t>. </w:t>
            </w:r>
            <w:r w:rsidR="009B37B4" w:rsidRPr="007B07D3">
              <w:rPr>
                <w:rFonts w:cstheme="minorBidi"/>
                <w:bCs/>
                <w:noProof/>
              </w:rPr>
              <w:t>apakš</w:t>
            </w:r>
            <w:r w:rsidR="00544968" w:rsidRPr="007B07D3">
              <w:rPr>
                <w:rFonts w:cstheme="minorBidi"/>
                <w:bCs/>
                <w:noProof/>
              </w:rPr>
              <w:t xml:space="preserve">punktā iekļautajām ārstniecības personu iedalījuma kategorijām) (noteikumu </w:t>
            </w:r>
            <w:r w:rsidR="00141C42" w:rsidRPr="007B07D3">
              <w:rPr>
                <w:rFonts w:cstheme="minorBidi"/>
                <w:bCs/>
                <w:noProof/>
              </w:rPr>
              <w:t>153</w:t>
            </w:r>
            <w:r w:rsidR="00544968" w:rsidRPr="007B07D3">
              <w:rPr>
                <w:rFonts w:cstheme="minorBidi"/>
                <w:bCs/>
                <w:noProof/>
              </w:rPr>
              <w:t>. punkts).</w:t>
            </w:r>
          </w:p>
          <w:p w:rsidR="00A5791B" w:rsidRPr="00A5791B" w:rsidRDefault="00A5791B" w:rsidP="00A5791B">
            <w:pPr>
              <w:ind w:firstLine="453"/>
              <w:jc w:val="both"/>
              <w:rPr>
                <w:rFonts w:cstheme="minorBidi"/>
                <w:bCs/>
                <w:noProof/>
              </w:rPr>
            </w:pPr>
            <w:r w:rsidRPr="007B07D3">
              <w:rPr>
                <w:rFonts w:cstheme="minorBidi"/>
                <w:bCs/>
                <w:noProof/>
              </w:rPr>
              <w:t>Līdz ar to 2019</w:t>
            </w:r>
            <w:r w:rsidRPr="00A5791B">
              <w:rPr>
                <w:rFonts w:cstheme="minorBidi"/>
                <w:bCs/>
                <w:noProof/>
              </w:rPr>
              <w:t xml:space="preserve">.gadā paredzēts palielināt ārstu un funkcionālo speciālistu darba samaksu no 1 125 </w:t>
            </w:r>
            <w:r w:rsidRPr="0043314E">
              <w:rPr>
                <w:rFonts w:cstheme="minorBidi"/>
                <w:bCs/>
                <w:i/>
                <w:noProof/>
              </w:rPr>
              <w:t>euro</w:t>
            </w:r>
            <w:r w:rsidRPr="00A5791B">
              <w:rPr>
                <w:rFonts w:cstheme="minorBidi"/>
                <w:bCs/>
                <w:noProof/>
              </w:rPr>
              <w:t xml:space="preserve"> līdz 1 350 </w:t>
            </w:r>
            <w:r w:rsidRPr="0043314E">
              <w:rPr>
                <w:rFonts w:cstheme="minorBidi"/>
                <w:bCs/>
                <w:i/>
                <w:noProof/>
              </w:rPr>
              <w:t>euro</w:t>
            </w:r>
            <w:r w:rsidRPr="00A5791B">
              <w:rPr>
                <w:rFonts w:cstheme="minorBidi"/>
                <w:bCs/>
                <w:noProof/>
              </w:rPr>
              <w:t xml:space="preserve"> mēnesī, ārstniecības un pacientu aprūpes personas un funkcionālo speciālistu asistentiem no 675 </w:t>
            </w:r>
            <w:r w:rsidRPr="0043314E">
              <w:rPr>
                <w:rFonts w:cstheme="minorBidi"/>
                <w:bCs/>
                <w:i/>
                <w:noProof/>
              </w:rPr>
              <w:t>euro</w:t>
            </w:r>
            <w:r w:rsidRPr="00A5791B">
              <w:rPr>
                <w:rFonts w:cstheme="minorBidi"/>
                <w:bCs/>
                <w:noProof/>
              </w:rPr>
              <w:t xml:space="preserve"> līdz 810 </w:t>
            </w:r>
            <w:r w:rsidRPr="0043314E">
              <w:rPr>
                <w:rFonts w:cstheme="minorBidi"/>
                <w:bCs/>
                <w:i/>
                <w:noProof/>
              </w:rPr>
              <w:t>euro</w:t>
            </w:r>
            <w:r w:rsidRPr="00A5791B">
              <w:rPr>
                <w:rFonts w:cstheme="minorBidi"/>
                <w:bCs/>
                <w:noProof/>
              </w:rPr>
              <w:t xml:space="preserve"> mēnesī, bet ārstniecības un pacientu aprūpes atbalsta personām – no 450 </w:t>
            </w:r>
            <w:r w:rsidRPr="0043314E">
              <w:rPr>
                <w:rFonts w:cstheme="minorBidi"/>
                <w:bCs/>
                <w:i/>
                <w:noProof/>
              </w:rPr>
              <w:t>euro</w:t>
            </w:r>
            <w:r w:rsidRPr="00A5791B">
              <w:rPr>
                <w:rFonts w:cstheme="minorBidi"/>
                <w:bCs/>
                <w:noProof/>
              </w:rPr>
              <w:t xml:space="preserve"> līdz 540 </w:t>
            </w:r>
            <w:r w:rsidRPr="0043314E">
              <w:rPr>
                <w:rFonts w:cstheme="minorBidi"/>
                <w:bCs/>
                <w:i/>
                <w:noProof/>
              </w:rPr>
              <w:t>euro</w:t>
            </w:r>
            <w:r w:rsidRPr="00A5791B">
              <w:rPr>
                <w:rFonts w:cstheme="minorBidi"/>
                <w:bCs/>
                <w:noProof/>
              </w:rPr>
              <w:t xml:space="preserve"> mēnesī. Ārstniecības personām stacionārajā sektorā tiek paredzēts palielināt darba samaksu, ņemot vērā obligātās piemaksas par diennakts darba režīmu nodrošināšanu, kā arī normālā pagarinātā darba laika pakāpenisku atcelšanu. </w:t>
            </w:r>
          </w:p>
          <w:p w:rsidR="00AC44EE" w:rsidRDefault="00AC44EE" w:rsidP="00351706">
            <w:pPr>
              <w:ind w:firstLine="453"/>
              <w:jc w:val="both"/>
            </w:pPr>
            <w:r>
              <w:t>201</w:t>
            </w:r>
            <w:r w:rsidR="007C3261">
              <w:t>8</w:t>
            </w:r>
            <w:r>
              <w:t xml:space="preserve">.gada </w:t>
            </w:r>
            <w:r w:rsidRPr="00AC44EE">
              <w:t xml:space="preserve">27.novembrī Ministru kabineta sēdē </w:t>
            </w:r>
            <w:r>
              <w:t xml:space="preserve">tika </w:t>
            </w:r>
            <w:r w:rsidRPr="00AC44EE">
              <w:t>izskatīts Veselības ministrijas sagatavotais informatīvais ziņojums par ārstniecības personu un ārstniecības iestāžu pārējā personāla atlīdzības p</w:t>
            </w:r>
            <w:r>
              <w:t>alielināšanu 2019.</w:t>
            </w:r>
            <w:r w:rsidR="00517B5C">
              <w:t xml:space="preserve"> </w:t>
            </w:r>
            <w:r>
              <w:t xml:space="preserve">- 2021.gadam, par nepieciešamību </w:t>
            </w:r>
            <w:r w:rsidRPr="00AC44EE">
              <w:t>plānot darba samaksas pieaugumu mediķiem turpmākajiem trim gadiem  vidēji par 20% ik gadu</w:t>
            </w:r>
            <w:r>
              <w:t>, kā arī</w:t>
            </w:r>
            <w:r w:rsidRPr="00AC44EE">
              <w:t xml:space="preserve">, lai izpildītu Latvijas Republikas Satversmes tiesas spriedumu saistībā ar normālā pagarinātā darba laika pakāpenisku atcelšanu un apmaksas nosacījumiem.  </w:t>
            </w:r>
          </w:p>
          <w:p w:rsidR="00284FC5" w:rsidRPr="00724C97" w:rsidRDefault="00284FC5" w:rsidP="00284FC5">
            <w:pPr>
              <w:ind w:firstLine="453"/>
              <w:jc w:val="both"/>
            </w:pPr>
            <w:r>
              <w:t>D</w:t>
            </w:r>
            <w:r w:rsidRPr="003B35A1">
              <w:t>arba samaksa</w:t>
            </w:r>
            <w:r>
              <w:t>s</w:t>
            </w:r>
            <w:r w:rsidRPr="00AC44EE">
              <w:t xml:space="preserve"> </w:t>
            </w:r>
            <w:r w:rsidRPr="00724C97">
              <w:t>pieaugums ārstniecības personām 2019</w:t>
            </w:r>
            <w:r>
              <w:t>.gada</w:t>
            </w:r>
            <w:r w:rsidRPr="00AC44EE">
              <w:t xml:space="preserve">m jau iepriekš bija iezīmēts, valdībai 2017.gadā </w:t>
            </w:r>
            <w:r w:rsidRPr="004A7710">
              <w:t>apstiprinot konceptuālo ziņojumu “Par veselības aprūpes sistēmas reformu”. Tagad</w:t>
            </w:r>
            <w:r w:rsidR="009B37B4" w:rsidRPr="004A7710">
              <w:t>, atbilstoši informatīvajam ziņojumam</w:t>
            </w:r>
            <w:r w:rsidRPr="004A7710">
              <w:t xml:space="preserve"> plānots, ka </w:t>
            </w:r>
            <w:r w:rsidRPr="004A7710">
              <w:rPr>
                <w:b/>
              </w:rPr>
              <w:t xml:space="preserve">ambulatorajā sektorā </w:t>
            </w:r>
            <w:r w:rsidRPr="004A7710">
              <w:t xml:space="preserve">ārsti un funkcionālie speciālisti nākošgad saņemtu vidēji 1350 </w:t>
            </w:r>
            <w:r w:rsidRPr="004A7710">
              <w:rPr>
                <w:i/>
              </w:rPr>
              <w:t>euro</w:t>
            </w:r>
            <w:r w:rsidRPr="004A7710">
              <w:t xml:space="preserve"> </w:t>
            </w:r>
            <w:r w:rsidRPr="00724C97">
              <w:t xml:space="preserve">līdzšinējo 1125 </w:t>
            </w:r>
            <w:r w:rsidRPr="00724C97">
              <w:rPr>
                <w:i/>
              </w:rPr>
              <w:t>euro</w:t>
            </w:r>
            <w:r w:rsidRPr="00724C97">
              <w:t xml:space="preserve"> vietā, 2020.gadā – vidēji 1620 </w:t>
            </w:r>
            <w:r w:rsidRPr="00724C97">
              <w:rPr>
                <w:i/>
              </w:rPr>
              <w:t>euro</w:t>
            </w:r>
            <w:r w:rsidRPr="00724C97">
              <w:t xml:space="preserve"> un 2021.gadā – vidēji 1944 </w:t>
            </w:r>
            <w:r w:rsidRPr="00724C97">
              <w:rPr>
                <w:i/>
              </w:rPr>
              <w:t>euro</w:t>
            </w:r>
            <w:r w:rsidRPr="00724C97">
              <w:t xml:space="preserve">. Ārstniecības un pacientu aprūpes personām atalgojums pieaugtu no esošajiem 675 </w:t>
            </w:r>
            <w:r w:rsidRPr="00724C97">
              <w:rPr>
                <w:i/>
              </w:rPr>
              <w:t>euro</w:t>
            </w:r>
            <w:r w:rsidRPr="00724C97">
              <w:t xml:space="preserve"> līdz vidēji 810 </w:t>
            </w:r>
            <w:r w:rsidRPr="00724C97">
              <w:rPr>
                <w:i/>
              </w:rPr>
              <w:t>euro</w:t>
            </w:r>
            <w:r w:rsidRPr="00724C97">
              <w:t xml:space="preserve"> 2019.gadā, vidēji 972 </w:t>
            </w:r>
            <w:r w:rsidRPr="00724C97">
              <w:rPr>
                <w:i/>
              </w:rPr>
              <w:t>euro</w:t>
            </w:r>
            <w:r w:rsidRPr="00724C97">
              <w:t xml:space="preserve"> 2020.gadā, un vidēji 1166 </w:t>
            </w:r>
            <w:r w:rsidRPr="00724C97">
              <w:rPr>
                <w:i/>
              </w:rPr>
              <w:t>euro</w:t>
            </w:r>
            <w:r w:rsidRPr="00724C97">
              <w:t xml:space="preserve"> 2021.gadā. Savukārt ārstniecības un pacientu aprūpes atbalsta personām darba samaksa mainītos no 450 </w:t>
            </w:r>
            <w:r w:rsidRPr="00724C97">
              <w:rPr>
                <w:i/>
              </w:rPr>
              <w:t>euro</w:t>
            </w:r>
            <w:r w:rsidRPr="00724C97">
              <w:t xml:space="preserve"> uz vidēji 540 </w:t>
            </w:r>
            <w:r w:rsidRPr="00724C97">
              <w:rPr>
                <w:i/>
              </w:rPr>
              <w:t>euro</w:t>
            </w:r>
            <w:r w:rsidRPr="00724C97">
              <w:t xml:space="preserve"> 2019.gadā, vidēji 648 </w:t>
            </w:r>
            <w:r w:rsidRPr="00724C97">
              <w:rPr>
                <w:i/>
              </w:rPr>
              <w:t>euro</w:t>
            </w:r>
            <w:r w:rsidRPr="00724C97">
              <w:t xml:space="preserve"> 2020.gadā un vidēji 778 </w:t>
            </w:r>
            <w:r w:rsidRPr="00724C97">
              <w:rPr>
                <w:i/>
              </w:rPr>
              <w:t>euro</w:t>
            </w:r>
            <w:r w:rsidRPr="00724C97">
              <w:t xml:space="preserve"> 2021.gadā.</w:t>
            </w:r>
          </w:p>
          <w:p w:rsidR="00284FC5" w:rsidRDefault="00284FC5" w:rsidP="00284FC5">
            <w:pPr>
              <w:ind w:firstLine="453"/>
              <w:jc w:val="both"/>
            </w:pPr>
            <w:r w:rsidRPr="00724C97">
              <w:t xml:space="preserve">Plānots, ka vidēji par 20% darba samaksa pieaugs arī </w:t>
            </w:r>
            <w:r w:rsidRPr="00DA3EDA">
              <w:rPr>
                <w:b/>
              </w:rPr>
              <w:t>stacionārā sektorā</w:t>
            </w:r>
            <w:r>
              <w:t xml:space="preserve"> (</w:t>
            </w:r>
            <w:r w:rsidRPr="00753D06">
              <w:rPr>
                <w:rFonts w:cstheme="minorBidi"/>
                <w:bCs/>
                <w:i/>
                <w:noProof/>
              </w:rPr>
              <w:t>ņemot vērā obligātās piemaksas par dienn</w:t>
            </w:r>
            <w:r>
              <w:rPr>
                <w:rFonts w:cstheme="minorBidi"/>
                <w:bCs/>
                <w:i/>
                <w:noProof/>
              </w:rPr>
              <w:t>akts darba režīmu nodrošināšanu</w:t>
            </w:r>
            <w:r>
              <w:t>), tāpēc</w:t>
            </w:r>
            <w:r w:rsidRPr="00AC44EE">
              <w:t xml:space="preserve"> ārsti un funkcionālie speciālisti </w:t>
            </w:r>
            <w:r>
              <w:t>2019.</w:t>
            </w:r>
            <w:r w:rsidRPr="00AC44EE">
              <w:t>gad</w:t>
            </w:r>
            <w:r>
              <w:t>ā</w:t>
            </w:r>
            <w:r w:rsidRPr="00AC44EE">
              <w:t xml:space="preserve"> saņemtu vidēji 1856</w:t>
            </w:r>
            <w:r>
              <w:t> </w:t>
            </w:r>
            <w:r w:rsidRPr="007C3261">
              <w:rPr>
                <w:i/>
              </w:rPr>
              <w:t>euro</w:t>
            </w:r>
            <w:r w:rsidRPr="00AC44EE">
              <w:t xml:space="preserve"> līdzšinējo 1547 </w:t>
            </w:r>
            <w:r w:rsidRPr="007C3261">
              <w:rPr>
                <w:i/>
              </w:rPr>
              <w:t>euro</w:t>
            </w:r>
            <w:r w:rsidRPr="00AC44EE">
              <w:t xml:space="preserve"> vietā, savukārt 2020.gadā vidēji 2227 </w:t>
            </w:r>
            <w:r w:rsidRPr="007C3261">
              <w:rPr>
                <w:i/>
              </w:rPr>
              <w:t>euro</w:t>
            </w:r>
            <w:r w:rsidRPr="00AC44EE">
              <w:t xml:space="preserve"> un 2021. gadā – vidēji 2672 </w:t>
            </w:r>
            <w:r w:rsidRPr="007C3261">
              <w:rPr>
                <w:i/>
              </w:rPr>
              <w:t>euro</w:t>
            </w:r>
            <w:r w:rsidRPr="00AC44EE">
              <w:t>, sasniedzot divkāršu tautsaimniecībā nodarbināto vidējo darba samaksu. Ārstniecības un pacientu aprūpes personām atalgojums p</w:t>
            </w:r>
            <w:r>
              <w:t>ieaugtu no esošajiem vidēji 928 </w:t>
            </w:r>
            <w:r w:rsidRPr="007C3261">
              <w:rPr>
                <w:i/>
              </w:rPr>
              <w:t>euro</w:t>
            </w:r>
            <w:r w:rsidRPr="00AC44EE">
              <w:t xml:space="preserve"> līdz 1114 </w:t>
            </w:r>
            <w:r w:rsidRPr="007C3261">
              <w:rPr>
                <w:i/>
              </w:rPr>
              <w:t>euro</w:t>
            </w:r>
            <w:r w:rsidRPr="00AC44EE">
              <w:t xml:space="preserve"> </w:t>
            </w:r>
            <w:r>
              <w:t>2019.gadā</w:t>
            </w:r>
            <w:r w:rsidRPr="00AC44EE">
              <w:t xml:space="preserve">, līdz vidēji 1336 </w:t>
            </w:r>
            <w:r w:rsidRPr="007C3261">
              <w:rPr>
                <w:i/>
              </w:rPr>
              <w:t>euro</w:t>
            </w:r>
            <w:r w:rsidRPr="00AC44EE">
              <w:t xml:space="preserve"> 2020.gadā un vidēji 1603 </w:t>
            </w:r>
            <w:r w:rsidRPr="007C3261">
              <w:rPr>
                <w:i/>
              </w:rPr>
              <w:t>euro</w:t>
            </w:r>
            <w:r w:rsidRPr="00AC44EE">
              <w:t xml:space="preserve"> 2021.gadā. Savukārt ārstniecības un pacientu aprūpes </w:t>
            </w:r>
            <w:r w:rsidRPr="00AC44EE">
              <w:lastRenderedPageBreak/>
              <w:t xml:space="preserve">atbalsta personām darba samaksa mainītos no vidēji 620 </w:t>
            </w:r>
            <w:r w:rsidRPr="007C3261">
              <w:rPr>
                <w:i/>
              </w:rPr>
              <w:t>euro</w:t>
            </w:r>
            <w:r w:rsidRPr="00AC44EE">
              <w:t xml:space="preserve"> līdz 742</w:t>
            </w:r>
            <w:r>
              <w:t> </w:t>
            </w:r>
            <w:r w:rsidRPr="007C3261">
              <w:rPr>
                <w:i/>
              </w:rPr>
              <w:t>euro</w:t>
            </w:r>
            <w:r w:rsidRPr="00AC44EE">
              <w:t xml:space="preserve"> </w:t>
            </w:r>
            <w:r>
              <w:t>2019.gadā</w:t>
            </w:r>
            <w:r w:rsidRPr="00AC44EE">
              <w:t xml:space="preserve">, vidēji 891 </w:t>
            </w:r>
            <w:r w:rsidRPr="007C3261">
              <w:rPr>
                <w:i/>
              </w:rPr>
              <w:t>euro</w:t>
            </w:r>
            <w:r w:rsidRPr="00AC44EE">
              <w:t xml:space="preserve"> 2020.gadā un vidēji 1069 </w:t>
            </w:r>
            <w:r w:rsidRPr="007C3261">
              <w:rPr>
                <w:i/>
              </w:rPr>
              <w:t>euro</w:t>
            </w:r>
            <w:r w:rsidRPr="00AC44EE">
              <w:t xml:space="preserve"> 2021.gadā.</w:t>
            </w:r>
          </w:p>
          <w:p w:rsidR="00AC44EE" w:rsidRDefault="00AC44EE" w:rsidP="00AC44EE">
            <w:pPr>
              <w:ind w:firstLine="663"/>
              <w:jc w:val="both"/>
            </w:pPr>
            <w:r>
              <w:t xml:space="preserve">Prognozējams </w:t>
            </w:r>
            <w:r w:rsidR="00CE5826">
              <w:t xml:space="preserve">darba samaksas </w:t>
            </w:r>
            <w:r>
              <w:t xml:space="preserve">palielinājums turpmākajos gados ir viens no būtiskākajiem soļiem, lai risinātu problēmas ar cilvēkresursu trūkumu nozarē. Arī šis aspekts izvērtēts </w:t>
            </w:r>
            <w:r w:rsidR="00D81D20">
              <w:t xml:space="preserve">informatīvajā </w:t>
            </w:r>
            <w:r>
              <w:t xml:space="preserve">ziņojumā. </w:t>
            </w:r>
          </w:p>
          <w:p w:rsidR="00886291" w:rsidRPr="00512493" w:rsidRDefault="00886291" w:rsidP="00512493">
            <w:pPr>
              <w:ind w:firstLine="663"/>
              <w:jc w:val="both"/>
            </w:pPr>
            <w:r w:rsidRPr="00512493">
              <w:t xml:space="preserve">Procentuālais palielinājums </w:t>
            </w:r>
            <w:r w:rsidR="00517B5C" w:rsidRPr="00512493">
              <w:t xml:space="preserve">par </w:t>
            </w:r>
            <w:r w:rsidR="00517B5C">
              <w:t>20</w:t>
            </w:r>
            <w:r w:rsidR="00517B5C" w:rsidRPr="00512493">
              <w:t xml:space="preserve">% paredzēts </w:t>
            </w:r>
            <w:r w:rsidRPr="00512493">
              <w:t>201</w:t>
            </w:r>
            <w:r w:rsidR="00517B5C">
              <w:t>9</w:t>
            </w:r>
            <w:r w:rsidRPr="00512493">
              <w:t>.gadā darba samaksai ārstiem un funkcionālajiem speciālistiem, ārstniecības un pacientu aprūpes personām un funkcionālo speciālistu asistentiem</w:t>
            </w:r>
            <w:r w:rsidR="00517B5C">
              <w:t xml:space="preserve"> un </w:t>
            </w:r>
            <w:r w:rsidRPr="00512493">
              <w:t>ārstniecības un pacientu aprūpes atbalsta personām, kas veidojas ņemot vērā vidējo plānoto darba samaksas palielinājum gan ārstniecības personālam ambulatorā sektorā, gan stacionārajā sektorā.</w:t>
            </w:r>
          </w:p>
          <w:p w:rsidR="00CE5826" w:rsidRPr="00CE5826" w:rsidRDefault="00CE5826" w:rsidP="00512493">
            <w:pPr>
              <w:ind w:firstLine="663"/>
              <w:jc w:val="both"/>
            </w:pPr>
            <w:r w:rsidRPr="00CE5826">
              <w:t xml:space="preserve">Veselības ministrijas sagatavoto informatīvo ziņojumu š.g. 27.novembrī izskatīja Ministru kabineta sēdē (56.protokols 46. §, TA-2293) un tika atbalstīts priekšlikums par papildus nepieciešamo finansējumu, lai nodrošinātu Satversmes tiesas 2018. gada 15. maija sprieduma lietā Nr. 2017-15-01 izpildi, 2019.gadam 11 297 326 </w:t>
            </w:r>
            <w:r w:rsidRPr="00D778CE">
              <w:rPr>
                <w:i/>
              </w:rPr>
              <w:t>euro</w:t>
            </w:r>
            <w:r w:rsidRPr="00CE5826">
              <w:t xml:space="preserve"> apmērā, 2020. gadam un 2021.gadam ik gadu 16 097 729 </w:t>
            </w:r>
            <w:r w:rsidRPr="00D778CE">
              <w:rPr>
                <w:i/>
              </w:rPr>
              <w:t>euro</w:t>
            </w:r>
            <w:r w:rsidRPr="00CE5826">
              <w:t xml:space="preserve"> apmērā, kas tiks pārdalīts no 74.budžeta resora programmā 08.00.00 "Veselības aprūpes sistēmas reformas ieviešanas finansējums" rezervētā finansējuma (no valsts sociālās apdrošināšanas obligāto iemaksu sadales veselības aprūpes finansēšanai) uz Veselības ministrijas budžeta attiecīgajām apakšprogrammām, un finansējums 2019.gadam 4 800 403 </w:t>
            </w:r>
            <w:r w:rsidRPr="00D778CE">
              <w:rPr>
                <w:i/>
              </w:rPr>
              <w:t>euro</w:t>
            </w:r>
            <w:r w:rsidRPr="00CE5826">
              <w:t xml:space="preserve"> apmērā tiks nodrošināts Veselības ministrijai piešķirto valsts budžeta līdzekļu ietvaros.</w:t>
            </w:r>
          </w:p>
          <w:p w:rsidR="00E7115E" w:rsidRPr="00A32644" w:rsidRDefault="00B46E55" w:rsidP="00B46E55">
            <w:pPr>
              <w:ind w:firstLine="453"/>
              <w:jc w:val="both"/>
            </w:pPr>
            <w:r w:rsidRPr="00B46E55">
              <w:t>11. pielikuma 2</w:t>
            </w:r>
            <w:r>
              <w:t>.punkta kapitācijas nauda tiek izteikt</w:t>
            </w:r>
            <w:r w:rsidR="00E7115E">
              <w:t>a</w:t>
            </w:r>
            <w:r>
              <w:t xml:space="preserve"> jaunā redakcijā </w:t>
            </w:r>
            <w:r w:rsidR="003C03CF">
              <w:t>1,921918</w:t>
            </w:r>
            <w:r>
              <w:t>,</w:t>
            </w:r>
            <w:r w:rsidR="003C03CF">
              <w:t xml:space="preserve"> </w:t>
            </w:r>
            <w:r w:rsidR="003C03CF" w:rsidRPr="00A32644">
              <w:t>attiecīgi palielināta par 20 %</w:t>
            </w:r>
            <w:r w:rsidRPr="00A32644">
              <w:t>.</w:t>
            </w:r>
            <w:r w:rsidR="00E7115E" w:rsidRPr="00A32644">
              <w:t xml:space="preserve"> 11. pielikuma 32.2.1. (jaunā redakcija - 2,76 </w:t>
            </w:r>
            <w:r w:rsidR="00E7115E" w:rsidRPr="00A32644">
              <w:rPr>
                <w:i/>
              </w:rPr>
              <w:t>euro</w:t>
            </w:r>
            <w:r w:rsidR="00E7115E" w:rsidRPr="00A32644">
              <w:t>) un 32.2.2. (jaunā redakcij</w:t>
            </w:r>
            <w:r w:rsidR="004A7710" w:rsidRPr="00A32644">
              <w:t>a</w:t>
            </w:r>
            <w:r w:rsidR="00E7115E" w:rsidRPr="00A32644">
              <w:t xml:space="preserve"> – 0,49 </w:t>
            </w:r>
            <w:r w:rsidR="00E7115E" w:rsidRPr="00A32644">
              <w:rPr>
                <w:i/>
              </w:rPr>
              <w:t>euro</w:t>
            </w:r>
            <w:r w:rsidR="00E7115E" w:rsidRPr="00A32644">
              <w:t>) apakšpunkti tiek izteikti jaunā redakcijā sakarā ar 2019.gadā par 20% paredzēto darba samaksas palielinājumu.</w:t>
            </w:r>
          </w:p>
          <w:p w:rsidR="00E1709F" w:rsidRPr="00E83F90" w:rsidRDefault="00B46E55" w:rsidP="00EA4702">
            <w:pPr>
              <w:ind w:firstLine="453"/>
              <w:jc w:val="both"/>
            </w:pPr>
            <w:r>
              <w:t>Tiek aktualizēti 4</w:t>
            </w:r>
            <w:r w:rsidRPr="00B46E55">
              <w:t>.</w:t>
            </w:r>
            <w:r>
              <w:t>, 6.</w:t>
            </w:r>
            <w:r w:rsidR="003C03CF">
              <w:t>; 10</w:t>
            </w:r>
            <w:r>
              <w:t xml:space="preserve"> un 1</w:t>
            </w:r>
            <w:r w:rsidR="003C03CF">
              <w:t>1</w:t>
            </w:r>
            <w:r>
              <w:t>.</w:t>
            </w:r>
            <w:r w:rsidRPr="00B46E55">
              <w:t xml:space="preserve"> p</w:t>
            </w:r>
            <w:r>
              <w:t xml:space="preserve">ielikumi, jo vienlaicīgi </w:t>
            </w:r>
            <w:r w:rsidRPr="00B46E55">
              <w:t>tiek izstrādāti Ministru kabineta noteikumi “Noteikumi par zemāko mēnešalgu un speciālo piemaksu ārstniecības personām”</w:t>
            </w:r>
            <w:r>
              <w:t>.</w:t>
            </w:r>
            <w:r w:rsidR="00E1709F">
              <w:t xml:space="preserve"> Kā piemēram, 6.</w:t>
            </w:r>
            <w:r w:rsidR="00E1709F" w:rsidRPr="00B46E55">
              <w:t>p</w:t>
            </w:r>
            <w:r w:rsidR="00E1709F">
              <w:t xml:space="preserve">ielikuma 2.punkta 2.15.apakšpunktā ir veikti pakalpojuma tarifa samazinājumi, jo </w:t>
            </w:r>
            <w:r w:rsidR="00E1709F" w:rsidRPr="00E1709F">
              <w:t>no 2019.gada 1.janvāra parenterāli ievadāmo ķīmijterapijas zāļu iegāde tiks veikta centralizēti un netiks apmaksāta ar pakalpojumu tarifiem. Norēķini par izlietotajām ķīmijterapijas zālēm ārstniecības iestādēs tiks veikti ar zāļu piegādātājiem atbilstoši līgumā noteiktajai kārtībai. Līdz ar to attiecīgās stacionārās veselības aprūpes pakalpojumu programmās veikts pakalpojumu tarifa samazinājums.</w:t>
            </w:r>
            <w:r w:rsidR="00E1709F">
              <w:t xml:space="preserve"> Attiecīgi 10. pielikuma 2. punktā </w:t>
            </w:r>
            <w:r w:rsidR="00E1709F" w:rsidRPr="00E1709F">
              <w:t>slodžu skaits aprēķiniem ti</w:t>
            </w:r>
            <w:r w:rsidR="00E1709F">
              <w:t>e</w:t>
            </w:r>
            <w:r w:rsidR="00E1709F" w:rsidRPr="00E1709F">
              <w:t>k noteikts ar 3 zīmēm aiz komata</w:t>
            </w:r>
            <w:r w:rsidR="00E1709F">
              <w:t>, jo</w:t>
            </w:r>
            <w:r w:rsidR="00E1709F" w:rsidRPr="00E1709F">
              <w:t xml:space="preserve"> apaļošana rada</w:t>
            </w:r>
            <w:r w:rsidR="00E1709F">
              <w:t xml:space="preserve"> būtisku ietekmi uz finansējumu</w:t>
            </w:r>
            <w:r w:rsidR="00E1709F" w:rsidRPr="00E1709F">
              <w:t>.</w:t>
            </w:r>
            <w:r w:rsidR="00EA4702">
              <w:t xml:space="preserve"> </w:t>
            </w:r>
            <w:r w:rsidR="00EA4702" w:rsidRPr="00EA4702">
              <w:t>Veicot steidzamās medicīniskās palīdzības punktu (SMPP) finansējuma aprēķinus 2019.gadam, slodžu apj</w:t>
            </w:r>
            <w:r w:rsidR="00EA4702">
              <w:t>oms pārskatīts un noteikts precī</w:t>
            </w:r>
            <w:r w:rsidR="00EA4702" w:rsidRPr="00EA4702">
              <w:t xml:space="preserve">zāks, ņemot vērā SMPP darba laiku un atalgojumu pakalpojumu apmaksai par darbu dienas, nakts un svētku  dienās. </w:t>
            </w:r>
          </w:p>
        </w:tc>
      </w:tr>
      <w:tr w:rsidR="00130487" w:rsidRPr="002570DF" w:rsidTr="0079260F">
        <w:tc>
          <w:tcPr>
            <w:tcW w:w="568" w:type="dxa"/>
          </w:tcPr>
          <w:p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lastRenderedPageBreak/>
              <w:t>3.</w:t>
            </w:r>
          </w:p>
        </w:tc>
        <w:tc>
          <w:tcPr>
            <w:tcW w:w="1559" w:type="dxa"/>
          </w:tcPr>
          <w:p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Projekta izstrādē iesaistītās institūcijas un publiskas </w:t>
            </w:r>
            <w:r w:rsidRPr="002570DF">
              <w:rPr>
                <w:rFonts w:ascii="Times New Roman" w:hAnsi="Times New Roman" w:cs="Times New Roman"/>
                <w:iCs/>
                <w:sz w:val="24"/>
                <w:szCs w:val="24"/>
                <w:lang w:eastAsia="lv-LV"/>
              </w:rPr>
              <w:lastRenderedPageBreak/>
              <w:t>personas kapitālsabiedrības</w:t>
            </w:r>
          </w:p>
        </w:tc>
        <w:tc>
          <w:tcPr>
            <w:tcW w:w="7229" w:type="dxa"/>
          </w:tcPr>
          <w:p w:rsidR="00130487" w:rsidRPr="002570DF" w:rsidRDefault="003767D2" w:rsidP="003767D2">
            <w:pPr>
              <w:pStyle w:val="NoSpacing"/>
              <w:ind w:firstLine="311"/>
              <w:jc w:val="both"/>
              <w:rPr>
                <w:rFonts w:ascii="Times New Roman" w:hAnsi="Times New Roman" w:cs="Times New Roman"/>
                <w:sz w:val="24"/>
                <w:szCs w:val="24"/>
                <w:lang w:eastAsia="lv-LV"/>
              </w:rPr>
            </w:pPr>
            <w:r w:rsidRPr="003767D2">
              <w:rPr>
                <w:rFonts w:ascii="Times New Roman" w:hAnsi="Times New Roman" w:cs="Times New Roman"/>
                <w:sz w:val="24"/>
                <w:szCs w:val="24"/>
                <w:lang w:eastAsia="lv-LV"/>
              </w:rPr>
              <w:lastRenderedPageBreak/>
              <w:t>Projekts šo jomu neskar.</w:t>
            </w:r>
          </w:p>
        </w:tc>
      </w:tr>
      <w:tr w:rsidR="00130487" w:rsidRPr="002570DF" w:rsidTr="0079260F">
        <w:tc>
          <w:tcPr>
            <w:tcW w:w="568" w:type="dxa"/>
          </w:tcPr>
          <w:p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4.</w:t>
            </w:r>
          </w:p>
        </w:tc>
        <w:tc>
          <w:tcPr>
            <w:tcW w:w="1559" w:type="dxa"/>
          </w:tcPr>
          <w:p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Cita informācija</w:t>
            </w:r>
          </w:p>
        </w:tc>
        <w:tc>
          <w:tcPr>
            <w:tcW w:w="7229" w:type="dxa"/>
          </w:tcPr>
          <w:p w:rsidR="00130487" w:rsidRPr="002570DF" w:rsidRDefault="006335C0" w:rsidP="006335C0">
            <w:pPr>
              <w:pStyle w:val="NoSpacing"/>
              <w:jc w:val="both"/>
              <w:rPr>
                <w:rFonts w:ascii="Times New Roman" w:hAnsi="Times New Roman" w:cs="Times New Roman"/>
                <w:sz w:val="24"/>
                <w:szCs w:val="24"/>
                <w:lang w:eastAsia="lv-LV"/>
              </w:rPr>
            </w:pPr>
            <w:r w:rsidRPr="002570DF">
              <w:rPr>
                <w:rFonts w:ascii="Times New Roman" w:hAnsi="Times New Roman" w:cs="Times New Roman"/>
                <w:sz w:val="24"/>
                <w:szCs w:val="24"/>
                <w:lang w:eastAsia="lv-LV"/>
              </w:rPr>
              <w:t>Nav</w:t>
            </w:r>
          </w:p>
        </w:tc>
      </w:tr>
    </w:tbl>
    <w:p w:rsidR="00EC6E12" w:rsidRDefault="00EC6E12" w:rsidP="00EC6E12">
      <w:pPr>
        <w:pStyle w:val="NoSpacing"/>
        <w:jc w:val="center"/>
        <w:rPr>
          <w:rFonts w:ascii="Times New Roman" w:hAnsi="Times New Roman" w:cs="Times New Roman"/>
          <w:sz w:val="24"/>
          <w:szCs w:val="24"/>
          <w:lang w:eastAsia="lv-LV"/>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78"/>
        <w:gridCol w:w="6128"/>
      </w:tblGrid>
      <w:tr w:rsidR="000736BA" w:rsidTr="000736BA">
        <w:trPr>
          <w:trHeight w:val="555"/>
        </w:trPr>
        <w:tc>
          <w:tcPr>
            <w:tcW w:w="5000" w:type="pct"/>
            <w:gridSpan w:val="3"/>
            <w:hideMark/>
          </w:tcPr>
          <w:p w:rsidR="000736BA" w:rsidRPr="003F7F9C" w:rsidRDefault="000736BA" w:rsidP="001B4A4B">
            <w:pPr>
              <w:spacing w:before="100" w:beforeAutospacing="1" w:after="100" w:afterAutospacing="1"/>
              <w:ind w:firstLine="272"/>
              <w:jc w:val="center"/>
              <w:rPr>
                <w:b/>
                <w:bCs/>
              </w:rPr>
            </w:pPr>
            <w:r w:rsidRPr="003F7F9C">
              <w:rPr>
                <w:b/>
                <w:bCs/>
              </w:rPr>
              <w:t>II. Tiesību akta projekta ietekme uz sabiedrību, tautsaimniecības attīstību un administratīvo slogu</w:t>
            </w:r>
          </w:p>
        </w:tc>
      </w:tr>
      <w:tr w:rsidR="000736BA" w:rsidTr="000736BA">
        <w:trPr>
          <w:trHeight w:val="465"/>
        </w:trPr>
        <w:tc>
          <w:tcPr>
            <w:tcW w:w="294" w:type="pct"/>
            <w:hideMark/>
          </w:tcPr>
          <w:p w:rsidR="000736BA" w:rsidRPr="003F7F9C" w:rsidRDefault="000736BA" w:rsidP="001B4A4B">
            <w:r w:rsidRPr="003F7F9C">
              <w:t>1.</w:t>
            </w:r>
          </w:p>
        </w:tc>
        <w:tc>
          <w:tcPr>
            <w:tcW w:w="1431" w:type="pct"/>
            <w:hideMark/>
          </w:tcPr>
          <w:p w:rsidR="000736BA" w:rsidRPr="003F7F9C" w:rsidRDefault="000736BA" w:rsidP="001B4A4B">
            <w:r w:rsidRPr="003F7F9C">
              <w:t>Sabiedrības mērķgrupas, kuras tiesiskais regulējums ietekmē vai varētu ietekmēt</w:t>
            </w:r>
          </w:p>
        </w:tc>
        <w:tc>
          <w:tcPr>
            <w:tcW w:w="3275" w:type="pct"/>
            <w:hideMark/>
          </w:tcPr>
          <w:p w:rsidR="000736BA" w:rsidRPr="003F7F9C" w:rsidRDefault="003767D2" w:rsidP="002C0906">
            <w:pPr>
              <w:ind w:firstLine="350"/>
              <w:jc w:val="both"/>
              <w:rPr>
                <w:bCs/>
              </w:rPr>
            </w:pPr>
            <w:r>
              <w:t>N</w:t>
            </w:r>
            <w:r w:rsidRPr="003767D2">
              <w:t>oteikumu projekts ietekmē ārstniecības iestādes un ārstniecības personas, kas noslēgušas un kuras noslēgs līgumus par valsts apmaksātu veselība</w:t>
            </w:r>
            <w:r>
              <w:t>s aprūpes pakalpojumu sniegšanu</w:t>
            </w:r>
            <w:r w:rsidR="005F42D4" w:rsidRPr="005F42D4">
              <w:t xml:space="preserve">, </w:t>
            </w:r>
            <w:r>
              <w:t xml:space="preserve">kā arī </w:t>
            </w:r>
            <w:r w:rsidR="005F42D4" w:rsidRPr="005F42D4">
              <w:t>Nacionālais veselības dienests.</w:t>
            </w:r>
          </w:p>
        </w:tc>
      </w:tr>
      <w:tr w:rsidR="000736BA" w:rsidTr="000736BA">
        <w:trPr>
          <w:trHeight w:val="510"/>
        </w:trPr>
        <w:tc>
          <w:tcPr>
            <w:tcW w:w="294" w:type="pct"/>
            <w:hideMark/>
          </w:tcPr>
          <w:p w:rsidR="000736BA" w:rsidRPr="003F7F9C" w:rsidRDefault="000736BA" w:rsidP="001B4A4B">
            <w:r w:rsidRPr="003F7F9C">
              <w:t>2.</w:t>
            </w:r>
          </w:p>
        </w:tc>
        <w:tc>
          <w:tcPr>
            <w:tcW w:w="1431" w:type="pct"/>
            <w:hideMark/>
          </w:tcPr>
          <w:p w:rsidR="000736BA" w:rsidRPr="003F7F9C" w:rsidRDefault="000736BA" w:rsidP="001B4A4B">
            <w:r w:rsidRPr="003F7F9C">
              <w:t>Tiesiskā regulējuma ietekme uz tautsaimniecību un administratīvo slogu</w:t>
            </w:r>
          </w:p>
        </w:tc>
        <w:tc>
          <w:tcPr>
            <w:tcW w:w="3275" w:type="pct"/>
            <w:hideMark/>
          </w:tcPr>
          <w:p w:rsidR="000736BA" w:rsidRPr="003F7F9C" w:rsidRDefault="000736BA" w:rsidP="002C0906">
            <w:pPr>
              <w:ind w:firstLine="350"/>
              <w:jc w:val="both"/>
            </w:pPr>
            <w:r w:rsidRPr="003F7F9C">
              <w:t>Tiesiskajam regulējumam nav ietekmes uz tautsaimniecību un administratīvo slogu.</w:t>
            </w:r>
          </w:p>
          <w:p w:rsidR="000736BA" w:rsidRPr="003F7F9C" w:rsidRDefault="000736BA" w:rsidP="002C0906">
            <w:pPr>
              <w:ind w:firstLine="350"/>
              <w:jc w:val="both"/>
            </w:pPr>
          </w:p>
        </w:tc>
      </w:tr>
      <w:tr w:rsidR="000736BA" w:rsidTr="000736BA">
        <w:trPr>
          <w:trHeight w:val="510"/>
        </w:trPr>
        <w:tc>
          <w:tcPr>
            <w:tcW w:w="294" w:type="pct"/>
            <w:hideMark/>
          </w:tcPr>
          <w:p w:rsidR="000736BA" w:rsidRPr="003F7F9C" w:rsidRDefault="000736BA" w:rsidP="001B4A4B">
            <w:r w:rsidRPr="003F7F9C">
              <w:t>3.</w:t>
            </w:r>
          </w:p>
        </w:tc>
        <w:tc>
          <w:tcPr>
            <w:tcW w:w="1431" w:type="pct"/>
            <w:hideMark/>
          </w:tcPr>
          <w:p w:rsidR="000736BA" w:rsidRPr="00E977E1" w:rsidRDefault="000736BA" w:rsidP="001B4A4B">
            <w:r w:rsidRPr="00E977E1">
              <w:t>Administratīvo izmaksu monetārs novērtējums</w:t>
            </w:r>
          </w:p>
        </w:tc>
        <w:tc>
          <w:tcPr>
            <w:tcW w:w="3275" w:type="pct"/>
            <w:hideMark/>
          </w:tcPr>
          <w:p w:rsidR="000736BA" w:rsidRPr="00E977E1" w:rsidRDefault="000736BA" w:rsidP="001B4A4B">
            <w:r w:rsidRPr="00E977E1">
              <w:t>Projekts šo jomu neskar.</w:t>
            </w:r>
          </w:p>
          <w:p w:rsidR="000736BA" w:rsidRPr="00E977E1" w:rsidRDefault="000736BA" w:rsidP="001B4A4B"/>
        </w:tc>
      </w:tr>
      <w:tr w:rsidR="000736BA" w:rsidTr="000736BA">
        <w:trPr>
          <w:trHeight w:val="345"/>
        </w:trPr>
        <w:tc>
          <w:tcPr>
            <w:tcW w:w="294" w:type="pct"/>
            <w:hideMark/>
          </w:tcPr>
          <w:p w:rsidR="000736BA" w:rsidRPr="003F7F9C" w:rsidRDefault="000736BA" w:rsidP="001B4A4B">
            <w:r w:rsidRPr="003F7F9C">
              <w:t>4.</w:t>
            </w:r>
          </w:p>
        </w:tc>
        <w:tc>
          <w:tcPr>
            <w:tcW w:w="1431" w:type="pct"/>
            <w:hideMark/>
          </w:tcPr>
          <w:p w:rsidR="000736BA" w:rsidRPr="003F7F9C" w:rsidRDefault="000736BA" w:rsidP="001B4A4B">
            <w:r w:rsidRPr="000736BA">
              <w:t>Atbilstības izmaksu monetārs novērtējums</w:t>
            </w:r>
          </w:p>
        </w:tc>
        <w:tc>
          <w:tcPr>
            <w:tcW w:w="3275" w:type="pct"/>
            <w:hideMark/>
          </w:tcPr>
          <w:p w:rsidR="000736BA" w:rsidRPr="003F7F9C" w:rsidRDefault="00E85D84" w:rsidP="00E85D84">
            <w:r w:rsidRPr="00E977E1">
              <w:t>Projekts šo jomu neskar.</w:t>
            </w:r>
          </w:p>
        </w:tc>
      </w:tr>
      <w:tr w:rsidR="000736BA" w:rsidTr="000736BA">
        <w:trPr>
          <w:trHeight w:val="345"/>
        </w:trPr>
        <w:tc>
          <w:tcPr>
            <w:tcW w:w="294" w:type="pct"/>
          </w:tcPr>
          <w:p w:rsidR="000736BA" w:rsidRPr="003F7F9C" w:rsidRDefault="000736BA" w:rsidP="001B4A4B"/>
        </w:tc>
        <w:tc>
          <w:tcPr>
            <w:tcW w:w="1431" w:type="pct"/>
          </w:tcPr>
          <w:p w:rsidR="000736BA" w:rsidRPr="003F7F9C" w:rsidRDefault="000736BA" w:rsidP="001B4A4B">
            <w:r w:rsidRPr="003F7F9C">
              <w:t>Cita informācija</w:t>
            </w:r>
          </w:p>
        </w:tc>
        <w:tc>
          <w:tcPr>
            <w:tcW w:w="3275" w:type="pct"/>
          </w:tcPr>
          <w:p w:rsidR="000736BA" w:rsidRPr="003F7F9C" w:rsidRDefault="000736BA" w:rsidP="001B4A4B">
            <w:pPr>
              <w:spacing w:before="100" w:beforeAutospacing="1" w:after="100" w:afterAutospacing="1" w:line="360" w:lineRule="auto"/>
            </w:pPr>
            <w:r w:rsidRPr="003F7F9C">
              <w:t>Nav</w:t>
            </w:r>
          </w:p>
        </w:tc>
      </w:tr>
    </w:tbl>
    <w:p w:rsidR="00842AD1" w:rsidRPr="002570DF"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RPr="002570DF" w:rsidTr="006936E5">
        <w:tc>
          <w:tcPr>
            <w:tcW w:w="9356" w:type="dxa"/>
            <w:gridSpan w:val="8"/>
          </w:tcPr>
          <w:p w:rsidR="00842AD1" w:rsidRPr="002570DF" w:rsidRDefault="00842AD1" w:rsidP="00842AD1">
            <w:pPr>
              <w:pStyle w:val="NoSpacing"/>
              <w:jc w:val="center"/>
              <w:rPr>
                <w:rFonts w:ascii="Times New Roman" w:hAnsi="Times New Roman" w:cs="Times New Roman"/>
                <w:b/>
                <w:iCs/>
                <w:sz w:val="24"/>
                <w:szCs w:val="24"/>
                <w:lang w:eastAsia="lv-LV"/>
              </w:rPr>
            </w:pPr>
            <w:r w:rsidRPr="002570DF">
              <w:rPr>
                <w:rFonts w:ascii="Times New Roman" w:hAnsi="Times New Roman" w:cs="Times New Roman"/>
                <w:b/>
                <w:iCs/>
                <w:sz w:val="24"/>
                <w:szCs w:val="24"/>
                <w:lang w:eastAsia="lv-LV"/>
              </w:rPr>
              <w:t>III. Tiesību akta projekta ietekme uz valsts budžetu un pašvaldību budžetiem</w:t>
            </w:r>
          </w:p>
        </w:tc>
      </w:tr>
      <w:tr w:rsidR="00842AD1" w:rsidRPr="002570DF" w:rsidTr="006936E5">
        <w:tc>
          <w:tcPr>
            <w:tcW w:w="1702" w:type="dxa"/>
            <w:vMerge w:val="restart"/>
          </w:tcPr>
          <w:p w:rsidR="00842AD1" w:rsidRPr="002570DF" w:rsidRDefault="00842AD1"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Rādītāji</w:t>
            </w:r>
          </w:p>
        </w:tc>
        <w:tc>
          <w:tcPr>
            <w:tcW w:w="2260" w:type="dxa"/>
            <w:gridSpan w:val="2"/>
            <w:vMerge w:val="restart"/>
          </w:tcPr>
          <w:p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2018. gads</w:t>
            </w:r>
          </w:p>
        </w:tc>
        <w:tc>
          <w:tcPr>
            <w:tcW w:w="5394" w:type="dxa"/>
            <w:gridSpan w:val="5"/>
          </w:tcPr>
          <w:p w:rsidR="00842AD1" w:rsidRPr="002570DF" w:rsidRDefault="00842AD1"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Turpmākie trīs gadi (</w:t>
            </w:r>
            <w:r w:rsidR="00C33C43" w:rsidRPr="002570DF">
              <w:rPr>
                <w:rFonts w:ascii="Times New Roman" w:hAnsi="Times New Roman" w:cs="Times New Roman"/>
                <w:i/>
                <w:iCs/>
                <w:sz w:val="24"/>
                <w:szCs w:val="24"/>
                <w:lang w:eastAsia="lv-LV"/>
              </w:rPr>
              <w:t>euro</w:t>
            </w:r>
            <w:r w:rsidRPr="002570DF">
              <w:rPr>
                <w:rFonts w:ascii="Times New Roman" w:hAnsi="Times New Roman" w:cs="Times New Roman"/>
                <w:iCs/>
                <w:sz w:val="24"/>
                <w:szCs w:val="24"/>
                <w:lang w:eastAsia="lv-LV"/>
              </w:rPr>
              <w:t>)</w:t>
            </w:r>
          </w:p>
        </w:tc>
      </w:tr>
      <w:tr w:rsidR="00842AD1" w:rsidRPr="002570DF" w:rsidTr="006936E5">
        <w:tc>
          <w:tcPr>
            <w:tcW w:w="1702" w:type="dxa"/>
            <w:vMerge/>
          </w:tcPr>
          <w:p w:rsidR="00842AD1" w:rsidRPr="002570DF"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Pr="002570DF"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2019. gads</w:t>
            </w:r>
          </w:p>
        </w:tc>
        <w:tc>
          <w:tcPr>
            <w:tcW w:w="1984" w:type="dxa"/>
            <w:gridSpan w:val="2"/>
          </w:tcPr>
          <w:p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2020. gads</w:t>
            </w:r>
          </w:p>
        </w:tc>
        <w:tc>
          <w:tcPr>
            <w:tcW w:w="1276" w:type="dxa"/>
          </w:tcPr>
          <w:p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2021. gads</w:t>
            </w:r>
          </w:p>
        </w:tc>
      </w:tr>
      <w:tr w:rsidR="006E71F7" w:rsidRPr="002570DF" w:rsidTr="006936E5">
        <w:tc>
          <w:tcPr>
            <w:tcW w:w="1702" w:type="dxa"/>
            <w:vMerge/>
          </w:tcPr>
          <w:p w:rsidR="00842AD1" w:rsidRPr="002570DF" w:rsidRDefault="00842AD1" w:rsidP="00EC6E12">
            <w:pPr>
              <w:pStyle w:val="NoSpacing"/>
              <w:rPr>
                <w:rFonts w:ascii="Times New Roman" w:hAnsi="Times New Roman" w:cs="Times New Roman"/>
                <w:iCs/>
                <w:sz w:val="24"/>
                <w:szCs w:val="24"/>
                <w:lang w:eastAsia="lv-LV"/>
              </w:rPr>
            </w:pPr>
          </w:p>
        </w:tc>
        <w:tc>
          <w:tcPr>
            <w:tcW w:w="992" w:type="dxa"/>
          </w:tcPr>
          <w:p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valsts budžetu kārtējam gadam</w:t>
            </w:r>
          </w:p>
        </w:tc>
        <w:tc>
          <w:tcPr>
            <w:tcW w:w="1268" w:type="dxa"/>
          </w:tcPr>
          <w:p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vidēja termiņa budžeta ietvaru</w:t>
            </w:r>
          </w:p>
        </w:tc>
        <w:tc>
          <w:tcPr>
            <w:tcW w:w="1134" w:type="dxa"/>
          </w:tcPr>
          <w:p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salīdzi</w:t>
            </w:r>
            <w:r w:rsidR="006E71F7" w:rsidRPr="002570DF">
              <w:rPr>
                <w:rFonts w:ascii="Times New Roman" w:hAnsi="Times New Roman" w:cs="Times New Roman"/>
                <w:iCs/>
                <w:sz w:val="24"/>
                <w:szCs w:val="24"/>
                <w:lang w:eastAsia="lv-LV"/>
              </w:rPr>
              <w:t>-</w:t>
            </w:r>
          </w:p>
          <w:p w:rsidR="00842AD1" w:rsidRPr="002570DF" w:rsidRDefault="00842AD1" w:rsidP="00037CA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not ar vidēja termiņa budžeta ietvaru </w:t>
            </w:r>
            <w:r w:rsidR="00037CA6" w:rsidRPr="002570DF">
              <w:rPr>
                <w:rFonts w:ascii="Times New Roman" w:hAnsi="Times New Roman" w:cs="Times New Roman"/>
                <w:iCs/>
                <w:sz w:val="24"/>
                <w:szCs w:val="24"/>
                <w:lang w:eastAsia="lv-LV"/>
              </w:rPr>
              <w:t>2019.</w:t>
            </w:r>
            <w:r w:rsidRPr="002570DF">
              <w:rPr>
                <w:rFonts w:ascii="Times New Roman" w:hAnsi="Times New Roman" w:cs="Times New Roman"/>
                <w:iCs/>
                <w:sz w:val="24"/>
                <w:szCs w:val="24"/>
                <w:lang w:eastAsia="lv-LV"/>
              </w:rPr>
              <w:t xml:space="preserve"> gadam</w:t>
            </w:r>
          </w:p>
        </w:tc>
        <w:tc>
          <w:tcPr>
            <w:tcW w:w="992" w:type="dxa"/>
          </w:tcPr>
          <w:p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vidēja termiņa budžeta ietvaru</w:t>
            </w:r>
          </w:p>
        </w:tc>
        <w:tc>
          <w:tcPr>
            <w:tcW w:w="992" w:type="dxa"/>
          </w:tcPr>
          <w:p w:rsidR="00037CA6" w:rsidRPr="002570DF" w:rsidRDefault="00037CA6"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w:t>
            </w:r>
            <w:r w:rsidR="00842AD1" w:rsidRPr="002570DF">
              <w:rPr>
                <w:rFonts w:ascii="Times New Roman" w:hAnsi="Times New Roman" w:cs="Times New Roman"/>
                <w:iCs/>
                <w:sz w:val="24"/>
                <w:szCs w:val="24"/>
                <w:lang w:eastAsia="lv-LV"/>
              </w:rPr>
              <w:t>zmai</w:t>
            </w:r>
            <w:r w:rsidRPr="002570DF">
              <w:rPr>
                <w:rFonts w:ascii="Times New Roman" w:hAnsi="Times New Roman" w:cs="Times New Roman"/>
                <w:iCs/>
                <w:sz w:val="24"/>
                <w:szCs w:val="24"/>
                <w:lang w:eastAsia="lv-LV"/>
              </w:rPr>
              <w:t>-</w:t>
            </w:r>
          </w:p>
          <w:p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ņas, salīdzi</w:t>
            </w:r>
            <w:r w:rsidR="006E71F7" w:rsidRPr="002570DF">
              <w:rPr>
                <w:rFonts w:ascii="Times New Roman" w:hAnsi="Times New Roman" w:cs="Times New Roman"/>
                <w:iCs/>
                <w:sz w:val="24"/>
                <w:szCs w:val="24"/>
                <w:lang w:eastAsia="lv-LV"/>
              </w:rPr>
              <w:t>-</w:t>
            </w:r>
          </w:p>
          <w:p w:rsidR="00842AD1" w:rsidRPr="002570DF" w:rsidRDefault="00842AD1" w:rsidP="00037CA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not ar vidēja termiņa budžeta ietvaru </w:t>
            </w:r>
            <w:r w:rsidR="00037CA6" w:rsidRPr="002570DF">
              <w:rPr>
                <w:rFonts w:ascii="Times New Roman" w:hAnsi="Times New Roman" w:cs="Times New Roman"/>
                <w:iCs/>
                <w:sz w:val="24"/>
                <w:szCs w:val="24"/>
                <w:lang w:eastAsia="lv-LV"/>
              </w:rPr>
              <w:t>2020.</w:t>
            </w:r>
            <w:r w:rsidRPr="002570DF">
              <w:rPr>
                <w:rFonts w:ascii="Times New Roman" w:hAnsi="Times New Roman" w:cs="Times New Roman"/>
                <w:iCs/>
                <w:sz w:val="24"/>
                <w:szCs w:val="24"/>
                <w:lang w:eastAsia="lv-LV"/>
              </w:rPr>
              <w:t xml:space="preserve"> gadam</w:t>
            </w:r>
          </w:p>
        </w:tc>
        <w:tc>
          <w:tcPr>
            <w:tcW w:w="1276" w:type="dxa"/>
          </w:tcPr>
          <w:p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salīdzi</w:t>
            </w:r>
            <w:r w:rsidR="006E71F7" w:rsidRPr="002570DF">
              <w:rPr>
                <w:rFonts w:ascii="Times New Roman" w:hAnsi="Times New Roman" w:cs="Times New Roman"/>
                <w:iCs/>
                <w:sz w:val="24"/>
                <w:szCs w:val="24"/>
                <w:lang w:eastAsia="lv-LV"/>
              </w:rPr>
              <w:t>-</w:t>
            </w:r>
          </w:p>
          <w:p w:rsidR="00842AD1" w:rsidRPr="002570DF" w:rsidRDefault="00842AD1" w:rsidP="00037CA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not ar vidēja termiņa budžeta ietvaru </w:t>
            </w:r>
            <w:r w:rsidR="00037CA6" w:rsidRPr="002570DF">
              <w:rPr>
                <w:rFonts w:ascii="Times New Roman" w:hAnsi="Times New Roman" w:cs="Times New Roman"/>
                <w:iCs/>
                <w:sz w:val="24"/>
                <w:szCs w:val="24"/>
                <w:lang w:eastAsia="lv-LV"/>
              </w:rPr>
              <w:t>2021.</w:t>
            </w:r>
            <w:r w:rsidRPr="002570DF">
              <w:rPr>
                <w:rFonts w:ascii="Times New Roman" w:hAnsi="Times New Roman" w:cs="Times New Roman"/>
                <w:iCs/>
                <w:sz w:val="24"/>
                <w:szCs w:val="24"/>
                <w:lang w:eastAsia="lv-LV"/>
              </w:rPr>
              <w:t xml:space="preserve"> gadam</w:t>
            </w:r>
          </w:p>
        </w:tc>
      </w:tr>
      <w:tr w:rsidR="006E71F7" w:rsidRPr="002570DF" w:rsidTr="006936E5">
        <w:tc>
          <w:tcPr>
            <w:tcW w:w="1702"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w:t>
            </w:r>
          </w:p>
        </w:tc>
        <w:tc>
          <w:tcPr>
            <w:tcW w:w="992"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w:t>
            </w:r>
          </w:p>
        </w:tc>
        <w:tc>
          <w:tcPr>
            <w:tcW w:w="1268"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w:t>
            </w:r>
          </w:p>
        </w:tc>
        <w:tc>
          <w:tcPr>
            <w:tcW w:w="1000"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4</w:t>
            </w:r>
          </w:p>
        </w:tc>
        <w:tc>
          <w:tcPr>
            <w:tcW w:w="1134"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w:t>
            </w:r>
          </w:p>
        </w:tc>
        <w:tc>
          <w:tcPr>
            <w:tcW w:w="992"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w:t>
            </w:r>
          </w:p>
        </w:tc>
        <w:tc>
          <w:tcPr>
            <w:tcW w:w="992"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7</w:t>
            </w:r>
          </w:p>
        </w:tc>
        <w:tc>
          <w:tcPr>
            <w:tcW w:w="1276" w:type="dxa"/>
            <w:vAlign w:val="center"/>
          </w:tcPr>
          <w:p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8</w:t>
            </w:r>
          </w:p>
        </w:tc>
      </w:tr>
      <w:tr w:rsidR="00922C44" w:rsidRPr="002570DF" w:rsidTr="00504DA6">
        <w:tc>
          <w:tcPr>
            <w:tcW w:w="1702" w:type="dxa"/>
            <w:vAlign w:val="center"/>
          </w:tcPr>
          <w:p w:rsidR="00922C44" w:rsidRPr="00922C44" w:rsidRDefault="00922C44" w:rsidP="00922C44">
            <w:pPr>
              <w:pStyle w:val="NoSpacing"/>
              <w:jc w:val="both"/>
              <w:rPr>
                <w:rFonts w:ascii="Times New Roman" w:hAnsi="Times New Roman" w:cs="Times New Roman"/>
                <w:iCs/>
                <w:sz w:val="24"/>
                <w:szCs w:val="24"/>
                <w:lang w:eastAsia="lv-LV"/>
              </w:rPr>
            </w:pPr>
            <w:r w:rsidRPr="00922C44">
              <w:rPr>
                <w:rFonts w:ascii="Times New Roman" w:hAnsi="Times New Roman" w:cs="Times New Roman"/>
                <w:iCs/>
                <w:sz w:val="24"/>
                <w:szCs w:val="24"/>
                <w:lang w:eastAsia="lv-LV"/>
              </w:rPr>
              <w:t>1. Budžeta ieņēmumi</w:t>
            </w:r>
          </w:p>
        </w:tc>
        <w:tc>
          <w:tcPr>
            <w:tcW w:w="992" w:type="dxa"/>
          </w:tcPr>
          <w:p w:rsidR="00922C44" w:rsidRPr="00922C44" w:rsidRDefault="002F4B2C" w:rsidP="00922C44">
            <w:pPr>
              <w:pStyle w:val="NoSpacing"/>
              <w:rPr>
                <w:b/>
                <w:bCs/>
                <w:iCs/>
              </w:rPr>
            </w:pPr>
            <w:r w:rsidRPr="002F4B2C">
              <w:rPr>
                <w:b/>
                <w:bCs/>
                <w:iCs/>
              </w:rPr>
              <w:t>702 877 303</w:t>
            </w:r>
          </w:p>
        </w:tc>
        <w:tc>
          <w:tcPr>
            <w:tcW w:w="1268" w:type="dxa"/>
          </w:tcPr>
          <w:p w:rsidR="00922C44" w:rsidRPr="00922C44" w:rsidRDefault="00922C44" w:rsidP="00922C44">
            <w:pPr>
              <w:pStyle w:val="NoSpacing"/>
              <w:rPr>
                <w:b/>
                <w:bCs/>
                <w:iCs/>
              </w:rPr>
            </w:pPr>
            <w:r w:rsidRPr="00922C44">
              <w:rPr>
                <w:b/>
                <w:bCs/>
                <w:iCs/>
              </w:rPr>
              <w:t>0</w:t>
            </w:r>
          </w:p>
        </w:tc>
        <w:tc>
          <w:tcPr>
            <w:tcW w:w="1000" w:type="dxa"/>
            <w:tcBorders>
              <w:top w:val="nil"/>
              <w:left w:val="nil"/>
              <w:bottom w:val="single" w:sz="8" w:space="0" w:color="auto"/>
              <w:right w:val="single" w:sz="8" w:space="0" w:color="auto"/>
            </w:tcBorders>
            <w:shd w:val="clear" w:color="auto" w:fill="auto"/>
            <w:vAlign w:val="center"/>
          </w:tcPr>
          <w:p w:rsidR="00922C44" w:rsidRPr="00922C44" w:rsidRDefault="002F4B2C" w:rsidP="00922C44">
            <w:pPr>
              <w:rPr>
                <w:rFonts w:ascii="Calibri" w:hAnsi="Calibri" w:cs="Calibri"/>
                <w:b/>
                <w:sz w:val="22"/>
                <w:szCs w:val="22"/>
              </w:rPr>
            </w:pPr>
            <w:r w:rsidRPr="002F4B2C">
              <w:rPr>
                <w:rFonts w:ascii="Calibri" w:hAnsi="Calibri" w:cs="Calibri"/>
                <w:b/>
                <w:bCs/>
                <w:iCs/>
                <w:sz w:val="22"/>
                <w:szCs w:val="22"/>
              </w:rPr>
              <w:t>551 124 135</w:t>
            </w:r>
          </w:p>
        </w:tc>
        <w:tc>
          <w:tcPr>
            <w:tcW w:w="1134" w:type="dxa"/>
          </w:tcPr>
          <w:p w:rsidR="00922C44" w:rsidRPr="00922C44" w:rsidRDefault="00922C44" w:rsidP="00922C44">
            <w:pPr>
              <w:pStyle w:val="NoSpacing"/>
              <w:rPr>
                <w:b/>
                <w:bCs/>
                <w:iCs/>
              </w:rPr>
            </w:pPr>
            <w:r w:rsidRPr="00922C44">
              <w:rPr>
                <w:b/>
                <w:bCs/>
                <w:iCs/>
              </w:rPr>
              <w:t>0</w:t>
            </w:r>
          </w:p>
        </w:tc>
        <w:tc>
          <w:tcPr>
            <w:tcW w:w="992" w:type="dxa"/>
            <w:vAlign w:val="center"/>
          </w:tcPr>
          <w:p w:rsidR="00922C44" w:rsidRPr="00922C44" w:rsidRDefault="002F4B2C" w:rsidP="00922C44">
            <w:pPr>
              <w:rPr>
                <w:rFonts w:ascii="Calibri" w:hAnsi="Calibri" w:cs="Calibri"/>
                <w:b/>
                <w:sz w:val="22"/>
                <w:szCs w:val="22"/>
              </w:rPr>
            </w:pPr>
            <w:r w:rsidRPr="002F4B2C">
              <w:rPr>
                <w:rFonts w:ascii="Calibri" w:hAnsi="Calibri" w:cs="Calibri"/>
                <w:b/>
                <w:bCs/>
                <w:iCs/>
                <w:sz w:val="22"/>
                <w:szCs w:val="22"/>
              </w:rPr>
              <w:t>551 124 135</w:t>
            </w:r>
          </w:p>
        </w:tc>
        <w:tc>
          <w:tcPr>
            <w:tcW w:w="992" w:type="dxa"/>
          </w:tcPr>
          <w:p w:rsidR="00922C44" w:rsidRPr="00922C44" w:rsidRDefault="00922C44" w:rsidP="00922C44">
            <w:pPr>
              <w:pStyle w:val="NoSpacing"/>
              <w:rPr>
                <w:b/>
                <w:bCs/>
                <w:iCs/>
              </w:rPr>
            </w:pPr>
            <w:r w:rsidRPr="00922C44">
              <w:rPr>
                <w:b/>
                <w:bCs/>
                <w:iCs/>
              </w:rPr>
              <w:t>0</w:t>
            </w:r>
          </w:p>
        </w:tc>
        <w:tc>
          <w:tcPr>
            <w:tcW w:w="1276" w:type="dxa"/>
          </w:tcPr>
          <w:p w:rsidR="00922C44" w:rsidRPr="00922C44" w:rsidRDefault="00922C44" w:rsidP="00922C44">
            <w:pPr>
              <w:pStyle w:val="NoSpacing"/>
              <w:rPr>
                <w:b/>
                <w:bCs/>
                <w:iCs/>
              </w:rPr>
            </w:pPr>
            <w:r w:rsidRPr="00922C44">
              <w:rPr>
                <w:b/>
                <w:bCs/>
                <w:iCs/>
              </w:rPr>
              <w:t>0</w:t>
            </w:r>
          </w:p>
        </w:tc>
      </w:tr>
      <w:tr w:rsidR="00922C44" w:rsidRPr="002570DF" w:rsidTr="00504DA6">
        <w:tc>
          <w:tcPr>
            <w:tcW w:w="1702" w:type="dxa"/>
            <w:vAlign w:val="center"/>
          </w:tcPr>
          <w:p w:rsidR="00922C44" w:rsidRPr="00922C44" w:rsidRDefault="00922C44" w:rsidP="00922C44">
            <w:pPr>
              <w:pStyle w:val="NoSpacing"/>
              <w:jc w:val="both"/>
              <w:rPr>
                <w:rFonts w:ascii="Times New Roman" w:hAnsi="Times New Roman" w:cs="Times New Roman"/>
                <w:iCs/>
                <w:sz w:val="24"/>
                <w:szCs w:val="24"/>
                <w:lang w:eastAsia="lv-LV"/>
              </w:rPr>
            </w:pPr>
            <w:r w:rsidRPr="00922C44">
              <w:rPr>
                <w:rFonts w:ascii="Times New Roman" w:hAnsi="Times New Roman" w:cs="Times New Roman"/>
                <w:iCs/>
                <w:sz w:val="24"/>
                <w:szCs w:val="24"/>
                <w:lang w:eastAsia="lv-LV"/>
              </w:rPr>
              <w:t>1.1. valsts pamatbudžets, tai skaitā ieņēmumi no maksas pakalpojumiem un citi pašu ieņēmumi</w:t>
            </w:r>
          </w:p>
        </w:tc>
        <w:tc>
          <w:tcPr>
            <w:tcW w:w="992" w:type="dxa"/>
          </w:tcPr>
          <w:p w:rsidR="00922C44" w:rsidRPr="00A2002A" w:rsidRDefault="002F4B2C" w:rsidP="00922C44">
            <w:pPr>
              <w:pStyle w:val="NoSpacing"/>
              <w:rPr>
                <w:bCs/>
                <w:iCs/>
              </w:rPr>
            </w:pPr>
            <w:r w:rsidRPr="002F4B2C">
              <w:rPr>
                <w:bCs/>
                <w:iCs/>
              </w:rPr>
              <w:t>702 877 303</w:t>
            </w:r>
          </w:p>
        </w:tc>
        <w:tc>
          <w:tcPr>
            <w:tcW w:w="1268" w:type="dxa"/>
          </w:tcPr>
          <w:p w:rsidR="00922C44" w:rsidRPr="00A2002A" w:rsidRDefault="00922C44" w:rsidP="00922C44">
            <w:pPr>
              <w:pStyle w:val="NoSpacing"/>
              <w:rPr>
                <w:bCs/>
                <w:iCs/>
              </w:rPr>
            </w:pPr>
            <w:r w:rsidRPr="00A2002A">
              <w:rPr>
                <w:bCs/>
                <w:iCs/>
              </w:rPr>
              <w:t>0</w:t>
            </w:r>
          </w:p>
        </w:tc>
        <w:tc>
          <w:tcPr>
            <w:tcW w:w="1000" w:type="dxa"/>
            <w:tcBorders>
              <w:top w:val="nil"/>
              <w:left w:val="nil"/>
              <w:bottom w:val="single" w:sz="8" w:space="0" w:color="auto"/>
              <w:right w:val="single" w:sz="8" w:space="0" w:color="auto"/>
            </w:tcBorders>
            <w:shd w:val="clear" w:color="auto" w:fill="auto"/>
            <w:vAlign w:val="center"/>
          </w:tcPr>
          <w:p w:rsidR="00922C44" w:rsidRDefault="002F4B2C" w:rsidP="00922C44">
            <w:pPr>
              <w:rPr>
                <w:rFonts w:ascii="Calibri" w:hAnsi="Calibri" w:cs="Calibri"/>
                <w:sz w:val="22"/>
                <w:szCs w:val="22"/>
              </w:rPr>
            </w:pPr>
            <w:r w:rsidRPr="002F4B2C">
              <w:rPr>
                <w:rFonts w:ascii="Calibri" w:hAnsi="Calibri" w:cs="Calibri"/>
                <w:bCs/>
                <w:iCs/>
                <w:sz w:val="22"/>
                <w:szCs w:val="22"/>
              </w:rPr>
              <w:t>551 124 135</w:t>
            </w:r>
          </w:p>
        </w:tc>
        <w:tc>
          <w:tcPr>
            <w:tcW w:w="1134" w:type="dxa"/>
          </w:tcPr>
          <w:p w:rsidR="00922C44" w:rsidRPr="00A2002A" w:rsidRDefault="00922C44" w:rsidP="00922C44">
            <w:pPr>
              <w:pStyle w:val="NoSpacing"/>
              <w:rPr>
                <w:bCs/>
                <w:iCs/>
              </w:rPr>
            </w:pPr>
            <w:r w:rsidRPr="00A2002A">
              <w:rPr>
                <w:bCs/>
                <w:iCs/>
              </w:rPr>
              <w:t>0</w:t>
            </w:r>
          </w:p>
        </w:tc>
        <w:tc>
          <w:tcPr>
            <w:tcW w:w="992" w:type="dxa"/>
            <w:vAlign w:val="center"/>
          </w:tcPr>
          <w:p w:rsidR="00922C44" w:rsidRDefault="002F4B2C" w:rsidP="00922C44">
            <w:pPr>
              <w:rPr>
                <w:rFonts w:ascii="Calibri" w:hAnsi="Calibri" w:cs="Calibri"/>
                <w:sz w:val="22"/>
                <w:szCs w:val="22"/>
              </w:rPr>
            </w:pPr>
            <w:r w:rsidRPr="002F4B2C">
              <w:rPr>
                <w:rFonts w:ascii="Calibri" w:hAnsi="Calibri" w:cs="Calibri"/>
                <w:bCs/>
                <w:iCs/>
                <w:sz w:val="22"/>
                <w:szCs w:val="22"/>
              </w:rPr>
              <w:t>551 124 135</w:t>
            </w:r>
          </w:p>
        </w:tc>
        <w:tc>
          <w:tcPr>
            <w:tcW w:w="992" w:type="dxa"/>
          </w:tcPr>
          <w:p w:rsidR="00922C44" w:rsidRPr="00A2002A" w:rsidRDefault="00922C44" w:rsidP="00922C44">
            <w:pPr>
              <w:pStyle w:val="NoSpacing"/>
              <w:rPr>
                <w:bCs/>
                <w:iCs/>
              </w:rPr>
            </w:pPr>
            <w:r w:rsidRPr="00A2002A">
              <w:rPr>
                <w:bCs/>
                <w:iCs/>
              </w:rPr>
              <w:t>0</w:t>
            </w:r>
          </w:p>
        </w:tc>
        <w:tc>
          <w:tcPr>
            <w:tcW w:w="1276" w:type="dxa"/>
          </w:tcPr>
          <w:p w:rsidR="00922C44" w:rsidRPr="00A2002A" w:rsidRDefault="00922C44" w:rsidP="00922C44">
            <w:pPr>
              <w:pStyle w:val="NoSpacing"/>
              <w:rPr>
                <w:bCs/>
                <w:iCs/>
              </w:rPr>
            </w:pPr>
            <w:r w:rsidRPr="00A2002A">
              <w:rPr>
                <w:bCs/>
                <w:iCs/>
              </w:rPr>
              <w:t>0</w:t>
            </w:r>
          </w:p>
        </w:tc>
      </w:tr>
      <w:tr w:rsidR="00922C44" w:rsidRPr="002570DF" w:rsidTr="00504DA6">
        <w:tc>
          <w:tcPr>
            <w:tcW w:w="1702" w:type="dxa"/>
            <w:vAlign w:val="center"/>
          </w:tcPr>
          <w:p w:rsidR="00922C44" w:rsidRPr="002570DF" w:rsidRDefault="00922C44" w:rsidP="00922C44">
            <w:pPr>
              <w:pStyle w:val="NoSpacing"/>
              <w:jc w:val="both"/>
              <w:rPr>
                <w:rFonts w:ascii="Times New Roman" w:hAnsi="Times New Roman" w:cs="Times New Roman"/>
                <w:iCs/>
                <w:sz w:val="24"/>
                <w:szCs w:val="24"/>
                <w:lang w:eastAsia="lv-LV"/>
              </w:rPr>
            </w:pPr>
            <w:r w:rsidRPr="00E83F90">
              <w:rPr>
                <w:rFonts w:ascii="Times New Roman" w:hAnsi="Times New Roman" w:cs="Times New Roman"/>
                <w:iCs/>
                <w:sz w:val="24"/>
                <w:szCs w:val="24"/>
                <w:lang w:eastAsia="lv-LV"/>
              </w:rPr>
              <w:t>33.00.00</w:t>
            </w:r>
          </w:p>
        </w:tc>
        <w:tc>
          <w:tcPr>
            <w:tcW w:w="992" w:type="dxa"/>
            <w:vAlign w:val="center"/>
          </w:tcPr>
          <w:p w:rsidR="00922C44" w:rsidRPr="002570DF" w:rsidRDefault="00922C44" w:rsidP="00922C44">
            <w:pPr>
              <w:pStyle w:val="NoSpacing"/>
              <w:rPr>
                <w:rFonts w:ascii="Times New Roman" w:hAnsi="Times New Roman" w:cs="Times New Roman"/>
                <w:iCs/>
                <w:sz w:val="24"/>
                <w:szCs w:val="24"/>
                <w:lang w:eastAsia="lv-LV"/>
              </w:rPr>
            </w:pPr>
            <w:r w:rsidRPr="00E83F90">
              <w:rPr>
                <w:bCs/>
                <w:iCs/>
              </w:rPr>
              <w:t>702 877 303</w:t>
            </w:r>
          </w:p>
        </w:tc>
        <w:tc>
          <w:tcPr>
            <w:tcW w:w="1268" w:type="dxa"/>
          </w:tcPr>
          <w:p w:rsidR="00922C44" w:rsidRDefault="00922C44" w:rsidP="00922C44">
            <w:r w:rsidRPr="00FE3BD5">
              <w:rPr>
                <w:iCs/>
              </w:rPr>
              <w:t>0</w:t>
            </w:r>
          </w:p>
        </w:tc>
        <w:tc>
          <w:tcPr>
            <w:tcW w:w="1000" w:type="dxa"/>
            <w:tcBorders>
              <w:top w:val="nil"/>
              <w:left w:val="nil"/>
              <w:bottom w:val="single" w:sz="8" w:space="0" w:color="auto"/>
              <w:right w:val="single" w:sz="8" w:space="0" w:color="auto"/>
            </w:tcBorders>
            <w:shd w:val="clear" w:color="auto" w:fill="auto"/>
            <w:vAlign w:val="center"/>
          </w:tcPr>
          <w:p w:rsidR="00922C44" w:rsidRDefault="00922C44" w:rsidP="00922C44">
            <w:pPr>
              <w:rPr>
                <w:rFonts w:ascii="Calibri" w:hAnsi="Calibri" w:cs="Calibri"/>
                <w:sz w:val="22"/>
                <w:szCs w:val="22"/>
              </w:rPr>
            </w:pPr>
            <w:r>
              <w:rPr>
                <w:rFonts w:ascii="Calibri" w:hAnsi="Calibri" w:cs="Calibri"/>
                <w:iCs/>
                <w:sz w:val="22"/>
                <w:szCs w:val="22"/>
              </w:rPr>
              <w:t>551 124 135</w:t>
            </w:r>
          </w:p>
        </w:tc>
        <w:tc>
          <w:tcPr>
            <w:tcW w:w="1134" w:type="dxa"/>
          </w:tcPr>
          <w:p w:rsidR="00922C44" w:rsidRDefault="00922C44" w:rsidP="00922C44">
            <w:r w:rsidRPr="00FE3BD5">
              <w:rPr>
                <w:iCs/>
              </w:rPr>
              <w:t>0</w:t>
            </w:r>
          </w:p>
        </w:tc>
        <w:tc>
          <w:tcPr>
            <w:tcW w:w="992" w:type="dxa"/>
            <w:vAlign w:val="center"/>
          </w:tcPr>
          <w:p w:rsidR="00922C44" w:rsidRDefault="00922C44" w:rsidP="00922C44">
            <w:pPr>
              <w:rPr>
                <w:rFonts w:ascii="Calibri" w:hAnsi="Calibri" w:cs="Calibri"/>
                <w:sz w:val="22"/>
                <w:szCs w:val="22"/>
              </w:rPr>
            </w:pPr>
            <w:r>
              <w:rPr>
                <w:rFonts w:ascii="Calibri" w:hAnsi="Calibri" w:cs="Calibri"/>
                <w:iCs/>
                <w:sz w:val="22"/>
                <w:szCs w:val="22"/>
              </w:rPr>
              <w:t>551 124 135</w:t>
            </w:r>
          </w:p>
        </w:tc>
        <w:tc>
          <w:tcPr>
            <w:tcW w:w="992" w:type="dxa"/>
          </w:tcPr>
          <w:p w:rsidR="00922C44" w:rsidRDefault="00922C44" w:rsidP="00922C44">
            <w:r w:rsidRPr="00FE3BD5">
              <w:rPr>
                <w:iCs/>
              </w:rPr>
              <w:t>0</w:t>
            </w:r>
          </w:p>
        </w:tc>
        <w:tc>
          <w:tcPr>
            <w:tcW w:w="1276" w:type="dxa"/>
          </w:tcPr>
          <w:p w:rsidR="00922C44" w:rsidRDefault="00922C44" w:rsidP="00922C44">
            <w:r w:rsidRPr="00FE3BD5">
              <w:rPr>
                <w:iCs/>
              </w:rPr>
              <w:t>0</w:t>
            </w:r>
          </w:p>
        </w:tc>
      </w:tr>
      <w:tr w:rsidR="00922C44" w:rsidRPr="002570DF" w:rsidTr="00504DA6">
        <w:tc>
          <w:tcPr>
            <w:tcW w:w="1702" w:type="dxa"/>
          </w:tcPr>
          <w:p w:rsidR="00922C44" w:rsidRPr="008F3C6F" w:rsidRDefault="00922C44" w:rsidP="00922C44">
            <w:pPr>
              <w:jc w:val="center"/>
              <w:rPr>
                <w:iCs/>
              </w:rPr>
            </w:pPr>
            <w:r w:rsidRPr="008F3C6F">
              <w:rPr>
                <w:iCs/>
              </w:rPr>
              <w:t>33.14.00</w:t>
            </w:r>
          </w:p>
        </w:tc>
        <w:tc>
          <w:tcPr>
            <w:tcW w:w="992" w:type="dxa"/>
            <w:vAlign w:val="center"/>
          </w:tcPr>
          <w:p w:rsidR="00922C44" w:rsidRPr="00160002" w:rsidRDefault="00922C44" w:rsidP="00922C44">
            <w:pPr>
              <w:pStyle w:val="NoSpacing"/>
              <w:rPr>
                <w:rFonts w:ascii="Times New Roman" w:hAnsi="Times New Roman" w:cs="Times New Roman"/>
                <w:iCs/>
                <w:sz w:val="24"/>
                <w:szCs w:val="24"/>
                <w:lang w:eastAsia="lv-LV"/>
              </w:rPr>
            </w:pPr>
            <w:r w:rsidRPr="00160002">
              <w:rPr>
                <w:bCs/>
                <w:iCs/>
              </w:rPr>
              <w:t>110 122 878</w:t>
            </w:r>
          </w:p>
        </w:tc>
        <w:tc>
          <w:tcPr>
            <w:tcW w:w="1268" w:type="dxa"/>
          </w:tcPr>
          <w:p w:rsidR="00922C44" w:rsidRDefault="00922C44" w:rsidP="00922C44">
            <w:r w:rsidRPr="00FE3BD5">
              <w:rPr>
                <w:iCs/>
              </w:rPr>
              <w:t>0</w:t>
            </w:r>
          </w:p>
        </w:tc>
        <w:tc>
          <w:tcPr>
            <w:tcW w:w="1000"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7F1C7D">
              <w:rPr>
                <w:bCs/>
                <w:iCs/>
              </w:rPr>
              <w:t>87 939 179</w:t>
            </w:r>
          </w:p>
        </w:tc>
        <w:tc>
          <w:tcPr>
            <w:tcW w:w="1134" w:type="dxa"/>
          </w:tcPr>
          <w:p w:rsidR="00922C44" w:rsidRDefault="00922C44" w:rsidP="00922C44">
            <w:r w:rsidRPr="00FE3BD5">
              <w:rPr>
                <w:iCs/>
              </w:rPr>
              <w:t>0</w:t>
            </w:r>
          </w:p>
        </w:tc>
        <w:tc>
          <w:tcPr>
            <w:tcW w:w="992"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7F1C7D">
              <w:rPr>
                <w:bCs/>
                <w:iCs/>
              </w:rPr>
              <w:t>87 939 179</w:t>
            </w:r>
          </w:p>
        </w:tc>
        <w:tc>
          <w:tcPr>
            <w:tcW w:w="992" w:type="dxa"/>
          </w:tcPr>
          <w:p w:rsidR="00922C44" w:rsidRDefault="00922C44" w:rsidP="00922C44">
            <w:r w:rsidRPr="00FE3BD5">
              <w:rPr>
                <w:iCs/>
              </w:rPr>
              <w:t>0</w:t>
            </w:r>
          </w:p>
        </w:tc>
        <w:tc>
          <w:tcPr>
            <w:tcW w:w="1276" w:type="dxa"/>
          </w:tcPr>
          <w:p w:rsidR="00922C44" w:rsidRDefault="00922C44" w:rsidP="00922C44">
            <w:r w:rsidRPr="00FE3BD5">
              <w:rPr>
                <w:iCs/>
              </w:rPr>
              <w:t>0</w:t>
            </w:r>
          </w:p>
        </w:tc>
      </w:tr>
      <w:tr w:rsidR="00922C44" w:rsidRPr="002570DF" w:rsidTr="00504DA6">
        <w:tc>
          <w:tcPr>
            <w:tcW w:w="1702" w:type="dxa"/>
          </w:tcPr>
          <w:p w:rsidR="00922C44" w:rsidRPr="008F3C6F" w:rsidRDefault="00922C44" w:rsidP="00922C44">
            <w:pPr>
              <w:jc w:val="center"/>
              <w:rPr>
                <w:iCs/>
              </w:rPr>
            </w:pPr>
            <w:r w:rsidRPr="008F3C6F">
              <w:rPr>
                <w:iCs/>
              </w:rPr>
              <w:lastRenderedPageBreak/>
              <w:t>33.15.00</w:t>
            </w:r>
          </w:p>
        </w:tc>
        <w:tc>
          <w:tcPr>
            <w:tcW w:w="992" w:type="dxa"/>
            <w:vAlign w:val="center"/>
          </w:tcPr>
          <w:p w:rsidR="00922C44" w:rsidRPr="00160002" w:rsidRDefault="00922C44" w:rsidP="00922C44">
            <w:pPr>
              <w:pStyle w:val="NoSpacing"/>
              <w:rPr>
                <w:rFonts w:ascii="Times New Roman" w:hAnsi="Times New Roman" w:cs="Times New Roman"/>
                <w:iCs/>
                <w:sz w:val="24"/>
                <w:szCs w:val="24"/>
                <w:lang w:eastAsia="lv-LV"/>
              </w:rPr>
            </w:pPr>
            <w:r w:rsidRPr="00160002">
              <w:rPr>
                <w:bCs/>
                <w:iCs/>
              </w:rPr>
              <w:t>29 294 900</w:t>
            </w:r>
          </w:p>
        </w:tc>
        <w:tc>
          <w:tcPr>
            <w:tcW w:w="1268" w:type="dxa"/>
          </w:tcPr>
          <w:p w:rsidR="00922C44" w:rsidRDefault="00922C44" w:rsidP="00922C44">
            <w:r w:rsidRPr="00FE3BD5">
              <w:rPr>
                <w:iCs/>
              </w:rPr>
              <w:t>0</w:t>
            </w:r>
          </w:p>
        </w:tc>
        <w:tc>
          <w:tcPr>
            <w:tcW w:w="1000"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1D489C">
              <w:rPr>
                <w:bCs/>
                <w:iCs/>
              </w:rPr>
              <w:t>25 616 868</w:t>
            </w:r>
          </w:p>
        </w:tc>
        <w:tc>
          <w:tcPr>
            <w:tcW w:w="1134" w:type="dxa"/>
          </w:tcPr>
          <w:p w:rsidR="00922C44" w:rsidRDefault="00922C44" w:rsidP="00922C44">
            <w:r w:rsidRPr="00FE3BD5">
              <w:rPr>
                <w:iCs/>
              </w:rPr>
              <w:t>0</w:t>
            </w:r>
          </w:p>
        </w:tc>
        <w:tc>
          <w:tcPr>
            <w:tcW w:w="992"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1D489C">
              <w:rPr>
                <w:bCs/>
                <w:iCs/>
              </w:rPr>
              <w:t>25 616 868</w:t>
            </w:r>
          </w:p>
        </w:tc>
        <w:tc>
          <w:tcPr>
            <w:tcW w:w="992" w:type="dxa"/>
          </w:tcPr>
          <w:p w:rsidR="00922C44" w:rsidRDefault="00922C44" w:rsidP="00922C44">
            <w:r w:rsidRPr="00FE3BD5">
              <w:rPr>
                <w:iCs/>
              </w:rPr>
              <w:t>0</w:t>
            </w:r>
          </w:p>
        </w:tc>
        <w:tc>
          <w:tcPr>
            <w:tcW w:w="1276" w:type="dxa"/>
          </w:tcPr>
          <w:p w:rsidR="00922C44" w:rsidRDefault="00922C44" w:rsidP="00922C44">
            <w:r w:rsidRPr="00FE3BD5">
              <w:rPr>
                <w:iCs/>
              </w:rPr>
              <w:t>0</w:t>
            </w:r>
          </w:p>
        </w:tc>
      </w:tr>
      <w:tr w:rsidR="00922C44" w:rsidRPr="002570DF" w:rsidTr="00504DA6">
        <w:tc>
          <w:tcPr>
            <w:tcW w:w="1702" w:type="dxa"/>
          </w:tcPr>
          <w:p w:rsidR="00922C44" w:rsidRPr="008F3C6F" w:rsidRDefault="00922C44" w:rsidP="00922C44">
            <w:pPr>
              <w:jc w:val="center"/>
              <w:rPr>
                <w:iCs/>
              </w:rPr>
            </w:pPr>
            <w:r w:rsidRPr="008F3C6F">
              <w:rPr>
                <w:iCs/>
              </w:rPr>
              <w:t>33.16.00</w:t>
            </w:r>
          </w:p>
        </w:tc>
        <w:tc>
          <w:tcPr>
            <w:tcW w:w="992" w:type="dxa"/>
            <w:vAlign w:val="center"/>
          </w:tcPr>
          <w:p w:rsidR="00922C44" w:rsidRPr="00160002" w:rsidRDefault="00922C44" w:rsidP="00922C44">
            <w:pPr>
              <w:pStyle w:val="NoSpacing"/>
              <w:rPr>
                <w:rFonts w:ascii="Times New Roman" w:hAnsi="Times New Roman" w:cs="Times New Roman"/>
                <w:iCs/>
                <w:sz w:val="24"/>
                <w:szCs w:val="24"/>
                <w:lang w:eastAsia="lv-LV"/>
              </w:rPr>
            </w:pPr>
            <w:r w:rsidRPr="00160002">
              <w:rPr>
                <w:bCs/>
                <w:iCs/>
              </w:rPr>
              <w:t>200 469 174</w:t>
            </w:r>
          </w:p>
        </w:tc>
        <w:tc>
          <w:tcPr>
            <w:tcW w:w="1268" w:type="dxa"/>
          </w:tcPr>
          <w:p w:rsidR="00922C44" w:rsidRDefault="00922C44" w:rsidP="00922C44">
            <w:r w:rsidRPr="00FE3BD5">
              <w:rPr>
                <w:iCs/>
              </w:rPr>
              <w:t>0</w:t>
            </w:r>
          </w:p>
        </w:tc>
        <w:tc>
          <w:tcPr>
            <w:tcW w:w="1000"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1D489C">
              <w:rPr>
                <w:bCs/>
                <w:iCs/>
              </w:rPr>
              <w:t>157 907 996</w:t>
            </w:r>
          </w:p>
        </w:tc>
        <w:tc>
          <w:tcPr>
            <w:tcW w:w="1134" w:type="dxa"/>
          </w:tcPr>
          <w:p w:rsidR="00922C44" w:rsidRDefault="00922C44" w:rsidP="00922C44">
            <w:r w:rsidRPr="00FE3BD5">
              <w:rPr>
                <w:iCs/>
              </w:rPr>
              <w:t>0</w:t>
            </w:r>
          </w:p>
        </w:tc>
        <w:tc>
          <w:tcPr>
            <w:tcW w:w="992"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1D489C">
              <w:rPr>
                <w:bCs/>
                <w:iCs/>
              </w:rPr>
              <w:t>157 907 996</w:t>
            </w:r>
          </w:p>
        </w:tc>
        <w:tc>
          <w:tcPr>
            <w:tcW w:w="992" w:type="dxa"/>
          </w:tcPr>
          <w:p w:rsidR="00922C44" w:rsidRDefault="00922C44" w:rsidP="00922C44">
            <w:r w:rsidRPr="00FE3BD5">
              <w:rPr>
                <w:iCs/>
              </w:rPr>
              <w:t>0</w:t>
            </w:r>
          </w:p>
        </w:tc>
        <w:tc>
          <w:tcPr>
            <w:tcW w:w="1276" w:type="dxa"/>
          </w:tcPr>
          <w:p w:rsidR="00922C44" w:rsidRDefault="00922C44" w:rsidP="00922C44">
            <w:r w:rsidRPr="00FE3BD5">
              <w:rPr>
                <w:iCs/>
              </w:rPr>
              <w:t>0</w:t>
            </w:r>
          </w:p>
        </w:tc>
      </w:tr>
      <w:tr w:rsidR="00922C44" w:rsidRPr="002570DF" w:rsidTr="00504DA6">
        <w:tc>
          <w:tcPr>
            <w:tcW w:w="1702" w:type="dxa"/>
          </w:tcPr>
          <w:p w:rsidR="00922C44" w:rsidRPr="008F3C6F" w:rsidRDefault="00922C44" w:rsidP="00922C44">
            <w:pPr>
              <w:jc w:val="center"/>
              <w:rPr>
                <w:iCs/>
              </w:rPr>
            </w:pPr>
            <w:r w:rsidRPr="008F3C6F">
              <w:rPr>
                <w:iCs/>
              </w:rPr>
              <w:t>33.17.00</w:t>
            </w:r>
          </w:p>
        </w:tc>
        <w:tc>
          <w:tcPr>
            <w:tcW w:w="992" w:type="dxa"/>
            <w:vAlign w:val="center"/>
          </w:tcPr>
          <w:p w:rsidR="00922C44" w:rsidRPr="00160002" w:rsidRDefault="00922C44" w:rsidP="00922C44">
            <w:pPr>
              <w:pStyle w:val="NoSpacing"/>
              <w:rPr>
                <w:rFonts w:ascii="Times New Roman" w:hAnsi="Times New Roman" w:cs="Times New Roman"/>
                <w:iCs/>
                <w:sz w:val="24"/>
                <w:szCs w:val="24"/>
                <w:lang w:eastAsia="lv-LV"/>
              </w:rPr>
            </w:pPr>
            <w:r w:rsidRPr="00160002">
              <w:rPr>
                <w:bCs/>
                <w:iCs/>
              </w:rPr>
              <w:t>224 299 879</w:t>
            </w:r>
          </w:p>
        </w:tc>
        <w:tc>
          <w:tcPr>
            <w:tcW w:w="1268" w:type="dxa"/>
          </w:tcPr>
          <w:p w:rsidR="00922C44" w:rsidRDefault="00922C44" w:rsidP="00922C44">
            <w:r w:rsidRPr="00FE3BD5">
              <w:rPr>
                <w:iCs/>
              </w:rPr>
              <w:t>0</w:t>
            </w:r>
          </w:p>
        </w:tc>
        <w:tc>
          <w:tcPr>
            <w:tcW w:w="1000"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1D489C">
              <w:rPr>
                <w:bCs/>
                <w:iCs/>
              </w:rPr>
              <w:t>177 550 427</w:t>
            </w:r>
          </w:p>
        </w:tc>
        <w:tc>
          <w:tcPr>
            <w:tcW w:w="1134" w:type="dxa"/>
          </w:tcPr>
          <w:p w:rsidR="00922C44" w:rsidRDefault="00922C44" w:rsidP="00922C44">
            <w:r w:rsidRPr="00FE3BD5">
              <w:rPr>
                <w:iCs/>
              </w:rPr>
              <w:t>0</w:t>
            </w:r>
          </w:p>
        </w:tc>
        <w:tc>
          <w:tcPr>
            <w:tcW w:w="992"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1D489C">
              <w:rPr>
                <w:bCs/>
                <w:iCs/>
              </w:rPr>
              <w:t>177 550 427</w:t>
            </w:r>
          </w:p>
        </w:tc>
        <w:tc>
          <w:tcPr>
            <w:tcW w:w="992" w:type="dxa"/>
          </w:tcPr>
          <w:p w:rsidR="00922C44" w:rsidRDefault="00922C44" w:rsidP="00922C44">
            <w:r w:rsidRPr="00FE3BD5">
              <w:rPr>
                <w:iCs/>
              </w:rPr>
              <w:t>0</w:t>
            </w:r>
          </w:p>
        </w:tc>
        <w:tc>
          <w:tcPr>
            <w:tcW w:w="1276" w:type="dxa"/>
          </w:tcPr>
          <w:p w:rsidR="00922C44" w:rsidRDefault="00922C44" w:rsidP="00922C44">
            <w:r w:rsidRPr="00FE3BD5">
              <w:rPr>
                <w:iCs/>
              </w:rPr>
              <w:t>0</w:t>
            </w:r>
          </w:p>
        </w:tc>
      </w:tr>
      <w:tr w:rsidR="00922C44" w:rsidRPr="002570DF" w:rsidTr="00504DA6">
        <w:tc>
          <w:tcPr>
            <w:tcW w:w="1702" w:type="dxa"/>
            <w:vAlign w:val="center"/>
          </w:tcPr>
          <w:p w:rsidR="00922C44" w:rsidRPr="008F3C6F" w:rsidRDefault="00922C44" w:rsidP="00922C44">
            <w:pPr>
              <w:jc w:val="center"/>
              <w:rPr>
                <w:iCs/>
              </w:rPr>
            </w:pPr>
            <w:r w:rsidRPr="008F3C6F">
              <w:rPr>
                <w:iCs/>
              </w:rPr>
              <w:t>33.18.00</w:t>
            </w:r>
          </w:p>
        </w:tc>
        <w:tc>
          <w:tcPr>
            <w:tcW w:w="992" w:type="dxa"/>
            <w:vAlign w:val="center"/>
          </w:tcPr>
          <w:p w:rsidR="00922C44" w:rsidRPr="00160002" w:rsidRDefault="00922C44" w:rsidP="00922C44">
            <w:pPr>
              <w:pStyle w:val="NoSpacing"/>
              <w:rPr>
                <w:rFonts w:ascii="Times New Roman" w:hAnsi="Times New Roman" w:cs="Times New Roman"/>
                <w:iCs/>
                <w:sz w:val="24"/>
                <w:szCs w:val="24"/>
                <w:lang w:eastAsia="lv-LV"/>
              </w:rPr>
            </w:pPr>
            <w:r w:rsidRPr="00160002">
              <w:rPr>
                <w:bCs/>
                <w:iCs/>
              </w:rPr>
              <w:t>138 690 472</w:t>
            </w:r>
          </w:p>
        </w:tc>
        <w:tc>
          <w:tcPr>
            <w:tcW w:w="1268" w:type="dxa"/>
          </w:tcPr>
          <w:p w:rsidR="00922C44" w:rsidRDefault="00922C44" w:rsidP="00922C44">
            <w:r w:rsidRPr="00FE3BD5">
              <w:rPr>
                <w:iCs/>
              </w:rPr>
              <w:t>0</w:t>
            </w:r>
          </w:p>
        </w:tc>
        <w:tc>
          <w:tcPr>
            <w:tcW w:w="1000"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0F02DD">
              <w:rPr>
                <w:bCs/>
                <w:iCs/>
              </w:rPr>
              <w:t>102 109 665</w:t>
            </w:r>
          </w:p>
        </w:tc>
        <w:tc>
          <w:tcPr>
            <w:tcW w:w="1134" w:type="dxa"/>
          </w:tcPr>
          <w:p w:rsidR="00922C44" w:rsidRDefault="00922C44" w:rsidP="00922C44">
            <w:r w:rsidRPr="00FE3BD5">
              <w:rPr>
                <w:iCs/>
              </w:rPr>
              <w:t>0</w:t>
            </w:r>
          </w:p>
        </w:tc>
        <w:tc>
          <w:tcPr>
            <w:tcW w:w="992" w:type="dxa"/>
            <w:vAlign w:val="center"/>
          </w:tcPr>
          <w:p w:rsidR="00922C44" w:rsidRPr="00D0795D" w:rsidRDefault="00922C44" w:rsidP="00922C44">
            <w:pPr>
              <w:pStyle w:val="NoSpacing"/>
              <w:rPr>
                <w:rFonts w:ascii="Times New Roman" w:hAnsi="Times New Roman" w:cs="Times New Roman"/>
                <w:iCs/>
                <w:sz w:val="24"/>
                <w:szCs w:val="24"/>
                <w:lang w:eastAsia="lv-LV"/>
              </w:rPr>
            </w:pPr>
            <w:r w:rsidRPr="000F02DD">
              <w:rPr>
                <w:bCs/>
                <w:iCs/>
              </w:rPr>
              <w:t>102 109 665</w:t>
            </w:r>
          </w:p>
        </w:tc>
        <w:tc>
          <w:tcPr>
            <w:tcW w:w="992" w:type="dxa"/>
          </w:tcPr>
          <w:p w:rsidR="00922C44" w:rsidRDefault="00922C44" w:rsidP="00922C44">
            <w:r w:rsidRPr="00FE3BD5">
              <w:rPr>
                <w:iCs/>
              </w:rPr>
              <w:t>0</w:t>
            </w:r>
          </w:p>
        </w:tc>
        <w:tc>
          <w:tcPr>
            <w:tcW w:w="1276" w:type="dxa"/>
          </w:tcPr>
          <w:p w:rsidR="00922C44" w:rsidRDefault="00922C44" w:rsidP="00922C44">
            <w:r w:rsidRPr="00FE3BD5">
              <w:rPr>
                <w:iCs/>
              </w:rPr>
              <w:t>0</w:t>
            </w:r>
          </w:p>
        </w:tc>
      </w:tr>
      <w:tr w:rsidR="003A1D45" w:rsidRPr="002570DF" w:rsidTr="006936E5">
        <w:tc>
          <w:tcPr>
            <w:tcW w:w="1702" w:type="dxa"/>
            <w:vAlign w:val="center"/>
          </w:tcPr>
          <w:p w:rsidR="003A1D45" w:rsidRPr="002570DF" w:rsidRDefault="003A1D45" w:rsidP="003A1D45">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1.2. valsts speciālais budžets</w:t>
            </w:r>
          </w:p>
        </w:tc>
        <w:tc>
          <w:tcPr>
            <w:tcW w:w="992" w:type="dxa"/>
            <w:vAlign w:val="center"/>
          </w:tcPr>
          <w:p w:rsidR="003A1D45" w:rsidRPr="00160002" w:rsidRDefault="003A1D45" w:rsidP="003A1D45">
            <w:pPr>
              <w:pStyle w:val="NoSpacing"/>
              <w:rPr>
                <w:rFonts w:ascii="Times New Roman" w:hAnsi="Times New Roman" w:cs="Times New Roman"/>
                <w:iCs/>
                <w:sz w:val="24"/>
                <w:szCs w:val="24"/>
                <w:lang w:eastAsia="lv-LV"/>
              </w:rPr>
            </w:pPr>
            <w:r w:rsidRPr="00160002">
              <w:rPr>
                <w:rFonts w:ascii="Times New Roman" w:hAnsi="Times New Roman" w:cs="Times New Roman"/>
                <w:iCs/>
                <w:sz w:val="24"/>
                <w:szCs w:val="24"/>
                <w:lang w:eastAsia="lv-LV"/>
              </w:rPr>
              <w:t>0</w:t>
            </w:r>
          </w:p>
        </w:tc>
        <w:tc>
          <w:tcPr>
            <w:tcW w:w="1268" w:type="dxa"/>
            <w:vAlign w:val="center"/>
          </w:tcPr>
          <w:p w:rsidR="003A1D45" w:rsidRPr="002570DF" w:rsidRDefault="003A1D45" w:rsidP="003A1D4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3A1D45" w:rsidRPr="00E14DD5" w:rsidRDefault="003A1D45" w:rsidP="003A1D45">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1134" w:type="dxa"/>
            <w:vAlign w:val="center"/>
          </w:tcPr>
          <w:p w:rsidR="003A1D45" w:rsidRPr="00E14DD5" w:rsidRDefault="003A1D45" w:rsidP="003A1D45">
            <w:pPr>
              <w:pStyle w:val="NoSpacing"/>
              <w:rPr>
                <w:rFonts w:ascii="Times New Roman" w:hAnsi="Times New Roman" w:cs="Times New Roman"/>
                <w:iCs/>
                <w:lang w:eastAsia="lv-LV"/>
              </w:rPr>
            </w:pPr>
            <w:r w:rsidRPr="00E14DD5">
              <w:rPr>
                <w:rFonts w:ascii="Times New Roman" w:hAnsi="Times New Roman" w:cs="Times New Roman"/>
                <w:iCs/>
                <w:lang w:eastAsia="lv-LV"/>
              </w:rPr>
              <w:t>0</w:t>
            </w:r>
          </w:p>
        </w:tc>
        <w:tc>
          <w:tcPr>
            <w:tcW w:w="992" w:type="dxa"/>
            <w:vAlign w:val="center"/>
          </w:tcPr>
          <w:p w:rsidR="003A1D45" w:rsidRPr="00E14DD5" w:rsidRDefault="003A1D45" w:rsidP="003A1D45">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A1D45" w:rsidRPr="00E14DD5" w:rsidRDefault="003A1D45" w:rsidP="003A1D45">
            <w:pPr>
              <w:pStyle w:val="NoSpacing"/>
              <w:rPr>
                <w:rFonts w:ascii="Times New Roman" w:hAnsi="Times New Roman" w:cs="Times New Roman"/>
                <w:iCs/>
                <w:lang w:eastAsia="lv-LV"/>
              </w:rPr>
            </w:pPr>
            <w:r w:rsidRPr="00E14DD5">
              <w:rPr>
                <w:rFonts w:ascii="Times New Roman" w:hAnsi="Times New Roman" w:cs="Times New Roman"/>
                <w:iCs/>
                <w:lang w:eastAsia="lv-LV"/>
              </w:rPr>
              <w:t>0</w:t>
            </w:r>
          </w:p>
        </w:tc>
        <w:tc>
          <w:tcPr>
            <w:tcW w:w="1276" w:type="dxa"/>
            <w:vAlign w:val="center"/>
          </w:tcPr>
          <w:p w:rsidR="003A1D45" w:rsidRPr="00E14DD5" w:rsidRDefault="003A1D45" w:rsidP="003A1D45">
            <w:pPr>
              <w:pStyle w:val="NoSpacing"/>
              <w:rPr>
                <w:rFonts w:ascii="Times New Roman" w:hAnsi="Times New Roman" w:cs="Times New Roman"/>
                <w:iCs/>
                <w:lang w:eastAsia="lv-LV"/>
              </w:rPr>
            </w:pPr>
            <w:r w:rsidRPr="00E14DD5">
              <w:rPr>
                <w:rFonts w:ascii="Times New Roman" w:hAnsi="Times New Roman" w:cs="Times New Roman"/>
                <w:iCs/>
                <w:lang w:eastAsia="lv-LV"/>
              </w:rPr>
              <w:t>0</w:t>
            </w:r>
          </w:p>
        </w:tc>
      </w:tr>
      <w:tr w:rsidR="003A1D45" w:rsidRPr="002570DF" w:rsidTr="006936E5">
        <w:tc>
          <w:tcPr>
            <w:tcW w:w="1702" w:type="dxa"/>
            <w:vAlign w:val="center"/>
          </w:tcPr>
          <w:p w:rsidR="003A1D45" w:rsidRPr="002570DF" w:rsidRDefault="003A1D45" w:rsidP="003A1D45">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1.3. pašvaldību budžets</w:t>
            </w:r>
          </w:p>
        </w:tc>
        <w:tc>
          <w:tcPr>
            <w:tcW w:w="992" w:type="dxa"/>
            <w:vAlign w:val="center"/>
          </w:tcPr>
          <w:p w:rsidR="003A1D45" w:rsidRPr="00160002" w:rsidRDefault="003A1D45" w:rsidP="003A1D45">
            <w:pPr>
              <w:pStyle w:val="NoSpacing"/>
              <w:rPr>
                <w:rFonts w:ascii="Times New Roman" w:hAnsi="Times New Roman" w:cs="Times New Roman"/>
                <w:iCs/>
                <w:sz w:val="24"/>
                <w:szCs w:val="24"/>
                <w:lang w:eastAsia="lv-LV"/>
              </w:rPr>
            </w:pPr>
            <w:r w:rsidRPr="00160002">
              <w:rPr>
                <w:rFonts w:ascii="Times New Roman" w:hAnsi="Times New Roman" w:cs="Times New Roman"/>
                <w:iCs/>
                <w:sz w:val="24"/>
                <w:szCs w:val="24"/>
                <w:lang w:eastAsia="lv-LV"/>
              </w:rPr>
              <w:t>0</w:t>
            </w:r>
          </w:p>
        </w:tc>
        <w:tc>
          <w:tcPr>
            <w:tcW w:w="1268" w:type="dxa"/>
            <w:vAlign w:val="center"/>
          </w:tcPr>
          <w:p w:rsidR="003A1D45" w:rsidRPr="002570DF" w:rsidRDefault="003A1D45" w:rsidP="003A1D4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3A1D45" w:rsidRPr="00E14DD5" w:rsidRDefault="003A1D45" w:rsidP="003A1D45">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1134" w:type="dxa"/>
            <w:vAlign w:val="center"/>
          </w:tcPr>
          <w:p w:rsidR="003A1D45" w:rsidRPr="00E14DD5" w:rsidRDefault="003A1D45" w:rsidP="003A1D45">
            <w:pPr>
              <w:pStyle w:val="NoSpacing"/>
              <w:rPr>
                <w:rFonts w:ascii="Times New Roman" w:hAnsi="Times New Roman" w:cs="Times New Roman"/>
                <w:iCs/>
                <w:lang w:eastAsia="lv-LV"/>
              </w:rPr>
            </w:pPr>
            <w:r w:rsidRPr="00E14DD5">
              <w:rPr>
                <w:rFonts w:ascii="Times New Roman" w:hAnsi="Times New Roman" w:cs="Times New Roman"/>
                <w:iCs/>
                <w:lang w:eastAsia="lv-LV"/>
              </w:rPr>
              <w:t>0</w:t>
            </w:r>
          </w:p>
        </w:tc>
        <w:tc>
          <w:tcPr>
            <w:tcW w:w="992" w:type="dxa"/>
            <w:vAlign w:val="center"/>
          </w:tcPr>
          <w:p w:rsidR="003A1D45" w:rsidRPr="00E14DD5" w:rsidRDefault="003A1D45" w:rsidP="003A1D45">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A1D45" w:rsidRPr="00E14DD5" w:rsidRDefault="003A1D45" w:rsidP="003A1D45">
            <w:pPr>
              <w:pStyle w:val="NoSpacing"/>
              <w:rPr>
                <w:rFonts w:ascii="Times New Roman" w:hAnsi="Times New Roman" w:cs="Times New Roman"/>
                <w:iCs/>
                <w:lang w:eastAsia="lv-LV"/>
              </w:rPr>
            </w:pPr>
            <w:r w:rsidRPr="00E14DD5">
              <w:rPr>
                <w:rFonts w:ascii="Times New Roman" w:hAnsi="Times New Roman" w:cs="Times New Roman"/>
                <w:iCs/>
                <w:lang w:eastAsia="lv-LV"/>
              </w:rPr>
              <w:t>0</w:t>
            </w:r>
          </w:p>
        </w:tc>
        <w:tc>
          <w:tcPr>
            <w:tcW w:w="1276" w:type="dxa"/>
            <w:vAlign w:val="center"/>
          </w:tcPr>
          <w:p w:rsidR="003A1D45" w:rsidRPr="00E14DD5" w:rsidRDefault="003A1D45" w:rsidP="003A1D45">
            <w:pPr>
              <w:pStyle w:val="NoSpacing"/>
              <w:rPr>
                <w:rFonts w:ascii="Times New Roman" w:hAnsi="Times New Roman" w:cs="Times New Roman"/>
                <w:iCs/>
                <w:lang w:eastAsia="lv-LV"/>
              </w:rPr>
            </w:pPr>
            <w:r w:rsidRPr="00E14DD5">
              <w:rPr>
                <w:rFonts w:ascii="Times New Roman" w:hAnsi="Times New Roman" w:cs="Times New Roman"/>
                <w:iCs/>
                <w:lang w:eastAsia="lv-LV"/>
              </w:rPr>
              <w:t>0</w:t>
            </w:r>
          </w:p>
        </w:tc>
      </w:tr>
      <w:tr w:rsidR="00BB0DEE" w:rsidRPr="002570DF" w:rsidTr="00C22E77">
        <w:tc>
          <w:tcPr>
            <w:tcW w:w="1702" w:type="dxa"/>
            <w:vAlign w:val="center"/>
          </w:tcPr>
          <w:p w:rsidR="00BB0DEE" w:rsidRPr="002570DF" w:rsidRDefault="00BB0DEE" w:rsidP="00BB0DEE">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 Budžeta izdevumi</w:t>
            </w:r>
          </w:p>
        </w:tc>
        <w:tc>
          <w:tcPr>
            <w:tcW w:w="992" w:type="dxa"/>
            <w:vAlign w:val="center"/>
          </w:tcPr>
          <w:p w:rsidR="00BB0DEE" w:rsidRPr="00922C44" w:rsidRDefault="00BB0DEE" w:rsidP="00BB0DEE">
            <w:pPr>
              <w:pStyle w:val="NoSpacing"/>
              <w:rPr>
                <w:rFonts w:ascii="Times New Roman" w:hAnsi="Times New Roman" w:cs="Times New Roman"/>
                <w:b/>
                <w:iCs/>
                <w:sz w:val="24"/>
                <w:szCs w:val="24"/>
                <w:lang w:eastAsia="lv-LV"/>
              </w:rPr>
            </w:pPr>
            <w:r w:rsidRPr="002F4B2C">
              <w:rPr>
                <w:b/>
                <w:iCs/>
              </w:rPr>
              <w:t>702 878 338</w:t>
            </w:r>
          </w:p>
        </w:tc>
        <w:tc>
          <w:tcPr>
            <w:tcW w:w="1268" w:type="dxa"/>
            <w:vAlign w:val="center"/>
          </w:tcPr>
          <w:p w:rsidR="00BB0DEE" w:rsidRPr="00922C44" w:rsidRDefault="00BB0DEE" w:rsidP="00BB0DEE">
            <w:pPr>
              <w:pStyle w:val="NoSpacing"/>
              <w:rPr>
                <w:rFonts w:ascii="Times New Roman" w:hAnsi="Times New Roman" w:cs="Times New Roman"/>
                <w:b/>
                <w:iCs/>
                <w:sz w:val="24"/>
                <w:szCs w:val="24"/>
                <w:lang w:eastAsia="lv-LV"/>
              </w:rPr>
            </w:pPr>
            <w:r w:rsidRPr="00922C44">
              <w:rPr>
                <w:rFonts w:ascii="Times New Roman" w:hAnsi="Times New Roman" w:cs="Times New Roman"/>
                <w:b/>
                <w:iCs/>
                <w:sz w:val="24"/>
                <w:szCs w:val="24"/>
                <w:lang w:eastAsia="lv-LV"/>
              </w:rPr>
              <w:t>0</w:t>
            </w:r>
          </w:p>
        </w:tc>
        <w:tc>
          <w:tcPr>
            <w:tcW w:w="1000" w:type="dxa"/>
            <w:tcBorders>
              <w:top w:val="single" w:sz="8" w:space="0" w:color="auto"/>
              <w:left w:val="single" w:sz="8" w:space="0" w:color="auto"/>
              <w:bottom w:val="single" w:sz="8" w:space="0" w:color="000000"/>
              <w:right w:val="single" w:sz="8" w:space="0" w:color="auto"/>
            </w:tcBorders>
            <w:shd w:val="clear" w:color="auto" w:fill="auto"/>
            <w:vAlign w:val="center"/>
          </w:tcPr>
          <w:p w:rsidR="00BB0DEE" w:rsidRPr="00E14DD5" w:rsidRDefault="00BB0DEE" w:rsidP="00BB0DEE">
            <w:pPr>
              <w:rPr>
                <w:rFonts w:ascii="Calibri" w:hAnsi="Calibri" w:cs="Calibri"/>
                <w:b/>
                <w:sz w:val="22"/>
                <w:szCs w:val="22"/>
              </w:rPr>
            </w:pPr>
            <w:r w:rsidRPr="00E14DD5">
              <w:rPr>
                <w:rFonts w:ascii="Calibri" w:hAnsi="Calibri" w:cs="Calibri"/>
                <w:b/>
                <w:sz w:val="22"/>
                <w:szCs w:val="22"/>
              </w:rPr>
              <w:t>551 124 135</w:t>
            </w:r>
          </w:p>
        </w:tc>
        <w:tc>
          <w:tcPr>
            <w:tcW w:w="1134" w:type="dxa"/>
            <w:tcBorders>
              <w:top w:val="single" w:sz="4" w:space="0" w:color="auto"/>
              <w:left w:val="nil"/>
              <w:bottom w:val="single" w:sz="8" w:space="0" w:color="auto"/>
              <w:right w:val="single" w:sz="8" w:space="0" w:color="auto"/>
            </w:tcBorders>
            <w:shd w:val="clear" w:color="auto" w:fill="auto"/>
          </w:tcPr>
          <w:p w:rsidR="00BB0DEE" w:rsidRPr="00E14DD5" w:rsidRDefault="00BB0DEE" w:rsidP="00BB0DEE">
            <w:pPr>
              <w:rPr>
                <w:rFonts w:ascii="Calibri" w:hAnsi="Calibri" w:cs="Calibri"/>
                <w:b/>
                <w:sz w:val="22"/>
                <w:szCs w:val="22"/>
              </w:rPr>
            </w:pPr>
            <w:r w:rsidRPr="00E14DD5">
              <w:rPr>
                <w:rFonts w:ascii="Calibri" w:hAnsi="Calibri" w:cs="Calibri"/>
                <w:b/>
                <w:sz w:val="22"/>
                <w:szCs w:val="22"/>
              </w:rPr>
              <w:t>12 111 231</w:t>
            </w:r>
          </w:p>
        </w:tc>
        <w:tc>
          <w:tcPr>
            <w:tcW w:w="992" w:type="dxa"/>
            <w:tcBorders>
              <w:top w:val="single" w:sz="4" w:space="0" w:color="auto"/>
            </w:tcBorders>
            <w:vAlign w:val="center"/>
          </w:tcPr>
          <w:p w:rsidR="00BB0DEE" w:rsidRPr="00E14DD5" w:rsidRDefault="00BB0DEE" w:rsidP="00BB0DEE">
            <w:pPr>
              <w:pStyle w:val="NoSpacing"/>
              <w:rPr>
                <w:rFonts w:ascii="Times New Roman" w:hAnsi="Times New Roman" w:cs="Times New Roman"/>
                <w:b/>
                <w:iCs/>
                <w:sz w:val="24"/>
                <w:szCs w:val="24"/>
                <w:lang w:eastAsia="lv-LV"/>
              </w:rPr>
            </w:pPr>
            <w:r w:rsidRPr="00E14DD5">
              <w:rPr>
                <w:b/>
                <w:iCs/>
              </w:rPr>
              <w:t>551 124 135</w:t>
            </w:r>
          </w:p>
        </w:tc>
        <w:tc>
          <w:tcPr>
            <w:tcW w:w="992" w:type="dxa"/>
            <w:tcBorders>
              <w:top w:val="single" w:sz="4" w:space="0" w:color="auto"/>
              <w:left w:val="nil"/>
              <w:bottom w:val="single" w:sz="8" w:space="0" w:color="auto"/>
              <w:right w:val="single" w:sz="8" w:space="0" w:color="auto"/>
            </w:tcBorders>
            <w:shd w:val="clear" w:color="auto" w:fill="auto"/>
          </w:tcPr>
          <w:p w:rsidR="00BB0DEE" w:rsidRPr="00E14DD5" w:rsidRDefault="00BB0DEE" w:rsidP="00BB0DEE">
            <w:pPr>
              <w:pStyle w:val="NoSpacing"/>
              <w:rPr>
                <w:b/>
                <w:iCs/>
              </w:rPr>
            </w:pPr>
            <w:r w:rsidRPr="00E14DD5">
              <w:rPr>
                <w:b/>
                <w:iCs/>
              </w:rPr>
              <w:t>12 122 119</w:t>
            </w:r>
          </w:p>
        </w:tc>
        <w:tc>
          <w:tcPr>
            <w:tcW w:w="1276" w:type="dxa"/>
            <w:tcBorders>
              <w:top w:val="single" w:sz="4" w:space="0" w:color="auto"/>
              <w:left w:val="nil"/>
              <w:bottom w:val="single" w:sz="8" w:space="0" w:color="auto"/>
              <w:right w:val="single" w:sz="8" w:space="0" w:color="auto"/>
            </w:tcBorders>
            <w:shd w:val="clear" w:color="auto" w:fill="auto"/>
          </w:tcPr>
          <w:p w:rsidR="00BB0DEE" w:rsidRPr="00E14DD5" w:rsidRDefault="00BB0DEE" w:rsidP="00BB0DEE">
            <w:pPr>
              <w:pStyle w:val="NoSpacing"/>
              <w:rPr>
                <w:b/>
                <w:iCs/>
              </w:rPr>
            </w:pPr>
            <w:r w:rsidRPr="00E14DD5">
              <w:rPr>
                <w:b/>
                <w:iCs/>
              </w:rPr>
              <w:t>12 122 119</w:t>
            </w:r>
          </w:p>
        </w:tc>
      </w:tr>
      <w:tr w:rsidR="00BB0DEE" w:rsidRPr="002570DF" w:rsidTr="00C22E77">
        <w:tc>
          <w:tcPr>
            <w:tcW w:w="1702" w:type="dxa"/>
            <w:vAlign w:val="center"/>
          </w:tcPr>
          <w:p w:rsidR="00BB0DEE" w:rsidRPr="002570DF" w:rsidRDefault="00BB0DEE" w:rsidP="00BB0DEE">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2.1. valsts pamatbudžets</w:t>
            </w:r>
          </w:p>
        </w:tc>
        <w:tc>
          <w:tcPr>
            <w:tcW w:w="992" w:type="dxa"/>
            <w:vAlign w:val="center"/>
          </w:tcPr>
          <w:p w:rsidR="00BB0DEE" w:rsidRPr="00160002" w:rsidRDefault="00BB0DEE" w:rsidP="00BB0DEE">
            <w:pPr>
              <w:pStyle w:val="NoSpacing"/>
              <w:rPr>
                <w:rFonts w:ascii="Times New Roman" w:hAnsi="Times New Roman" w:cs="Times New Roman"/>
                <w:iCs/>
                <w:sz w:val="24"/>
                <w:szCs w:val="24"/>
                <w:lang w:eastAsia="lv-LV"/>
              </w:rPr>
            </w:pPr>
            <w:r w:rsidRPr="00B82213">
              <w:rPr>
                <w:iCs/>
              </w:rPr>
              <w:t>702 878 338</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tcBorders>
              <w:top w:val="single" w:sz="8" w:space="0" w:color="auto"/>
              <w:left w:val="single" w:sz="8" w:space="0" w:color="auto"/>
              <w:bottom w:val="single" w:sz="4" w:space="0" w:color="auto"/>
              <w:right w:val="single" w:sz="8" w:space="0" w:color="auto"/>
            </w:tcBorders>
            <w:vAlign w:val="center"/>
          </w:tcPr>
          <w:p w:rsidR="00BB0DEE" w:rsidRPr="00E14DD5" w:rsidRDefault="00BB0DEE" w:rsidP="00BB0DEE">
            <w:pPr>
              <w:rPr>
                <w:rFonts w:ascii="Calibri" w:hAnsi="Calibri" w:cs="Calibri"/>
                <w:sz w:val="22"/>
                <w:szCs w:val="22"/>
              </w:rPr>
            </w:pPr>
            <w:r w:rsidRPr="00E14DD5">
              <w:rPr>
                <w:rFonts w:ascii="Calibri" w:hAnsi="Calibri" w:cs="Calibri"/>
                <w:sz w:val="22"/>
                <w:szCs w:val="22"/>
              </w:rPr>
              <w:t>551 124 135</w:t>
            </w:r>
          </w:p>
        </w:tc>
        <w:tc>
          <w:tcPr>
            <w:tcW w:w="1134" w:type="dxa"/>
            <w:tcBorders>
              <w:top w:val="single" w:sz="4" w:space="0" w:color="auto"/>
              <w:left w:val="nil"/>
              <w:bottom w:val="single" w:sz="8" w:space="0" w:color="auto"/>
              <w:right w:val="single" w:sz="8" w:space="0" w:color="auto"/>
            </w:tcBorders>
            <w:shd w:val="clear" w:color="auto" w:fill="auto"/>
          </w:tcPr>
          <w:p w:rsidR="00BB0DEE" w:rsidRPr="00E14DD5" w:rsidRDefault="00BB0DEE" w:rsidP="00BB0DEE">
            <w:pPr>
              <w:rPr>
                <w:rFonts w:ascii="Calibri" w:hAnsi="Calibri" w:cs="Calibri"/>
                <w:sz w:val="22"/>
                <w:szCs w:val="22"/>
              </w:rPr>
            </w:pPr>
            <w:r w:rsidRPr="00E14DD5">
              <w:rPr>
                <w:rFonts w:ascii="Calibri" w:hAnsi="Calibri" w:cs="Calibri"/>
                <w:sz w:val="22"/>
                <w:szCs w:val="22"/>
              </w:rPr>
              <w:t>12 111 231</w:t>
            </w:r>
          </w:p>
        </w:tc>
        <w:tc>
          <w:tcPr>
            <w:tcW w:w="992" w:type="dxa"/>
            <w:tcBorders>
              <w:top w:val="single" w:sz="4" w:space="0" w:color="auto"/>
            </w:tcBorders>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iCs/>
              </w:rPr>
              <w:t>551 124 135</w:t>
            </w:r>
          </w:p>
        </w:tc>
        <w:tc>
          <w:tcPr>
            <w:tcW w:w="992" w:type="dxa"/>
            <w:tcBorders>
              <w:top w:val="single" w:sz="4" w:space="0" w:color="auto"/>
              <w:left w:val="nil"/>
              <w:bottom w:val="single" w:sz="8" w:space="0" w:color="auto"/>
              <w:right w:val="single" w:sz="8" w:space="0" w:color="auto"/>
            </w:tcBorders>
            <w:shd w:val="clear" w:color="auto" w:fill="auto"/>
          </w:tcPr>
          <w:p w:rsidR="00BB0DEE" w:rsidRPr="00E14DD5" w:rsidRDefault="00BB0DEE" w:rsidP="00BB0DEE">
            <w:pPr>
              <w:pStyle w:val="NoSpacing"/>
              <w:rPr>
                <w:iCs/>
              </w:rPr>
            </w:pPr>
            <w:r w:rsidRPr="00E14DD5">
              <w:rPr>
                <w:iCs/>
              </w:rPr>
              <w:t>12 122 119</w:t>
            </w:r>
          </w:p>
        </w:tc>
        <w:tc>
          <w:tcPr>
            <w:tcW w:w="1276" w:type="dxa"/>
            <w:tcBorders>
              <w:top w:val="single" w:sz="4" w:space="0" w:color="auto"/>
              <w:left w:val="nil"/>
              <w:bottom w:val="single" w:sz="8" w:space="0" w:color="auto"/>
              <w:right w:val="single" w:sz="8" w:space="0" w:color="auto"/>
            </w:tcBorders>
            <w:shd w:val="clear" w:color="auto" w:fill="auto"/>
          </w:tcPr>
          <w:p w:rsidR="00BB0DEE" w:rsidRPr="00E14DD5" w:rsidRDefault="00BB0DEE" w:rsidP="00BB0DEE">
            <w:pPr>
              <w:pStyle w:val="NoSpacing"/>
              <w:rPr>
                <w:iCs/>
              </w:rPr>
            </w:pPr>
            <w:r w:rsidRPr="00E14DD5">
              <w:rPr>
                <w:iCs/>
              </w:rPr>
              <w:t>12 122 119</w:t>
            </w:r>
          </w:p>
        </w:tc>
      </w:tr>
      <w:tr w:rsidR="00BB0DEE" w:rsidRPr="002570DF" w:rsidTr="00B70C1F">
        <w:tc>
          <w:tcPr>
            <w:tcW w:w="1702" w:type="dxa"/>
            <w:vAlign w:val="center"/>
          </w:tcPr>
          <w:p w:rsidR="00BB0DEE" w:rsidRPr="002570DF" w:rsidRDefault="00BB0DEE" w:rsidP="00BB0DEE">
            <w:pPr>
              <w:pStyle w:val="NoSpacing"/>
              <w:jc w:val="both"/>
              <w:rPr>
                <w:rFonts w:ascii="Times New Roman" w:hAnsi="Times New Roman" w:cs="Times New Roman"/>
                <w:iCs/>
                <w:sz w:val="24"/>
                <w:szCs w:val="24"/>
                <w:lang w:eastAsia="lv-LV"/>
              </w:rPr>
            </w:pPr>
            <w:r w:rsidRPr="00E83F90">
              <w:rPr>
                <w:rFonts w:ascii="Times New Roman" w:hAnsi="Times New Roman" w:cs="Times New Roman"/>
                <w:iCs/>
                <w:sz w:val="24"/>
                <w:szCs w:val="24"/>
                <w:lang w:eastAsia="lv-LV"/>
              </w:rPr>
              <w:t>33.00.00</w:t>
            </w:r>
          </w:p>
        </w:tc>
        <w:tc>
          <w:tcPr>
            <w:tcW w:w="992" w:type="dxa"/>
            <w:vAlign w:val="center"/>
          </w:tcPr>
          <w:p w:rsidR="00BB0DEE" w:rsidRPr="00D0795D" w:rsidRDefault="00BB0DEE" w:rsidP="00BB0DEE">
            <w:pPr>
              <w:pStyle w:val="NoSpacing"/>
              <w:rPr>
                <w:rFonts w:ascii="Times New Roman" w:hAnsi="Times New Roman" w:cs="Times New Roman"/>
                <w:iCs/>
                <w:sz w:val="24"/>
                <w:szCs w:val="24"/>
                <w:lang w:eastAsia="lv-LV"/>
              </w:rPr>
            </w:pPr>
            <w:r w:rsidRPr="00B82213">
              <w:rPr>
                <w:iCs/>
              </w:rPr>
              <w:t>702 878 338</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tcBorders>
              <w:top w:val="single" w:sz="4" w:space="0" w:color="auto"/>
            </w:tcBorders>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iCs/>
              </w:rPr>
              <w:t>551 124 135</w:t>
            </w:r>
          </w:p>
        </w:tc>
        <w:tc>
          <w:tcPr>
            <w:tcW w:w="1134" w:type="dxa"/>
            <w:tcBorders>
              <w:top w:val="single" w:sz="4" w:space="0" w:color="auto"/>
              <w:left w:val="nil"/>
              <w:bottom w:val="single" w:sz="8" w:space="0" w:color="auto"/>
              <w:right w:val="single" w:sz="8" w:space="0" w:color="auto"/>
            </w:tcBorders>
            <w:shd w:val="clear" w:color="auto" w:fill="auto"/>
            <w:vAlign w:val="center"/>
          </w:tcPr>
          <w:p w:rsidR="00BB0DEE" w:rsidRPr="00E14DD5" w:rsidRDefault="00BB0DEE" w:rsidP="00BB0DEE">
            <w:pPr>
              <w:rPr>
                <w:rFonts w:ascii="Calibri" w:hAnsi="Calibri" w:cs="Calibri"/>
                <w:sz w:val="22"/>
                <w:szCs w:val="22"/>
              </w:rPr>
            </w:pPr>
            <w:r w:rsidRPr="00E14DD5">
              <w:rPr>
                <w:rFonts w:ascii="Calibri" w:hAnsi="Calibri" w:cs="Calibri"/>
                <w:sz w:val="22"/>
                <w:szCs w:val="22"/>
              </w:rPr>
              <w:t>12 111 231</w:t>
            </w:r>
          </w:p>
        </w:tc>
        <w:tc>
          <w:tcPr>
            <w:tcW w:w="992" w:type="dxa"/>
            <w:tcBorders>
              <w:top w:val="single" w:sz="4" w:space="0" w:color="auto"/>
            </w:tcBorders>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iCs/>
              </w:rPr>
              <w:t>551 124 135</w:t>
            </w:r>
          </w:p>
        </w:tc>
        <w:tc>
          <w:tcPr>
            <w:tcW w:w="992" w:type="dxa"/>
            <w:tcBorders>
              <w:top w:val="single" w:sz="4" w:space="0" w:color="auto"/>
              <w:left w:val="nil"/>
              <w:bottom w:val="single" w:sz="8" w:space="0" w:color="auto"/>
              <w:right w:val="single" w:sz="8" w:space="0" w:color="auto"/>
            </w:tcBorders>
            <w:shd w:val="clear" w:color="auto" w:fill="auto"/>
          </w:tcPr>
          <w:p w:rsidR="00BB0DEE" w:rsidRPr="00E14DD5" w:rsidRDefault="00BB0DEE" w:rsidP="00BB0DEE">
            <w:pPr>
              <w:pStyle w:val="NoSpacing"/>
              <w:rPr>
                <w:iCs/>
              </w:rPr>
            </w:pPr>
            <w:r w:rsidRPr="00E14DD5">
              <w:rPr>
                <w:iCs/>
              </w:rPr>
              <w:t>12 122 119</w:t>
            </w:r>
          </w:p>
        </w:tc>
        <w:tc>
          <w:tcPr>
            <w:tcW w:w="1276" w:type="dxa"/>
            <w:tcBorders>
              <w:top w:val="single" w:sz="4" w:space="0" w:color="auto"/>
              <w:left w:val="nil"/>
              <w:bottom w:val="single" w:sz="8" w:space="0" w:color="auto"/>
              <w:right w:val="single" w:sz="8" w:space="0" w:color="auto"/>
            </w:tcBorders>
            <w:shd w:val="clear" w:color="auto" w:fill="auto"/>
          </w:tcPr>
          <w:p w:rsidR="00BB0DEE" w:rsidRPr="00E14DD5" w:rsidRDefault="00BB0DEE" w:rsidP="00BB0DEE">
            <w:pPr>
              <w:pStyle w:val="NoSpacing"/>
              <w:rPr>
                <w:iCs/>
              </w:rPr>
            </w:pPr>
            <w:r w:rsidRPr="00E14DD5">
              <w:rPr>
                <w:iCs/>
              </w:rPr>
              <w:t>12 122 119</w:t>
            </w:r>
          </w:p>
        </w:tc>
      </w:tr>
      <w:tr w:rsidR="00BB0DEE" w:rsidRPr="002570DF" w:rsidTr="00EB5235">
        <w:tc>
          <w:tcPr>
            <w:tcW w:w="1702" w:type="dxa"/>
          </w:tcPr>
          <w:p w:rsidR="00BB0DEE" w:rsidRPr="008F3C6F" w:rsidRDefault="00BB0DEE" w:rsidP="00BB0DEE">
            <w:pPr>
              <w:jc w:val="center"/>
              <w:rPr>
                <w:iCs/>
              </w:rPr>
            </w:pPr>
            <w:r w:rsidRPr="008F3C6F">
              <w:rPr>
                <w:iCs/>
              </w:rPr>
              <w:t>33.14.00</w:t>
            </w:r>
          </w:p>
        </w:tc>
        <w:tc>
          <w:tcPr>
            <w:tcW w:w="992" w:type="dxa"/>
            <w:vAlign w:val="center"/>
          </w:tcPr>
          <w:p w:rsidR="00BB0DEE" w:rsidRPr="00D0795D" w:rsidRDefault="00BB0DEE" w:rsidP="00BB0DEE">
            <w:pPr>
              <w:pStyle w:val="NoSpacing"/>
              <w:jc w:val="center"/>
              <w:rPr>
                <w:rFonts w:ascii="Times New Roman" w:hAnsi="Times New Roman" w:cs="Times New Roman"/>
                <w:iCs/>
                <w:sz w:val="24"/>
                <w:szCs w:val="24"/>
                <w:lang w:eastAsia="lv-LV"/>
              </w:rPr>
            </w:pPr>
            <w:r w:rsidRPr="00D0795D">
              <w:rPr>
                <w:bCs/>
                <w:iCs/>
              </w:rPr>
              <w:t>110 122 878</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87 939 179</w:t>
            </w:r>
          </w:p>
        </w:tc>
        <w:tc>
          <w:tcPr>
            <w:tcW w:w="1134"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1 153 330</w:t>
            </w:r>
          </w:p>
        </w:tc>
        <w:tc>
          <w:tcPr>
            <w:tcW w:w="992"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87 939 179</w:t>
            </w:r>
          </w:p>
        </w:tc>
        <w:tc>
          <w:tcPr>
            <w:tcW w:w="992"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1 154 623</w:t>
            </w:r>
          </w:p>
        </w:tc>
        <w:tc>
          <w:tcPr>
            <w:tcW w:w="1276"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1 154 623</w:t>
            </w:r>
          </w:p>
        </w:tc>
      </w:tr>
      <w:tr w:rsidR="00BB0DEE" w:rsidRPr="002570DF" w:rsidTr="00EB5235">
        <w:tc>
          <w:tcPr>
            <w:tcW w:w="1702" w:type="dxa"/>
          </w:tcPr>
          <w:p w:rsidR="00BB0DEE" w:rsidRPr="008F3C6F" w:rsidRDefault="00BB0DEE" w:rsidP="00BB0DEE">
            <w:pPr>
              <w:jc w:val="center"/>
              <w:rPr>
                <w:iCs/>
              </w:rPr>
            </w:pPr>
            <w:r w:rsidRPr="008F3C6F">
              <w:rPr>
                <w:iCs/>
              </w:rPr>
              <w:t>33.15.00</w:t>
            </w:r>
          </w:p>
        </w:tc>
        <w:tc>
          <w:tcPr>
            <w:tcW w:w="992" w:type="dxa"/>
            <w:vAlign w:val="center"/>
          </w:tcPr>
          <w:p w:rsidR="00BB0DEE" w:rsidRPr="00D0795D" w:rsidRDefault="00BB0DEE" w:rsidP="00BB0DEE">
            <w:pPr>
              <w:pStyle w:val="NoSpacing"/>
              <w:jc w:val="center"/>
              <w:rPr>
                <w:rFonts w:ascii="Times New Roman" w:hAnsi="Times New Roman" w:cs="Times New Roman"/>
                <w:iCs/>
                <w:sz w:val="24"/>
                <w:szCs w:val="24"/>
                <w:lang w:eastAsia="lv-LV"/>
              </w:rPr>
            </w:pPr>
            <w:r w:rsidRPr="00D0795D">
              <w:rPr>
                <w:bCs/>
                <w:iCs/>
              </w:rPr>
              <w:t>29 294 900</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25 616 868</w:t>
            </w:r>
          </w:p>
        </w:tc>
        <w:tc>
          <w:tcPr>
            <w:tcW w:w="1134"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457 988</w:t>
            </w:r>
          </w:p>
        </w:tc>
        <w:tc>
          <w:tcPr>
            <w:tcW w:w="992"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25 616 868</w:t>
            </w:r>
          </w:p>
        </w:tc>
        <w:tc>
          <w:tcPr>
            <w:tcW w:w="992"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458 501</w:t>
            </w:r>
          </w:p>
        </w:tc>
        <w:tc>
          <w:tcPr>
            <w:tcW w:w="1276"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458 501</w:t>
            </w:r>
          </w:p>
        </w:tc>
      </w:tr>
      <w:tr w:rsidR="00BB0DEE" w:rsidRPr="002570DF" w:rsidTr="00EB5235">
        <w:tc>
          <w:tcPr>
            <w:tcW w:w="1702" w:type="dxa"/>
          </w:tcPr>
          <w:p w:rsidR="00BB0DEE" w:rsidRPr="008F3C6F" w:rsidRDefault="00BB0DEE" w:rsidP="00BB0DEE">
            <w:pPr>
              <w:jc w:val="center"/>
              <w:rPr>
                <w:iCs/>
              </w:rPr>
            </w:pPr>
            <w:r w:rsidRPr="008F3C6F">
              <w:rPr>
                <w:iCs/>
              </w:rPr>
              <w:t>33.16.00</w:t>
            </w:r>
          </w:p>
        </w:tc>
        <w:tc>
          <w:tcPr>
            <w:tcW w:w="992" w:type="dxa"/>
            <w:vAlign w:val="center"/>
          </w:tcPr>
          <w:p w:rsidR="00BB0DEE" w:rsidRPr="00D0795D" w:rsidRDefault="00BB0DEE" w:rsidP="00BB0DEE">
            <w:pPr>
              <w:pStyle w:val="NoSpacing"/>
              <w:jc w:val="center"/>
              <w:rPr>
                <w:rFonts w:ascii="Times New Roman" w:hAnsi="Times New Roman" w:cs="Times New Roman"/>
                <w:iCs/>
                <w:sz w:val="24"/>
                <w:szCs w:val="24"/>
                <w:lang w:eastAsia="lv-LV"/>
              </w:rPr>
            </w:pPr>
            <w:r w:rsidRPr="00D0795D">
              <w:rPr>
                <w:bCs/>
                <w:iCs/>
              </w:rPr>
              <w:t>200 469 174</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157 907 996</w:t>
            </w:r>
          </w:p>
        </w:tc>
        <w:tc>
          <w:tcPr>
            <w:tcW w:w="1134"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3 144 169</w:t>
            </w:r>
          </w:p>
        </w:tc>
        <w:tc>
          <w:tcPr>
            <w:tcW w:w="992"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157 907 996</w:t>
            </w:r>
          </w:p>
        </w:tc>
        <w:tc>
          <w:tcPr>
            <w:tcW w:w="992"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3 147 694</w:t>
            </w:r>
          </w:p>
        </w:tc>
        <w:tc>
          <w:tcPr>
            <w:tcW w:w="1276"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3 147 694</w:t>
            </w:r>
          </w:p>
        </w:tc>
      </w:tr>
      <w:tr w:rsidR="00BB0DEE" w:rsidRPr="002570DF" w:rsidTr="00EB5235">
        <w:tc>
          <w:tcPr>
            <w:tcW w:w="1702" w:type="dxa"/>
          </w:tcPr>
          <w:p w:rsidR="00BB0DEE" w:rsidRPr="008F3C6F" w:rsidRDefault="00BB0DEE" w:rsidP="00BB0DEE">
            <w:pPr>
              <w:jc w:val="center"/>
              <w:rPr>
                <w:iCs/>
              </w:rPr>
            </w:pPr>
            <w:r w:rsidRPr="008F3C6F">
              <w:rPr>
                <w:iCs/>
              </w:rPr>
              <w:t>33.17.00</w:t>
            </w:r>
          </w:p>
        </w:tc>
        <w:tc>
          <w:tcPr>
            <w:tcW w:w="992" w:type="dxa"/>
            <w:vAlign w:val="center"/>
          </w:tcPr>
          <w:p w:rsidR="00BB0DEE" w:rsidRPr="00D0795D" w:rsidRDefault="00BB0DEE" w:rsidP="00BB0DEE">
            <w:pPr>
              <w:pStyle w:val="NoSpacing"/>
              <w:jc w:val="center"/>
              <w:rPr>
                <w:rFonts w:ascii="Times New Roman" w:hAnsi="Times New Roman" w:cs="Times New Roman"/>
                <w:iCs/>
                <w:sz w:val="24"/>
                <w:szCs w:val="24"/>
                <w:lang w:eastAsia="lv-LV"/>
              </w:rPr>
            </w:pPr>
            <w:r w:rsidRPr="00D0795D">
              <w:rPr>
                <w:bCs/>
                <w:iCs/>
              </w:rPr>
              <w:t>224 300 914</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177 550 427</w:t>
            </w:r>
          </w:p>
        </w:tc>
        <w:tc>
          <w:tcPr>
            <w:tcW w:w="1134"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4 832 375</w:t>
            </w:r>
          </w:p>
        </w:tc>
        <w:tc>
          <w:tcPr>
            <w:tcW w:w="992"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177 550 427</w:t>
            </w:r>
          </w:p>
        </w:tc>
        <w:tc>
          <w:tcPr>
            <w:tcW w:w="992"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4 836 098</w:t>
            </w:r>
          </w:p>
        </w:tc>
        <w:tc>
          <w:tcPr>
            <w:tcW w:w="1276"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4 836 098</w:t>
            </w:r>
          </w:p>
        </w:tc>
      </w:tr>
      <w:tr w:rsidR="00BB0DEE" w:rsidRPr="002570DF" w:rsidTr="00EB5235">
        <w:tc>
          <w:tcPr>
            <w:tcW w:w="1702" w:type="dxa"/>
            <w:vAlign w:val="center"/>
          </w:tcPr>
          <w:p w:rsidR="00BB0DEE" w:rsidRPr="008F3C6F" w:rsidRDefault="00BB0DEE" w:rsidP="00BB0DEE">
            <w:pPr>
              <w:jc w:val="center"/>
              <w:rPr>
                <w:iCs/>
              </w:rPr>
            </w:pPr>
            <w:r w:rsidRPr="008F3C6F">
              <w:rPr>
                <w:iCs/>
              </w:rPr>
              <w:t>33.18.00</w:t>
            </w:r>
          </w:p>
        </w:tc>
        <w:tc>
          <w:tcPr>
            <w:tcW w:w="992" w:type="dxa"/>
            <w:vAlign w:val="center"/>
          </w:tcPr>
          <w:p w:rsidR="00BB0DEE" w:rsidRPr="00D0795D" w:rsidRDefault="00BB0DEE" w:rsidP="00BB0DEE">
            <w:pPr>
              <w:pStyle w:val="NoSpacing"/>
              <w:jc w:val="center"/>
              <w:rPr>
                <w:rFonts w:ascii="Times New Roman" w:hAnsi="Times New Roman" w:cs="Times New Roman"/>
                <w:iCs/>
                <w:sz w:val="24"/>
                <w:szCs w:val="24"/>
                <w:lang w:eastAsia="lv-LV"/>
              </w:rPr>
            </w:pPr>
            <w:r w:rsidRPr="00D0795D">
              <w:rPr>
                <w:bCs/>
                <w:iCs/>
              </w:rPr>
              <w:t>138 690 472</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102 109 665</w:t>
            </w:r>
          </w:p>
        </w:tc>
        <w:tc>
          <w:tcPr>
            <w:tcW w:w="1134"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2 523 369</w:t>
            </w:r>
          </w:p>
        </w:tc>
        <w:tc>
          <w:tcPr>
            <w:tcW w:w="992"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bCs/>
                <w:iCs/>
              </w:rPr>
              <w:t>102 109 665</w:t>
            </w:r>
          </w:p>
        </w:tc>
        <w:tc>
          <w:tcPr>
            <w:tcW w:w="992"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2 525 203</w:t>
            </w:r>
          </w:p>
        </w:tc>
        <w:tc>
          <w:tcPr>
            <w:tcW w:w="1276" w:type="dxa"/>
            <w:tcBorders>
              <w:top w:val="nil"/>
              <w:left w:val="nil"/>
              <w:bottom w:val="single" w:sz="8" w:space="0" w:color="auto"/>
              <w:right w:val="single" w:sz="8" w:space="0" w:color="auto"/>
            </w:tcBorders>
            <w:shd w:val="clear" w:color="auto" w:fill="auto"/>
          </w:tcPr>
          <w:p w:rsidR="00BB0DEE" w:rsidRPr="00E14DD5" w:rsidRDefault="00BB0DEE" w:rsidP="00BB0DEE">
            <w:pPr>
              <w:pStyle w:val="NoSpacing"/>
              <w:rPr>
                <w:bCs/>
                <w:iCs/>
              </w:rPr>
            </w:pPr>
            <w:r w:rsidRPr="00E14DD5">
              <w:rPr>
                <w:bCs/>
                <w:iCs/>
              </w:rPr>
              <w:t>2 525 203</w:t>
            </w:r>
          </w:p>
        </w:tc>
      </w:tr>
      <w:tr w:rsidR="00305A79" w:rsidRPr="002570DF" w:rsidTr="006936E5">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2.2. valsts speciālais budžets</w:t>
            </w:r>
          </w:p>
        </w:tc>
        <w:tc>
          <w:tcPr>
            <w:tcW w:w="992"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1134"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1276"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r>
      <w:tr w:rsidR="00305A79" w:rsidRPr="002570DF" w:rsidTr="006936E5">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2.3. pašvaldību budžets</w:t>
            </w:r>
          </w:p>
        </w:tc>
        <w:tc>
          <w:tcPr>
            <w:tcW w:w="992"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BB0DEE" w:rsidRPr="002570DF" w:rsidTr="00504DA6">
        <w:tc>
          <w:tcPr>
            <w:tcW w:w="1702" w:type="dxa"/>
            <w:vAlign w:val="center"/>
          </w:tcPr>
          <w:p w:rsidR="00BB0DEE" w:rsidRPr="002570DF" w:rsidRDefault="00BB0DEE" w:rsidP="00BB0DEE">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 Finansiālā ietekme</w:t>
            </w:r>
          </w:p>
        </w:tc>
        <w:tc>
          <w:tcPr>
            <w:tcW w:w="992"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6D656F">
              <w:rPr>
                <w:bCs/>
                <w:iCs/>
              </w:rPr>
              <w:t>-1 035</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tcPr>
          <w:p w:rsidR="00BB0DEE" w:rsidRPr="00E14DD5" w:rsidRDefault="00BB0DEE" w:rsidP="00BB0DEE">
            <w:pPr>
              <w:pStyle w:val="NoSpacing"/>
              <w:rPr>
                <w:bCs/>
                <w:iCs/>
              </w:rPr>
            </w:pPr>
            <w:r w:rsidRPr="00E14DD5">
              <w:rPr>
                <w:bCs/>
                <w:iCs/>
              </w:rPr>
              <w:t>- 12 111 231</w:t>
            </w:r>
          </w:p>
        </w:tc>
        <w:tc>
          <w:tcPr>
            <w:tcW w:w="992"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tcPr>
          <w:p w:rsidR="00BB0DEE" w:rsidRPr="00E14DD5" w:rsidRDefault="00BB0DEE" w:rsidP="00BB0DEE">
            <w:pPr>
              <w:pStyle w:val="NoSpacing"/>
              <w:rPr>
                <w:bCs/>
                <w:iCs/>
              </w:rPr>
            </w:pPr>
            <w:r w:rsidRPr="00E14DD5">
              <w:rPr>
                <w:bCs/>
                <w:iCs/>
              </w:rPr>
              <w:t>- 12 122 119</w:t>
            </w:r>
          </w:p>
        </w:tc>
        <w:tc>
          <w:tcPr>
            <w:tcW w:w="1276" w:type="dxa"/>
          </w:tcPr>
          <w:p w:rsidR="00BB0DEE" w:rsidRPr="00E14DD5" w:rsidRDefault="00BB0DEE" w:rsidP="00BB0DEE">
            <w:pPr>
              <w:pStyle w:val="NoSpacing"/>
              <w:rPr>
                <w:bCs/>
                <w:iCs/>
              </w:rPr>
            </w:pPr>
            <w:r w:rsidRPr="00E14DD5">
              <w:rPr>
                <w:bCs/>
                <w:iCs/>
              </w:rPr>
              <w:t>- 12 122 119</w:t>
            </w:r>
          </w:p>
        </w:tc>
      </w:tr>
      <w:tr w:rsidR="00BB0DEE" w:rsidRPr="002570DF" w:rsidTr="00504DA6">
        <w:tc>
          <w:tcPr>
            <w:tcW w:w="1702" w:type="dxa"/>
            <w:vAlign w:val="center"/>
          </w:tcPr>
          <w:p w:rsidR="00BB0DEE" w:rsidRPr="002570DF" w:rsidRDefault="00BB0DEE" w:rsidP="00BB0DEE">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3.1. valsts pamatbudžets</w:t>
            </w:r>
          </w:p>
        </w:tc>
        <w:tc>
          <w:tcPr>
            <w:tcW w:w="992"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6D656F">
              <w:rPr>
                <w:bCs/>
                <w:iCs/>
              </w:rPr>
              <w:t>-1 035</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tcPr>
          <w:p w:rsidR="00BB0DEE" w:rsidRPr="00E14DD5" w:rsidRDefault="00BB0DEE" w:rsidP="00BB0DEE">
            <w:pPr>
              <w:pStyle w:val="NoSpacing"/>
              <w:rPr>
                <w:bCs/>
                <w:iCs/>
              </w:rPr>
            </w:pPr>
            <w:r w:rsidRPr="00E14DD5">
              <w:rPr>
                <w:bCs/>
                <w:iCs/>
              </w:rPr>
              <w:t>- 12 111 231</w:t>
            </w:r>
          </w:p>
        </w:tc>
        <w:tc>
          <w:tcPr>
            <w:tcW w:w="992" w:type="dxa"/>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tcPr>
          <w:p w:rsidR="00BB0DEE" w:rsidRPr="00E14DD5" w:rsidRDefault="00BB0DEE" w:rsidP="00BB0DEE">
            <w:pPr>
              <w:pStyle w:val="NoSpacing"/>
              <w:rPr>
                <w:bCs/>
                <w:iCs/>
              </w:rPr>
            </w:pPr>
            <w:r w:rsidRPr="00E14DD5">
              <w:rPr>
                <w:bCs/>
                <w:iCs/>
              </w:rPr>
              <w:t>- 12 122 119</w:t>
            </w:r>
          </w:p>
        </w:tc>
        <w:tc>
          <w:tcPr>
            <w:tcW w:w="1276" w:type="dxa"/>
          </w:tcPr>
          <w:p w:rsidR="00BB0DEE" w:rsidRPr="00E14DD5" w:rsidRDefault="00BB0DEE" w:rsidP="00BB0DEE">
            <w:pPr>
              <w:pStyle w:val="NoSpacing"/>
              <w:rPr>
                <w:bCs/>
                <w:iCs/>
              </w:rPr>
            </w:pPr>
            <w:r w:rsidRPr="00E14DD5">
              <w:rPr>
                <w:bCs/>
                <w:iCs/>
              </w:rPr>
              <w:t>- 12 122 119</w:t>
            </w:r>
          </w:p>
        </w:tc>
      </w:tr>
      <w:tr w:rsidR="00305A79" w:rsidRPr="002570DF" w:rsidTr="006936E5">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3.2. speciālais budžets</w:t>
            </w:r>
          </w:p>
        </w:tc>
        <w:tc>
          <w:tcPr>
            <w:tcW w:w="992"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1276"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r>
      <w:tr w:rsidR="00305A79" w:rsidRPr="002570DF" w:rsidTr="006936E5">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3.3. pašvaldību budžets</w:t>
            </w:r>
          </w:p>
        </w:tc>
        <w:tc>
          <w:tcPr>
            <w:tcW w:w="992"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68"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1276"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r>
      <w:tr w:rsidR="00305A79" w:rsidRPr="002570DF" w:rsidTr="006936E5">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X</w:t>
            </w:r>
          </w:p>
        </w:tc>
        <w:tc>
          <w:tcPr>
            <w:tcW w:w="1268"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1276"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r>
      <w:tr w:rsidR="00BB0DEE" w:rsidRPr="002570DF" w:rsidTr="00504DA6">
        <w:tc>
          <w:tcPr>
            <w:tcW w:w="1702" w:type="dxa"/>
            <w:vAlign w:val="center"/>
          </w:tcPr>
          <w:p w:rsidR="00BB0DEE" w:rsidRPr="002570DF" w:rsidRDefault="00BB0DEE" w:rsidP="00BB0DEE">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lastRenderedPageBreak/>
              <w:t>5. Precizēta finansiālā ietekme</w:t>
            </w:r>
          </w:p>
        </w:tc>
        <w:tc>
          <w:tcPr>
            <w:tcW w:w="992" w:type="dxa"/>
            <w:vMerge w:val="restart"/>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X</w:t>
            </w:r>
          </w:p>
        </w:tc>
        <w:tc>
          <w:tcPr>
            <w:tcW w:w="1268" w:type="dxa"/>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restart"/>
            <w:vAlign w:val="center"/>
          </w:tcPr>
          <w:p w:rsidR="00BB0DEE" w:rsidRPr="002570DF" w:rsidRDefault="00BB0DEE" w:rsidP="00BB0DEE">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tcPr>
          <w:p w:rsidR="00BB0DEE" w:rsidRPr="00E14DD5" w:rsidRDefault="00BB0DEE" w:rsidP="00BB0DEE">
            <w:pPr>
              <w:pStyle w:val="NoSpacing"/>
              <w:rPr>
                <w:bCs/>
                <w:iCs/>
              </w:rPr>
            </w:pPr>
            <w:r w:rsidRPr="00E14DD5">
              <w:rPr>
                <w:bCs/>
                <w:iCs/>
              </w:rPr>
              <w:t>-</w:t>
            </w:r>
            <w:r w:rsidRPr="00E14DD5">
              <w:t xml:space="preserve"> </w:t>
            </w:r>
            <w:r w:rsidRPr="00E14DD5">
              <w:rPr>
                <w:bCs/>
                <w:iCs/>
              </w:rPr>
              <w:t>12 111 231</w:t>
            </w:r>
          </w:p>
        </w:tc>
        <w:tc>
          <w:tcPr>
            <w:tcW w:w="992" w:type="dxa"/>
            <w:vMerge w:val="restart"/>
            <w:vAlign w:val="center"/>
          </w:tcPr>
          <w:p w:rsidR="00BB0DEE" w:rsidRPr="00E14DD5" w:rsidRDefault="00BB0DEE" w:rsidP="00BB0DEE">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tcPr>
          <w:p w:rsidR="00BB0DEE" w:rsidRPr="00E14DD5" w:rsidRDefault="00BB0DEE" w:rsidP="00BB0DEE">
            <w:pPr>
              <w:pStyle w:val="NoSpacing"/>
              <w:rPr>
                <w:bCs/>
                <w:iCs/>
              </w:rPr>
            </w:pPr>
            <w:r w:rsidRPr="00E14DD5">
              <w:rPr>
                <w:bCs/>
                <w:iCs/>
              </w:rPr>
              <w:t>- 12 122 119</w:t>
            </w:r>
          </w:p>
        </w:tc>
        <w:tc>
          <w:tcPr>
            <w:tcW w:w="1276" w:type="dxa"/>
          </w:tcPr>
          <w:p w:rsidR="00BB0DEE" w:rsidRPr="00E14DD5" w:rsidRDefault="00BB0DEE" w:rsidP="00BB0DEE">
            <w:pPr>
              <w:pStyle w:val="NoSpacing"/>
              <w:rPr>
                <w:bCs/>
                <w:iCs/>
              </w:rPr>
            </w:pPr>
            <w:r w:rsidRPr="00E14DD5">
              <w:rPr>
                <w:bCs/>
                <w:iCs/>
              </w:rPr>
              <w:t>- 12 122 119</w:t>
            </w:r>
          </w:p>
        </w:tc>
      </w:tr>
      <w:tr w:rsidR="00816514" w:rsidRPr="002570DF" w:rsidTr="00504DA6">
        <w:tc>
          <w:tcPr>
            <w:tcW w:w="1702" w:type="dxa"/>
            <w:vAlign w:val="center"/>
          </w:tcPr>
          <w:p w:rsidR="00816514" w:rsidRPr="002570DF" w:rsidRDefault="00816514" w:rsidP="00816514">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5.1. valsts pamatbudžets</w:t>
            </w:r>
          </w:p>
        </w:tc>
        <w:tc>
          <w:tcPr>
            <w:tcW w:w="992" w:type="dxa"/>
            <w:vMerge/>
            <w:vAlign w:val="center"/>
          </w:tcPr>
          <w:p w:rsidR="00816514" w:rsidRPr="002570DF" w:rsidRDefault="00816514" w:rsidP="00816514">
            <w:pPr>
              <w:pStyle w:val="NoSpacing"/>
              <w:rPr>
                <w:rFonts w:ascii="Times New Roman" w:hAnsi="Times New Roman" w:cs="Times New Roman"/>
                <w:iCs/>
                <w:sz w:val="24"/>
                <w:szCs w:val="24"/>
                <w:lang w:eastAsia="lv-LV"/>
              </w:rPr>
            </w:pPr>
          </w:p>
        </w:tc>
        <w:tc>
          <w:tcPr>
            <w:tcW w:w="1268" w:type="dxa"/>
            <w:vAlign w:val="center"/>
          </w:tcPr>
          <w:p w:rsidR="00816514" w:rsidRPr="002570DF" w:rsidRDefault="00816514" w:rsidP="00816514">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ign w:val="center"/>
          </w:tcPr>
          <w:p w:rsidR="00816514" w:rsidRPr="002570DF" w:rsidRDefault="00816514" w:rsidP="00816514">
            <w:pPr>
              <w:pStyle w:val="NoSpacing"/>
              <w:rPr>
                <w:rFonts w:ascii="Times New Roman" w:hAnsi="Times New Roman" w:cs="Times New Roman"/>
                <w:iCs/>
                <w:sz w:val="24"/>
                <w:szCs w:val="24"/>
                <w:lang w:eastAsia="lv-LV"/>
              </w:rPr>
            </w:pPr>
          </w:p>
        </w:tc>
        <w:tc>
          <w:tcPr>
            <w:tcW w:w="1134" w:type="dxa"/>
          </w:tcPr>
          <w:p w:rsidR="00816514" w:rsidRPr="00E14DD5" w:rsidRDefault="00816514" w:rsidP="00816514">
            <w:pPr>
              <w:pStyle w:val="NoSpacing"/>
              <w:rPr>
                <w:bCs/>
                <w:iCs/>
              </w:rPr>
            </w:pPr>
            <w:r w:rsidRPr="00E14DD5">
              <w:rPr>
                <w:bCs/>
                <w:iCs/>
              </w:rPr>
              <w:t>-</w:t>
            </w:r>
            <w:r w:rsidRPr="00E14DD5">
              <w:t xml:space="preserve"> </w:t>
            </w:r>
            <w:r w:rsidRPr="00E14DD5">
              <w:rPr>
                <w:bCs/>
                <w:iCs/>
              </w:rPr>
              <w:t xml:space="preserve">12 </w:t>
            </w:r>
            <w:r w:rsidR="00BB0DEE" w:rsidRPr="00E14DD5">
              <w:rPr>
                <w:bCs/>
                <w:iCs/>
              </w:rPr>
              <w:t>111 231</w:t>
            </w:r>
          </w:p>
        </w:tc>
        <w:tc>
          <w:tcPr>
            <w:tcW w:w="992" w:type="dxa"/>
            <w:vMerge/>
            <w:vAlign w:val="center"/>
          </w:tcPr>
          <w:p w:rsidR="00816514" w:rsidRPr="00E14DD5" w:rsidRDefault="00816514" w:rsidP="00816514">
            <w:pPr>
              <w:pStyle w:val="NoSpacing"/>
              <w:rPr>
                <w:rFonts w:ascii="Times New Roman" w:hAnsi="Times New Roman" w:cs="Times New Roman"/>
                <w:iCs/>
                <w:sz w:val="24"/>
                <w:szCs w:val="24"/>
                <w:lang w:eastAsia="lv-LV"/>
              </w:rPr>
            </w:pPr>
          </w:p>
        </w:tc>
        <w:tc>
          <w:tcPr>
            <w:tcW w:w="992" w:type="dxa"/>
          </w:tcPr>
          <w:p w:rsidR="00816514" w:rsidRPr="00E14DD5" w:rsidRDefault="00816514" w:rsidP="00816514">
            <w:pPr>
              <w:pStyle w:val="NoSpacing"/>
              <w:rPr>
                <w:bCs/>
                <w:iCs/>
              </w:rPr>
            </w:pPr>
            <w:r w:rsidRPr="00E14DD5">
              <w:rPr>
                <w:bCs/>
                <w:iCs/>
              </w:rPr>
              <w:t>-</w:t>
            </w:r>
            <w:r w:rsidRPr="00E14DD5">
              <w:t xml:space="preserve"> </w:t>
            </w:r>
            <w:r w:rsidRPr="00E14DD5">
              <w:rPr>
                <w:bCs/>
                <w:iCs/>
              </w:rPr>
              <w:t xml:space="preserve">12 </w:t>
            </w:r>
            <w:r w:rsidR="00BB0DEE" w:rsidRPr="00E14DD5">
              <w:rPr>
                <w:bCs/>
                <w:iCs/>
              </w:rPr>
              <w:t>122 119</w:t>
            </w:r>
          </w:p>
        </w:tc>
        <w:tc>
          <w:tcPr>
            <w:tcW w:w="1276" w:type="dxa"/>
          </w:tcPr>
          <w:p w:rsidR="00816514" w:rsidRPr="00E14DD5" w:rsidRDefault="00BB0DEE" w:rsidP="00816514">
            <w:pPr>
              <w:pStyle w:val="NoSpacing"/>
              <w:rPr>
                <w:bCs/>
                <w:iCs/>
              </w:rPr>
            </w:pPr>
            <w:r w:rsidRPr="00E14DD5">
              <w:rPr>
                <w:bCs/>
                <w:iCs/>
              </w:rPr>
              <w:t>- 12 122 119</w:t>
            </w:r>
          </w:p>
        </w:tc>
      </w:tr>
      <w:tr w:rsidR="00305A79" w:rsidRPr="002570DF" w:rsidTr="006936E5">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5.2. speciālais budžets</w:t>
            </w:r>
          </w:p>
        </w:tc>
        <w:tc>
          <w:tcPr>
            <w:tcW w:w="992" w:type="dxa"/>
            <w:vMerge/>
            <w:vAlign w:val="center"/>
          </w:tcPr>
          <w:p w:rsidR="00305A79" w:rsidRPr="002570DF" w:rsidRDefault="00305A79" w:rsidP="00305A79">
            <w:pPr>
              <w:pStyle w:val="NoSpacing"/>
              <w:rPr>
                <w:rFonts w:ascii="Times New Roman" w:hAnsi="Times New Roman" w:cs="Times New Roman"/>
                <w:iCs/>
                <w:sz w:val="24"/>
                <w:szCs w:val="24"/>
                <w:lang w:eastAsia="lv-LV"/>
              </w:rPr>
            </w:pPr>
          </w:p>
        </w:tc>
        <w:tc>
          <w:tcPr>
            <w:tcW w:w="1268"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ign w:val="center"/>
          </w:tcPr>
          <w:p w:rsidR="00305A79" w:rsidRPr="002570DF" w:rsidRDefault="00305A79" w:rsidP="00305A79">
            <w:pPr>
              <w:pStyle w:val="NoSpacing"/>
              <w:rPr>
                <w:rFonts w:ascii="Times New Roman" w:hAnsi="Times New Roman" w:cs="Times New Roman"/>
                <w:iCs/>
                <w:sz w:val="24"/>
                <w:szCs w:val="24"/>
                <w:lang w:eastAsia="lv-LV"/>
              </w:rPr>
            </w:pPr>
          </w:p>
        </w:tc>
        <w:tc>
          <w:tcPr>
            <w:tcW w:w="1134"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992" w:type="dxa"/>
            <w:vMerge/>
            <w:vAlign w:val="center"/>
          </w:tcPr>
          <w:p w:rsidR="00305A79" w:rsidRPr="00E14DD5" w:rsidRDefault="00305A79" w:rsidP="00305A79">
            <w:pPr>
              <w:pStyle w:val="NoSpacing"/>
              <w:rPr>
                <w:rFonts w:ascii="Times New Roman" w:hAnsi="Times New Roman" w:cs="Times New Roman"/>
                <w:iCs/>
                <w:sz w:val="24"/>
                <w:szCs w:val="24"/>
                <w:lang w:eastAsia="lv-LV"/>
              </w:rPr>
            </w:pPr>
          </w:p>
        </w:tc>
        <w:tc>
          <w:tcPr>
            <w:tcW w:w="992"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c>
          <w:tcPr>
            <w:tcW w:w="1276" w:type="dxa"/>
            <w:vAlign w:val="center"/>
          </w:tcPr>
          <w:p w:rsidR="00305A79" w:rsidRPr="00E14DD5" w:rsidRDefault="00305A79" w:rsidP="00305A79">
            <w:pPr>
              <w:pStyle w:val="NoSpacing"/>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0</w:t>
            </w:r>
          </w:p>
        </w:tc>
      </w:tr>
      <w:tr w:rsidR="00305A79" w:rsidRPr="002570DF" w:rsidTr="006936E5">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5.3. pašvaldību budžets</w:t>
            </w:r>
          </w:p>
        </w:tc>
        <w:tc>
          <w:tcPr>
            <w:tcW w:w="992" w:type="dxa"/>
            <w:vMerge/>
            <w:vAlign w:val="center"/>
          </w:tcPr>
          <w:p w:rsidR="00305A79" w:rsidRPr="002570DF" w:rsidRDefault="00305A79" w:rsidP="00305A79">
            <w:pPr>
              <w:pStyle w:val="NoSpacing"/>
              <w:rPr>
                <w:rFonts w:ascii="Times New Roman" w:hAnsi="Times New Roman" w:cs="Times New Roman"/>
                <w:iCs/>
                <w:sz w:val="24"/>
                <w:szCs w:val="24"/>
                <w:lang w:eastAsia="lv-LV"/>
              </w:rPr>
            </w:pPr>
          </w:p>
        </w:tc>
        <w:tc>
          <w:tcPr>
            <w:tcW w:w="1268"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ign w:val="center"/>
          </w:tcPr>
          <w:p w:rsidR="00305A79" w:rsidRPr="002570DF" w:rsidRDefault="00305A79" w:rsidP="00305A79">
            <w:pPr>
              <w:pStyle w:val="NoSpacing"/>
              <w:rPr>
                <w:rFonts w:ascii="Times New Roman" w:hAnsi="Times New Roman" w:cs="Times New Roman"/>
                <w:iCs/>
                <w:sz w:val="24"/>
                <w:szCs w:val="24"/>
                <w:lang w:eastAsia="lv-LV"/>
              </w:rPr>
            </w:pPr>
          </w:p>
        </w:tc>
        <w:tc>
          <w:tcPr>
            <w:tcW w:w="1134"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Merge/>
            <w:vAlign w:val="center"/>
          </w:tcPr>
          <w:p w:rsidR="00305A79" w:rsidRPr="002570DF" w:rsidRDefault="00305A79" w:rsidP="00305A79">
            <w:pPr>
              <w:pStyle w:val="NoSpacing"/>
              <w:rPr>
                <w:rFonts w:ascii="Times New Roman" w:hAnsi="Times New Roman" w:cs="Times New Roman"/>
                <w:iCs/>
                <w:sz w:val="24"/>
                <w:szCs w:val="24"/>
                <w:lang w:eastAsia="lv-LV"/>
              </w:rPr>
            </w:pPr>
          </w:p>
        </w:tc>
        <w:tc>
          <w:tcPr>
            <w:tcW w:w="992"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305A79" w:rsidRPr="002570DF" w:rsidTr="00136C6F">
        <w:trPr>
          <w:trHeight w:val="3198"/>
        </w:trPr>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417C63" w:rsidRDefault="00417C63" w:rsidP="00417C63">
            <w:pPr>
              <w:tabs>
                <w:tab w:val="left" w:pos="976"/>
              </w:tabs>
              <w:ind w:firstLine="463"/>
              <w:jc w:val="both"/>
              <w:rPr>
                <w:rFonts w:cs="Angsana New"/>
                <w:shd w:val="clear" w:color="auto" w:fill="FFFFFF"/>
              </w:rPr>
            </w:pPr>
            <w:r w:rsidRPr="00417C63">
              <w:rPr>
                <w:rFonts w:cs="Angsana New"/>
                <w:shd w:val="clear" w:color="auto" w:fill="FFFFFF"/>
              </w:rPr>
              <w:t>Ietekme uz 2019.-2021.gadu ik gadu:</w:t>
            </w:r>
          </w:p>
          <w:p w:rsidR="00417C63" w:rsidRPr="00E14DD5" w:rsidRDefault="00417C63" w:rsidP="00B603CA">
            <w:pPr>
              <w:tabs>
                <w:tab w:val="left" w:pos="976"/>
              </w:tabs>
              <w:ind w:firstLine="463"/>
              <w:jc w:val="both"/>
              <w:rPr>
                <w:rFonts w:cs="Angsana New"/>
                <w:shd w:val="clear" w:color="auto" w:fill="FFFFFF"/>
              </w:rPr>
            </w:pPr>
          </w:p>
          <w:p w:rsidR="00417C63" w:rsidRPr="00E14DD5" w:rsidRDefault="00417C63" w:rsidP="00417C63">
            <w:pPr>
              <w:ind w:firstLine="463"/>
              <w:jc w:val="both"/>
              <w:rPr>
                <w:rFonts w:cs="Angsana New"/>
                <w:shd w:val="clear" w:color="auto" w:fill="FFFFFF"/>
              </w:rPr>
            </w:pPr>
            <w:r w:rsidRPr="00E14DD5">
              <w:rPr>
                <w:rFonts w:cs="Angsana New"/>
                <w:shd w:val="clear" w:color="auto" w:fill="FFFFFF"/>
              </w:rPr>
              <w:t xml:space="preserve">1. </w:t>
            </w:r>
            <w:r w:rsidR="00462337" w:rsidRPr="00E14DD5">
              <w:rPr>
                <w:iCs/>
              </w:rPr>
              <w:t xml:space="preserve">2019.gadam 9 711 905 </w:t>
            </w:r>
            <w:r w:rsidR="00462337" w:rsidRPr="00E14DD5">
              <w:rPr>
                <w:i/>
                <w:iCs/>
              </w:rPr>
              <w:t>euro</w:t>
            </w:r>
            <w:r w:rsidR="00462337" w:rsidRPr="00E14DD5">
              <w:rPr>
                <w:iCs/>
              </w:rPr>
              <w:t xml:space="preserve"> apmērā un 2020.gadam un turpmāk ik gadu 9 722 793 </w:t>
            </w:r>
            <w:r w:rsidR="00462337" w:rsidRPr="00E14DD5">
              <w:rPr>
                <w:i/>
                <w:iCs/>
              </w:rPr>
              <w:t>euro</w:t>
            </w:r>
            <w:r w:rsidR="00462337" w:rsidRPr="00E14DD5">
              <w:rPr>
                <w:iCs/>
              </w:rPr>
              <w:t xml:space="preserve"> apmērā </w:t>
            </w:r>
            <w:r w:rsidR="00995406" w:rsidRPr="00E14DD5">
              <w:rPr>
                <w:iCs/>
              </w:rPr>
              <w:t>d</w:t>
            </w:r>
            <w:r w:rsidRPr="00E14DD5">
              <w:rPr>
                <w:rFonts w:cs="Angsana New"/>
                <w:shd w:val="clear" w:color="auto" w:fill="FFFFFF"/>
              </w:rPr>
              <w:t>arba samaksas palielināšana pārējam personālam integrēšanai tarifos, kas nepieciešams valsts apmaksāto veselības aprūpes pakalpojumu sniegšanas nodrošināšana</w:t>
            </w:r>
            <w:r w:rsidR="00995406" w:rsidRPr="00E14DD5">
              <w:rPr>
                <w:rFonts w:cs="Angsana New"/>
                <w:shd w:val="clear" w:color="auto" w:fill="FFFFFF"/>
              </w:rPr>
              <w:t>i un nav ārstniecības personas</w:t>
            </w:r>
            <w:r w:rsidR="00886F12" w:rsidRPr="00E14DD5">
              <w:rPr>
                <w:rFonts w:cs="Angsana New"/>
                <w:shd w:val="clear" w:color="auto" w:fill="FFFFFF"/>
              </w:rPr>
              <w:t>.</w:t>
            </w:r>
          </w:p>
          <w:p w:rsidR="00417C63" w:rsidRPr="00E14DD5" w:rsidRDefault="00417C63" w:rsidP="00417C63">
            <w:pPr>
              <w:tabs>
                <w:tab w:val="left" w:pos="976"/>
              </w:tabs>
              <w:ind w:firstLine="463"/>
              <w:jc w:val="both"/>
              <w:rPr>
                <w:rFonts w:cs="Angsana New"/>
                <w:shd w:val="clear" w:color="auto" w:fill="FFFFFF"/>
              </w:rPr>
            </w:pPr>
            <w:r w:rsidRPr="00E14DD5">
              <w:rPr>
                <w:rFonts w:cs="Angsana New"/>
                <w:shd w:val="clear" w:color="auto" w:fill="FFFFFF"/>
              </w:rPr>
              <w:t>Sadalījumā pa Veselības ministrijas (NVD) budžeta programmām:</w:t>
            </w:r>
          </w:p>
          <w:p w:rsidR="00CC7B3B" w:rsidRPr="00E14DD5" w:rsidRDefault="00CC7B3B" w:rsidP="00CC7B3B">
            <w:pPr>
              <w:pStyle w:val="NoSpacing"/>
              <w:ind w:firstLine="179"/>
              <w:jc w:val="both"/>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 xml:space="preserve">* 1 153 330 </w:t>
            </w:r>
            <w:r w:rsidRPr="00E14DD5">
              <w:rPr>
                <w:rFonts w:ascii="Times New Roman" w:hAnsi="Times New Roman" w:cs="Times New Roman"/>
                <w:i/>
                <w:iCs/>
                <w:sz w:val="24"/>
                <w:szCs w:val="24"/>
                <w:lang w:eastAsia="lv-LV"/>
              </w:rPr>
              <w:t>euro</w:t>
            </w:r>
            <w:r w:rsidRPr="00E14DD5">
              <w:rPr>
                <w:rFonts w:ascii="Times New Roman" w:hAnsi="Times New Roman" w:cs="Times New Roman"/>
                <w:iCs/>
                <w:sz w:val="24"/>
                <w:szCs w:val="24"/>
                <w:lang w:eastAsia="lv-LV"/>
              </w:rPr>
              <w:t xml:space="preserve"> 2019.gadam un 1 154 623 </w:t>
            </w:r>
            <w:r w:rsidRPr="00E14DD5">
              <w:rPr>
                <w:rFonts w:ascii="Times New Roman" w:hAnsi="Times New Roman" w:cs="Times New Roman"/>
                <w:i/>
                <w:iCs/>
                <w:sz w:val="24"/>
                <w:szCs w:val="24"/>
                <w:lang w:eastAsia="lv-LV"/>
              </w:rPr>
              <w:t>euro</w:t>
            </w:r>
            <w:r w:rsidRPr="00E14DD5">
              <w:rPr>
                <w:rFonts w:ascii="Times New Roman" w:hAnsi="Times New Roman" w:cs="Times New Roman"/>
                <w:iCs/>
                <w:sz w:val="24"/>
                <w:szCs w:val="24"/>
                <w:lang w:eastAsia="lv-LV"/>
              </w:rPr>
              <w:t xml:space="preserve"> 2020.gadam un turpmāk ik gadu izdevumiem subsīdijām un dotācijām budžeta apakšprogrammai 33.14.00 “Primārās ambulatorās veselības aprūpes nodrošināšana”;</w:t>
            </w:r>
          </w:p>
          <w:p w:rsidR="00CC7B3B" w:rsidRPr="00E14DD5" w:rsidRDefault="00CC7B3B" w:rsidP="00CC7B3B">
            <w:pPr>
              <w:pStyle w:val="NoSpacing"/>
              <w:ind w:firstLine="179"/>
              <w:jc w:val="both"/>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 xml:space="preserve">* 457 988 </w:t>
            </w:r>
            <w:r w:rsidRPr="00E14DD5">
              <w:rPr>
                <w:rFonts w:ascii="Times New Roman" w:hAnsi="Times New Roman" w:cs="Times New Roman"/>
                <w:i/>
                <w:iCs/>
                <w:sz w:val="24"/>
                <w:szCs w:val="24"/>
                <w:lang w:eastAsia="lv-LV"/>
              </w:rPr>
              <w:t>euro</w:t>
            </w:r>
            <w:r w:rsidRPr="00E14DD5">
              <w:rPr>
                <w:rFonts w:ascii="Times New Roman" w:hAnsi="Times New Roman" w:cs="Times New Roman"/>
                <w:iCs/>
                <w:sz w:val="24"/>
                <w:szCs w:val="24"/>
                <w:lang w:eastAsia="lv-LV"/>
              </w:rPr>
              <w:t xml:space="preserve"> 2019.gadam un 458 501 </w:t>
            </w:r>
            <w:r w:rsidRPr="00E14DD5">
              <w:rPr>
                <w:rFonts w:ascii="Times New Roman" w:hAnsi="Times New Roman" w:cs="Times New Roman"/>
                <w:i/>
                <w:iCs/>
                <w:sz w:val="24"/>
                <w:szCs w:val="24"/>
                <w:lang w:eastAsia="lv-LV"/>
              </w:rPr>
              <w:t>euro</w:t>
            </w:r>
            <w:r w:rsidRPr="00E14DD5">
              <w:rPr>
                <w:rFonts w:ascii="Times New Roman" w:hAnsi="Times New Roman" w:cs="Times New Roman"/>
                <w:iCs/>
                <w:sz w:val="24"/>
                <w:szCs w:val="24"/>
                <w:lang w:eastAsia="lv-LV"/>
              </w:rPr>
              <w:t xml:space="preserve"> 2020.gadam un turpmāk ik gadu izdevumiem subsīdijām un dotācijām budžeta apakšprogrammai 33.15.00 “Laboratorisko izmeklējumu nodrošināšana ambulatorajā aprūpē”;</w:t>
            </w:r>
          </w:p>
          <w:p w:rsidR="00CC7B3B" w:rsidRPr="00E14DD5" w:rsidRDefault="00CC7B3B" w:rsidP="00CC7B3B">
            <w:pPr>
              <w:pStyle w:val="NoSpacing"/>
              <w:ind w:firstLine="179"/>
              <w:jc w:val="both"/>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 xml:space="preserve">* 3 144 169 </w:t>
            </w:r>
            <w:r w:rsidRPr="00E14DD5">
              <w:rPr>
                <w:rFonts w:ascii="Times New Roman" w:hAnsi="Times New Roman" w:cs="Times New Roman"/>
                <w:i/>
                <w:iCs/>
                <w:sz w:val="24"/>
                <w:szCs w:val="24"/>
                <w:lang w:eastAsia="lv-LV"/>
              </w:rPr>
              <w:t>euro</w:t>
            </w:r>
            <w:r w:rsidRPr="00E14DD5">
              <w:rPr>
                <w:rFonts w:ascii="Times New Roman" w:hAnsi="Times New Roman" w:cs="Times New Roman"/>
                <w:iCs/>
                <w:sz w:val="24"/>
                <w:szCs w:val="24"/>
                <w:lang w:eastAsia="lv-LV"/>
              </w:rPr>
              <w:t xml:space="preserve"> 2019.gadam un 3 147 694 </w:t>
            </w:r>
            <w:r w:rsidRPr="00E14DD5">
              <w:rPr>
                <w:rFonts w:ascii="Times New Roman" w:hAnsi="Times New Roman" w:cs="Times New Roman"/>
                <w:i/>
                <w:iCs/>
                <w:sz w:val="24"/>
                <w:szCs w:val="24"/>
                <w:lang w:eastAsia="lv-LV"/>
              </w:rPr>
              <w:t>euro</w:t>
            </w:r>
            <w:r w:rsidRPr="00E14DD5">
              <w:rPr>
                <w:rFonts w:ascii="Times New Roman" w:hAnsi="Times New Roman" w:cs="Times New Roman"/>
                <w:iCs/>
                <w:sz w:val="24"/>
                <w:szCs w:val="24"/>
                <w:lang w:eastAsia="lv-LV"/>
              </w:rPr>
              <w:t xml:space="preserve"> 2020.gadam un turpmāk ik gadu izdevumiem subsīdijām un dotācijām budžeta apakšprogrammai 33.16.00 “Pārējo ambulatoro veselības aprūpes pakalpojumu nodrošināšana”;</w:t>
            </w:r>
          </w:p>
          <w:p w:rsidR="00CC7B3B" w:rsidRPr="00E14DD5" w:rsidRDefault="00CC7B3B" w:rsidP="00CC7B3B">
            <w:pPr>
              <w:pStyle w:val="NoSpacing"/>
              <w:ind w:firstLine="179"/>
              <w:jc w:val="both"/>
              <w:rPr>
                <w:rFonts w:ascii="Times New Roman" w:hAnsi="Times New Roman" w:cs="Times New Roman"/>
                <w:iCs/>
                <w:sz w:val="24"/>
                <w:szCs w:val="24"/>
                <w:lang w:eastAsia="lv-LV"/>
              </w:rPr>
            </w:pPr>
            <w:r w:rsidRPr="00E14DD5">
              <w:rPr>
                <w:rFonts w:ascii="Times New Roman" w:hAnsi="Times New Roman" w:cs="Times New Roman"/>
                <w:iCs/>
                <w:sz w:val="24"/>
                <w:szCs w:val="24"/>
                <w:lang w:eastAsia="lv-LV"/>
              </w:rPr>
              <w:t xml:space="preserve">* 3 320 800 </w:t>
            </w:r>
            <w:r w:rsidRPr="00E14DD5">
              <w:rPr>
                <w:rFonts w:ascii="Times New Roman" w:hAnsi="Times New Roman" w:cs="Times New Roman"/>
                <w:i/>
                <w:iCs/>
                <w:sz w:val="24"/>
                <w:szCs w:val="24"/>
                <w:lang w:eastAsia="lv-LV"/>
              </w:rPr>
              <w:t>euro</w:t>
            </w:r>
            <w:r w:rsidRPr="00E14DD5">
              <w:rPr>
                <w:rFonts w:ascii="Times New Roman" w:hAnsi="Times New Roman" w:cs="Times New Roman"/>
                <w:iCs/>
                <w:sz w:val="24"/>
                <w:szCs w:val="24"/>
                <w:lang w:eastAsia="lv-LV"/>
              </w:rPr>
              <w:t xml:space="preserve"> 2019.gadam un 3 324 523 </w:t>
            </w:r>
            <w:r w:rsidRPr="00E14DD5">
              <w:rPr>
                <w:rFonts w:ascii="Times New Roman" w:hAnsi="Times New Roman" w:cs="Times New Roman"/>
                <w:i/>
                <w:iCs/>
                <w:sz w:val="24"/>
                <w:szCs w:val="24"/>
                <w:lang w:eastAsia="lv-LV"/>
              </w:rPr>
              <w:t>euro</w:t>
            </w:r>
            <w:r w:rsidRPr="00E14DD5">
              <w:rPr>
                <w:rFonts w:ascii="Times New Roman" w:hAnsi="Times New Roman" w:cs="Times New Roman"/>
                <w:iCs/>
                <w:sz w:val="24"/>
                <w:szCs w:val="24"/>
                <w:lang w:eastAsia="lv-LV"/>
              </w:rPr>
              <w:t xml:space="preserve"> 2020.gadam un turpmāk ik gadu izdevumiem subsīdijām un dotācijām budžeta apakšprogrammai 33.17.00 “Neatliekamās medicīniskās palīdzības nodrošināšana stacionārās ārstniecības iestādēs”;</w:t>
            </w:r>
          </w:p>
          <w:p w:rsidR="00417C63" w:rsidRPr="00E14DD5" w:rsidRDefault="00CC7B3B" w:rsidP="00CC7B3B">
            <w:pPr>
              <w:tabs>
                <w:tab w:val="left" w:pos="604"/>
                <w:tab w:val="left" w:pos="976"/>
              </w:tabs>
              <w:ind w:firstLine="360"/>
              <w:jc w:val="both"/>
              <w:rPr>
                <w:rFonts w:cs="Angsana New"/>
                <w:shd w:val="clear" w:color="auto" w:fill="FFFFFF"/>
              </w:rPr>
            </w:pPr>
            <w:r w:rsidRPr="00E14DD5">
              <w:rPr>
                <w:iCs/>
              </w:rPr>
              <w:t xml:space="preserve">* 1 635 618 </w:t>
            </w:r>
            <w:r w:rsidRPr="00E14DD5">
              <w:rPr>
                <w:i/>
                <w:iCs/>
              </w:rPr>
              <w:t>euro</w:t>
            </w:r>
            <w:r w:rsidRPr="00E14DD5">
              <w:rPr>
                <w:iCs/>
              </w:rPr>
              <w:t xml:space="preserve"> 2019.gadam un 1 637 452 </w:t>
            </w:r>
            <w:r w:rsidRPr="00E14DD5">
              <w:rPr>
                <w:i/>
                <w:iCs/>
              </w:rPr>
              <w:t>euro</w:t>
            </w:r>
            <w:r w:rsidRPr="00E14DD5">
              <w:rPr>
                <w:iCs/>
              </w:rPr>
              <w:t xml:space="preserve"> 2020.gadam un turpmāk ik gadu izdevumiem subsīdijām un dotācijām budžeta apakšprogrammai 33.18.00 “Plānveida stacionāro veselības aprūpes pakalpojumu nodrošināšana”.</w:t>
            </w:r>
          </w:p>
          <w:p w:rsidR="00417C63" w:rsidRPr="00E14DD5" w:rsidRDefault="00417C63" w:rsidP="00417C63">
            <w:pPr>
              <w:tabs>
                <w:tab w:val="left" w:pos="976"/>
              </w:tabs>
              <w:ind w:left="37" w:firstLine="323"/>
              <w:jc w:val="both"/>
              <w:rPr>
                <w:rFonts w:cs="Angsana New"/>
                <w:shd w:val="clear" w:color="auto" w:fill="FFFFFF"/>
              </w:rPr>
            </w:pPr>
          </w:p>
          <w:p w:rsidR="00417C63" w:rsidRPr="00417C63" w:rsidRDefault="00417C63" w:rsidP="00417C63">
            <w:pPr>
              <w:pStyle w:val="ListParagraph"/>
              <w:tabs>
                <w:tab w:val="left" w:pos="976"/>
              </w:tabs>
              <w:ind w:left="37" w:firstLine="426"/>
              <w:jc w:val="both"/>
              <w:rPr>
                <w:rFonts w:cs="Angsana New"/>
                <w:shd w:val="clear" w:color="auto" w:fill="FFFFFF"/>
              </w:rPr>
            </w:pPr>
            <w:r>
              <w:rPr>
                <w:rFonts w:cs="Angsana New"/>
                <w:shd w:val="clear" w:color="auto" w:fill="FFFFFF"/>
              </w:rPr>
              <w:t>2.</w:t>
            </w:r>
            <w:r w:rsidRPr="00417C63">
              <w:rPr>
                <w:rFonts w:cs="Angsana New"/>
                <w:shd w:val="clear" w:color="auto" w:fill="FFFFFF"/>
              </w:rPr>
              <w:t xml:space="preserve">Darba samaksas palielināšana ārstniecības personām, kas sniedz valsts apmaksātos veselības aprūpes pakalpojumus, saistībā ar pagarinātā normālā darba laika atcelšanu (20% darba samaksas pieaugumam pagarinātā normālā darba laika ietvarā) 2 399 326 </w:t>
            </w:r>
            <w:r w:rsidRPr="00417C63">
              <w:rPr>
                <w:rFonts w:cs="Angsana New"/>
                <w:i/>
                <w:shd w:val="clear" w:color="auto" w:fill="FFFFFF"/>
              </w:rPr>
              <w:t>euro</w:t>
            </w:r>
            <w:r w:rsidRPr="00417C63">
              <w:rPr>
                <w:rFonts w:cs="Angsana New"/>
                <w:shd w:val="clear" w:color="auto" w:fill="FFFFFF"/>
              </w:rPr>
              <w:t xml:space="preserve"> </w:t>
            </w:r>
          </w:p>
          <w:p w:rsidR="00417C63" w:rsidRPr="00417C63" w:rsidRDefault="00417C63" w:rsidP="00417C63">
            <w:pPr>
              <w:tabs>
                <w:tab w:val="left" w:pos="976"/>
              </w:tabs>
              <w:ind w:left="37" w:firstLine="323"/>
              <w:jc w:val="both"/>
              <w:rPr>
                <w:rFonts w:cs="Angsana New"/>
                <w:shd w:val="clear" w:color="auto" w:fill="FFFFFF"/>
              </w:rPr>
            </w:pPr>
            <w:r w:rsidRPr="00417C63">
              <w:rPr>
                <w:rFonts w:cs="Angsana New"/>
                <w:shd w:val="clear" w:color="auto" w:fill="FFFFFF"/>
              </w:rPr>
              <w:t>Sadalījumā pa Veselības ministrijas (NVD) budžeta programmām:</w:t>
            </w:r>
          </w:p>
          <w:p w:rsidR="00417C63" w:rsidRPr="00417C63" w:rsidRDefault="00417C63" w:rsidP="00417C63">
            <w:pPr>
              <w:numPr>
                <w:ilvl w:val="0"/>
                <w:numId w:val="19"/>
              </w:numPr>
              <w:tabs>
                <w:tab w:val="left" w:pos="646"/>
                <w:tab w:val="left" w:pos="976"/>
              </w:tabs>
              <w:ind w:left="37" w:firstLine="323"/>
              <w:jc w:val="both"/>
              <w:rPr>
                <w:rFonts w:cs="Angsana New"/>
                <w:shd w:val="clear" w:color="auto" w:fill="FFFFFF"/>
              </w:rPr>
            </w:pPr>
            <w:r w:rsidRPr="00417C63">
              <w:rPr>
                <w:rFonts w:cs="Angsana New"/>
                <w:shd w:val="clear" w:color="auto" w:fill="FFFFFF"/>
              </w:rPr>
              <w:t xml:space="preserve">1 511 575 </w:t>
            </w:r>
            <w:r w:rsidRPr="00417C63">
              <w:rPr>
                <w:rFonts w:cs="Angsana New"/>
                <w:i/>
                <w:shd w:val="clear" w:color="auto" w:fill="FFFFFF"/>
              </w:rPr>
              <w:t>euro</w:t>
            </w:r>
            <w:r w:rsidRPr="00417C63">
              <w:rPr>
                <w:rFonts w:cs="Angsana New"/>
                <w:shd w:val="clear" w:color="auto" w:fill="FFFFFF"/>
              </w:rPr>
              <w:t xml:space="preserve"> izdevumiem subsīdijām un dotācijām budžeta apakšprogrammai 33.17.00 “Neatliekamās medicīniskās palīdzības nodrošināšana stacionārās ārstniecības iestādēs”;</w:t>
            </w:r>
          </w:p>
          <w:p w:rsidR="00417C63" w:rsidRDefault="00417C63" w:rsidP="00417C63">
            <w:pPr>
              <w:numPr>
                <w:ilvl w:val="0"/>
                <w:numId w:val="19"/>
              </w:numPr>
              <w:tabs>
                <w:tab w:val="left" w:pos="646"/>
                <w:tab w:val="left" w:pos="976"/>
              </w:tabs>
              <w:ind w:left="37" w:firstLine="323"/>
              <w:jc w:val="both"/>
              <w:rPr>
                <w:rFonts w:cs="Angsana New"/>
                <w:shd w:val="clear" w:color="auto" w:fill="FFFFFF"/>
              </w:rPr>
            </w:pPr>
            <w:r w:rsidRPr="00417C63">
              <w:rPr>
                <w:rFonts w:cs="Angsana New"/>
                <w:shd w:val="clear" w:color="auto" w:fill="FFFFFF"/>
              </w:rPr>
              <w:t xml:space="preserve">887 751 </w:t>
            </w:r>
            <w:r w:rsidRPr="00417C63">
              <w:rPr>
                <w:rFonts w:cs="Angsana New"/>
                <w:i/>
                <w:shd w:val="clear" w:color="auto" w:fill="FFFFFF"/>
              </w:rPr>
              <w:t>euro</w:t>
            </w:r>
            <w:r w:rsidRPr="00417C63">
              <w:rPr>
                <w:rFonts w:cs="Angsana New"/>
                <w:shd w:val="clear" w:color="auto" w:fill="FFFFFF"/>
              </w:rPr>
              <w:t xml:space="preserve"> izdevumiem subsīdijām un dotācijām budžeta apakšprogrammai 33.18.00 “Plānveida stacionāro veselības aprūpes pakalpojumu nodrošināšana”. </w:t>
            </w:r>
          </w:p>
          <w:p w:rsidR="00417C63" w:rsidRDefault="00417C63" w:rsidP="00417C63">
            <w:pPr>
              <w:tabs>
                <w:tab w:val="left" w:pos="646"/>
                <w:tab w:val="left" w:pos="976"/>
              </w:tabs>
              <w:ind w:left="360"/>
              <w:jc w:val="both"/>
              <w:rPr>
                <w:rFonts w:cs="Angsana New"/>
                <w:shd w:val="clear" w:color="auto" w:fill="FFFFFF"/>
              </w:rPr>
            </w:pPr>
          </w:p>
          <w:p w:rsidR="00814AF5" w:rsidRDefault="00814AF5" w:rsidP="00417C63">
            <w:pPr>
              <w:tabs>
                <w:tab w:val="left" w:pos="646"/>
                <w:tab w:val="left" w:pos="976"/>
              </w:tabs>
              <w:ind w:left="360"/>
              <w:jc w:val="both"/>
              <w:rPr>
                <w:rFonts w:cs="Angsana New"/>
                <w:shd w:val="clear" w:color="auto" w:fill="FFFFFF"/>
              </w:rPr>
            </w:pPr>
          </w:p>
          <w:p w:rsidR="00814AF5" w:rsidRDefault="00814AF5" w:rsidP="00417C63">
            <w:pPr>
              <w:tabs>
                <w:tab w:val="left" w:pos="646"/>
                <w:tab w:val="left" w:pos="976"/>
              </w:tabs>
              <w:ind w:left="360"/>
              <w:jc w:val="both"/>
              <w:rPr>
                <w:rFonts w:cs="Angsana New"/>
                <w:shd w:val="clear" w:color="auto" w:fill="FFFFFF"/>
              </w:rPr>
            </w:pPr>
          </w:p>
          <w:p w:rsidR="00814AF5" w:rsidRDefault="00814AF5" w:rsidP="00417C63">
            <w:pPr>
              <w:tabs>
                <w:tab w:val="left" w:pos="646"/>
                <w:tab w:val="left" w:pos="976"/>
              </w:tabs>
              <w:ind w:left="360"/>
              <w:jc w:val="both"/>
              <w:rPr>
                <w:rFonts w:cs="Angsana New"/>
                <w:shd w:val="clear" w:color="auto" w:fill="FFFFFF"/>
              </w:rPr>
            </w:pPr>
          </w:p>
          <w:p w:rsidR="00814AF5" w:rsidRDefault="00814AF5" w:rsidP="00417C63">
            <w:pPr>
              <w:tabs>
                <w:tab w:val="left" w:pos="646"/>
                <w:tab w:val="left" w:pos="976"/>
              </w:tabs>
              <w:ind w:left="360"/>
              <w:jc w:val="both"/>
              <w:rPr>
                <w:rFonts w:cs="Angsana New"/>
                <w:shd w:val="clear" w:color="auto" w:fill="FFFFFF"/>
              </w:rPr>
            </w:pPr>
          </w:p>
          <w:p w:rsidR="00D37A37" w:rsidRDefault="00D37A37" w:rsidP="00417C63">
            <w:pPr>
              <w:tabs>
                <w:tab w:val="left" w:pos="646"/>
                <w:tab w:val="left" w:pos="976"/>
              </w:tabs>
              <w:ind w:left="360"/>
              <w:jc w:val="both"/>
              <w:rPr>
                <w:rFonts w:cs="Angsana New"/>
                <w:shd w:val="clear" w:color="auto" w:fill="FFFFFF"/>
              </w:rPr>
            </w:pPr>
          </w:p>
          <w:p w:rsidR="00417C63" w:rsidRPr="00417C63" w:rsidRDefault="00417C63" w:rsidP="00417C63">
            <w:pPr>
              <w:tabs>
                <w:tab w:val="left" w:pos="976"/>
              </w:tabs>
              <w:ind w:firstLine="463"/>
              <w:jc w:val="center"/>
              <w:rPr>
                <w:rFonts w:cs="Angsana New"/>
                <w:shd w:val="clear" w:color="auto" w:fill="FFFFFF"/>
              </w:rPr>
            </w:pPr>
            <w:r w:rsidRPr="00417C63">
              <w:rPr>
                <w:rFonts w:cs="Angsana New"/>
                <w:b/>
                <w:bCs/>
                <w:shd w:val="clear" w:color="auto" w:fill="FFFFFF"/>
              </w:rPr>
              <w:lastRenderedPageBreak/>
              <w:t xml:space="preserve">Ārstniecības personu darba samaksas pieauguma nodrošināšanai nepieciešamais finansējums </w:t>
            </w:r>
          </w:p>
          <w:p w:rsidR="00417C63" w:rsidRDefault="00417C63" w:rsidP="00417C63">
            <w:pPr>
              <w:tabs>
                <w:tab w:val="left" w:pos="976"/>
              </w:tabs>
              <w:ind w:firstLine="463"/>
              <w:jc w:val="both"/>
              <w:rPr>
                <w:rFonts w:cs="Angsana New"/>
                <w:shd w:val="clear" w:color="auto" w:fill="FFFFFF"/>
              </w:rPr>
            </w:pPr>
          </w:p>
          <w:tbl>
            <w:tblPr>
              <w:tblW w:w="7492" w:type="dxa"/>
              <w:jc w:val="center"/>
              <w:tblLayout w:type="fixed"/>
              <w:tblLook w:val="04A0" w:firstRow="1" w:lastRow="0" w:firstColumn="1" w:lastColumn="0" w:noHBand="0" w:noVBand="1"/>
            </w:tblPr>
            <w:tblGrid>
              <w:gridCol w:w="4314"/>
              <w:gridCol w:w="1559"/>
              <w:gridCol w:w="1619"/>
            </w:tblGrid>
            <w:tr w:rsidR="00862704" w:rsidRPr="00816514" w:rsidTr="00862704">
              <w:trPr>
                <w:trHeight w:val="846"/>
                <w:jc w:val="center"/>
              </w:trPr>
              <w:tc>
                <w:tcPr>
                  <w:tcW w:w="4314" w:type="dxa"/>
                  <w:tcBorders>
                    <w:top w:val="single" w:sz="4" w:space="0" w:color="auto"/>
                    <w:left w:val="single" w:sz="4" w:space="0" w:color="auto"/>
                    <w:bottom w:val="single" w:sz="4" w:space="0" w:color="auto"/>
                    <w:right w:val="single" w:sz="4" w:space="0" w:color="000000"/>
                  </w:tcBorders>
                  <w:shd w:val="clear" w:color="000000" w:fill="EBF1DE"/>
                  <w:vAlign w:val="center"/>
                  <w:hideMark/>
                </w:tcPr>
                <w:p w:rsidR="00862704" w:rsidRPr="00816514" w:rsidRDefault="00862704" w:rsidP="00862704">
                  <w:pPr>
                    <w:jc w:val="center"/>
                    <w:rPr>
                      <w:b/>
                      <w:bCs/>
                      <w:sz w:val="16"/>
                      <w:szCs w:val="16"/>
                    </w:rPr>
                  </w:pPr>
                  <w:r w:rsidRPr="00816514">
                    <w:rPr>
                      <w:b/>
                      <w:bCs/>
                      <w:sz w:val="16"/>
                      <w:szCs w:val="16"/>
                    </w:rPr>
                    <w:t>Pasākums</w:t>
                  </w:r>
                </w:p>
              </w:tc>
              <w:tc>
                <w:tcPr>
                  <w:tcW w:w="1559" w:type="dxa"/>
                  <w:tcBorders>
                    <w:top w:val="single" w:sz="4" w:space="0" w:color="auto"/>
                    <w:left w:val="nil"/>
                    <w:bottom w:val="single" w:sz="4" w:space="0" w:color="auto"/>
                    <w:right w:val="single" w:sz="4" w:space="0" w:color="auto"/>
                  </w:tcBorders>
                  <w:shd w:val="clear" w:color="000000" w:fill="EBF1DE"/>
                  <w:vAlign w:val="center"/>
                  <w:hideMark/>
                </w:tcPr>
                <w:p w:rsidR="00862704" w:rsidRPr="00816514" w:rsidRDefault="00862704" w:rsidP="00862704">
                  <w:pPr>
                    <w:jc w:val="center"/>
                    <w:rPr>
                      <w:b/>
                      <w:bCs/>
                      <w:sz w:val="16"/>
                      <w:szCs w:val="16"/>
                    </w:rPr>
                  </w:pPr>
                  <w:r w:rsidRPr="00816514">
                    <w:rPr>
                      <w:b/>
                      <w:bCs/>
                      <w:sz w:val="16"/>
                      <w:szCs w:val="16"/>
                    </w:rPr>
                    <w:t>2019.gads (grozījumi MK noteikumi 555)</w:t>
                  </w:r>
                </w:p>
              </w:tc>
              <w:tc>
                <w:tcPr>
                  <w:tcW w:w="1619" w:type="dxa"/>
                  <w:tcBorders>
                    <w:top w:val="single" w:sz="4" w:space="0" w:color="auto"/>
                    <w:left w:val="nil"/>
                    <w:bottom w:val="single" w:sz="4" w:space="0" w:color="auto"/>
                    <w:right w:val="single" w:sz="4" w:space="0" w:color="auto"/>
                  </w:tcBorders>
                  <w:shd w:val="clear" w:color="000000" w:fill="EBF1DE"/>
                </w:tcPr>
                <w:p w:rsidR="00862704" w:rsidRPr="001967C0" w:rsidRDefault="00862704" w:rsidP="00862704">
                  <w:pPr>
                    <w:jc w:val="center"/>
                  </w:pPr>
                  <w:r w:rsidRPr="00862704">
                    <w:rPr>
                      <w:b/>
                      <w:bCs/>
                      <w:sz w:val="16"/>
                      <w:szCs w:val="16"/>
                    </w:rPr>
                    <w:t>2020.gads un turpmāk ik gadu (grozījumi MK noteikumi 555)</w:t>
                  </w:r>
                </w:p>
              </w:tc>
            </w:tr>
            <w:tr w:rsidR="00862704" w:rsidRPr="00816514" w:rsidTr="00862704">
              <w:trPr>
                <w:trHeight w:val="245"/>
                <w:jc w:val="center"/>
              </w:trPr>
              <w:tc>
                <w:tcPr>
                  <w:tcW w:w="4314" w:type="dxa"/>
                  <w:tcBorders>
                    <w:top w:val="single" w:sz="4" w:space="0" w:color="auto"/>
                    <w:left w:val="single" w:sz="4" w:space="0" w:color="auto"/>
                    <w:bottom w:val="single" w:sz="4" w:space="0" w:color="auto"/>
                    <w:right w:val="single" w:sz="4" w:space="0" w:color="000000"/>
                  </w:tcBorders>
                  <w:shd w:val="clear" w:color="000000" w:fill="EBF1DE"/>
                  <w:vAlign w:val="center"/>
                  <w:hideMark/>
                </w:tcPr>
                <w:p w:rsidR="00862704" w:rsidRPr="00816514" w:rsidRDefault="00862704" w:rsidP="00862704">
                  <w:pPr>
                    <w:rPr>
                      <w:b/>
                      <w:bCs/>
                      <w:sz w:val="20"/>
                      <w:szCs w:val="20"/>
                    </w:rPr>
                  </w:pPr>
                  <w:r w:rsidRPr="00816514">
                    <w:rPr>
                      <w:b/>
                      <w:bCs/>
                      <w:sz w:val="20"/>
                      <w:szCs w:val="20"/>
                    </w:rPr>
                    <w:t>Izdevumi kopā</w:t>
                  </w:r>
                  <w:r>
                    <w:rPr>
                      <w:b/>
                      <w:bCs/>
                      <w:sz w:val="20"/>
                      <w:szCs w:val="20"/>
                    </w:rPr>
                    <w:t xml:space="preserve"> Veselības ministrijai</w:t>
                  </w:r>
                  <w:r w:rsidRPr="00816514">
                    <w:rPr>
                      <w:b/>
                      <w:bCs/>
                      <w:sz w:val="20"/>
                      <w:szCs w:val="20"/>
                    </w:rPr>
                    <w:t xml:space="preserve">, </w:t>
                  </w:r>
                  <w:r w:rsidRPr="00E14DD5">
                    <w:rPr>
                      <w:b/>
                      <w:bCs/>
                      <w:i/>
                      <w:sz w:val="20"/>
                      <w:szCs w:val="20"/>
                    </w:rPr>
                    <w:t>eu</w:t>
                  </w:r>
                  <w:bookmarkStart w:id="0" w:name="_GoBack"/>
                  <w:bookmarkEnd w:id="0"/>
                  <w:r w:rsidRPr="00E14DD5">
                    <w:rPr>
                      <w:b/>
                      <w:bCs/>
                      <w:i/>
                      <w:sz w:val="20"/>
                      <w:szCs w:val="20"/>
                    </w:rPr>
                    <w:t>ro</w:t>
                  </w:r>
                  <w:r w:rsidRPr="00816514">
                    <w:rPr>
                      <w:b/>
                      <w:bCs/>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62704" w:rsidRPr="00816514" w:rsidRDefault="00862704" w:rsidP="00862704">
                  <w:pPr>
                    <w:jc w:val="right"/>
                    <w:rPr>
                      <w:b/>
                      <w:bCs/>
                      <w:sz w:val="20"/>
                      <w:szCs w:val="20"/>
                    </w:rPr>
                  </w:pPr>
                  <w:r>
                    <w:rPr>
                      <w:b/>
                      <w:bCs/>
                      <w:sz w:val="20"/>
                      <w:szCs w:val="20"/>
                    </w:rPr>
                    <w:t>1</w:t>
                  </w:r>
                  <w:r w:rsidR="000D3AA3">
                    <w:rPr>
                      <w:b/>
                      <w:bCs/>
                      <w:sz w:val="20"/>
                      <w:szCs w:val="20"/>
                    </w:rPr>
                    <w:t>2 111</w:t>
                  </w:r>
                  <w:r>
                    <w:rPr>
                      <w:b/>
                      <w:bCs/>
                      <w:sz w:val="20"/>
                      <w:szCs w:val="20"/>
                    </w:rPr>
                    <w:t xml:space="preserve"> </w:t>
                  </w:r>
                  <w:r w:rsidR="000D3AA3">
                    <w:rPr>
                      <w:b/>
                      <w:bCs/>
                      <w:sz w:val="20"/>
                      <w:szCs w:val="20"/>
                    </w:rPr>
                    <w:t>231</w:t>
                  </w:r>
                </w:p>
              </w:tc>
              <w:tc>
                <w:tcPr>
                  <w:tcW w:w="1619" w:type="dxa"/>
                  <w:tcBorders>
                    <w:top w:val="nil"/>
                    <w:left w:val="nil"/>
                    <w:bottom w:val="single" w:sz="4" w:space="0" w:color="auto"/>
                    <w:right w:val="single" w:sz="4" w:space="0" w:color="auto"/>
                  </w:tcBorders>
                </w:tcPr>
                <w:p w:rsidR="00862704" w:rsidRPr="00862704" w:rsidRDefault="00862704" w:rsidP="00862704">
                  <w:pPr>
                    <w:jc w:val="right"/>
                    <w:rPr>
                      <w:b/>
                      <w:bCs/>
                      <w:sz w:val="20"/>
                      <w:szCs w:val="20"/>
                    </w:rPr>
                  </w:pPr>
                  <w:r w:rsidRPr="00862704">
                    <w:rPr>
                      <w:b/>
                      <w:bCs/>
                      <w:sz w:val="20"/>
                      <w:szCs w:val="20"/>
                    </w:rPr>
                    <w:t>1</w:t>
                  </w:r>
                  <w:r w:rsidR="000D3AA3">
                    <w:rPr>
                      <w:b/>
                      <w:bCs/>
                      <w:sz w:val="20"/>
                      <w:szCs w:val="20"/>
                    </w:rPr>
                    <w:t>2 122 119</w:t>
                  </w:r>
                </w:p>
              </w:tc>
            </w:tr>
            <w:tr w:rsidR="00862704" w:rsidRPr="00816514" w:rsidTr="00705611">
              <w:trPr>
                <w:trHeight w:val="732"/>
                <w:jc w:val="center"/>
              </w:trPr>
              <w:tc>
                <w:tcPr>
                  <w:tcW w:w="4314" w:type="dxa"/>
                  <w:tcBorders>
                    <w:top w:val="single" w:sz="4" w:space="0" w:color="auto"/>
                    <w:left w:val="single" w:sz="4" w:space="0" w:color="auto"/>
                    <w:bottom w:val="single" w:sz="4" w:space="0" w:color="auto"/>
                    <w:right w:val="single" w:sz="4" w:space="0" w:color="auto"/>
                  </w:tcBorders>
                  <w:shd w:val="clear" w:color="000000" w:fill="EBF1DE"/>
                  <w:hideMark/>
                </w:tcPr>
                <w:p w:rsidR="00862704" w:rsidRPr="00816514" w:rsidRDefault="00862704" w:rsidP="00862704">
                  <w:pPr>
                    <w:rPr>
                      <w:b/>
                      <w:bCs/>
                      <w:i/>
                      <w:iCs/>
                      <w:sz w:val="20"/>
                      <w:szCs w:val="20"/>
                    </w:rPr>
                  </w:pPr>
                  <w:r w:rsidRPr="00816514">
                    <w:rPr>
                      <w:b/>
                      <w:bCs/>
                      <w:i/>
                      <w:iCs/>
                      <w:sz w:val="20"/>
                      <w:szCs w:val="20"/>
                    </w:rPr>
                    <w:t xml:space="preserve">Darba samaksas palielināšanai pārējam personālam valsts apmaksāto veselības aprūpes pakalpojumu sniegšanas nodrošināšanai un nav ārstniecības personas, 20% ikgadu  </w:t>
                  </w:r>
                </w:p>
              </w:tc>
              <w:tc>
                <w:tcPr>
                  <w:tcW w:w="1559" w:type="dxa"/>
                  <w:tcBorders>
                    <w:top w:val="nil"/>
                    <w:left w:val="nil"/>
                    <w:bottom w:val="single" w:sz="4" w:space="0" w:color="auto"/>
                    <w:right w:val="single" w:sz="4" w:space="0" w:color="auto"/>
                  </w:tcBorders>
                  <w:shd w:val="clear" w:color="auto" w:fill="auto"/>
                  <w:hideMark/>
                </w:tcPr>
                <w:p w:rsidR="00862704" w:rsidRPr="00862704" w:rsidRDefault="00862704" w:rsidP="00862704">
                  <w:pPr>
                    <w:jc w:val="right"/>
                    <w:rPr>
                      <w:b/>
                      <w:i/>
                      <w:iCs/>
                      <w:sz w:val="18"/>
                      <w:szCs w:val="18"/>
                    </w:rPr>
                  </w:pPr>
                </w:p>
                <w:p w:rsidR="00862704" w:rsidRPr="00862704" w:rsidRDefault="00862704" w:rsidP="00862704">
                  <w:pPr>
                    <w:jc w:val="right"/>
                    <w:rPr>
                      <w:b/>
                      <w:i/>
                      <w:iCs/>
                      <w:sz w:val="18"/>
                      <w:szCs w:val="18"/>
                    </w:rPr>
                  </w:pPr>
                  <w:r w:rsidRPr="00862704">
                    <w:rPr>
                      <w:b/>
                      <w:i/>
                      <w:iCs/>
                      <w:sz w:val="18"/>
                      <w:szCs w:val="18"/>
                    </w:rPr>
                    <w:t>9 711 905</w:t>
                  </w:r>
                </w:p>
              </w:tc>
              <w:tc>
                <w:tcPr>
                  <w:tcW w:w="1619" w:type="dxa"/>
                  <w:tcBorders>
                    <w:top w:val="nil"/>
                    <w:left w:val="nil"/>
                    <w:bottom w:val="single" w:sz="4" w:space="0" w:color="auto"/>
                    <w:right w:val="single" w:sz="4" w:space="0" w:color="auto"/>
                  </w:tcBorders>
                </w:tcPr>
                <w:p w:rsidR="00862704" w:rsidRPr="00862704" w:rsidRDefault="00862704" w:rsidP="00862704">
                  <w:pPr>
                    <w:jc w:val="right"/>
                    <w:rPr>
                      <w:b/>
                      <w:i/>
                      <w:iCs/>
                      <w:sz w:val="18"/>
                      <w:szCs w:val="18"/>
                    </w:rPr>
                  </w:pPr>
                </w:p>
                <w:p w:rsidR="00862704" w:rsidRPr="00862704" w:rsidRDefault="00862704" w:rsidP="00862704">
                  <w:pPr>
                    <w:jc w:val="right"/>
                    <w:rPr>
                      <w:b/>
                      <w:i/>
                      <w:iCs/>
                      <w:sz w:val="18"/>
                      <w:szCs w:val="18"/>
                    </w:rPr>
                  </w:pPr>
                  <w:r w:rsidRPr="00862704">
                    <w:rPr>
                      <w:b/>
                      <w:i/>
                      <w:iCs/>
                      <w:sz w:val="18"/>
                      <w:szCs w:val="18"/>
                    </w:rPr>
                    <w:t>9 722 793</w:t>
                  </w:r>
                </w:p>
              </w:tc>
            </w:tr>
            <w:tr w:rsidR="00862704" w:rsidRPr="00816514" w:rsidTr="00862704">
              <w:trPr>
                <w:trHeight w:val="259"/>
                <w:jc w:val="center"/>
              </w:trPr>
              <w:tc>
                <w:tcPr>
                  <w:tcW w:w="4314" w:type="dxa"/>
                  <w:tcBorders>
                    <w:top w:val="single" w:sz="4" w:space="0" w:color="auto"/>
                    <w:left w:val="single" w:sz="4" w:space="0" w:color="auto"/>
                    <w:bottom w:val="single" w:sz="4" w:space="0" w:color="auto"/>
                    <w:right w:val="single" w:sz="4" w:space="0" w:color="auto"/>
                  </w:tcBorders>
                  <w:shd w:val="clear" w:color="000000" w:fill="EBF1DE"/>
                  <w:hideMark/>
                </w:tcPr>
                <w:p w:rsidR="00862704" w:rsidRPr="00816514" w:rsidRDefault="00862704" w:rsidP="00862704">
                  <w:pPr>
                    <w:ind w:firstLineChars="200" w:firstLine="360"/>
                    <w:rPr>
                      <w:i/>
                      <w:iCs/>
                      <w:sz w:val="18"/>
                      <w:szCs w:val="18"/>
                    </w:rPr>
                  </w:pPr>
                  <w:r w:rsidRPr="00816514">
                    <w:rPr>
                      <w:i/>
                      <w:iCs/>
                      <w:sz w:val="18"/>
                      <w:szCs w:val="18"/>
                    </w:rPr>
                    <w:t>t.sk. 33.00.00 Veselības aprūpes nodrošināšana</w:t>
                  </w:r>
                </w:p>
              </w:tc>
              <w:tc>
                <w:tcPr>
                  <w:tcW w:w="1559" w:type="dxa"/>
                  <w:tcBorders>
                    <w:top w:val="nil"/>
                    <w:left w:val="nil"/>
                    <w:bottom w:val="single" w:sz="4" w:space="0" w:color="auto"/>
                    <w:right w:val="single" w:sz="4" w:space="0" w:color="auto"/>
                  </w:tcBorders>
                  <w:shd w:val="clear" w:color="auto" w:fill="auto"/>
                  <w:vAlign w:val="center"/>
                  <w:hideMark/>
                </w:tcPr>
                <w:p w:rsidR="00862704" w:rsidRPr="00862704" w:rsidRDefault="00862704" w:rsidP="00862704">
                  <w:pPr>
                    <w:jc w:val="right"/>
                    <w:rPr>
                      <w:iCs/>
                      <w:sz w:val="18"/>
                      <w:szCs w:val="18"/>
                    </w:rPr>
                  </w:pPr>
                  <w:r>
                    <w:rPr>
                      <w:iCs/>
                      <w:sz w:val="18"/>
                      <w:szCs w:val="18"/>
                    </w:rPr>
                    <w:t>9 711 905</w:t>
                  </w:r>
                </w:p>
              </w:tc>
              <w:tc>
                <w:tcPr>
                  <w:tcW w:w="1619" w:type="dxa"/>
                  <w:tcBorders>
                    <w:top w:val="nil"/>
                    <w:left w:val="nil"/>
                    <w:bottom w:val="single" w:sz="4" w:space="0" w:color="auto"/>
                    <w:right w:val="single" w:sz="4" w:space="0" w:color="auto"/>
                  </w:tcBorders>
                </w:tcPr>
                <w:p w:rsidR="00862704" w:rsidRPr="00862704" w:rsidRDefault="00862704" w:rsidP="00862704">
                  <w:pPr>
                    <w:jc w:val="right"/>
                    <w:rPr>
                      <w:bCs/>
                      <w:sz w:val="20"/>
                      <w:szCs w:val="20"/>
                    </w:rPr>
                  </w:pPr>
                  <w:r>
                    <w:rPr>
                      <w:bCs/>
                      <w:sz w:val="20"/>
                      <w:szCs w:val="20"/>
                    </w:rPr>
                    <w:t>9 722 793</w:t>
                  </w:r>
                </w:p>
              </w:tc>
            </w:tr>
            <w:tr w:rsidR="00862704" w:rsidRPr="00816514" w:rsidTr="00862704">
              <w:trPr>
                <w:trHeight w:val="543"/>
                <w:jc w:val="center"/>
              </w:trPr>
              <w:tc>
                <w:tcPr>
                  <w:tcW w:w="4314" w:type="dxa"/>
                  <w:tcBorders>
                    <w:top w:val="single" w:sz="4" w:space="0" w:color="auto"/>
                    <w:left w:val="single" w:sz="4" w:space="0" w:color="auto"/>
                    <w:bottom w:val="single" w:sz="4" w:space="0" w:color="auto"/>
                    <w:right w:val="single" w:sz="4" w:space="0" w:color="auto"/>
                  </w:tcBorders>
                  <w:shd w:val="clear" w:color="000000" w:fill="EBF1DE"/>
                  <w:hideMark/>
                </w:tcPr>
                <w:p w:rsidR="00862704" w:rsidRPr="00816514" w:rsidRDefault="00862704" w:rsidP="00862704">
                  <w:pPr>
                    <w:rPr>
                      <w:b/>
                      <w:bCs/>
                      <w:i/>
                      <w:iCs/>
                      <w:sz w:val="20"/>
                      <w:szCs w:val="20"/>
                    </w:rPr>
                  </w:pPr>
                  <w:r w:rsidRPr="00816514">
                    <w:rPr>
                      <w:b/>
                      <w:bCs/>
                      <w:i/>
                      <w:iCs/>
                      <w:sz w:val="20"/>
                      <w:szCs w:val="20"/>
                    </w:rPr>
                    <w:t xml:space="preserve">Darba samaksas pieaugumam pagarinātā normālā darba laika ietvarā, 20% ikgadu  </w:t>
                  </w:r>
                </w:p>
              </w:tc>
              <w:tc>
                <w:tcPr>
                  <w:tcW w:w="1559" w:type="dxa"/>
                  <w:tcBorders>
                    <w:top w:val="nil"/>
                    <w:left w:val="nil"/>
                    <w:bottom w:val="single" w:sz="4" w:space="0" w:color="auto"/>
                    <w:right w:val="single" w:sz="4" w:space="0" w:color="auto"/>
                  </w:tcBorders>
                  <w:shd w:val="clear" w:color="auto" w:fill="auto"/>
                  <w:vAlign w:val="center"/>
                  <w:hideMark/>
                </w:tcPr>
                <w:p w:rsidR="00862704" w:rsidRPr="00816514" w:rsidRDefault="00862704" w:rsidP="00862704">
                  <w:pPr>
                    <w:jc w:val="right"/>
                    <w:rPr>
                      <w:b/>
                      <w:bCs/>
                      <w:i/>
                      <w:iCs/>
                      <w:sz w:val="20"/>
                      <w:szCs w:val="20"/>
                    </w:rPr>
                  </w:pPr>
                  <w:r w:rsidRPr="00816514">
                    <w:rPr>
                      <w:b/>
                      <w:bCs/>
                      <w:i/>
                      <w:iCs/>
                      <w:sz w:val="20"/>
                      <w:szCs w:val="20"/>
                    </w:rPr>
                    <w:t>2 399 326</w:t>
                  </w:r>
                </w:p>
              </w:tc>
              <w:tc>
                <w:tcPr>
                  <w:tcW w:w="1619" w:type="dxa"/>
                  <w:tcBorders>
                    <w:top w:val="nil"/>
                    <w:left w:val="nil"/>
                    <w:bottom w:val="single" w:sz="4" w:space="0" w:color="auto"/>
                    <w:right w:val="single" w:sz="4" w:space="0" w:color="auto"/>
                  </w:tcBorders>
                </w:tcPr>
                <w:p w:rsidR="00862704" w:rsidRPr="00862704" w:rsidRDefault="00862704" w:rsidP="00862704">
                  <w:pPr>
                    <w:jc w:val="right"/>
                    <w:rPr>
                      <w:b/>
                      <w:bCs/>
                      <w:i/>
                      <w:sz w:val="20"/>
                      <w:szCs w:val="20"/>
                    </w:rPr>
                  </w:pPr>
                  <w:r w:rsidRPr="00862704">
                    <w:rPr>
                      <w:b/>
                      <w:bCs/>
                      <w:i/>
                      <w:sz w:val="20"/>
                      <w:szCs w:val="20"/>
                    </w:rPr>
                    <w:t>2 399 326</w:t>
                  </w:r>
                </w:p>
              </w:tc>
            </w:tr>
            <w:tr w:rsidR="00862704" w:rsidRPr="00816514" w:rsidTr="00862704">
              <w:trPr>
                <w:trHeight w:val="259"/>
                <w:jc w:val="center"/>
              </w:trPr>
              <w:tc>
                <w:tcPr>
                  <w:tcW w:w="4314" w:type="dxa"/>
                  <w:tcBorders>
                    <w:top w:val="single" w:sz="4" w:space="0" w:color="auto"/>
                    <w:left w:val="single" w:sz="4" w:space="0" w:color="auto"/>
                    <w:bottom w:val="single" w:sz="4" w:space="0" w:color="auto"/>
                    <w:right w:val="single" w:sz="4" w:space="0" w:color="auto"/>
                  </w:tcBorders>
                  <w:shd w:val="clear" w:color="000000" w:fill="EBF1DE"/>
                  <w:hideMark/>
                </w:tcPr>
                <w:p w:rsidR="00862704" w:rsidRPr="00816514" w:rsidRDefault="00862704" w:rsidP="00862704">
                  <w:pPr>
                    <w:ind w:firstLineChars="200" w:firstLine="360"/>
                    <w:rPr>
                      <w:i/>
                      <w:iCs/>
                      <w:sz w:val="18"/>
                      <w:szCs w:val="18"/>
                    </w:rPr>
                  </w:pPr>
                  <w:r w:rsidRPr="00816514">
                    <w:rPr>
                      <w:i/>
                      <w:iCs/>
                      <w:sz w:val="18"/>
                      <w:szCs w:val="18"/>
                    </w:rPr>
                    <w:t>t.sk. 33.00.00 Veselības aprūpes nodrošināšana</w:t>
                  </w:r>
                </w:p>
              </w:tc>
              <w:tc>
                <w:tcPr>
                  <w:tcW w:w="1559" w:type="dxa"/>
                  <w:tcBorders>
                    <w:top w:val="nil"/>
                    <w:left w:val="nil"/>
                    <w:bottom w:val="single" w:sz="4" w:space="0" w:color="auto"/>
                    <w:right w:val="single" w:sz="4" w:space="0" w:color="auto"/>
                  </w:tcBorders>
                  <w:shd w:val="clear" w:color="auto" w:fill="auto"/>
                  <w:vAlign w:val="center"/>
                  <w:hideMark/>
                </w:tcPr>
                <w:p w:rsidR="00862704" w:rsidRPr="00862704" w:rsidRDefault="00862704" w:rsidP="00862704">
                  <w:pPr>
                    <w:jc w:val="right"/>
                    <w:rPr>
                      <w:iCs/>
                      <w:sz w:val="18"/>
                      <w:szCs w:val="18"/>
                    </w:rPr>
                  </w:pPr>
                  <w:r w:rsidRPr="00862704">
                    <w:rPr>
                      <w:iCs/>
                      <w:sz w:val="18"/>
                      <w:szCs w:val="18"/>
                    </w:rPr>
                    <w:t>2 399 326</w:t>
                  </w:r>
                </w:p>
              </w:tc>
              <w:tc>
                <w:tcPr>
                  <w:tcW w:w="1619" w:type="dxa"/>
                  <w:tcBorders>
                    <w:top w:val="nil"/>
                    <w:left w:val="nil"/>
                    <w:bottom w:val="single" w:sz="4" w:space="0" w:color="auto"/>
                    <w:right w:val="single" w:sz="4" w:space="0" w:color="auto"/>
                  </w:tcBorders>
                </w:tcPr>
                <w:p w:rsidR="00862704" w:rsidRPr="00862704" w:rsidRDefault="00862704" w:rsidP="00862704">
                  <w:pPr>
                    <w:jc w:val="right"/>
                    <w:rPr>
                      <w:bCs/>
                      <w:sz w:val="20"/>
                      <w:szCs w:val="20"/>
                    </w:rPr>
                  </w:pPr>
                  <w:r w:rsidRPr="00862704">
                    <w:rPr>
                      <w:bCs/>
                      <w:sz w:val="20"/>
                      <w:szCs w:val="20"/>
                    </w:rPr>
                    <w:t>2 399 326</w:t>
                  </w:r>
                </w:p>
              </w:tc>
            </w:tr>
          </w:tbl>
          <w:p w:rsidR="00816514" w:rsidRDefault="00816514" w:rsidP="00B603CA">
            <w:pPr>
              <w:tabs>
                <w:tab w:val="left" w:pos="976"/>
              </w:tabs>
              <w:ind w:firstLine="463"/>
              <w:jc w:val="both"/>
              <w:rPr>
                <w:rFonts w:cs="Angsana New"/>
                <w:shd w:val="clear" w:color="auto" w:fill="FFFFFF"/>
              </w:rPr>
            </w:pPr>
          </w:p>
          <w:p w:rsidR="00417C63" w:rsidRDefault="00417C63" w:rsidP="00B603CA">
            <w:pPr>
              <w:tabs>
                <w:tab w:val="left" w:pos="976"/>
              </w:tabs>
              <w:ind w:firstLine="463"/>
              <w:jc w:val="both"/>
              <w:rPr>
                <w:rFonts w:cs="Angsana New"/>
                <w:shd w:val="clear" w:color="auto" w:fill="FFFFFF"/>
              </w:rPr>
            </w:pPr>
            <w:r w:rsidRPr="00417C63">
              <w:rPr>
                <w:rFonts w:cs="Angsana New"/>
                <w:shd w:val="clear" w:color="auto" w:fill="FFFFFF"/>
              </w:rPr>
              <w:t>Detalizēti aprēķini skatāmi pie informatīvā ziņojuma.</w:t>
            </w:r>
          </w:p>
          <w:p w:rsidR="00417C63" w:rsidRDefault="00417C63" w:rsidP="00B603CA">
            <w:pPr>
              <w:tabs>
                <w:tab w:val="left" w:pos="976"/>
              </w:tabs>
              <w:ind w:firstLine="463"/>
              <w:jc w:val="both"/>
              <w:rPr>
                <w:rFonts w:cs="Angsana New"/>
                <w:shd w:val="clear" w:color="auto" w:fill="FFFFFF"/>
              </w:rPr>
            </w:pPr>
          </w:p>
          <w:p w:rsidR="00417C63" w:rsidRPr="00E143F6" w:rsidRDefault="00CB7BDD" w:rsidP="00CB7BDD">
            <w:pPr>
              <w:tabs>
                <w:tab w:val="left" w:pos="976"/>
              </w:tabs>
              <w:ind w:firstLine="463"/>
              <w:jc w:val="both"/>
              <w:rPr>
                <w:rFonts w:cs="Angsana New"/>
                <w:shd w:val="clear" w:color="auto" w:fill="FFFFFF"/>
              </w:rPr>
            </w:pPr>
            <w:r>
              <w:rPr>
                <w:rFonts w:cs="Angsana New"/>
                <w:shd w:val="clear" w:color="auto" w:fill="FFFFFF"/>
              </w:rPr>
              <w:t>Papildus informējam, ka d</w:t>
            </w:r>
            <w:r w:rsidR="00305A79" w:rsidRPr="00417C63">
              <w:rPr>
                <w:rFonts w:cs="Angsana New"/>
                <w:shd w:val="clear" w:color="auto" w:fill="FFFFFF"/>
              </w:rPr>
              <w:t>arba samaksas palielināšana</w:t>
            </w:r>
            <w:r w:rsidR="004A195B">
              <w:rPr>
                <w:rFonts w:cs="Angsana New"/>
                <w:shd w:val="clear" w:color="auto" w:fill="FFFFFF"/>
              </w:rPr>
              <w:t>i</w:t>
            </w:r>
            <w:r w:rsidR="00305A79" w:rsidRPr="00417C63">
              <w:rPr>
                <w:rFonts w:cs="Angsana New"/>
                <w:shd w:val="clear" w:color="auto" w:fill="FFFFFF"/>
              </w:rPr>
              <w:t xml:space="preserve"> ārstniecības personām, kas sniedz valsts apmaksātos veselības aprūpes pakalpojumus</w:t>
            </w:r>
            <w:r>
              <w:t xml:space="preserve"> </w:t>
            </w:r>
            <w:r w:rsidR="00B14713">
              <w:t xml:space="preserve">(integrēšanai tarifos), </w:t>
            </w:r>
            <w:r>
              <w:rPr>
                <w:rFonts w:cs="Angsana New"/>
                <w:shd w:val="clear" w:color="auto" w:fill="FFFFFF"/>
              </w:rPr>
              <w:t>i</w:t>
            </w:r>
            <w:r w:rsidRPr="00CB7BDD">
              <w:rPr>
                <w:rFonts w:cs="Angsana New"/>
                <w:shd w:val="clear" w:color="auto" w:fill="FFFFFF"/>
              </w:rPr>
              <w:t>etekme 2019.-2021.gad</w:t>
            </w:r>
            <w:r>
              <w:rPr>
                <w:rFonts w:cs="Angsana New"/>
                <w:shd w:val="clear" w:color="auto" w:fill="FFFFFF"/>
              </w:rPr>
              <w:t xml:space="preserve">am ir parādīta </w:t>
            </w:r>
            <w:r w:rsidRPr="00CB7BDD">
              <w:rPr>
                <w:rFonts w:cs="Angsana New"/>
                <w:shd w:val="clear" w:color="auto" w:fill="FFFFFF"/>
              </w:rPr>
              <w:t>Ministru kabineta noteikum</w:t>
            </w:r>
            <w:r w:rsidR="00166156">
              <w:rPr>
                <w:rFonts w:cs="Angsana New"/>
                <w:shd w:val="clear" w:color="auto" w:fill="FFFFFF"/>
              </w:rPr>
              <w:t>u projekta</w:t>
            </w:r>
            <w:r w:rsidRPr="00CB7BDD">
              <w:rPr>
                <w:rFonts w:cs="Angsana New"/>
                <w:shd w:val="clear" w:color="auto" w:fill="FFFFFF"/>
              </w:rPr>
              <w:t xml:space="preserve"> “Noteikumi par zemāko mēnešalgu un speciālo piemaksu ārstniecības personām”</w:t>
            </w:r>
            <w:r w:rsidR="00331691">
              <w:rPr>
                <w:rFonts w:cs="Angsana New"/>
                <w:shd w:val="clear" w:color="auto" w:fill="FFFFFF"/>
              </w:rPr>
              <w:t xml:space="preserve"> </w:t>
            </w:r>
            <w:r w:rsidR="00166156">
              <w:rPr>
                <w:rFonts w:cs="Angsana New"/>
                <w:shd w:val="clear" w:color="auto" w:fill="FFFFFF"/>
              </w:rPr>
              <w:t>anotācijā</w:t>
            </w:r>
            <w:r w:rsidR="00B14713">
              <w:rPr>
                <w:rFonts w:cs="Angsana New"/>
                <w:shd w:val="clear" w:color="auto" w:fill="FFFFFF"/>
              </w:rPr>
              <w:t>.</w:t>
            </w:r>
            <w:r w:rsidR="004A195B">
              <w:rPr>
                <w:rFonts w:cs="Angsana New"/>
                <w:shd w:val="clear" w:color="auto" w:fill="FFFFFF"/>
              </w:rPr>
              <w:t xml:space="preserve"> </w:t>
            </w:r>
          </w:p>
        </w:tc>
      </w:tr>
      <w:tr w:rsidR="00305A79" w:rsidRPr="002570DF" w:rsidTr="009547D2">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305A79" w:rsidRPr="002570DF" w:rsidRDefault="00305A79" w:rsidP="00305A79">
            <w:pPr>
              <w:pStyle w:val="NoSpacing"/>
              <w:rPr>
                <w:rFonts w:ascii="Times New Roman" w:hAnsi="Times New Roman" w:cs="Times New Roman"/>
                <w:iCs/>
                <w:sz w:val="24"/>
                <w:szCs w:val="24"/>
                <w:lang w:eastAsia="lv-LV"/>
              </w:rPr>
            </w:pPr>
          </w:p>
        </w:tc>
      </w:tr>
      <w:tr w:rsidR="00305A79" w:rsidRPr="002570DF" w:rsidTr="009547D2">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305A79" w:rsidRPr="002570DF" w:rsidRDefault="00305A79" w:rsidP="00305A79">
            <w:pPr>
              <w:pStyle w:val="NoSpacing"/>
              <w:rPr>
                <w:rFonts w:ascii="Times New Roman" w:hAnsi="Times New Roman" w:cs="Times New Roman"/>
                <w:iCs/>
                <w:sz w:val="24"/>
                <w:szCs w:val="24"/>
                <w:lang w:eastAsia="lv-LV"/>
              </w:rPr>
            </w:pPr>
          </w:p>
        </w:tc>
      </w:tr>
      <w:tr w:rsidR="00305A79" w:rsidRPr="002570DF" w:rsidTr="004D6C40">
        <w:tc>
          <w:tcPr>
            <w:tcW w:w="1702" w:type="dxa"/>
            <w:vAlign w:val="center"/>
          </w:tcPr>
          <w:p w:rsidR="00305A79" w:rsidRPr="002570DF" w:rsidRDefault="00305A79" w:rsidP="00305A7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7. Amata vietu skaita izmaiņas</w:t>
            </w:r>
          </w:p>
        </w:tc>
        <w:tc>
          <w:tcPr>
            <w:tcW w:w="7654" w:type="dxa"/>
            <w:gridSpan w:val="7"/>
            <w:vAlign w:val="center"/>
          </w:tcPr>
          <w:p w:rsidR="00305A79" w:rsidRPr="002570DF" w:rsidRDefault="00305A79" w:rsidP="00305A79">
            <w:pPr>
              <w:pStyle w:val="NoSpacing"/>
              <w:rPr>
                <w:rFonts w:ascii="Times New Roman" w:hAnsi="Times New Roman" w:cs="Times New Roman"/>
                <w:iCs/>
                <w:sz w:val="24"/>
                <w:szCs w:val="24"/>
                <w:lang w:eastAsia="lv-LV"/>
              </w:rPr>
            </w:pPr>
            <w:r w:rsidRPr="002570DF">
              <w:rPr>
                <w:rFonts w:ascii="Times New Roman" w:hAnsi="Times New Roman" w:cs="Times New Roman"/>
                <w:sz w:val="24"/>
              </w:rPr>
              <w:t>Projekts šo jomu neskar.</w:t>
            </w:r>
          </w:p>
        </w:tc>
      </w:tr>
      <w:tr w:rsidR="00305A79" w:rsidRPr="002570DF" w:rsidTr="004D6C40">
        <w:tc>
          <w:tcPr>
            <w:tcW w:w="1702" w:type="dxa"/>
            <w:vAlign w:val="center"/>
          </w:tcPr>
          <w:p w:rsidR="00305A79" w:rsidRPr="002570DF" w:rsidRDefault="00305A79" w:rsidP="00B603CA">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8. Cita informācija</w:t>
            </w:r>
          </w:p>
        </w:tc>
        <w:tc>
          <w:tcPr>
            <w:tcW w:w="7654" w:type="dxa"/>
            <w:gridSpan w:val="7"/>
            <w:vAlign w:val="center"/>
          </w:tcPr>
          <w:p w:rsidR="00305A79" w:rsidRPr="002570DF" w:rsidRDefault="00B603CA" w:rsidP="00417C63">
            <w:pPr>
              <w:pStyle w:val="NoSpacing"/>
              <w:ind w:firstLine="463"/>
              <w:jc w:val="both"/>
              <w:rPr>
                <w:rFonts w:ascii="Times New Roman" w:hAnsi="Times New Roman" w:cs="Times New Roman"/>
                <w:iCs/>
                <w:sz w:val="24"/>
                <w:szCs w:val="24"/>
                <w:lang w:eastAsia="lv-LV"/>
              </w:rPr>
            </w:pPr>
            <w:r w:rsidRPr="00B603CA">
              <w:rPr>
                <w:rFonts w:ascii="Times New Roman" w:hAnsi="Times New Roman" w:cs="Times New Roman"/>
                <w:sz w:val="24"/>
              </w:rPr>
              <w:t xml:space="preserve">Vienlaikus attiecībā par pagarinātā normālā darba laika atcelšanai (bez plānotā 20% darba samaksas pieaugumu) nepieciešamo finansējumu Veselības ministrijas sagatavoto informatīvo ziņojumu š.g. 27.novembrī izskatīja Ministru kabineta sēdē (56.protokols 46. §, TA-2293) un tika atbalstīts priekšlikums par papildus nepieciešamo finansējumu, lai nodrošinātu Satversmes tiesas 2018. gada 15. maija sprieduma lietā Nr. 2017-15-01 izpildi, 2019.gadam 11 297 326 </w:t>
            </w:r>
            <w:r w:rsidRPr="00B603CA">
              <w:rPr>
                <w:rFonts w:ascii="Times New Roman" w:hAnsi="Times New Roman" w:cs="Times New Roman"/>
                <w:i/>
                <w:sz w:val="24"/>
              </w:rPr>
              <w:t>euro</w:t>
            </w:r>
            <w:r w:rsidRPr="00B603CA">
              <w:rPr>
                <w:rFonts w:ascii="Times New Roman" w:hAnsi="Times New Roman" w:cs="Times New Roman"/>
                <w:sz w:val="24"/>
              </w:rPr>
              <w:t xml:space="preserve"> apmērā, 2020. gadam un 2021.gadam ik gadu 16 097 729 </w:t>
            </w:r>
            <w:r w:rsidRPr="00B603CA">
              <w:rPr>
                <w:rFonts w:ascii="Times New Roman" w:hAnsi="Times New Roman" w:cs="Times New Roman"/>
                <w:i/>
                <w:sz w:val="24"/>
              </w:rPr>
              <w:t>euro</w:t>
            </w:r>
            <w:r w:rsidRPr="00B603CA">
              <w:rPr>
                <w:rFonts w:ascii="Times New Roman" w:hAnsi="Times New Roman" w:cs="Times New Roman"/>
                <w:sz w:val="24"/>
              </w:rPr>
              <w:t xml:space="preserve"> apmērā, kas tiks pārdalīts no 74.budžeta resora programmā 08.00.00 </w:t>
            </w:r>
            <w:r>
              <w:rPr>
                <w:rFonts w:ascii="Times New Roman" w:hAnsi="Times New Roman" w:cs="Times New Roman"/>
                <w:sz w:val="24"/>
              </w:rPr>
              <w:t>“</w:t>
            </w:r>
            <w:r w:rsidRPr="00B603CA">
              <w:rPr>
                <w:rFonts w:ascii="Times New Roman" w:hAnsi="Times New Roman" w:cs="Times New Roman"/>
                <w:sz w:val="24"/>
              </w:rPr>
              <w:t xml:space="preserve">Veselības aprūpes sistēmas </w:t>
            </w:r>
            <w:r>
              <w:rPr>
                <w:rFonts w:ascii="Times New Roman" w:hAnsi="Times New Roman" w:cs="Times New Roman"/>
                <w:sz w:val="24"/>
              </w:rPr>
              <w:t>reformas ieviešanas finansējums”</w:t>
            </w:r>
            <w:r w:rsidRPr="00B603CA">
              <w:rPr>
                <w:rFonts w:ascii="Times New Roman" w:hAnsi="Times New Roman" w:cs="Times New Roman"/>
                <w:sz w:val="24"/>
              </w:rPr>
              <w:t xml:space="preserve"> rezervētā finansējuma (no valsts sociālās apdrošināšanas obligāto iemaksu sadales veselības aprūpes finansēšanai) uz Veselības ministrijas budžeta attiecīgajām apakšprogrammām, un finansējums 2019.gadam 4 800 403 </w:t>
            </w:r>
            <w:r w:rsidRPr="00B603CA">
              <w:rPr>
                <w:rFonts w:ascii="Times New Roman" w:hAnsi="Times New Roman" w:cs="Times New Roman"/>
                <w:i/>
                <w:sz w:val="24"/>
              </w:rPr>
              <w:t>euro</w:t>
            </w:r>
            <w:r w:rsidRPr="00B603CA">
              <w:rPr>
                <w:rFonts w:ascii="Times New Roman" w:hAnsi="Times New Roman" w:cs="Times New Roman"/>
                <w:sz w:val="24"/>
              </w:rPr>
              <w:t xml:space="preserve"> apmērā tiks nodrošināts Veselības ministrijai piešķirto valsts budžeta līdzekļu ietvaros.</w:t>
            </w:r>
            <w:r w:rsidR="00305A79" w:rsidRPr="002570DF">
              <w:rPr>
                <w:b/>
                <w:shd w:val="clear" w:color="auto" w:fill="FFFFFF"/>
              </w:rPr>
              <w:t xml:space="preserve"> </w:t>
            </w:r>
          </w:p>
        </w:tc>
      </w:tr>
    </w:tbl>
    <w:p w:rsidR="00E5323B" w:rsidRDefault="00E5323B" w:rsidP="00B603CA">
      <w:pPr>
        <w:pStyle w:val="NoSpacing"/>
        <w:jc w:val="both"/>
        <w:rPr>
          <w:rFonts w:ascii="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7366"/>
      </w:tblGrid>
      <w:tr w:rsidR="00F66AAB" w:rsidTr="00F66AAB">
        <w:trPr>
          <w:trHeight w:val="413"/>
          <w:jc w:val="center"/>
        </w:trPr>
        <w:tc>
          <w:tcPr>
            <w:tcW w:w="9351" w:type="dxa"/>
            <w:gridSpan w:val="3"/>
          </w:tcPr>
          <w:p w:rsidR="00F66AAB" w:rsidRPr="00E40B8E" w:rsidRDefault="00F66AAB" w:rsidP="001B4A4B">
            <w:pPr>
              <w:pStyle w:val="naisnod"/>
              <w:spacing w:before="0" w:after="0"/>
            </w:pPr>
            <w:r w:rsidRPr="00E40B8E">
              <w:t>IV. Tiesību akta projekta ietekme uz spēkā esošo tiesību normu sistēmu</w:t>
            </w:r>
          </w:p>
        </w:tc>
      </w:tr>
      <w:tr w:rsidR="00F66AAB" w:rsidTr="00F66AAB">
        <w:trPr>
          <w:jc w:val="center"/>
        </w:trPr>
        <w:tc>
          <w:tcPr>
            <w:tcW w:w="567" w:type="dxa"/>
          </w:tcPr>
          <w:p w:rsidR="00F66AAB" w:rsidRPr="00E40B8E" w:rsidRDefault="00F66AAB" w:rsidP="001B4A4B">
            <w:pPr>
              <w:pStyle w:val="naiskr"/>
              <w:tabs>
                <w:tab w:val="left" w:pos="2628"/>
              </w:tabs>
              <w:spacing w:before="0" w:after="0"/>
              <w:ind w:left="-48"/>
              <w:jc w:val="both"/>
              <w:rPr>
                <w:iCs/>
              </w:rPr>
            </w:pPr>
            <w:r w:rsidRPr="00E40B8E">
              <w:rPr>
                <w:iCs/>
              </w:rPr>
              <w:t>1.</w:t>
            </w:r>
          </w:p>
        </w:tc>
        <w:tc>
          <w:tcPr>
            <w:tcW w:w="1418" w:type="dxa"/>
          </w:tcPr>
          <w:p w:rsidR="00F66AAB" w:rsidRPr="00E40B8E" w:rsidRDefault="00F66AAB" w:rsidP="001B4A4B">
            <w:pPr>
              <w:pStyle w:val="naiskr"/>
              <w:tabs>
                <w:tab w:val="left" w:pos="2628"/>
              </w:tabs>
              <w:spacing w:before="0" w:after="0"/>
              <w:jc w:val="both"/>
              <w:rPr>
                <w:iCs/>
              </w:rPr>
            </w:pPr>
            <w:r w:rsidRPr="00E40B8E">
              <w:t>Nepieciešamie saistītie tiesību aktu projekti</w:t>
            </w:r>
          </w:p>
        </w:tc>
        <w:tc>
          <w:tcPr>
            <w:tcW w:w="7366" w:type="dxa"/>
          </w:tcPr>
          <w:p w:rsidR="00F66AAB" w:rsidRPr="00DA0AEA" w:rsidRDefault="00136C6F" w:rsidP="00F66AAB">
            <w:pPr>
              <w:ind w:firstLine="453"/>
              <w:jc w:val="both"/>
              <w:rPr>
                <w:highlight w:val="yellow"/>
              </w:rPr>
            </w:pPr>
            <w:r>
              <w:t>V</w:t>
            </w:r>
            <w:r w:rsidR="00F66AAB" w:rsidRPr="00E977E1">
              <w:t>ienlaicīgi ti</w:t>
            </w:r>
            <w:r>
              <w:t>e</w:t>
            </w:r>
            <w:r w:rsidR="0097697D">
              <w:t>k izstrādāts</w:t>
            </w:r>
            <w:r w:rsidR="00F66AAB" w:rsidRPr="00E977E1">
              <w:t xml:space="preserve"> Ministru kabineta </w:t>
            </w:r>
            <w:r w:rsidRPr="00136C6F">
              <w:t>noteikum</w:t>
            </w:r>
            <w:r w:rsidR="0097697D">
              <w:t>u projekts</w:t>
            </w:r>
            <w:r w:rsidRPr="00136C6F">
              <w:t xml:space="preserve"> “Noteikumi par zemāko mēnešalgu un speciālo piemaksu ārstniecības personām”</w:t>
            </w:r>
            <w:r w:rsidR="00F66AAB" w:rsidRPr="00136C6F">
              <w:rPr>
                <w:shd w:val="clear" w:color="auto" w:fill="FFFFFF"/>
              </w:rPr>
              <w:t xml:space="preserve">, </w:t>
            </w:r>
            <w:r w:rsidR="00F66AAB" w:rsidRPr="00E977E1">
              <w:rPr>
                <w:shd w:val="clear" w:color="auto" w:fill="FFFFFF"/>
              </w:rPr>
              <w:t>lai realizētu noteikumos paredzēto ārstniecības personu mēnešalgas palielinājumu un turpinātu sekmēt reformu ietvaros pakalpojumu pieejamības un kvalitātes uzlabošanos.</w:t>
            </w:r>
          </w:p>
        </w:tc>
      </w:tr>
      <w:tr w:rsidR="00F66AAB" w:rsidTr="00F66AAB">
        <w:trPr>
          <w:jc w:val="center"/>
        </w:trPr>
        <w:tc>
          <w:tcPr>
            <w:tcW w:w="567" w:type="dxa"/>
          </w:tcPr>
          <w:p w:rsidR="00F66AAB" w:rsidRPr="003F7F9C" w:rsidRDefault="00F66AAB" w:rsidP="001B4A4B">
            <w:pPr>
              <w:pStyle w:val="naiskr"/>
              <w:tabs>
                <w:tab w:val="left" w:pos="2628"/>
              </w:tabs>
              <w:spacing w:before="0" w:after="0"/>
              <w:ind w:left="-33"/>
              <w:jc w:val="both"/>
              <w:rPr>
                <w:iCs/>
              </w:rPr>
            </w:pPr>
            <w:r w:rsidRPr="003F7F9C">
              <w:rPr>
                <w:iCs/>
              </w:rPr>
              <w:t>2.</w:t>
            </w:r>
          </w:p>
        </w:tc>
        <w:tc>
          <w:tcPr>
            <w:tcW w:w="1418" w:type="dxa"/>
          </w:tcPr>
          <w:p w:rsidR="00F66AAB" w:rsidRPr="00DA0AEA" w:rsidRDefault="00F66AAB" w:rsidP="001B4A4B">
            <w:pPr>
              <w:pStyle w:val="naiskr"/>
              <w:tabs>
                <w:tab w:val="left" w:pos="2628"/>
              </w:tabs>
              <w:spacing w:before="0" w:after="0"/>
              <w:jc w:val="both"/>
            </w:pPr>
            <w:r w:rsidRPr="00DA0AEA">
              <w:t>Atbildīgā institūcija</w:t>
            </w:r>
          </w:p>
        </w:tc>
        <w:tc>
          <w:tcPr>
            <w:tcW w:w="7366" w:type="dxa"/>
          </w:tcPr>
          <w:p w:rsidR="00F66AAB" w:rsidRPr="00DA0AEA" w:rsidRDefault="00F66AAB" w:rsidP="001B4A4B">
            <w:pPr>
              <w:pStyle w:val="naiskr"/>
              <w:tabs>
                <w:tab w:val="left" w:pos="2628"/>
              </w:tabs>
              <w:spacing w:before="0" w:after="0"/>
              <w:jc w:val="both"/>
            </w:pPr>
            <w:r w:rsidRPr="00DA0AEA">
              <w:t>Veselības ministrija</w:t>
            </w:r>
          </w:p>
        </w:tc>
      </w:tr>
      <w:tr w:rsidR="00F66AAB" w:rsidTr="00F66AAB">
        <w:trPr>
          <w:jc w:val="center"/>
        </w:trPr>
        <w:tc>
          <w:tcPr>
            <w:tcW w:w="567" w:type="dxa"/>
          </w:tcPr>
          <w:p w:rsidR="00F66AAB" w:rsidRPr="003F7F9C" w:rsidRDefault="00F66AAB" w:rsidP="001B4A4B">
            <w:pPr>
              <w:pStyle w:val="naiskr"/>
              <w:tabs>
                <w:tab w:val="left" w:pos="2628"/>
              </w:tabs>
              <w:spacing w:before="0" w:after="0"/>
              <w:ind w:left="-33"/>
              <w:jc w:val="both"/>
              <w:rPr>
                <w:iCs/>
              </w:rPr>
            </w:pPr>
            <w:r w:rsidRPr="003F7F9C">
              <w:rPr>
                <w:iCs/>
              </w:rPr>
              <w:t>3.</w:t>
            </w:r>
          </w:p>
        </w:tc>
        <w:tc>
          <w:tcPr>
            <w:tcW w:w="1418" w:type="dxa"/>
          </w:tcPr>
          <w:p w:rsidR="00F66AAB" w:rsidRPr="003F7F9C" w:rsidRDefault="00F66AAB" w:rsidP="001B4A4B">
            <w:pPr>
              <w:pStyle w:val="naiskr"/>
              <w:tabs>
                <w:tab w:val="left" w:pos="2628"/>
              </w:tabs>
              <w:spacing w:before="0" w:after="0"/>
              <w:jc w:val="both"/>
              <w:rPr>
                <w:iCs/>
              </w:rPr>
            </w:pPr>
            <w:r w:rsidRPr="003F7F9C">
              <w:t>Cita informācija</w:t>
            </w:r>
          </w:p>
        </w:tc>
        <w:tc>
          <w:tcPr>
            <w:tcW w:w="7366" w:type="dxa"/>
          </w:tcPr>
          <w:p w:rsidR="00F66AAB" w:rsidRPr="003F7F9C" w:rsidRDefault="00F66AAB" w:rsidP="001B4A4B">
            <w:pPr>
              <w:pStyle w:val="naiskr"/>
              <w:tabs>
                <w:tab w:val="left" w:pos="2628"/>
              </w:tabs>
              <w:spacing w:before="0" w:after="0"/>
              <w:jc w:val="both"/>
              <w:rPr>
                <w:iCs/>
              </w:rPr>
            </w:pPr>
            <w:r w:rsidRPr="003F7F9C">
              <w:t>Nav</w:t>
            </w:r>
          </w:p>
        </w:tc>
      </w:tr>
    </w:tbl>
    <w:p w:rsidR="007F6F87" w:rsidRPr="002570D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2570DF" w:rsidTr="006936E5">
        <w:tc>
          <w:tcPr>
            <w:tcW w:w="9356" w:type="dxa"/>
          </w:tcPr>
          <w:p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lastRenderedPageBreak/>
              <w:t>V. Tiesību akta projekta atbilstība Latvijas Republikas starptautiskajām saistībām</w:t>
            </w:r>
          </w:p>
        </w:tc>
      </w:tr>
      <w:tr w:rsidR="007F6F87" w:rsidRPr="002570DF" w:rsidTr="006936E5">
        <w:tc>
          <w:tcPr>
            <w:tcW w:w="9356" w:type="dxa"/>
          </w:tcPr>
          <w:p w:rsidR="007F6F87" w:rsidRPr="002570DF" w:rsidRDefault="007F6F87" w:rsidP="003903B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Projekts šo jomu neskar</w:t>
            </w:r>
            <w:r w:rsidR="007272A8" w:rsidRPr="002570DF">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6521"/>
      </w:tblGrid>
      <w:tr w:rsidR="000736BA" w:rsidTr="000736BA">
        <w:trPr>
          <w:jc w:val="center"/>
        </w:trPr>
        <w:tc>
          <w:tcPr>
            <w:tcW w:w="9351" w:type="dxa"/>
            <w:gridSpan w:val="3"/>
          </w:tcPr>
          <w:p w:rsidR="000736BA" w:rsidRPr="003F7F9C" w:rsidRDefault="000736BA" w:rsidP="001B4A4B">
            <w:pPr>
              <w:pStyle w:val="naisnod"/>
              <w:spacing w:before="0" w:after="0"/>
            </w:pPr>
            <w:r w:rsidRPr="003F7F9C">
              <w:t>VI. Sabiedrības līdzdalība un komunikācijas aktivitātes</w:t>
            </w:r>
          </w:p>
        </w:tc>
      </w:tr>
      <w:tr w:rsidR="000736BA" w:rsidTr="00426F75">
        <w:trPr>
          <w:jc w:val="center"/>
        </w:trPr>
        <w:tc>
          <w:tcPr>
            <w:tcW w:w="421" w:type="dxa"/>
          </w:tcPr>
          <w:p w:rsidR="000736BA" w:rsidRPr="003F7F9C" w:rsidRDefault="000736BA" w:rsidP="001B4A4B">
            <w:pPr>
              <w:pStyle w:val="naiskr"/>
              <w:tabs>
                <w:tab w:val="left" w:pos="2628"/>
              </w:tabs>
              <w:spacing w:before="0" w:after="0"/>
              <w:ind w:left="-48"/>
              <w:jc w:val="both"/>
              <w:rPr>
                <w:iCs/>
              </w:rPr>
            </w:pPr>
            <w:r w:rsidRPr="003F7F9C">
              <w:rPr>
                <w:iCs/>
              </w:rPr>
              <w:t>1.</w:t>
            </w:r>
          </w:p>
        </w:tc>
        <w:tc>
          <w:tcPr>
            <w:tcW w:w="2409" w:type="dxa"/>
          </w:tcPr>
          <w:p w:rsidR="000736BA" w:rsidRPr="003F7F9C" w:rsidRDefault="000736BA" w:rsidP="001B4A4B">
            <w:pPr>
              <w:pStyle w:val="naiskr"/>
              <w:tabs>
                <w:tab w:val="left" w:pos="2628"/>
              </w:tabs>
              <w:spacing w:before="0" w:after="0"/>
              <w:rPr>
                <w:iCs/>
              </w:rPr>
            </w:pPr>
            <w:r w:rsidRPr="003F7F9C">
              <w:t>Plānotās sabiedrības līdzdalības un komunikācijas aktivitātes saistībā ar projektu</w:t>
            </w:r>
          </w:p>
        </w:tc>
        <w:tc>
          <w:tcPr>
            <w:tcW w:w="6521" w:type="dxa"/>
          </w:tcPr>
          <w:p w:rsidR="000736BA" w:rsidRPr="00DA0AEA" w:rsidRDefault="000736BA" w:rsidP="00F66AAB">
            <w:pPr>
              <w:ind w:firstLine="377"/>
              <w:jc w:val="both"/>
              <w:rPr>
                <w:highlight w:val="yellow"/>
              </w:rPr>
            </w:pPr>
            <w:r w:rsidRPr="00DA0AEA">
              <w:t>Veselības ministrij</w:t>
            </w:r>
            <w:r w:rsidR="00D140A2">
              <w:t>as</w:t>
            </w:r>
            <w:r w:rsidR="00327EBA">
              <w:t xml:space="preserve"> darba grupas pārstāvji</w:t>
            </w:r>
            <w:r w:rsidRPr="00DA0AEA">
              <w:t xml:space="preserve"> </w:t>
            </w:r>
            <w:r w:rsidR="00327EBA" w:rsidRPr="00327EBA">
              <w:t>turpinā</w:t>
            </w:r>
            <w:r w:rsidR="00D140A2">
              <w:t>ja</w:t>
            </w:r>
            <w:r w:rsidR="00327EBA" w:rsidRPr="00327EBA">
              <w:t xml:space="preserve"> izvērtēt un noteikt ārstniecības iestādēs strādājošajiem darba samaksas palielināšanai nepieciešamo finansējumu vidējā termiņā, kā arī izskatītu jautājumu par iespējām ar esošajiem cilvēkresursiem nodrošināt pakalpojumu sniegšanu normāla darba laika ietvaros</w:t>
            </w:r>
            <w:r w:rsidRPr="00DA0AEA">
              <w:t>.</w:t>
            </w:r>
          </w:p>
        </w:tc>
      </w:tr>
      <w:tr w:rsidR="000736BA" w:rsidTr="00426F75">
        <w:trPr>
          <w:jc w:val="center"/>
        </w:trPr>
        <w:tc>
          <w:tcPr>
            <w:tcW w:w="421" w:type="dxa"/>
          </w:tcPr>
          <w:p w:rsidR="000736BA" w:rsidRPr="003F7F9C" w:rsidRDefault="000736BA" w:rsidP="001B4A4B">
            <w:pPr>
              <w:pStyle w:val="naiskr"/>
              <w:tabs>
                <w:tab w:val="left" w:pos="2628"/>
              </w:tabs>
              <w:spacing w:before="0" w:after="0"/>
              <w:ind w:left="-33"/>
              <w:jc w:val="both"/>
              <w:rPr>
                <w:iCs/>
              </w:rPr>
            </w:pPr>
            <w:r w:rsidRPr="003F7F9C">
              <w:rPr>
                <w:iCs/>
              </w:rPr>
              <w:t>2.</w:t>
            </w:r>
          </w:p>
        </w:tc>
        <w:tc>
          <w:tcPr>
            <w:tcW w:w="2409" w:type="dxa"/>
          </w:tcPr>
          <w:p w:rsidR="000736BA" w:rsidRPr="003F7F9C" w:rsidRDefault="000736BA" w:rsidP="001B4A4B">
            <w:pPr>
              <w:pStyle w:val="naiskr"/>
              <w:tabs>
                <w:tab w:val="left" w:pos="2628"/>
              </w:tabs>
              <w:spacing w:before="0" w:after="0"/>
              <w:jc w:val="both"/>
            </w:pPr>
            <w:r w:rsidRPr="003F7F9C">
              <w:t>Sabiedrības līdzdalība projekta izstrādē</w:t>
            </w:r>
          </w:p>
        </w:tc>
        <w:tc>
          <w:tcPr>
            <w:tcW w:w="6521" w:type="dxa"/>
          </w:tcPr>
          <w:p w:rsidR="000736BA" w:rsidRPr="00E977E1" w:rsidRDefault="00D140A2" w:rsidP="00F66AAB">
            <w:pPr>
              <w:pStyle w:val="naiskr"/>
              <w:tabs>
                <w:tab w:val="left" w:pos="2628"/>
              </w:tabs>
              <w:spacing w:before="0" w:after="0"/>
              <w:ind w:firstLine="377"/>
              <w:jc w:val="both"/>
            </w:pPr>
            <w:r>
              <w:t>D</w:t>
            </w:r>
            <w:r w:rsidRPr="00D140A2">
              <w:t>arba grupas pārstāvji</w:t>
            </w:r>
            <w:r w:rsidR="000736BA" w:rsidRPr="00E977E1">
              <w:t>.</w:t>
            </w:r>
          </w:p>
        </w:tc>
      </w:tr>
      <w:tr w:rsidR="000736BA" w:rsidTr="00426F75">
        <w:trPr>
          <w:jc w:val="center"/>
        </w:trPr>
        <w:tc>
          <w:tcPr>
            <w:tcW w:w="421" w:type="dxa"/>
          </w:tcPr>
          <w:p w:rsidR="000736BA" w:rsidRPr="003F7F9C" w:rsidRDefault="000736BA" w:rsidP="001B4A4B">
            <w:pPr>
              <w:pStyle w:val="naiskr"/>
              <w:tabs>
                <w:tab w:val="left" w:pos="2628"/>
              </w:tabs>
              <w:spacing w:before="0" w:after="0"/>
              <w:ind w:left="-33"/>
              <w:jc w:val="both"/>
              <w:rPr>
                <w:iCs/>
              </w:rPr>
            </w:pPr>
            <w:r w:rsidRPr="003F7F9C">
              <w:rPr>
                <w:iCs/>
              </w:rPr>
              <w:t>3.</w:t>
            </w:r>
          </w:p>
        </w:tc>
        <w:tc>
          <w:tcPr>
            <w:tcW w:w="2409" w:type="dxa"/>
          </w:tcPr>
          <w:p w:rsidR="000736BA" w:rsidRPr="003F7F9C" w:rsidRDefault="000736BA" w:rsidP="001B4A4B">
            <w:pPr>
              <w:pStyle w:val="naiskr"/>
              <w:tabs>
                <w:tab w:val="left" w:pos="2628"/>
              </w:tabs>
              <w:spacing w:before="0" w:after="0"/>
              <w:jc w:val="both"/>
              <w:rPr>
                <w:iCs/>
              </w:rPr>
            </w:pPr>
            <w:r w:rsidRPr="003F7F9C">
              <w:t>Sabiedrības līdzdalības rezultāti</w:t>
            </w:r>
          </w:p>
        </w:tc>
        <w:tc>
          <w:tcPr>
            <w:tcW w:w="6521" w:type="dxa"/>
          </w:tcPr>
          <w:p w:rsidR="000736BA" w:rsidRPr="00E40B8E" w:rsidRDefault="00D140A2" w:rsidP="00F66AAB">
            <w:pPr>
              <w:pStyle w:val="naiskr"/>
              <w:tabs>
                <w:tab w:val="left" w:pos="2628"/>
              </w:tabs>
              <w:spacing w:before="0" w:after="0"/>
              <w:ind w:firstLine="377"/>
              <w:jc w:val="both"/>
              <w:rPr>
                <w:iCs/>
              </w:rPr>
            </w:pPr>
            <w:r>
              <w:t xml:space="preserve">Darba grupas pārstāvji </w:t>
            </w:r>
            <w:r w:rsidRPr="00D140A2">
              <w:t>konceptuāli atbalstīja Veselības ministrijas piedāvāto variantu darba samaksas pieaugumam ārstniecības iestādēs strādājošiem 2019.- 2021. gadam vidēji 20% apmērā katru gadu, 2021. gadā ārstu vidējai darba samaksai sasniedzot divkāršu tautsaimniecībā nodarbināto vidējo darba samaksu.</w:t>
            </w:r>
          </w:p>
        </w:tc>
      </w:tr>
      <w:tr w:rsidR="000736BA" w:rsidTr="00426F75">
        <w:trPr>
          <w:jc w:val="center"/>
        </w:trPr>
        <w:tc>
          <w:tcPr>
            <w:tcW w:w="421" w:type="dxa"/>
          </w:tcPr>
          <w:p w:rsidR="000736BA" w:rsidRPr="003F7F9C" w:rsidRDefault="000736BA" w:rsidP="001B4A4B">
            <w:pPr>
              <w:pStyle w:val="naiskr"/>
              <w:tabs>
                <w:tab w:val="left" w:pos="2628"/>
              </w:tabs>
              <w:spacing w:before="0" w:after="0"/>
              <w:ind w:left="-33"/>
              <w:jc w:val="both"/>
              <w:rPr>
                <w:iCs/>
              </w:rPr>
            </w:pPr>
            <w:r w:rsidRPr="003F7F9C">
              <w:rPr>
                <w:iCs/>
              </w:rPr>
              <w:t>4.</w:t>
            </w:r>
          </w:p>
        </w:tc>
        <w:tc>
          <w:tcPr>
            <w:tcW w:w="2409" w:type="dxa"/>
          </w:tcPr>
          <w:p w:rsidR="000736BA" w:rsidRPr="003F7F9C" w:rsidRDefault="000736BA" w:rsidP="001B4A4B">
            <w:pPr>
              <w:pStyle w:val="naiskr"/>
              <w:tabs>
                <w:tab w:val="left" w:pos="2628"/>
              </w:tabs>
              <w:spacing w:before="0" w:after="0"/>
              <w:jc w:val="both"/>
            </w:pPr>
            <w:r w:rsidRPr="003F7F9C">
              <w:t>Cita informācija</w:t>
            </w:r>
          </w:p>
        </w:tc>
        <w:tc>
          <w:tcPr>
            <w:tcW w:w="6521" w:type="dxa"/>
          </w:tcPr>
          <w:p w:rsidR="000736BA" w:rsidRPr="003F7F9C" w:rsidRDefault="000736BA" w:rsidP="001B4A4B">
            <w:pPr>
              <w:pStyle w:val="naiskr"/>
              <w:tabs>
                <w:tab w:val="left" w:pos="2628"/>
              </w:tabs>
              <w:spacing w:before="0" w:after="0"/>
              <w:jc w:val="both"/>
            </w:pPr>
            <w:r w:rsidRPr="003F7F9C">
              <w:t>Nav</w:t>
            </w:r>
          </w:p>
        </w:tc>
      </w:tr>
    </w:tbl>
    <w:p w:rsidR="007F6F87" w:rsidRPr="002570D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68"/>
        <w:gridCol w:w="3260"/>
        <w:gridCol w:w="5528"/>
      </w:tblGrid>
      <w:tr w:rsidR="007F6F87" w:rsidRPr="002570DF" w:rsidTr="006936E5">
        <w:tc>
          <w:tcPr>
            <w:tcW w:w="9356" w:type="dxa"/>
            <w:gridSpan w:val="3"/>
          </w:tcPr>
          <w:p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VII. Tiesību akta projekta izpildes nodrošināšana un tās ietekme uz institūcijām</w:t>
            </w:r>
          </w:p>
        </w:tc>
      </w:tr>
      <w:tr w:rsidR="0049601C" w:rsidRPr="002570DF" w:rsidTr="006936E5">
        <w:tc>
          <w:tcPr>
            <w:tcW w:w="568" w:type="dxa"/>
          </w:tcPr>
          <w:p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1.</w:t>
            </w:r>
          </w:p>
        </w:tc>
        <w:tc>
          <w:tcPr>
            <w:tcW w:w="3260" w:type="dxa"/>
          </w:tcPr>
          <w:p w:rsidR="0049601C" w:rsidRPr="002570DF" w:rsidRDefault="0049601C" w:rsidP="0049601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izpildē iesaistītās institūcijas</w:t>
            </w:r>
          </w:p>
        </w:tc>
        <w:tc>
          <w:tcPr>
            <w:tcW w:w="5528" w:type="dxa"/>
          </w:tcPr>
          <w:p w:rsidR="0049601C" w:rsidRPr="002570DF" w:rsidRDefault="00D140A2" w:rsidP="0049601C">
            <w:pPr>
              <w:jc w:val="both"/>
            </w:pPr>
            <w:r>
              <w:t>Veselības ministrija</w:t>
            </w:r>
            <w:r w:rsidR="00136C6F">
              <w:t>,</w:t>
            </w:r>
            <w:r>
              <w:t xml:space="preserve"> </w:t>
            </w:r>
            <w:r w:rsidR="00136C6F">
              <w:t>ā</w:t>
            </w:r>
            <w:r w:rsidR="00136C6F" w:rsidRPr="00136C6F">
              <w:t>rstniecība iestādes, ārstniecības personas, Nacionālais veselības dienests.</w:t>
            </w:r>
          </w:p>
        </w:tc>
      </w:tr>
      <w:tr w:rsidR="0049601C" w:rsidRPr="002570DF" w:rsidTr="006936E5">
        <w:tc>
          <w:tcPr>
            <w:tcW w:w="568" w:type="dxa"/>
          </w:tcPr>
          <w:p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2.</w:t>
            </w:r>
          </w:p>
        </w:tc>
        <w:tc>
          <w:tcPr>
            <w:tcW w:w="3260" w:type="dxa"/>
          </w:tcPr>
          <w:p w:rsidR="0049601C" w:rsidRPr="002570DF" w:rsidRDefault="0049601C" w:rsidP="0049601C">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izpildes ietekme uz pārvaldes funkcijām un institucionālo struktūru.</w:t>
            </w:r>
            <w:r w:rsidRPr="002570DF">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2570DF" w:rsidRDefault="0049601C" w:rsidP="0049601C">
            <w:r w:rsidRPr="002570DF">
              <w:t>Projekts šo jomu neskar.</w:t>
            </w:r>
          </w:p>
        </w:tc>
      </w:tr>
      <w:tr w:rsidR="0049601C" w:rsidRPr="002570DF" w:rsidTr="006936E5">
        <w:tc>
          <w:tcPr>
            <w:tcW w:w="568" w:type="dxa"/>
          </w:tcPr>
          <w:p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3.</w:t>
            </w:r>
          </w:p>
        </w:tc>
        <w:tc>
          <w:tcPr>
            <w:tcW w:w="3260" w:type="dxa"/>
          </w:tcPr>
          <w:p w:rsidR="0049601C" w:rsidRPr="002570DF" w:rsidRDefault="0049601C" w:rsidP="0049601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Cita informācija</w:t>
            </w:r>
          </w:p>
        </w:tc>
        <w:tc>
          <w:tcPr>
            <w:tcW w:w="5528" w:type="dxa"/>
          </w:tcPr>
          <w:p w:rsidR="0049601C" w:rsidRPr="002570DF" w:rsidRDefault="0049601C" w:rsidP="0049601C">
            <w:pPr>
              <w:pStyle w:val="NoSpacing"/>
              <w:rPr>
                <w:rFonts w:ascii="Times New Roman" w:hAnsi="Times New Roman" w:cs="Times New Roman"/>
                <w:sz w:val="24"/>
                <w:szCs w:val="24"/>
                <w:lang w:eastAsia="lv-LV"/>
              </w:rPr>
            </w:pPr>
            <w:r w:rsidRPr="002570DF">
              <w:rPr>
                <w:rFonts w:ascii="Times New Roman" w:hAnsi="Times New Roman" w:cs="Times New Roman"/>
                <w:sz w:val="24"/>
                <w:szCs w:val="24"/>
                <w:lang w:eastAsia="lv-LV"/>
              </w:rPr>
              <w:t>Nav</w:t>
            </w:r>
          </w:p>
        </w:tc>
      </w:tr>
    </w:tbl>
    <w:p w:rsidR="008B37B7" w:rsidRPr="002570DF" w:rsidRDefault="00E5323B"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 </w:t>
      </w:r>
    </w:p>
    <w:p w:rsidR="00601BED" w:rsidRDefault="00601BED" w:rsidP="00601BED">
      <w:pPr>
        <w:ind w:right="-765"/>
        <w:rPr>
          <w:sz w:val="28"/>
          <w:szCs w:val="28"/>
        </w:rPr>
      </w:pPr>
    </w:p>
    <w:p w:rsidR="00601BED" w:rsidRPr="00601BED" w:rsidRDefault="00601BED" w:rsidP="00601BED">
      <w:pPr>
        <w:ind w:right="-765"/>
        <w:rPr>
          <w:sz w:val="28"/>
          <w:szCs w:val="28"/>
        </w:rPr>
      </w:pPr>
      <w:r w:rsidRPr="00601BED">
        <w:rPr>
          <w:sz w:val="28"/>
          <w:szCs w:val="28"/>
        </w:rPr>
        <w:t xml:space="preserve">Veselības ministre </w:t>
      </w:r>
      <w:r w:rsidRPr="00601BED">
        <w:rPr>
          <w:sz w:val="28"/>
          <w:szCs w:val="28"/>
        </w:rPr>
        <w:tab/>
      </w:r>
      <w:r w:rsidRPr="00601BED">
        <w:rPr>
          <w:sz w:val="28"/>
          <w:szCs w:val="28"/>
        </w:rPr>
        <w:tab/>
      </w:r>
      <w:r w:rsidRPr="00601BED">
        <w:rPr>
          <w:sz w:val="28"/>
          <w:szCs w:val="28"/>
        </w:rPr>
        <w:tab/>
      </w:r>
      <w:r w:rsidRPr="00601BED">
        <w:rPr>
          <w:sz w:val="28"/>
          <w:szCs w:val="28"/>
        </w:rPr>
        <w:tab/>
      </w:r>
      <w:r w:rsidRPr="00601BED">
        <w:rPr>
          <w:sz w:val="28"/>
          <w:szCs w:val="28"/>
        </w:rPr>
        <w:tab/>
      </w:r>
      <w:r w:rsidRPr="00601BED">
        <w:rPr>
          <w:sz w:val="28"/>
          <w:szCs w:val="28"/>
        </w:rPr>
        <w:tab/>
        <w:t>Anda Čakša</w:t>
      </w:r>
    </w:p>
    <w:p w:rsidR="00601BED" w:rsidRPr="00601BED" w:rsidRDefault="00601BED" w:rsidP="00601BED">
      <w:pPr>
        <w:ind w:right="-765"/>
        <w:rPr>
          <w:sz w:val="28"/>
          <w:szCs w:val="28"/>
        </w:rPr>
      </w:pPr>
      <w:r w:rsidRPr="00601BED">
        <w:rPr>
          <w:sz w:val="28"/>
          <w:szCs w:val="28"/>
        </w:rPr>
        <w:tab/>
      </w:r>
    </w:p>
    <w:p w:rsidR="00601BED" w:rsidRPr="00601BED" w:rsidRDefault="00601BED" w:rsidP="00601BED">
      <w:pPr>
        <w:ind w:right="-765"/>
        <w:rPr>
          <w:sz w:val="28"/>
          <w:szCs w:val="28"/>
        </w:rPr>
      </w:pPr>
      <w:r w:rsidRPr="00601BED">
        <w:rPr>
          <w:sz w:val="28"/>
          <w:szCs w:val="28"/>
        </w:rPr>
        <w:t>Vīza: Valsts sekretār</w:t>
      </w:r>
      <w:r w:rsidR="00F27245">
        <w:rPr>
          <w:sz w:val="28"/>
          <w:szCs w:val="28"/>
        </w:rPr>
        <w:t>a p.i.</w:t>
      </w:r>
      <w:r w:rsidR="00F27245">
        <w:rPr>
          <w:sz w:val="28"/>
          <w:szCs w:val="28"/>
        </w:rPr>
        <w:tab/>
      </w:r>
      <w:r w:rsidR="00F27245">
        <w:rPr>
          <w:sz w:val="28"/>
          <w:szCs w:val="28"/>
        </w:rPr>
        <w:tab/>
      </w:r>
      <w:r w:rsidR="00F27245">
        <w:rPr>
          <w:sz w:val="28"/>
          <w:szCs w:val="28"/>
        </w:rPr>
        <w:tab/>
      </w:r>
      <w:r w:rsidR="00F27245">
        <w:rPr>
          <w:sz w:val="28"/>
          <w:szCs w:val="28"/>
        </w:rPr>
        <w:tab/>
      </w:r>
      <w:r w:rsidR="00F27245" w:rsidRPr="00F27245">
        <w:rPr>
          <w:bCs/>
          <w:sz w:val="28"/>
          <w:szCs w:val="28"/>
        </w:rPr>
        <w:t>Daina Mūrmane-Umbraško</w:t>
      </w:r>
    </w:p>
    <w:p w:rsidR="00601BED" w:rsidRDefault="00601BED" w:rsidP="00601BED">
      <w:pPr>
        <w:ind w:right="-765"/>
        <w:rPr>
          <w:sz w:val="28"/>
          <w:szCs w:val="28"/>
        </w:rPr>
      </w:pPr>
    </w:p>
    <w:p w:rsidR="0043314E" w:rsidRDefault="0043314E" w:rsidP="00D140A2">
      <w:pPr>
        <w:ind w:right="-765"/>
        <w:rPr>
          <w:sz w:val="22"/>
          <w:szCs w:val="22"/>
        </w:rPr>
      </w:pPr>
    </w:p>
    <w:p w:rsidR="0043314E" w:rsidRDefault="0043314E" w:rsidP="00D140A2">
      <w:pPr>
        <w:ind w:right="-765"/>
        <w:rPr>
          <w:sz w:val="22"/>
          <w:szCs w:val="22"/>
        </w:rPr>
      </w:pPr>
    </w:p>
    <w:p w:rsidR="0043314E" w:rsidRDefault="0043314E" w:rsidP="00D140A2">
      <w:pPr>
        <w:ind w:right="-765"/>
        <w:rPr>
          <w:sz w:val="22"/>
          <w:szCs w:val="22"/>
        </w:rPr>
      </w:pPr>
    </w:p>
    <w:p w:rsidR="00D140A2" w:rsidRPr="00D140A2" w:rsidRDefault="00D140A2" w:rsidP="00D140A2">
      <w:pPr>
        <w:ind w:right="-765"/>
        <w:rPr>
          <w:sz w:val="22"/>
          <w:szCs w:val="22"/>
        </w:rPr>
      </w:pPr>
      <w:r w:rsidRPr="00D140A2">
        <w:rPr>
          <w:sz w:val="22"/>
          <w:szCs w:val="22"/>
        </w:rPr>
        <w:t>Vinničenko 67876029</w:t>
      </w:r>
    </w:p>
    <w:p w:rsidR="0092075B" w:rsidRPr="00601BED" w:rsidRDefault="00E14DD5" w:rsidP="00D140A2">
      <w:pPr>
        <w:ind w:right="-765"/>
        <w:rPr>
          <w:sz w:val="22"/>
          <w:szCs w:val="22"/>
        </w:rPr>
      </w:pPr>
      <w:hyperlink r:id="rId8" w:history="1">
        <w:r w:rsidR="0092075B" w:rsidRPr="00CE6497">
          <w:rPr>
            <w:rStyle w:val="Hyperlink"/>
            <w:sz w:val="22"/>
            <w:szCs w:val="22"/>
          </w:rPr>
          <w:t>Inga.Vinnicenko@vm.gov.lv</w:t>
        </w:r>
      </w:hyperlink>
    </w:p>
    <w:sectPr w:rsidR="0092075B" w:rsidRPr="00601BE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DA6" w:rsidRDefault="00504DA6" w:rsidP="00894C55">
      <w:r>
        <w:separator/>
      </w:r>
    </w:p>
  </w:endnote>
  <w:endnote w:type="continuationSeparator" w:id="0">
    <w:p w:rsidR="00504DA6" w:rsidRDefault="00504DA6"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A6" w:rsidRPr="001310DA" w:rsidRDefault="00504DA6" w:rsidP="001310DA">
    <w:pPr>
      <w:pStyle w:val="Footer"/>
    </w:pPr>
    <w:bookmarkStart w:id="1" w:name="_Hlk531792852"/>
    <w:bookmarkStart w:id="2" w:name="_Hlk531792853"/>
    <w:bookmarkStart w:id="3" w:name="_Hlk531792854"/>
    <w:bookmarkStart w:id="4" w:name="_Hlk531792855"/>
    <w:r w:rsidRPr="001310DA">
      <w:rPr>
        <w:rFonts w:ascii="Times New Roman" w:hAnsi="Times New Roman" w:cs="Times New Roman"/>
        <w:sz w:val="20"/>
        <w:szCs w:val="20"/>
      </w:rPr>
      <w:t>VManot_</w:t>
    </w:r>
    <w:r w:rsidR="00B405B4">
      <w:rPr>
        <w:rFonts w:ascii="Times New Roman" w:hAnsi="Times New Roman" w:cs="Times New Roman"/>
        <w:sz w:val="20"/>
        <w:szCs w:val="20"/>
      </w:rPr>
      <w:t>20</w:t>
    </w:r>
    <w:r w:rsidRPr="001310DA">
      <w:rPr>
        <w:rFonts w:ascii="Times New Roman" w:hAnsi="Times New Roman" w:cs="Times New Roman"/>
        <w:sz w:val="20"/>
        <w:szCs w:val="20"/>
      </w:rPr>
      <w:t>1218_5</w:t>
    </w:r>
    <w:r>
      <w:rPr>
        <w:rFonts w:ascii="Times New Roman" w:hAnsi="Times New Roman" w:cs="Times New Roman"/>
        <w:sz w:val="20"/>
        <w:szCs w:val="20"/>
      </w:rPr>
      <w:t>5</w:t>
    </w:r>
    <w:r w:rsidRPr="001310DA">
      <w:rPr>
        <w:rFonts w:ascii="Times New Roman" w:hAnsi="Times New Roman" w:cs="Times New Roman"/>
        <w:sz w:val="20"/>
        <w:szCs w:val="20"/>
      </w:rPr>
      <w:t>5</w:t>
    </w:r>
    <w:r>
      <w:rPr>
        <w:rFonts w:ascii="Times New Roman" w:hAnsi="Times New Roman" w:cs="Times New Roman"/>
        <w:sz w:val="20"/>
        <w:szCs w:val="20"/>
      </w:rPr>
      <w:t>_groz</w:t>
    </w:r>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A6" w:rsidRPr="001310DA" w:rsidRDefault="00504DA6" w:rsidP="00B03C36">
    <w:pPr>
      <w:pStyle w:val="Footer"/>
    </w:pPr>
    <w:r w:rsidRPr="001310DA">
      <w:rPr>
        <w:rFonts w:ascii="Times New Roman" w:hAnsi="Times New Roman" w:cs="Times New Roman"/>
        <w:sz w:val="20"/>
        <w:szCs w:val="20"/>
      </w:rPr>
      <w:t>VManot_</w:t>
    </w:r>
    <w:r w:rsidR="00B405B4">
      <w:rPr>
        <w:rFonts w:ascii="Times New Roman" w:hAnsi="Times New Roman" w:cs="Times New Roman"/>
        <w:sz w:val="20"/>
        <w:szCs w:val="20"/>
      </w:rPr>
      <w:t>20</w:t>
    </w:r>
    <w:r w:rsidRPr="001310DA">
      <w:rPr>
        <w:rFonts w:ascii="Times New Roman" w:hAnsi="Times New Roman" w:cs="Times New Roman"/>
        <w:sz w:val="20"/>
        <w:szCs w:val="20"/>
      </w:rPr>
      <w:t>1218_5</w:t>
    </w:r>
    <w:r>
      <w:rPr>
        <w:rFonts w:ascii="Times New Roman" w:hAnsi="Times New Roman" w:cs="Times New Roman"/>
        <w:sz w:val="20"/>
        <w:szCs w:val="20"/>
      </w:rPr>
      <w:t>5</w:t>
    </w:r>
    <w:r w:rsidRPr="001310DA">
      <w:rPr>
        <w:rFonts w:ascii="Times New Roman" w:hAnsi="Times New Roman" w:cs="Times New Roman"/>
        <w:sz w:val="20"/>
        <w:szCs w:val="20"/>
      </w:rPr>
      <w:t>5</w:t>
    </w:r>
    <w:r>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DA6" w:rsidRDefault="00504DA6" w:rsidP="00894C55">
      <w:r>
        <w:separator/>
      </w:r>
    </w:p>
  </w:footnote>
  <w:footnote w:type="continuationSeparator" w:id="0">
    <w:p w:rsidR="00504DA6" w:rsidRDefault="00504DA6" w:rsidP="00894C55">
      <w:r>
        <w:continuationSeparator/>
      </w:r>
    </w:p>
  </w:footnote>
  <w:footnote w:id="1">
    <w:p w:rsidR="00504DA6" w:rsidRDefault="00504DA6" w:rsidP="00825CF8">
      <w:pPr>
        <w:pStyle w:val="FootnoteText"/>
      </w:pPr>
      <w:r>
        <w:rPr>
          <w:rStyle w:val="FootnoteReference"/>
        </w:rPr>
        <w:footnoteRef/>
      </w:r>
      <w:r>
        <w:t xml:space="preserve"> </w:t>
      </w:r>
      <w:r w:rsidRPr="00EF5652">
        <w:t xml:space="preserve">Apstiprināta </w:t>
      </w:r>
      <w:r>
        <w:t>12.06</w:t>
      </w:r>
      <w:r w:rsidRPr="00EF5652">
        <w:t>.201</w:t>
      </w:r>
      <w:r>
        <w:t>8</w:t>
      </w:r>
      <w:r w:rsidRPr="00EF5652">
        <w:t>. ar Veselības ministrijas rīkojumu Nr.</w:t>
      </w:r>
      <w:r>
        <w:t>118</w:t>
      </w:r>
      <w:r w:rsidRPr="00EF5652">
        <w:t xml:space="preserve"> “</w:t>
      </w:r>
      <w:r w:rsidRPr="00245BA0">
        <w:rPr>
          <w:bCs/>
        </w:rPr>
        <w:t>Par darba grupas izveidi veselības  aprūpes nozarē strādājošo personu darba samaksas palielināšanu</w:t>
      </w:r>
      <w:r w:rsidRPr="00EF5652">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04DA6" w:rsidRPr="00C25B49" w:rsidRDefault="00504DA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5D8"/>
    <w:multiLevelType w:val="hybridMultilevel"/>
    <w:tmpl w:val="BB2AD5F8"/>
    <w:lvl w:ilvl="0" w:tplc="C9E88758">
      <w:start w:val="1"/>
      <w:numFmt w:val="lowerRoman"/>
      <w:lvlText w:val="%1."/>
      <w:lvlJc w:val="left"/>
      <w:pPr>
        <w:ind w:left="1203" w:hanging="720"/>
      </w:pPr>
      <w:rPr>
        <w:rFonts w:eastAsia="Calibri"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15:restartNumberingAfterBreak="0">
    <w:nsid w:val="114532E6"/>
    <w:multiLevelType w:val="hybridMultilevel"/>
    <w:tmpl w:val="DE62DA12"/>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 w15:restartNumberingAfterBreak="0">
    <w:nsid w:val="120D348C"/>
    <w:multiLevelType w:val="hybridMultilevel"/>
    <w:tmpl w:val="4E082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8A4F1C"/>
    <w:multiLevelType w:val="hybridMultilevel"/>
    <w:tmpl w:val="D40C7686"/>
    <w:lvl w:ilvl="0" w:tplc="EBAA79B0">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4"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5" w15:restartNumberingAfterBreak="0">
    <w:nsid w:val="39257DE1"/>
    <w:multiLevelType w:val="hybridMultilevel"/>
    <w:tmpl w:val="1EA2A2A0"/>
    <w:lvl w:ilvl="0" w:tplc="6354E9B6">
      <w:start w:val="1"/>
      <w:numFmt w:val="decimal"/>
      <w:lvlText w:val="%1."/>
      <w:lvlJc w:val="left"/>
      <w:pPr>
        <w:ind w:left="785" w:hanging="360"/>
      </w:pPr>
      <w:rPr>
        <w:rFonts w:hint="default"/>
        <w:color w:val="auto"/>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3E9D4D12"/>
    <w:multiLevelType w:val="hybridMultilevel"/>
    <w:tmpl w:val="CE4CE6EC"/>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631F0F"/>
    <w:multiLevelType w:val="hybridMultilevel"/>
    <w:tmpl w:val="80EAFEEE"/>
    <w:lvl w:ilvl="0" w:tplc="A1FA8EF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D27C5D"/>
    <w:multiLevelType w:val="hybridMultilevel"/>
    <w:tmpl w:val="E8DCD608"/>
    <w:lvl w:ilvl="0" w:tplc="EC308CB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5F627A55"/>
    <w:multiLevelType w:val="hybridMultilevel"/>
    <w:tmpl w:val="E13C4408"/>
    <w:lvl w:ilvl="0" w:tplc="089E13C0">
      <w:start w:val="210"/>
      <w:numFmt w:val="bullet"/>
      <w:lvlText w:val="-"/>
      <w:lvlJc w:val="left"/>
      <w:pPr>
        <w:ind w:left="843" w:hanging="360"/>
      </w:pPr>
      <w:rPr>
        <w:rFonts w:ascii="Times New Roman" w:eastAsia="Calibri" w:hAnsi="Times New Roman" w:cs="Times New Roman" w:hint="default"/>
      </w:rPr>
    </w:lvl>
    <w:lvl w:ilvl="1" w:tplc="23167F24" w:tentative="1">
      <w:start w:val="1"/>
      <w:numFmt w:val="bullet"/>
      <w:lvlText w:val="o"/>
      <w:lvlJc w:val="left"/>
      <w:pPr>
        <w:ind w:left="1563" w:hanging="360"/>
      </w:pPr>
      <w:rPr>
        <w:rFonts w:ascii="Courier New" w:hAnsi="Courier New" w:cs="Courier New" w:hint="default"/>
      </w:rPr>
    </w:lvl>
    <w:lvl w:ilvl="2" w:tplc="20443750" w:tentative="1">
      <w:start w:val="1"/>
      <w:numFmt w:val="bullet"/>
      <w:lvlText w:val=""/>
      <w:lvlJc w:val="left"/>
      <w:pPr>
        <w:ind w:left="2283" w:hanging="360"/>
      </w:pPr>
      <w:rPr>
        <w:rFonts w:ascii="Wingdings" w:hAnsi="Wingdings" w:hint="default"/>
      </w:rPr>
    </w:lvl>
    <w:lvl w:ilvl="3" w:tplc="69A67A4A" w:tentative="1">
      <w:start w:val="1"/>
      <w:numFmt w:val="bullet"/>
      <w:lvlText w:val=""/>
      <w:lvlJc w:val="left"/>
      <w:pPr>
        <w:ind w:left="3003" w:hanging="360"/>
      </w:pPr>
      <w:rPr>
        <w:rFonts w:ascii="Symbol" w:hAnsi="Symbol" w:hint="default"/>
      </w:rPr>
    </w:lvl>
    <w:lvl w:ilvl="4" w:tplc="06289C98" w:tentative="1">
      <w:start w:val="1"/>
      <w:numFmt w:val="bullet"/>
      <w:lvlText w:val="o"/>
      <w:lvlJc w:val="left"/>
      <w:pPr>
        <w:ind w:left="3723" w:hanging="360"/>
      </w:pPr>
      <w:rPr>
        <w:rFonts w:ascii="Courier New" w:hAnsi="Courier New" w:cs="Courier New" w:hint="default"/>
      </w:rPr>
    </w:lvl>
    <w:lvl w:ilvl="5" w:tplc="17C6742E" w:tentative="1">
      <w:start w:val="1"/>
      <w:numFmt w:val="bullet"/>
      <w:lvlText w:val=""/>
      <w:lvlJc w:val="left"/>
      <w:pPr>
        <w:ind w:left="4443" w:hanging="360"/>
      </w:pPr>
      <w:rPr>
        <w:rFonts w:ascii="Wingdings" w:hAnsi="Wingdings" w:hint="default"/>
      </w:rPr>
    </w:lvl>
    <w:lvl w:ilvl="6" w:tplc="75B04CEC" w:tentative="1">
      <w:start w:val="1"/>
      <w:numFmt w:val="bullet"/>
      <w:lvlText w:val=""/>
      <w:lvlJc w:val="left"/>
      <w:pPr>
        <w:ind w:left="5163" w:hanging="360"/>
      </w:pPr>
      <w:rPr>
        <w:rFonts w:ascii="Symbol" w:hAnsi="Symbol" w:hint="default"/>
      </w:rPr>
    </w:lvl>
    <w:lvl w:ilvl="7" w:tplc="90768B3C" w:tentative="1">
      <w:start w:val="1"/>
      <w:numFmt w:val="bullet"/>
      <w:lvlText w:val="o"/>
      <w:lvlJc w:val="left"/>
      <w:pPr>
        <w:ind w:left="5883" w:hanging="360"/>
      </w:pPr>
      <w:rPr>
        <w:rFonts w:ascii="Courier New" w:hAnsi="Courier New" w:cs="Courier New" w:hint="default"/>
      </w:rPr>
    </w:lvl>
    <w:lvl w:ilvl="8" w:tplc="DE0401C2" w:tentative="1">
      <w:start w:val="1"/>
      <w:numFmt w:val="bullet"/>
      <w:lvlText w:val=""/>
      <w:lvlJc w:val="left"/>
      <w:pPr>
        <w:ind w:left="6603" w:hanging="360"/>
      </w:pPr>
      <w:rPr>
        <w:rFonts w:ascii="Wingdings" w:hAnsi="Wingdings" w:hint="default"/>
      </w:rPr>
    </w:lvl>
  </w:abstractNum>
  <w:abstractNum w:abstractNumId="1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7D402C"/>
    <w:multiLevelType w:val="hybridMultilevel"/>
    <w:tmpl w:val="65725158"/>
    <w:lvl w:ilvl="0" w:tplc="163698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5A6650"/>
    <w:multiLevelType w:val="hybridMultilevel"/>
    <w:tmpl w:val="3F1A2616"/>
    <w:lvl w:ilvl="0" w:tplc="A70CF212">
      <w:start w:val="1"/>
      <w:numFmt w:val="upperRoman"/>
      <w:lvlText w:val="%1."/>
      <w:lvlJc w:val="left"/>
      <w:pPr>
        <w:ind w:left="1080" w:hanging="72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F20D37"/>
    <w:multiLevelType w:val="hybridMultilevel"/>
    <w:tmpl w:val="DE342B60"/>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16E4681"/>
    <w:multiLevelType w:val="hybridMultilevel"/>
    <w:tmpl w:val="16E6E72A"/>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8" w15:restartNumberingAfterBreak="0">
    <w:nsid w:val="73DB5D59"/>
    <w:multiLevelType w:val="hybridMultilevel"/>
    <w:tmpl w:val="7B503B6C"/>
    <w:lvl w:ilvl="0" w:tplc="9FE23FDE">
      <w:start w:val="1"/>
      <w:numFmt w:val="decimal"/>
      <w:lvlText w:val="%1."/>
      <w:lvlJc w:val="left"/>
      <w:pPr>
        <w:ind w:left="823" w:hanging="360"/>
      </w:pPr>
      <w:rPr>
        <w:rFonts w:hint="default"/>
      </w:rPr>
    </w:lvl>
    <w:lvl w:ilvl="1" w:tplc="04260019" w:tentative="1">
      <w:start w:val="1"/>
      <w:numFmt w:val="lowerLetter"/>
      <w:lvlText w:val="%2."/>
      <w:lvlJc w:val="left"/>
      <w:pPr>
        <w:ind w:left="1543" w:hanging="360"/>
      </w:pPr>
    </w:lvl>
    <w:lvl w:ilvl="2" w:tplc="0426001B" w:tentative="1">
      <w:start w:val="1"/>
      <w:numFmt w:val="lowerRoman"/>
      <w:lvlText w:val="%3."/>
      <w:lvlJc w:val="right"/>
      <w:pPr>
        <w:ind w:left="2263" w:hanging="180"/>
      </w:pPr>
    </w:lvl>
    <w:lvl w:ilvl="3" w:tplc="0426000F" w:tentative="1">
      <w:start w:val="1"/>
      <w:numFmt w:val="decimal"/>
      <w:lvlText w:val="%4."/>
      <w:lvlJc w:val="left"/>
      <w:pPr>
        <w:ind w:left="2983" w:hanging="360"/>
      </w:pPr>
    </w:lvl>
    <w:lvl w:ilvl="4" w:tplc="04260019" w:tentative="1">
      <w:start w:val="1"/>
      <w:numFmt w:val="lowerLetter"/>
      <w:lvlText w:val="%5."/>
      <w:lvlJc w:val="left"/>
      <w:pPr>
        <w:ind w:left="3703" w:hanging="360"/>
      </w:pPr>
    </w:lvl>
    <w:lvl w:ilvl="5" w:tplc="0426001B" w:tentative="1">
      <w:start w:val="1"/>
      <w:numFmt w:val="lowerRoman"/>
      <w:lvlText w:val="%6."/>
      <w:lvlJc w:val="right"/>
      <w:pPr>
        <w:ind w:left="4423" w:hanging="180"/>
      </w:pPr>
    </w:lvl>
    <w:lvl w:ilvl="6" w:tplc="0426000F" w:tentative="1">
      <w:start w:val="1"/>
      <w:numFmt w:val="decimal"/>
      <w:lvlText w:val="%7."/>
      <w:lvlJc w:val="left"/>
      <w:pPr>
        <w:ind w:left="5143" w:hanging="360"/>
      </w:pPr>
    </w:lvl>
    <w:lvl w:ilvl="7" w:tplc="04260019" w:tentative="1">
      <w:start w:val="1"/>
      <w:numFmt w:val="lowerLetter"/>
      <w:lvlText w:val="%8."/>
      <w:lvlJc w:val="left"/>
      <w:pPr>
        <w:ind w:left="5863" w:hanging="360"/>
      </w:pPr>
    </w:lvl>
    <w:lvl w:ilvl="8" w:tplc="0426001B" w:tentative="1">
      <w:start w:val="1"/>
      <w:numFmt w:val="lowerRoman"/>
      <w:lvlText w:val="%9."/>
      <w:lvlJc w:val="right"/>
      <w:pPr>
        <w:ind w:left="6583" w:hanging="180"/>
      </w:pPr>
    </w:lvl>
  </w:abstractNum>
  <w:num w:numId="1">
    <w:abstractNumId w:val="11"/>
  </w:num>
  <w:num w:numId="2">
    <w:abstractNumId w:val="16"/>
  </w:num>
  <w:num w:numId="3">
    <w:abstractNumId w:val="4"/>
  </w:num>
  <w:num w:numId="4">
    <w:abstractNumId w:val="1"/>
  </w:num>
  <w:num w:numId="5">
    <w:abstractNumId w:val="8"/>
  </w:num>
  <w:num w:numId="6">
    <w:abstractNumId w:val="17"/>
  </w:num>
  <w:num w:numId="7">
    <w:abstractNumId w:val="5"/>
  </w:num>
  <w:num w:numId="8">
    <w:abstractNumId w:val="0"/>
  </w:num>
  <w:num w:numId="9">
    <w:abstractNumId w:val="14"/>
  </w:num>
  <w:num w:numId="10">
    <w:abstractNumId w:val="7"/>
  </w:num>
  <w:num w:numId="11">
    <w:abstractNumId w:val="13"/>
  </w:num>
  <w:num w:numId="12">
    <w:abstractNumId w:val="3"/>
  </w:num>
  <w:num w:numId="13">
    <w:abstractNumId w:val="6"/>
  </w:num>
  <w:num w:numId="14">
    <w:abstractNumId w:val="15"/>
  </w:num>
  <w:num w:numId="15">
    <w:abstractNumId w:val="10"/>
  </w:num>
  <w:num w:numId="16">
    <w:abstractNumId w:val="18"/>
  </w:num>
  <w:num w:numId="17">
    <w:abstractNumId w:val="12"/>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BE"/>
    <w:rsid w:val="0000729D"/>
    <w:rsid w:val="000150A0"/>
    <w:rsid w:val="00033461"/>
    <w:rsid w:val="00037CA6"/>
    <w:rsid w:val="0004022B"/>
    <w:rsid w:val="00046182"/>
    <w:rsid w:val="00047E0D"/>
    <w:rsid w:val="00051EE3"/>
    <w:rsid w:val="000736BA"/>
    <w:rsid w:val="0007586B"/>
    <w:rsid w:val="0008249D"/>
    <w:rsid w:val="00084417"/>
    <w:rsid w:val="00097EFE"/>
    <w:rsid w:val="000A4AE5"/>
    <w:rsid w:val="000B67F5"/>
    <w:rsid w:val="000C29CF"/>
    <w:rsid w:val="000D01B5"/>
    <w:rsid w:val="000D11D5"/>
    <w:rsid w:val="000D3AA3"/>
    <w:rsid w:val="000F02DD"/>
    <w:rsid w:val="00104322"/>
    <w:rsid w:val="00130487"/>
    <w:rsid w:val="001310DA"/>
    <w:rsid w:val="00136C6F"/>
    <w:rsid w:val="00140644"/>
    <w:rsid w:val="00141C42"/>
    <w:rsid w:val="00146F77"/>
    <w:rsid w:val="00152501"/>
    <w:rsid w:val="001525D7"/>
    <w:rsid w:val="00154A6D"/>
    <w:rsid w:val="00155578"/>
    <w:rsid w:val="00160002"/>
    <w:rsid w:val="00166156"/>
    <w:rsid w:val="00166D49"/>
    <w:rsid w:val="00187995"/>
    <w:rsid w:val="00196144"/>
    <w:rsid w:val="001A01F4"/>
    <w:rsid w:val="001A6F1F"/>
    <w:rsid w:val="001B4A4B"/>
    <w:rsid w:val="001B6C59"/>
    <w:rsid w:val="001C768D"/>
    <w:rsid w:val="001D489C"/>
    <w:rsid w:val="001D66EB"/>
    <w:rsid w:val="001E7EAF"/>
    <w:rsid w:val="001F2315"/>
    <w:rsid w:val="001F2385"/>
    <w:rsid w:val="001F39A1"/>
    <w:rsid w:val="001F7B24"/>
    <w:rsid w:val="00203315"/>
    <w:rsid w:val="00211824"/>
    <w:rsid w:val="00213499"/>
    <w:rsid w:val="0021635B"/>
    <w:rsid w:val="00216B5B"/>
    <w:rsid w:val="0022474D"/>
    <w:rsid w:val="00227B5F"/>
    <w:rsid w:val="00236C1F"/>
    <w:rsid w:val="00243426"/>
    <w:rsid w:val="0024658A"/>
    <w:rsid w:val="0024698B"/>
    <w:rsid w:val="002549F5"/>
    <w:rsid w:val="002570DF"/>
    <w:rsid w:val="0027580E"/>
    <w:rsid w:val="00282312"/>
    <w:rsid w:val="00284FC5"/>
    <w:rsid w:val="00292835"/>
    <w:rsid w:val="0029527B"/>
    <w:rsid w:val="00296425"/>
    <w:rsid w:val="002C0906"/>
    <w:rsid w:val="002C1902"/>
    <w:rsid w:val="002D1E95"/>
    <w:rsid w:val="002E1C05"/>
    <w:rsid w:val="002F0A1C"/>
    <w:rsid w:val="002F4B2C"/>
    <w:rsid w:val="00305A79"/>
    <w:rsid w:val="003078BE"/>
    <w:rsid w:val="00310B1E"/>
    <w:rsid w:val="00311ED8"/>
    <w:rsid w:val="003175BB"/>
    <w:rsid w:val="00322F00"/>
    <w:rsid w:val="00323F32"/>
    <w:rsid w:val="00323F74"/>
    <w:rsid w:val="003243B6"/>
    <w:rsid w:val="00325BFA"/>
    <w:rsid w:val="00327EBA"/>
    <w:rsid w:val="00331691"/>
    <w:rsid w:val="00341D70"/>
    <w:rsid w:val="00351706"/>
    <w:rsid w:val="00361916"/>
    <w:rsid w:val="00366E03"/>
    <w:rsid w:val="00372A2B"/>
    <w:rsid w:val="003767D2"/>
    <w:rsid w:val="00384AFE"/>
    <w:rsid w:val="003903BF"/>
    <w:rsid w:val="0039395F"/>
    <w:rsid w:val="003968A7"/>
    <w:rsid w:val="003A1D45"/>
    <w:rsid w:val="003B078C"/>
    <w:rsid w:val="003B0BF9"/>
    <w:rsid w:val="003C03CF"/>
    <w:rsid w:val="003E0791"/>
    <w:rsid w:val="003E2227"/>
    <w:rsid w:val="003F1ABA"/>
    <w:rsid w:val="003F28AC"/>
    <w:rsid w:val="00413A87"/>
    <w:rsid w:val="004143CA"/>
    <w:rsid w:val="00417C63"/>
    <w:rsid w:val="00420F02"/>
    <w:rsid w:val="00423AA6"/>
    <w:rsid w:val="004259F3"/>
    <w:rsid w:val="00426F75"/>
    <w:rsid w:val="0043314E"/>
    <w:rsid w:val="00435F93"/>
    <w:rsid w:val="004454FE"/>
    <w:rsid w:val="00456E40"/>
    <w:rsid w:val="00462337"/>
    <w:rsid w:val="00471F27"/>
    <w:rsid w:val="0049435F"/>
    <w:rsid w:val="0049601C"/>
    <w:rsid w:val="004A195B"/>
    <w:rsid w:val="004A264F"/>
    <w:rsid w:val="004A275B"/>
    <w:rsid w:val="004A7710"/>
    <w:rsid w:val="004B1855"/>
    <w:rsid w:val="004B5A63"/>
    <w:rsid w:val="004C2065"/>
    <w:rsid w:val="004D6C40"/>
    <w:rsid w:val="004D72C2"/>
    <w:rsid w:val="004E1BA2"/>
    <w:rsid w:val="004E29AE"/>
    <w:rsid w:val="004F77FC"/>
    <w:rsid w:val="0050178F"/>
    <w:rsid w:val="00504DA6"/>
    <w:rsid w:val="00512493"/>
    <w:rsid w:val="00515144"/>
    <w:rsid w:val="00516784"/>
    <w:rsid w:val="00517B5C"/>
    <w:rsid w:val="005248A7"/>
    <w:rsid w:val="005420C9"/>
    <w:rsid w:val="00544968"/>
    <w:rsid w:val="00562F14"/>
    <w:rsid w:val="0056696D"/>
    <w:rsid w:val="00566986"/>
    <w:rsid w:val="0057306B"/>
    <w:rsid w:val="00576EFC"/>
    <w:rsid w:val="00581CF0"/>
    <w:rsid w:val="005856D9"/>
    <w:rsid w:val="00586514"/>
    <w:rsid w:val="00593855"/>
    <w:rsid w:val="005A36E8"/>
    <w:rsid w:val="005B53F7"/>
    <w:rsid w:val="005C6838"/>
    <w:rsid w:val="005D45DD"/>
    <w:rsid w:val="005E63A8"/>
    <w:rsid w:val="005E7500"/>
    <w:rsid w:val="005F0DEB"/>
    <w:rsid w:val="005F42D4"/>
    <w:rsid w:val="005F7BA4"/>
    <w:rsid w:val="00601BED"/>
    <w:rsid w:val="00601E2D"/>
    <w:rsid w:val="00603C8C"/>
    <w:rsid w:val="00603CBF"/>
    <w:rsid w:val="00630085"/>
    <w:rsid w:val="006303B4"/>
    <w:rsid w:val="006335C0"/>
    <w:rsid w:val="00633C20"/>
    <w:rsid w:val="00637937"/>
    <w:rsid w:val="00646244"/>
    <w:rsid w:val="0064653C"/>
    <w:rsid w:val="00647B3D"/>
    <w:rsid w:val="00654900"/>
    <w:rsid w:val="00655F2C"/>
    <w:rsid w:val="006615E2"/>
    <w:rsid w:val="00663663"/>
    <w:rsid w:val="00681F74"/>
    <w:rsid w:val="006936E5"/>
    <w:rsid w:val="006A31D0"/>
    <w:rsid w:val="006A5AC7"/>
    <w:rsid w:val="006A685D"/>
    <w:rsid w:val="006B221B"/>
    <w:rsid w:val="006B6DCE"/>
    <w:rsid w:val="006D656F"/>
    <w:rsid w:val="006E1081"/>
    <w:rsid w:val="006E48D4"/>
    <w:rsid w:val="006E71F7"/>
    <w:rsid w:val="00720585"/>
    <w:rsid w:val="007272A8"/>
    <w:rsid w:val="00727379"/>
    <w:rsid w:val="007407EA"/>
    <w:rsid w:val="007465F1"/>
    <w:rsid w:val="00750F13"/>
    <w:rsid w:val="007606BC"/>
    <w:rsid w:val="007606BD"/>
    <w:rsid w:val="007626EC"/>
    <w:rsid w:val="007636DE"/>
    <w:rsid w:val="00772B8B"/>
    <w:rsid w:val="00773AF6"/>
    <w:rsid w:val="00773BAB"/>
    <w:rsid w:val="00773EC6"/>
    <w:rsid w:val="00781317"/>
    <w:rsid w:val="0079260F"/>
    <w:rsid w:val="00795F71"/>
    <w:rsid w:val="007B07D3"/>
    <w:rsid w:val="007B7363"/>
    <w:rsid w:val="007B7440"/>
    <w:rsid w:val="007C3261"/>
    <w:rsid w:val="007C3918"/>
    <w:rsid w:val="007D7C72"/>
    <w:rsid w:val="007E3BCE"/>
    <w:rsid w:val="007E5F7A"/>
    <w:rsid w:val="007E73AB"/>
    <w:rsid w:val="007F1B1D"/>
    <w:rsid w:val="007F1C7D"/>
    <w:rsid w:val="007F2EF9"/>
    <w:rsid w:val="007F3094"/>
    <w:rsid w:val="007F6F87"/>
    <w:rsid w:val="00804796"/>
    <w:rsid w:val="00806AD4"/>
    <w:rsid w:val="00814AF5"/>
    <w:rsid w:val="00816514"/>
    <w:rsid w:val="00816C11"/>
    <w:rsid w:val="00820383"/>
    <w:rsid w:val="00825CF8"/>
    <w:rsid w:val="00842AD1"/>
    <w:rsid w:val="00846400"/>
    <w:rsid w:val="00862704"/>
    <w:rsid w:val="0086432E"/>
    <w:rsid w:val="008744ED"/>
    <w:rsid w:val="00881F7B"/>
    <w:rsid w:val="008834DF"/>
    <w:rsid w:val="00885B02"/>
    <w:rsid w:val="00886291"/>
    <w:rsid w:val="0088684A"/>
    <w:rsid w:val="00886F12"/>
    <w:rsid w:val="00894C55"/>
    <w:rsid w:val="00895940"/>
    <w:rsid w:val="008B37B7"/>
    <w:rsid w:val="008C09D3"/>
    <w:rsid w:val="008C1794"/>
    <w:rsid w:val="008C1E0F"/>
    <w:rsid w:val="008C2BDC"/>
    <w:rsid w:val="008C4808"/>
    <w:rsid w:val="008D458B"/>
    <w:rsid w:val="008E5550"/>
    <w:rsid w:val="008F3C6F"/>
    <w:rsid w:val="00910CFC"/>
    <w:rsid w:val="00914ABF"/>
    <w:rsid w:val="00916E22"/>
    <w:rsid w:val="009204C1"/>
    <w:rsid w:val="0092075B"/>
    <w:rsid w:val="009213B4"/>
    <w:rsid w:val="00922C44"/>
    <w:rsid w:val="0093037E"/>
    <w:rsid w:val="00931501"/>
    <w:rsid w:val="00933650"/>
    <w:rsid w:val="00940EA7"/>
    <w:rsid w:val="009547D2"/>
    <w:rsid w:val="00964E7B"/>
    <w:rsid w:val="00965548"/>
    <w:rsid w:val="0096753C"/>
    <w:rsid w:val="0097697D"/>
    <w:rsid w:val="009850EC"/>
    <w:rsid w:val="00995406"/>
    <w:rsid w:val="009A2654"/>
    <w:rsid w:val="009B37B4"/>
    <w:rsid w:val="009B432D"/>
    <w:rsid w:val="009B61EE"/>
    <w:rsid w:val="009C6745"/>
    <w:rsid w:val="009D0382"/>
    <w:rsid w:val="009F2368"/>
    <w:rsid w:val="009F25E7"/>
    <w:rsid w:val="00A07C0F"/>
    <w:rsid w:val="00A10FC3"/>
    <w:rsid w:val="00A159B9"/>
    <w:rsid w:val="00A2002A"/>
    <w:rsid w:val="00A247B7"/>
    <w:rsid w:val="00A25EAC"/>
    <w:rsid w:val="00A27E0D"/>
    <w:rsid w:val="00A310E7"/>
    <w:rsid w:val="00A32644"/>
    <w:rsid w:val="00A42045"/>
    <w:rsid w:val="00A52B7E"/>
    <w:rsid w:val="00A5791B"/>
    <w:rsid w:val="00A6073E"/>
    <w:rsid w:val="00A624C3"/>
    <w:rsid w:val="00A64430"/>
    <w:rsid w:val="00A772AD"/>
    <w:rsid w:val="00A774D8"/>
    <w:rsid w:val="00A82962"/>
    <w:rsid w:val="00A935DA"/>
    <w:rsid w:val="00A95E7E"/>
    <w:rsid w:val="00A9774B"/>
    <w:rsid w:val="00AA4209"/>
    <w:rsid w:val="00AB17A8"/>
    <w:rsid w:val="00AC377F"/>
    <w:rsid w:val="00AC44EE"/>
    <w:rsid w:val="00AD1E45"/>
    <w:rsid w:val="00AD4402"/>
    <w:rsid w:val="00AE40AC"/>
    <w:rsid w:val="00AE5567"/>
    <w:rsid w:val="00AE76A5"/>
    <w:rsid w:val="00AF1239"/>
    <w:rsid w:val="00AF1463"/>
    <w:rsid w:val="00B03C36"/>
    <w:rsid w:val="00B06D9D"/>
    <w:rsid w:val="00B14713"/>
    <w:rsid w:val="00B16480"/>
    <w:rsid w:val="00B2165C"/>
    <w:rsid w:val="00B24C87"/>
    <w:rsid w:val="00B25312"/>
    <w:rsid w:val="00B3005D"/>
    <w:rsid w:val="00B405B4"/>
    <w:rsid w:val="00B42334"/>
    <w:rsid w:val="00B43415"/>
    <w:rsid w:val="00B46E55"/>
    <w:rsid w:val="00B603CA"/>
    <w:rsid w:val="00B609E3"/>
    <w:rsid w:val="00B62638"/>
    <w:rsid w:val="00B6686A"/>
    <w:rsid w:val="00B6729B"/>
    <w:rsid w:val="00B67377"/>
    <w:rsid w:val="00B72863"/>
    <w:rsid w:val="00B81E05"/>
    <w:rsid w:val="00B82213"/>
    <w:rsid w:val="00B90941"/>
    <w:rsid w:val="00B94BBB"/>
    <w:rsid w:val="00BA02B4"/>
    <w:rsid w:val="00BA20AA"/>
    <w:rsid w:val="00BB0DDD"/>
    <w:rsid w:val="00BB0DEE"/>
    <w:rsid w:val="00BB1E5C"/>
    <w:rsid w:val="00BC4234"/>
    <w:rsid w:val="00BC4A8F"/>
    <w:rsid w:val="00BD4425"/>
    <w:rsid w:val="00BD7F5E"/>
    <w:rsid w:val="00BF56FB"/>
    <w:rsid w:val="00C10270"/>
    <w:rsid w:val="00C13DF7"/>
    <w:rsid w:val="00C17F96"/>
    <w:rsid w:val="00C2264B"/>
    <w:rsid w:val="00C25B49"/>
    <w:rsid w:val="00C30F18"/>
    <w:rsid w:val="00C31ACF"/>
    <w:rsid w:val="00C32E2D"/>
    <w:rsid w:val="00C33C43"/>
    <w:rsid w:val="00C348FC"/>
    <w:rsid w:val="00C42475"/>
    <w:rsid w:val="00C47754"/>
    <w:rsid w:val="00C778F4"/>
    <w:rsid w:val="00C86766"/>
    <w:rsid w:val="00C9570A"/>
    <w:rsid w:val="00CB0786"/>
    <w:rsid w:val="00CB7BDD"/>
    <w:rsid w:val="00CC0982"/>
    <w:rsid w:val="00CC0D2D"/>
    <w:rsid w:val="00CC309C"/>
    <w:rsid w:val="00CC7B3B"/>
    <w:rsid w:val="00CD0E25"/>
    <w:rsid w:val="00CE346F"/>
    <w:rsid w:val="00CE5657"/>
    <w:rsid w:val="00CE5826"/>
    <w:rsid w:val="00CF651F"/>
    <w:rsid w:val="00D133F8"/>
    <w:rsid w:val="00D140A2"/>
    <w:rsid w:val="00D14A3E"/>
    <w:rsid w:val="00D2203B"/>
    <w:rsid w:val="00D22281"/>
    <w:rsid w:val="00D24501"/>
    <w:rsid w:val="00D31192"/>
    <w:rsid w:val="00D330FF"/>
    <w:rsid w:val="00D33DA2"/>
    <w:rsid w:val="00D37A37"/>
    <w:rsid w:val="00D43853"/>
    <w:rsid w:val="00D504C6"/>
    <w:rsid w:val="00D5385D"/>
    <w:rsid w:val="00D6534D"/>
    <w:rsid w:val="00D74C39"/>
    <w:rsid w:val="00D77020"/>
    <w:rsid w:val="00D778CE"/>
    <w:rsid w:val="00D81D20"/>
    <w:rsid w:val="00D857AC"/>
    <w:rsid w:val="00D86DA1"/>
    <w:rsid w:val="00D90324"/>
    <w:rsid w:val="00DA635B"/>
    <w:rsid w:val="00DB03DD"/>
    <w:rsid w:val="00DB0AF3"/>
    <w:rsid w:val="00DC2DAF"/>
    <w:rsid w:val="00DC5022"/>
    <w:rsid w:val="00DC75FF"/>
    <w:rsid w:val="00DE07F2"/>
    <w:rsid w:val="00DF3A3D"/>
    <w:rsid w:val="00DF461F"/>
    <w:rsid w:val="00DF5CD8"/>
    <w:rsid w:val="00DF68F8"/>
    <w:rsid w:val="00DF740D"/>
    <w:rsid w:val="00DF776E"/>
    <w:rsid w:val="00DF786F"/>
    <w:rsid w:val="00E01657"/>
    <w:rsid w:val="00E0644D"/>
    <w:rsid w:val="00E143F6"/>
    <w:rsid w:val="00E14DD5"/>
    <w:rsid w:val="00E1709F"/>
    <w:rsid w:val="00E32710"/>
    <w:rsid w:val="00E3338E"/>
    <w:rsid w:val="00E34CD6"/>
    <w:rsid w:val="00E3716B"/>
    <w:rsid w:val="00E45B33"/>
    <w:rsid w:val="00E52775"/>
    <w:rsid w:val="00E5323B"/>
    <w:rsid w:val="00E7115E"/>
    <w:rsid w:val="00E743CD"/>
    <w:rsid w:val="00E83F90"/>
    <w:rsid w:val="00E84DFF"/>
    <w:rsid w:val="00E85D84"/>
    <w:rsid w:val="00E8749E"/>
    <w:rsid w:val="00E90C01"/>
    <w:rsid w:val="00EA0908"/>
    <w:rsid w:val="00EA4702"/>
    <w:rsid w:val="00EA486E"/>
    <w:rsid w:val="00EC13DF"/>
    <w:rsid w:val="00EC6E12"/>
    <w:rsid w:val="00EC766A"/>
    <w:rsid w:val="00ED079B"/>
    <w:rsid w:val="00ED504D"/>
    <w:rsid w:val="00EE2F62"/>
    <w:rsid w:val="00EF095D"/>
    <w:rsid w:val="00EF0EE3"/>
    <w:rsid w:val="00F01E73"/>
    <w:rsid w:val="00F27245"/>
    <w:rsid w:val="00F57B0C"/>
    <w:rsid w:val="00F62F27"/>
    <w:rsid w:val="00F66255"/>
    <w:rsid w:val="00F66AAB"/>
    <w:rsid w:val="00F7477B"/>
    <w:rsid w:val="00F75BFA"/>
    <w:rsid w:val="00F77F67"/>
    <w:rsid w:val="00F82318"/>
    <w:rsid w:val="00F84D5F"/>
    <w:rsid w:val="00F84F84"/>
    <w:rsid w:val="00F97BA5"/>
    <w:rsid w:val="00FA74F8"/>
    <w:rsid w:val="00FC108D"/>
    <w:rsid w:val="00FC21D4"/>
    <w:rsid w:val="00FC3FDB"/>
    <w:rsid w:val="00FC5882"/>
    <w:rsid w:val="00FC7643"/>
    <w:rsid w:val="00FD59C6"/>
    <w:rsid w:val="00FE25E3"/>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EA60655"/>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naiskr">
    <w:name w:val="naiskr"/>
    <w:basedOn w:val="Normal"/>
    <w:rsid w:val="007C3918"/>
    <w:pPr>
      <w:spacing w:before="75" w:after="75"/>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ED504D"/>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ED504D"/>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2"/>
    <w:uiPriority w:val="99"/>
    <w:qFormat/>
    <w:rsid w:val="00ED504D"/>
    <w:rPr>
      <w:vertAlign w:val="superscript"/>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9204C1"/>
    <w:rPr>
      <w:rFonts w:ascii="Times New Roman" w:eastAsia="Times New Roman" w:hAnsi="Times New Roman" w:cs="Times New Roman"/>
      <w:sz w:val="24"/>
      <w:szCs w:val="24"/>
      <w:lang w:eastAsia="lv-LV"/>
    </w:rPr>
  </w:style>
  <w:style w:type="paragraph" w:customStyle="1" w:styleId="Char2">
    <w:name w:val="Char2"/>
    <w:aliases w:val="Char Char Char Char"/>
    <w:basedOn w:val="Normal"/>
    <w:next w:val="Normal"/>
    <w:link w:val="FootnoteReference"/>
    <w:rsid w:val="0024698B"/>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programmas">
    <w:name w:val="programmas"/>
    <w:basedOn w:val="Normal"/>
    <w:uiPriority w:val="99"/>
    <w:qFormat/>
    <w:rsid w:val="0024698B"/>
    <w:pPr>
      <w:widowControl w:val="0"/>
      <w:spacing w:before="240" w:after="120"/>
      <w:jc w:val="center"/>
    </w:pPr>
    <w:rPr>
      <w:b/>
      <w:szCs w:val="20"/>
      <w:lang w:val="en-US" w:eastAsia="en-US"/>
    </w:rPr>
  </w:style>
  <w:style w:type="paragraph" w:customStyle="1" w:styleId="naisnod">
    <w:name w:val="naisnod"/>
    <w:basedOn w:val="Normal"/>
    <w:rsid w:val="000736BA"/>
    <w:pPr>
      <w:spacing w:before="150" w:after="150"/>
      <w:jc w:val="center"/>
    </w:pPr>
    <w:rPr>
      <w:b/>
      <w:bCs/>
    </w:rPr>
  </w:style>
  <w:style w:type="character" w:styleId="UnresolvedMention">
    <w:name w:val="Unresolved Mention"/>
    <w:basedOn w:val="DefaultParagraphFont"/>
    <w:uiPriority w:val="99"/>
    <w:semiHidden/>
    <w:unhideWhenUsed/>
    <w:rsid w:val="0092075B"/>
    <w:rPr>
      <w:color w:val="808080"/>
      <w:shd w:val="clear" w:color="auto" w:fill="E6E6E6"/>
    </w:rPr>
  </w:style>
  <w:style w:type="character" w:styleId="CommentReference">
    <w:name w:val="annotation reference"/>
    <w:basedOn w:val="DefaultParagraphFont"/>
    <w:uiPriority w:val="99"/>
    <w:semiHidden/>
    <w:unhideWhenUsed/>
    <w:rsid w:val="00196144"/>
    <w:rPr>
      <w:sz w:val="16"/>
      <w:szCs w:val="16"/>
    </w:rPr>
  </w:style>
  <w:style w:type="paragraph" w:styleId="CommentText">
    <w:name w:val="annotation text"/>
    <w:basedOn w:val="Normal"/>
    <w:link w:val="CommentTextChar"/>
    <w:uiPriority w:val="99"/>
    <w:semiHidden/>
    <w:unhideWhenUsed/>
    <w:rsid w:val="00196144"/>
    <w:rPr>
      <w:sz w:val="20"/>
      <w:szCs w:val="20"/>
    </w:rPr>
  </w:style>
  <w:style w:type="character" w:customStyle="1" w:styleId="CommentTextChar">
    <w:name w:val="Comment Text Char"/>
    <w:basedOn w:val="DefaultParagraphFont"/>
    <w:link w:val="CommentText"/>
    <w:uiPriority w:val="99"/>
    <w:semiHidden/>
    <w:rsid w:val="00196144"/>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356">
      <w:bodyDiv w:val="1"/>
      <w:marLeft w:val="0"/>
      <w:marRight w:val="0"/>
      <w:marTop w:val="0"/>
      <w:marBottom w:val="0"/>
      <w:divBdr>
        <w:top w:val="none" w:sz="0" w:space="0" w:color="auto"/>
        <w:left w:val="none" w:sz="0" w:space="0" w:color="auto"/>
        <w:bottom w:val="none" w:sz="0" w:space="0" w:color="auto"/>
        <w:right w:val="none" w:sz="0" w:space="0" w:color="auto"/>
      </w:divBdr>
    </w:div>
    <w:div w:id="132328859">
      <w:bodyDiv w:val="1"/>
      <w:marLeft w:val="0"/>
      <w:marRight w:val="0"/>
      <w:marTop w:val="0"/>
      <w:marBottom w:val="0"/>
      <w:divBdr>
        <w:top w:val="none" w:sz="0" w:space="0" w:color="auto"/>
        <w:left w:val="none" w:sz="0" w:space="0" w:color="auto"/>
        <w:bottom w:val="none" w:sz="0" w:space="0" w:color="auto"/>
        <w:right w:val="none" w:sz="0" w:space="0" w:color="auto"/>
      </w:divBdr>
    </w:div>
    <w:div w:id="13718632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4287902">
      <w:bodyDiv w:val="1"/>
      <w:marLeft w:val="0"/>
      <w:marRight w:val="0"/>
      <w:marTop w:val="0"/>
      <w:marBottom w:val="0"/>
      <w:divBdr>
        <w:top w:val="none" w:sz="0" w:space="0" w:color="auto"/>
        <w:left w:val="none" w:sz="0" w:space="0" w:color="auto"/>
        <w:bottom w:val="none" w:sz="0" w:space="0" w:color="auto"/>
        <w:right w:val="none" w:sz="0" w:space="0" w:color="auto"/>
      </w:divBdr>
    </w:div>
    <w:div w:id="257298886">
      <w:bodyDiv w:val="1"/>
      <w:marLeft w:val="0"/>
      <w:marRight w:val="0"/>
      <w:marTop w:val="0"/>
      <w:marBottom w:val="0"/>
      <w:divBdr>
        <w:top w:val="none" w:sz="0" w:space="0" w:color="auto"/>
        <w:left w:val="none" w:sz="0" w:space="0" w:color="auto"/>
        <w:bottom w:val="none" w:sz="0" w:space="0" w:color="auto"/>
        <w:right w:val="none" w:sz="0" w:space="0" w:color="auto"/>
      </w:divBdr>
    </w:div>
    <w:div w:id="264114368">
      <w:bodyDiv w:val="1"/>
      <w:marLeft w:val="0"/>
      <w:marRight w:val="0"/>
      <w:marTop w:val="0"/>
      <w:marBottom w:val="0"/>
      <w:divBdr>
        <w:top w:val="none" w:sz="0" w:space="0" w:color="auto"/>
        <w:left w:val="none" w:sz="0" w:space="0" w:color="auto"/>
        <w:bottom w:val="none" w:sz="0" w:space="0" w:color="auto"/>
        <w:right w:val="none" w:sz="0" w:space="0" w:color="auto"/>
      </w:divBdr>
    </w:div>
    <w:div w:id="321739450">
      <w:bodyDiv w:val="1"/>
      <w:marLeft w:val="0"/>
      <w:marRight w:val="0"/>
      <w:marTop w:val="0"/>
      <w:marBottom w:val="0"/>
      <w:divBdr>
        <w:top w:val="none" w:sz="0" w:space="0" w:color="auto"/>
        <w:left w:val="none" w:sz="0" w:space="0" w:color="auto"/>
        <w:bottom w:val="none" w:sz="0" w:space="0" w:color="auto"/>
        <w:right w:val="none" w:sz="0" w:space="0" w:color="auto"/>
      </w:divBdr>
    </w:div>
    <w:div w:id="344401505">
      <w:bodyDiv w:val="1"/>
      <w:marLeft w:val="0"/>
      <w:marRight w:val="0"/>
      <w:marTop w:val="0"/>
      <w:marBottom w:val="0"/>
      <w:divBdr>
        <w:top w:val="none" w:sz="0" w:space="0" w:color="auto"/>
        <w:left w:val="none" w:sz="0" w:space="0" w:color="auto"/>
        <w:bottom w:val="none" w:sz="0" w:space="0" w:color="auto"/>
        <w:right w:val="none" w:sz="0" w:space="0" w:color="auto"/>
      </w:divBdr>
    </w:div>
    <w:div w:id="388378922">
      <w:bodyDiv w:val="1"/>
      <w:marLeft w:val="0"/>
      <w:marRight w:val="0"/>
      <w:marTop w:val="0"/>
      <w:marBottom w:val="0"/>
      <w:divBdr>
        <w:top w:val="none" w:sz="0" w:space="0" w:color="auto"/>
        <w:left w:val="none" w:sz="0" w:space="0" w:color="auto"/>
        <w:bottom w:val="none" w:sz="0" w:space="0" w:color="auto"/>
        <w:right w:val="none" w:sz="0" w:space="0" w:color="auto"/>
      </w:divBdr>
    </w:div>
    <w:div w:id="401220620">
      <w:bodyDiv w:val="1"/>
      <w:marLeft w:val="0"/>
      <w:marRight w:val="0"/>
      <w:marTop w:val="0"/>
      <w:marBottom w:val="0"/>
      <w:divBdr>
        <w:top w:val="none" w:sz="0" w:space="0" w:color="auto"/>
        <w:left w:val="none" w:sz="0" w:space="0" w:color="auto"/>
        <w:bottom w:val="none" w:sz="0" w:space="0" w:color="auto"/>
        <w:right w:val="none" w:sz="0" w:space="0" w:color="auto"/>
      </w:divBdr>
    </w:div>
    <w:div w:id="460076104">
      <w:bodyDiv w:val="1"/>
      <w:marLeft w:val="0"/>
      <w:marRight w:val="0"/>
      <w:marTop w:val="0"/>
      <w:marBottom w:val="0"/>
      <w:divBdr>
        <w:top w:val="none" w:sz="0" w:space="0" w:color="auto"/>
        <w:left w:val="none" w:sz="0" w:space="0" w:color="auto"/>
        <w:bottom w:val="none" w:sz="0" w:space="0" w:color="auto"/>
        <w:right w:val="none" w:sz="0" w:space="0" w:color="auto"/>
      </w:divBdr>
    </w:div>
    <w:div w:id="655108403">
      <w:bodyDiv w:val="1"/>
      <w:marLeft w:val="0"/>
      <w:marRight w:val="0"/>
      <w:marTop w:val="0"/>
      <w:marBottom w:val="0"/>
      <w:divBdr>
        <w:top w:val="none" w:sz="0" w:space="0" w:color="auto"/>
        <w:left w:val="none" w:sz="0" w:space="0" w:color="auto"/>
        <w:bottom w:val="none" w:sz="0" w:space="0" w:color="auto"/>
        <w:right w:val="none" w:sz="0" w:space="0" w:color="auto"/>
      </w:divBdr>
    </w:div>
    <w:div w:id="695740537">
      <w:bodyDiv w:val="1"/>
      <w:marLeft w:val="0"/>
      <w:marRight w:val="0"/>
      <w:marTop w:val="0"/>
      <w:marBottom w:val="0"/>
      <w:divBdr>
        <w:top w:val="none" w:sz="0" w:space="0" w:color="auto"/>
        <w:left w:val="none" w:sz="0" w:space="0" w:color="auto"/>
        <w:bottom w:val="none" w:sz="0" w:space="0" w:color="auto"/>
        <w:right w:val="none" w:sz="0" w:space="0" w:color="auto"/>
      </w:divBdr>
    </w:div>
    <w:div w:id="727847272">
      <w:bodyDiv w:val="1"/>
      <w:marLeft w:val="0"/>
      <w:marRight w:val="0"/>
      <w:marTop w:val="0"/>
      <w:marBottom w:val="0"/>
      <w:divBdr>
        <w:top w:val="none" w:sz="0" w:space="0" w:color="auto"/>
        <w:left w:val="none" w:sz="0" w:space="0" w:color="auto"/>
        <w:bottom w:val="none" w:sz="0" w:space="0" w:color="auto"/>
        <w:right w:val="none" w:sz="0" w:space="0" w:color="auto"/>
      </w:divBdr>
    </w:div>
    <w:div w:id="749470579">
      <w:bodyDiv w:val="1"/>
      <w:marLeft w:val="0"/>
      <w:marRight w:val="0"/>
      <w:marTop w:val="0"/>
      <w:marBottom w:val="0"/>
      <w:divBdr>
        <w:top w:val="none" w:sz="0" w:space="0" w:color="auto"/>
        <w:left w:val="none" w:sz="0" w:space="0" w:color="auto"/>
        <w:bottom w:val="none" w:sz="0" w:space="0" w:color="auto"/>
        <w:right w:val="none" w:sz="0" w:space="0" w:color="auto"/>
      </w:divBdr>
    </w:div>
    <w:div w:id="780879474">
      <w:bodyDiv w:val="1"/>
      <w:marLeft w:val="0"/>
      <w:marRight w:val="0"/>
      <w:marTop w:val="0"/>
      <w:marBottom w:val="0"/>
      <w:divBdr>
        <w:top w:val="none" w:sz="0" w:space="0" w:color="auto"/>
        <w:left w:val="none" w:sz="0" w:space="0" w:color="auto"/>
        <w:bottom w:val="none" w:sz="0" w:space="0" w:color="auto"/>
        <w:right w:val="none" w:sz="0" w:space="0" w:color="auto"/>
      </w:divBdr>
    </w:div>
    <w:div w:id="791750665">
      <w:bodyDiv w:val="1"/>
      <w:marLeft w:val="0"/>
      <w:marRight w:val="0"/>
      <w:marTop w:val="0"/>
      <w:marBottom w:val="0"/>
      <w:divBdr>
        <w:top w:val="none" w:sz="0" w:space="0" w:color="auto"/>
        <w:left w:val="none" w:sz="0" w:space="0" w:color="auto"/>
        <w:bottom w:val="none" w:sz="0" w:space="0" w:color="auto"/>
        <w:right w:val="none" w:sz="0" w:space="0" w:color="auto"/>
      </w:divBdr>
    </w:div>
    <w:div w:id="814223086">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9328844">
      <w:bodyDiv w:val="1"/>
      <w:marLeft w:val="0"/>
      <w:marRight w:val="0"/>
      <w:marTop w:val="0"/>
      <w:marBottom w:val="0"/>
      <w:divBdr>
        <w:top w:val="none" w:sz="0" w:space="0" w:color="auto"/>
        <w:left w:val="none" w:sz="0" w:space="0" w:color="auto"/>
        <w:bottom w:val="none" w:sz="0" w:space="0" w:color="auto"/>
        <w:right w:val="none" w:sz="0" w:space="0" w:color="auto"/>
      </w:divBdr>
    </w:div>
    <w:div w:id="1236666147">
      <w:bodyDiv w:val="1"/>
      <w:marLeft w:val="0"/>
      <w:marRight w:val="0"/>
      <w:marTop w:val="0"/>
      <w:marBottom w:val="0"/>
      <w:divBdr>
        <w:top w:val="none" w:sz="0" w:space="0" w:color="auto"/>
        <w:left w:val="none" w:sz="0" w:space="0" w:color="auto"/>
        <w:bottom w:val="none" w:sz="0" w:space="0" w:color="auto"/>
        <w:right w:val="none" w:sz="0" w:space="0" w:color="auto"/>
      </w:divBdr>
    </w:div>
    <w:div w:id="1242637958">
      <w:bodyDiv w:val="1"/>
      <w:marLeft w:val="0"/>
      <w:marRight w:val="0"/>
      <w:marTop w:val="0"/>
      <w:marBottom w:val="0"/>
      <w:divBdr>
        <w:top w:val="none" w:sz="0" w:space="0" w:color="auto"/>
        <w:left w:val="none" w:sz="0" w:space="0" w:color="auto"/>
        <w:bottom w:val="none" w:sz="0" w:space="0" w:color="auto"/>
        <w:right w:val="none" w:sz="0" w:space="0" w:color="auto"/>
      </w:divBdr>
    </w:div>
    <w:div w:id="1304388414">
      <w:bodyDiv w:val="1"/>
      <w:marLeft w:val="0"/>
      <w:marRight w:val="0"/>
      <w:marTop w:val="0"/>
      <w:marBottom w:val="0"/>
      <w:divBdr>
        <w:top w:val="none" w:sz="0" w:space="0" w:color="auto"/>
        <w:left w:val="none" w:sz="0" w:space="0" w:color="auto"/>
        <w:bottom w:val="none" w:sz="0" w:space="0" w:color="auto"/>
        <w:right w:val="none" w:sz="0" w:space="0" w:color="auto"/>
      </w:divBdr>
    </w:div>
    <w:div w:id="13097003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1053827">
      <w:bodyDiv w:val="1"/>
      <w:marLeft w:val="0"/>
      <w:marRight w:val="0"/>
      <w:marTop w:val="0"/>
      <w:marBottom w:val="0"/>
      <w:divBdr>
        <w:top w:val="none" w:sz="0" w:space="0" w:color="auto"/>
        <w:left w:val="none" w:sz="0" w:space="0" w:color="auto"/>
        <w:bottom w:val="none" w:sz="0" w:space="0" w:color="auto"/>
        <w:right w:val="none" w:sz="0" w:space="0" w:color="auto"/>
      </w:divBdr>
    </w:div>
    <w:div w:id="1414670407">
      <w:bodyDiv w:val="1"/>
      <w:marLeft w:val="0"/>
      <w:marRight w:val="0"/>
      <w:marTop w:val="0"/>
      <w:marBottom w:val="0"/>
      <w:divBdr>
        <w:top w:val="none" w:sz="0" w:space="0" w:color="auto"/>
        <w:left w:val="none" w:sz="0" w:space="0" w:color="auto"/>
        <w:bottom w:val="none" w:sz="0" w:space="0" w:color="auto"/>
        <w:right w:val="none" w:sz="0" w:space="0" w:color="auto"/>
      </w:divBdr>
    </w:div>
    <w:div w:id="1428773878">
      <w:bodyDiv w:val="1"/>
      <w:marLeft w:val="0"/>
      <w:marRight w:val="0"/>
      <w:marTop w:val="0"/>
      <w:marBottom w:val="0"/>
      <w:divBdr>
        <w:top w:val="none" w:sz="0" w:space="0" w:color="auto"/>
        <w:left w:val="none" w:sz="0" w:space="0" w:color="auto"/>
        <w:bottom w:val="none" w:sz="0" w:space="0" w:color="auto"/>
        <w:right w:val="none" w:sz="0" w:space="0" w:color="auto"/>
      </w:divBdr>
    </w:div>
    <w:div w:id="1446388566">
      <w:bodyDiv w:val="1"/>
      <w:marLeft w:val="0"/>
      <w:marRight w:val="0"/>
      <w:marTop w:val="0"/>
      <w:marBottom w:val="0"/>
      <w:divBdr>
        <w:top w:val="none" w:sz="0" w:space="0" w:color="auto"/>
        <w:left w:val="none" w:sz="0" w:space="0" w:color="auto"/>
        <w:bottom w:val="none" w:sz="0" w:space="0" w:color="auto"/>
        <w:right w:val="none" w:sz="0" w:space="0" w:color="auto"/>
      </w:divBdr>
    </w:div>
    <w:div w:id="1507745561">
      <w:bodyDiv w:val="1"/>
      <w:marLeft w:val="0"/>
      <w:marRight w:val="0"/>
      <w:marTop w:val="0"/>
      <w:marBottom w:val="0"/>
      <w:divBdr>
        <w:top w:val="none" w:sz="0" w:space="0" w:color="auto"/>
        <w:left w:val="none" w:sz="0" w:space="0" w:color="auto"/>
        <w:bottom w:val="none" w:sz="0" w:space="0" w:color="auto"/>
        <w:right w:val="none" w:sz="0" w:space="0" w:color="auto"/>
      </w:divBdr>
    </w:div>
    <w:div w:id="1535851069">
      <w:bodyDiv w:val="1"/>
      <w:marLeft w:val="0"/>
      <w:marRight w:val="0"/>
      <w:marTop w:val="0"/>
      <w:marBottom w:val="0"/>
      <w:divBdr>
        <w:top w:val="none" w:sz="0" w:space="0" w:color="auto"/>
        <w:left w:val="none" w:sz="0" w:space="0" w:color="auto"/>
        <w:bottom w:val="none" w:sz="0" w:space="0" w:color="auto"/>
        <w:right w:val="none" w:sz="0" w:space="0" w:color="auto"/>
      </w:divBdr>
    </w:div>
    <w:div w:id="1637635813">
      <w:bodyDiv w:val="1"/>
      <w:marLeft w:val="0"/>
      <w:marRight w:val="0"/>
      <w:marTop w:val="0"/>
      <w:marBottom w:val="0"/>
      <w:divBdr>
        <w:top w:val="none" w:sz="0" w:space="0" w:color="auto"/>
        <w:left w:val="none" w:sz="0" w:space="0" w:color="auto"/>
        <w:bottom w:val="none" w:sz="0" w:space="0" w:color="auto"/>
        <w:right w:val="none" w:sz="0" w:space="0" w:color="auto"/>
      </w:divBdr>
    </w:div>
    <w:div w:id="1679959988">
      <w:bodyDiv w:val="1"/>
      <w:marLeft w:val="0"/>
      <w:marRight w:val="0"/>
      <w:marTop w:val="0"/>
      <w:marBottom w:val="0"/>
      <w:divBdr>
        <w:top w:val="none" w:sz="0" w:space="0" w:color="auto"/>
        <w:left w:val="none" w:sz="0" w:space="0" w:color="auto"/>
        <w:bottom w:val="none" w:sz="0" w:space="0" w:color="auto"/>
        <w:right w:val="none" w:sz="0" w:space="0" w:color="auto"/>
      </w:divBdr>
    </w:div>
    <w:div w:id="1704553790">
      <w:bodyDiv w:val="1"/>
      <w:marLeft w:val="0"/>
      <w:marRight w:val="0"/>
      <w:marTop w:val="0"/>
      <w:marBottom w:val="0"/>
      <w:divBdr>
        <w:top w:val="none" w:sz="0" w:space="0" w:color="auto"/>
        <w:left w:val="none" w:sz="0" w:space="0" w:color="auto"/>
        <w:bottom w:val="none" w:sz="0" w:space="0" w:color="auto"/>
        <w:right w:val="none" w:sz="0" w:space="0" w:color="auto"/>
      </w:divBdr>
    </w:div>
    <w:div w:id="1718239522">
      <w:bodyDiv w:val="1"/>
      <w:marLeft w:val="0"/>
      <w:marRight w:val="0"/>
      <w:marTop w:val="0"/>
      <w:marBottom w:val="0"/>
      <w:divBdr>
        <w:top w:val="none" w:sz="0" w:space="0" w:color="auto"/>
        <w:left w:val="none" w:sz="0" w:space="0" w:color="auto"/>
        <w:bottom w:val="none" w:sz="0" w:space="0" w:color="auto"/>
        <w:right w:val="none" w:sz="0" w:space="0" w:color="auto"/>
      </w:divBdr>
    </w:div>
    <w:div w:id="1726022401">
      <w:bodyDiv w:val="1"/>
      <w:marLeft w:val="0"/>
      <w:marRight w:val="0"/>
      <w:marTop w:val="0"/>
      <w:marBottom w:val="0"/>
      <w:divBdr>
        <w:top w:val="none" w:sz="0" w:space="0" w:color="auto"/>
        <w:left w:val="none" w:sz="0" w:space="0" w:color="auto"/>
        <w:bottom w:val="none" w:sz="0" w:space="0" w:color="auto"/>
        <w:right w:val="none" w:sz="0" w:space="0" w:color="auto"/>
      </w:divBdr>
    </w:div>
    <w:div w:id="1750931471">
      <w:bodyDiv w:val="1"/>
      <w:marLeft w:val="0"/>
      <w:marRight w:val="0"/>
      <w:marTop w:val="0"/>
      <w:marBottom w:val="0"/>
      <w:divBdr>
        <w:top w:val="none" w:sz="0" w:space="0" w:color="auto"/>
        <w:left w:val="none" w:sz="0" w:space="0" w:color="auto"/>
        <w:bottom w:val="none" w:sz="0" w:space="0" w:color="auto"/>
        <w:right w:val="none" w:sz="0" w:space="0" w:color="auto"/>
      </w:divBdr>
    </w:div>
    <w:div w:id="1750956347">
      <w:bodyDiv w:val="1"/>
      <w:marLeft w:val="0"/>
      <w:marRight w:val="0"/>
      <w:marTop w:val="0"/>
      <w:marBottom w:val="0"/>
      <w:divBdr>
        <w:top w:val="none" w:sz="0" w:space="0" w:color="auto"/>
        <w:left w:val="none" w:sz="0" w:space="0" w:color="auto"/>
        <w:bottom w:val="none" w:sz="0" w:space="0" w:color="auto"/>
        <w:right w:val="none" w:sz="0" w:space="0" w:color="auto"/>
      </w:divBdr>
    </w:div>
    <w:div w:id="1752965728">
      <w:bodyDiv w:val="1"/>
      <w:marLeft w:val="0"/>
      <w:marRight w:val="0"/>
      <w:marTop w:val="0"/>
      <w:marBottom w:val="0"/>
      <w:divBdr>
        <w:top w:val="none" w:sz="0" w:space="0" w:color="auto"/>
        <w:left w:val="none" w:sz="0" w:space="0" w:color="auto"/>
        <w:bottom w:val="none" w:sz="0" w:space="0" w:color="auto"/>
        <w:right w:val="none" w:sz="0" w:space="0" w:color="auto"/>
      </w:divBdr>
    </w:div>
    <w:div w:id="1776631907">
      <w:bodyDiv w:val="1"/>
      <w:marLeft w:val="0"/>
      <w:marRight w:val="0"/>
      <w:marTop w:val="0"/>
      <w:marBottom w:val="0"/>
      <w:divBdr>
        <w:top w:val="none" w:sz="0" w:space="0" w:color="auto"/>
        <w:left w:val="none" w:sz="0" w:space="0" w:color="auto"/>
        <w:bottom w:val="none" w:sz="0" w:space="0" w:color="auto"/>
        <w:right w:val="none" w:sz="0" w:space="0" w:color="auto"/>
      </w:divBdr>
    </w:div>
    <w:div w:id="1784299446">
      <w:bodyDiv w:val="1"/>
      <w:marLeft w:val="0"/>
      <w:marRight w:val="0"/>
      <w:marTop w:val="0"/>
      <w:marBottom w:val="0"/>
      <w:divBdr>
        <w:top w:val="none" w:sz="0" w:space="0" w:color="auto"/>
        <w:left w:val="none" w:sz="0" w:space="0" w:color="auto"/>
        <w:bottom w:val="none" w:sz="0" w:space="0" w:color="auto"/>
        <w:right w:val="none" w:sz="0" w:space="0" w:color="auto"/>
      </w:divBdr>
    </w:div>
    <w:div w:id="1784500991">
      <w:bodyDiv w:val="1"/>
      <w:marLeft w:val="0"/>
      <w:marRight w:val="0"/>
      <w:marTop w:val="0"/>
      <w:marBottom w:val="0"/>
      <w:divBdr>
        <w:top w:val="none" w:sz="0" w:space="0" w:color="auto"/>
        <w:left w:val="none" w:sz="0" w:space="0" w:color="auto"/>
        <w:bottom w:val="none" w:sz="0" w:space="0" w:color="auto"/>
        <w:right w:val="none" w:sz="0" w:space="0" w:color="auto"/>
      </w:divBdr>
    </w:div>
    <w:div w:id="1901597120">
      <w:bodyDiv w:val="1"/>
      <w:marLeft w:val="0"/>
      <w:marRight w:val="0"/>
      <w:marTop w:val="0"/>
      <w:marBottom w:val="0"/>
      <w:divBdr>
        <w:top w:val="none" w:sz="0" w:space="0" w:color="auto"/>
        <w:left w:val="none" w:sz="0" w:space="0" w:color="auto"/>
        <w:bottom w:val="none" w:sz="0" w:space="0" w:color="auto"/>
        <w:right w:val="none" w:sz="0" w:space="0" w:color="auto"/>
      </w:divBdr>
    </w:div>
    <w:div w:id="1914731415">
      <w:bodyDiv w:val="1"/>
      <w:marLeft w:val="0"/>
      <w:marRight w:val="0"/>
      <w:marTop w:val="0"/>
      <w:marBottom w:val="0"/>
      <w:divBdr>
        <w:top w:val="none" w:sz="0" w:space="0" w:color="auto"/>
        <w:left w:val="none" w:sz="0" w:space="0" w:color="auto"/>
        <w:bottom w:val="none" w:sz="0" w:space="0" w:color="auto"/>
        <w:right w:val="none" w:sz="0" w:space="0" w:color="auto"/>
      </w:divBdr>
    </w:div>
    <w:div w:id="1933977313">
      <w:bodyDiv w:val="1"/>
      <w:marLeft w:val="0"/>
      <w:marRight w:val="0"/>
      <w:marTop w:val="0"/>
      <w:marBottom w:val="0"/>
      <w:divBdr>
        <w:top w:val="none" w:sz="0" w:space="0" w:color="auto"/>
        <w:left w:val="none" w:sz="0" w:space="0" w:color="auto"/>
        <w:bottom w:val="none" w:sz="0" w:space="0" w:color="auto"/>
        <w:right w:val="none" w:sz="0" w:space="0" w:color="auto"/>
      </w:divBdr>
    </w:div>
    <w:div w:id="1987054266">
      <w:bodyDiv w:val="1"/>
      <w:marLeft w:val="0"/>
      <w:marRight w:val="0"/>
      <w:marTop w:val="0"/>
      <w:marBottom w:val="0"/>
      <w:divBdr>
        <w:top w:val="none" w:sz="0" w:space="0" w:color="auto"/>
        <w:left w:val="none" w:sz="0" w:space="0" w:color="auto"/>
        <w:bottom w:val="none" w:sz="0" w:space="0" w:color="auto"/>
        <w:right w:val="none" w:sz="0" w:space="0" w:color="auto"/>
      </w:divBdr>
    </w:div>
    <w:div w:id="2007706019">
      <w:bodyDiv w:val="1"/>
      <w:marLeft w:val="0"/>
      <w:marRight w:val="0"/>
      <w:marTop w:val="0"/>
      <w:marBottom w:val="0"/>
      <w:divBdr>
        <w:top w:val="none" w:sz="0" w:space="0" w:color="auto"/>
        <w:left w:val="none" w:sz="0" w:space="0" w:color="auto"/>
        <w:bottom w:val="none" w:sz="0" w:space="0" w:color="auto"/>
        <w:right w:val="none" w:sz="0" w:space="0" w:color="auto"/>
      </w:divBdr>
    </w:div>
    <w:div w:id="2012489266">
      <w:bodyDiv w:val="1"/>
      <w:marLeft w:val="0"/>
      <w:marRight w:val="0"/>
      <w:marTop w:val="0"/>
      <w:marBottom w:val="0"/>
      <w:divBdr>
        <w:top w:val="none" w:sz="0" w:space="0" w:color="auto"/>
        <w:left w:val="none" w:sz="0" w:space="0" w:color="auto"/>
        <w:bottom w:val="none" w:sz="0" w:space="0" w:color="auto"/>
        <w:right w:val="none" w:sz="0" w:space="0" w:color="auto"/>
      </w:divBdr>
    </w:div>
    <w:div w:id="2055814256">
      <w:bodyDiv w:val="1"/>
      <w:marLeft w:val="0"/>
      <w:marRight w:val="0"/>
      <w:marTop w:val="0"/>
      <w:marBottom w:val="0"/>
      <w:divBdr>
        <w:top w:val="none" w:sz="0" w:space="0" w:color="auto"/>
        <w:left w:val="none" w:sz="0" w:space="0" w:color="auto"/>
        <w:bottom w:val="none" w:sz="0" w:space="0" w:color="auto"/>
        <w:right w:val="none" w:sz="0" w:space="0" w:color="auto"/>
      </w:divBdr>
    </w:div>
    <w:div w:id="2069262700">
      <w:bodyDiv w:val="1"/>
      <w:marLeft w:val="0"/>
      <w:marRight w:val="0"/>
      <w:marTop w:val="0"/>
      <w:marBottom w:val="0"/>
      <w:divBdr>
        <w:top w:val="none" w:sz="0" w:space="0" w:color="auto"/>
        <w:left w:val="none" w:sz="0" w:space="0" w:color="auto"/>
        <w:bottom w:val="none" w:sz="0" w:space="0" w:color="auto"/>
        <w:right w:val="none" w:sz="0" w:space="0" w:color="auto"/>
      </w:divBdr>
    </w:div>
    <w:div w:id="2088644433">
      <w:bodyDiv w:val="1"/>
      <w:marLeft w:val="0"/>
      <w:marRight w:val="0"/>
      <w:marTop w:val="0"/>
      <w:marBottom w:val="0"/>
      <w:divBdr>
        <w:top w:val="none" w:sz="0" w:space="0" w:color="auto"/>
        <w:left w:val="none" w:sz="0" w:space="0" w:color="auto"/>
        <w:bottom w:val="none" w:sz="0" w:space="0" w:color="auto"/>
        <w:right w:val="none" w:sz="0" w:space="0" w:color="auto"/>
      </w:divBdr>
    </w:div>
    <w:div w:id="20979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Vinnic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604E-D98B-4A7F-BEFD-79499A8F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8</Pages>
  <Words>12133</Words>
  <Characters>6917</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2018.gada 28.augusta noteikumos Nr. 555  "Veselības aprūpes pakalpojumu organizēšanas un samaksas kārtība""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2018.gada 28.augusta noteikumos Nr. 555  "Veselības aprūpes pakalpojumu organizēšanas un samaksas kārtība"" sākotnējās ietekmes novērtējuma ziņojums (anotācija)</dc:title>
  <dc:subject>Anotācija</dc:subject>
  <dc:creator>Inga Vinničenko</dc:creator>
  <dc:description>Inga.Vinnicenko@vm.gov.lv, tel. Nr.67876029, Nozares budžeta plānošanas departamenta vecākā referente</dc:description>
  <cp:lastModifiedBy>Inga Vinničenko</cp:lastModifiedBy>
  <cp:revision>285</cp:revision>
  <cp:lastPrinted>2018-12-04T15:10:00Z</cp:lastPrinted>
  <dcterms:created xsi:type="dcterms:W3CDTF">2018-03-07T13:59:00Z</dcterms:created>
  <dcterms:modified xsi:type="dcterms:W3CDTF">2018-12-20T08:41:00Z</dcterms:modified>
</cp:coreProperties>
</file>