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2570DF"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w:t>
      </w:r>
      <w:r w:rsidRPr="002570DF">
        <w:rPr>
          <w:rFonts w:ascii="Times New Roman" w:hAnsi="Times New Roman" w:cs="Times New Roman"/>
          <w:b/>
          <w:sz w:val="28"/>
          <w:szCs w:val="24"/>
          <w:lang w:eastAsia="lv-LV"/>
        </w:rPr>
        <w:t xml:space="preserve">rīkojuma projekta “Par finanšu līdzekļu piešķiršanu no valsts budžeta programmas “Līdzekļi neparedzētiem gadījumiem”” </w:t>
      </w:r>
      <w:r w:rsidR="00894C55" w:rsidRPr="002570DF">
        <w:rPr>
          <w:rFonts w:ascii="Times New Roman" w:hAnsi="Times New Roman" w:cs="Times New Roman"/>
          <w:b/>
          <w:sz w:val="28"/>
          <w:szCs w:val="24"/>
          <w:lang w:eastAsia="lv-LV"/>
        </w:rPr>
        <w:t>sākotnējās ietekmes novērtējuma ziņojums (anotācija)</w:t>
      </w:r>
    </w:p>
    <w:p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2570DF" w:rsidTr="006936E5">
        <w:tc>
          <w:tcPr>
            <w:tcW w:w="9356" w:type="dxa"/>
          </w:tcPr>
          <w:p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Tiesību akta projekta anotācijas kopsavilkums</w:t>
            </w:r>
          </w:p>
        </w:tc>
      </w:tr>
      <w:tr w:rsidR="00130487" w:rsidRPr="002570DF" w:rsidTr="006936E5">
        <w:tc>
          <w:tcPr>
            <w:tcW w:w="9356" w:type="dxa"/>
          </w:tcPr>
          <w:p w:rsidR="00130487" w:rsidRPr="002570DF" w:rsidRDefault="00130487" w:rsidP="00EC6E12">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RPr="002570DF" w:rsidTr="0079260F">
        <w:tc>
          <w:tcPr>
            <w:tcW w:w="9356" w:type="dxa"/>
            <w:gridSpan w:val="3"/>
          </w:tcPr>
          <w:p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 Tiesību akta projekta izstrādes nepieciešamība</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Pamatojums</w:t>
            </w:r>
          </w:p>
        </w:tc>
        <w:tc>
          <w:tcPr>
            <w:tcW w:w="7229" w:type="dxa"/>
          </w:tcPr>
          <w:p w:rsidR="0079260F" w:rsidRPr="002570DF" w:rsidRDefault="0079260F" w:rsidP="00155578">
            <w:pPr>
              <w:pStyle w:val="NoSpacing"/>
              <w:ind w:firstLine="311"/>
              <w:jc w:val="both"/>
              <w:rPr>
                <w:rFonts w:ascii="Times New Roman" w:hAnsi="Times New Roman" w:cs="Times New Roman"/>
                <w:sz w:val="24"/>
              </w:rPr>
            </w:pPr>
            <w:r w:rsidRPr="002570D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772B8B" w:rsidRPr="002570DF" w:rsidRDefault="0079260F" w:rsidP="00772B8B">
            <w:pPr>
              <w:pStyle w:val="NoSpacing"/>
              <w:ind w:firstLine="311"/>
              <w:jc w:val="both"/>
              <w:rPr>
                <w:rFonts w:ascii="Times New Roman" w:hAnsi="Times New Roman" w:cs="Times New Roman"/>
                <w:sz w:val="24"/>
              </w:rPr>
            </w:pPr>
            <w:r w:rsidRPr="002570DF">
              <w:rPr>
                <w:rFonts w:ascii="Times New Roman" w:hAnsi="Times New Roman" w:cs="Times New Roman"/>
                <w:sz w:val="24"/>
              </w:rPr>
              <w:t xml:space="preserve">- Ministru kabineta </w:t>
            </w:r>
            <w:r w:rsidR="0021635B" w:rsidRPr="002570DF">
              <w:rPr>
                <w:rFonts w:ascii="Times New Roman" w:hAnsi="Times New Roman" w:cs="Times New Roman"/>
                <w:sz w:val="24"/>
              </w:rPr>
              <w:t>2018. gada 17. jūlija noteikumu Nr.421 “Kārtība, kādā veic gadskārtējā valsts budžeta likumā noteiktās apropriācijas izmaiņas”</w:t>
            </w:r>
            <w:r w:rsidR="00940EA7" w:rsidRPr="002570DF">
              <w:rPr>
                <w:rFonts w:ascii="Times New Roman" w:hAnsi="Times New Roman" w:cs="Times New Roman"/>
                <w:sz w:val="24"/>
              </w:rPr>
              <w:t xml:space="preserve"> 41</w:t>
            </w:r>
            <w:r w:rsidRPr="002570DF">
              <w:rPr>
                <w:rFonts w:ascii="Times New Roman" w:hAnsi="Times New Roman" w:cs="Times New Roman"/>
                <w:sz w:val="24"/>
              </w:rPr>
              <w:t xml:space="preserve">.punktu, kas nosaka, ka </w:t>
            </w:r>
            <w:r w:rsidR="00AB17A8">
              <w:rPr>
                <w:rFonts w:ascii="Times New Roman" w:hAnsi="Times New Roman" w:cs="Times New Roman"/>
                <w:sz w:val="24"/>
              </w:rPr>
              <w:t xml:space="preserve"> līdzekļus no programmas “</w:t>
            </w:r>
            <w:r w:rsidR="00940EA7" w:rsidRPr="002570DF">
              <w:rPr>
                <w:rFonts w:ascii="Times New Roman" w:hAnsi="Times New Roman" w:cs="Times New Roman"/>
                <w:sz w:val="24"/>
              </w:rPr>
              <w:t>Lī</w:t>
            </w:r>
            <w:r w:rsidR="00AB17A8">
              <w:rPr>
                <w:rFonts w:ascii="Times New Roman" w:hAnsi="Times New Roman" w:cs="Times New Roman"/>
                <w:sz w:val="24"/>
              </w:rPr>
              <w:t>dzekļi neparedzētiem gadījumiem”</w:t>
            </w:r>
            <w:r w:rsidR="00940EA7" w:rsidRPr="002570DF">
              <w:rPr>
                <w:rFonts w:ascii="Times New Roman" w:hAnsi="Times New Roman" w:cs="Times New Roman"/>
                <w:sz w:val="24"/>
              </w:rPr>
              <w:t xml:space="preserve"> piešķir valstiski īpaši nozīmīgiem pasākumiem, valsts pamatbudžeta apropriācijās neparedzētiem izdevumiem katastrofu un dabas stihiju seku novēršanai un to radīto zaudējumu kompensēšanai un </w:t>
            </w:r>
            <w:r w:rsidR="001F2385" w:rsidRPr="002570DF">
              <w:rPr>
                <w:rFonts w:ascii="Times New Roman" w:hAnsi="Times New Roman" w:cs="Times New Roman"/>
                <w:sz w:val="24"/>
              </w:rPr>
              <w:t>citiem neparedzētiem gadījumiem;</w:t>
            </w:r>
          </w:p>
          <w:p w:rsidR="00772B8B" w:rsidRPr="002570DF" w:rsidRDefault="00772B8B" w:rsidP="00DC75FF">
            <w:pPr>
              <w:pStyle w:val="NoSpacing"/>
              <w:ind w:firstLine="311"/>
              <w:jc w:val="both"/>
              <w:rPr>
                <w:rFonts w:ascii="Times New Roman" w:hAnsi="Times New Roman" w:cs="Times New Roman"/>
              </w:rPr>
            </w:pPr>
            <w:r w:rsidRPr="002570DF">
              <w:rPr>
                <w:rFonts w:ascii="Times New Roman" w:hAnsi="Times New Roman" w:cs="Times New Roman"/>
                <w:sz w:val="24"/>
              </w:rPr>
              <w:t xml:space="preserve">- </w:t>
            </w:r>
            <w:r w:rsidR="007C3918" w:rsidRPr="002570DF">
              <w:rPr>
                <w:rFonts w:ascii="Times New Roman" w:hAnsi="Times New Roman" w:cs="Times New Roman"/>
              </w:rPr>
              <w:t xml:space="preserve">Kā arī, lai nodrošinātu norēķinus par Latvijas sociālā nodrošinājuma sistēmas ietvaros apdrošinātām personām citās Eiropas Savienības, Eiropas Ekonomikas zonas dalībvalstīs un Šveicē sniegtajiem </w:t>
            </w:r>
            <w:r w:rsidR="0024698B">
              <w:rPr>
                <w:rFonts w:ascii="Times New Roman" w:hAnsi="Times New Roman" w:cs="Times New Roman"/>
              </w:rPr>
              <w:t>veselības aprūpes pakalpojumiem.</w:t>
            </w:r>
          </w:p>
        </w:tc>
      </w:tr>
      <w:tr w:rsidR="0079260F" w:rsidRPr="002570DF" w:rsidTr="0079260F">
        <w:tc>
          <w:tcPr>
            <w:tcW w:w="568" w:type="dxa"/>
          </w:tcPr>
          <w:p w:rsidR="0079260F" w:rsidRPr="002570DF" w:rsidRDefault="0079260F" w:rsidP="0079260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1559" w:type="dxa"/>
          </w:tcPr>
          <w:p w:rsidR="00152501" w:rsidRPr="002570DF" w:rsidRDefault="0079260F" w:rsidP="0079260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Pr="002570DF" w:rsidRDefault="0079260F" w:rsidP="00152501">
            <w:pPr>
              <w:jc w:val="center"/>
            </w:pPr>
          </w:p>
        </w:tc>
        <w:tc>
          <w:tcPr>
            <w:tcW w:w="7229" w:type="dxa"/>
          </w:tcPr>
          <w:p w:rsidR="0024698B" w:rsidRPr="003717CA" w:rsidRDefault="0024698B" w:rsidP="0024698B">
            <w:pPr>
              <w:pStyle w:val="programmas"/>
              <w:tabs>
                <w:tab w:val="left" w:pos="3690"/>
              </w:tabs>
              <w:spacing w:before="0" w:after="0"/>
              <w:jc w:val="both"/>
              <w:rPr>
                <w:rFonts w:eastAsia="Calibri"/>
                <w:b w:val="0"/>
                <w:bCs/>
                <w:noProof/>
                <w:lang w:val="lv-LV"/>
              </w:rPr>
            </w:pPr>
            <w:r w:rsidRPr="003717CA">
              <w:rPr>
                <w:rFonts w:cstheme="minorBidi"/>
                <w:b w:val="0"/>
                <w:bCs/>
                <w:noProof/>
                <w:szCs w:val="24"/>
                <w:u w:val="single"/>
                <w:lang w:val="lv-LV" w:eastAsia="lv-LV"/>
              </w:rPr>
              <w:t>Budžeta programmas 33.00.00 “</w:t>
            </w:r>
            <w:r w:rsidRPr="003717CA">
              <w:rPr>
                <w:b w:val="0"/>
                <w:noProof/>
                <w:szCs w:val="24"/>
                <w:u w:val="single"/>
                <w:lang w:val="lv-LV"/>
              </w:rPr>
              <w:t>Veselības aprūpes nodrošināšana</w:t>
            </w:r>
            <w:r w:rsidRPr="003717CA">
              <w:rPr>
                <w:rFonts w:cstheme="minorBidi"/>
                <w:b w:val="0"/>
                <w:bCs/>
                <w:noProof/>
                <w:szCs w:val="24"/>
                <w:u w:val="single"/>
                <w:lang w:val="lv-LV" w:eastAsia="lv-LV"/>
              </w:rPr>
              <w:t xml:space="preserve">” apakšprogrammas </w:t>
            </w:r>
            <w:r w:rsidRPr="003717CA">
              <w:rPr>
                <w:b w:val="0"/>
                <w:noProof/>
                <w:szCs w:val="24"/>
                <w:u w:val="single"/>
                <w:lang w:val="lv-LV"/>
              </w:rPr>
              <w:t>33.19.00 “Starptautiskie norēķini par sniegtajiem veselības aprūpes pakalpojumiem”</w:t>
            </w:r>
            <w:r w:rsidRPr="003717CA">
              <w:rPr>
                <w:b w:val="0"/>
                <w:noProof/>
                <w:szCs w:val="24"/>
                <w:lang w:val="lv-LV"/>
              </w:rPr>
              <w:t xml:space="preserve"> </w:t>
            </w:r>
            <w:r w:rsidRPr="003717CA">
              <w:rPr>
                <w:rFonts w:eastAsia="Calibri"/>
                <w:b w:val="0"/>
                <w:bCs/>
                <w:noProof/>
                <w:lang w:val="lv-LV"/>
              </w:rPr>
              <w:t>mērķis ir nodrošināt norēķinu veikšanu ar ES un Eiropas Ekonomiskas zonas dalībvalstīm par Latvijas iedzīvotajiem ES sociālā nodrošinājuma sistēmas ietvaros sniegtajiem veselības aprūpes pakalpojumiem un no Krievijas Federācijas līdzekļiem kompensēt veselības aprūpes  budžeta izdevumus par Krievijas Federācijas militāro pensionāru veselības aprūpi.</w:t>
            </w:r>
          </w:p>
          <w:p w:rsidR="0024698B" w:rsidRPr="003717CA" w:rsidRDefault="0024698B" w:rsidP="0024698B">
            <w:pPr>
              <w:pStyle w:val="programmas"/>
              <w:tabs>
                <w:tab w:val="left" w:pos="3690"/>
              </w:tabs>
              <w:spacing w:before="0" w:after="0"/>
              <w:jc w:val="both"/>
              <w:rPr>
                <w:rFonts w:eastAsia="Calibri"/>
                <w:b w:val="0"/>
                <w:bCs/>
                <w:noProof/>
                <w:lang w:val="lv-LV"/>
              </w:rPr>
            </w:pPr>
            <w:r w:rsidRPr="003717CA">
              <w:rPr>
                <w:rFonts w:eastAsia="Calibri"/>
                <w:b w:val="0"/>
                <w:bCs/>
                <w:noProof/>
                <w:lang w:val="lv-LV"/>
              </w:rPr>
              <w:t xml:space="preserve">Apakšprogrammas ietvaros tiek nodrošināts,  ka apdrošinātā persona, kurai ir tiesības saņemt veselības  aprūpes pakalpojumus valsts obligātās veselības apdrošināšanas ietvaros, pārvietojoties uz citu Dalībvalsti, saglabā tiesības uz veselības aprūpi, ES ietvaros ir noteikts vienots ES tiesiskais regulējums sociālā nodrošinājuma sistēmu koordinācijai (Eiropas Parlamenta un Padomes Regula Nr.883/2004 (2004.gada 29.aprīlis) par sociālā nodrošinājuma sistēmu koordinēšanu un Eiropas Parlamenta un Padomes Regula Nr.987/2009 (2009.gada 16.septembris), ar ko nosaka īstenošanas kārtību Regulai (EK) Nr. 883/2004 par sociālās nodrošināšanas sistēmu koordinēšanu). </w:t>
            </w:r>
            <w:r w:rsidRPr="003717CA">
              <w:rPr>
                <w:rFonts w:eastAsia="Calibri"/>
                <w:b w:val="0"/>
                <w:bCs/>
                <w:noProof/>
              </w:rPr>
              <w:t>Nacionālais veselības dienests ir</w:t>
            </w:r>
            <w:r w:rsidRPr="003717CA">
              <w:rPr>
                <w:rFonts w:eastAsia="Calibri"/>
                <w:b w:val="0"/>
                <w:bCs/>
                <w:noProof/>
                <w:lang w:val="lv-LV"/>
              </w:rPr>
              <w:t> Veselības ministrijas padotības iestāde, kas pilda </w:t>
            </w:r>
            <w:r w:rsidRPr="003717CA">
              <w:rPr>
                <w:rFonts w:eastAsia="Calibri"/>
                <w:b w:val="0"/>
                <w:bCs/>
                <w:noProof/>
              </w:rPr>
              <w:t>Latvijas kompetentās institūcijas funkciju un ir atbildīga par ES sociālā nodrošinājuma sistēmu koordinēšanu veselības aprūpes jomā Latvijā:</w:t>
            </w:r>
          </w:p>
          <w:p w:rsidR="0024698B" w:rsidRPr="003717CA" w:rsidRDefault="0024698B" w:rsidP="0024698B">
            <w:pPr>
              <w:numPr>
                <w:ilvl w:val="0"/>
                <w:numId w:val="15"/>
              </w:numPr>
              <w:ind w:left="261" w:right="57" w:firstLine="222"/>
              <w:contextualSpacing/>
              <w:jc w:val="both"/>
              <w:rPr>
                <w:rFonts w:eastAsia="Calibri"/>
              </w:rPr>
            </w:pPr>
            <w:r w:rsidRPr="003717CA">
              <w:rPr>
                <w:rFonts w:eastAsia="Calibri"/>
              </w:rPr>
              <w:t>izsniedz dokumentus, izmantojot vienotu paraugu, kas apliecina Latvijā apdrošinātas personas</w:t>
            </w:r>
            <w:r w:rsidRPr="003717CA">
              <w:rPr>
                <w:rFonts w:eastAsia="Calibri"/>
                <w:vertAlign w:val="superscript"/>
              </w:rPr>
              <w:footnoteReference w:id="1"/>
            </w:r>
            <w:r w:rsidRPr="003717CA">
              <w:rPr>
                <w:rFonts w:eastAsia="Calibri"/>
                <w:vertAlign w:val="superscript"/>
              </w:rPr>
              <w:t xml:space="preserve"> </w:t>
            </w:r>
            <w:r w:rsidRPr="003717CA">
              <w:rPr>
                <w:rFonts w:eastAsia="Calibri"/>
              </w:rPr>
              <w:t>tiesības saņemt veselības aprūpes pakalpojumus citā Dalībvalstī;</w:t>
            </w:r>
          </w:p>
          <w:p w:rsidR="0024698B" w:rsidRPr="003717CA" w:rsidRDefault="0024698B" w:rsidP="0024698B">
            <w:pPr>
              <w:numPr>
                <w:ilvl w:val="0"/>
                <w:numId w:val="15"/>
              </w:numPr>
              <w:ind w:left="261" w:right="57" w:firstLine="222"/>
              <w:contextualSpacing/>
              <w:jc w:val="both"/>
              <w:rPr>
                <w:rFonts w:eastAsia="Calibri"/>
              </w:rPr>
            </w:pPr>
            <w:r w:rsidRPr="003717CA">
              <w:rPr>
                <w:rFonts w:eastAsia="Calibri"/>
              </w:rPr>
              <w:lastRenderedPageBreak/>
              <w:t xml:space="preserve">veic samaksu par veselības aprūpes pakalpojumiem, kas sniegti pamatojoties uz </w:t>
            </w:r>
            <w:r w:rsidR="00AB17A8">
              <w:rPr>
                <w:rFonts w:eastAsia="Calibri"/>
              </w:rPr>
              <w:t>šiem dokumentiem: S 1 veidlapa “</w:t>
            </w:r>
            <w:r w:rsidRPr="003717CA">
              <w:rPr>
                <w:rFonts w:eastAsia="Calibri"/>
              </w:rPr>
              <w:t>Apliecinājums t</w:t>
            </w:r>
            <w:r w:rsidR="00AB17A8">
              <w:rPr>
                <w:rFonts w:eastAsia="Calibri"/>
              </w:rPr>
              <w:t>iesībām saņemt veselības aprūpi”, S 2 veidlapa “</w:t>
            </w:r>
            <w:r w:rsidRPr="003717CA">
              <w:rPr>
                <w:rFonts w:eastAsia="Calibri"/>
              </w:rPr>
              <w:t xml:space="preserve">Apliecinājums </w:t>
            </w:r>
            <w:r w:rsidR="00AB17A8">
              <w:rPr>
                <w:rFonts w:eastAsia="Calibri"/>
              </w:rPr>
              <w:t>tiesībām uz plānveida ārstēšanu”</w:t>
            </w:r>
            <w:r w:rsidRPr="003717CA">
              <w:rPr>
                <w:rFonts w:eastAsia="Calibri"/>
              </w:rPr>
              <w:t>, Eiropas veselības apdrošināšanas karte, kas apliecina tiesības saņemt neatliekamo un nepieciešamo veselības aprūpi, īslaicīgas uzturēšanās laikā citā Dalībvalstī.</w:t>
            </w:r>
          </w:p>
          <w:p w:rsidR="0024698B" w:rsidRPr="003717CA" w:rsidRDefault="0024698B" w:rsidP="0024698B">
            <w:pPr>
              <w:ind w:right="145"/>
              <w:jc w:val="both"/>
              <w:outlineLvl w:val="0"/>
            </w:pPr>
            <w:r w:rsidRPr="003717CA">
              <w:t>Viena no ES pamata brīvībām ir brīva personu kustība, kas ietver personas tiesības brīvi pārvietoties, apmesties uz dzīvi un strādāt citā ES dalībvalstī, Eiropas Ekonomikas zonas (turpmāk – EEZ) dalībvalstī (Norvēģija, Lihtenšteina un Islande) vai Šveicē (turpmāk – Dalībvalstis). Lai nodrošinātu, ka apdrošinātās personas, pārvietojoties uz citu Dalībvalsti, saglabā tiesības uz veselības aprūpi, ES ietvaros ir noteikts vienots ES tiesiskais regulējums sociālā nodrošinājuma sistēmu koordinācijai</w:t>
            </w:r>
            <w:r w:rsidRPr="003717CA">
              <w:rPr>
                <w:vertAlign w:val="superscript"/>
              </w:rPr>
              <w:footnoteReference w:id="2"/>
            </w:r>
            <w:r w:rsidRPr="003717CA">
              <w:t>.</w:t>
            </w:r>
          </w:p>
          <w:p w:rsidR="0024698B" w:rsidRPr="003717CA" w:rsidRDefault="0024698B" w:rsidP="0024698B">
            <w:pPr>
              <w:ind w:left="28" w:right="145"/>
              <w:jc w:val="both"/>
              <w:outlineLvl w:val="0"/>
            </w:pPr>
            <w:r w:rsidRPr="003717CA">
              <w:rPr>
                <w:bCs/>
              </w:rPr>
              <w:t>P</w:t>
            </w:r>
            <w:r w:rsidRPr="003717CA">
              <w:t>amatojoties uz S 1 un S 2 veidlapām, kā arī Eiropas veselības apdrošināšanas karti, veselības aprūpe tiek nodrošināta atbilstoši uzturēšanās dalībvalsts publiskās veselības aprūpes sistēmas nosacījumiem. Turklāt, atbilstoši tiem veselības aprūpes tarifiem, kas ir spēkā attiecīgajā Dalībvalstī. Norēķini par veselības aprūpes pakalpojumiem notiek starp Dalībvalstu kompetentajām institūcijām (</w:t>
            </w:r>
            <w:r w:rsidRPr="003717CA">
              <w:rPr>
                <w:i/>
              </w:rPr>
              <w:t>personai jāveic tikai pacienta iemaksas vai līdzmaksājuma vai publiskajā veselības aprūpē neietilpstošu pakalpojumu apmaksa</w:t>
            </w:r>
            <w:r w:rsidRPr="003717CA">
              <w:t xml:space="preserve">). </w:t>
            </w:r>
          </w:p>
          <w:p w:rsidR="0024698B" w:rsidRPr="003717CA" w:rsidRDefault="0024698B" w:rsidP="0024698B">
            <w:pPr>
              <w:ind w:left="28" w:right="145"/>
              <w:jc w:val="both"/>
              <w:outlineLvl w:val="0"/>
            </w:pPr>
            <w:r w:rsidRPr="003717CA">
              <w:t>Latvijai ir jānodrošina citu Dalībvalstu izsniegto rēķinu apmaksa 18 mēnešu laikā</w:t>
            </w:r>
            <w:r w:rsidRPr="003717CA">
              <w:rPr>
                <w:vertAlign w:val="superscript"/>
              </w:rPr>
              <w:footnoteReference w:id="3"/>
            </w:r>
            <w:r w:rsidRPr="003717CA">
              <w:t xml:space="preserve"> pēc rēķina saņemšanas. </w:t>
            </w:r>
            <w:r w:rsidR="00AB17A8">
              <w:t>Nacionālais veselības dienests</w:t>
            </w:r>
            <w:r w:rsidRPr="003717CA">
              <w:t xml:space="preserve"> seko līdzi maksājumu izpildes termiņiem un veic norēķinus savlaicīgi, ņemot vērā to, ka savlaicīgas saistību neizpildes gadījumā (neievērojot 18 mēnešu termiņu), kreditora valsts var aprēķināt procentus</w:t>
            </w:r>
            <w:r w:rsidRPr="003717CA">
              <w:rPr>
                <w:vertAlign w:val="superscript"/>
              </w:rPr>
              <w:footnoteReference w:id="4"/>
            </w:r>
            <w:r w:rsidRPr="003717CA">
              <w:t>, pamatojoties uz atsauces likmi</w:t>
            </w:r>
            <w:r w:rsidRPr="003717CA">
              <w:rPr>
                <w:vertAlign w:val="superscript"/>
              </w:rPr>
              <w:footnoteReference w:id="5"/>
            </w:r>
            <w:r w:rsidRPr="003717CA">
              <w:t>, ko Eiropas Centrālā banka piemēro tās galvenajām refinansēšanas operācijām.</w:t>
            </w:r>
          </w:p>
          <w:p w:rsidR="0024698B" w:rsidRPr="003717CA" w:rsidRDefault="0024698B" w:rsidP="0024698B">
            <w:pPr>
              <w:ind w:left="28" w:right="145"/>
              <w:jc w:val="both"/>
              <w:outlineLvl w:val="0"/>
            </w:pPr>
            <w:r w:rsidRPr="003717CA">
              <w:t xml:space="preserve">Pēc stāvokļa uz 2018.gada 10.oktobri neapmaksātās saistības par saņemtajiem rēķiniem no ES un EEZ dalībvalstīm par Latvijas iedzīvotājiem sniegtajiem veselības aprūpes pakalpojumiem ES sociālā nodrošinājumā sistēmas ietvaros 12 923 103 </w:t>
            </w:r>
            <w:proofErr w:type="spellStart"/>
            <w:r w:rsidRPr="003717CA">
              <w:rPr>
                <w:i/>
              </w:rPr>
              <w:t>euro</w:t>
            </w:r>
            <w:proofErr w:type="spellEnd"/>
            <w:r w:rsidRPr="003717CA">
              <w:t xml:space="preserve"> apmērā. </w:t>
            </w:r>
          </w:p>
          <w:p w:rsidR="0024698B" w:rsidRDefault="0024698B" w:rsidP="0024698B">
            <w:pPr>
              <w:tabs>
                <w:tab w:val="left" w:pos="709"/>
              </w:tabs>
              <w:ind w:left="28"/>
              <w:jc w:val="both"/>
              <w:rPr>
                <w:bCs/>
                <w:noProof/>
              </w:rPr>
            </w:pPr>
            <w:r w:rsidRPr="009F43B0">
              <w:rPr>
                <w:bCs/>
                <w:noProof/>
              </w:rPr>
              <w:t>Latvijas iedzīvotājiem sniegtajiem veselības aprūpes pakalpojumiem ES sociālā nodrošinājuma sistēmas ietvaros atbilstoši no ES un EEZ dalībvalstīm saņemtajiem rēķiniem</w:t>
            </w:r>
            <w:r>
              <w:rPr>
                <w:bCs/>
                <w:noProof/>
              </w:rPr>
              <w:t xml:space="preserve"> a</w:t>
            </w:r>
            <w:r w:rsidRPr="003717CA">
              <w:rPr>
                <w:bCs/>
                <w:noProof/>
              </w:rPr>
              <w:t>tbilstoši  likumam “Par valsts budžetu 2018.gadam”</w:t>
            </w:r>
            <w:r w:rsidRPr="009F43B0">
              <w:rPr>
                <w:bCs/>
                <w:noProof/>
              </w:rPr>
              <w:t xml:space="preserve"> un Finanšu ministrijas rīkojumam </w:t>
            </w:r>
            <w:r w:rsidRPr="003717CA">
              <w:rPr>
                <w:bCs/>
                <w:noProof/>
              </w:rPr>
              <w:t>apakšprogramma</w:t>
            </w:r>
            <w:r>
              <w:rPr>
                <w:bCs/>
                <w:noProof/>
              </w:rPr>
              <w:t>s</w:t>
            </w:r>
            <w:r w:rsidRPr="003717CA">
              <w:rPr>
                <w:bCs/>
                <w:noProof/>
              </w:rPr>
              <w:t xml:space="preserve"> 33.19.00 “Starptautiskie norēķini par sniegtajiem veselības aprūpes pakalpojumiem” </w:t>
            </w:r>
            <w:r w:rsidRPr="009F43B0">
              <w:rPr>
                <w:bCs/>
                <w:noProof/>
              </w:rPr>
              <w:t xml:space="preserve">ietvaros 2018.gadā plānoti izdevumi </w:t>
            </w:r>
            <w:r w:rsidRPr="009F43B0">
              <w:rPr>
                <w:bCs/>
                <w:noProof/>
              </w:rPr>
              <w:lastRenderedPageBreak/>
              <w:t xml:space="preserve">1 205 379 </w:t>
            </w:r>
            <w:r w:rsidRPr="009F43B0">
              <w:rPr>
                <w:bCs/>
                <w:i/>
                <w:noProof/>
              </w:rPr>
              <w:t>euro</w:t>
            </w:r>
            <w:r w:rsidRPr="009F43B0">
              <w:rPr>
                <w:bCs/>
                <w:noProof/>
              </w:rPr>
              <w:t xml:space="preserve"> </w:t>
            </w:r>
            <w:r>
              <w:rPr>
                <w:bCs/>
                <w:noProof/>
              </w:rPr>
              <w:t xml:space="preserve">apmērā </w:t>
            </w:r>
            <w:r w:rsidRPr="003717CA">
              <w:rPr>
                <w:bCs/>
                <w:noProof/>
              </w:rPr>
              <w:t xml:space="preserve">(no dotācijas no vispārējiem ieņēmumiem 913 258 </w:t>
            </w:r>
            <w:r w:rsidRPr="003717CA">
              <w:rPr>
                <w:bCs/>
                <w:i/>
                <w:noProof/>
              </w:rPr>
              <w:t>euro</w:t>
            </w:r>
            <w:r w:rsidRPr="003717CA">
              <w:rPr>
                <w:bCs/>
                <w:noProof/>
              </w:rPr>
              <w:t xml:space="preserve"> apmērā, no citiem pašu ieņēmumiem 192 152 </w:t>
            </w:r>
            <w:r w:rsidRPr="003717CA">
              <w:rPr>
                <w:bCs/>
                <w:i/>
                <w:noProof/>
              </w:rPr>
              <w:t>euro</w:t>
            </w:r>
            <w:r w:rsidRPr="003717CA">
              <w:rPr>
                <w:bCs/>
                <w:noProof/>
              </w:rPr>
              <w:t xml:space="preserve"> apmērā un no pašu ieņēmumu naudas līdzekļu atlikumu palielinājuma 99 969 </w:t>
            </w:r>
            <w:r w:rsidRPr="003717CA">
              <w:rPr>
                <w:bCs/>
                <w:i/>
                <w:noProof/>
              </w:rPr>
              <w:t xml:space="preserve">euro </w:t>
            </w:r>
            <w:r w:rsidRPr="003717CA">
              <w:rPr>
                <w:bCs/>
                <w:noProof/>
              </w:rPr>
              <w:t xml:space="preserve">apmērā) un attiecīgie izdevumi par  2018.gada 10 mēnešiem - 1 141 520 </w:t>
            </w:r>
            <w:r w:rsidRPr="003717CA">
              <w:rPr>
                <w:bCs/>
                <w:i/>
                <w:noProof/>
              </w:rPr>
              <w:t xml:space="preserve">euro </w:t>
            </w:r>
            <w:r w:rsidRPr="003717CA">
              <w:rPr>
                <w:bCs/>
                <w:noProof/>
              </w:rPr>
              <w:t xml:space="preserve">(no dotācijas no vispārējiem ieņēmumiem 889 602 </w:t>
            </w:r>
            <w:r w:rsidRPr="003717CA">
              <w:rPr>
                <w:bCs/>
                <w:i/>
                <w:noProof/>
              </w:rPr>
              <w:t>euro</w:t>
            </w:r>
            <w:r w:rsidRPr="003717CA">
              <w:rPr>
                <w:bCs/>
                <w:noProof/>
              </w:rPr>
              <w:t xml:space="preserve"> apmērā, no citiem pašu ieņēmumiem 151 949 </w:t>
            </w:r>
            <w:r w:rsidRPr="003717CA">
              <w:rPr>
                <w:bCs/>
                <w:i/>
                <w:noProof/>
              </w:rPr>
              <w:t>euro</w:t>
            </w:r>
            <w:r w:rsidRPr="003717CA">
              <w:rPr>
                <w:bCs/>
                <w:noProof/>
              </w:rPr>
              <w:t xml:space="preserve"> apmērā un no pašu ieņēmumu naudas līdzekļu atlikumu palielinājuma 99 969 </w:t>
            </w:r>
            <w:r w:rsidRPr="003717CA">
              <w:rPr>
                <w:bCs/>
                <w:i/>
                <w:noProof/>
              </w:rPr>
              <w:t xml:space="preserve">euro </w:t>
            </w:r>
            <w:r w:rsidRPr="003717CA">
              <w:rPr>
                <w:bCs/>
                <w:noProof/>
              </w:rPr>
              <w:t>apmērā).</w:t>
            </w:r>
          </w:p>
          <w:p w:rsidR="0024698B" w:rsidRDefault="0024698B" w:rsidP="00AB17A8">
            <w:pPr>
              <w:jc w:val="both"/>
              <w:rPr>
                <w:bCs/>
                <w:noProof/>
              </w:rPr>
            </w:pPr>
            <w:r>
              <w:rPr>
                <w:bCs/>
                <w:noProof/>
              </w:rPr>
              <w:t xml:space="preserve">Kā arī 2018.gada 13.novembra Ministru kabineta sēdē (protokols Nr.52 52.paragrāfs) </w:t>
            </w:r>
            <w:r w:rsidRPr="00EA2FD1">
              <w:rPr>
                <w:b/>
                <w:bCs/>
                <w:sz w:val="28"/>
                <w:szCs w:val="28"/>
              </w:rPr>
              <w:t xml:space="preserve"> </w:t>
            </w:r>
            <w:r>
              <w:rPr>
                <w:bCs/>
                <w:noProof/>
              </w:rPr>
              <w:t>tika izskatīts Veselības min</w:t>
            </w:r>
            <w:r w:rsidR="00AB17A8">
              <w:rPr>
                <w:bCs/>
                <w:noProof/>
              </w:rPr>
              <w:t>istrijas</w:t>
            </w:r>
            <w:r>
              <w:rPr>
                <w:bCs/>
                <w:noProof/>
              </w:rPr>
              <w:t xml:space="preserve"> sagatavotais i</w:t>
            </w:r>
            <w:r w:rsidRPr="0024698B">
              <w:rPr>
                <w:bCs/>
                <w:noProof/>
              </w:rPr>
              <w:t>nformatīvais ziņojums “</w:t>
            </w:r>
            <w:bookmarkStart w:id="0" w:name="_Hlk526516151"/>
            <w:r w:rsidRPr="0024698B">
              <w:rPr>
                <w:bCs/>
                <w:noProof/>
              </w:rPr>
              <w:t xml:space="preserve">Par nepieciešamajām apropriācijas pārdalēm </w:t>
            </w:r>
            <w:bookmarkStart w:id="1" w:name="_Hlk529372678"/>
            <w:r w:rsidRPr="0024698B">
              <w:rPr>
                <w:bCs/>
                <w:noProof/>
              </w:rPr>
              <w:t xml:space="preserve">Veselības ministrijas budžeta ietvaros </w:t>
            </w:r>
            <w:bookmarkEnd w:id="1"/>
            <w:r w:rsidRPr="0024698B">
              <w:rPr>
                <w:bCs/>
                <w:noProof/>
              </w:rPr>
              <w:t>2018.gad</w:t>
            </w:r>
            <w:bookmarkEnd w:id="0"/>
            <w:r w:rsidRPr="0024698B">
              <w:rPr>
                <w:bCs/>
                <w:noProof/>
              </w:rPr>
              <w:t>ā”</w:t>
            </w:r>
            <w:r>
              <w:rPr>
                <w:bCs/>
                <w:noProof/>
              </w:rPr>
              <w:t xml:space="preserve"> </w:t>
            </w:r>
            <w:r w:rsidR="00AB17A8">
              <w:rPr>
                <w:bCs/>
                <w:noProof/>
              </w:rPr>
              <w:t xml:space="preserve">un </w:t>
            </w:r>
            <w:r w:rsidR="00AB17A8" w:rsidRPr="00AB17A8">
              <w:rPr>
                <w:bCs/>
                <w:noProof/>
              </w:rPr>
              <w:t>atbalstīta apropriācijas pārdale Veselības ministrijas budžeta ietvaros 2018.gadā Veselības ministrijas pamatbudžeta ietvaros starp budžeta apakšprogrammām</w:t>
            </w:r>
            <w:r w:rsidR="00AB17A8">
              <w:rPr>
                <w:bCs/>
                <w:noProof/>
              </w:rPr>
              <w:t xml:space="preserve"> tai skaitā uz apakšprogrammu 33.19.00 “</w:t>
            </w:r>
            <w:r w:rsidR="00AB17A8" w:rsidRPr="00AB17A8">
              <w:rPr>
                <w:bCs/>
                <w:noProof/>
              </w:rPr>
              <w:t>Starptautiskie norēķini par sniegtajiem veselības aprūpe</w:t>
            </w:r>
            <w:r w:rsidR="00AB17A8">
              <w:rPr>
                <w:bCs/>
                <w:noProof/>
              </w:rPr>
              <w:t>s pakalpojumiem”</w:t>
            </w:r>
            <w:r w:rsidR="00AB17A8" w:rsidRPr="00AB17A8">
              <w:rPr>
                <w:bCs/>
                <w:noProof/>
              </w:rPr>
              <w:t xml:space="preserve">, palielinot dotāciju no vispārējiem ieņēmumiem un izdevumus subsīdijām un dotācijām </w:t>
            </w:r>
            <w:r w:rsidR="00AB17A8">
              <w:rPr>
                <w:bCs/>
                <w:noProof/>
              </w:rPr>
              <w:t>6 798 870</w:t>
            </w:r>
            <w:r w:rsidR="00AB17A8" w:rsidRPr="00AB17A8">
              <w:rPr>
                <w:bCs/>
                <w:noProof/>
              </w:rPr>
              <w:t xml:space="preserve"> </w:t>
            </w:r>
            <w:r w:rsidR="00AB17A8" w:rsidRPr="00AB17A8">
              <w:rPr>
                <w:bCs/>
                <w:i/>
                <w:noProof/>
              </w:rPr>
              <w:t>euro</w:t>
            </w:r>
            <w:r w:rsidR="00AB17A8">
              <w:rPr>
                <w:bCs/>
                <w:noProof/>
              </w:rPr>
              <w:t xml:space="preserve"> </w:t>
            </w:r>
            <w:r w:rsidR="00AB17A8" w:rsidRPr="00AB17A8">
              <w:rPr>
                <w:bCs/>
                <w:noProof/>
              </w:rPr>
              <w:t>apmērā, lai nodrošinātu apmaksu par Latvijas iedzīvotājiem sniegtajiem veselības aprūpes pakalpojumiem ES sociālā nodrošinājuma sistēmas ietvaros atbilstoši no ES un EEZ dalībvalstīm saņemtajiem rēķiniem, kuru apmaksas termiņš ir 2018.gads</w:t>
            </w:r>
            <w:r w:rsidR="00AB17A8">
              <w:rPr>
                <w:bCs/>
                <w:noProof/>
              </w:rPr>
              <w:t>.</w:t>
            </w:r>
          </w:p>
          <w:p w:rsidR="00F62F27" w:rsidRDefault="00F62F27" w:rsidP="00B06D9D">
            <w:pPr>
              <w:ind w:right="145"/>
              <w:jc w:val="both"/>
              <w:outlineLvl w:val="0"/>
            </w:pPr>
          </w:p>
          <w:p w:rsidR="00F62F27" w:rsidRPr="00AB17A8" w:rsidRDefault="00F62F27" w:rsidP="00AB17A8">
            <w:pPr>
              <w:ind w:left="28" w:right="145"/>
              <w:jc w:val="both"/>
              <w:outlineLvl w:val="0"/>
            </w:pPr>
            <w:r w:rsidRPr="00F62F27">
              <w:t xml:space="preserve">NVD pārstāvjiem </w:t>
            </w:r>
            <w:r>
              <w:t xml:space="preserve">2018.gada novembrī </w:t>
            </w:r>
            <w:r w:rsidRPr="00F62F27">
              <w:t>piedaloties Administratīvās komisijas sociālā nodrošināšanas sistēmu koordinācijai Revīzijas komisijas 131.sanāksmē, dalībvalstu pārstāvji informēja, ka Latvija ir nokavējusi rēķinu apmaksas termiņus, kas noteikti ar Eiropas Parlamenta un Padomes 16.09.2009. Regulas (EK) Nr.987, ar ko nosaka īstenošanas kārtību Regulai (EK) Nr.883 par sociālās nodrošināšanas sistēmu koordinēšanu, 67.pantu. Atsevišķas valstis (piemēram, Lietuva) gatavojas piemērot soda procentus kavētajiem maksājumiem</w:t>
            </w:r>
          </w:p>
          <w:p w:rsidR="0024698B" w:rsidRPr="00AB17A8" w:rsidRDefault="0024698B" w:rsidP="00AB17A8">
            <w:pPr>
              <w:tabs>
                <w:tab w:val="left" w:pos="709"/>
              </w:tabs>
              <w:jc w:val="both"/>
              <w:rPr>
                <w:bCs/>
                <w:noProof/>
              </w:rPr>
            </w:pPr>
          </w:p>
          <w:p w:rsidR="0024698B" w:rsidRPr="00AB17A8" w:rsidRDefault="0024698B" w:rsidP="00AB17A8">
            <w:pPr>
              <w:ind w:right="145"/>
              <w:jc w:val="both"/>
              <w:outlineLvl w:val="0"/>
              <w:rPr>
                <w:bCs/>
                <w:noProof/>
              </w:rPr>
            </w:pPr>
            <w:r w:rsidRPr="00AB17A8">
              <w:t xml:space="preserve">Lai nodrošinātu savlaicīgu saņemto rēķinu apmaksu, kā arī, lai savlaicīgas saistību neizpildes gadījumā citu Dalībvalstu kompetentās institūcijas neaprēķinātu kavējuma procentus, ir nepieciešams </w:t>
            </w:r>
            <w:r w:rsidR="00AB17A8" w:rsidRPr="00AB17A8">
              <w:t xml:space="preserve">pieņemt rīkojuma projektu. </w:t>
            </w:r>
          </w:p>
          <w:p w:rsidR="00654900" w:rsidRPr="002570DF" w:rsidRDefault="00654900" w:rsidP="00B06D9D">
            <w:pPr>
              <w:tabs>
                <w:tab w:val="left" w:pos="631"/>
              </w:tabs>
              <w:jc w:val="both"/>
            </w:pPr>
          </w:p>
          <w:p w:rsidR="00ED504D" w:rsidRPr="002570DF" w:rsidRDefault="00ED504D" w:rsidP="00ED504D">
            <w:pPr>
              <w:ind w:left="147" w:right="39" w:firstLine="426"/>
              <w:jc w:val="both"/>
              <w:rPr>
                <w:u w:val="single"/>
              </w:rPr>
            </w:pPr>
            <w:r w:rsidRPr="002570DF">
              <w:rPr>
                <w:u w:val="single"/>
              </w:rPr>
              <w:t>Rīkojuma projekts paredz:</w:t>
            </w:r>
          </w:p>
          <w:p w:rsidR="00ED504D" w:rsidRPr="00E143F6" w:rsidRDefault="00ED504D" w:rsidP="00F97BA5">
            <w:pPr>
              <w:ind w:right="40" w:firstLine="709"/>
              <w:jc w:val="both"/>
            </w:pPr>
            <w:r w:rsidRPr="002570DF">
              <w:t>Finanšu ministrijai no vals</w:t>
            </w:r>
            <w:r w:rsidR="00AB17A8">
              <w:t>ts budžeta programmas 02.00.00 “</w:t>
            </w:r>
            <w:r w:rsidRPr="002570DF">
              <w:t>Lī</w:t>
            </w:r>
            <w:r w:rsidR="00AB17A8">
              <w:t>dzekļi neparedzētiem gadījumiem”</w:t>
            </w:r>
            <w:r w:rsidRPr="002570DF">
              <w:t xml:space="preserve"> piešķirt </w:t>
            </w:r>
            <w:r w:rsidR="00AB17A8" w:rsidRPr="00AB17A8">
              <w:t xml:space="preserve">Veselības ministrijai 6 124 233 </w:t>
            </w:r>
            <w:proofErr w:type="spellStart"/>
            <w:r w:rsidR="00AB17A8" w:rsidRPr="00AB17A8">
              <w:rPr>
                <w:i/>
              </w:rPr>
              <w:t>euro</w:t>
            </w:r>
            <w:proofErr w:type="spellEnd"/>
            <w:r w:rsidR="00AB17A8" w:rsidRPr="00AB17A8">
              <w:t xml:space="preserve">, </w:t>
            </w:r>
            <w:r w:rsidR="00F97BA5" w:rsidRPr="00F97BA5">
              <w:t>lai Nacionālais veselības dienests nodrošinātu apmaksu par Latvijas iedzīvotājiem sniegtajiem veselības aprūpes pakalpojumiem Eiropas Savienības sociālā nodrošinājuma sistēmas ietvaros atbilstoši no Eiropas Savienības dalībvalstu, Eiropas Ekonomikas zonas un Šveices Konfederācijas kompetento institūciju  saņemtajiem rēķiniem</w:t>
            </w:r>
            <w:r w:rsidR="00AB17A8" w:rsidRPr="00AB17A8">
              <w:t>.</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3.</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Projekta izstrādē iesaistītās institūcijas un publiskas personas </w:t>
            </w:r>
            <w:r w:rsidRPr="002570DF">
              <w:rPr>
                <w:rFonts w:ascii="Times New Roman" w:hAnsi="Times New Roman" w:cs="Times New Roman"/>
                <w:iCs/>
                <w:sz w:val="24"/>
                <w:szCs w:val="24"/>
                <w:lang w:eastAsia="lv-LV"/>
              </w:rPr>
              <w:lastRenderedPageBreak/>
              <w:t>kapitālsabiedrības</w:t>
            </w:r>
          </w:p>
        </w:tc>
        <w:tc>
          <w:tcPr>
            <w:tcW w:w="7229" w:type="dxa"/>
          </w:tcPr>
          <w:p w:rsidR="00130487" w:rsidRPr="002570DF" w:rsidRDefault="00BF56FB" w:rsidP="006335C0">
            <w:pPr>
              <w:pStyle w:val="NoSpacing"/>
              <w:jc w:val="both"/>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 xml:space="preserve">Veselības ministrija </w:t>
            </w:r>
            <w:r w:rsidR="0079260F" w:rsidRPr="002570DF">
              <w:rPr>
                <w:rFonts w:ascii="Times New Roman" w:hAnsi="Times New Roman" w:cs="Times New Roman"/>
                <w:sz w:val="24"/>
                <w:szCs w:val="24"/>
                <w:lang w:eastAsia="lv-LV"/>
              </w:rPr>
              <w:t xml:space="preserve">un </w:t>
            </w:r>
            <w:r w:rsidR="00AB17A8">
              <w:rPr>
                <w:rFonts w:ascii="Times New Roman" w:hAnsi="Times New Roman" w:cs="Times New Roman"/>
                <w:sz w:val="24"/>
                <w:szCs w:val="24"/>
                <w:lang w:eastAsia="lv-LV"/>
              </w:rPr>
              <w:t>Nacionālais veselības dienests</w:t>
            </w:r>
            <w:r w:rsidR="0079260F" w:rsidRPr="002570DF">
              <w:rPr>
                <w:rFonts w:ascii="Times New Roman" w:hAnsi="Times New Roman" w:cs="Times New Roman"/>
                <w:sz w:val="24"/>
                <w:szCs w:val="24"/>
                <w:lang w:eastAsia="lv-LV"/>
              </w:rPr>
              <w:t xml:space="preserve">.  </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4.</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7229" w:type="dxa"/>
          </w:tcPr>
          <w:p w:rsidR="00130487" w:rsidRPr="002570DF" w:rsidRDefault="006335C0" w:rsidP="006335C0">
            <w:pPr>
              <w:pStyle w:val="NoSpacing"/>
              <w:jc w:val="both"/>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2570DF" w:rsidTr="006936E5">
        <w:tc>
          <w:tcPr>
            <w:tcW w:w="9356" w:type="dxa"/>
          </w:tcPr>
          <w:p w:rsidR="00EC6E12" w:rsidRPr="002570DF" w:rsidRDefault="00842AD1"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2570DF" w:rsidTr="006936E5">
        <w:tc>
          <w:tcPr>
            <w:tcW w:w="9356" w:type="dxa"/>
          </w:tcPr>
          <w:p w:rsidR="00155578" w:rsidRPr="002570DF" w:rsidRDefault="00155578" w:rsidP="003903BF">
            <w:pPr>
              <w:pStyle w:val="NoSpacing"/>
              <w:jc w:val="center"/>
              <w:rPr>
                <w:rFonts w:ascii="Times New Roman" w:hAnsi="Times New Roman" w:cs="Times New Roman"/>
                <w:b/>
                <w:iCs/>
                <w:sz w:val="24"/>
                <w:szCs w:val="24"/>
                <w:lang w:eastAsia="lv-LV"/>
              </w:rPr>
            </w:pPr>
            <w:r w:rsidRPr="002570DF">
              <w:rPr>
                <w:rFonts w:ascii="Times New Roman" w:hAnsi="Times New Roman" w:cs="Times New Roman"/>
                <w:sz w:val="24"/>
                <w:szCs w:val="24"/>
              </w:rPr>
              <w:t>Projekts šo jomu neskar</w:t>
            </w:r>
          </w:p>
        </w:tc>
      </w:tr>
    </w:tbl>
    <w:p w:rsidR="00842AD1"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2570DF" w:rsidTr="006936E5">
        <w:tc>
          <w:tcPr>
            <w:tcW w:w="9356" w:type="dxa"/>
            <w:gridSpan w:val="8"/>
          </w:tcPr>
          <w:p w:rsidR="00842AD1" w:rsidRPr="002570DF" w:rsidRDefault="00842AD1" w:rsidP="00842AD1">
            <w:pPr>
              <w:pStyle w:val="NoSpacing"/>
              <w:jc w:val="center"/>
              <w:rPr>
                <w:rFonts w:ascii="Times New Roman" w:hAnsi="Times New Roman" w:cs="Times New Roman"/>
                <w:b/>
                <w:iCs/>
                <w:sz w:val="24"/>
                <w:szCs w:val="24"/>
                <w:lang w:eastAsia="lv-LV"/>
              </w:rPr>
            </w:pPr>
            <w:r w:rsidRPr="002570DF">
              <w:rPr>
                <w:rFonts w:ascii="Times New Roman" w:hAnsi="Times New Roman" w:cs="Times New Roman"/>
                <w:b/>
                <w:iCs/>
                <w:sz w:val="24"/>
                <w:szCs w:val="24"/>
                <w:lang w:eastAsia="lv-LV"/>
              </w:rPr>
              <w:t>III. Tiesību akta projekta ietekme uz valsts budžetu un pašvaldību budžetiem</w:t>
            </w:r>
          </w:p>
        </w:tc>
      </w:tr>
      <w:tr w:rsidR="00842AD1" w:rsidRPr="002570DF" w:rsidTr="006936E5">
        <w:tc>
          <w:tcPr>
            <w:tcW w:w="1702" w:type="dxa"/>
            <w:vMerge w:val="restart"/>
          </w:tcPr>
          <w:p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Rādītāji</w:t>
            </w:r>
          </w:p>
        </w:tc>
        <w:tc>
          <w:tcPr>
            <w:tcW w:w="2260" w:type="dxa"/>
            <w:gridSpan w:val="2"/>
            <w:vMerge w:val="restart"/>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2018. gads</w:t>
            </w:r>
          </w:p>
        </w:tc>
        <w:tc>
          <w:tcPr>
            <w:tcW w:w="5394" w:type="dxa"/>
            <w:gridSpan w:val="5"/>
          </w:tcPr>
          <w:p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Turpmākie trīs gadi (</w:t>
            </w:r>
            <w:proofErr w:type="spellStart"/>
            <w:r w:rsidR="00C33C43" w:rsidRPr="002570DF">
              <w:rPr>
                <w:rFonts w:ascii="Times New Roman" w:hAnsi="Times New Roman" w:cs="Times New Roman"/>
                <w:i/>
                <w:iCs/>
                <w:sz w:val="24"/>
                <w:szCs w:val="24"/>
                <w:lang w:eastAsia="lv-LV"/>
              </w:rPr>
              <w:t>euro</w:t>
            </w:r>
            <w:proofErr w:type="spellEnd"/>
            <w:r w:rsidRPr="002570DF">
              <w:rPr>
                <w:rFonts w:ascii="Times New Roman" w:hAnsi="Times New Roman" w:cs="Times New Roman"/>
                <w:iCs/>
                <w:sz w:val="24"/>
                <w:szCs w:val="24"/>
                <w:lang w:eastAsia="lv-LV"/>
              </w:rPr>
              <w:t>)</w:t>
            </w:r>
          </w:p>
        </w:tc>
      </w:tr>
      <w:tr w:rsidR="00842AD1" w:rsidRPr="002570DF" w:rsidTr="006936E5">
        <w:tc>
          <w:tcPr>
            <w:tcW w:w="1702" w:type="dxa"/>
            <w:vMerge/>
          </w:tcPr>
          <w:p w:rsidR="00842AD1" w:rsidRPr="002570DF"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Pr="002570DF"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2019. gads</w:t>
            </w:r>
          </w:p>
        </w:tc>
        <w:tc>
          <w:tcPr>
            <w:tcW w:w="1984" w:type="dxa"/>
            <w:gridSpan w:val="2"/>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2020. gads</w:t>
            </w:r>
          </w:p>
        </w:tc>
        <w:tc>
          <w:tcPr>
            <w:tcW w:w="1276" w:type="dxa"/>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2021. gads</w:t>
            </w:r>
          </w:p>
        </w:tc>
      </w:tr>
      <w:tr w:rsidR="006E71F7" w:rsidRPr="002570DF" w:rsidTr="006936E5">
        <w:tc>
          <w:tcPr>
            <w:tcW w:w="1702" w:type="dxa"/>
            <w:vMerge/>
          </w:tcPr>
          <w:p w:rsidR="00842AD1" w:rsidRPr="002570DF" w:rsidRDefault="00842AD1" w:rsidP="00EC6E12">
            <w:pPr>
              <w:pStyle w:val="NoSpacing"/>
              <w:rPr>
                <w:rFonts w:ascii="Times New Roman" w:hAnsi="Times New Roman" w:cs="Times New Roman"/>
                <w:iCs/>
                <w:sz w:val="24"/>
                <w:szCs w:val="24"/>
                <w:lang w:eastAsia="lv-LV"/>
              </w:rPr>
            </w:pPr>
          </w:p>
        </w:tc>
        <w:tc>
          <w:tcPr>
            <w:tcW w:w="992"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valsts budžetu kārtējam gadam</w:t>
            </w:r>
          </w:p>
        </w:tc>
        <w:tc>
          <w:tcPr>
            <w:tcW w:w="1268"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1134" w:type="dxa"/>
          </w:tcPr>
          <w:p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2019.</w:t>
            </w:r>
            <w:r w:rsidRPr="002570DF">
              <w:rPr>
                <w:rFonts w:ascii="Times New Roman" w:hAnsi="Times New Roman" w:cs="Times New Roman"/>
                <w:iCs/>
                <w:sz w:val="24"/>
                <w:szCs w:val="24"/>
                <w:lang w:eastAsia="lv-LV"/>
              </w:rPr>
              <w:t xml:space="preserve"> gadam</w:t>
            </w:r>
          </w:p>
        </w:tc>
        <w:tc>
          <w:tcPr>
            <w:tcW w:w="992"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992" w:type="dxa"/>
          </w:tcPr>
          <w:p w:rsidR="00037CA6" w:rsidRPr="002570DF" w:rsidRDefault="00037CA6" w:rsidP="00842AD1">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I</w:t>
            </w:r>
            <w:r w:rsidR="00842AD1" w:rsidRPr="002570DF">
              <w:rPr>
                <w:rFonts w:ascii="Times New Roman" w:hAnsi="Times New Roman" w:cs="Times New Roman"/>
                <w:iCs/>
                <w:sz w:val="24"/>
                <w:szCs w:val="24"/>
                <w:lang w:eastAsia="lv-LV"/>
              </w:rPr>
              <w:t>zmai</w:t>
            </w:r>
            <w:proofErr w:type="spellEnd"/>
            <w:r w:rsidRPr="002570DF">
              <w:rPr>
                <w:rFonts w:ascii="Times New Roman" w:hAnsi="Times New Roman" w:cs="Times New Roman"/>
                <w:iCs/>
                <w:sz w:val="24"/>
                <w:szCs w:val="24"/>
                <w:lang w:eastAsia="lv-LV"/>
              </w:rPr>
              <w:t>-</w:t>
            </w:r>
          </w:p>
          <w:p w:rsidR="006E71F7" w:rsidRPr="002570DF" w:rsidRDefault="00842AD1" w:rsidP="00842AD1">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ņas</w:t>
            </w:r>
            <w:proofErr w:type="spellEnd"/>
            <w:r w:rsidRPr="002570DF">
              <w:rPr>
                <w:rFonts w:ascii="Times New Roman" w:hAnsi="Times New Roman" w:cs="Times New Roman"/>
                <w:iCs/>
                <w:sz w:val="24"/>
                <w:szCs w:val="24"/>
                <w:lang w:eastAsia="lv-LV"/>
              </w:rPr>
              <w:t>,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2020.</w:t>
            </w:r>
            <w:r w:rsidRPr="002570DF">
              <w:rPr>
                <w:rFonts w:ascii="Times New Roman" w:hAnsi="Times New Roman" w:cs="Times New Roman"/>
                <w:iCs/>
                <w:sz w:val="24"/>
                <w:szCs w:val="24"/>
                <w:lang w:eastAsia="lv-LV"/>
              </w:rPr>
              <w:t xml:space="preserve"> gadam</w:t>
            </w:r>
          </w:p>
        </w:tc>
        <w:tc>
          <w:tcPr>
            <w:tcW w:w="1276" w:type="dxa"/>
          </w:tcPr>
          <w:p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2021.</w:t>
            </w:r>
            <w:r w:rsidRPr="002570DF">
              <w:rPr>
                <w:rFonts w:ascii="Times New Roman" w:hAnsi="Times New Roman" w:cs="Times New Roman"/>
                <w:iCs/>
                <w:sz w:val="24"/>
                <w:szCs w:val="24"/>
                <w:lang w:eastAsia="lv-LV"/>
              </w:rPr>
              <w:t xml:space="preserve"> gadam</w:t>
            </w:r>
          </w:p>
        </w:tc>
      </w:tr>
      <w:tr w:rsidR="006E71F7" w:rsidRPr="002570DF" w:rsidTr="006936E5">
        <w:tc>
          <w:tcPr>
            <w:tcW w:w="170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w:t>
            </w:r>
          </w:p>
        </w:tc>
        <w:tc>
          <w:tcPr>
            <w:tcW w:w="1268"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w:t>
            </w:r>
          </w:p>
        </w:tc>
        <w:tc>
          <w:tcPr>
            <w:tcW w:w="1000"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w:t>
            </w:r>
          </w:p>
        </w:tc>
        <w:tc>
          <w:tcPr>
            <w:tcW w:w="1134"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w:t>
            </w:r>
          </w:p>
        </w:tc>
        <w:tc>
          <w:tcPr>
            <w:tcW w:w="1276"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w:t>
            </w:r>
          </w:p>
        </w:tc>
      </w:tr>
      <w:tr w:rsidR="009213B4" w:rsidRPr="002570DF" w:rsidTr="004D6C40">
        <w:tc>
          <w:tcPr>
            <w:tcW w:w="1702" w:type="dxa"/>
            <w:vAlign w:val="center"/>
          </w:tcPr>
          <w:p w:rsidR="009213B4" w:rsidRPr="002570DF" w:rsidRDefault="009213B4" w:rsidP="009213B4">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 Budžeta ieņēmumi</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9213B4" w:rsidRPr="002570DF" w:rsidTr="004D6C40">
        <w:tc>
          <w:tcPr>
            <w:tcW w:w="1702" w:type="dxa"/>
            <w:vAlign w:val="center"/>
          </w:tcPr>
          <w:p w:rsidR="009213B4" w:rsidRPr="002570DF" w:rsidRDefault="009213B4" w:rsidP="009213B4">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1.2. valsts speciālais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1.3. pašvaldību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9213B4" w:rsidRPr="002570DF" w:rsidTr="004D6C40">
        <w:tc>
          <w:tcPr>
            <w:tcW w:w="1702" w:type="dxa"/>
            <w:vAlign w:val="center"/>
          </w:tcPr>
          <w:p w:rsidR="009213B4" w:rsidRPr="002570DF" w:rsidRDefault="009213B4" w:rsidP="009213B4">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 Budžeta izdevumi</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9213B4" w:rsidRPr="002570DF" w:rsidRDefault="00AB17A8" w:rsidP="009213B4">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6 124 233</w:t>
            </w:r>
          </w:p>
        </w:tc>
        <w:tc>
          <w:tcPr>
            <w:tcW w:w="1000"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9213B4" w:rsidRPr="002570DF" w:rsidTr="004D6C40">
        <w:tc>
          <w:tcPr>
            <w:tcW w:w="1702" w:type="dxa"/>
            <w:vAlign w:val="center"/>
          </w:tcPr>
          <w:p w:rsidR="009213B4" w:rsidRPr="002570DF" w:rsidRDefault="009213B4" w:rsidP="009213B4">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2.1. valsts pamatbudžets</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9213B4" w:rsidRPr="002570DF" w:rsidRDefault="00AB17A8" w:rsidP="009213B4">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6 124 233</w:t>
            </w:r>
          </w:p>
        </w:tc>
        <w:tc>
          <w:tcPr>
            <w:tcW w:w="1000"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9213B4" w:rsidRPr="002570DF" w:rsidRDefault="009213B4" w:rsidP="009213B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2.2. valsts speciālais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2.3. pašvaldību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 Finansiālā ietekme</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sz w:val="24"/>
              </w:rPr>
              <w:t>–</w:t>
            </w:r>
            <w:r w:rsidR="00AB17A8">
              <w:rPr>
                <w:rFonts w:ascii="Times New Roman" w:hAnsi="Times New Roman" w:cs="Times New Roman"/>
                <w:iCs/>
                <w:sz w:val="24"/>
                <w:szCs w:val="24"/>
                <w:lang w:eastAsia="lv-LV"/>
              </w:rPr>
              <w:t>6 124 233</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3.1. valsts pamatbudžets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sz w:val="24"/>
              </w:rPr>
              <w:t>–</w:t>
            </w:r>
            <w:r w:rsidR="00AB17A8">
              <w:rPr>
                <w:rFonts w:ascii="Times New Roman" w:hAnsi="Times New Roman" w:cs="Times New Roman"/>
                <w:iCs/>
                <w:sz w:val="24"/>
                <w:szCs w:val="24"/>
                <w:lang w:eastAsia="lv-LV"/>
              </w:rPr>
              <w:t>6 124 233</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3.2. speciālais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3.3. pašvaldību budžets</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268" w:type="dxa"/>
            <w:vAlign w:val="center"/>
          </w:tcPr>
          <w:p w:rsidR="00CC0982" w:rsidRPr="002570DF" w:rsidRDefault="00AB17A8"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6 124 233</w:t>
            </w:r>
          </w:p>
        </w:tc>
        <w:tc>
          <w:tcPr>
            <w:tcW w:w="1000"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 Precizēta finansiālā ietekme</w:t>
            </w:r>
          </w:p>
        </w:tc>
        <w:tc>
          <w:tcPr>
            <w:tcW w:w="992" w:type="dxa"/>
            <w:vMerge w:val="restart"/>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restart"/>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restart"/>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5.1. valsts pamatbudžets</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5.2. speciālais budžets</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CC0982" w:rsidRPr="002570DF" w:rsidTr="006936E5">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5.3. pašvaldību budžets</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rsidR="00CC0982" w:rsidRPr="002570DF"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2570DF" w:rsidRPr="002570DF" w:rsidTr="00562F14">
        <w:trPr>
          <w:trHeight w:val="8206"/>
        </w:trPr>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AB17A8" w:rsidRPr="00F97BA5" w:rsidRDefault="00ED504D" w:rsidP="00AB17A8">
            <w:pPr>
              <w:ind w:right="40" w:firstLine="709"/>
              <w:jc w:val="both"/>
            </w:pPr>
            <w:r w:rsidRPr="002570DF">
              <w:t xml:space="preserve">Rīkojuma projekts paredz Finanšu ministrijai no valsts budžeta programmas 02.00.00 „Līdzekļi neparedzētiem gadījumiem” </w:t>
            </w:r>
            <w:r w:rsidR="00ED079B" w:rsidRPr="002570DF">
              <w:t xml:space="preserve">Veselības ministrijai </w:t>
            </w:r>
            <w:r w:rsidR="00AB17A8">
              <w:t>6 124 233</w:t>
            </w:r>
            <w:r w:rsidR="009B432D" w:rsidRPr="002570DF">
              <w:t xml:space="preserve"> </w:t>
            </w:r>
            <w:proofErr w:type="spellStart"/>
            <w:r w:rsidR="00C33C43" w:rsidRPr="002570DF">
              <w:rPr>
                <w:i/>
              </w:rPr>
              <w:t>euro</w:t>
            </w:r>
            <w:proofErr w:type="spellEnd"/>
            <w:r w:rsidR="00ED079B" w:rsidRPr="002570DF">
              <w:t xml:space="preserve">, </w:t>
            </w:r>
            <w:r w:rsidR="00F97BA5" w:rsidRPr="00F97BA5">
              <w:t>lai Nacionālais veselības dienests nodrošinātu apmaksu par Latvijas iedzīvotājiem sniegtajiem veselības aprūpes pakalpojumiem Eiropas Savienības sociālā nodrošinājuma sistēmas ietvaros atbilstoši no Eiropas Savienības dalībvalstu, Eiropas Ekonomikas zonas un Šveices Konfederācijas kompetento institūciju  saņemtajiem rēķiniem</w:t>
            </w:r>
            <w:r w:rsidR="00AB17A8" w:rsidRPr="00F62F27">
              <w:t>.</w:t>
            </w:r>
          </w:p>
          <w:p w:rsidR="00AB17A8" w:rsidRPr="00F62F27" w:rsidRDefault="00AB17A8" w:rsidP="00AB17A8">
            <w:pPr>
              <w:tabs>
                <w:tab w:val="left" w:pos="463"/>
              </w:tabs>
              <w:jc w:val="both"/>
            </w:pPr>
          </w:p>
          <w:p w:rsidR="00ED504D" w:rsidRPr="00211824" w:rsidRDefault="00ED504D" w:rsidP="00211824">
            <w:pPr>
              <w:tabs>
                <w:tab w:val="left" w:pos="463"/>
              </w:tabs>
              <w:ind w:firstLine="746"/>
              <w:jc w:val="both"/>
            </w:pPr>
            <w:r w:rsidRPr="00F62F27">
              <w:t>Lai nodrošinātu apmaksu par Eiropas Savienības dalībvalstu, Eiropas Ekonomikas zonas un Šveices Konfederācijas kompetento institūciju iesniegtajiem rēķiniem par Latvijas iedzīvotājiem Eiropas Savienības sociālā nodrošinājuma sistēmas ietvaros sniegtajiem vese</w:t>
            </w:r>
            <w:r w:rsidR="009B432D" w:rsidRPr="00F62F27">
              <w:t>lības aprūpes pakalpojumiem 2018</w:t>
            </w:r>
            <w:r w:rsidRPr="00F62F27">
              <w:t xml:space="preserve">.gadā Veselības ministrijas (Nacionālā veselības dienests) budžeta programmas 33.00.00 „Veselības aprūpes nodrošināšana” apakšprogrammā 33.19.00 „Starptautiskie norēķini par sniegtajiem veselības aprūpes pakalpojumiem” (atbilstoši </w:t>
            </w:r>
            <w:r w:rsidR="009B432D" w:rsidRPr="00F62F27">
              <w:t xml:space="preserve">likumam „Par valsts budžetu </w:t>
            </w:r>
            <w:r w:rsidR="009B432D" w:rsidRPr="00211824">
              <w:t>2018</w:t>
            </w:r>
            <w:r w:rsidRPr="00211824">
              <w:t>.gadam” un ņemot vērā F</w:t>
            </w:r>
            <w:r w:rsidR="009B432D" w:rsidRPr="00211824">
              <w:t xml:space="preserve">inanšu ministrijas </w:t>
            </w:r>
            <w:r w:rsidRPr="00211824">
              <w:t>rīkojumu</w:t>
            </w:r>
            <w:r w:rsidR="009B432D" w:rsidRPr="00211824">
              <w:t xml:space="preserve"> </w:t>
            </w:r>
            <w:r w:rsidRPr="00211824">
              <w:t>Nr.</w:t>
            </w:r>
            <w:r w:rsidR="009B432D" w:rsidRPr="00211824">
              <w:t>336</w:t>
            </w:r>
            <w:r w:rsidRPr="00211824">
              <w:t>) plānots:</w:t>
            </w:r>
          </w:p>
          <w:p w:rsidR="00ED504D" w:rsidRPr="00211824" w:rsidRDefault="00ED504D" w:rsidP="00ED504D">
            <w:pPr>
              <w:ind w:firstLine="426"/>
              <w:jc w:val="both"/>
            </w:pPr>
            <w:r w:rsidRPr="00211824">
              <w:t xml:space="preserve">Resursi izdevumu segšanai </w:t>
            </w:r>
            <w:r w:rsidR="00211824" w:rsidRPr="00211824">
              <w:t>1 105 410</w:t>
            </w:r>
            <w:r w:rsidRPr="00211824">
              <w:t xml:space="preserve"> </w:t>
            </w:r>
            <w:proofErr w:type="spellStart"/>
            <w:r w:rsidR="00C33C43" w:rsidRPr="00211824">
              <w:rPr>
                <w:i/>
              </w:rPr>
              <w:t>euro</w:t>
            </w:r>
            <w:proofErr w:type="spellEnd"/>
          </w:p>
          <w:p w:rsidR="00ED504D" w:rsidRPr="00211824" w:rsidRDefault="00ED504D" w:rsidP="00ED504D">
            <w:pPr>
              <w:ind w:firstLine="426"/>
              <w:jc w:val="both"/>
            </w:pPr>
            <w:r w:rsidRPr="00211824">
              <w:t xml:space="preserve">ieņēmumi no maksas pakalpojumiem </w:t>
            </w:r>
            <w:r w:rsidR="00211824" w:rsidRPr="00211824">
              <w:t>192 152</w:t>
            </w:r>
            <w:r w:rsidRPr="00211824">
              <w:t xml:space="preserve"> </w:t>
            </w:r>
            <w:proofErr w:type="spellStart"/>
            <w:r w:rsidR="00C33C43" w:rsidRPr="00211824">
              <w:rPr>
                <w:i/>
              </w:rPr>
              <w:t>euro</w:t>
            </w:r>
            <w:proofErr w:type="spellEnd"/>
          </w:p>
          <w:p w:rsidR="00ED504D" w:rsidRPr="00211824" w:rsidRDefault="00ED504D" w:rsidP="00ED504D">
            <w:pPr>
              <w:ind w:firstLine="426"/>
              <w:jc w:val="both"/>
            </w:pPr>
            <w:r w:rsidRPr="00211824">
              <w:t xml:space="preserve">dotācija no vispārējiem ieņēmumiem 913 258 </w:t>
            </w:r>
            <w:proofErr w:type="spellStart"/>
            <w:r w:rsidR="00C33C43" w:rsidRPr="00211824">
              <w:rPr>
                <w:i/>
              </w:rPr>
              <w:t>euro</w:t>
            </w:r>
            <w:proofErr w:type="spellEnd"/>
            <w:r w:rsidRPr="00211824">
              <w:t xml:space="preserve"> </w:t>
            </w:r>
          </w:p>
          <w:p w:rsidR="00ED504D" w:rsidRPr="00211824" w:rsidRDefault="00ED504D" w:rsidP="00ED504D">
            <w:pPr>
              <w:ind w:firstLine="426"/>
              <w:jc w:val="both"/>
            </w:pPr>
            <w:r w:rsidRPr="00211824">
              <w:t xml:space="preserve">Izdevumi </w:t>
            </w:r>
            <w:r w:rsidR="00211824" w:rsidRPr="00211824">
              <w:t xml:space="preserve">1 205 379 </w:t>
            </w:r>
            <w:proofErr w:type="spellStart"/>
            <w:r w:rsidR="00C33C43" w:rsidRPr="00211824">
              <w:rPr>
                <w:i/>
              </w:rPr>
              <w:t>euro</w:t>
            </w:r>
            <w:proofErr w:type="spellEnd"/>
            <w:r w:rsidRPr="00211824">
              <w:t>, tai skaitā:</w:t>
            </w:r>
          </w:p>
          <w:p w:rsidR="00ED504D" w:rsidRPr="00211824" w:rsidRDefault="00ED504D" w:rsidP="00ED504D">
            <w:pPr>
              <w:ind w:firstLine="426"/>
              <w:jc w:val="both"/>
            </w:pPr>
            <w:r w:rsidRPr="00211824">
              <w:t xml:space="preserve">subsīdijas un dotācijas </w:t>
            </w:r>
            <w:r w:rsidR="00211824" w:rsidRPr="00211824">
              <w:t>1 205 379</w:t>
            </w:r>
            <w:r w:rsidRPr="00211824">
              <w:t xml:space="preserve"> </w:t>
            </w:r>
            <w:proofErr w:type="spellStart"/>
            <w:r w:rsidR="00C33C43" w:rsidRPr="00211824">
              <w:rPr>
                <w:i/>
              </w:rPr>
              <w:t>euro</w:t>
            </w:r>
            <w:proofErr w:type="spellEnd"/>
          </w:p>
          <w:p w:rsidR="00ED504D" w:rsidRPr="00F62F27" w:rsidRDefault="00ED504D" w:rsidP="000D01B5">
            <w:pPr>
              <w:pStyle w:val="ListParagraph"/>
              <w:tabs>
                <w:tab w:val="left" w:pos="976"/>
              </w:tabs>
              <w:ind w:left="671"/>
              <w:jc w:val="both"/>
              <w:rPr>
                <w:b/>
                <w:bCs/>
              </w:rPr>
            </w:pPr>
            <w:r w:rsidRPr="00211824">
              <w:t>Finansiālā bilance -</w:t>
            </w:r>
            <w:r w:rsidR="00211824" w:rsidRPr="00211824">
              <w:t xml:space="preserve"> </w:t>
            </w:r>
            <w:r w:rsidR="009B432D" w:rsidRPr="00211824">
              <w:t xml:space="preserve">99 969 </w:t>
            </w:r>
            <w:proofErr w:type="spellStart"/>
            <w:r w:rsidR="00C33C43" w:rsidRPr="00211824">
              <w:rPr>
                <w:i/>
              </w:rPr>
              <w:t>euro</w:t>
            </w:r>
            <w:proofErr w:type="spellEnd"/>
          </w:p>
          <w:p w:rsidR="009B432D" w:rsidRPr="00F62F27" w:rsidRDefault="009B432D" w:rsidP="009B432D">
            <w:pPr>
              <w:pStyle w:val="ListParagraph"/>
              <w:tabs>
                <w:tab w:val="left" w:pos="976"/>
              </w:tabs>
              <w:ind w:left="671"/>
              <w:jc w:val="both"/>
              <w:rPr>
                <w:b/>
                <w:bCs/>
              </w:rPr>
            </w:pPr>
          </w:p>
          <w:p w:rsidR="00ED504D" w:rsidRPr="00F62F27" w:rsidRDefault="00ED504D" w:rsidP="00ED504D">
            <w:pPr>
              <w:ind w:firstLine="720"/>
              <w:jc w:val="both"/>
              <w:rPr>
                <w:rFonts w:cs="Angsana New"/>
                <w:shd w:val="clear" w:color="auto" w:fill="FFFFFF"/>
              </w:rPr>
            </w:pPr>
            <w:r w:rsidRPr="00F62F27">
              <w:t xml:space="preserve">Papildus iepriekš minētajam Veselības ministrija </w:t>
            </w:r>
            <w:r w:rsidR="009B432D" w:rsidRPr="00F62F27">
              <w:t xml:space="preserve">ir sagatavojusi </w:t>
            </w:r>
            <w:r w:rsidRPr="00F62F27">
              <w:t xml:space="preserve">priekšlikumus apropriācijas pārdalei, novirzot finanšu resursus no vienreizēji izveidojušās ekonomijas citās apakšprogrammās uz </w:t>
            </w:r>
            <w:r w:rsidRPr="00F62F27">
              <w:rPr>
                <w:szCs w:val="22"/>
                <w:shd w:val="clear" w:color="auto" w:fill="FFFFFF"/>
                <w:lang w:bidi="lv-LV"/>
              </w:rPr>
              <w:t>apakšprogrammu 33.19.00 „Starptautiskie norēķini par sniegtajiem veselības aprūpes pakalpojumiem”</w:t>
            </w:r>
            <w:r w:rsidRPr="00F62F27">
              <w:t xml:space="preserve"> </w:t>
            </w:r>
            <w:r w:rsidR="009B432D" w:rsidRPr="00F62F27">
              <w:t>6</w:t>
            </w:r>
            <w:r w:rsidR="00AB17A8" w:rsidRPr="00F62F27">
              <w:t> 798 870</w:t>
            </w:r>
            <w:r w:rsidRPr="00F62F27">
              <w:t xml:space="preserve"> </w:t>
            </w:r>
            <w:proofErr w:type="spellStart"/>
            <w:r w:rsidR="00C33C43" w:rsidRPr="00F62F27">
              <w:rPr>
                <w:i/>
              </w:rPr>
              <w:t>euro</w:t>
            </w:r>
            <w:proofErr w:type="spellEnd"/>
            <w:r w:rsidRPr="00F62F27">
              <w:rPr>
                <w:i/>
              </w:rPr>
              <w:t xml:space="preserve"> </w:t>
            </w:r>
            <w:r w:rsidRPr="00F62F27">
              <w:t>apmērā</w:t>
            </w:r>
            <w:r w:rsidRPr="00F62F27">
              <w:rPr>
                <w:i/>
              </w:rPr>
              <w:t xml:space="preserve">, </w:t>
            </w:r>
            <w:r w:rsidRPr="00F62F27">
              <w:t xml:space="preserve"> </w:t>
            </w:r>
            <w:r w:rsidRPr="00F62F27">
              <w:rPr>
                <w:rFonts w:cs="Angsana New" w:hint="cs"/>
                <w:shd w:val="clear" w:color="auto" w:fill="FFFFFF"/>
              </w:rPr>
              <w:t>lai segtu kavētās un pildāmās saistības par Eiropas Savienības sociālā nodrošinājuma sistēmas ietvaros Latvijas iedzīvotāju saņemtajiem veselības aprūpes pakalpojumiem citās Eiropas Savienības un Eiropas Ekonomiskās zonas dalībvalstīs</w:t>
            </w:r>
            <w:r w:rsidRPr="00F62F27">
              <w:rPr>
                <w:rFonts w:cs="Angsana New"/>
                <w:shd w:val="clear" w:color="auto" w:fill="FFFFFF"/>
              </w:rPr>
              <w:t>.</w:t>
            </w:r>
          </w:p>
          <w:p w:rsidR="00ED504D" w:rsidRPr="0086432E" w:rsidRDefault="009B432D" w:rsidP="0086432E">
            <w:pPr>
              <w:ind w:firstLine="720"/>
              <w:jc w:val="both"/>
              <w:rPr>
                <w:noProof/>
              </w:rPr>
            </w:pPr>
            <w:r w:rsidRPr="00F62F27">
              <w:t>Lai 2018</w:t>
            </w:r>
            <w:r w:rsidR="00ED504D" w:rsidRPr="00F62F27">
              <w:t xml:space="preserve">.gadā </w:t>
            </w:r>
            <w:r w:rsidRPr="00F62F27">
              <w:t xml:space="preserve">Nacionālais veselības dienests veiktu apmaksu </w:t>
            </w:r>
            <w:r w:rsidR="0086432E" w:rsidRPr="00F62F27">
              <w:t>par Latvijas iedzīvotājiem sniegtajiem veselības aprūpes pakalpojumiem ES sociālā nodrošinājuma sistēmas ietvaros atbilstoši no ES un EEZ dalībvalstīm</w:t>
            </w:r>
            <w:r w:rsidR="0086432E" w:rsidRPr="00AB17A8">
              <w:t xml:space="preserve"> saņemtajiem rēķiniem</w:t>
            </w:r>
            <w:r w:rsidR="0086432E">
              <w:t xml:space="preserve"> </w:t>
            </w:r>
            <w:r w:rsidRPr="002570DF">
              <w:rPr>
                <w:noProof/>
              </w:rPr>
              <w:t xml:space="preserve">ir nepieciešams papildus finansējums </w:t>
            </w:r>
            <w:r w:rsidR="0086432E">
              <w:rPr>
                <w:noProof/>
              </w:rPr>
              <w:t>6 124 233</w:t>
            </w:r>
            <w:r w:rsidRPr="002570DF">
              <w:rPr>
                <w:noProof/>
              </w:rPr>
              <w:t xml:space="preserve"> </w:t>
            </w:r>
            <w:r w:rsidR="00C33C43" w:rsidRPr="002570DF">
              <w:rPr>
                <w:i/>
                <w:noProof/>
              </w:rPr>
              <w:t>euro</w:t>
            </w:r>
            <w:r w:rsidR="00E143F6">
              <w:rPr>
                <w:noProof/>
              </w:rPr>
              <w:t xml:space="preserve"> ap</w:t>
            </w:r>
            <w:r w:rsidRPr="002570DF">
              <w:rPr>
                <w:noProof/>
              </w:rPr>
              <w:t>mērā</w:t>
            </w:r>
            <w:r w:rsidR="00E143F6">
              <w:rPr>
                <w:noProof/>
              </w:rPr>
              <w:t>, veicot maksājumus</w:t>
            </w:r>
            <w:r w:rsidR="0086432E">
              <w:rPr>
                <w:noProof/>
              </w:rPr>
              <w:t xml:space="preserve"> par rēķiniem, kuri ir saņemti līdz 2018.gada 10.oktobrim</w:t>
            </w:r>
            <w:r w:rsidRPr="002570DF">
              <w:rPr>
                <w:noProof/>
              </w:rPr>
              <w:t xml:space="preserve"> </w:t>
            </w:r>
            <w:r w:rsidR="00ED504D" w:rsidRPr="002570DF">
              <w:rPr>
                <w:i/>
                <w:noProof/>
              </w:rPr>
              <w:t>(</w:t>
            </w:r>
            <w:r w:rsidR="00ED504D" w:rsidRPr="002570DF">
              <w:rPr>
                <w:rFonts w:cs="Angsana New"/>
                <w:i/>
                <w:shd w:val="clear" w:color="auto" w:fill="FFFFFF"/>
              </w:rPr>
              <w:t>Detalizētu informāciju skatīt anotācijas pielikumā)</w:t>
            </w:r>
            <w:r w:rsidRPr="002570DF">
              <w:rPr>
                <w:rFonts w:cs="Angsana New"/>
                <w:i/>
                <w:shd w:val="clear" w:color="auto" w:fill="FFFFFF"/>
              </w:rPr>
              <w:t>.</w:t>
            </w:r>
          </w:p>
          <w:p w:rsidR="00ED504D" w:rsidRPr="002570DF" w:rsidRDefault="00ED504D" w:rsidP="00ED504D">
            <w:pPr>
              <w:ind w:firstLine="720"/>
              <w:jc w:val="both"/>
              <w:rPr>
                <w:rFonts w:cs="Angsana New"/>
                <w:i/>
                <w:shd w:val="clear" w:color="auto" w:fill="FFFFFF"/>
              </w:rPr>
            </w:pPr>
            <w:r w:rsidRPr="002570DF">
              <w:rPr>
                <w:rFonts w:cs="Angsana New"/>
                <w:shd w:val="clear" w:color="auto" w:fill="FFFFFF"/>
              </w:rPr>
              <w:t>Vienlaicīgi ir jāizpilda regulas “</w:t>
            </w:r>
            <w:r w:rsidRPr="002570DF">
              <w:rPr>
                <w:rFonts w:cs="Angsana New"/>
                <w:i/>
                <w:shd w:val="clear" w:color="auto" w:fill="FFFFFF"/>
              </w:rPr>
              <w:t>Eiropas parlamenta un padomes regula (EK) Nr. 987/2009 (2009. gada 16. septembris), ar ko nosaka īstenošanas kārtību Regulai (EK) Nr. 883/2004 par sociālās nodrošināšanas sistēmu koordinēšanu (Dokuments attiecas uz EEZ un Šveici)</w:t>
            </w:r>
            <w:r w:rsidRPr="002570DF">
              <w:rPr>
                <w:rFonts w:cs="Angsana New"/>
                <w:shd w:val="clear" w:color="auto" w:fill="FFFFFF"/>
              </w:rPr>
              <w:t>” prasības, kur:</w:t>
            </w:r>
          </w:p>
          <w:p w:rsidR="00ED504D" w:rsidRPr="002570DF" w:rsidRDefault="00ED504D" w:rsidP="00ED504D">
            <w:pPr>
              <w:ind w:firstLine="720"/>
              <w:jc w:val="both"/>
              <w:rPr>
                <w:rFonts w:cs="Angsana New"/>
                <w:shd w:val="clear" w:color="auto" w:fill="FFFFFF"/>
              </w:rPr>
            </w:pPr>
            <w:r w:rsidRPr="002570DF">
              <w:rPr>
                <w:rFonts w:cs="Angsana New"/>
                <w:shd w:val="clear" w:color="auto" w:fill="FFFFFF"/>
              </w:rPr>
              <w:t>66.panta 1.punkts nosaka -   </w:t>
            </w:r>
            <w:r w:rsidRPr="002570DF">
              <w:rPr>
                <w:rFonts w:cs="Angsana New"/>
                <w:u w:val="single"/>
                <w:shd w:val="clear" w:color="auto" w:fill="FFFFFF"/>
              </w:rPr>
              <w:t>Atmaksāšanu attiecīgo dalībvalstu iestāžu starpā veic cik iespējams drīz.</w:t>
            </w:r>
            <w:r w:rsidRPr="002570DF">
              <w:rPr>
                <w:rFonts w:cs="Angsana New"/>
                <w:shd w:val="clear" w:color="auto" w:fill="FFFFFF"/>
              </w:rPr>
              <w:t xml:space="preserve"> Katrai attiecīgajai iestādei ir pienākums atmaksāt atlīdzību pieprasījumu pirms šajā sadaļā minēto termiņu beigām, līdzko tai ir iespējams veikt atmaksāšanu. Strīds saistībā ar konkrētu atlīdzības pieprasījumu netraucē cita atlīdzības pieprasījuma vai citu atlīdzības pieprasījumu atmaksāšanu. </w:t>
            </w:r>
          </w:p>
          <w:p w:rsidR="00ED504D" w:rsidRPr="002570DF" w:rsidRDefault="00ED504D" w:rsidP="00ED504D">
            <w:pPr>
              <w:tabs>
                <w:tab w:val="left" w:pos="976"/>
              </w:tabs>
              <w:jc w:val="both"/>
              <w:rPr>
                <w:b/>
                <w:bCs/>
              </w:rPr>
            </w:pPr>
            <w:r w:rsidRPr="002570DF">
              <w:rPr>
                <w:rFonts w:cs="Angsana New"/>
                <w:shd w:val="clear" w:color="auto" w:fill="FFFFFF"/>
              </w:rPr>
              <w:t xml:space="preserve">67.panta 5.punkts nosaka -   Debitora iestāde apmaksā atlīdzības pieprasījumus īstenošanas regulas 66. pantā minētajā kreditora dalībvalsts sadarbības struktūrā 18 mēnešu laikā pēc tā mēneša, kurā minētie atlīdzības </w:t>
            </w:r>
            <w:r w:rsidRPr="002570DF">
              <w:rPr>
                <w:rFonts w:cs="Angsana New"/>
                <w:shd w:val="clear" w:color="auto" w:fill="FFFFFF"/>
              </w:rPr>
              <w:lastRenderedPageBreak/>
              <w:t>pieprasījumi iesniegti debitora dalībvalsts sadarbības iestādē. Tas neattiecas uz atlīdzību pieprasījumiem, kurus debitora iestāde šajā periodā ir noraidījusi pamatota iemesla dēļ.</w:t>
            </w:r>
          </w:p>
          <w:p w:rsidR="00ED504D" w:rsidRPr="002570DF" w:rsidRDefault="00ED504D" w:rsidP="00ED504D">
            <w:pPr>
              <w:tabs>
                <w:tab w:val="left" w:pos="976"/>
              </w:tabs>
              <w:jc w:val="both"/>
              <w:rPr>
                <w:b/>
                <w:bCs/>
              </w:rPr>
            </w:pPr>
          </w:p>
          <w:p w:rsidR="00E143F6" w:rsidRPr="00E143F6" w:rsidRDefault="004D6C40" w:rsidP="00AB17A8">
            <w:pPr>
              <w:tabs>
                <w:tab w:val="left" w:pos="976"/>
              </w:tabs>
              <w:jc w:val="both"/>
              <w:rPr>
                <w:rFonts w:cs="Angsana New"/>
                <w:shd w:val="clear" w:color="auto" w:fill="FFFFFF"/>
              </w:rPr>
            </w:pPr>
            <w:r w:rsidRPr="002570DF">
              <w:rPr>
                <w:rFonts w:cs="Angsana New"/>
                <w:shd w:val="clear" w:color="auto" w:fill="FFFFFF"/>
              </w:rPr>
              <w:t xml:space="preserve"> </w:t>
            </w:r>
            <w:r w:rsidRPr="002570DF">
              <w:rPr>
                <w:i/>
                <w:noProof/>
              </w:rPr>
              <w:t>(</w:t>
            </w:r>
            <w:r w:rsidRPr="002570DF">
              <w:rPr>
                <w:rFonts w:cs="Angsana New"/>
                <w:i/>
                <w:shd w:val="clear" w:color="auto" w:fill="FFFFFF"/>
              </w:rPr>
              <w:t>Detalizētu informāciju skatīt anotācijas pielikumā).</w:t>
            </w:r>
          </w:p>
        </w:tc>
      </w:tr>
      <w:tr w:rsidR="00CC0982" w:rsidRPr="002570DF" w:rsidTr="009547D2">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CC0982" w:rsidRPr="002570DF" w:rsidRDefault="00CC0982" w:rsidP="00CC0982">
            <w:pPr>
              <w:pStyle w:val="NoSpacing"/>
              <w:rPr>
                <w:rFonts w:ascii="Times New Roman" w:hAnsi="Times New Roman" w:cs="Times New Roman"/>
                <w:iCs/>
                <w:sz w:val="24"/>
                <w:szCs w:val="24"/>
                <w:lang w:eastAsia="lv-LV"/>
              </w:rPr>
            </w:pPr>
          </w:p>
        </w:tc>
      </w:tr>
      <w:tr w:rsidR="00CC0982" w:rsidRPr="002570DF" w:rsidTr="009547D2">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CC0982" w:rsidRPr="002570DF" w:rsidRDefault="00CC0982" w:rsidP="00CC0982">
            <w:pPr>
              <w:pStyle w:val="NoSpacing"/>
              <w:rPr>
                <w:rFonts w:ascii="Times New Roman" w:hAnsi="Times New Roman" w:cs="Times New Roman"/>
                <w:iCs/>
                <w:sz w:val="24"/>
                <w:szCs w:val="24"/>
                <w:lang w:eastAsia="lv-LV"/>
              </w:rPr>
            </w:pPr>
          </w:p>
        </w:tc>
      </w:tr>
      <w:tr w:rsidR="00CC0982" w:rsidRPr="002570DF" w:rsidTr="004D6C40">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 Amata vietu skaita izmaiņas</w:t>
            </w:r>
          </w:p>
        </w:tc>
        <w:tc>
          <w:tcPr>
            <w:tcW w:w="7654" w:type="dxa"/>
            <w:gridSpan w:val="7"/>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sz w:val="24"/>
              </w:rPr>
              <w:t>Projekts šo jomu neskar.</w:t>
            </w:r>
          </w:p>
        </w:tc>
      </w:tr>
      <w:tr w:rsidR="00CC0982" w:rsidRPr="002570DF" w:rsidTr="004D6C40">
        <w:tc>
          <w:tcPr>
            <w:tcW w:w="1702" w:type="dxa"/>
            <w:vAlign w:val="center"/>
          </w:tcPr>
          <w:p w:rsidR="00CC0982" w:rsidRPr="002570DF" w:rsidRDefault="00CC0982" w:rsidP="00CC0982">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 Cita informācija</w:t>
            </w:r>
          </w:p>
        </w:tc>
        <w:tc>
          <w:tcPr>
            <w:tcW w:w="7654" w:type="dxa"/>
            <w:gridSpan w:val="7"/>
            <w:vAlign w:val="center"/>
          </w:tcPr>
          <w:p w:rsidR="00CC0982" w:rsidRPr="002570DF" w:rsidRDefault="00CC0982" w:rsidP="00CC0982">
            <w:pPr>
              <w:pStyle w:val="NoSpacing"/>
              <w:rPr>
                <w:rFonts w:ascii="Times New Roman" w:hAnsi="Times New Roman" w:cs="Times New Roman"/>
                <w:iCs/>
                <w:sz w:val="24"/>
                <w:szCs w:val="24"/>
                <w:lang w:eastAsia="lv-LV"/>
              </w:rPr>
            </w:pPr>
            <w:r w:rsidRPr="002570DF">
              <w:rPr>
                <w:rFonts w:ascii="Times New Roman" w:hAnsi="Times New Roman" w:cs="Times New Roman"/>
                <w:sz w:val="24"/>
              </w:rPr>
              <w:t>Izdevumi tiks veikti Veselības ministrijas budžeta programmas 99.00.00 “Līdzekļu neparedzētiem gadījumiem izlietojums” ietvaros.</w:t>
            </w:r>
            <w:r w:rsidR="00ED504D" w:rsidRPr="002570DF">
              <w:rPr>
                <w:b/>
                <w:shd w:val="clear" w:color="auto" w:fill="FFFFFF"/>
              </w:rPr>
              <w:t xml:space="preserve"> </w:t>
            </w:r>
          </w:p>
        </w:tc>
      </w:tr>
    </w:tbl>
    <w:p w:rsidR="00E5323B" w:rsidRPr="002570D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IV. Tiesību akta projekta ietekme uz spēkā esošo tiesību normu sistēmu</w:t>
            </w:r>
          </w:p>
        </w:tc>
      </w:tr>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 Tiesību akta projekta atbilstība Latvijas Republikas starptautiskajām saistībām</w:t>
            </w:r>
          </w:p>
        </w:tc>
      </w:tr>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VI. Sabiedrības līdzdalība un komunikācijas aktivitātes</w:t>
            </w:r>
          </w:p>
        </w:tc>
      </w:tr>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7F6F87"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RPr="002570DF" w:rsidTr="006936E5">
        <w:tc>
          <w:tcPr>
            <w:tcW w:w="9356" w:type="dxa"/>
            <w:gridSpan w:val="3"/>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VII. Tiesību akta projekta izpildes nodrošināšana un tās ietekme uz institūcijām</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3260" w:type="dxa"/>
          </w:tcPr>
          <w:p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izpildē iesaistītās institūcijas</w:t>
            </w:r>
          </w:p>
        </w:tc>
        <w:tc>
          <w:tcPr>
            <w:tcW w:w="5528" w:type="dxa"/>
          </w:tcPr>
          <w:p w:rsidR="0049601C" w:rsidRPr="002570DF" w:rsidRDefault="00B42334" w:rsidP="0049601C">
            <w:pPr>
              <w:jc w:val="both"/>
            </w:pPr>
            <w:r w:rsidRPr="002570DF">
              <w:t>N</w:t>
            </w:r>
            <w:r w:rsidR="0086432E">
              <w:t>acionālais veselības dienests</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3260" w:type="dxa"/>
          </w:tcPr>
          <w:p w:rsidR="0049601C" w:rsidRPr="002570DF" w:rsidRDefault="0049601C" w:rsidP="0049601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izpildes ietekme uz pārvaldes funkcijām un institucionālo struktūru.</w:t>
            </w:r>
            <w:r w:rsidRPr="002570D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2570DF" w:rsidRDefault="0049601C" w:rsidP="0049601C">
            <w:r w:rsidRPr="002570DF">
              <w:t>Projekts šo jomu neskar.</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3.</w:t>
            </w:r>
          </w:p>
        </w:tc>
        <w:tc>
          <w:tcPr>
            <w:tcW w:w="3260" w:type="dxa"/>
          </w:tcPr>
          <w:p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5528" w:type="dxa"/>
          </w:tcPr>
          <w:p w:rsidR="0049601C" w:rsidRPr="002570DF" w:rsidRDefault="0049601C" w:rsidP="0049601C">
            <w:pPr>
              <w:pStyle w:val="NoSpacing"/>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rsidR="008B37B7"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 </w:t>
      </w:r>
    </w:p>
    <w:p w:rsidR="00601BED" w:rsidRDefault="00601BED" w:rsidP="00601BED">
      <w:pPr>
        <w:ind w:right="-765"/>
        <w:rPr>
          <w:sz w:val="28"/>
          <w:szCs w:val="28"/>
        </w:rPr>
      </w:pPr>
    </w:p>
    <w:p w:rsidR="00601BED" w:rsidRDefault="00601BED" w:rsidP="00601BED">
      <w:pPr>
        <w:ind w:right="-765"/>
        <w:rPr>
          <w:sz w:val="28"/>
          <w:szCs w:val="28"/>
        </w:rPr>
      </w:pPr>
    </w:p>
    <w:p w:rsidR="00601BED" w:rsidRPr="00601BED" w:rsidRDefault="00601BED" w:rsidP="00601BED">
      <w:pPr>
        <w:ind w:right="-765"/>
        <w:rPr>
          <w:sz w:val="28"/>
          <w:szCs w:val="28"/>
        </w:rPr>
      </w:pPr>
      <w:r w:rsidRPr="00601BED">
        <w:rPr>
          <w:sz w:val="28"/>
          <w:szCs w:val="28"/>
        </w:rPr>
        <w:t xml:space="preserve">Veselības ministre </w:t>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r>
      <w:bookmarkStart w:id="2" w:name="_GoBack"/>
      <w:bookmarkEnd w:id="2"/>
      <w:r w:rsidRPr="00601BED">
        <w:rPr>
          <w:sz w:val="28"/>
          <w:szCs w:val="28"/>
        </w:rPr>
        <w:t xml:space="preserve">Anda </w:t>
      </w:r>
      <w:proofErr w:type="spellStart"/>
      <w:r w:rsidRPr="00601BED">
        <w:rPr>
          <w:sz w:val="28"/>
          <w:szCs w:val="28"/>
        </w:rPr>
        <w:t>Čakša</w:t>
      </w:r>
      <w:proofErr w:type="spellEnd"/>
    </w:p>
    <w:p w:rsidR="00601BED" w:rsidRPr="00601BED" w:rsidRDefault="00601BED" w:rsidP="00601BED">
      <w:pPr>
        <w:ind w:right="-765"/>
        <w:rPr>
          <w:sz w:val="28"/>
          <w:szCs w:val="28"/>
        </w:rPr>
      </w:pPr>
      <w:r w:rsidRPr="00601BED">
        <w:rPr>
          <w:sz w:val="28"/>
          <w:szCs w:val="28"/>
        </w:rPr>
        <w:tab/>
      </w:r>
    </w:p>
    <w:p w:rsidR="00601BED" w:rsidRPr="00601BED" w:rsidRDefault="00601BED" w:rsidP="00601BED">
      <w:pPr>
        <w:ind w:right="-765"/>
        <w:rPr>
          <w:sz w:val="28"/>
          <w:szCs w:val="28"/>
        </w:rPr>
      </w:pPr>
    </w:p>
    <w:p w:rsidR="00601BED" w:rsidRPr="00601BED" w:rsidRDefault="00601BED" w:rsidP="00601BED">
      <w:pPr>
        <w:ind w:right="-765"/>
        <w:rPr>
          <w:sz w:val="28"/>
          <w:szCs w:val="28"/>
        </w:rPr>
      </w:pPr>
      <w:r w:rsidRPr="00601BED">
        <w:rPr>
          <w:sz w:val="28"/>
          <w:szCs w:val="28"/>
        </w:rPr>
        <w:t>Vīza: Valsts sekretār</w:t>
      </w:r>
      <w:r w:rsidR="00F27245">
        <w:rPr>
          <w:sz w:val="28"/>
          <w:szCs w:val="28"/>
        </w:rPr>
        <w:t xml:space="preserve">a </w:t>
      </w:r>
      <w:proofErr w:type="spellStart"/>
      <w:r w:rsidR="00F27245">
        <w:rPr>
          <w:sz w:val="28"/>
          <w:szCs w:val="28"/>
        </w:rPr>
        <w:t>p.i</w:t>
      </w:r>
      <w:proofErr w:type="spellEnd"/>
      <w:r w:rsidR="00F27245">
        <w:rPr>
          <w:sz w:val="28"/>
          <w:szCs w:val="28"/>
        </w:rPr>
        <w:t>.</w:t>
      </w:r>
      <w:r w:rsidR="00F27245">
        <w:rPr>
          <w:sz w:val="28"/>
          <w:szCs w:val="28"/>
        </w:rPr>
        <w:tab/>
      </w:r>
      <w:r w:rsidR="00F27245">
        <w:rPr>
          <w:sz w:val="28"/>
          <w:szCs w:val="28"/>
        </w:rPr>
        <w:tab/>
      </w:r>
      <w:r w:rsidR="00F27245">
        <w:rPr>
          <w:sz w:val="28"/>
          <w:szCs w:val="28"/>
        </w:rPr>
        <w:tab/>
      </w:r>
      <w:r w:rsidR="00F27245">
        <w:rPr>
          <w:sz w:val="28"/>
          <w:szCs w:val="28"/>
        </w:rPr>
        <w:tab/>
      </w:r>
      <w:r w:rsidR="00F27245" w:rsidRPr="00F27245">
        <w:rPr>
          <w:bCs/>
          <w:sz w:val="28"/>
          <w:szCs w:val="28"/>
        </w:rPr>
        <w:t xml:space="preserve">Daina </w:t>
      </w:r>
      <w:proofErr w:type="spellStart"/>
      <w:r w:rsidR="00F27245" w:rsidRPr="00F27245">
        <w:rPr>
          <w:bCs/>
          <w:sz w:val="28"/>
          <w:szCs w:val="28"/>
        </w:rPr>
        <w:t>Mūrmane-Umbraško</w:t>
      </w:r>
      <w:proofErr w:type="spellEnd"/>
    </w:p>
    <w:p w:rsidR="00601BED" w:rsidRPr="00601BED" w:rsidRDefault="00601BED" w:rsidP="00601BED">
      <w:pPr>
        <w:ind w:right="-765"/>
        <w:rPr>
          <w:sz w:val="28"/>
          <w:szCs w:val="28"/>
        </w:rPr>
      </w:pPr>
    </w:p>
    <w:p w:rsidR="00601BED" w:rsidRPr="00601BED" w:rsidRDefault="00601BED" w:rsidP="00601BED">
      <w:pPr>
        <w:ind w:right="-765"/>
        <w:rPr>
          <w:sz w:val="28"/>
          <w:szCs w:val="28"/>
        </w:rPr>
      </w:pPr>
    </w:p>
    <w:p w:rsidR="00601BED" w:rsidRPr="00601BED" w:rsidRDefault="00601BED" w:rsidP="00601BED">
      <w:pPr>
        <w:ind w:right="-765"/>
        <w:rPr>
          <w:sz w:val="28"/>
          <w:szCs w:val="28"/>
        </w:rPr>
      </w:pPr>
    </w:p>
    <w:p w:rsidR="00601BED" w:rsidRPr="00601BED" w:rsidRDefault="00601BED" w:rsidP="00601BED">
      <w:pPr>
        <w:ind w:right="-765"/>
        <w:rPr>
          <w:sz w:val="28"/>
          <w:szCs w:val="28"/>
        </w:rPr>
      </w:pPr>
    </w:p>
    <w:p w:rsidR="00601BED" w:rsidRPr="00601BED" w:rsidRDefault="00601BED" w:rsidP="00601BED">
      <w:pPr>
        <w:ind w:right="-765"/>
        <w:rPr>
          <w:sz w:val="22"/>
          <w:szCs w:val="22"/>
        </w:rPr>
      </w:pPr>
      <w:proofErr w:type="spellStart"/>
      <w:r w:rsidRPr="00601BED">
        <w:rPr>
          <w:sz w:val="22"/>
          <w:szCs w:val="22"/>
        </w:rPr>
        <w:t>Kasparenko</w:t>
      </w:r>
      <w:proofErr w:type="spellEnd"/>
      <w:r w:rsidRPr="00601BED">
        <w:rPr>
          <w:sz w:val="22"/>
          <w:szCs w:val="22"/>
        </w:rPr>
        <w:t xml:space="preserve"> 67876147</w:t>
      </w:r>
    </w:p>
    <w:p w:rsidR="00B72863" w:rsidRPr="00601BED" w:rsidRDefault="00601BED" w:rsidP="00601BED">
      <w:pPr>
        <w:ind w:right="-765"/>
        <w:rPr>
          <w:sz w:val="22"/>
          <w:szCs w:val="22"/>
        </w:rPr>
      </w:pPr>
      <w:r w:rsidRPr="00601BED">
        <w:rPr>
          <w:sz w:val="22"/>
          <w:szCs w:val="22"/>
        </w:rPr>
        <w:t>sandra.kasparenko@vm.gov.lv</w:t>
      </w:r>
    </w:p>
    <w:sectPr w:rsidR="00B72863" w:rsidRPr="00601BED"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4D" w:rsidRDefault="00E0644D" w:rsidP="00894C55">
      <w:r>
        <w:separator/>
      </w:r>
    </w:p>
  </w:endnote>
  <w:endnote w:type="continuationSeparator" w:id="0">
    <w:p w:rsidR="00E0644D" w:rsidRDefault="00E0644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40" w:rsidRPr="001F39A1" w:rsidRDefault="002570DF" w:rsidP="00325BFA">
    <w:pPr>
      <w:pStyle w:val="Footer"/>
      <w:rPr>
        <w:rFonts w:ascii="Times New Roman" w:hAnsi="Times New Roman" w:cs="Times New Roman"/>
        <w:sz w:val="20"/>
        <w:szCs w:val="20"/>
      </w:rPr>
    </w:pPr>
    <w:r>
      <w:rPr>
        <w:rFonts w:ascii="Times New Roman" w:hAnsi="Times New Roman" w:cs="Times New Roman"/>
        <w:sz w:val="20"/>
        <w:szCs w:val="20"/>
      </w:rPr>
      <w:t>VM</w:t>
    </w:r>
    <w:r w:rsidR="001F39A1">
      <w:rPr>
        <w:rFonts w:ascii="Times New Roman" w:hAnsi="Times New Roman" w:cs="Times New Roman"/>
        <w:sz w:val="20"/>
        <w:szCs w:val="20"/>
      </w:rPr>
      <w:t>anot</w:t>
    </w:r>
    <w:r>
      <w:rPr>
        <w:rFonts w:ascii="Times New Roman" w:hAnsi="Times New Roman" w:cs="Times New Roman"/>
        <w:sz w:val="20"/>
        <w:szCs w:val="20"/>
      </w:rPr>
      <w:t>_</w:t>
    </w:r>
    <w:r w:rsidR="00F97BA5">
      <w:rPr>
        <w:rFonts w:ascii="Times New Roman" w:hAnsi="Times New Roman" w:cs="Times New Roman"/>
        <w:sz w:val="20"/>
        <w:szCs w:val="20"/>
      </w:rPr>
      <w:t>2</w:t>
    </w:r>
    <w:r w:rsidR="001F39A1">
      <w:rPr>
        <w:rFonts w:ascii="Times New Roman" w:hAnsi="Times New Roman" w:cs="Times New Roman"/>
        <w:sz w:val="20"/>
        <w:szCs w:val="20"/>
      </w:rPr>
      <w:t>3</w:t>
    </w:r>
    <w:r w:rsidR="00F97BA5">
      <w:rPr>
        <w:rFonts w:ascii="Times New Roman" w:hAnsi="Times New Roman" w:cs="Times New Roman"/>
        <w:sz w:val="20"/>
        <w:szCs w:val="20"/>
      </w:rPr>
      <w:t>11</w:t>
    </w:r>
    <w:r w:rsidR="004D6C40" w:rsidRPr="00325BFA">
      <w:rPr>
        <w:rFonts w:ascii="Times New Roman" w:hAnsi="Times New Roman" w:cs="Times New Roma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40" w:rsidRPr="00325BFA" w:rsidRDefault="002570DF" w:rsidP="00325BFA">
    <w:pPr>
      <w:pStyle w:val="Footer"/>
    </w:pPr>
    <w:r>
      <w:rPr>
        <w:rFonts w:ascii="Times New Roman" w:hAnsi="Times New Roman" w:cs="Times New Roman"/>
        <w:sz w:val="20"/>
        <w:szCs w:val="20"/>
      </w:rPr>
      <w:t>VM</w:t>
    </w:r>
    <w:r w:rsidR="001F39A1">
      <w:rPr>
        <w:rFonts w:ascii="Times New Roman" w:hAnsi="Times New Roman" w:cs="Times New Roman"/>
        <w:sz w:val="20"/>
        <w:szCs w:val="20"/>
      </w:rPr>
      <w:t>anot</w:t>
    </w:r>
    <w:r>
      <w:rPr>
        <w:rFonts w:ascii="Times New Roman" w:hAnsi="Times New Roman" w:cs="Times New Roman"/>
        <w:sz w:val="20"/>
        <w:szCs w:val="20"/>
      </w:rPr>
      <w:t>_</w:t>
    </w:r>
    <w:r w:rsidR="00F97BA5">
      <w:rPr>
        <w:rFonts w:ascii="Times New Roman" w:hAnsi="Times New Roman" w:cs="Times New Roman"/>
        <w:sz w:val="20"/>
        <w:szCs w:val="20"/>
      </w:rPr>
      <w:t>2</w:t>
    </w:r>
    <w:r w:rsidR="001F39A1">
      <w:rPr>
        <w:rFonts w:ascii="Times New Roman" w:hAnsi="Times New Roman" w:cs="Times New Roman"/>
        <w:sz w:val="20"/>
        <w:szCs w:val="20"/>
      </w:rPr>
      <w:t>3</w:t>
    </w:r>
    <w:r w:rsidR="00F97BA5">
      <w:rPr>
        <w:rFonts w:ascii="Times New Roman" w:hAnsi="Times New Roman" w:cs="Times New Roman"/>
        <w:sz w:val="20"/>
        <w:szCs w:val="20"/>
      </w:rPr>
      <w:t>11</w:t>
    </w:r>
    <w:r w:rsidR="004D6C40" w:rsidRPr="00325BFA">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4D" w:rsidRDefault="00E0644D" w:rsidP="00894C55">
      <w:r>
        <w:separator/>
      </w:r>
    </w:p>
  </w:footnote>
  <w:footnote w:type="continuationSeparator" w:id="0">
    <w:p w:rsidR="00E0644D" w:rsidRDefault="00E0644D" w:rsidP="00894C55">
      <w:r>
        <w:continuationSeparator/>
      </w:r>
    </w:p>
  </w:footnote>
  <w:footnote w:id="1">
    <w:p w:rsidR="0024698B" w:rsidRPr="00DB4827" w:rsidRDefault="0024698B" w:rsidP="0024698B">
      <w:pPr>
        <w:pStyle w:val="FootnoteText"/>
        <w:jc w:val="both"/>
      </w:pPr>
      <w:r w:rsidRPr="00DB4827">
        <w:rPr>
          <w:rStyle w:val="FootnoteReference"/>
        </w:rPr>
        <w:footnoteRef/>
      </w:r>
      <w:r w:rsidRPr="00DB4827">
        <w:t xml:space="preserve"> Ārstniecības likums paredz, ka no valsts pamatbudžeta līdzekļiem apmaksāto pakalpojumu apjomu sniedz Latvijas pilsoņiem; Latvijas </w:t>
      </w:r>
      <w:proofErr w:type="spellStart"/>
      <w:r w:rsidRPr="00DB4827">
        <w:t>nepilsoņiem</w:t>
      </w:r>
      <w:proofErr w:type="spellEnd"/>
      <w:r w:rsidRPr="00DB4827">
        <w:t xml:space="preserve">; Eiropas Savienības dalībvalstu, Eiropas Ekonomikas zonas valstu un Šveices Konfederācijas pilsoņiem, kuri uzturas Latvijā sakarā ar nodarbinātību vai kā </w:t>
      </w:r>
      <w:proofErr w:type="spellStart"/>
      <w:r w:rsidRPr="00DB4827">
        <w:t>pašnodarbinātas</w:t>
      </w:r>
      <w:proofErr w:type="spellEnd"/>
      <w:r w:rsidRPr="00DB4827">
        <w:t xml:space="preserve"> personas, kā arī viņu ģimenes locekļiem; ārzemniekiem, kuriem ir pastāvīgās uzturēšanās atļauja Latvijā; bēgļiem un personām, kurām piešķirts alternatīvais statuss; aizturētajām, apcietinātajām un ar brīvības atņemšanu notiesātajām personām (17.pants).</w:t>
      </w:r>
    </w:p>
  </w:footnote>
  <w:footnote w:id="2">
    <w:p w:rsidR="0024698B" w:rsidRPr="00DB4827" w:rsidRDefault="0024698B" w:rsidP="0024698B">
      <w:pPr>
        <w:pStyle w:val="FootnoteText"/>
        <w:jc w:val="both"/>
      </w:pPr>
      <w:r w:rsidRPr="00DB4827">
        <w:rPr>
          <w:rStyle w:val="FootnoteReference"/>
        </w:rPr>
        <w:footnoteRef/>
      </w:r>
      <w:r w:rsidRPr="00DB4827">
        <w:t xml:space="preserve"> Eiropas Parlamenta un Padomes Regula Nr.883/2004 (2004.gada 29.aprīlis) par sociālā nodrošinājuma sistēmu koordinēšanu un Eiropas Parlamenta un Padomes Regula Nr.987/2009 (2009.gada 16.septembris), ar ko nosaka īstenošanas kārtību Regulai (EK) Nr. 883/2004 par sociālās nodrošināšanas sistēmu koordinēšanu</w:t>
      </w:r>
    </w:p>
  </w:footnote>
  <w:footnote w:id="3">
    <w:p w:rsidR="0024698B" w:rsidRPr="00DB4827" w:rsidRDefault="0024698B" w:rsidP="0024698B">
      <w:pPr>
        <w:pStyle w:val="FootnoteText"/>
        <w:jc w:val="both"/>
      </w:pPr>
      <w:r w:rsidRPr="00DB4827">
        <w:rPr>
          <w:rStyle w:val="FootnoteReference"/>
        </w:rPr>
        <w:footnoteRef/>
      </w:r>
      <w:r w:rsidRPr="00DB4827">
        <w:t xml:space="preserve"> Skat., Eiropas Parlamenta un Padomes </w:t>
      </w:r>
      <w:r w:rsidRPr="00DB4827">
        <w:rPr>
          <w:b/>
        </w:rPr>
        <w:t>Regulas Nr.987/2009</w:t>
      </w:r>
      <w:r w:rsidRPr="00DB4827">
        <w:t xml:space="preserve"> (2009.gada 16.septembris), ar ko nosaka īstenošanas kārtību Regulai (EK) Nr. 883/2004 par sociālās nodrošināšanas sistēmu koordinēšanu </w:t>
      </w:r>
      <w:r w:rsidRPr="00DB4827">
        <w:rPr>
          <w:b/>
        </w:rPr>
        <w:t>67.panta 5.punkts</w:t>
      </w:r>
    </w:p>
  </w:footnote>
  <w:footnote w:id="4">
    <w:p w:rsidR="0024698B" w:rsidRPr="00DB4827" w:rsidRDefault="0024698B" w:rsidP="0024698B">
      <w:pPr>
        <w:pStyle w:val="FootnoteText"/>
        <w:jc w:val="both"/>
      </w:pPr>
      <w:r w:rsidRPr="00DB4827">
        <w:rPr>
          <w:rStyle w:val="FootnoteReference"/>
        </w:rPr>
        <w:footnoteRef/>
      </w:r>
      <w:r w:rsidRPr="00DB4827">
        <w:t xml:space="preserve"> Skat., Eiropas Parlamenta un Padomes </w:t>
      </w:r>
      <w:r w:rsidRPr="00DB4827">
        <w:rPr>
          <w:b/>
        </w:rPr>
        <w:t>Regulas Nr.987/2009</w:t>
      </w:r>
      <w:r w:rsidRPr="00DB4827">
        <w:t xml:space="preserve"> (2009.gada 16.septembris), ar ko nosaka īstenošanas kārtību Regulai (EK) Nr. 883/2004 par sociālās nodrošināšanas sistēmu koordinēšanu </w:t>
      </w:r>
      <w:r w:rsidRPr="00DB4827">
        <w:rPr>
          <w:b/>
        </w:rPr>
        <w:t>68.panta 1.punkts</w:t>
      </w:r>
    </w:p>
  </w:footnote>
  <w:footnote w:id="5">
    <w:p w:rsidR="0024698B" w:rsidRPr="00E43422" w:rsidRDefault="0024698B" w:rsidP="0024698B">
      <w:pPr>
        <w:pStyle w:val="FootnoteText"/>
        <w:jc w:val="both"/>
        <w:rPr>
          <w:i/>
        </w:rPr>
      </w:pPr>
      <w:r w:rsidRPr="00DB4827">
        <w:rPr>
          <w:rStyle w:val="FootnoteReference"/>
        </w:rPr>
        <w:footnoteRef/>
      </w:r>
      <w:r w:rsidRPr="00DB4827">
        <w:t xml:space="preserve"> Skat., Eiropas Parlamenta un Padomes </w:t>
      </w:r>
      <w:r w:rsidRPr="00DB4827">
        <w:rPr>
          <w:b/>
        </w:rPr>
        <w:t>Regulas Nr.987/2009</w:t>
      </w:r>
      <w:r w:rsidRPr="00DB4827">
        <w:t xml:space="preserve"> (2009.gada 16.septembris), ar ko nosaka īstenošanas kārtību Regulai (EK) Nr. 883/2004 par sociālās nodrošināšanas sistēmu koordinēšanu </w:t>
      </w:r>
      <w:r w:rsidRPr="00DB4827">
        <w:rPr>
          <w:b/>
        </w:rPr>
        <w:t xml:space="preserve">68.panta 2.punkts. </w:t>
      </w:r>
      <w:r w:rsidRPr="00DB4827">
        <w:rPr>
          <w:i/>
        </w:rPr>
        <w:t>Piemērojamā atsauces likme ir tā, kura ir spēkā tā mēneša pirmajā dienā, kad jāveic maksājums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D6C40" w:rsidRPr="00C25B49" w:rsidRDefault="004D6C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D8"/>
    <w:multiLevelType w:val="hybridMultilevel"/>
    <w:tmpl w:val="BB2AD5F8"/>
    <w:lvl w:ilvl="0" w:tplc="C9E88758">
      <w:start w:val="1"/>
      <w:numFmt w:val="lowerRoman"/>
      <w:lvlText w:val="%1."/>
      <w:lvlJc w:val="left"/>
      <w:pPr>
        <w:ind w:left="1203" w:hanging="720"/>
      </w:pPr>
      <w:rPr>
        <w:rFonts w:eastAsia="Calibri"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4"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3E9D4D12"/>
    <w:multiLevelType w:val="hybridMultilevel"/>
    <w:tmpl w:val="CE4CE6EC"/>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631F0F"/>
    <w:multiLevelType w:val="hybridMultilevel"/>
    <w:tmpl w:val="80EAFEEE"/>
    <w:lvl w:ilvl="0" w:tplc="A1FA8E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D27C5D"/>
    <w:multiLevelType w:val="hybridMultilevel"/>
    <w:tmpl w:val="E8DCD608"/>
    <w:lvl w:ilvl="0" w:tplc="EC308C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7D402C"/>
    <w:multiLevelType w:val="hybridMultilevel"/>
    <w:tmpl w:val="65725158"/>
    <w:lvl w:ilvl="0" w:tplc="163698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5A6650"/>
    <w:multiLevelType w:val="hybridMultilevel"/>
    <w:tmpl w:val="3F1A2616"/>
    <w:lvl w:ilvl="0" w:tplc="A70CF212">
      <w:start w:val="1"/>
      <w:numFmt w:val="upperRoman"/>
      <w:lvlText w:val="%1."/>
      <w:lvlJc w:val="left"/>
      <w:pPr>
        <w:ind w:left="1080" w:hanging="72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F20D37"/>
    <w:multiLevelType w:val="hybridMultilevel"/>
    <w:tmpl w:val="DE342B60"/>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16E4681"/>
    <w:multiLevelType w:val="hybridMultilevel"/>
    <w:tmpl w:val="16E6E72A"/>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num w:numId="1">
    <w:abstractNumId w:val="9"/>
  </w:num>
  <w:num w:numId="2">
    <w:abstractNumId w:val="13"/>
  </w:num>
  <w:num w:numId="3">
    <w:abstractNumId w:val="3"/>
  </w:num>
  <w:num w:numId="4">
    <w:abstractNumId w:val="1"/>
  </w:num>
  <w:num w:numId="5">
    <w:abstractNumId w:val="7"/>
  </w:num>
  <w:num w:numId="6">
    <w:abstractNumId w:val="14"/>
  </w:num>
  <w:num w:numId="7">
    <w:abstractNumId w:val="4"/>
  </w:num>
  <w:num w:numId="8">
    <w:abstractNumId w:val="0"/>
  </w:num>
  <w:num w:numId="9">
    <w:abstractNumId w:val="11"/>
  </w:num>
  <w:num w:numId="10">
    <w:abstractNumId w:val="6"/>
  </w:num>
  <w:num w:numId="11">
    <w:abstractNumId w:val="10"/>
  </w:num>
  <w:num w:numId="12">
    <w:abstractNumId w:val="2"/>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BE"/>
    <w:rsid w:val="0000729D"/>
    <w:rsid w:val="00033461"/>
    <w:rsid w:val="00037CA6"/>
    <w:rsid w:val="0004022B"/>
    <w:rsid w:val="00046182"/>
    <w:rsid w:val="00051EE3"/>
    <w:rsid w:val="0007586B"/>
    <w:rsid w:val="0008249D"/>
    <w:rsid w:val="00084417"/>
    <w:rsid w:val="00097EFE"/>
    <w:rsid w:val="000A4AE5"/>
    <w:rsid w:val="000D01B5"/>
    <w:rsid w:val="000D11D5"/>
    <w:rsid w:val="00104322"/>
    <w:rsid w:val="00130487"/>
    <w:rsid w:val="00140644"/>
    <w:rsid w:val="00152501"/>
    <w:rsid w:val="001525D7"/>
    <w:rsid w:val="00154A6D"/>
    <w:rsid w:val="00155578"/>
    <w:rsid w:val="00187995"/>
    <w:rsid w:val="001A6F1F"/>
    <w:rsid w:val="001B6C59"/>
    <w:rsid w:val="001C768D"/>
    <w:rsid w:val="001D66EB"/>
    <w:rsid w:val="001E7EAF"/>
    <w:rsid w:val="001F2385"/>
    <w:rsid w:val="001F39A1"/>
    <w:rsid w:val="001F7B24"/>
    <w:rsid w:val="00211824"/>
    <w:rsid w:val="00213499"/>
    <w:rsid w:val="0021635B"/>
    <w:rsid w:val="00216B5B"/>
    <w:rsid w:val="0022474D"/>
    <w:rsid w:val="00243426"/>
    <w:rsid w:val="0024698B"/>
    <w:rsid w:val="002549F5"/>
    <w:rsid w:val="002570DF"/>
    <w:rsid w:val="00282312"/>
    <w:rsid w:val="0029527B"/>
    <w:rsid w:val="002C1902"/>
    <w:rsid w:val="002D1E95"/>
    <w:rsid w:val="002E1C05"/>
    <w:rsid w:val="003078BE"/>
    <w:rsid w:val="00323F74"/>
    <w:rsid w:val="003243B6"/>
    <w:rsid w:val="00325BFA"/>
    <w:rsid w:val="00341D70"/>
    <w:rsid w:val="00361916"/>
    <w:rsid w:val="00366E03"/>
    <w:rsid w:val="00372A2B"/>
    <w:rsid w:val="003903BF"/>
    <w:rsid w:val="0039395F"/>
    <w:rsid w:val="003968A7"/>
    <w:rsid w:val="003B078C"/>
    <w:rsid w:val="003B0BF9"/>
    <w:rsid w:val="003E0791"/>
    <w:rsid w:val="003F28AC"/>
    <w:rsid w:val="00423AA6"/>
    <w:rsid w:val="00435F93"/>
    <w:rsid w:val="004454FE"/>
    <w:rsid w:val="00456E40"/>
    <w:rsid w:val="00471F27"/>
    <w:rsid w:val="0049601C"/>
    <w:rsid w:val="004A264F"/>
    <w:rsid w:val="004A275B"/>
    <w:rsid w:val="004B5A63"/>
    <w:rsid w:val="004C2065"/>
    <w:rsid w:val="004D6C40"/>
    <w:rsid w:val="004E1BA2"/>
    <w:rsid w:val="004E29AE"/>
    <w:rsid w:val="004F77FC"/>
    <w:rsid w:val="0050178F"/>
    <w:rsid w:val="00515144"/>
    <w:rsid w:val="005420C9"/>
    <w:rsid w:val="00562F14"/>
    <w:rsid w:val="0056696D"/>
    <w:rsid w:val="00566986"/>
    <w:rsid w:val="0057306B"/>
    <w:rsid w:val="00576EFC"/>
    <w:rsid w:val="00581CF0"/>
    <w:rsid w:val="005856D9"/>
    <w:rsid w:val="00593855"/>
    <w:rsid w:val="005C6838"/>
    <w:rsid w:val="005D45DD"/>
    <w:rsid w:val="005E7500"/>
    <w:rsid w:val="005F7BA4"/>
    <w:rsid w:val="00601BED"/>
    <w:rsid w:val="00601E2D"/>
    <w:rsid w:val="00603C8C"/>
    <w:rsid w:val="00630085"/>
    <w:rsid w:val="006303B4"/>
    <w:rsid w:val="006335C0"/>
    <w:rsid w:val="00637937"/>
    <w:rsid w:val="00646244"/>
    <w:rsid w:val="0064653C"/>
    <w:rsid w:val="00647B3D"/>
    <w:rsid w:val="00654900"/>
    <w:rsid w:val="00655F2C"/>
    <w:rsid w:val="00681F74"/>
    <w:rsid w:val="006936E5"/>
    <w:rsid w:val="006A31D0"/>
    <w:rsid w:val="006A5AC7"/>
    <w:rsid w:val="006A685D"/>
    <w:rsid w:val="006B221B"/>
    <w:rsid w:val="006B6DCE"/>
    <w:rsid w:val="006E1081"/>
    <w:rsid w:val="006E71F7"/>
    <w:rsid w:val="00720585"/>
    <w:rsid w:val="007272A8"/>
    <w:rsid w:val="00750F13"/>
    <w:rsid w:val="007606BC"/>
    <w:rsid w:val="007606BD"/>
    <w:rsid w:val="007626EC"/>
    <w:rsid w:val="00772B8B"/>
    <w:rsid w:val="00773AF6"/>
    <w:rsid w:val="00773BAB"/>
    <w:rsid w:val="00773EC6"/>
    <w:rsid w:val="00781317"/>
    <w:rsid w:val="0079260F"/>
    <w:rsid w:val="00795F71"/>
    <w:rsid w:val="007B7363"/>
    <w:rsid w:val="007B7440"/>
    <w:rsid w:val="007C3918"/>
    <w:rsid w:val="007D7C72"/>
    <w:rsid w:val="007E3BCE"/>
    <w:rsid w:val="007E5F7A"/>
    <w:rsid w:val="007E73AB"/>
    <w:rsid w:val="007F1B1D"/>
    <w:rsid w:val="007F2EF9"/>
    <w:rsid w:val="007F3094"/>
    <w:rsid w:val="007F6F87"/>
    <w:rsid w:val="00804796"/>
    <w:rsid w:val="00816C11"/>
    <w:rsid w:val="00842AD1"/>
    <w:rsid w:val="0086432E"/>
    <w:rsid w:val="008744ED"/>
    <w:rsid w:val="00881F7B"/>
    <w:rsid w:val="008834DF"/>
    <w:rsid w:val="00885B02"/>
    <w:rsid w:val="0088684A"/>
    <w:rsid w:val="00894C55"/>
    <w:rsid w:val="008B37B7"/>
    <w:rsid w:val="008C1794"/>
    <w:rsid w:val="008C1E0F"/>
    <w:rsid w:val="008C4808"/>
    <w:rsid w:val="00916E22"/>
    <w:rsid w:val="009204C1"/>
    <w:rsid w:val="009213B4"/>
    <w:rsid w:val="00933650"/>
    <w:rsid w:val="00940EA7"/>
    <w:rsid w:val="009547D2"/>
    <w:rsid w:val="00965548"/>
    <w:rsid w:val="0096753C"/>
    <w:rsid w:val="009850EC"/>
    <w:rsid w:val="009A2654"/>
    <w:rsid w:val="009B432D"/>
    <w:rsid w:val="009B61EE"/>
    <w:rsid w:val="009C6745"/>
    <w:rsid w:val="009F25E7"/>
    <w:rsid w:val="00A07C0F"/>
    <w:rsid w:val="00A10FC3"/>
    <w:rsid w:val="00A159B9"/>
    <w:rsid w:val="00A27E0D"/>
    <w:rsid w:val="00A310E7"/>
    <w:rsid w:val="00A42045"/>
    <w:rsid w:val="00A52B7E"/>
    <w:rsid w:val="00A6073E"/>
    <w:rsid w:val="00A64430"/>
    <w:rsid w:val="00A772AD"/>
    <w:rsid w:val="00A774D8"/>
    <w:rsid w:val="00A82962"/>
    <w:rsid w:val="00A935DA"/>
    <w:rsid w:val="00A95E7E"/>
    <w:rsid w:val="00A9774B"/>
    <w:rsid w:val="00AA4209"/>
    <w:rsid w:val="00AB17A8"/>
    <w:rsid w:val="00AC377F"/>
    <w:rsid w:val="00AE5567"/>
    <w:rsid w:val="00AF1239"/>
    <w:rsid w:val="00B06D9D"/>
    <w:rsid w:val="00B16480"/>
    <w:rsid w:val="00B2165C"/>
    <w:rsid w:val="00B24C87"/>
    <w:rsid w:val="00B42334"/>
    <w:rsid w:val="00B43415"/>
    <w:rsid w:val="00B609E3"/>
    <w:rsid w:val="00B62638"/>
    <w:rsid w:val="00B6729B"/>
    <w:rsid w:val="00B67377"/>
    <w:rsid w:val="00B72863"/>
    <w:rsid w:val="00B81E05"/>
    <w:rsid w:val="00B94BBB"/>
    <w:rsid w:val="00BA02B4"/>
    <w:rsid w:val="00BA20AA"/>
    <w:rsid w:val="00BB0DDD"/>
    <w:rsid w:val="00BC4A8F"/>
    <w:rsid w:val="00BD4425"/>
    <w:rsid w:val="00BD7F5E"/>
    <w:rsid w:val="00BF56FB"/>
    <w:rsid w:val="00C10270"/>
    <w:rsid w:val="00C13DF7"/>
    <w:rsid w:val="00C17F96"/>
    <w:rsid w:val="00C2264B"/>
    <w:rsid w:val="00C25B49"/>
    <w:rsid w:val="00C30F18"/>
    <w:rsid w:val="00C32E2D"/>
    <w:rsid w:val="00C33C43"/>
    <w:rsid w:val="00C348FC"/>
    <w:rsid w:val="00C42475"/>
    <w:rsid w:val="00C86766"/>
    <w:rsid w:val="00C9570A"/>
    <w:rsid w:val="00CB0786"/>
    <w:rsid w:val="00CC0982"/>
    <w:rsid w:val="00CC0D2D"/>
    <w:rsid w:val="00CC309C"/>
    <w:rsid w:val="00CE5657"/>
    <w:rsid w:val="00CF651F"/>
    <w:rsid w:val="00D133F8"/>
    <w:rsid w:val="00D14A3E"/>
    <w:rsid w:val="00D22281"/>
    <w:rsid w:val="00D24501"/>
    <w:rsid w:val="00D33DA2"/>
    <w:rsid w:val="00D43853"/>
    <w:rsid w:val="00D504C6"/>
    <w:rsid w:val="00D6534D"/>
    <w:rsid w:val="00D74C39"/>
    <w:rsid w:val="00D857AC"/>
    <w:rsid w:val="00D86DA1"/>
    <w:rsid w:val="00D90324"/>
    <w:rsid w:val="00DA635B"/>
    <w:rsid w:val="00DC2DAF"/>
    <w:rsid w:val="00DC75FF"/>
    <w:rsid w:val="00DE07F2"/>
    <w:rsid w:val="00DF3A3D"/>
    <w:rsid w:val="00DF461F"/>
    <w:rsid w:val="00DF68F8"/>
    <w:rsid w:val="00DF740D"/>
    <w:rsid w:val="00DF776E"/>
    <w:rsid w:val="00E01657"/>
    <w:rsid w:val="00E0644D"/>
    <w:rsid w:val="00E143F6"/>
    <w:rsid w:val="00E32710"/>
    <w:rsid w:val="00E3338E"/>
    <w:rsid w:val="00E3716B"/>
    <w:rsid w:val="00E45B33"/>
    <w:rsid w:val="00E52775"/>
    <w:rsid w:val="00E5323B"/>
    <w:rsid w:val="00E8749E"/>
    <w:rsid w:val="00E90C01"/>
    <w:rsid w:val="00EA0908"/>
    <w:rsid w:val="00EA486E"/>
    <w:rsid w:val="00EC13DF"/>
    <w:rsid w:val="00EC6E12"/>
    <w:rsid w:val="00EC766A"/>
    <w:rsid w:val="00ED079B"/>
    <w:rsid w:val="00ED504D"/>
    <w:rsid w:val="00EE2F62"/>
    <w:rsid w:val="00F01E73"/>
    <w:rsid w:val="00F27245"/>
    <w:rsid w:val="00F57B0C"/>
    <w:rsid w:val="00F62F27"/>
    <w:rsid w:val="00F66255"/>
    <w:rsid w:val="00F77F67"/>
    <w:rsid w:val="00F82318"/>
    <w:rsid w:val="00F84D5F"/>
    <w:rsid w:val="00F84F84"/>
    <w:rsid w:val="00F97BA5"/>
    <w:rsid w:val="00FC21D4"/>
    <w:rsid w:val="00FC3FDB"/>
    <w:rsid w:val="00FC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2347E"/>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8540-BE45-49D6-94A5-45D5B75C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Pages>
  <Words>9197</Words>
  <Characters>5243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Sandra Kasparenko</dc:creator>
  <dc:description>Sandra.Kasparenko            Nozares budžeta plānošanas departamenta  direktores vietniece Sandra.Kasparenko@vm.gov.lv, Tel. Nr.67876147</dc:description>
  <cp:lastModifiedBy>Inga Vinničenko</cp:lastModifiedBy>
  <cp:revision>139</cp:revision>
  <cp:lastPrinted>2018-02-08T11:30:00Z</cp:lastPrinted>
  <dcterms:created xsi:type="dcterms:W3CDTF">2018-03-07T13:59:00Z</dcterms:created>
  <dcterms:modified xsi:type="dcterms:W3CDTF">2018-11-23T07:45:00Z</dcterms:modified>
</cp:coreProperties>
</file>