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86F" w14:textId="65EA56BC" w:rsidR="00AA112B" w:rsidRPr="00AA112B" w:rsidRDefault="00AA112B" w:rsidP="00AA112B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AA112B">
        <w:rPr>
          <w:sz w:val="28"/>
          <w:szCs w:val="28"/>
        </w:rPr>
        <w:t>. pielikums</w:t>
      </w:r>
    </w:p>
    <w:p w14:paraId="7B6D8BA7" w14:textId="77777777" w:rsidR="00AA112B" w:rsidRP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>Ministru kabineta</w:t>
      </w:r>
    </w:p>
    <w:p w14:paraId="34938400" w14:textId="77777777" w:rsidR="00AA112B" w:rsidRP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 xml:space="preserve">201     . gada           .  </w:t>
      </w:r>
    </w:p>
    <w:p w14:paraId="5E1E11A1" w14:textId="1A3BB112" w:rsid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 xml:space="preserve">noteikumiem Nr.   </w:t>
      </w:r>
    </w:p>
    <w:p w14:paraId="4083DCDF" w14:textId="1DBD2BE8" w:rsidR="00AA112B" w:rsidRDefault="00AA112B" w:rsidP="005F25D3">
      <w:pPr>
        <w:rPr>
          <w:sz w:val="28"/>
          <w:szCs w:val="28"/>
        </w:rPr>
      </w:pPr>
    </w:p>
    <w:p w14:paraId="219ABDAF" w14:textId="57D22F16" w:rsidR="00AA112B" w:rsidRPr="00AA112B" w:rsidRDefault="00AA112B" w:rsidP="00AA112B">
      <w:pPr>
        <w:jc w:val="center"/>
        <w:rPr>
          <w:b/>
          <w:bCs/>
          <w:sz w:val="28"/>
          <w:szCs w:val="28"/>
        </w:rPr>
      </w:pPr>
      <w:r w:rsidRPr="00AA112B">
        <w:rPr>
          <w:b/>
          <w:bCs/>
          <w:sz w:val="28"/>
          <w:szCs w:val="28"/>
        </w:rPr>
        <w:t>Speciāl</w:t>
      </w:r>
      <w:r w:rsidR="000F2A10">
        <w:rPr>
          <w:b/>
          <w:bCs/>
          <w:sz w:val="28"/>
          <w:szCs w:val="28"/>
        </w:rPr>
        <w:t>ā piemaksa ārstniecības personai</w:t>
      </w:r>
      <w:r w:rsidRPr="00AA112B">
        <w:rPr>
          <w:b/>
          <w:bCs/>
          <w:sz w:val="28"/>
          <w:szCs w:val="28"/>
        </w:rPr>
        <w:t xml:space="preserve"> </w:t>
      </w:r>
      <w:r w:rsidR="000F2A10" w:rsidRPr="000F2A10">
        <w:rPr>
          <w:b/>
          <w:bCs/>
          <w:sz w:val="28"/>
          <w:szCs w:val="28"/>
        </w:rPr>
        <w:t>un Neatliekamās medicīniskās palīdzības dienesta neatliekamās medicīniskās palīdzības brigādes operatīvā medicīniskā transportlīdzekļa vadītāja</w:t>
      </w:r>
      <w:r w:rsidR="000F2A10">
        <w:rPr>
          <w:b/>
          <w:bCs/>
          <w:sz w:val="28"/>
          <w:szCs w:val="28"/>
        </w:rPr>
        <w:t xml:space="preserve">m </w:t>
      </w:r>
      <w:r w:rsidRPr="00AA112B">
        <w:rPr>
          <w:b/>
          <w:bCs/>
          <w:sz w:val="28"/>
          <w:szCs w:val="28"/>
        </w:rPr>
        <w:t>par darbu, kas saistīts ar īpašu risku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6608"/>
        <w:gridCol w:w="1677"/>
      </w:tblGrid>
      <w:tr w:rsidR="00AA112B" w:rsidRPr="00AA112B" w14:paraId="40782C95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6B941A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proofErr w:type="spellStart"/>
            <w:r w:rsidRPr="00AA112B">
              <w:rPr>
                <w:sz w:val="28"/>
                <w:szCs w:val="28"/>
              </w:rPr>
              <w:t>Nr.p.k</w:t>
            </w:r>
            <w:proofErr w:type="spellEnd"/>
            <w:r w:rsidRPr="00AA112B">
              <w:rPr>
                <w:sz w:val="28"/>
                <w:szCs w:val="28"/>
              </w:rPr>
              <w:t>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1D85C1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Speciālā piemaksa par darbu, kas saistīts ar īpašu risku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A134ED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Speciālās piemaksas apmērs (procentos no mēnešalgas)</w:t>
            </w:r>
          </w:p>
        </w:tc>
      </w:tr>
      <w:tr w:rsidR="00AA112B" w:rsidRPr="00AA112B" w14:paraId="79F9EF78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32AB7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A9F79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AIDS slimnieku ārstēšanai (diagnostikai)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4BB7F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4331F247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4C40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2.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04C7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lepras slimnieku, psihiski slimu personu, alkoholisma un narkomānijas slimnieku ārstēšanai, kurās ir paaugstināts risks veselībai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2D6A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2995E392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86262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3.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34C9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infekcijas un tuberkulozes slimnieku ārstēšanai, radioloģijas, rentgena un apdegumu ārstēšanas struktūrvienībās, kurās ir paaugstināts risks veselībai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D90B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1E90C33A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83446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A524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struktūrvienībās, kuru darbiniekiem darba apstākļu specifikas dēļ ir tiesības uz piemaksu, ja ir divi vai vairāki paaugstināta riska faktori: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102F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 </w:t>
            </w:r>
          </w:p>
        </w:tc>
      </w:tr>
      <w:tr w:rsidR="00AA112B" w:rsidRPr="00AA112B" w14:paraId="4182D74A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E4DF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4.1.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25BB7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šā pielikuma 1. un 2.punktā vai 1. un 3.punktā minētajos gadījumos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56AE7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2EFC4658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A14A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4.2.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69A7C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šā pielikuma 2. un 3.punktā minētajos gadījumos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18F1D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32F6ECA3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36CB9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0EA50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iestādēs ar apsardzi un slēgtu režīmu psihiski slimu personu piespiedu ārstēšanai un personu </w:t>
            </w:r>
            <w:proofErr w:type="spellStart"/>
            <w:r w:rsidRPr="00AA112B">
              <w:rPr>
                <w:sz w:val="28"/>
                <w:szCs w:val="28"/>
              </w:rPr>
              <w:t>tiespsihiatriskajai</w:t>
            </w:r>
            <w:proofErr w:type="spellEnd"/>
            <w:r w:rsidRPr="00AA112B">
              <w:rPr>
                <w:sz w:val="28"/>
                <w:szCs w:val="28"/>
              </w:rPr>
              <w:t xml:space="preserve"> ekspertīzei: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D3996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 </w:t>
            </w:r>
          </w:p>
        </w:tc>
      </w:tr>
      <w:tr w:rsidR="00AA112B" w:rsidRPr="00AA112B" w14:paraId="0341E9C5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0E51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5.1.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1357D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personām, kuras veic piespiedu ārstēšanu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DD49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054B069D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1EB8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5.2.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5866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personām, kuras veic </w:t>
            </w:r>
            <w:proofErr w:type="spellStart"/>
            <w:r w:rsidRPr="00AA112B">
              <w:rPr>
                <w:sz w:val="28"/>
                <w:szCs w:val="28"/>
              </w:rPr>
              <w:t>tiespsihiatrisko</w:t>
            </w:r>
            <w:proofErr w:type="spellEnd"/>
            <w:r w:rsidRPr="00AA112B">
              <w:rPr>
                <w:sz w:val="28"/>
                <w:szCs w:val="28"/>
              </w:rPr>
              <w:t xml:space="preserve"> ekspertīzi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18DD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28349BBF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96D8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6.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BD29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Neatliekamās medicīniskās palīdzības speciālistiem, kas strādā neatliekamās medicīniskās palīdzības brigādēs, par darbu paaugstināta riska apstākļos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B096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5AD06F00" w14:textId="77777777" w:rsidTr="00AA11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7B460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7.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F6D0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Anestezioloģijas, </w:t>
            </w:r>
            <w:proofErr w:type="spellStart"/>
            <w:r w:rsidRPr="00AA112B">
              <w:rPr>
                <w:sz w:val="28"/>
                <w:szCs w:val="28"/>
              </w:rPr>
              <w:t>reanimatoloģijas</w:t>
            </w:r>
            <w:proofErr w:type="spellEnd"/>
            <w:r w:rsidRPr="00AA112B">
              <w:rPr>
                <w:sz w:val="28"/>
                <w:szCs w:val="28"/>
              </w:rPr>
              <w:t xml:space="preserve"> un intensīvās terapijas nodaļas speciālistiem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5F76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23637F8B" w14:textId="77777777" w:rsidTr="00AA112B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B4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BA87E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iestādēs un struktūrvienībās, kurās veic mirušu cilvēku patologanatomiskos izmeklējumus vai </w:t>
            </w:r>
            <w:proofErr w:type="spellStart"/>
            <w:r w:rsidRPr="00AA112B">
              <w:rPr>
                <w:sz w:val="28"/>
                <w:szCs w:val="28"/>
              </w:rPr>
              <w:t>tiesmedicīnisko</w:t>
            </w:r>
            <w:proofErr w:type="spellEnd"/>
            <w:r w:rsidRPr="00AA112B">
              <w:rPr>
                <w:sz w:val="28"/>
                <w:szCs w:val="28"/>
              </w:rPr>
              <w:t xml:space="preserve"> ekspertīzi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BCCFA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4D2C04A8" w14:textId="77777777" w:rsidTr="00AA112B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0C07A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9.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4DF02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Speciālajās izglītības iestādēs (speciālajās klasēs un grupās), kas paredzētas izglītojamiem ar </w:t>
            </w:r>
            <w:proofErr w:type="spellStart"/>
            <w:r w:rsidRPr="00AA112B">
              <w:rPr>
                <w:sz w:val="28"/>
                <w:szCs w:val="28"/>
              </w:rPr>
              <w:t>somatiskām</w:t>
            </w:r>
            <w:proofErr w:type="spellEnd"/>
            <w:r w:rsidRPr="00AA112B">
              <w:rPr>
                <w:sz w:val="28"/>
                <w:szCs w:val="28"/>
              </w:rPr>
              <w:t xml:space="preserve"> slimībām, skoliozi, fiziskās un (vai) garīgās attīstības traucējumiem, dzirdes, redzes, valodas attīstības traucējumiem, psihoneiroloģiskajām slimībām, internātskolās bāreņiem un bez vecāku aizgādības palikušajiem izglītojamiem – darbiniekiem, kuri strādā ar minētajiem izglītojamiem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C55FF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4FC037F7" w14:textId="77777777" w:rsidTr="00AA112B">
        <w:trPr>
          <w:trHeight w:val="8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B85F6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EFB8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Darbiniekiem, kuri strādā sociālās korekcijas izglītības iestādēs ar izglītojamiem, kuri izdarījuši tādu noziedzīgu nodarījumu, par kuru likumā paredzēta kriminālatbildība, vai administratīvo pārkāpumu, par kuru likumā paredzēta administratīvā atbildība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4E0C9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</w:tbl>
    <w:p w14:paraId="7D4A3566" w14:textId="22EF8D42" w:rsidR="00AA112B" w:rsidRDefault="00AA112B" w:rsidP="005F25D3">
      <w:pPr>
        <w:rPr>
          <w:sz w:val="28"/>
          <w:szCs w:val="28"/>
        </w:rPr>
      </w:pPr>
    </w:p>
    <w:p w14:paraId="5B0AD28D" w14:textId="606ED8C3" w:rsidR="00AA112B" w:rsidRDefault="00AA112B" w:rsidP="005F25D3">
      <w:pPr>
        <w:rPr>
          <w:sz w:val="28"/>
          <w:szCs w:val="28"/>
        </w:rPr>
      </w:pPr>
    </w:p>
    <w:p w14:paraId="3DB888C3" w14:textId="77777777" w:rsidR="00BE2314" w:rsidRDefault="00BE2314" w:rsidP="00BE2314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6B6368FE" w14:textId="77777777" w:rsidR="00BE2314" w:rsidRDefault="00BE2314" w:rsidP="00BE2314">
      <w:pPr>
        <w:ind w:left="360"/>
        <w:jc w:val="both"/>
        <w:rPr>
          <w:sz w:val="28"/>
          <w:szCs w:val="28"/>
        </w:rPr>
      </w:pPr>
    </w:p>
    <w:p w14:paraId="5FBFD567" w14:textId="77777777" w:rsidR="00BE2314" w:rsidRDefault="00BE2314" w:rsidP="00BE23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14:paraId="5D6AB771" w14:textId="77777777" w:rsidR="00BE2314" w:rsidRDefault="00BE2314" w:rsidP="00BE2314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20C60E3" w14:textId="77777777" w:rsidR="00BE2314" w:rsidRDefault="00BE2314" w:rsidP="00BE23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Iesniedzējs: 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14:paraId="0FEDC174" w14:textId="77777777" w:rsidR="00BE2314" w:rsidRDefault="00BE2314" w:rsidP="00BE2314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F234294" w14:textId="1729D698" w:rsidR="00BE2314" w:rsidRDefault="00055138" w:rsidP="00BE23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="00BE2314">
        <w:rPr>
          <w:sz w:val="28"/>
          <w:szCs w:val="28"/>
        </w:rPr>
        <w:tab/>
      </w:r>
      <w:r w:rsidR="00BE2314">
        <w:rPr>
          <w:sz w:val="28"/>
          <w:szCs w:val="28"/>
        </w:rPr>
        <w:tab/>
      </w:r>
      <w:r w:rsidR="00BE2314">
        <w:rPr>
          <w:sz w:val="28"/>
          <w:szCs w:val="28"/>
        </w:rPr>
        <w:tab/>
      </w:r>
      <w:r w:rsidR="00BE2314">
        <w:rPr>
          <w:sz w:val="28"/>
          <w:szCs w:val="28"/>
        </w:rPr>
        <w:tab/>
        <w:t xml:space="preserve">Daina </w:t>
      </w:r>
      <w:proofErr w:type="spellStart"/>
      <w:r w:rsidR="00BE2314">
        <w:rPr>
          <w:sz w:val="28"/>
          <w:szCs w:val="28"/>
        </w:rPr>
        <w:t>Mūrmane-Umbraško</w:t>
      </w:r>
      <w:proofErr w:type="spellEnd"/>
    </w:p>
    <w:p w14:paraId="177EA821" w14:textId="77777777" w:rsidR="00BC69ED" w:rsidRPr="00253AB7" w:rsidRDefault="00BC69ED" w:rsidP="005F25D3">
      <w:pPr>
        <w:rPr>
          <w:sz w:val="28"/>
          <w:szCs w:val="28"/>
        </w:rPr>
      </w:pPr>
    </w:p>
    <w:p w14:paraId="225920CE" w14:textId="206DDDEF" w:rsidR="00065586" w:rsidRDefault="00065586" w:rsidP="00062CA6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</w:p>
    <w:p w14:paraId="30CAD994" w14:textId="77777777" w:rsidR="00065586" w:rsidRPr="00065586" w:rsidRDefault="00065586" w:rsidP="00065586">
      <w:pPr>
        <w:rPr>
          <w:lang w:val="en-GB" w:eastAsia="x-none"/>
        </w:rPr>
      </w:pPr>
    </w:p>
    <w:p w14:paraId="21BFFF3A" w14:textId="77777777" w:rsidR="00065586" w:rsidRPr="00065586" w:rsidRDefault="00065586" w:rsidP="00065586">
      <w:pPr>
        <w:rPr>
          <w:lang w:val="en-GB" w:eastAsia="x-none"/>
        </w:rPr>
      </w:pPr>
    </w:p>
    <w:p w14:paraId="1ECCD704" w14:textId="77777777" w:rsidR="00065586" w:rsidRPr="00065586" w:rsidRDefault="00065586" w:rsidP="00065586">
      <w:pPr>
        <w:rPr>
          <w:lang w:val="en-GB" w:eastAsia="x-none"/>
        </w:rPr>
      </w:pPr>
    </w:p>
    <w:p w14:paraId="3E130225" w14:textId="77777777" w:rsidR="00065586" w:rsidRPr="00065586" w:rsidRDefault="00065586" w:rsidP="00065586">
      <w:pPr>
        <w:rPr>
          <w:lang w:val="en-GB" w:eastAsia="x-none"/>
        </w:rPr>
      </w:pPr>
    </w:p>
    <w:p w14:paraId="70B1CD3D" w14:textId="77777777" w:rsidR="00065586" w:rsidRPr="00065586" w:rsidRDefault="00065586" w:rsidP="00065586">
      <w:pPr>
        <w:rPr>
          <w:lang w:val="en-GB" w:eastAsia="x-none"/>
        </w:rPr>
      </w:pPr>
    </w:p>
    <w:p w14:paraId="31E7E5CD" w14:textId="701B85AF" w:rsidR="00065586" w:rsidRDefault="00065586" w:rsidP="00065586">
      <w:pPr>
        <w:rPr>
          <w:lang w:val="en-GB" w:eastAsia="x-none"/>
        </w:rPr>
      </w:pPr>
    </w:p>
    <w:p w14:paraId="6AE47366" w14:textId="77777777" w:rsidR="00FB2918" w:rsidRPr="00065586" w:rsidRDefault="00FB2918" w:rsidP="00065586">
      <w:pPr>
        <w:jc w:val="center"/>
        <w:rPr>
          <w:lang w:val="en-GB" w:eastAsia="x-none"/>
        </w:rPr>
      </w:pPr>
    </w:p>
    <w:sectPr w:rsidR="00FB2918" w:rsidRPr="00065586" w:rsidSect="00FB29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4C74" w14:textId="77777777" w:rsidR="006B0B40" w:rsidRPr="006B0B40" w:rsidRDefault="006B0B40" w:rsidP="006B0B40">
    <w:pPr>
      <w:pStyle w:val="Footer"/>
      <w:rPr>
        <w:sz w:val="20"/>
        <w:szCs w:val="20"/>
      </w:rPr>
    </w:pPr>
    <w:r w:rsidRPr="006B0B40">
      <w:rPr>
        <w:sz w:val="20"/>
        <w:szCs w:val="20"/>
      </w:rPr>
      <w:t>VMnotp3_061218_darba_samaksa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3B9A" w14:textId="3AF4725D" w:rsidR="006B0B40" w:rsidRPr="006B0B40" w:rsidRDefault="006B0B40" w:rsidP="006B0B40">
    <w:pPr>
      <w:pStyle w:val="Footer"/>
      <w:rPr>
        <w:sz w:val="20"/>
        <w:szCs w:val="20"/>
      </w:rPr>
    </w:pPr>
    <w:bookmarkStart w:id="1" w:name="_Hlk531619232"/>
    <w:bookmarkStart w:id="2" w:name="_Hlk531619233"/>
    <w:bookmarkStart w:id="3" w:name="_Hlk531619234"/>
    <w:bookmarkStart w:id="4" w:name="_Hlk531619235"/>
    <w:bookmarkStart w:id="5" w:name="_Hlk531619236"/>
    <w:bookmarkStart w:id="6" w:name="_Hlk531619237"/>
    <w:bookmarkStart w:id="7" w:name="_Hlk531858742"/>
    <w:bookmarkStart w:id="8" w:name="_Hlk531858743"/>
    <w:r w:rsidRPr="006B0B40">
      <w:rPr>
        <w:sz w:val="20"/>
        <w:szCs w:val="20"/>
      </w:rPr>
      <w:t>VMnot</w:t>
    </w:r>
    <w:r>
      <w:rPr>
        <w:sz w:val="20"/>
        <w:szCs w:val="20"/>
      </w:rPr>
      <w:t>p3</w:t>
    </w:r>
    <w:r w:rsidRPr="006B0B40">
      <w:rPr>
        <w:sz w:val="20"/>
        <w:szCs w:val="20"/>
      </w:rPr>
      <w:t>_061218_darba_samaksa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075A120B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FD0" w14:textId="77777777" w:rsidR="00FB2918" w:rsidRPr="00A142D0" w:rsidRDefault="00FB2918">
    <w:pPr>
      <w:pStyle w:val="Header"/>
    </w:pPr>
  </w:p>
  <w:p w14:paraId="1EEC8BA9" w14:textId="455FEDC9" w:rsidR="00FB2918" w:rsidRPr="00A142D0" w:rsidRDefault="00FB2918">
    <w:pPr>
      <w:pStyle w:val="Header"/>
    </w:pP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B8"/>
    <w:rsid w:val="00011A2C"/>
    <w:rsid w:val="00015B7D"/>
    <w:rsid w:val="0001668D"/>
    <w:rsid w:val="000510F0"/>
    <w:rsid w:val="00053E0A"/>
    <w:rsid w:val="00055138"/>
    <w:rsid w:val="00062CA6"/>
    <w:rsid w:val="00065586"/>
    <w:rsid w:val="00094BE8"/>
    <w:rsid w:val="000B41D7"/>
    <w:rsid w:val="000C5172"/>
    <w:rsid w:val="000C75C6"/>
    <w:rsid w:val="000E047F"/>
    <w:rsid w:val="000F2A10"/>
    <w:rsid w:val="0010474D"/>
    <w:rsid w:val="00125009"/>
    <w:rsid w:val="0012622B"/>
    <w:rsid w:val="00132237"/>
    <w:rsid w:val="001539E5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3C06"/>
    <w:rsid w:val="0021631E"/>
    <w:rsid w:val="00220610"/>
    <w:rsid w:val="00253AB7"/>
    <w:rsid w:val="00264BF3"/>
    <w:rsid w:val="002675B4"/>
    <w:rsid w:val="00276CDF"/>
    <w:rsid w:val="00287585"/>
    <w:rsid w:val="00295EF9"/>
    <w:rsid w:val="002A4D32"/>
    <w:rsid w:val="002C6D3F"/>
    <w:rsid w:val="002D2408"/>
    <w:rsid w:val="002F4BFD"/>
    <w:rsid w:val="00303DA3"/>
    <w:rsid w:val="003049F1"/>
    <w:rsid w:val="00337CAB"/>
    <w:rsid w:val="003730B7"/>
    <w:rsid w:val="00387910"/>
    <w:rsid w:val="003A1479"/>
    <w:rsid w:val="003B0181"/>
    <w:rsid w:val="003D14FE"/>
    <w:rsid w:val="004108F7"/>
    <w:rsid w:val="0043286F"/>
    <w:rsid w:val="00470CC8"/>
    <w:rsid w:val="004742AE"/>
    <w:rsid w:val="0048514C"/>
    <w:rsid w:val="004A0519"/>
    <w:rsid w:val="004A5B70"/>
    <w:rsid w:val="004D2B1E"/>
    <w:rsid w:val="004D41B7"/>
    <w:rsid w:val="004D4496"/>
    <w:rsid w:val="00506AA2"/>
    <w:rsid w:val="00510349"/>
    <w:rsid w:val="00511DBE"/>
    <w:rsid w:val="00521EA4"/>
    <w:rsid w:val="0052608B"/>
    <w:rsid w:val="00534740"/>
    <w:rsid w:val="0054638C"/>
    <w:rsid w:val="00553DD7"/>
    <w:rsid w:val="005609CE"/>
    <w:rsid w:val="005674CA"/>
    <w:rsid w:val="005729B8"/>
    <w:rsid w:val="00572F0F"/>
    <w:rsid w:val="005C1083"/>
    <w:rsid w:val="005D6853"/>
    <w:rsid w:val="005F25D3"/>
    <w:rsid w:val="005F7AF8"/>
    <w:rsid w:val="00622D68"/>
    <w:rsid w:val="00623B88"/>
    <w:rsid w:val="00644C7C"/>
    <w:rsid w:val="00682759"/>
    <w:rsid w:val="00684F43"/>
    <w:rsid w:val="00693385"/>
    <w:rsid w:val="00696FAF"/>
    <w:rsid w:val="006A1CBB"/>
    <w:rsid w:val="006B0B40"/>
    <w:rsid w:val="006C1FF1"/>
    <w:rsid w:val="006F189A"/>
    <w:rsid w:val="006F243B"/>
    <w:rsid w:val="00717AE4"/>
    <w:rsid w:val="0074530E"/>
    <w:rsid w:val="00781970"/>
    <w:rsid w:val="00794908"/>
    <w:rsid w:val="007957E9"/>
    <w:rsid w:val="00797B13"/>
    <w:rsid w:val="007A3DE3"/>
    <w:rsid w:val="007D469C"/>
    <w:rsid w:val="007E1128"/>
    <w:rsid w:val="007F660A"/>
    <w:rsid w:val="007F7BF0"/>
    <w:rsid w:val="00807D6C"/>
    <w:rsid w:val="00820FC0"/>
    <w:rsid w:val="00822FC9"/>
    <w:rsid w:val="0083419B"/>
    <w:rsid w:val="00851E47"/>
    <w:rsid w:val="008947EB"/>
    <w:rsid w:val="008A12AB"/>
    <w:rsid w:val="008A29CE"/>
    <w:rsid w:val="008A3110"/>
    <w:rsid w:val="008C1D40"/>
    <w:rsid w:val="008D236D"/>
    <w:rsid w:val="008E621F"/>
    <w:rsid w:val="008F3FED"/>
    <w:rsid w:val="00901910"/>
    <w:rsid w:val="00916249"/>
    <w:rsid w:val="00946A17"/>
    <w:rsid w:val="00955065"/>
    <w:rsid w:val="009563C0"/>
    <w:rsid w:val="00973C66"/>
    <w:rsid w:val="00A137E6"/>
    <w:rsid w:val="00A27775"/>
    <w:rsid w:val="00A3766C"/>
    <w:rsid w:val="00A41D00"/>
    <w:rsid w:val="00A6133D"/>
    <w:rsid w:val="00A63249"/>
    <w:rsid w:val="00A75024"/>
    <w:rsid w:val="00A85E5F"/>
    <w:rsid w:val="00A9746C"/>
    <w:rsid w:val="00AA112B"/>
    <w:rsid w:val="00AC1D6D"/>
    <w:rsid w:val="00AD089B"/>
    <w:rsid w:val="00AE731F"/>
    <w:rsid w:val="00AF11C2"/>
    <w:rsid w:val="00AF403E"/>
    <w:rsid w:val="00AF55CC"/>
    <w:rsid w:val="00B32B33"/>
    <w:rsid w:val="00B77632"/>
    <w:rsid w:val="00B8739D"/>
    <w:rsid w:val="00BC01F7"/>
    <w:rsid w:val="00BC252A"/>
    <w:rsid w:val="00BC69ED"/>
    <w:rsid w:val="00BD5AA3"/>
    <w:rsid w:val="00BE2266"/>
    <w:rsid w:val="00BE2314"/>
    <w:rsid w:val="00C201C1"/>
    <w:rsid w:val="00C2674C"/>
    <w:rsid w:val="00C37CD8"/>
    <w:rsid w:val="00C46F00"/>
    <w:rsid w:val="00C554B9"/>
    <w:rsid w:val="00C55EC9"/>
    <w:rsid w:val="00CA48D9"/>
    <w:rsid w:val="00D00482"/>
    <w:rsid w:val="00D173CE"/>
    <w:rsid w:val="00D23B42"/>
    <w:rsid w:val="00D32AEA"/>
    <w:rsid w:val="00D37EAA"/>
    <w:rsid w:val="00D42573"/>
    <w:rsid w:val="00D45A99"/>
    <w:rsid w:val="00D6356F"/>
    <w:rsid w:val="00D85FA2"/>
    <w:rsid w:val="00D92D38"/>
    <w:rsid w:val="00DD1103"/>
    <w:rsid w:val="00E25E10"/>
    <w:rsid w:val="00E37EF3"/>
    <w:rsid w:val="00E61C22"/>
    <w:rsid w:val="00EE0FA6"/>
    <w:rsid w:val="00EF5E04"/>
    <w:rsid w:val="00F02ABF"/>
    <w:rsid w:val="00F068A8"/>
    <w:rsid w:val="00F40D10"/>
    <w:rsid w:val="00F428BF"/>
    <w:rsid w:val="00F47B37"/>
    <w:rsid w:val="00F528AC"/>
    <w:rsid w:val="00F6338F"/>
    <w:rsid w:val="00F66B04"/>
    <w:rsid w:val="00F801B3"/>
    <w:rsid w:val="00F93867"/>
    <w:rsid w:val="00FB2918"/>
    <w:rsid w:val="00FE1F58"/>
    <w:rsid w:val="00FF05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8990"/>
  <w15:docId w15:val="{E7806F3E-F8B4-468D-ACCC-760409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0110-3B8F-47D9-B2FE-CB6DE2BB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ārstniecības personām"</vt:lpstr>
    </vt:vector>
  </TitlesOfParts>
  <Company>Veselības ministrija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ārstniecības personām" 3.pielikums</dc:title>
  <dc:subject>Noteikumi</dc:subject>
  <dc:creator>Inga.Vinnicenko@vm.gov.lv</dc:creator>
  <dc:description>Inga.Vinnicenko@vm.gov.lv, tel. Nr.67876029, Nozares budžeta plānošanas departamenta vecākā referente</dc:description>
  <cp:lastModifiedBy>Signe Vītoliņa</cp:lastModifiedBy>
  <cp:revision>13</cp:revision>
  <cp:lastPrinted>2018-12-04T15:10:00Z</cp:lastPrinted>
  <dcterms:created xsi:type="dcterms:W3CDTF">2018-12-06T08:24:00Z</dcterms:created>
  <dcterms:modified xsi:type="dcterms:W3CDTF">2018-12-13T06:52:00Z</dcterms:modified>
</cp:coreProperties>
</file>