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910A5E" w:rsidRDefault="00422589" w:rsidP="00760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910A5E">
        <w:rPr>
          <w:rFonts w:ascii="Times New Roman" w:hAnsi="Times New Roman"/>
          <w:b/>
          <w:sz w:val="28"/>
          <w:szCs w:val="28"/>
        </w:rPr>
        <w:t xml:space="preserve">Ministru kabineta noteikumu projekts </w:t>
      </w:r>
      <w:r w:rsidR="00CC0F36" w:rsidRPr="00910A5E">
        <w:rPr>
          <w:rFonts w:ascii="Times New Roman" w:hAnsi="Times New Roman"/>
          <w:b/>
          <w:sz w:val="28"/>
          <w:szCs w:val="28"/>
        </w:rPr>
        <w:t>„Grozījumi Ministru kabineta 2013.</w:t>
      </w:r>
      <w:r w:rsidR="00A533E7" w:rsidRPr="00910A5E">
        <w:rPr>
          <w:rFonts w:ascii="Times New Roman" w:hAnsi="Times New Roman"/>
          <w:b/>
          <w:sz w:val="28"/>
          <w:szCs w:val="28"/>
        </w:rPr>
        <w:t> </w:t>
      </w:r>
      <w:r w:rsidR="00CC0F36" w:rsidRPr="00910A5E">
        <w:rPr>
          <w:rFonts w:ascii="Times New Roman" w:hAnsi="Times New Roman"/>
          <w:b/>
          <w:sz w:val="28"/>
          <w:szCs w:val="28"/>
        </w:rPr>
        <w:t>gada 17.</w:t>
      </w:r>
      <w:r w:rsidR="00A533E7" w:rsidRPr="00910A5E">
        <w:rPr>
          <w:rFonts w:ascii="Times New Roman" w:hAnsi="Times New Roman"/>
          <w:b/>
          <w:sz w:val="28"/>
          <w:szCs w:val="28"/>
        </w:rPr>
        <w:t> </w:t>
      </w:r>
      <w:r w:rsidR="00CC0F36" w:rsidRPr="00910A5E">
        <w:rPr>
          <w:rFonts w:ascii="Times New Roman" w:hAnsi="Times New Roman"/>
          <w:b/>
          <w:sz w:val="28"/>
          <w:szCs w:val="28"/>
        </w:rPr>
        <w:t>decembra noteikumos Nr.</w:t>
      </w:r>
      <w:r w:rsidR="00A533E7" w:rsidRPr="00910A5E">
        <w:rPr>
          <w:rFonts w:ascii="Times New Roman" w:hAnsi="Times New Roman"/>
          <w:b/>
          <w:sz w:val="28"/>
          <w:szCs w:val="28"/>
        </w:rPr>
        <w:t> </w:t>
      </w:r>
      <w:r w:rsidR="00CC0F36" w:rsidRPr="00910A5E">
        <w:rPr>
          <w:rFonts w:ascii="Times New Roman" w:hAnsi="Times New Roman"/>
          <w:b/>
          <w:sz w:val="28"/>
          <w:szCs w:val="28"/>
        </w:rPr>
        <w:t xml:space="preserve">1524 </w:t>
      </w:r>
      <w:r w:rsidRPr="00910A5E">
        <w:rPr>
          <w:rFonts w:ascii="Times New Roman" w:hAnsi="Times New Roman"/>
          <w:b/>
          <w:sz w:val="28"/>
          <w:szCs w:val="28"/>
        </w:rPr>
        <w:t>„Noteikumi par valsts atbalstu lauksaimniecībai”</w:t>
      </w:r>
      <w:r w:rsidR="00CC0F36" w:rsidRPr="00910A5E">
        <w:rPr>
          <w:rFonts w:ascii="Times New Roman" w:hAnsi="Times New Roman"/>
          <w:b/>
          <w:sz w:val="28"/>
          <w:szCs w:val="28"/>
        </w:rPr>
        <w:t>”</w:t>
      </w:r>
      <w:r w:rsidRPr="00910A5E">
        <w:rPr>
          <w:rFonts w:ascii="Times New Roman" w:hAnsi="Times New Roman"/>
          <w:b/>
          <w:sz w:val="28"/>
          <w:szCs w:val="28"/>
        </w:rPr>
        <w:t xml:space="preserve"> </w:t>
      </w:r>
      <w:r w:rsidRPr="00910A5E">
        <w:rPr>
          <w:rFonts w:ascii="Times New Roman" w:hAnsi="Times New Roman"/>
          <w:b/>
          <w:bCs/>
          <w:sz w:val="28"/>
          <w:szCs w:val="28"/>
        </w:rPr>
        <w:t>sākotnējās ietekmes novērtējuma ziņojums</w:t>
      </w:r>
      <w:r w:rsidRPr="00910A5E">
        <w:rPr>
          <w:rFonts w:ascii="Times New Roman" w:hAnsi="Times New Roman"/>
          <w:b/>
          <w:sz w:val="28"/>
          <w:szCs w:val="28"/>
        </w:rPr>
        <w:t xml:space="preserve"> (anotācija)</w:t>
      </w:r>
      <w:bookmarkEnd w:id="0"/>
      <w:bookmarkEnd w:id="1"/>
    </w:p>
    <w:p w:rsidR="00552011" w:rsidRDefault="00552011" w:rsidP="0076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3"/>
        <w:gridCol w:w="6072"/>
      </w:tblGrid>
      <w:tr w:rsidR="00B91A42" w:rsidRPr="00B91A42" w:rsidTr="00B91A4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91A42" w:rsidRPr="0073509D" w:rsidRDefault="00B91A42" w:rsidP="00B9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B91A42" w:rsidRPr="00B91A42" w:rsidTr="00B91A42"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A42" w:rsidRPr="0073509D" w:rsidRDefault="00B91A42" w:rsidP="0073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2344" w:rsidRPr="0073509D" w:rsidRDefault="0073509D" w:rsidP="00A5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 xml:space="preserve"> „Grozījumi Ministru kabineta 2013.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d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ecembra noteikumos Nr.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1524 „Noteikumi par valsts atbalstu lauksaimniecībai””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mērķis ir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dalīt 2018.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 xml:space="preserve">m piešķirto </w:t>
            </w:r>
            <w:r w:rsidRPr="0073509D">
              <w:rPr>
                <w:rFonts w:ascii="Times New Roman" w:hAnsi="Times New Roman" w:cs="Times New Roman"/>
                <w:bCs/>
                <w:sz w:val="24"/>
                <w:szCs w:val="24"/>
              </w:rPr>
              <w:t>finansējum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735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33E7">
              <w:rPr>
                <w:rFonts w:ascii="Times New Roman" w:hAnsi="Times New Roman" w:cs="Times New Roman"/>
                <w:bCs/>
                <w:sz w:val="24"/>
                <w:szCs w:val="24"/>
              </w:rPr>
              <w:t>starp apstiprinātiem atbalsta pasākumiem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Noteikumu projektā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pārdalītais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finansējums ir paredzēts lopkopības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tirgus veicināšanas pasākumam.</w:t>
            </w:r>
          </w:p>
        </w:tc>
      </w:tr>
    </w:tbl>
    <w:p w:rsidR="00472586" w:rsidRPr="008D5756" w:rsidRDefault="00472586" w:rsidP="00760B61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278"/>
        <w:gridCol w:w="6374"/>
      </w:tblGrid>
      <w:tr w:rsidR="000330A2" w:rsidRPr="00DD49B6" w:rsidTr="00002603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0330A2" w:rsidRPr="00DD49B6" w:rsidTr="00002603">
        <w:trPr>
          <w:trHeight w:val="415"/>
        </w:trPr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25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517" w:type="pct"/>
          </w:tcPr>
          <w:p w:rsidR="000330A2" w:rsidRPr="00DD49B6" w:rsidRDefault="00A533E7" w:rsidP="006A51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noteikumu projekts „Grozījumi Ministru kabineta 2013.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gada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decembra 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1524 „Noteikumi par valsts atbalstu lauksaimniecībai”” (turpmāk – noteikumu projekts) ir sagatavots, pamatojoties uz Lauksaimniecības un lauku attīstības likuma 5.panta 3.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 un ceturto daļu.</w:t>
            </w:r>
          </w:p>
        </w:tc>
      </w:tr>
      <w:tr w:rsidR="000330A2" w:rsidRPr="00DD49B6" w:rsidTr="00002603">
        <w:trPr>
          <w:trHeight w:val="472"/>
        </w:trPr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257" w:type="pct"/>
          </w:tcPr>
          <w:p w:rsidR="000330A2" w:rsidRPr="007F2196" w:rsidRDefault="00726B5C" w:rsidP="00726B5C">
            <w:pPr>
              <w:spacing w:line="240" w:lineRule="auto"/>
            </w:pPr>
            <w:r w:rsidRPr="0072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Pašreizējā situācija un problēmas, kuru risināšanai tiesību akta projekts izstrādāts, tiesiskā regulējuma mērķis un būtība </w:t>
            </w:r>
          </w:p>
        </w:tc>
        <w:tc>
          <w:tcPr>
            <w:tcW w:w="3517" w:type="pct"/>
          </w:tcPr>
          <w:p w:rsidR="00726B5C" w:rsidRPr="00184AB9" w:rsidRDefault="00726B5C" w:rsidP="00726B5C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84AB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Sagatavotais </w:t>
            </w:r>
            <w:r w:rsidR="00A12344" w:rsidRPr="00184AB9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 w:rsidR="006C485A" w:rsidRPr="00184A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2344" w:rsidRPr="0018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AB9">
              <w:rPr>
                <w:rFonts w:ascii="Times New Roman" w:eastAsia="Calibri" w:hAnsi="Times New Roman" w:cs="Times New Roman"/>
                <w:sz w:val="24"/>
                <w:lang w:eastAsia="en-US"/>
              </w:rPr>
              <w:t>attiecas uz dabas resursu, lauksaimnieciskās ražošanas un pārstrādes politikas jomu.</w:t>
            </w:r>
          </w:p>
          <w:p w:rsidR="00DC02EC" w:rsidRPr="00184AB9" w:rsidRDefault="00DC02EC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esošajos Ministru kabineta 2013. gada 17. decembra noteikumos Nr. 1524 „Noteikumi par valsts atbalstu lauksaimniecībai”</w:t>
            </w:r>
            <w:r w:rsidR="00642E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noteikumi Nr. 1524)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noteikti valsts atbalsta pasākumi lauksaimniecības attīstībai, valsts atbalsta apmērs, piešķiršanas kritēriji un kārtība 2018. gadam.</w:t>
            </w:r>
          </w:p>
          <w:p w:rsidR="006E0E7E" w:rsidRPr="00184AB9" w:rsidRDefault="00DC02EC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Pēc Lauku atbalsta dienesta sniegtās informācijas, līdz 2018.gada 1</w:t>
            </w:r>
            <w:r w:rsidR="006E0E7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1422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0E7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novembrim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izveidojušies ne</w:t>
            </w:r>
            <w:r w:rsidR="008A046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finanšu līdzekļi atbalsta pasākumā </w:t>
            </w:r>
            <w:r w:rsidR="006E0E7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“Atbalsts ciltsdarba pasākumiem cūkkopības nozarē” 29 898 </w:t>
            </w:r>
            <w:r w:rsidR="006E0E7E" w:rsidRPr="0018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6E0E7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apmērā. Finanšu līdzekļu pārpalikums minētajā nozarē</w:t>
            </w:r>
            <w:r w:rsidR="00B8632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2018.gada III ceturksni</w:t>
            </w:r>
            <w:r w:rsidR="006E0E7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izveidojiet tādēļ, ka šī gada otrajā pusgadā Āfrikas cūku mēris skāra vienu no Kurzemes lielākajām cūku šķirnes dzīvnieku audzēšanas saimniecīb</w:t>
            </w:r>
            <w:r w:rsidR="00721D1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ām, kura bija spiesta iznīcinā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21D1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visus saimniecībā esošos dzīvniekus, arī atbalsttiesīgās vaislas sivēnmātes, jauncūkas un tīršķirnes kuiļus. Tāpēc noteikumu projekta 3.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1D1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punktā cūkkopības nozarei ir samazināts finansējums no 332 393 līdz 302 495 </w:t>
            </w:r>
            <w:r w:rsidR="00721D16" w:rsidRPr="0018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721D1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B5ED9" w:rsidRPr="00184AB9" w:rsidRDefault="00DC02EC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Savukārt citos pasākumos ir nepieciešams finansējuma palielinājums. Lai Lauku atbalsta dienestam, izmaksājot atbalstu, nebūtu jāpiemēro proporcionālais samazinājums par</w:t>
            </w:r>
            <w:r w:rsidR="009B1422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244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dzīvnieku līķu savākšanu, transportēšanu, pārstrādi un likvidēšanu</w:t>
            </w:r>
            <w:r w:rsidR="008A046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0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projekta </w:t>
            </w:r>
            <w:r w:rsidR="00670244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0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0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punktā 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finansējums ir palielināts par </w:t>
            </w:r>
            <w:r w:rsidR="00670244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22 205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DD0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Finansējuma palielinājums nav saistīts ar </w:t>
            </w:r>
            <w:r w:rsidR="005D77A8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infekcijas slimības 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Āfrikas cūku mēr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gadījumu cūku audzēšanas saimniecībā “</w:t>
            </w:r>
            <w:proofErr w:type="spellStart"/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Unguri</w:t>
            </w:r>
            <w:proofErr w:type="spellEnd"/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tas nepārklājas ar finansējumu, kas tika piešķirts no 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budžeta resora “74. Gadskārtējā valsts budžeta izpildes procesā pārdalāmais finansējums” budžeta programmas “Līdzekļi neparedzētiem gadījumiem”. Papildu finansējums nepieciešams citu lauksaimniecības dzīvnieku sugu līķu savākšan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, transportēšan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, pārstrād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i un likvidēšan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2B5ED9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0E7E" w:rsidRPr="00184AB9" w:rsidRDefault="00B94710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ehnisk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kļūdas 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dēļ 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Nacionālo subsīdiju informācijas sistēmā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ir izveidojusies situācija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(nav reģistrējies viens atbalsta maksājums)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atbalsta pasākumā </w:t>
            </w:r>
            <w:r w:rsidR="006E0E7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“2017.gadā uzsākto atbalsta pasākumu izpildes finansējumam” 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faktiski</w:t>
            </w:r>
            <w:r w:rsidR="00E92EF3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izmaksāts atbalsts par 7693 </w:t>
            </w:r>
            <w:r w:rsidR="00DB3CC6" w:rsidRPr="0018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vairāk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nekā </w:t>
            </w:r>
            <w:r w:rsidR="00EA326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 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Nr.1524 2.6.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s, kur</w:t>
            </w:r>
            <w:r w:rsidR="003C333C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noteiktā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apstiprinātā summa</w:t>
            </w:r>
            <w:r w:rsidR="00EA326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EA326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337 085 </w:t>
            </w:r>
            <w:r w:rsidR="00EA326E" w:rsidRPr="0018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 Lai novērstu šo situāciju, noteikumu projekta 5. punktā ir precizēta kopējā atbalsta summa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palielin</w:t>
            </w: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26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7 693 </w:t>
            </w:r>
            <w:r w:rsidR="00EA326E" w:rsidRPr="0018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EA326E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344 778 </w:t>
            </w:r>
            <w:r w:rsidR="00DB3CC6" w:rsidRPr="0018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6442D" w:rsidRPr="00184AB9" w:rsidRDefault="008A046E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Ievērojot </w:t>
            </w:r>
            <w:r w:rsidR="00E67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finansējuma pārdali, noteikumu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</w:t>
            </w:r>
            <w:r w:rsidR="00E67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1., 2., 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3., </w:t>
            </w:r>
            <w:r w:rsidR="00E67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42E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67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.punktā ir precizētas atbalsta summas</w:t>
            </w:r>
            <w:r w:rsidR="00642E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Nr. 1524 2.1., 2.1.1., 2.1.1.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2E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., 2.1.</w:t>
            </w:r>
            <w:r w:rsidR="00DB3CC6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42E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un 2.6. apakšpunktā</w:t>
            </w:r>
            <w:r w:rsidR="00E67931" w:rsidRPr="00184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7EB0" w:rsidRPr="00184AB9" w:rsidRDefault="00431E7C" w:rsidP="00E67931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120"/>
              <w:jc w:val="both"/>
              <w:rPr>
                <w:b w:val="0"/>
                <w:sz w:val="24"/>
                <w:szCs w:val="24"/>
              </w:rPr>
            </w:pPr>
            <w:r w:rsidRPr="00184AB9">
              <w:rPr>
                <w:b w:val="0"/>
                <w:sz w:val="24"/>
                <w:szCs w:val="24"/>
              </w:rPr>
              <w:t xml:space="preserve">Minētie grozījumi ļaus plānveidīgi </w:t>
            </w:r>
            <w:r w:rsidR="006C485A" w:rsidRPr="00184AB9">
              <w:rPr>
                <w:b w:val="0"/>
                <w:sz w:val="24"/>
                <w:szCs w:val="24"/>
              </w:rPr>
              <w:t>izmantot</w:t>
            </w:r>
            <w:r w:rsidRPr="00184AB9">
              <w:rPr>
                <w:b w:val="0"/>
                <w:sz w:val="24"/>
                <w:szCs w:val="24"/>
              </w:rPr>
              <w:t xml:space="preserve"> valsts atbalstam piešķirtos finanšu līdzekļus 2018.gadā.</w:t>
            </w:r>
          </w:p>
        </w:tc>
      </w:tr>
      <w:tr w:rsidR="000330A2" w:rsidRPr="00DD49B6" w:rsidTr="00002603">
        <w:trPr>
          <w:trHeight w:val="476"/>
        </w:trPr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257" w:type="pct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Projekta izstrādē iesaistītās institūcijas un publiskas personas kapitālsabiedrības</w:t>
            </w:r>
          </w:p>
        </w:tc>
        <w:tc>
          <w:tcPr>
            <w:tcW w:w="3517" w:type="pct"/>
          </w:tcPr>
          <w:p w:rsidR="000330A2" w:rsidRPr="00DD49B6" w:rsidRDefault="003C07D1" w:rsidP="003C07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7F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7F0225">
              <w:rPr>
                <w:rFonts w:ascii="Times New Roman" w:hAnsi="Times New Roman"/>
                <w:sz w:val="24"/>
                <w:szCs w:val="24"/>
              </w:rPr>
              <w:t>Lauku atbalsta dienests</w:t>
            </w:r>
          </w:p>
        </w:tc>
      </w:tr>
      <w:tr w:rsidR="000330A2" w:rsidRPr="00DD49B6" w:rsidTr="00002603"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25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517" w:type="pct"/>
          </w:tcPr>
          <w:p w:rsidR="000330A2" w:rsidRPr="003C07D1" w:rsidRDefault="003C07D1" w:rsidP="003C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07D1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Pr="00DD49B6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5660"/>
      </w:tblGrid>
      <w:tr w:rsidR="000330A2" w:rsidRPr="00DD49B6" w:rsidTr="00472586">
        <w:trPr>
          <w:trHeight w:val="556"/>
        </w:trPr>
        <w:tc>
          <w:tcPr>
            <w:tcW w:w="9067" w:type="dxa"/>
            <w:gridSpan w:val="3"/>
            <w:vAlign w:val="center"/>
          </w:tcPr>
          <w:p w:rsidR="000330A2" w:rsidRPr="00DD49B6" w:rsidRDefault="009F3688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9F3688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330A2" w:rsidRPr="00DD49B6" w:rsidTr="00472586">
        <w:trPr>
          <w:trHeight w:val="467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Sabiedrības mērķgrupas, kuras tiesiskais regulējums ietekmē vai varētu ietekmēt</w:t>
            </w:r>
          </w:p>
        </w:tc>
        <w:tc>
          <w:tcPr>
            <w:tcW w:w="5660" w:type="dxa"/>
          </w:tcPr>
          <w:p w:rsidR="000330A2" w:rsidRPr="00DD49B6" w:rsidRDefault="00E46804" w:rsidP="00EA326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1"/>
            <w:bookmarkEnd w:id="2"/>
            <w:r w:rsidRPr="00B232A4">
              <w:rPr>
                <w:rFonts w:ascii="Times New Roman" w:hAnsi="Times New Roman"/>
                <w:sz w:val="24"/>
              </w:rPr>
              <w:t xml:space="preserve">Fiziskas un juridiskas personas, kas nodarbojas ar </w:t>
            </w:r>
            <w:r w:rsidR="00EA326E">
              <w:rPr>
                <w:rFonts w:ascii="Times New Roman" w:hAnsi="Times New Roman"/>
                <w:sz w:val="24"/>
              </w:rPr>
              <w:t>lauksaimniecības dzīvnieku audzēšanu</w:t>
            </w:r>
            <w:r w:rsidR="00B94710">
              <w:rPr>
                <w:rFonts w:ascii="Times New Roman" w:hAnsi="Times New Roman"/>
                <w:sz w:val="24"/>
              </w:rPr>
              <w:t>,</w:t>
            </w:r>
            <w:r w:rsidR="00EA326E">
              <w:rPr>
                <w:rFonts w:ascii="Times New Roman" w:hAnsi="Times New Roman"/>
                <w:sz w:val="24"/>
              </w:rPr>
              <w:t xml:space="preserve"> un</w:t>
            </w:r>
            <w:r w:rsidR="003C07D1">
              <w:rPr>
                <w:rFonts w:ascii="Times New Roman" w:hAnsi="Times New Roman"/>
                <w:sz w:val="24"/>
              </w:rPr>
              <w:t xml:space="preserve"> viena</w:t>
            </w:r>
            <w:r w:rsidRPr="00B232A4">
              <w:rPr>
                <w:rFonts w:ascii="Times New Roman" w:hAnsi="Times New Roman"/>
                <w:sz w:val="24"/>
              </w:rPr>
              <w:t> šķirnes dzīvnieku audzētāju organizācij</w:t>
            </w:r>
            <w:r w:rsidR="003C07D1">
              <w:rPr>
                <w:rFonts w:ascii="Times New Roman" w:hAnsi="Times New Roman"/>
                <w:sz w:val="24"/>
              </w:rPr>
              <w:t>a</w:t>
            </w:r>
            <w:r w:rsidR="00EA326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30A2" w:rsidRPr="00DD49B6" w:rsidTr="00472586">
        <w:trPr>
          <w:trHeight w:val="523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Tiesiskā regulējuma ietekme uz tautsaimniecību un administratīvo slogu</w:t>
            </w:r>
          </w:p>
        </w:tc>
        <w:tc>
          <w:tcPr>
            <w:tcW w:w="5660" w:type="dxa"/>
          </w:tcPr>
          <w:p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:rsidTr="00472586">
        <w:trPr>
          <w:trHeight w:val="523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Administratīvo izmaksu monetārs novērtējums</w:t>
            </w:r>
          </w:p>
        </w:tc>
        <w:tc>
          <w:tcPr>
            <w:tcW w:w="5660" w:type="dxa"/>
          </w:tcPr>
          <w:p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9F3688" w:rsidRPr="00DD49B6" w:rsidTr="00472586">
        <w:trPr>
          <w:trHeight w:val="523"/>
        </w:trPr>
        <w:tc>
          <w:tcPr>
            <w:tcW w:w="431" w:type="dxa"/>
          </w:tcPr>
          <w:p w:rsidR="009F3688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4.</w:t>
            </w:r>
          </w:p>
        </w:tc>
        <w:tc>
          <w:tcPr>
            <w:tcW w:w="2976" w:type="dxa"/>
          </w:tcPr>
          <w:p w:rsidR="009F3688" w:rsidRPr="009F3688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Atbilstības izmaksu monetārs novērtējums</w:t>
            </w:r>
          </w:p>
        </w:tc>
        <w:tc>
          <w:tcPr>
            <w:tcW w:w="5660" w:type="dxa"/>
          </w:tcPr>
          <w:p w:rsidR="009F3688" w:rsidRDefault="009F3688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F368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:rsidTr="00472586">
        <w:trPr>
          <w:trHeight w:val="357"/>
        </w:trPr>
        <w:tc>
          <w:tcPr>
            <w:tcW w:w="431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5</w:t>
            </w:r>
            <w:r w:rsidR="000330A2" w:rsidRPr="00DD49B6">
              <w:t>.</w:t>
            </w:r>
          </w:p>
        </w:tc>
        <w:tc>
          <w:tcPr>
            <w:tcW w:w="2976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660" w:type="dxa"/>
          </w:tcPr>
          <w:p w:rsidR="000330A2" w:rsidRPr="00DD49B6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6F50" w:rsidRPr="00596F50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:rsidR="00596F50" w:rsidRPr="00596F50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F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9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96F50" w:rsidRPr="00596F50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:rsidR="00596F50" w:rsidRPr="00596F50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5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5749"/>
      </w:tblGrid>
      <w:tr w:rsidR="000330A2" w:rsidRPr="00DD49B6" w:rsidTr="00472586">
        <w:trPr>
          <w:trHeight w:val="421"/>
          <w:jc w:val="center"/>
        </w:trPr>
        <w:tc>
          <w:tcPr>
            <w:tcW w:w="9067" w:type="dxa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0330A2" w:rsidRPr="00DD49B6" w:rsidTr="00472586">
        <w:trPr>
          <w:trHeight w:val="553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749" w:type="dxa"/>
          </w:tcPr>
          <w:p w:rsidR="000330A2" w:rsidRPr="00DD49B6" w:rsidRDefault="008B4DF4" w:rsidP="00EA326E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1"/>
            <w:bookmarkEnd w:id="3"/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>Par noteikumu projektu</w:t>
            </w:r>
            <w:r w:rsidRPr="00B2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F50" w:rsidRPr="00596F50">
              <w:rPr>
                <w:rFonts w:ascii="Times New Roman" w:hAnsi="Times New Roman"/>
                <w:sz w:val="24"/>
                <w:szCs w:val="24"/>
              </w:rPr>
              <w:t>šķirnes dzīvnieku audzētāju organizācija</w:t>
            </w:r>
            <w:r w:rsidR="0059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 xml:space="preserve">ir informēta, </w:t>
            </w:r>
            <w:r w:rsidR="006C485A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EA326E">
              <w:rPr>
                <w:rFonts w:ascii="Times New Roman" w:hAnsi="Times New Roman"/>
                <w:iCs/>
                <w:sz w:val="24"/>
                <w:szCs w:val="24"/>
              </w:rPr>
              <w:t>ai</w:t>
            </w:r>
            <w:r w:rsidR="006C48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C485A" w:rsidRPr="001F0D3D">
              <w:rPr>
                <w:rFonts w:ascii="Times New Roman" w:hAnsi="Times New Roman"/>
                <w:sz w:val="24"/>
                <w:szCs w:val="24"/>
              </w:rPr>
              <w:t>elektroniski</w:t>
            </w:r>
            <w:r w:rsidR="006C485A" w:rsidRPr="00B232A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 xml:space="preserve">nosūtot noteikumu </w:t>
            </w:r>
            <w:r w:rsidRPr="001F0D3D">
              <w:rPr>
                <w:rFonts w:ascii="Times New Roman" w:hAnsi="Times New Roman"/>
                <w:iCs/>
                <w:sz w:val="24"/>
                <w:szCs w:val="24"/>
              </w:rPr>
              <w:t>projektu</w:t>
            </w:r>
            <w:r w:rsidR="009E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0A2" w:rsidRPr="00DD49B6" w:rsidTr="00472586">
        <w:trPr>
          <w:trHeight w:val="339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749" w:type="dxa"/>
          </w:tcPr>
          <w:p w:rsidR="000330A2" w:rsidRPr="00DD49B6" w:rsidRDefault="008B4DF4" w:rsidP="00EA326E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2"/>
            <w:bookmarkEnd w:id="4"/>
            <w:r>
              <w:rPr>
                <w:rFonts w:ascii="Times New Roman" w:hAnsi="Times New Roman"/>
                <w:sz w:val="24"/>
                <w:szCs w:val="24"/>
              </w:rPr>
              <w:t>Noteikumu projekta izstrādē iesaistī</w:t>
            </w:r>
            <w:r w:rsidR="00596F50">
              <w:rPr>
                <w:rFonts w:ascii="Times New Roman" w:hAnsi="Times New Roman"/>
                <w:sz w:val="24"/>
                <w:szCs w:val="24"/>
              </w:rPr>
              <w:t>ta</w:t>
            </w:r>
            <w:r w:rsidRPr="00B2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Latvijas </w:t>
            </w:r>
            <w:r w:rsidR="00EA3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Cūku audzētāju asociācija.</w:t>
            </w:r>
          </w:p>
        </w:tc>
      </w:tr>
      <w:tr w:rsidR="000330A2" w:rsidRPr="00DD49B6" w:rsidTr="00472586">
        <w:trPr>
          <w:trHeight w:val="476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749" w:type="dxa"/>
          </w:tcPr>
          <w:p w:rsidR="000330A2" w:rsidRPr="00DD49B6" w:rsidRDefault="009E4773" w:rsidP="00596F50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</w:t>
            </w:r>
            <w:r w:rsidR="00596F50">
              <w:rPr>
                <w:rFonts w:ascii="Times New Roman" w:hAnsi="Times New Roman"/>
                <w:sz w:val="24"/>
                <w:szCs w:val="24"/>
              </w:rPr>
              <w:t xml:space="preserve">sagatavots, pamatojoties uz </w:t>
            </w:r>
            <w:r w:rsidR="00EA326E">
              <w:rPr>
                <w:rFonts w:ascii="Times New Roman" w:hAnsi="Times New Roman"/>
                <w:sz w:val="24"/>
                <w:szCs w:val="24"/>
              </w:rPr>
              <w:t xml:space="preserve">Lauku atbalsta dienesta un </w:t>
            </w:r>
            <w:r w:rsidR="00EA326E" w:rsidRPr="00B2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Latvijas </w:t>
            </w:r>
            <w:r w:rsidR="00EA3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Cūku audzētāju asociācija</w:t>
            </w:r>
            <w:r w:rsidR="00596F50">
              <w:rPr>
                <w:rFonts w:ascii="Times New Roman" w:hAnsi="Times New Roman"/>
                <w:bCs/>
                <w:sz w:val="24"/>
                <w:szCs w:val="24"/>
              </w:rPr>
              <w:t xml:space="preserve"> izteiktajiem priekšlikumiem.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A2" w:rsidRPr="00DD49B6" w:rsidTr="00472586">
        <w:trPr>
          <w:trHeight w:val="476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49" w:type="dxa"/>
          </w:tcPr>
          <w:p w:rsidR="000330A2" w:rsidRPr="00DD49B6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86" w:rsidRPr="00DD49B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015"/>
      </w:tblGrid>
      <w:tr w:rsidR="000330A2" w:rsidRPr="00DD49B6" w:rsidTr="00472586">
        <w:trPr>
          <w:trHeight w:val="381"/>
          <w:jc w:val="center"/>
        </w:trPr>
        <w:tc>
          <w:tcPr>
            <w:tcW w:w="9067" w:type="dxa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DD49B6" w:rsidTr="00472586">
        <w:trPr>
          <w:trHeight w:val="427"/>
          <w:jc w:val="center"/>
        </w:trPr>
        <w:tc>
          <w:tcPr>
            <w:tcW w:w="437" w:type="dxa"/>
          </w:tcPr>
          <w:p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015" w:type="dxa"/>
          </w:tcPr>
          <w:p w:rsidR="00897834" w:rsidRPr="00E24A36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E24A36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DD49B6" w:rsidTr="00472586">
        <w:trPr>
          <w:trHeight w:val="463"/>
          <w:jc w:val="center"/>
        </w:trPr>
        <w:tc>
          <w:tcPr>
            <w:tcW w:w="437" w:type="dxa"/>
          </w:tcPr>
          <w:p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015" w:type="dxa"/>
          </w:tcPr>
          <w:p w:rsidR="00897834" w:rsidRPr="00E24A36" w:rsidRDefault="00897834" w:rsidP="00897834">
            <w:pPr>
              <w:pStyle w:val="naisnod"/>
              <w:spacing w:before="0" w:after="0"/>
              <w:ind w:left="57" w:right="57" w:hanging="57"/>
            </w:pPr>
            <w:r w:rsidRPr="00E24A36">
              <w:t xml:space="preserve">Projekts </w:t>
            </w:r>
            <w:r w:rsidR="008544EA" w:rsidRPr="008544EA">
              <w:t xml:space="preserve">neietekmē pārvaldes funkcijas un uzdevumus, </w:t>
            </w:r>
            <w:r w:rsidR="006C485A">
              <w:t>ne</w:t>
            </w:r>
            <w:r w:rsidR="008544EA" w:rsidRPr="008544EA">
              <w:t xml:space="preserve"> arī institucionālo struktūru</w:t>
            </w:r>
            <w:r w:rsidR="008544EA">
              <w:t>.</w:t>
            </w:r>
          </w:p>
        </w:tc>
      </w:tr>
      <w:tr w:rsidR="000330A2" w:rsidRPr="00DD49B6" w:rsidTr="00472586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C56B69" w:rsidRDefault="00C56B69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744C6" w:rsidRDefault="00C744C6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60CAE" w:rsidRDefault="00D60CAE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360EDE" w:rsidRPr="00910A5E" w:rsidRDefault="00910A5E" w:rsidP="00C56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Zemkopības ministrs</w:t>
      </w:r>
      <w:r w:rsidR="00360EDE" w:rsidRPr="00910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5C4" w:rsidRPr="00910A5E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910A5E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910A5E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910A5E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910A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2011" w:rsidRPr="00910A5E">
        <w:rPr>
          <w:rFonts w:ascii="Times New Roman" w:eastAsia="Times New Roman" w:hAnsi="Times New Roman" w:cs="Times New Roman"/>
          <w:sz w:val="28"/>
          <w:szCs w:val="28"/>
        </w:rPr>
        <w:t xml:space="preserve">Jānis </w:t>
      </w:r>
      <w:r w:rsidR="005065C4" w:rsidRPr="00910A5E">
        <w:rPr>
          <w:rFonts w:ascii="Times New Roman" w:eastAsia="Times New Roman" w:hAnsi="Times New Roman" w:cs="Times New Roman"/>
          <w:sz w:val="28"/>
          <w:szCs w:val="28"/>
        </w:rPr>
        <w:t>Dūklavs</w:t>
      </w:r>
    </w:p>
    <w:p w:rsidR="007F2196" w:rsidRDefault="007F219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196" w:rsidRDefault="007F219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097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097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097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4C6" w:rsidRDefault="00C744C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A5E" w:rsidRPr="00910A5E" w:rsidRDefault="00760B61" w:rsidP="0091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5E">
        <w:rPr>
          <w:rFonts w:ascii="Times New Roman" w:hAnsi="Times New Roman" w:cs="Times New Roman"/>
          <w:sz w:val="24"/>
          <w:szCs w:val="24"/>
        </w:rPr>
        <w:t>Ingiļāvičute</w:t>
      </w:r>
      <w:r w:rsidR="00910A5E" w:rsidRPr="00910A5E">
        <w:rPr>
          <w:rFonts w:ascii="Times New Roman" w:hAnsi="Times New Roman" w:cs="Times New Roman"/>
          <w:sz w:val="24"/>
          <w:szCs w:val="24"/>
        </w:rPr>
        <w:t xml:space="preserve"> 67027661</w:t>
      </w:r>
      <w:r w:rsidRPr="00910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0A2" w:rsidRPr="00910A5E" w:rsidRDefault="00760B61" w:rsidP="0091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5E">
        <w:rPr>
          <w:rFonts w:ascii="Times New Roman" w:hAnsi="Times New Roman" w:cs="Times New Roman"/>
          <w:sz w:val="24"/>
          <w:szCs w:val="24"/>
        </w:rPr>
        <w:t>Biruta.Ingilavicute@zm.gov.lv</w:t>
      </w:r>
    </w:p>
    <w:sectPr w:rsidR="000330A2" w:rsidRPr="00910A5E" w:rsidSect="00910A5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D6" w:rsidRDefault="003E63D6" w:rsidP="00B43E45">
      <w:pPr>
        <w:spacing w:after="0" w:line="240" w:lineRule="auto"/>
      </w:pPr>
      <w:r>
        <w:separator/>
      </w:r>
    </w:p>
  </w:endnote>
  <w:endnote w:type="continuationSeparator" w:id="0">
    <w:p w:rsidR="003E63D6" w:rsidRDefault="003E63D6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3B" w:rsidRPr="0068244A" w:rsidRDefault="00910A5E" w:rsidP="00910A5E">
    <w:pPr>
      <w:pStyle w:val="Kjene"/>
      <w:rPr>
        <w:rFonts w:ascii="Times New Roman" w:hAnsi="Times New Roman" w:cs="Times New Roman"/>
        <w:sz w:val="20"/>
        <w:szCs w:val="20"/>
      </w:rPr>
    </w:pPr>
    <w:r w:rsidRPr="00910A5E">
      <w:rPr>
        <w:rFonts w:ascii="Times New Roman" w:hAnsi="Times New Roman" w:cs="Times New Roman"/>
        <w:sz w:val="20"/>
        <w:szCs w:val="20"/>
      </w:rPr>
      <w:t>ZMAnot_031218_valstsatba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3B" w:rsidRPr="0068244A" w:rsidRDefault="00910A5E" w:rsidP="00910A5E">
    <w:pPr>
      <w:pStyle w:val="Kjene"/>
      <w:rPr>
        <w:rFonts w:ascii="Times New Roman" w:hAnsi="Times New Roman" w:cs="Times New Roman"/>
        <w:sz w:val="20"/>
        <w:szCs w:val="20"/>
      </w:rPr>
    </w:pPr>
    <w:r w:rsidRPr="00910A5E">
      <w:rPr>
        <w:rFonts w:ascii="Times New Roman" w:hAnsi="Times New Roman" w:cs="Times New Roman"/>
        <w:sz w:val="20"/>
        <w:szCs w:val="20"/>
      </w:rPr>
      <w:t>ZMAnot_031218_valstsatba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D6" w:rsidRDefault="003E63D6" w:rsidP="00B43E45">
      <w:pPr>
        <w:spacing w:after="0" w:line="240" w:lineRule="auto"/>
      </w:pPr>
      <w:r>
        <w:separator/>
      </w:r>
    </w:p>
  </w:footnote>
  <w:footnote w:type="continuationSeparator" w:id="0">
    <w:p w:rsidR="003E63D6" w:rsidRDefault="003E63D6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AD293B" w:rsidRPr="00760B61" w:rsidRDefault="00AD293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910A5E">
          <w:rPr>
            <w:rFonts w:ascii="Times New Roman" w:hAnsi="Times New Roman" w:cs="Times New Roman"/>
            <w:noProof/>
            <w:sz w:val="24"/>
          </w:rPr>
          <w:t>2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293B" w:rsidRPr="00760B61" w:rsidRDefault="00AD293B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7"/>
    <w:rsid w:val="00002603"/>
    <w:rsid w:val="0002122B"/>
    <w:rsid w:val="000304CB"/>
    <w:rsid w:val="000330A2"/>
    <w:rsid w:val="000368BB"/>
    <w:rsid w:val="00046F54"/>
    <w:rsid w:val="00047B6E"/>
    <w:rsid w:val="00051F44"/>
    <w:rsid w:val="0005547A"/>
    <w:rsid w:val="00066361"/>
    <w:rsid w:val="0007195C"/>
    <w:rsid w:val="00077EB0"/>
    <w:rsid w:val="00081898"/>
    <w:rsid w:val="000D4676"/>
    <w:rsid w:val="000E1DDA"/>
    <w:rsid w:val="000F173E"/>
    <w:rsid w:val="00100DBE"/>
    <w:rsid w:val="001022EF"/>
    <w:rsid w:val="0010345A"/>
    <w:rsid w:val="0010407A"/>
    <w:rsid w:val="0010792A"/>
    <w:rsid w:val="0011459C"/>
    <w:rsid w:val="00114A10"/>
    <w:rsid w:val="00123517"/>
    <w:rsid w:val="001266D5"/>
    <w:rsid w:val="00130FCE"/>
    <w:rsid w:val="00131F83"/>
    <w:rsid w:val="00140A54"/>
    <w:rsid w:val="001469F7"/>
    <w:rsid w:val="00156501"/>
    <w:rsid w:val="00156EE9"/>
    <w:rsid w:val="0016492B"/>
    <w:rsid w:val="00166EFF"/>
    <w:rsid w:val="001671C6"/>
    <w:rsid w:val="00176AB8"/>
    <w:rsid w:val="001779A2"/>
    <w:rsid w:val="00184AB9"/>
    <w:rsid w:val="001866AA"/>
    <w:rsid w:val="001B1B67"/>
    <w:rsid w:val="001B7BBB"/>
    <w:rsid w:val="001B7FD9"/>
    <w:rsid w:val="001C17CB"/>
    <w:rsid w:val="001C27D3"/>
    <w:rsid w:val="001C749C"/>
    <w:rsid w:val="001D2AEF"/>
    <w:rsid w:val="001D456D"/>
    <w:rsid w:val="001D7E88"/>
    <w:rsid w:val="001F0487"/>
    <w:rsid w:val="001F0D3D"/>
    <w:rsid w:val="001F15ED"/>
    <w:rsid w:val="00204853"/>
    <w:rsid w:val="0021290C"/>
    <w:rsid w:val="00225DCD"/>
    <w:rsid w:val="00233632"/>
    <w:rsid w:val="00242BED"/>
    <w:rsid w:val="00261B1D"/>
    <w:rsid w:val="0027190F"/>
    <w:rsid w:val="00272762"/>
    <w:rsid w:val="00276757"/>
    <w:rsid w:val="002940CE"/>
    <w:rsid w:val="002B08C5"/>
    <w:rsid w:val="002B1267"/>
    <w:rsid w:val="002B5ED9"/>
    <w:rsid w:val="002E109D"/>
    <w:rsid w:val="002E5F72"/>
    <w:rsid w:val="002F2347"/>
    <w:rsid w:val="002F2BF5"/>
    <w:rsid w:val="002F3A45"/>
    <w:rsid w:val="002F6AAA"/>
    <w:rsid w:val="003021EA"/>
    <w:rsid w:val="00307596"/>
    <w:rsid w:val="0030796C"/>
    <w:rsid w:val="00312DC4"/>
    <w:rsid w:val="00316A48"/>
    <w:rsid w:val="003201E3"/>
    <w:rsid w:val="0032029F"/>
    <w:rsid w:val="003239FB"/>
    <w:rsid w:val="00323AC7"/>
    <w:rsid w:val="00335CC6"/>
    <w:rsid w:val="00343905"/>
    <w:rsid w:val="003476C3"/>
    <w:rsid w:val="00351DA0"/>
    <w:rsid w:val="00360EDE"/>
    <w:rsid w:val="00362D35"/>
    <w:rsid w:val="003665A2"/>
    <w:rsid w:val="00367875"/>
    <w:rsid w:val="00374E0B"/>
    <w:rsid w:val="00375524"/>
    <w:rsid w:val="00377CDE"/>
    <w:rsid w:val="00385344"/>
    <w:rsid w:val="003857DB"/>
    <w:rsid w:val="003A3420"/>
    <w:rsid w:val="003B4EB6"/>
    <w:rsid w:val="003C07D1"/>
    <w:rsid w:val="003C333C"/>
    <w:rsid w:val="003D01F4"/>
    <w:rsid w:val="003D42CB"/>
    <w:rsid w:val="003E064E"/>
    <w:rsid w:val="003E63D6"/>
    <w:rsid w:val="003F7E01"/>
    <w:rsid w:val="00402FEA"/>
    <w:rsid w:val="004122BC"/>
    <w:rsid w:val="00422589"/>
    <w:rsid w:val="004250D0"/>
    <w:rsid w:val="00431E7C"/>
    <w:rsid w:val="00445F16"/>
    <w:rsid w:val="004465D8"/>
    <w:rsid w:val="00455344"/>
    <w:rsid w:val="00456875"/>
    <w:rsid w:val="00457C02"/>
    <w:rsid w:val="0046075E"/>
    <w:rsid w:val="0046442D"/>
    <w:rsid w:val="00472586"/>
    <w:rsid w:val="004B2446"/>
    <w:rsid w:val="004B5266"/>
    <w:rsid w:val="004C70B3"/>
    <w:rsid w:val="004D0AA9"/>
    <w:rsid w:val="004E0136"/>
    <w:rsid w:val="004E1493"/>
    <w:rsid w:val="004E39AE"/>
    <w:rsid w:val="004F5976"/>
    <w:rsid w:val="00504190"/>
    <w:rsid w:val="00506514"/>
    <w:rsid w:val="005065C4"/>
    <w:rsid w:val="00507388"/>
    <w:rsid w:val="0051477B"/>
    <w:rsid w:val="00515C1B"/>
    <w:rsid w:val="005206FF"/>
    <w:rsid w:val="00522DA8"/>
    <w:rsid w:val="00523895"/>
    <w:rsid w:val="00531E80"/>
    <w:rsid w:val="00532397"/>
    <w:rsid w:val="00540AA5"/>
    <w:rsid w:val="00552011"/>
    <w:rsid w:val="00583D4F"/>
    <w:rsid w:val="00591097"/>
    <w:rsid w:val="00596D2C"/>
    <w:rsid w:val="00596F50"/>
    <w:rsid w:val="005A2113"/>
    <w:rsid w:val="005C496A"/>
    <w:rsid w:val="005D77A8"/>
    <w:rsid w:val="005E56C9"/>
    <w:rsid w:val="00601A77"/>
    <w:rsid w:val="00607C5B"/>
    <w:rsid w:val="00623DC5"/>
    <w:rsid w:val="00624D41"/>
    <w:rsid w:val="00631EF1"/>
    <w:rsid w:val="00633B2D"/>
    <w:rsid w:val="0064117C"/>
    <w:rsid w:val="00642E31"/>
    <w:rsid w:val="0064407D"/>
    <w:rsid w:val="00645703"/>
    <w:rsid w:val="00655B18"/>
    <w:rsid w:val="0065721F"/>
    <w:rsid w:val="00661528"/>
    <w:rsid w:val="00665C0B"/>
    <w:rsid w:val="00670244"/>
    <w:rsid w:val="0067349C"/>
    <w:rsid w:val="0068244A"/>
    <w:rsid w:val="0068294F"/>
    <w:rsid w:val="00684952"/>
    <w:rsid w:val="0068772C"/>
    <w:rsid w:val="0069590E"/>
    <w:rsid w:val="006A4D02"/>
    <w:rsid w:val="006A5178"/>
    <w:rsid w:val="006C2BC1"/>
    <w:rsid w:val="006C485A"/>
    <w:rsid w:val="006D1591"/>
    <w:rsid w:val="006D41F8"/>
    <w:rsid w:val="006D439E"/>
    <w:rsid w:val="006D6341"/>
    <w:rsid w:val="006D6DBC"/>
    <w:rsid w:val="006E0E7E"/>
    <w:rsid w:val="006F134D"/>
    <w:rsid w:val="006F14EA"/>
    <w:rsid w:val="006F5397"/>
    <w:rsid w:val="006F69C8"/>
    <w:rsid w:val="00703F24"/>
    <w:rsid w:val="00721D16"/>
    <w:rsid w:val="00723E24"/>
    <w:rsid w:val="00726B5C"/>
    <w:rsid w:val="0073509D"/>
    <w:rsid w:val="00751CC0"/>
    <w:rsid w:val="00753F17"/>
    <w:rsid w:val="00760B61"/>
    <w:rsid w:val="0076284F"/>
    <w:rsid w:val="00766305"/>
    <w:rsid w:val="0077301B"/>
    <w:rsid w:val="007766D1"/>
    <w:rsid w:val="0077671A"/>
    <w:rsid w:val="007816A7"/>
    <w:rsid w:val="007826A8"/>
    <w:rsid w:val="007845F1"/>
    <w:rsid w:val="007B1F91"/>
    <w:rsid w:val="007C2124"/>
    <w:rsid w:val="007C49C9"/>
    <w:rsid w:val="007C50E2"/>
    <w:rsid w:val="007C55A0"/>
    <w:rsid w:val="007D0225"/>
    <w:rsid w:val="007F0225"/>
    <w:rsid w:val="007F2196"/>
    <w:rsid w:val="007F71B9"/>
    <w:rsid w:val="007F7908"/>
    <w:rsid w:val="00800322"/>
    <w:rsid w:val="00802476"/>
    <w:rsid w:val="0082562F"/>
    <w:rsid w:val="008344F1"/>
    <w:rsid w:val="0085229A"/>
    <w:rsid w:val="00852FAD"/>
    <w:rsid w:val="008544EA"/>
    <w:rsid w:val="008553BF"/>
    <w:rsid w:val="00874BDB"/>
    <w:rsid w:val="0088353A"/>
    <w:rsid w:val="00883BBD"/>
    <w:rsid w:val="00883CE9"/>
    <w:rsid w:val="00890B7D"/>
    <w:rsid w:val="0089183A"/>
    <w:rsid w:val="00892C45"/>
    <w:rsid w:val="00897834"/>
    <w:rsid w:val="008A046E"/>
    <w:rsid w:val="008A0A22"/>
    <w:rsid w:val="008A2B99"/>
    <w:rsid w:val="008B4DF4"/>
    <w:rsid w:val="008B784F"/>
    <w:rsid w:val="008D5756"/>
    <w:rsid w:val="008E5E00"/>
    <w:rsid w:val="008E730A"/>
    <w:rsid w:val="008E7993"/>
    <w:rsid w:val="008F6324"/>
    <w:rsid w:val="009040FB"/>
    <w:rsid w:val="00906770"/>
    <w:rsid w:val="00907DCD"/>
    <w:rsid w:val="00910456"/>
    <w:rsid w:val="00910A5E"/>
    <w:rsid w:val="009114A5"/>
    <w:rsid w:val="009154FF"/>
    <w:rsid w:val="0092023D"/>
    <w:rsid w:val="00926510"/>
    <w:rsid w:val="009401C7"/>
    <w:rsid w:val="009422A3"/>
    <w:rsid w:val="009425B9"/>
    <w:rsid w:val="00945E3B"/>
    <w:rsid w:val="00960020"/>
    <w:rsid w:val="009704F7"/>
    <w:rsid w:val="00980384"/>
    <w:rsid w:val="009831EE"/>
    <w:rsid w:val="0098336F"/>
    <w:rsid w:val="009838F3"/>
    <w:rsid w:val="00996783"/>
    <w:rsid w:val="009975AA"/>
    <w:rsid w:val="009B1422"/>
    <w:rsid w:val="009B7E48"/>
    <w:rsid w:val="009C4405"/>
    <w:rsid w:val="009D36DC"/>
    <w:rsid w:val="009E4773"/>
    <w:rsid w:val="009F3688"/>
    <w:rsid w:val="009F3C65"/>
    <w:rsid w:val="00A12344"/>
    <w:rsid w:val="00A20552"/>
    <w:rsid w:val="00A32C1B"/>
    <w:rsid w:val="00A406A0"/>
    <w:rsid w:val="00A44157"/>
    <w:rsid w:val="00A463F5"/>
    <w:rsid w:val="00A467D1"/>
    <w:rsid w:val="00A533E7"/>
    <w:rsid w:val="00A53F68"/>
    <w:rsid w:val="00A626C6"/>
    <w:rsid w:val="00A72F0F"/>
    <w:rsid w:val="00A7472A"/>
    <w:rsid w:val="00A92E75"/>
    <w:rsid w:val="00AA5504"/>
    <w:rsid w:val="00AB620C"/>
    <w:rsid w:val="00AD2186"/>
    <w:rsid w:val="00AD293B"/>
    <w:rsid w:val="00AF1AC7"/>
    <w:rsid w:val="00AF501E"/>
    <w:rsid w:val="00AF509A"/>
    <w:rsid w:val="00B00DAC"/>
    <w:rsid w:val="00B12EC7"/>
    <w:rsid w:val="00B20472"/>
    <w:rsid w:val="00B223E3"/>
    <w:rsid w:val="00B36BEC"/>
    <w:rsid w:val="00B43E45"/>
    <w:rsid w:val="00B469DE"/>
    <w:rsid w:val="00B50131"/>
    <w:rsid w:val="00B51075"/>
    <w:rsid w:val="00B515C9"/>
    <w:rsid w:val="00B570D0"/>
    <w:rsid w:val="00B60291"/>
    <w:rsid w:val="00B675A1"/>
    <w:rsid w:val="00B84678"/>
    <w:rsid w:val="00B86326"/>
    <w:rsid w:val="00B8765B"/>
    <w:rsid w:val="00B91A42"/>
    <w:rsid w:val="00B94710"/>
    <w:rsid w:val="00B95608"/>
    <w:rsid w:val="00B97A44"/>
    <w:rsid w:val="00BA28FF"/>
    <w:rsid w:val="00BB0EA1"/>
    <w:rsid w:val="00BB699C"/>
    <w:rsid w:val="00BC5440"/>
    <w:rsid w:val="00BD242A"/>
    <w:rsid w:val="00BD3C6F"/>
    <w:rsid w:val="00BD7262"/>
    <w:rsid w:val="00BE76E1"/>
    <w:rsid w:val="00BF0816"/>
    <w:rsid w:val="00BF133C"/>
    <w:rsid w:val="00BF23E4"/>
    <w:rsid w:val="00C0203F"/>
    <w:rsid w:val="00C17E9D"/>
    <w:rsid w:val="00C54405"/>
    <w:rsid w:val="00C56B69"/>
    <w:rsid w:val="00C65C25"/>
    <w:rsid w:val="00C70E93"/>
    <w:rsid w:val="00C729F9"/>
    <w:rsid w:val="00C744C6"/>
    <w:rsid w:val="00C965C9"/>
    <w:rsid w:val="00CA0A47"/>
    <w:rsid w:val="00CA441C"/>
    <w:rsid w:val="00CA4C24"/>
    <w:rsid w:val="00CA79A8"/>
    <w:rsid w:val="00CB33C7"/>
    <w:rsid w:val="00CC0F36"/>
    <w:rsid w:val="00CC232A"/>
    <w:rsid w:val="00CC3BD8"/>
    <w:rsid w:val="00CC5644"/>
    <w:rsid w:val="00CC60AB"/>
    <w:rsid w:val="00CC61C0"/>
    <w:rsid w:val="00CD1AF2"/>
    <w:rsid w:val="00CE27F6"/>
    <w:rsid w:val="00CE64E7"/>
    <w:rsid w:val="00CE6EAF"/>
    <w:rsid w:val="00D1129C"/>
    <w:rsid w:val="00D24EBD"/>
    <w:rsid w:val="00D26751"/>
    <w:rsid w:val="00D432BF"/>
    <w:rsid w:val="00D52FF0"/>
    <w:rsid w:val="00D60CAE"/>
    <w:rsid w:val="00D96C7F"/>
    <w:rsid w:val="00D96F94"/>
    <w:rsid w:val="00DA04A3"/>
    <w:rsid w:val="00DB3CC6"/>
    <w:rsid w:val="00DB40DF"/>
    <w:rsid w:val="00DC02EC"/>
    <w:rsid w:val="00DC0942"/>
    <w:rsid w:val="00DC16AB"/>
    <w:rsid w:val="00DC2734"/>
    <w:rsid w:val="00DC7087"/>
    <w:rsid w:val="00DD0931"/>
    <w:rsid w:val="00DD7622"/>
    <w:rsid w:val="00DE4275"/>
    <w:rsid w:val="00DE6537"/>
    <w:rsid w:val="00E01F43"/>
    <w:rsid w:val="00E0319C"/>
    <w:rsid w:val="00E21622"/>
    <w:rsid w:val="00E323E5"/>
    <w:rsid w:val="00E35434"/>
    <w:rsid w:val="00E36846"/>
    <w:rsid w:val="00E36CF7"/>
    <w:rsid w:val="00E46804"/>
    <w:rsid w:val="00E5143B"/>
    <w:rsid w:val="00E53A44"/>
    <w:rsid w:val="00E5607A"/>
    <w:rsid w:val="00E6531E"/>
    <w:rsid w:val="00E67931"/>
    <w:rsid w:val="00E73C75"/>
    <w:rsid w:val="00E744DB"/>
    <w:rsid w:val="00E85767"/>
    <w:rsid w:val="00E92EF3"/>
    <w:rsid w:val="00EA2C82"/>
    <w:rsid w:val="00EA2DBD"/>
    <w:rsid w:val="00EA326E"/>
    <w:rsid w:val="00EA39DF"/>
    <w:rsid w:val="00EC04DB"/>
    <w:rsid w:val="00ED42AE"/>
    <w:rsid w:val="00EE1762"/>
    <w:rsid w:val="00EE482F"/>
    <w:rsid w:val="00EE65BD"/>
    <w:rsid w:val="00EF11FA"/>
    <w:rsid w:val="00F0537F"/>
    <w:rsid w:val="00F07FF6"/>
    <w:rsid w:val="00F103CD"/>
    <w:rsid w:val="00F21594"/>
    <w:rsid w:val="00F276B1"/>
    <w:rsid w:val="00F45297"/>
    <w:rsid w:val="00F4672A"/>
    <w:rsid w:val="00F75F4A"/>
    <w:rsid w:val="00F8293B"/>
    <w:rsid w:val="00F85CB6"/>
    <w:rsid w:val="00F90C5D"/>
    <w:rsid w:val="00F91423"/>
    <w:rsid w:val="00F92F96"/>
    <w:rsid w:val="00FA1F55"/>
    <w:rsid w:val="00FB3181"/>
    <w:rsid w:val="00FB389B"/>
    <w:rsid w:val="00FC1BA6"/>
    <w:rsid w:val="00FD7178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EF66F3-E5BB-4A55-AC5C-AB00994B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0DBE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customStyle="1" w:styleId="Default">
    <w:name w:val="Default"/>
    <w:rsid w:val="00100DB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E72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C1BA6"/>
    <w:pPr>
      <w:ind w:left="720"/>
      <w:contextualSpacing/>
    </w:pPr>
  </w:style>
  <w:style w:type="table" w:styleId="Reatabula">
    <w:name w:val="Table Grid"/>
    <w:basedOn w:val="Parastatabula"/>
    <w:uiPriority w:val="59"/>
    <w:rsid w:val="0080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3539-B4E3-4883-A2AC-02C5049B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3939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2013. gada 17. decembra noteikumos Nr. 1524 „Noteikumi par valsts atbalstu lauksaimniecībai””</dc:title>
  <dc:subject>Anotācija</dc:subject>
  <dc:creator>Biruta Ingilavicute</dc:creator>
  <dc:description>Ingiļāvičute 67027661_x000d_
Biruta.Ingilavicute@zm.gov.lv</dc:description>
  <cp:lastModifiedBy>Kristiāna Sebre</cp:lastModifiedBy>
  <cp:revision>5</cp:revision>
  <cp:lastPrinted>2013-12-16T07:43:00Z</cp:lastPrinted>
  <dcterms:created xsi:type="dcterms:W3CDTF">2018-12-03T11:20:00Z</dcterms:created>
  <dcterms:modified xsi:type="dcterms:W3CDTF">2018-12-03T12:18:00Z</dcterms:modified>
</cp:coreProperties>
</file>