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46" w:rsidRPr="00E907D3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E907D3">
        <w:rPr>
          <w:b/>
          <w:sz w:val="28"/>
          <w:szCs w:val="28"/>
          <w:lang w:val="lv-LV"/>
        </w:rPr>
        <w:t>Minis</w:t>
      </w:r>
      <w:r w:rsidR="00103546" w:rsidRPr="00E907D3">
        <w:rPr>
          <w:b/>
          <w:sz w:val="28"/>
          <w:szCs w:val="28"/>
          <w:lang w:val="lv-LV"/>
        </w:rPr>
        <w:t>tru kabineta noteikumu projekta</w:t>
      </w:r>
    </w:p>
    <w:p w:rsidR="00D80316" w:rsidRPr="00E907D3" w:rsidRDefault="00C11A57" w:rsidP="00103B00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907D3">
        <w:rPr>
          <w:b/>
          <w:sz w:val="28"/>
          <w:szCs w:val="28"/>
          <w:lang w:val="lv-LV"/>
        </w:rPr>
        <w:t>„</w:t>
      </w:r>
      <w:r w:rsidR="00E907D3" w:rsidRPr="00C74A20">
        <w:rPr>
          <w:b/>
          <w:sz w:val="28"/>
          <w:szCs w:val="28"/>
          <w:lang w:val="lv-LV"/>
        </w:rPr>
        <w:t>Grozījumi Ministru kabineta 2009.gada 30.jūnija noteikumos Nr.730 „</w:t>
      </w:r>
      <w:r w:rsidR="00E907D3" w:rsidRPr="00C74A20">
        <w:rPr>
          <w:b/>
          <w:bCs/>
          <w:sz w:val="28"/>
          <w:szCs w:val="28"/>
          <w:lang w:val="lv-LV"/>
        </w:rPr>
        <w:t>Dzīvnieku barības apritē iesaistītā uzņēmuma reģistrācijas un atzīšanas kārtība</w:t>
      </w:r>
      <w:r w:rsidRPr="00E907D3">
        <w:rPr>
          <w:b/>
          <w:sz w:val="28"/>
          <w:szCs w:val="28"/>
          <w:lang w:val="lv-LV"/>
        </w:rPr>
        <w:t>”” sākotnējās</w:t>
      </w:r>
      <w:r w:rsidR="00CF764E" w:rsidRPr="00E907D3">
        <w:rPr>
          <w:b/>
          <w:sz w:val="28"/>
          <w:szCs w:val="28"/>
          <w:lang w:val="lv-LV"/>
        </w:rPr>
        <w:t xml:space="preserve"> ietekmes novērtējuma ziņojums </w:t>
      </w:r>
      <w:r w:rsidRPr="00E907D3">
        <w:rPr>
          <w:b/>
          <w:sz w:val="28"/>
          <w:szCs w:val="28"/>
          <w:lang w:val="lv-LV"/>
        </w:rPr>
        <w:t>(anotācija)</w:t>
      </w:r>
    </w:p>
    <w:p w:rsidR="00840ADE" w:rsidRPr="00DE0F15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DE0F15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:rsidR="007412C6" w:rsidRPr="00DE0F15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DE0F15" w:rsidTr="007412C6">
        <w:tc>
          <w:tcPr>
            <w:tcW w:w="1191" w:type="pct"/>
            <w:gridSpan w:val="2"/>
            <w:shd w:val="clear" w:color="auto" w:fill="auto"/>
          </w:tcPr>
          <w:p w:rsidR="007412C6" w:rsidRPr="00DE0F15" w:rsidRDefault="00805470" w:rsidP="007412C6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:rsidR="00DC7D55" w:rsidRPr="00DE0F15" w:rsidRDefault="00DC7D55" w:rsidP="00066128">
            <w:pPr>
              <w:jc w:val="both"/>
              <w:rPr>
                <w:lang w:val="lv-LV"/>
              </w:rPr>
            </w:pPr>
            <w:r w:rsidRPr="00DE0F15">
              <w:rPr>
                <w:lang w:val="lv-LV"/>
              </w:rPr>
              <w:t>Projekts šo jomu neskar.</w:t>
            </w:r>
          </w:p>
        </w:tc>
      </w:tr>
      <w:tr w:rsidR="00563946" w:rsidRPr="00DE0F15" w:rsidTr="007412C6">
        <w:tc>
          <w:tcPr>
            <w:tcW w:w="5000" w:type="pct"/>
            <w:gridSpan w:val="3"/>
            <w:vAlign w:val="center"/>
          </w:tcPr>
          <w:p w:rsidR="00D80316" w:rsidRPr="00DE0F15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103B00" w:rsidTr="007412C6">
        <w:tc>
          <w:tcPr>
            <w:tcW w:w="224" w:type="pct"/>
          </w:tcPr>
          <w:p w:rsidR="00D80316" w:rsidRPr="00DE0F15" w:rsidRDefault="00805470" w:rsidP="00880359">
            <w:pPr>
              <w:jc w:val="center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:rsidR="00D80316" w:rsidRPr="00DE0F15" w:rsidRDefault="00805470" w:rsidP="00880359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:rsidR="00D80316" w:rsidRPr="008931F1" w:rsidRDefault="008931F1" w:rsidP="008931F1">
            <w:pPr>
              <w:rPr>
                <w:iCs/>
              </w:rPr>
            </w:pPr>
            <w:proofErr w:type="spellStart"/>
            <w:r w:rsidRPr="00913A35">
              <w:rPr>
                <w:iCs/>
              </w:rPr>
              <w:t>Dzīvnieku</w:t>
            </w:r>
            <w:proofErr w:type="spellEnd"/>
            <w:r w:rsidRPr="00913A35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barības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aprites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likuma</w:t>
            </w:r>
            <w:proofErr w:type="spellEnd"/>
            <w:r>
              <w:rPr>
                <w:iCs/>
              </w:rPr>
              <w:t xml:space="preserve"> 3.panta </w:t>
            </w:r>
            <w:proofErr w:type="spellStart"/>
            <w:r>
              <w:rPr>
                <w:iCs/>
              </w:rPr>
              <w:t>trešā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daļa</w:t>
            </w:r>
            <w:proofErr w:type="spellEnd"/>
          </w:p>
        </w:tc>
      </w:tr>
      <w:tr w:rsidR="00563946" w:rsidRPr="003F08E7" w:rsidTr="007412C6">
        <w:tc>
          <w:tcPr>
            <w:tcW w:w="224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:rsidR="00D80316" w:rsidRPr="00ED5363" w:rsidRDefault="00805470" w:rsidP="00B03E03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 xml:space="preserve">Pašreizējā situācija </w:t>
            </w:r>
            <w:r w:rsidRPr="00524246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:rsidR="00373A11" w:rsidRDefault="00805470" w:rsidP="00373A11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9A214A">
              <w:rPr>
                <w:rFonts w:eastAsia="Arial Unicode MS"/>
                <w:lang w:val="lv-LV"/>
              </w:rPr>
              <w:t xml:space="preserve">Patlaban </w:t>
            </w:r>
            <w:r w:rsidR="00D00B32" w:rsidRPr="00C74A20">
              <w:rPr>
                <w:lang w:val="lv-LV"/>
              </w:rPr>
              <w:t>Ministru kabineta 2009.</w:t>
            </w:r>
            <w:r w:rsidR="0069236A">
              <w:rPr>
                <w:lang w:val="lv-LV"/>
              </w:rPr>
              <w:t xml:space="preserve">  </w:t>
            </w:r>
            <w:r w:rsidR="00D00B32" w:rsidRPr="00C74A20">
              <w:rPr>
                <w:lang w:val="lv-LV"/>
              </w:rPr>
              <w:t xml:space="preserve">gada </w:t>
            </w:r>
            <w:proofErr w:type="gramStart"/>
            <w:r w:rsidR="00D00B32" w:rsidRPr="00C74A20">
              <w:rPr>
                <w:lang w:val="lv-LV"/>
              </w:rPr>
              <w:t>30.jūnija</w:t>
            </w:r>
            <w:proofErr w:type="gramEnd"/>
            <w:r w:rsidR="00D00B32" w:rsidRPr="00C74A20">
              <w:rPr>
                <w:lang w:val="lv-LV"/>
              </w:rPr>
              <w:t xml:space="preserve"> noteikumi Nr.</w:t>
            </w:r>
            <w:r w:rsidR="0069236A">
              <w:rPr>
                <w:lang w:val="lv-LV"/>
              </w:rPr>
              <w:t> </w:t>
            </w:r>
            <w:r w:rsidR="00D00B32" w:rsidRPr="00C74A20">
              <w:rPr>
                <w:lang w:val="lv-LV"/>
              </w:rPr>
              <w:t>730 „</w:t>
            </w:r>
            <w:r w:rsidR="00D00B32" w:rsidRPr="00C74A20">
              <w:rPr>
                <w:bCs/>
                <w:lang w:val="lv-LV"/>
              </w:rPr>
              <w:t>Dzīvnieku barības apritē iesaistītā uzņēmuma reģistrācijas un atzīšanas kārtība</w:t>
            </w:r>
            <w:r w:rsidR="00DF0C28" w:rsidRPr="009A214A">
              <w:rPr>
                <w:rFonts w:eastAsia="Arial Unicode MS"/>
                <w:lang w:val="lv-LV"/>
              </w:rPr>
              <w:t>” (</w:t>
            </w:r>
            <w:r w:rsidRPr="009A214A">
              <w:rPr>
                <w:lang w:val="lv-LV"/>
              </w:rPr>
              <w:t>turpmāk – noteikumi Nr. </w:t>
            </w:r>
            <w:r w:rsidR="00D00B32" w:rsidRPr="009A214A">
              <w:rPr>
                <w:lang w:val="lv-LV"/>
              </w:rPr>
              <w:t>730</w:t>
            </w:r>
            <w:r w:rsidR="00AD329A" w:rsidRPr="009A214A">
              <w:rPr>
                <w:lang w:val="lv-LV"/>
              </w:rPr>
              <w:t>)</w:t>
            </w:r>
            <w:r w:rsidR="00373A11">
              <w:rPr>
                <w:lang w:val="lv-LV" w:eastAsia="lv-LV"/>
              </w:rPr>
              <w:t xml:space="preserve"> </w:t>
            </w:r>
            <w:r w:rsidR="00373A11" w:rsidRPr="00373A11">
              <w:rPr>
                <w:lang w:val="lv-LV" w:eastAsia="lv-LV"/>
              </w:rPr>
              <w:t xml:space="preserve">nosaka kārtību, kādā Latvijā reģistrē </w:t>
            </w:r>
            <w:r w:rsidR="00373A11">
              <w:rPr>
                <w:lang w:val="lv-LV" w:eastAsia="lv-LV"/>
              </w:rPr>
              <w:t xml:space="preserve">un atzīst </w:t>
            </w:r>
            <w:r w:rsidR="00373A11" w:rsidRPr="00373A11">
              <w:rPr>
                <w:lang w:val="lv-LV" w:eastAsia="lv-LV"/>
              </w:rPr>
              <w:t>barības apritē iesaistītos uzņēmumus</w:t>
            </w:r>
            <w:r w:rsidR="0069236A">
              <w:rPr>
                <w:lang w:val="lv-LV" w:eastAsia="lv-LV"/>
              </w:rPr>
              <w:t>,</w:t>
            </w:r>
            <w:r w:rsidR="00373A11" w:rsidRPr="00373A11">
              <w:rPr>
                <w:lang w:val="lv-LV" w:eastAsia="lv-LV"/>
              </w:rPr>
              <w:t xml:space="preserve"> un personu loku, uz kur</w:t>
            </w:r>
            <w:r w:rsidR="0069236A">
              <w:rPr>
                <w:lang w:val="lv-LV" w:eastAsia="lv-LV"/>
              </w:rPr>
              <w:t>ā</w:t>
            </w:r>
            <w:r w:rsidR="00373A11" w:rsidRPr="00373A11">
              <w:rPr>
                <w:lang w:val="lv-LV" w:eastAsia="lv-LV"/>
              </w:rPr>
              <w:t xml:space="preserve">m </w:t>
            </w:r>
            <w:r w:rsidR="0069236A" w:rsidRPr="00373A11">
              <w:rPr>
                <w:lang w:val="lv-LV" w:eastAsia="lv-LV"/>
              </w:rPr>
              <w:t xml:space="preserve">attiecas </w:t>
            </w:r>
            <w:r w:rsidR="00373A11" w:rsidRPr="00373A11">
              <w:rPr>
                <w:lang w:val="lv-LV" w:eastAsia="lv-LV"/>
              </w:rPr>
              <w:t xml:space="preserve">reģistrācija </w:t>
            </w:r>
            <w:r w:rsidR="00373A11">
              <w:rPr>
                <w:lang w:val="lv-LV" w:eastAsia="lv-LV"/>
              </w:rPr>
              <w:t>un atzīšana</w:t>
            </w:r>
            <w:r w:rsidR="00373A11" w:rsidRPr="00373A11">
              <w:rPr>
                <w:lang w:val="lv-LV" w:eastAsia="lv-LV"/>
              </w:rPr>
              <w:t>.</w:t>
            </w:r>
          </w:p>
          <w:p w:rsidR="00373A11" w:rsidRPr="00373A11" w:rsidRDefault="00373A11" w:rsidP="00373A11">
            <w:pPr>
              <w:autoSpaceDE w:val="0"/>
              <w:autoSpaceDN w:val="0"/>
              <w:adjustRightInd w:val="0"/>
              <w:jc w:val="both"/>
              <w:rPr>
                <w:lang w:val="lv-LV" w:eastAsia="lv-LV"/>
              </w:rPr>
            </w:pPr>
            <w:r w:rsidRPr="00373A11">
              <w:rPr>
                <w:lang w:val="lv-LV" w:eastAsia="lv-LV"/>
              </w:rPr>
              <w:t xml:space="preserve">Noteikumu projekts papildina spēkā esošo </w:t>
            </w:r>
            <w:r w:rsidR="00E95107">
              <w:rPr>
                <w:lang w:val="lv-LV" w:eastAsia="lv-LV"/>
              </w:rPr>
              <w:t>regulējumu</w:t>
            </w:r>
            <w:r w:rsidRPr="00373A11">
              <w:rPr>
                <w:lang w:val="lv-LV" w:eastAsia="lv-LV"/>
              </w:rPr>
              <w:t xml:space="preserve"> attiecībā uz barības aprites uzņēmumiem, kas veic darbības </w:t>
            </w:r>
            <w:r w:rsidRPr="00373A11">
              <w:rPr>
                <w:lang w:val="lv-LV"/>
              </w:rPr>
              <w:t>interneta vidē (attālināti)</w:t>
            </w:r>
            <w:r w:rsidR="0069236A">
              <w:rPr>
                <w:lang w:val="lv-LV"/>
              </w:rPr>
              <w:t xml:space="preserve"> un</w:t>
            </w:r>
            <w:r w:rsidRPr="00373A11">
              <w:rPr>
                <w:lang w:val="lv-LV"/>
              </w:rPr>
              <w:t xml:space="preserve"> veicina </w:t>
            </w:r>
            <w:r w:rsidR="0069236A">
              <w:rPr>
                <w:lang w:val="lv-LV"/>
              </w:rPr>
              <w:t>tādas pārtikas izmantošanu</w:t>
            </w:r>
            <w:r w:rsidR="0069236A" w:rsidRPr="00373A11" w:rsidDel="00E95107">
              <w:rPr>
                <w:lang w:val="lv-LV"/>
              </w:rPr>
              <w:t xml:space="preserve"> </w:t>
            </w:r>
            <w:r w:rsidRPr="00373A11">
              <w:rPr>
                <w:lang w:val="lv-LV"/>
              </w:rPr>
              <w:t>dzīvnieku ēdināšanā, kurai ir beidzies derīguma termiņš, tā samazinot vērtīgu produktu nonākšanu atkritumos.</w:t>
            </w:r>
          </w:p>
          <w:p w:rsidR="000A0C27" w:rsidRPr="008410DB" w:rsidRDefault="0069236A" w:rsidP="00BD5D9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Ievērojot</w:t>
            </w:r>
            <w:r w:rsidR="00E26795">
              <w:rPr>
                <w:lang w:val="lv-LV"/>
              </w:rPr>
              <w:t xml:space="preserve"> minēto,</w:t>
            </w:r>
            <w:r w:rsidR="00E26795" w:rsidRPr="00B55198">
              <w:rPr>
                <w:lang w:val="lv-LV"/>
              </w:rPr>
              <w:t xml:space="preserve"> ir </w:t>
            </w:r>
            <w:r w:rsidR="00E26795" w:rsidRPr="002E1143">
              <w:rPr>
                <w:lang w:val="lv-LV"/>
              </w:rPr>
              <w:t xml:space="preserve">sagatavots Ministru kabineta noteikumu projekts „Grozījumi </w:t>
            </w:r>
            <w:r w:rsidR="00E26795" w:rsidRPr="00C74A20">
              <w:rPr>
                <w:lang w:val="lv-LV"/>
              </w:rPr>
              <w:t xml:space="preserve">Ministru kabineta </w:t>
            </w:r>
            <w:proofErr w:type="gramStart"/>
            <w:r w:rsidR="00E26795" w:rsidRPr="00C74A20">
              <w:rPr>
                <w:lang w:val="lv-LV"/>
              </w:rPr>
              <w:t>2009.gada</w:t>
            </w:r>
            <w:proofErr w:type="gramEnd"/>
            <w:r w:rsidR="00E26795" w:rsidRPr="00C74A20">
              <w:rPr>
                <w:lang w:val="lv-LV"/>
              </w:rPr>
              <w:t xml:space="preserve"> 30.jūnija noteikumi Nr.730 „</w:t>
            </w:r>
            <w:r w:rsidR="00E26795" w:rsidRPr="00C74A20">
              <w:rPr>
                <w:bCs/>
                <w:lang w:val="lv-LV"/>
              </w:rPr>
              <w:t>Dzīvnieku barības apritē iesaistītā uzņēmuma reģistrācijas un atzīšanas kārtība</w:t>
            </w:r>
            <w:r w:rsidR="00E26795" w:rsidRPr="002E1143">
              <w:rPr>
                <w:lang w:val="lv-LV"/>
              </w:rPr>
              <w:t>”</w:t>
            </w:r>
            <w:r w:rsidR="00E26795">
              <w:rPr>
                <w:lang w:val="lv-LV"/>
              </w:rPr>
              <w:t>”</w:t>
            </w:r>
            <w:r w:rsidR="00E26795" w:rsidRPr="002E1143">
              <w:rPr>
                <w:lang w:val="lv-LV"/>
              </w:rPr>
              <w:t xml:space="preserve"> (turpmāk – noteikumu projekts),</w:t>
            </w:r>
            <w:r w:rsidR="00E26795">
              <w:rPr>
                <w:lang w:val="lv-LV"/>
              </w:rPr>
              <w:t xml:space="preserve"> kas </w:t>
            </w:r>
            <w:r w:rsidR="00E26795" w:rsidRPr="00B55198">
              <w:rPr>
                <w:lang w:val="lv-LV"/>
              </w:rPr>
              <w:t xml:space="preserve">pilnveido </w:t>
            </w:r>
            <w:r w:rsidR="00E26795">
              <w:rPr>
                <w:lang w:val="lv-LV"/>
              </w:rPr>
              <w:t xml:space="preserve">spēkā </w:t>
            </w:r>
            <w:r w:rsidR="00E26795" w:rsidRPr="00B55198">
              <w:rPr>
                <w:lang w:val="lv-LV"/>
              </w:rPr>
              <w:t>esošo regulējumu</w:t>
            </w:r>
            <w:r w:rsidR="00373A11">
              <w:rPr>
                <w:lang w:val="lv-LV"/>
              </w:rPr>
              <w:t xml:space="preserve">, lai nodrošinātu </w:t>
            </w:r>
            <w:r w:rsidR="003B17C5" w:rsidRPr="008410DB">
              <w:rPr>
                <w:lang w:val="lv-LV"/>
              </w:rPr>
              <w:t>drošu dzīvnieku barības apriti Latvijā.</w:t>
            </w:r>
          </w:p>
          <w:p w:rsidR="00915B83" w:rsidRPr="0069236A" w:rsidRDefault="007D4821" w:rsidP="00E6286C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E42CAF">
              <w:rPr>
                <w:lang w:val="lv-LV"/>
              </w:rPr>
              <w:t xml:space="preserve">Noteikumu projekta </w:t>
            </w:r>
            <w:r w:rsidRPr="00667F7B">
              <w:rPr>
                <w:lang w:val="lv-LV"/>
              </w:rPr>
              <w:t>1.</w:t>
            </w:r>
            <w:r w:rsidR="00274B90" w:rsidRPr="00667F7B">
              <w:rPr>
                <w:lang w:val="lv-LV"/>
              </w:rPr>
              <w:t> </w:t>
            </w:r>
            <w:r w:rsidRPr="00667F7B">
              <w:rPr>
                <w:lang w:val="lv-LV"/>
              </w:rPr>
              <w:t>punkts</w:t>
            </w:r>
            <w:r w:rsidRPr="0069236A">
              <w:rPr>
                <w:lang w:val="lv-LV"/>
              </w:rPr>
              <w:t xml:space="preserve"> </w:t>
            </w:r>
            <w:r w:rsidR="00AD323F" w:rsidRPr="0069236A">
              <w:rPr>
                <w:lang w:val="lv-LV"/>
              </w:rPr>
              <w:t xml:space="preserve">papildina </w:t>
            </w:r>
            <w:r w:rsidR="00915B83" w:rsidRPr="0069236A">
              <w:rPr>
                <w:lang w:val="lv-LV"/>
              </w:rPr>
              <w:t>noteikumu Nr.730 3.punkt</w:t>
            </w:r>
            <w:r w:rsidR="00AD323F" w:rsidRPr="0069236A">
              <w:rPr>
                <w:lang w:val="lv-LV"/>
              </w:rPr>
              <w:t xml:space="preserve">u, paredzot, ka </w:t>
            </w:r>
            <w:r w:rsidR="00E42CAF" w:rsidRPr="0069236A">
              <w:rPr>
                <w:lang w:val="lv-LV"/>
              </w:rPr>
              <w:t xml:space="preserve">atzīšana Pārtikas un veterinārajā dienestā </w:t>
            </w:r>
            <w:r w:rsidR="004453F2" w:rsidRPr="0069236A">
              <w:rPr>
                <w:lang w:val="lv-LV"/>
              </w:rPr>
              <w:t>nepieciešama arī</w:t>
            </w:r>
            <w:r w:rsidR="00E42CAF" w:rsidRPr="0069236A">
              <w:rPr>
                <w:lang w:val="lv-LV"/>
              </w:rPr>
              <w:t xml:space="preserve"> uzņēmumiem, k</w:t>
            </w:r>
            <w:r w:rsidR="0069236A">
              <w:rPr>
                <w:lang w:val="lv-LV"/>
              </w:rPr>
              <w:t>as</w:t>
            </w:r>
            <w:r w:rsidR="00E42CAF" w:rsidRPr="0069236A">
              <w:rPr>
                <w:lang w:val="lv-LV"/>
              </w:rPr>
              <w:t xml:space="preserve"> </w:t>
            </w:r>
            <w:r w:rsidR="00AD323F" w:rsidRPr="0069236A">
              <w:rPr>
                <w:lang w:val="lv-LV"/>
              </w:rPr>
              <w:t>veic piesārņotas barības detoksifi</w:t>
            </w:r>
            <w:r w:rsidR="004453F2" w:rsidRPr="0069236A">
              <w:rPr>
                <w:lang w:val="lv-LV"/>
              </w:rPr>
              <w:t xml:space="preserve">kāciju vai </w:t>
            </w:r>
            <w:r w:rsidR="0069236A">
              <w:rPr>
                <w:lang w:val="lv-LV"/>
              </w:rPr>
              <w:t xml:space="preserve">nodarbojas ar </w:t>
            </w:r>
            <w:r w:rsidR="004453F2" w:rsidRPr="0069236A">
              <w:rPr>
                <w:lang w:val="lv-LV"/>
              </w:rPr>
              <w:t>insektu audzēšanu to pārstrādei proteīnā, kuru paredzēts izmantot</w:t>
            </w:r>
            <w:r w:rsidR="00AD323F" w:rsidRPr="0069236A">
              <w:rPr>
                <w:lang w:val="lv-LV"/>
              </w:rPr>
              <w:t xml:space="preserve"> dzīvnieku barībā</w:t>
            </w:r>
            <w:r w:rsidR="004453F2" w:rsidRPr="0069236A">
              <w:rPr>
                <w:lang w:val="lv-LV"/>
              </w:rPr>
              <w:t xml:space="preserve">. </w:t>
            </w:r>
          </w:p>
          <w:p w:rsidR="00E6286C" w:rsidRPr="0069236A" w:rsidRDefault="009534D1" w:rsidP="00E6286C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69236A">
              <w:rPr>
                <w:lang w:val="lv-LV"/>
              </w:rPr>
              <w:t xml:space="preserve">Noteikumu projekta </w:t>
            </w:r>
            <w:r w:rsidRPr="00667F7B">
              <w:rPr>
                <w:lang w:val="lv-LV"/>
              </w:rPr>
              <w:t>2.</w:t>
            </w:r>
            <w:r w:rsidR="00274B90" w:rsidRPr="00667F7B">
              <w:rPr>
                <w:lang w:val="lv-LV"/>
              </w:rPr>
              <w:t> </w:t>
            </w:r>
            <w:r w:rsidRPr="00667F7B">
              <w:rPr>
                <w:lang w:val="lv-LV"/>
              </w:rPr>
              <w:t>punkts</w:t>
            </w:r>
            <w:r w:rsidRPr="0069236A">
              <w:rPr>
                <w:lang w:val="lv-LV"/>
              </w:rPr>
              <w:t xml:space="preserve"> </w:t>
            </w:r>
            <w:r w:rsidR="00E6286C" w:rsidRPr="0069236A">
              <w:rPr>
                <w:lang w:val="lv-LV"/>
              </w:rPr>
              <w:t xml:space="preserve">precizē noteikumu Nr.730 4.punktu, svītrojot no </w:t>
            </w:r>
            <w:r w:rsidR="004051D5" w:rsidRPr="0069236A">
              <w:rPr>
                <w:lang w:val="lv-LV"/>
              </w:rPr>
              <w:t xml:space="preserve">tā pirmās daļas Lauksaimniecības datu centru (turpmāk – datu centrs), lai </w:t>
            </w:r>
            <w:r w:rsidR="00F747AE" w:rsidRPr="0069236A">
              <w:rPr>
                <w:lang w:val="lv-LV"/>
              </w:rPr>
              <w:t xml:space="preserve">skaidri noteiktu, ka </w:t>
            </w:r>
            <w:r w:rsidR="004051D5" w:rsidRPr="0069236A">
              <w:rPr>
                <w:lang w:val="lv-LV"/>
              </w:rPr>
              <w:t xml:space="preserve">datu centrs reģistrē tikai </w:t>
            </w:r>
            <w:r w:rsidR="00E6286C" w:rsidRPr="0069236A">
              <w:rPr>
                <w:lang w:val="lv-LV"/>
              </w:rPr>
              <w:t>uzņēmumu</w:t>
            </w:r>
            <w:r w:rsidR="004051D5" w:rsidRPr="0069236A">
              <w:rPr>
                <w:lang w:val="lv-LV"/>
              </w:rPr>
              <w:t>s</w:t>
            </w:r>
            <w:r w:rsidR="00E6286C" w:rsidRPr="0069236A">
              <w:rPr>
                <w:lang w:val="lv-LV"/>
              </w:rPr>
              <w:t>, kas nodarbojas ar barī</w:t>
            </w:r>
            <w:r w:rsidR="004051D5" w:rsidRPr="0069236A">
              <w:rPr>
                <w:lang w:val="lv-LV"/>
              </w:rPr>
              <w:t>b</w:t>
            </w:r>
            <w:r w:rsidR="00F747AE" w:rsidRPr="0069236A">
              <w:rPr>
                <w:lang w:val="lv-LV"/>
              </w:rPr>
              <w:t>as primār</w:t>
            </w:r>
            <w:r w:rsidR="00E95107" w:rsidRPr="0069236A">
              <w:rPr>
                <w:lang w:val="lv-LV"/>
              </w:rPr>
              <w:t>o</w:t>
            </w:r>
            <w:r w:rsidR="00F747AE" w:rsidRPr="0069236A">
              <w:rPr>
                <w:lang w:val="lv-LV"/>
              </w:rPr>
              <w:t xml:space="preserve"> ražošan</w:t>
            </w:r>
            <w:r w:rsidR="00E95107" w:rsidRPr="0069236A">
              <w:rPr>
                <w:lang w:val="lv-LV"/>
              </w:rPr>
              <w:t>u</w:t>
            </w:r>
            <w:r w:rsidR="00F747AE" w:rsidRPr="0069236A">
              <w:rPr>
                <w:lang w:val="lv-LV"/>
              </w:rPr>
              <w:t>. Datu centra funkcijas iekļautas atsevišķ</w:t>
            </w:r>
            <w:r w:rsidR="00E95107" w:rsidRPr="0069236A">
              <w:rPr>
                <w:lang w:val="lv-LV"/>
              </w:rPr>
              <w:t>ā</w:t>
            </w:r>
            <w:r w:rsidR="00E95107" w:rsidRPr="0069236A">
              <w:rPr>
                <w:vertAlign w:val="superscript"/>
                <w:lang w:val="lv-LV"/>
              </w:rPr>
              <w:t xml:space="preserve"> </w:t>
            </w:r>
            <w:r w:rsidR="00F747AE" w:rsidRPr="0069236A">
              <w:rPr>
                <w:lang w:val="lv-LV"/>
              </w:rPr>
              <w:t xml:space="preserve">punktā </w:t>
            </w:r>
            <w:r w:rsidR="00E6286C" w:rsidRPr="0069236A">
              <w:rPr>
                <w:lang w:val="lv-LV"/>
              </w:rPr>
              <w:t xml:space="preserve">(noteikumu projekta </w:t>
            </w:r>
            <w:r w:rsidR="00F747AE" w:rsidRPr="00667F7B">
              <w:rPr>
                <w:lang w:val="lv-LV"/>
              </w:rPr>
              <w:t>5</w:t>
            </w:r>
            <w:r w:rsidR="00E6286C" w:rsidRPr="00667F7B">
              <w:rPr>
                <w:lang w:val="lv-LV"/>
              </w:rPr>
              <w:t>.</w:t>
            </w:r>
            <w:r w:rsidR="00274B90" w:rsidRPr="00667F7B">
              <w:rPr>
                <w:lang w:val="lv-LV"/>
              </w:rPr>
              <w:t> </w:t>
            </w:r>
            <w:r w:rsidR="00E6286C" w:rsidRPr="00667F7B">
              <w:rPr>
                <w:lang w:val="lv-LV"/>
              </w:rPr>
              <w:t>punkts</w:t>
            </w:r>
            <w:r w:rsidR="00F747AE" w:rsidRPr="0069236A">
              <w:rPr>
                <w:lang w:val="lv-LV"/>
              </w:rPr>
              <w:t>).</w:t>
            </w:r>
          </w:p>
          <w:p w:rsidR="00B620D8" w:rsidRPr="0069236A" w:rsidRDefault="00C91EC1" w:rsidP="00B620D8">
            <w:pPr>
              <w:jc w:val="both"/>
              <w:rPr>
                <w:lang w:val="lv-LV"/>
              </w:rPr>
            </w:pPr>
            <w:r w:rsidRPr="0069236A">
              <w:rPr>
                <w:lang w:val="lv-LV"/>
              </w:rPr>
              <w:t xml:space="preserve">Noteikumu projekta </w:t>
            </w:r>
            <w:r w:rsidR="009534D1" w:rsidRPr="00667F7B">
              <w:rPr>
                <w:lang w:val="lv-LV"/>
              </w:rPr>
              <w:t>4</w:t>
            </w:r>
            <w:r w:rsidRPr="00667F7B">
              <w:rPr>
                <w:lang w:val="lv-LV"/>
              </w:rPr>
              <w:t>.</w:t>
            </w:r>
            <w:r w:rsidR="00274B90" w:rsidRPr="00667F7B">
              <w:rPr>
                <w:lang w:val="lv-LV"/>
              </w:rPr>
              <w:t> </w:t>
            </w:r>
            <w:r w:rsidRPr="00667F7B">
              <w:rPr>
                <w:lang w:val="lv-LV"/>
              </w:rPr>
              <w:t>punkts</w:t>
            </w:r>
            <w:r w:rsidR="000C195E" w:rsidRPr="0069236A">
              <w:rPr>
                <w:lang w:val="lv-LV"/>
              </w:rPr>
              <w:t xml:space="preserve"> </w:t>
            </w:r>
            <w:r w:rsidR="009D2F15" w:rsidRPr="0069236A">
              <w:rPr>
                <w:lang w:val="lv-LV"/>
              </w:rPr>
              <w:t xml:space="preserve">aktualizē </w:t>
            </w:r>
            <w:r w:rsidR="0069236A">
              <w:rPr>
                <w:lang w:val="lv-LV"/>
              </w:rPr>
              <w:t xml:space="preserve">to </w:t>
            </w:r>
            <w:r w:rsidR="009D2F15" w:rsidRPr="0069236A">
              <w:rPr>
                <w:lang w:val="lv-LV"/>
              </w:rPr>
              <w:t>uzņēmumu sarakstu</w:t>
            </w:r>
            <w:r w:rsidR="0069236A">
              <w:rPr>
                <w:lang w:val="lv-LV"/>
              </w:rPr>
              <w:t>,</w:t>
            </w:r>
            <w:r w:rsidR="009D2F15" w:rsidRPr="0069236A">
              <w:rPr>
                <w:lang w:val="lv-LV"/>
              </w:rPr>
              <w:t xml:space="preserve"> uz kuriem attiecas reģistrācija Pārtikas un veterinārajā dienestā.</w:t>
            </w:r>
          </w:p>
          <w:p w:rsidR="001F1B2D" w:rsidRPr="0069236A" w:rsidRDefault="001F1B2D" w:rsidP="00B620D8">
            <w:pPr>
              <w:jc w:val="both"/>
              <w:rPr>
                <w:lang w:val="lv-LV"/>
              </w:rPr>
            </w:pPr>
            <w:r w:rsidRPr="0069236A">
              <w:rPr>
                <w:lang w:val="lv-LV"/>
              </w:rPr>
              <w:t xml:space="preserve">Noteikumu projekta </w:t>
            </w:r>
            <w:r w:rsidR="00135A98" w:rsidRPr="00667F7B">
              <w:rPr>
                <w:lang w:val="lv-LV"/>
              </w:rPr>
              <w:t>6</w:t>
            </w:r>
            <w:r w:rsidRPr="00667F7B">
              <w:rPr>
                <w:lang w:val="lv-LV"/>
              </w:rPr>
              <w:t>. punkts</w:t>
            </w:r>
            <w:r w:rsidR="00274B90" w:rsidRPr="00667F7B">
              <w:rPr>
                <w:lang w:val="lv-LV"/>
              </w:rPr>
              <w:t xml:space="preserve"> precizē</w:t>
            </w:r>
            <w:r w:rsidR="00BB3AD0" w:rsidRPr="0069236A">
              <w:rPr>
                <w:lang w:val="lv-LV"/>
              </w:rPr>
              <w:t xml:space="preserve"> </w:t>
            </w:r>
            <w:r w:rsidR="00B3600B" w:rsidRPr="0069236A">
              <w:rPr>
                <w:lang w:val="lv-LV"/>
              </w:rPr>
              <w:t>datu centra un Pārtikas un veterinārā dienesta funkcijas attiecībā uz barības aprites uzņēmumu reģistrāciju.</w:t>
            </w:r>
          </w:p>
          <w:p w:rsidR="00DB6ED4" w:rsidRDefault="00DB6ED4" w:rsidP="00B620D8">
            <w:pPr>
              <w:jc w:val="both"/>
              <w:rPr>
                <w:lang w:val="lv-LV"/>
              </w:rPr>
            </w:pPr>
            <w:r w:rsidRPr="0069236A">
              <w:rPr>
                <w:lang w:val="lv-LV"/>
              </w:rPr>
              <w:t xml:space="preserve">Noteikumu projekta </w:t>
            </w:r>
            <w:r w:rsidR="00720CCE" w:rsidRPr="00667F7B">
              <w:rPr>
                <w:lang w:val="lv-LV"/>
              </w:rPr>
              <w:t>7</w:t>
            </w:r>
            <w:r w:rsidRPr="00667F7B">
              <w:rPr>
                <w:lang w:val="lv-LV"/>
              </w:rPr>
              <w:t xml:space="preserve">. punkts </w:t>
            </w:r>
            <w:r w:rsidRPr="0069236A">
              <w:rPr>
                <w:lang w:val="lv-LV"/>
              </w:rPr>
              <w:t>precizē noteikumu</w:t>
            </w:r>
            <w:r w:rsidRPr="00DB6ED4">
              <w:rPr>
                <w:lang w:val="lv-LV"/>
              </w:rPr>
              <w:t xml:space="preserve"> Nr.</w:t>
            </w:r>
            <w:r w:rsidR="00274B90">
              <w:rPr>
                <w:lang w:val="lv-LV"/>
              </w:rPr>
              <w:t> </w:t>
            </w:r>
            <w:r w:rsidRPr="00DB6ED4">
              <w:rPr>
                <w:lang w:val="lv-LV"/>
              </w:rPr>
              <w:t>730 8.2.</w:t>
            </w:r>
            <w:r w:rsidR="00274B90">
              <w:rPr>
                <w:lang w:val="lv-LV"/>
              </w:rPr>
              <w:t> </w:t>
            </w:r>
            <w:r w:rsidRPr="00DB6ED4">
              <w:rPr>
                <w:lang w:val="lv-LV"/>
              </w:rPr>
              <w:t>apakšpunktu</w:t>
            </w:r>
            <w:r w:rsidR="0069236A">
              <w:rPr>
                <w:lang w:val="lv-LV"/>
              </w:rPr>
              <w:t>,</w:t>
            </w:r>
            <w:r w:rsidRPr="00DB6ED4">
              <w:rPr>
                <w:lang w:val="lv-LV"/>
              </w:rPr>
              <w:t xml:space="preserve"> paredzot, ka noteikumu Nr.</w:t>
            </w:r>
            <w:r w:rsidR="00274B90">
              <w:rPr>
                <w:lang w:val="lv-LV"/>
              </w:rPr>
              <w:t> </w:t>
            </w:r>
            <w:r w:rsidRPr="00DB6ED4">
              <w:rPr>
                <w:lang w:val="lv-LV"/>
              </w:rPr>
              <w:t>730 7.</w:t>
            </w:r>
            <w:r w:rsidR="00274B90">
              <w:rPr>
                <w:lang w:val="lv-LV"/>
              </w:rPr>
              <w:t> </w:t>
            </w:r>
            <w:r w:rsidRPr="00DB6ED4">
              <w:rPr>
                <w:lang w:val="lv-LV"/>
              </w:rPr>
              <w:t>punktā iekļautās prasības neattiecas uz uzņēmumiem, kas veic graudu termisko apstrādi.</w:t>
            </w:r>
          </w:p>
          <w:p w:rsidR="00B2215B" w:rsidRDefault="00B2215B" w:rsidP="00B620D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</w:t>
            </w:r>
            <w:r w:rsidR="00274B90">
              <w:rPr>
                <w:lang w:val="lv-LV"/>
              </w:rPr>
              <w:t>s</w:t>
            </w:r>
            <w:r>
              <w:rPr>
                <w:lang w:val="lv-LV"/>
              </w:rPr>
              <w:t xml:space="preserve"> </w:t>
            </w:r>
            <w:r w:rsidR="00274B90">
              <w:rPr>
                <w:lang w:val="lv-LV"/>
              </w:rPr>
              <w:t xml:space="preserve">precizē </w:t>
            </w:r>
            <w:r w:rsidR="009A72A7" w:rsidRPr="00701950">
              <w:rPr>
                <w:lang w:val="lv-LV"/>
              </w:rPr>
              <w:t>noteikumu Nr.</w:t>
            </w:r>
            <w:r w:rsidR="00274B90">
              <w:rPr>
                <w:lang w:val="lv-LV"/>
              </w:rPr>
              <w:t> </w:t>
            </w:r>
            <w:r w:rsidR="009A72A7" w:rsidRPr="00701950">
              <w:rPr>
                <w:lang w:val="lv-LV"/>
              </w:rPr>
              <w:t>730 12.</w:t>
            </w:r>
            <w:r w:rsidR="00274B90">
              <w:rPr>
                <w:lang w:val="lv-LV"/>
              </w:rPr>
              <w:t> </w:t>
            </w:r>
            <w:r w:rsidR="009A72A7" w:rsidRPr="00701950">
              <w:rPr>
                <w:lang w:val="lv-LV"/>
              </w:rPr>
              <w:t>punkt</w:t>
            </w:r>
            <w:r w:rsidR="007A60C6">
              <w:rPr>
                <w:lang w:val="lv-LV"/>
              </w:rPr>
              <w:t>ā noteikto</w:t>
            </w:r>
            <w:r w:rsidR="009A72A7" w:rsidRPr="00701950">
              <w:rPr>
                <w:lang w:val="lv-LV"/>
              </w:rPr>
              <w:t xml:space="preserve"> kārtību, kādā dienests paziņo par </w:t>
            </w:r>
            <w:r w:rsidR="00D80FC5">
              <w:rPr>
                <w:lang w:val="lv-LV"/>
              </w:rPr>
              <w:t xml:space="preserve">barības aprites </w:t>
            </w:r>
            <w:r w:rsidR="009A72A7" w:rsidRPr="00701950">
              <w:rPr>
                <w:lang w:val="lv-LV"/>
              </w:rPr>
              <w:t xml:space="preserve">uzņēmuma </w:t>
            </w:r>
            <w:r w:rsidR="0069236A" w:rsidRPr="00701950">
              <w:rPr>
                <w:lang w:val="lv-LV"/>
              </w:rPr>
              <w:t xml:space="preserve">reģistrāciju </w:t>
            </w:r>
            <w:r w:rsidR="009A72A7" w:rsidRPr="00701950">
              <w:rPr>
                <w:lang w:val="lv-LV"/>
              </w:rPr>
              <w:t xml:space="preserve">vai </w:t>
            </w:r>
            <w:r w:rsidR="0069236A">
              <w:rPr>
                <w:lang w:val="lv-LV"/>
              </w:rPr>
              <w:t xml:space="preserve">tāda </w:t>
            </w:r>
            <w:r w:rsidR="00720CCE">
              <w:rPr>
                <w:lang w:val="lv-LV"/>
              </w:rPr>
              <w:t>uzņēmuma</w:t>
            </w:r>
            <w:r w:rsidR="0069236A">
              <w:rPr>
                <w:lang w:val="lv-LV"/>
              </w:rPr>
              <w:t xml:space="preserve"> </w:t>
            </w:r>
            <w:r w:rsidR="0069236A" w:rsidRPr="00701950">
              <w:rPr>
                <w:lang w:val="lv-LV"/>
              </w:rPr>
              <w:t>reģistrāciju</w:t>
            </w:r>
            <w:r w:rsidR="00720CCE">
              <w:rPr>
                <w:lang w:val="lv-LV"/>
              </w:rPr>
              <w:t>, k</w:t>
            </w:r>
            <w:r w:rsidR="0069236A">
              <w:rPr>
                <w:lang w:val="lv-LV"/>
              </w:rPr>
              <w:t>urš</w:t>
            </w:r>
            <w:r w:rsidR="00720CCE">
              <w:rPr>
                <w:lang w:val="lv-LV"/>
              </w:rPr>
              <w:t xml:space="preserve"> pārstāv </w:t>
            </w:r>
            <w:r w:rsidR="009A72A7" w:rsidRPr="00701950">
              <w:rPr>
                <w:lang w:val="lv-LV"/>
              </w:rPr>
              <w:t>trešās valsts barīb</w:t>
            </w:r>
            <w:r w:rsidR="00720CCE">
              <w:rPr>
                <w:lang w:val="lv-LV"/>
              </w:rPr>
              <w:t>as ražošanas uzņēmumu</w:t>
            </w:r>
            <w:r w:rsidR="009A72A7" w:rsidRPr="00701950">
              <w:rPr>
                <w:lang w:val="lv-LV"/>
              </w:rPr>
              <w:t>.</w:t>
            </w:r>
            <w:r w:rsidR="009A72A7">
              <w:rPr>
                <w:lang w:val="lv-LV"/>
              </w:rPr>
              <w:t xml:space="preserve"> </w:t>
            </w:r>
          </w:p>
          <w:p w:rsidR="00605C4C" w:rsidRDefault="00605C4C" w:rsidP="00605C4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Noteikumu projekt</w:t>
            </w:r>
            <w:r w:rsidR="007A60C6">
              <w:rPr>
                <w:lang w:val="lv-LV"/>
              </w:rPr>
              <w:t>s precizē</w:t>
            </w:r>
            <w:r w:rsidRPr="00DB6ED4">
              <w:rPr>
                <w:lang w:val="lv-LV"/>
              </w:rPr>
              <w:t xml:space="preserve"> noteikumu Nr.</w:t>
            </w:r>
            <w:r w:rsidR="007A60C6">
              <w:rPr>
                <w:lang w:val="lv-LV"/>
              </w:rPr>
              <w:t> </w:t>
            </w:r>
            <w:r w:rsidRPr="00DB6ED4">
              <w:rPr>
                <w:lang w:val="lv-LV"/>
              </w:rPr>
              <w:t>730</w:t>
            </w:r>
            <w:r>
              <w:rPr>
                <w:lang w:val="lv-LV"/>
              </w:rPr>
              <w:t xml:space="preserve"> 2.</w:t>
            </w:r>
            <w:r w:rsidR="007A60C6">
              <w:rPr>
                <w:lang w:val="lv-LV"/>
              </w:rPr>
              <w:t> </w:t>
            </w:r>
            <w:r>
              <w:rPr>
                <w:lang w:val="lv-LV"/>
              </w:rPr>
              <w:t>pielikum</w:t>
            </w:r>
            <w:r w:rsidR="007A60C6">
              <w:rPr>
                <w:lang w:val="lv-LV"/>
              </w:rPr>
              <w:t>u</w:t>
            </w:r>
            <w:r>
              <w:rPr>
                <w:lang w:val="lv-LV"/>
              </w:rPr>
              <w:t xml:space="preserve">, </w:t>
            </w:r>
            <w:r w:rsidR="00423820">
              <w:rPr>
                <w:lang w:val="lv-LV"/>
              </w:rPr>
              <w:t xml:space="preserve">papildinot to ar </w:t>
            </w:r>
            <w:r>
              <w:rPr>
                <w:lang w:val="lv-LV"/>
              </w:rPr>
              <w:t>uzņēmējdarbības veid</w:t>
            </w:r>
            <w:r w:rsidR="00423820">
              <w:rPr>
                <w:lang w:val="lv-LV"/>
              </w:rPr>
              <w:t>iem, kas noteikti</w:t>
            </w:r>
            <w:r w:rsidR="00D80FC5">
              <w:rPr>
                <w:lang w:val="lv-LV"/>
              </w:rPr>
              <w:t xml:space="preserve"> noteikumu projekta</w:t>
            </w:r>
            <w:r w:rsidR="007A60C6">
              <w:rPr>
                <w:lang w:val="lv-LV"/>
              </w:rPr>
              <w:t xml:space="preserve"> 1. un </w:t>
            </w:r>
            <w:r w:rsidR="00D80FC5">
              <w:rPr>
                <w:lang w:val="lv-LV"/>
              </w:rPr>
              <w:t>4.punkt</w:t>
            </w:r>
            <w:r w:rsidR="00423820">
              <w:rPr>
                <w:lang w:val="lv-LV"/>
              </w:rPr>
              <w:t>ā</w:t>
            </w:r>
            <w:r>
              <w:rPr>
                <w:lang w:val="lv-LV"/>
              </w:rPr>
              <w:t xml:space="preserve">. </w:t>
            </w:r>
          </w:p>
          <w:p w:rsidR="00DB3865" w:rsidRDefault="00F23DE6" w:rsidP="00F747A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Noteikumu projekt</w:t>
            </w:r>
            <w:r w:rsidR="00423820">
              <w:rPr>
                <w:lang w:val="lv-LV"/>
              </w:rPr>
              <w:t xml:space="preserve">s </w:t>
            </w:r>
            <w:r w:rsidRPr="00F23DE6">
              <w:rPr>
                <w:lang w:val="lv-LV"/>
              </w:rPr>
              <w:t>papildina noteikumus Nr.73</w:t>
            </w:r>
            <w:r w:rsidR="00D80FC5">
              <w:rPr>
                <w:lang w:val="lv-LV"/>
              </w:rPr>
              <w:t xml:space="preserve">0 ar 4.pielikumu, </w:t>
            </w:r>
            <w:r w:rsidR="0069236A">
              <w:rPr>
                <w:lang w:val="lv-LV"/>
              </w:rPr>
              <w:t xml:space="preserve">kurā dota </w:t>
            </w:r>
            <w:r w:rsidR="000D3E1D">
              <w:rPr>
                <w:lang w:val="lv-LV"/>
              </w:rPr>
              <w:t>deklarācijas</w:t>
            </w:r>
            <w:r w:rsidR="0069236A">
              <w:rPr>
                <w:lang w:val="lv-LV"/>
              </w:rPr>
              <w:t xml:space="preserve"> veidlapa</w:t>
            </w:r>
            <w:r w:rsidR="000D3E1D">
              <w:rPr>
                <w:lang w:val="lv-LV"/>
              </w:rPr>
              <w:t>, ko reģistrējoties aizpilda</w:t>
            </w:r>
            <w:r w:rsidR="00111518">
              <w:rPr>
                <w:lang w:val="lv-LV"/>
              </w:rPr>
              <w:t xml:space="preserve"> </w:t>
            </w:r>
            <w:r w:rsidR="00720CCE">
              <w:rPr>
                <w:lang w:val="lv-LV"/>
              </w:rPr>
              <w:t>uzņēmum</w:t>
            </w:r>
            <w:r w:rsidR="000D3E1D">
              <w:rPr>
                <w:lang w:val="lv-LV"/>
              </w:rPr>
              <w:t>s</w:t>
            </w:r>
            <w:r w:rsidR="00720CCE">
              <w:rPr>
                <w:lang w:val="lv-LV"/>
              </w:rPr>
              <w:t>, k</w:t>
            </w:r>
            <w:r w:rsidR="0069236A">
              <w:rPr>
                <w:lang w:val="lv-LV"/>
              </w:rPr>
              <w:t>urš</w:t>
            </w:r>
            <w:r w:rsidR="00720CCE">
              <w:rPr>
                <w:lang w:val="lv-LV"/>
              </w:rPr>
              <w:t xml:space="preserve"> pārstāv </w:t>
            </w:r>
            <w:r w:rsidR="00111518">
              <w:rPr>
                <w:lang w:val="lv-LV"/>
              </w:rPr>
              <w:t>trešās valsts barības ražošanas uzņēmum</w:t>
            </w:r>
            <w:r w:rsidR="00720CCE">
              <w:rPr>
                <w:lang w:val="lv-LV"/>
              </w:rPr>
              <w:t>u</w:t>
            </w:r>
            <w:r w:rsidR="00111518">
              <w:rPr>
                <w:lang w:val="lv-LV"/>
              </w:rPr>
              <w:t xml:space="preserve">. </w:t>
            </w:r>
          </w:p>
          <w:p w:rsidR="00B06D43" w:rsidRPr="00ED005F" w:rsidRDefault="00DB3865" w:rsidP="00423820">
            <w:pPr>
              <w:jc w:val="both"/>
              <w:rPr>
                <w:lang w:val="lv-LV"/>
              </w:rPr>
            </w:pPr>
            <w:r w:rsidRPr="00DB3865">
              <w:rPr>
                <w:lang w:val="lv-LV"/>
              </w:rPr>
              <w:t>Noteikumu projekts tehnisk</w:t>
            </w:r>
            <w:r w:rsidR="00423820">
              <w:rPr>
                <w:lang w:val="lv-LV"/>
              </w:rPr>
              <w:t xml:space="preserve">i precizē </w:t>
            </w:r>
            <w:r w:rsidR="00423820" w:rsidRPr="00423820">
              <w:rPr>
                <w:lang w:val="lv-LV"/>
              </w:rPr>
              <w:t xml:space="preserve">noteikumu Nr. 730 </w:t>
            </w:r>
            <w:r w:rsidR="00423820">
              <w:rPr>
                <w:lang w:val="lv-LV"/>
              </w:rPr>
              <w:t xml:space="preserve">pielikumos norādāmo </w:t>
            </w:r>
            <w:proofErr w:type="spellStart"/>
            <w:r w:rsidR="00423820">
              <w:rPr>
                <w:lang w:val="lv-LV"/>
              </w:rPr>
              <w:t>kontaktiformāciju</w:t>
            </w:r>
            <w:proofErr w:type="spellEnd"/>
            <w:r w:rsidR="00423820">
              <w:rPr>
                <w:b/>
                <w:lang w:val="lv-LV"/>
              </w:rPr>
              <w:t>.</w:t>
            </w:r>
          </w:p>
        </w:tc>
      </w:tr>
      <w:tr w:rsidR="00563946" w:rsidTr="007412C6">
        <w:tc>
          <w:tcPr>
            <w:tcW w:w="224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67" w:type="pct"/>
          </w:tcPr>
          <w:p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 xml:space="preserve">Projekta izstrādē iesaistītās institūcijas </w:t>
            </w:r>
            <w:r w:rsidRPr="007412C6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:rsidR="00D80316" w:rsidRPr="00524246" w:rsidRDefault="00805470" w:rsidP="000B158F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Pārtikas un veterinārais dienests</w:t>
            </w:r>
            <w:r w:rsidR="0069236A">
              <w:rPr>
                <w:lang w:val="lv-LV" w:eastAsia="lv-LV"/>
              </w:rPr>
              <w:t xml:space="preserve"> un</w:t>
            </w:r>
            <w:r w:rsidR="00991A10">
              <w:rPr>
                <w:lang w:val="lv-LV" w:eastAsia="lv-LV"/>
              </w:rPr>
              <w:t xml:space="preserve"> </w:t>
            </w:r>
            <w:r w:rsidR="00ED32B9">
              <w:rPr>
                <w:bCs/>
                <w:lang w:val="lv-LV"/>
              </w:rPr>
              <w:t>Lauksaimniecības datu centrs</w:t>
            </w:r>
          </w:p>
        </w:tc>
      </w:tr>
      <w:tr w:rsidR="00563946" w:rsidRPr="00103B00" w:rsidTr="007412C6">
        <w:tc>
          <w:tcPr>
            <w:tcW w:w="224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:rsidR="00D80316" w:rsidRPr="00524246" w:rsidRDefault="00864DB2" w:rsidP="0044286F">
            <w:pPr>
              <w:jc w:val="both"/>
              <w:rPr>
                <w:lang w:val="lv-LV" w:eastAsia="lv-LV"/>
              </w:rPr>
            </w:pPr>
            <w:r w:rsidRPr="00864DB2">
              <w:rPr>
                <w:lang w:val="lv-LV" w:eastAsia="lv-LV"/>
              </w:rPr>
              <w:t>Nav</w:t>
            </w:r>
            <w:r w:rsidR="0069236A">
              <w:rPr>
                <w:lang w:val="lv-LV" w:eastAsia="lv-LV"/>
              </w:rPr>
              <w:t>.</w:t>
            </w:r>
          </w:p>
        </w:tc>
      </w:tr>
    </w:tbl>
    <w:p w:rsidR="00D80316" w:rsidRPr="00524246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63946" w:rsidRPr="003F08E7" w:rsidTr="00D219D3">
        <w:tc>
          <w:tcPr>
            <w:tcW w:w="5000" w:type="pct"/>
            <w:gridSpan w:val="3"/>
            <w:vAlign w:val="center"/>
          </w:tcPr>
          <w:p w:rsidR="00D80316" w:rsidRPr="00524246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lang w:val="lv-LV"/>
              </w:rPr>
              <w:t>II. Tiesību akta projekta ietekme uz sabiedrību,</w:t>
            </w:r>
            <w:r w:rsidRPr="00524246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3F08E7" w:rsidTr="00D219D3">
        <w:tc>
          <w:tcPr>
            <w:tcW w:w="238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:rsidR="00D80316" w:rsidRPr="00524246" w:rsidRDefault="00805470" w:rsidP="00880359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:rsidR="009A5B3A" w:rsidRPr="001255FD" w:rsidRDefault="008C3DF8" w:rsidP="00CA48E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805470" w:rsidRPr="00524246">
              <w:rPr>
                <w:lang w:val="lv-LV"/>
              </w:rPr>
              <w:t>oteikumu projekt</w:t>
            </w:r>
            <w:r w:rsidR="00BB344C">
              <w:rPr>
                <w:lang w:val="lv-LV"/>
              </w:rPr>
              <w:t>ā</w:t>
            </w:r>
            <w:r w:rsidR="00805470" w:rsidRPr="00524246">
              <w:rPr>
                <w:lang w:val="lv-LV"/>
              </w:rPr>
              <w:t xml:space="preserve"> </w:t>
            </w:r>
            <w:r w:rsidR="00815DF2">
              <w:rPr>
                <w:lang w:val="lv-LV"/>
              </w:rPr>
              <w:t xml:space="preserve">noteiktais </w:t>
            </w:r>
            <w:r w:rsidR="003E520D" w:rsidRPr="00524246">
              <w:rPr>
                <w:lang w:val="lv-LV"/>
              </w:rPr>
              <w:t xml:space="preserve">tiesiskais regulējums attiecas uz </w:t>
            </w:r>
            <w:r w:rsidR="003331AA">
              <w:rPr>
                <w:lang w:val="lv-LV"/>
              </w:rPr>
              <w:t xml:space="preserve">dienestu, datu centru un barības apritē iesaistītajiem uzņēmumiem. </w:t>
            </w:r>
          </w:p>
        </w:tc>
      </w:tr>
      <w:tr w:rsidR="00563946" w:rsidRPr="004453F2" w:rsidTr="00D219D3">
        <w:tc>
          <w:tcPr>
            <w:tcW w:w="238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:rsidR="00D80316" w:rsidRPr="00524246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:rsidR="00D80316" w:rsidRPr="000F0801" w:rsidRDefault="005D709D" w:rsidP="00C3066A">
            <w:pPr>
              <w:jc w:val="both"/>
              <w:rPr>
                <w:i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:rsidTr="00D219D3">
        <w:tc>
          <w:tcPr>
            <w:tcW w:w="238" w:type="pct"/>
          </w:tcPr>
          <w:p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:rsidR="00D80316" w:rsidRPr="00524246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:rsidR="00D80316" w:rsidRPr="00524246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Projekt</w:t>
            </w:r>
            <w:r w:rsidR="00041A31"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:rsidTr="00D219D3">
        <w:tc>
          <w:tcPr>
            <w:tcW w:w="238" w:type="pct"/>
          </w:tcPr>
          <w:p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 w:eastAsia="lv-LV"/>
              </w:rPr>
              <w:t>Projekts šo jomu neskar.</w:t>
            </w:r>
          </w:p>
        </w:tc>
      </w:tr>
      <w:tr w:rsidR="00563946" w:rsidTr="00D219D3">
        <w:tc>
          <w:tcPr>
            <w:tcW w:w="238" w:type="pct"/>
          </w:tcPr>
          <w:p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Nav</w:t>
            </w:r>
            <w:r w:rsidR="00EC1313">
              <w:rPr>
                <w:lang w:val="lv-LV"/>
              </w:rPr>
              <w:t>.</w:t>
            </w:r>
          </w:p>
        </w:tc>
      </w:tr>
    </w:tbl>
    <w:p w:rsidR="00D80316" w:rsidRPr="0063358E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63946" w:rsidRPr="003F08E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b/>
                <w:bCs/>
                <w:lang w:val="lv-LV"/>
              </w:rPr>
              <w:t>III. Tiesību akta projekt</w:t>
            </w:r>
            <w:r w:rsidR="00F163DE" w:rsidRPr="0063358E">
              <w:rPr>
                <w:b/>
                <w:bCs/>
                <w:lang w:val="lv-LV"/>
              </w:rPr>
              <w:t>a</w:t>
            </w:r>
            <w:r w:rsidRPr="0063358E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63358E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lang w:val="lv-LV" w:eastAsia="lv-LV"/>
              </w:rPr>
              <w:t>Projekt</w:t>
            </w:r>
            <w:r w:rsidR="00FD5BB3" w:rsidRPr="0063358E">
              <w:rPr>
                <w:lang w:val="lv-LV" w:eastAsia="lv-LV"/>
              </w:rPr>
              <w:t>s</w:t>
            </w:r>
            <w:r w:rsidRPr="0063358E">
              <w:rPr>
                <w:lang w:val="lv-LV" w:eastAsia="lv-LV"/>
              </w:rPr>
              <w:t xml:space="preserve"> šo jomu neskar.</w:t>
            </w:r>
          </w:p>
        </w:tc>
      </w:tr>
    </w:tbl>
    <w:p w:rsidR="00E01493" w:rsidRPr="0063358E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65"/>
        <w:gridCol w:w="2230"/>
        <w:gridCol w:w="165"/>
        <w:gridCol w:w="804"/>
        <w:gridCol w:w="804"/>
        <w:gridCol w:w="2376"/>
        <w:gridCol w:w="2386"/>
      </w:tblGrid>
      <w:tr w:rsidR="00563946" w:rsidRPr="003F08E7" w:rsidTr="000F5F17">
        <w:tc>
          <w:tcPr>
            <w:tcW w:w="9498" w:type="dxa"/>
            <w:gridSpan w:val="8"/>
          </w:tcPr>
          <w:p w:rsidR="00E01493" w:rsidRPr="0063358E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63358E" w:rsidTr="000F5F17">
        <w:tc>
          <w:tcPr>
            <w:tcW w:w="9498" w:type="dxa"/>
            <w:gridSpan w:val="8"/>
          </w:tcPr>
          <w:p w:rsidR="004C2FDD" w:rsidRPr="0063358E" w:rsidRDefault="004C2FDD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color w:val="000000" w:themeColor="text1"/>
              </w:rPr>
              <w:t>Projekts šo jomu neskar.</w:t>
            </w:r>
          </w:p>
        </w:tc>
      </w:tr>
      <w:tr w:rsidR="00884779" w:rsidRPr="006B1394" w:rsidTr="000F5F17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9498" w:type="dxa"/>
            <w:gridSpan w:val="8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:rsidR="00884779" w:rsidRPr="006B1394" w:rsidRDefault="00884779" w:rsidP="00AA6608">
            <w:pPr>
              <w:jc w:val="center"/>
              <w:rPr>
                <w:b/>
                <w:color w:val="000000" w:themeColor="text1"/>
                <w:sz w:val="28"/>
                <w:szCs w:val="28"/>
                <w:lang w:val="lv-LV" w:eastAsia="lv-LV"/>
              </w:rPr>
            </w:pPr>
            <w:r w:rsidRPr="008B74D4">
              <w:rPr>
                <w:b/>
                <w:szCs w:val="28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884779" w:rsidRPr="00F548F9" w:rsidTr="000F5F17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733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22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Saistības pret Eiropas Savienību</w:t>
            </w:r>
          </w:p>
        </w:tc>
        <w:tc>
          <w:tcPr>
            <w:tcW w:w="6535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4448CC" w:rsidRPr="004448CC" w:rsidRDefault="009410D7" w:rsidP="004448CC">
            <w:pPr>
              <w:jc w:val="both"/>
              <w:rPr>
                <w:lang w:val="en"/>
              </w:rPr>
            </w:pPr>
            <w:r>
              <w:rPr>
                <w:lang w:val="lv-LV"/>
              </w:rPr>
              <w:t xml:space="preserve">Projekts šo jomu </w:t>
            </w:r>
            <w:r w:rsidRPr="006022C3">
              <w:rPr>
                <w:lang w:val="lv-LV"/>
              </w:rPr>
              <w:t>skar.</w:t>
            </w:r>
          </w:p>
        </w:tc>
      </w:tr>
      <w:tr w:rsidR="00884779" w:rsidRPr="0053640C" w:rsidTr="000F5F17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733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22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Citas starptautiskās saistības</w:t>
            </w:r>
          </w:p>
        </w:tc>
        <w:tc>
          <w:tcPr>
            <w:tcW w:w="6535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022C3">
              <w:rPr>
                <w:lang w:val="lv-LV"/>
              </w:rPr>
              <w:t>Projekts šo jomu neskar.</w:t>
            </w:r>
          </w:p>
        </w:tc>
      </w:tr>
      <w:tr w:rsidR="00884779" w:rsidRPr="0053640C" w:rsidTr="000F5F17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A0" w:firstRow="1" w:lastRow="0" w:firstColumn="1" w:lastColumn="0" w:noHBand="0" w:noVBand="0"/>
        </w:tblPrEx>
        <w:tc>
          <w:tcPr>
            <w:tcW w:w="733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223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6535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Nav.</w:t>
            </w:r>
          </w:p>
        </w:tc>
      </w:tr>
      <w:tr w:rsidR="003F321E" w:rsidRPr="009E2709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9498" w:type="dxa"/>
            <w:gridSpan w:val="8"/>
            <w:vAlign w:val="center"/>
          </w:tcPr>
          <w:p w:rsidR="003F321E" w:rsidRPr="003F321E" w:rsidRDefault="003F321E" w:rsidP="003F321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3F321E">
              <w:rPr>
                <w:b/>
              </w:rPr>
              <w:t>1.tabula</w:t>
            </w:r>
          </w:p>
          <w:p w:rsidR="003F321E" w:rsidRPr="009E2709" w:rsidRDefault="003F321E" w:rsidP="003F321E">
            <w:pPr>
              <w:pStyle w:val="naisnod"/>
              <w:spacing w:before="0" w:beforeAutospacing="0" w:after="0" w:afterAutospacing="0"/>
              <w:jc w:val="center"/>
              <w:rPr>
                <w:i/>
              </w:rPr>
            </w:pPr>
            <w:r w:rsidRPr="003F321E">
              <w:rPr>
                <w:b/>
              </w:rPr>
              <w:t>Tiesību akta projekta atbilstība ES tiesību aktiem</w:t>
            </w:r>
          </w:p>
        </w:tc>
      </w:tr>
      <w:tr w:rsidR="003F321E" w:rsidRPr="006D468F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3128" w:type="dxa"/>
            <w:gridSpan w:val="4"/>
            <w:vAlign w:val="center"/>
          </w:tcPr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ind w:hanging="10"/>
              <w:jc w:val="both"/>
            </w:pPr>
            <w:r w:rsidRPr="009E2709">
              <w:t>Attiecīgā ES tiesību akta datums, numurs un nosaukums</w:t>
            </w:r>
          </w:p>
        </w:tc>
        <w:tc>
          <w:tcPr>
            <w:tcW w:w="6370" w:type="dxa"/>
            <w:gridSpan w:val="4"/>
          </w:tcPr>
          <w:p w:rsidR="003F321E" w:rsidRPr="009E2709" w:rsidRDefault="003F321E" w:rsidP="000C0CA8">
            <w:pPr>
              <w:pStyle w:val="naiskr"/>
              <w:spacing w:before="0" w:beforeAutospacing="0" w:after="0" w:afterAutospacing="0"/>
            </w:pPr>
          </w:p>
        </w:tc>
      </w:tr>
      <w:tr w:rsidR="003F321E" w:rsidRPr="009E2709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128" w:type="dxa"/>
            <w:gridSpan w:val="4"/>
            <w:vAlign w:val="center"/>
          </w:tcPr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608" w:type="dxa"/>
            <w:gridSpan w:val="2"/>
            <w:vAlign w:val="center"/>
          </w:tcPr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2376" w:type="dxa"/>
            <w:vAlign w:val="center"/>
          </w:tcPr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2386" w:type="dxa"/>
            <w:vAlign w:val="center"/>
          </w:tcPr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3F321E" w:rsidRPr="003F08E7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128" w:type="dxa"/>
            <w:gridSpan w:val="4"/>
          </w:tcPr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Attiecīgā ES tiesību akta panta numurs (uzskaitot katru tiesību </w:t>
            </w:r>
            <w:r w:rsidRPr="009E2709">
              <w:lastRenderedPageBreak/>
              <w:t>akta vienību – pantu, daļu, punktu, apakšpunktu)</w:t>
            </w:r>
          </w:p>
        </w:tc>
        <w:tc>
          <w:tcPr>
            <w:tcW w:w="1608" w:type="dxa"/>
            <w:gridSpan w:val="2"/>
          </w:tcPr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 xml:space="preserve">Projekta vienība, kas </w:t>
            </w:r>
            <w:r w:rsidRPr="009E2709">
              <w:lastRenderedPageBreak/>
              <w:t>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376" w:type="dxa"/>
          </w:tcPr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 xml:space="preserve">Informācija par to, vai šīs tabulas A ailē </w:t>
            </w:r>
            <w:r w:rsidRPr="009E2709">
              <w:lastRenderedPageBreak/>
              <w:t>minētās ES tiesību akta vienības tiek pārņemtas vai ieviestas pilnībā vai daļēji.</w:t>
            </w:r>
          </w:p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</w:t>
            </w:r>
            <w:r w:rsidR="006F13DA">
              <w:t xml:space="preserve"> pārņemta vai ieviesta daļēji, </w:t>
            </w:r>
            <w:r w:rsidRPr="009E2709">
              <w:t>sniedz attiecīgu skaidrojumu, kā arī precīzi norāda, kad un kādā veidā ES tiesību akta vienība tiks pārņemta vai ieviesta pilnībā.</w:t>
            </w:r>
          </w:p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2386" w:type="dxa"/>
            <w:vAlign w:val="center"/>
          </w:tcPr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 xml:space="preserve">Informācija par to, vai šīs tabulas B ailē </w:t>
            </w:r>
            <w:r w:rsidRPr="009E2709">
              <w:lastRenderedPageBreak/>
              <w:t>minētās projekta vienības paredz stingrākas prasības nekā šīs tabulas A ailē minētās ES tiesību akta vienības.</w:t>
            </w:r>
          </w:p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projekts satur stingrākas prasības nekā attiecīgais ES tiesību akts, norāda pamatojumu un samērīgumu.</w:t>
            </w:r>
          </w:p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3F321E" w:rsidRPr="001568E0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128" w:type="dxa"/>
            <w:gridSpan w:val="4"/>
          </w:tcPr>
          <w:p w:rsidR="003F321E" w:rsidRPr="003E43CA" w:rsidRDefault="00444F3F" w:rsidP="00444F3F">
            <w:pPr>
              <w:jc w:val="both"/>
              <w:rPr>
                <w:lang w:val="lv-LV"/>
              </w:rPr>
            </w:pPr>
            <w:r w:rsidRPr="003E43CA">
              <w:rPr>
                <w:lang w:val="lv-LV"/>
              </w:rPr>
              <w:lastRenderedPageBreak/>
              <w:t>Komisijas Regulas (EK) 2015/786</w:t>
            </w:r>
            <w:r w:rsidR="0069236A">
              <w:rPr>
                <w:lang w:val="lv-LV"/>
              </w:rPr>
              <w:t>,</w:t>
            </w:r>
            <w:r w:rsidRPr="003E43CA">
              <w:rPr>
                <w:lang w:val="lv-LV"/>
              </w:rPr>
              <w:t xml:space="preserve"> </w:t>
            </w:r>
            <w:r w:rsidRPr="003E43CA">
              <w:rPr>
                <w:bCs/>
                <w:shd w:val="clear" w:color="auto" w:fill="FFFFFF"/>
                <w:lang w:val="lv-LV"/>
              </w:rPr>
              <w:t>ar ko nosaka pieņemamības kritērijus detoksikācijas procesiem, kas piemēroti dzīvnieku barībai paredzētiem produktiem, kā paredzēts Eiropas Parlamenta un Padomes Direktīvā 2002/32/EK</w:t>
            </w:r>
            <w:r w:rsidR="0069236A">
              <w:rPr>
                <w:bCs/>
                <w:shd w:val="clear" w:color="auto" w:fill="FFFFFF"/>
                <w:lang w:val="lv-LV"/>
              </w:rPr>
              <w:t>,</w:t>
            </w:r>
            <w:r w:rsidRPr="003E43CA">
              <w:rPr>
                <w:lang w:val="lv-LV"/>
              </w:rPr>
              <w:t xml:space="preserve"> </w:t>
            </w:r>
            <w:proofErr w:type="gramStart"/>
            <w:r w:rsidRPr="003E43CA">
              <w:rPr>
                <w:lang w:val="lv-LV"/>
              </w:rPr>
              <w:t>6.panta</w:t>
            </w:r>
            <w:proofErr w:type="gramEnd"/>
            <w:r w:rsidRPr="003E43CA">
              <w:rPr>
                <w:lang w:val="lv-LV"/>
              </w:rPr>
              <w:t xml:space="preserve"> 1.punkts</w:t>
            </w:r>
          </w:p>
        </w:tc>
        <w:tc>
          <w:tcPr>
            <w:tcW w:w="1608" w:type="dxa"/>
            <w:gridSpan w:val="2"/>
            <w:vAlign w:val="center"/>
          </w:tcPr>
          <w:p w:rsidR="003F321E" w:rsidRPr="003E43CA" w:rsidRDefault="00444F3F" w:rsidP="00295975">
            <w:pPr>
              <w:pStyle w:val="naiskr"/>
              <w:spacing w:before="0" w:beforeAutospacing="0" w:after="0" w:afterAutospacing="0"/>
            </w:pPr>
            <w:r w:rsidRPr="003E43CA">
              <w:t>Projekta 1.punkts (3.5</w:t>
            </w:r>
            <w:r w:rsidR="0069236A">
              <w:t>.</w:t>
            </w:r>
            <w:r w:rsidRPr="003E43CA">
              <w:t>)</w:t>
            </w:r>
          </w:p>
        </w:tc>
        <w:tc>
          <w:tcPr>
            <w:tcW w:w="2376" w:type="dxa"/>
          </w:tcPr>
          <w:p w:rsidR="007C260A" w:rsidRPr="009E2709" w:rsidRDefault="007C260A" w:rsidP="007C260A">
            <w:pPr>
              <w:pStyle w:val="naiskr"/>
              <w:spacing w:before="0" w:beforeAutospacing="0" w:after="0" w:afterAutospacing="0"/>
              <w:jc w:val="both"/>
            </w:pPr>
            <w:r w:rsidRPr="009E2709">
              <w:t>ES tiesību akta vienība</w:t>
            </w:r>
            <w:r w:rsidR="00136D9D">
              <w:t xml:space="preserve"> tiek pārņemta</w:t>
            </w:r>
            <w:r w:rsidRPr="009E2709">
              <w:t xml:space="preserve"> </w:t>
            </w:r>
            <w:r>
              <w:t>pilnībā.</w:t>
            </w:r>
          </w:p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2386" w:type="dxa"/>
          </w:tcPr>
          <w:p w:rsidR="003F321E" w:rsidRPr="009E2709" w:rsidRDefault="00C72BE5" w:rsidP="000C0CA8">
            <w:pPr>
              <w:pStyle w:val="naiskr"/>
              <w:spacing w:before="0" w:beforeAutospacing="0" w:after="0" w:afterAutospacing="0"/>
              <w:jc w:val="both"/>
            </w:pPr>
            <w:r>
              <w:t>Neparedz stingrākas prasības.</w:t>
            </w:r>
          </w:p>
        </w:tc>
      </w:tr>
      <w:tr w:rsidR="003F321E" w:rsidRPr="001568E0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128" w:type="dxa"/>
            <w:gridSpan w:val="4"/>
          </w:tcPr>
          <w:p w:rsidR="003F321E" w:rsidRPr="003E43CA" w:rsidRDefault="00247965" w:rsidP="00247965">
            <w:pPr>
              <w:jc w:val="both"/>
              <w:rPr>
                <w:lang w:val="lv-LV"/>
              </w:rPr>
            </w:pPr>
            <w:r w:rsidRPr="003E43CA">
              <w:rPr>
                <w:lang w:val="lv-LV"/>
              </w:rPr>
              <w:t>2</w:t>
            </w:r>
            <w:r w:rsidRPr="003E43CA">
              <w:t xml:space="preserve">005. </w:t>
            </w:r>
            <w:proofErr w:type="spellStart"/>
            <w:r w:rsidRPr="003E43CA">
              <w:t>gada</w:t>
            </w:r>
            <w:proofErr w:type="spellEnd"/>
            <w:r w:rsidRPr="003E43CA">
              <w:t xml:space="preserve"> 12. </w:t>
            </w:r>
            <w:proofErr w:type="spellStart"/>
            <w:r w:rsidRPr="003E43CA">
              <w:t>janvāra</w:t>
            </w:r>
            <w:proofErr w:type="spellEnd"/>
            <w:r w:rsidRPr="003E43CA">
              <w:t xml:space="preserve"> </w:t>
            </w:r>
            <w:r w:rsidRPr="003E43CA">
              <w:rPr>
                <w:lang w:val="lv-LV"/>
              </w:rPr>
              <w:t xml:space="preserve">Regulas (EK) </w:t>
            </w:r>
            <w:r w:rsidRPr="003E43CA">
              <w:rPr>
                <w:lang w:val="en"/>
              </w:rPr>
              <w:t>183/2005</w:t>
            </w:r>
            <w:r w:rsidR="0069236A">
              <w:rPr>
                <w:lang w:val="en"/>
              </w:rPr>
              <w:t>,</w:t>
            </w:r>
            <w:r w:rsidRPr="003E43CA">
              <w:t xml:space="preserve"> </w:t>
            </w:r>
            <w:proofErr w:type="spellStart"/>
            <w:r w:rsidRPr="003E43CA">
              <w:t>ar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ko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paredz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barības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higiēnas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prasības</w:t>
            </w:r>
            <w:proofErr w:type="spellEnd"/>
            <w:r w:rsidRPr="003E43CA">
              <w:t>,</w:t>
            </w:r>
            <w:r w:rsidRPr="003E43CA">
              <w:rPr>
                <w:lang w:val="lv-LV"/>
              </w:rPr>
              <w:t xml:space="preserve"> </w:t>
            </w:r>
            <w:r w:rsidR="001568E0" w:rsidRPr="003E43CA">
              <w:rPr>
                <w:lang w:val="en"/>
              </w:rPr>
              <w:t xml:space="preserve"> 17.pant</w:t>
            </w:r>
            <w:r w:rsidRPr="003E43CA">
              <w:rPr>
                <w:lang w:val="en"/>
              </w:rPr>
              <w:t>s</w:t>
            </w:r>
          </w:p>
        </w:tc>
        <w:tc>
          <w:tcPr>
            <w:tcW w:w="1608" w:type="dxa"/>
            <w:gridSpan w:val="2"/>
            <w:vAlign w:val="center"/>
          </w:tcPr>
          <w:p w:rsidR="003F321E" w:rsidRPr="003E43CA" w:rsidRDefault="001568E0" w:rsidP="000C0CA8">
            <w:pPr>
              <w:pStyle w:val="naiskr"/>
              <w:spacing w:before="0" w:beforeAutospacing="0" w:after="0" w:afterAutospacing="0"/>
              <w:jc w:val="both"/>
            </w:pPr>
            <w:r w:rsidRPr="003E43CA">
              <w:t>Projekta 4.punkts (4.10</w:t>
            </w:r>
            <w:r w:rsidR="0069236A">
              <w:t>.</w:t>
            </w:r>
            <w:r w:rsidRPr="003E43CA">
              <w:t>)</w:t>
            </w:r>
          </w:p>
        </w:tc>
        <w:tc>
          <w:tcPr>
            <w:tcW w:w="2376" w:type="dxa"/>
          </w:tcPr>
          <w:p w:rsidR="00053156" w:rsidRPr="009E2709" w:rsidRDefault="00053156" w:rsidP="00053156">
            <w:pPr>
              <w:pStyle w:val="naiskr"/>
              <w:spacing w:before="0" w:beforeAutospacing="0" w:after="0" w:afterAutospacing="0"/>
              <w:jc w:val="both"/>
            </w:pPr>
            <w:r w:rsidRPr="009E2709">
              <w:t>ES tiesību akta vienība</w:t>
            </w:r>
            <w:r w:rsidR="00136D9D">
              <w:t xml:space="preserve"> tiek pārņemta</w:t>
            </w:r>
            <w:r w:rsidRPr="009E2709">
              <w:t xml:space="preserve"> </w:t>
            </w:r>
            <w:r>
              <w:t>pilnībā.</w:t>
            </w:r>
          </w:p>
          <w:p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2386" w:type="dxa"/>
          </w:tcPr>
          <w:p w:rsidR="003F321E" w:rsidRPr="009E2709" w:rsidRDefault="009938C4" w:rsidP="000C0CA8">
            <w:pPr>
              <w:pStyle w:val="naiskr"/>
              <w:spacing w:before="0" w:beforeAutospacing="0" w:after="0" w:afterAutospacing="0"/>
              <w:jc w:val="both"/>
            </w:pPr>
            <w:r>
              <w:t>Neparedz stingrākas prasības.</w:t>
            </w:r>
          </w:p>
        </w:tc>
      </w:tr>
      <w:tr w:rsidR="001568E0" w:rsidRPr="001568E0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128" w:type="dxa"/>
            <w:gridSpan w:val="4"/>
          </w:tcPr>
          <w:p w:rsidR="001568E0" w:rsidRPr="003E43CA" w:rsidRDefault="00247965" w:rsidP="00247965">
            <w:pPr>
              <w:jc w:val="both"/>
              <w:rPr>
                <w:lang w:val="lv-LV"/>
              </w:rPr>
            </w:pPr>
            <w:r w:rsidRPr="003E43CA">
              <w:rPr>
                <w:lang w:val="lv-LV"/>
              </w:rPr>
              <w:t>2</w:t>
            </w:r>
            <w:r w:rsidRPr="003E43CA">
              <w:t xml:space="preserve">005. </w:t>
            </w:r>
            <w:proofErr w:type="spellStart"/>
            <w:r w:rsidRPr="003E43CA">
              <w:t>gada</w:t>
            </w:r>
            <w:proofErr w:type="spellEnd"/>
            <w:r w:rsidRPr="003E43CA">
              <w:t xml:space="preserve"> 12. </w:t>
            </w:r>
            <w:proofErr w:type="spellStart"/>
            <w:r w:rsidRPr="003E43CA">
              <w:t>janvāra</w:t>
            </w:r>
            <w:proofErr w:type="spellEnd"/>
            <w:r w:rsidRPr="003E43CA">
              <w:t xml:space="preserve"> </w:t>
            </w:r>
            <w:r w:rsidR="001568E0" w:rsidRPr="003E43CA">
              <w:rPr>
                <w:lang w:val="lv-LV"/>
              </w:rPr>
              <w:t xml:space="preserve">Regulas (EK) </w:t>
            </w:r>
            <w:r w:rsidR="001568E0" w:rsidRPr="003E43CA">
              <w:rPr>
                <w:lang w:val="en"/>
              </w:rPr>
              <w:t>183/2005</w:t>
            </w:r>
            <w:r w:rsidR="0069236A">
              <w:rPr>
                <w:lang w:val="en"/>
              </w:rPr>
              <w:t>,</w:t>
            </w:r>
            <w:r w:rsidR="005A4E5E" w:rsidRPr="003E43CA">
              <w:t xml:space="preserve"> </w:t>
            </w:r>
            <w:proofErr w:type="spellStart"/>
            <w:r w:rsidR="005A4E5E" w:rsidRPr="003E43CA">
              <w:t>ar</w:t>
            </w:r>
            <w:proofErr w:type="spellEnd"/>
            <w:r w:rsidR="005A4E5E" w:rsidRPr="003E43CA">
              <w:t xml:space="preserve"> </w:t>
            </w:r>
            <w:proofErr w:type="spellStart"/>
            <w:r w:rsidR="005A4E5E" w:rsidRPr="003E43CA">
              <w:t>ko</w:t>
            </w:r>
            <w:proofErr w:type="spellEnd"/>
            <w:r w:rsidR="005A4E5E" w:rsidRPr="003E43CA">
              <w:t xml:space="preserve"> </w:t>
            </w:r>
            <w:proofErr w:type="spellStart"/>
            <w:r w:rsidR="005A4E5E" w:rsidRPr="003E43CA">
              <w:t>paredz</w:t>
            </w:r>
            <w:proofErr w:type="spellEnd"/>
            <w:r w:rsidR="005A4E5E" w:rsidRPr="003E43CA">
              <w:t xml:space="preserve"> </w:t>
            </w:r>
            <w:proofErr w:type="spellStart"/>
            <w:r w:rsidR="005A4E5E" w:rsidRPr="003E43CA">
              <w:t>barības</w:t>
            </w:r>
            <w:proofErr w:type="spellEnd"/>
            <w:r w:rsidR="005A4E5E" w:rsidRPr="003E43CA">
              <w:t xml:space="preserve"> </w:t>
            </w:r>
            <w:proofErr w:type="spellStart"/>
            <w:r w:rsidR="005A4E5E" w:rsidRPr="003E43CA">
              <w:t>higiēnas</w:t>
            </w:r>
            <w:proofErr w:type="spellEnd"/>
            <w:r w:rsidR="005A4E5E" w:rsidRPr="003E43CA">
              <w:t xml:space="preserve"> </w:t>
            </w:r>
            <w:proofErr w:type="spellStart"/>
            <w:r w:rsidR="005A4E5E" w:rsidRPr="003E43CA">
              <w:t>prasības</w:t>
            </w:r>
            <w:proofErr w:type="spellEnd"/>
            <w:r w:rsidR="001568E0" w:rsidRPr="003E43CA">
              <w:rPr>
                <w:lang w:val="en"/>
              </w:rPr>
              <w:t>, 24.p</w:t>
            </w:r>
            <w:r w:rsidRPr="003E43CA">
              <w:rPr>
                <w:lang w:val="en"/>
              </w:rPr>
              <w:t>ants</w:t>
            </w:r>
          </w:p>
        </w:tc>
        <w:tc>
          <w:tcPr>
            <w:tcW w:w="1608" w:type="dxa"/>
            <w:gridSpan w:val="2"/>
            <w:vAlign w:val="center"/>
          </w:tcPr>
          <w:p w:rsidR="001568E0" w:rsidRPr="003E43CA" w:rsidRDefault="001568E0" w:rsidP="00423820">
            <w:pPr>
              <w:pStyle w:val="naiskr"/>
              <w:spacing w:before="0" w:beforeAutospacing="0" w:after="0" w:afterAutospacing="0"/>
              <w:jc w:val="both"/>
            </w:pPr>
            <w:r w:rsidRPr="003E43CA">
              <w:t>Projekta 3.punkts (4.12</w:t>
            </w:r>
            <w:r w:rsidR="0069236A">
              <w:t>.</w:t>
            </w:r>
            <w:r w:rsidRPr="003E43CA">
              <w:t>)</w:t>
            </w:r>
            <w:r w:rsidR="00FB6B91">
              <w:t xml:space="preserve"> </w:t>
            </w:r>
          </w:p>
        </w:tc>
        <w:tc>
          <w:tcPr>
            <w:tcW w:w="2376" w:type="dxa"/>
          </w:tcPr>
          <w:p w:rsidR="001568E0" w:rsidRPr="009E2709" w:rsidRDefault="00A706A7" w:rsidP="001568E0">
            <w:pPr>
              <w:pStyle w:val="naiskr"/>
              <w:spacing w:before="0" w:beforeAutospacing="0" w:after="0" w:afterAutospacing="0"/>
              <w:jc w:val="both"/>
            </w:pPr>
            <w:r w:rsidRPr="009E2709">
              <w:t>ES tiesību akta vienība</w:t>
            </w:r>
            <w:r w:rsidR="00136D9D">
              <w:t xml:space="preserve"> tiek pārņemta</w:t>
            </w:r>
            <w:r w:rsidRPr="009E2709">
              <w:t xml:space="preserve"> </w:t>
            </w:r>
            <w:r>
              <w:t>pilnībā</w:t>
            </w:r>
          </w:p>
        </w:tc>
        <w:tc>
          <w:tcPr>
            <w:tcW w:w="2386" w:type="dxa"/>
          </w:tcPr>
          <w:p w:rsidR="001568E0" w:rsidRPr="009E2709" w:rsidRDefault="00A706A7" w:rsidP="001568E0">
            <w:pPr>
              <w:pStyle w:val="naiskr"/>
              <w:spacing w:before="0" w:beforeAutospacing="0" w:after="0" w:afterAutospacing="0"/>
              <w:jc w:val="both"/>
            </w:pPr>
            <w:r>
              <w:t>Neparedz stingrākas prasības.</w:t>
            </w:r>
          </w:p>
        </w:tc>
      </w:tr>
      <w:tr w:rsidR="001568E0" w:rsidRPr="001568E0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128" w:type="dxa"/>
            <w:gridSpan w:val="4"/>
          </w:tcPr>
          <w:p w:rsidR="001568E0" w:rsidRPr="003E43CA" w:rsidRDefault="000D0645" w:rsidP="000D0645">
            <w:pPr>
              <w:jc w:val="both"/>
              <w:rPr>
                <w:lang w:val="lv-LV"/>
              </w:rPr>
            </w:pPr>
            <w:r w:rsidRPr="003E43CA">
              <w:rPr>
                <w:lang w:val="lv-LV"/>
              </w:rPr>
              <w:t>2</w:t>
            </w:r>
            <w:r w:rsidRPr="003E43CA">
              <w:t xml:space="preserve">005. </w:t>
            </w:r>
            <w:proofErr w:type="spellStart"/>
            <w:r w:rsidRPr="003E43CA">
              <w:t>gada</w:t>
            </w:r>
            <w:proofErr w:type="spellEnd"/>
            <w:r w:rsidRPr="003E43CA">
              <w:t xml:space="preserve"> 12. </w:t>
            </w:r>
            <w:proofErr w:type="spellStart"/>
            <w:r w:rsidRPr="003E43CA">
              <w:t>janvāra</w:t>
            </w:r>
            <w:proofErr w:type="spellEnd"/>
            <w:r w:rsidRPr="003E43CA">
              <w:t xml:space="preserve"> </w:t>
            </w:r>
            <w:r w:rsidRPr="003E43CA">
              <w:rPr>
                <w:lang w:val="lv-LV"/>
              </w:rPr>
              <w:t xml:space="preserve">Regulas (EK) </w:t>
            </w:r>
            <w:r w:rsidRPr="003E43CA">
              <w:rPr>
                <w:lang w:val="en"/>
              </w:rPr>
              <w:t>183/2005</w:t>
            </w:r>
            <w:r w:rsidR="0069236A">
              <w:rPr>
                <w:lang w:val="en"/>
              </w:rPr>
              <w:t>,</w:t>
            </w:r>
            <w:r w:rsidRPr="003E43CA">
              <w:t xml:space="preserve"> </w:t>
            </w:r>
            <w:proofErr w:type="spellStart"/>
            <w:r w:rsidRPr="003E43CA">
              <w:t>ar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ko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paredz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barības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higiēnas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prasības</w:t>
            </w:r>
            <w:proofErr w:type="spellEnd"/>
            <w:r w:rsidR="001568E0" w:rsidRPr="003E43CA">
              <w:rPr>
                <w:lang w:val="en"/>
              </w:rPr>
              <w:t>, 5.</w:t>
            </w:r>
            <w:r w:rsidRPr="003E43CA">
              <w:rPr>
                <w:lang w:val="en"/>
              </w:rPr>
              <w:t>panta 1.punkts</w:t>
            </w:r>
            <w:r w:rsidR="000229D9">
              <w:rPr>
                <w:lang w:val="en"/>
              </w:rPr>
              <w:t xml:space="preserve"> un 9.panta 3 </w:t>
            </w:r>
            <w:proofErr w:type="spellStart"/>
            <w:r w:rsidR="000229D9">
              <w:rPr>
                <w:lang w:val="en"/>
              </w:rPr>
              <w:t>punkts</w:t>
            </w:r>
            <w:proofErr w:type="spellEnd"/>
          </w:p>
        </w:tc>
        <w:tc>
          <w:tcPr>
            <w:tcW w:w="1608" w:type="dxa"/>
            <w:gridSpan w:val="2"/>
            <w:vAlign w:val="center"/>
          </w:tcPr>
          <w:p w:rsidR="001568E0" w:rsidRPr="003E43CA" w:rsidRDefault="001568E0" w:rsidP="00423820">
            <w:pPr>
              <w:pStyle w:val="naiskr"/>
              <w:spacing w:before="0" w:beforeAutospacing="0" w:after="0" w:afterAutospacing="0"/>
              <w:jc w:val="both"/>
            </w:pPr>
            <w:r w:rsidRPr="003E43CA">
              <w:t xml:space="preserve">Projekta </w:t>
            </w:r>
            <w:r w:rsidR="000172A1">
              <w:t>5</w:t>
            </w:r>
            <w:r w:rsidRPr="003E43CA">
              <w:t>. punkts (4.</w:t>
            </w:r>
            <w:r w:rsidR="00423820">
              <w:rPr>
                <w:vertAlign w:val="superscript"/>
              </w:rPr>
              <w:t>1</w:t>
            </w:r>
            <w:r w:rsidRPr="003E43CA">
              <w:t>)</w:t>
            </w:r>
          </w:p>
        </w:tc>
        <w:tc>
          <w:tcPr>
            <w:tcW w:w="2376" w:type="dxa"/>
          </w:tcPr>
          <w:p w:rsidR="001568E0" w:rsidRPr="009E2709" w:rsidRDefault="000229D9" w:rsidP="001568E0">
            <w:pPr>
              <w:pStyle w:val="naiskr"/>
              <w:spacing w:before="0" w:beforeAutospacing="0" w:after="0" w:afterAutospacing="0"/>
              <w:jc w:val="both"/>
            </w:pPr>
            <w:r w:rsidRPr="009E2709">
              <w:t>ES tiesību akta vienība</w:t>
            </w:r>
            <w:r w:rsidR="006F56D9">
              <w:t>s tiek pārņemtas</w:t>
            </w:r>
            <w:r w:rsidRPr="009E2709">
              <w:t xml:space="preserve"> </w:t>
            </w:r>
            <w:r w:rsidR="000E7AE5">
              <w:t>daļēji</w:t>
            </w:r>
          </w:p>
        </w:tc>
        <w:tc>
          <w:tcPr>
            <w:tcW w:w="2386" w:type="dxa"/>
          </w:tcPr>
          <w:p w:rsidR="001568E0" w:rsidRPr="009E2709" w:rsidRDefault="000229D9" w:rsidP="001568E0">
            <w:pPr>
              <w:pStyle w:val="naiskr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1568E0" w:rsidRPr="001568E0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128" w:type="dxa"/>
            <w:gridSpan w:val="4"/>
          </w:tcPr>
          <w:p w:rsidR="001568E0" w:rsidRPr="003E43CA" w:rsidRDefault="00531348" w:rsidP="00531348">
            <w:pPr>
              <w:jc w:val="both"/>
              <w:rPr>
                <w:lang w:val="en"/>
              </w:rPr>
            </w:pPr>
            <w:r w:rsidRPr="003E43CA">
              <w:rPr>
                <w:lang w:val="lv-LV"/>
              </w:rPr>
              <w:t>2</w:t>
            </w:r>
            <w:r w:rsidRPr="003E43CA">
              <w:t xml:space="preserve">005. </w:t>
            </w:r>
            <w:proofErr w:type="spellStart"/>
            <w:r w:rsidRPr="003E43CA">
              <w:t>gada</w:t>
            </w:r>
            <w:proofErr w:type="spellEnd"/>
            <w:r w:rsidRPr="003E43CA">
              <w:t xml:space="preserve"> 12. </w:t>
            </w:r>
            <w:proofErr w:type="spellStart"/>
            <w:r w:rsidRPr="003E43CA">
              <w:t>janvāra</w:t>
            </w:r>
            <w:proofErr w:type="spellEnd"/>
            <w:r w:rsidRPr="003E43CA">
              <w:t xml:space="preserve"> </w:t>
            </w:r>
            <w:r w:rsidRPr="003E43CA">
              <w:rPr>
                <w:lang w:val="lv-LV"/>
              </w:rPr>
              <w:t xml:space="preserve">Regulas (EK) </w:t>
            </w:r>
            <w:r w:rsidRPr="003E43CA">
              <w:rPr>
                <w:lang w:val="en"/>
              </w:rPr>
              <w:t>183/2005</w:t>
            </w:r>
            <w:r w:rsidR="0069236A">
              <w:rPr>
                <w:lang w:val="en"/>
              </w:rPr>
              <w:t>,</w:t>
            </w:r>
            <w:r w:rsidRPr="003E43CA">
              <w:t xml:space="preserve"> </w:t>
            </w:r>
            <w:proofErr w:type="spellStart"/>
            <w:r w:rsidRPr="003E43CA">
              <w:t>ar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ko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paredz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barības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higiēnas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prasības</w:t>
            </w:r>
            <w:proofErr w:type="spellEnd"/>
            <w:r w:rsidRPr="003E43CA">
              <w:rPr>
                <w:lang w:val="lv-LV"/>
              </w:rPr>
              <w:t xml:space="preserve">, </w:t>
            </w:r>
            <w:proofErr w:type="gramStart"/>
            <w:r w:rsidR="001568E0" w:rsidRPr="003E43CA">
              <w:rPr>
                <w:lang w:val="en"/>
              </w:rPr>
              <w:t>9.</w:t>
            </w:r>
            <w:r w:rsidRPr="003E43CA">
              <w:rPr>
                <w:lang w:val="en"/>
              </w:rPr>
              <w:t>panta</w:t>
            </w:r>
            <w:proofErr w:type="gramEnd"/>
            <w:r w:rsidRPr="003E43CA">
              <w:rPr>
                <w:lang w:val="en"/>
              </w:rPr>
              <w:t xml:space="preserve"> 3.punkts.</w:t>
            </w:r>
          </w:p>
        </w:tc>
        <w:tc>
          <w:tcPr>
            <w:tcW w:w="1608" w:type="dxa"/>
            <w:gridSpan w:val="2"/>
            <w:vAlign w:val="center"/>
          </w:tcPr>
          <w:p w:rsidR="001568E0" w:rsidRPr="003E43CA" w:rsidRDefault="00AF062B" w:rsidP="001568E0">
            <w:pPr>
              <w:pStyle w:val="naiskr"/>
              <w:spacing w:before="0" w:beforeAutospacing="0" w:after="0" w:afterAutospacing="0"/>
              <w:jc w:val="both"/>
            </w:pPr>
            <w:r>
              <w:t>Projekta 6</w:t>
            </w:r>
            <w:r w:rsidR="001568E0" w:rsidRPr="003E43CA">
              <w:t>.punkts (5</w:t>
            </w:r>
            <w:r w:rsidR="0069236A">
              <w:t>.</w:t>
            </w:r>
            <w:r w:rsidR="001568E0" w:rsidRPr="003E43CA">
              <w:t>)</w:t>
            </w:r>
          </w:p>
        </w:tc>
        <w:tc>
          <w:tcPr>
            <w:tcW w:w="2376" w:type="dxa"/>
          </w:tcPr>
          <w:p w:rsidR="001568E0" w:rsidRPr="009E2709" w:rsidRDefault="000E7AE5" w:rsidP="001568E0">
            <w:pPr>
              <w:pStyle w:val="naiskr"/>
              <w:spacing w:before="0" w:beforeAutospacing="0" w:after="0" w:afterAutospacing="0"/>
              <w:jc w:val="both"/>
            </w:pPr>
            <w:r>
              <w:t>ES tiesību akta vienība tiek pārņemta</w:t>
            </w:r>
            <w:r w:rsidRPr="009E2709">
              <w:t xml:space="preserve"> </w:t>
            </w:r>
            <w:r>
              <w:t>daļēji</w:t>
            </w:r>
          </w:p>
        </w:tc>
        <w:tc>
          <w:tcPr>
            <w:tcW w:w="2386" w:type="dxa"/>
          </w:tcPr>
          <w:p w:rsidR="001568E0" w:rsidRPr="009E2709" w:rsidRDefault="000E7AE5" w:rsidP="001568E0">
            <w:pPr>
              <w:pStyle w:val="naiskr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1568E0" w:rsidRPr="000F5F17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128" w:type="dxa"/>
            <w:gridSpan w:val="4"/>
          </w:tcPr>
          <w:p w:rsidR="001568E0" w:rsidRPr="003E43CA" w:rsidRDefault="00531348" w:rsidP="00531348">
            <w:pPr>
              <w:jc w:val="both"/>
              <w:rPr>
                <w:lang w:val="en"/>
              </w:rPr>
            </w:pPr>
            <w:r w:rsidRPr="003E43CA">
              <w:rPr>
                <w:lang w:val="lv-LV"/>
              </w:rPr>
              <w:lastRenderedPageBreak/>
              <w:t>2</w:t>
            </w:r>
            <w:r w:rsidRPr="003E43CA">
              <w:t xml:space="preserve">005. </w:t>
            </w:r>
            <w:proofErr w:type="spellStart"/>
            <w:r w:rsidRPr="003E43CA">
              <w:t>gada</w:t>
            </w:r>
            <w:proofErr w:type="spellEnd"/>
            <w:r w:rsidRPr="003E43CA">
              <w:t xml:space="preserve"> 12. </w:t>
            </w:r>
            <w:proofErr w:type="spellStart"/>
            <w:r w:rsidRPr="003E43CA">
              <w:t>janvāra</w:t>
            </w:r>
            <w:proofErr w:type="spellEnd"/>
            <w:r w:rsidRPr="003E43CA">
              <w:t xml:space="preserve"> </w:t>
            </w:r>
            <w:r w:rsidRPr="003E43CA">
              <w:rPr>
                <w:lang w:val="lv-LV"/>
              </w:rPr>
              <w:t xml:space="preserve">Regulas (EK) </w:t>
            </w:r>
            <w:r w:rsidRPr="003E43CA">
              <w:rPr>
                <w:lang w:val="en"/>
              </w:rPr>
              <w:t>183/2005</w:t>
            </w:r>
            <w:r w:rsidR="0069236A">
              <w:rPr>
                <w:lang w:val="en"/>
              </w:rPr>
              <w:t>,</w:t>
            </w:r>
            <w:r w:rsidRPr="003E43CA">
              <w:t xml:space="preserve"> </w:t>
            </w:r>
            <w:proofErr w:type="spellStart"/>
            <w:r w:rsidRPr="003E43CA">
              <w:t>ar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ko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paredz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barības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higiēnas</w:t>
            </w:r>
            <w:proofErr w:type="spellEnd"/>
            <w:r w:rsidRPr="003E43CA">
              <w:t xml:space="preserve"> </w:t>
            </w:r>
            <w:proofErr w:type="spellStart"/>
            <w:r w:rsidRPr="003E43CA">
              <w:t>prasības</w:t>
            </w:r>
            <w:proofErr w:type="spellEnd"/>
            <w:r w:rsidR="001568E0" w:rsidRPr="003E43CA">
              <w:rPr>
                <w:lang w:val="en"/>
              </w:rPr>
              <w:t xml:space="preserve">, </w:t>
            </w:r>
            <w:proofErr w:type="gramStart"/>
            <w:r w:rsidR="001568E0" w:rsidRPr="003E43CA">
              <w:rPr>
                <w:lang w:val="en"/>
              </w:rPr>
              <w:t>9.panta</w:t>
            </w:r>
            <w:proofErr w:type="gramEnd"/>
            <w:r w:rsidR="001568E0" w:rsidRPr="003E43CA">
              <w:rPr>
                <w:lang w:val="en"/>
              </w:rPr>
              <w:t xml:space="preserve"> 2.punkta </w:t>
            </w:r>
            <w:r w:rsidR="0069236A">
              <w:rPr>
                <w:lang w:val="en"/>
              </w:rPr>
              <w:t>“</w:t>
            </w:r>
            <w:r w:rsidRPr="003E43CA">
              <w:rPr>
                <w:lang w:val="en"/>
              </w:rPr>
              <w:t>b</w:t>
            </w:r>
            <w:r w:rsidR="0069236A">
              <w:rPr>
                <w:lang w:val="en"/>
              </w:rPr>
              <w:t xml:space="preserve">” </w:t>
            </w:r>
            <w:proofErr w:type="spellStart"/>
            <w:r w:rsidR="0069236A">
              <w:rPr>
                <w:lang w:val="en"/>
              </w:rPr>
              <w:t>apakšpunkts</w:t>
            </w:r>
            <w:proofErr w:type="spellEnd"/>
            <w:r w:rsidR="0069236A">
              <w:rPr>
                <w:lang w:val="en"/>
              </w:rPr>
              <w:t xml:space="preserve">, </w:t>
            </w:r>
            <w:proofErr w:type="spellStart"/>
            <w:r w:rsidR="0069236A">
              <w:rPr>
                <w:lang w:val="en"/>
              </w:rPr>
              <w:t>kā</w:t>
            </w:r>
            <w:proofErr w:type="spellEnd"/>
            <w:r w:rsidR="0069236A">
              <w:rPr>
                <w:lang w:val="en"/>
              </w:rPr>
              <w:t xml:space="preserve"> </w:t>
            </w:r>
            <w:proofErr w:type="spellStart"/>
            <w:r w:rsidR="0069236A">
              <w:rPr>
                <w:lang w:val="en"/>
              </w:rPr>
              <w:t>arī</w:t>
            </w:r>
            <w:proofErr w:type="spellEnd"/>
            <w:r w:rsidR="000F5F17">
              <w:rPr>
                <w:lang w:val="en"/>
              </w:rPr>
              <w:t xml:space="preserve"> 14.</w:t>
            </w:r>
            <w:r w:rsidR="0069236A">
              <w:rPr>
                <w:lang w:val="en"/>
              </w:rPr>
              <w:t xml:space="preserve"> un </w:t>
            </w:r>
            <w:r w:rsidR="000F5F17">
              <w:rPr>
                <w:lang w:val="en"/>
              </w:rPr>
              <w:t>15.pants.</w:t>
            </w:r>
          </w:p>
        </w:tc>
        <w:tc>
          <w:tcPr>
            <w:tcW w:w="1608" w:type="dxa"/>
            <w:gridSpan w:val="2"/>
            <w:vAlign w:val="center"/>
          </w:tcPr>
          <w:p w:rsidR="001568E0" w:rsidRPr="003E43CA" w:rsidRDefault="00AF062B" w:rsidP="00423820">
            <w:pPr>
              <w:pStyle w:val="naiskr"/>
              <w:spacing w:before="0" w:beforeAutospacing="0" w:after="0" w:afterAutospacing="0"/>
              <w:jc w:val="both"/>
            </w:pPr>
            <w:r>
              <w:t xml:space="preserve">Projekta </w:t>
            </w:r>
            <w:r w:rsidR="00423820">
              <w:t>9</w:t>
            </w:r>
            <w:r w:rsidR="001568E0" w:rsidRPr="003E43CA">
              <w:t>.punkts (16.5</w:t>
            </w:r>
            <w:r w:rsidR="0069236A">
              <w:t>.</w:t>
            </w:r>
            <w:r w:rsidR="001568E0" w:rsidRPr="003E43CA">
              <w:t>)</w:t>
            </w:r>
          </w:p>
        </w:tc>
        <w:tc>
          <w:tcPr>
            <w:tcW w:w="2376" w:type="dxa"/>
          </w:tcPr>
          <w:p w:rsidR="001568E0" w:rsidRPr="009E2709" w:rsidRDefault="000F5F17" w:rsidP="001568E0">
            <w:pPr>
              <w:pStyle w:val="naiskr"/>
              <w:spacing w:before="0" w:beforeAutospacing="0" w:after="0" w:afterAutospacing="0"/>
              <w:jc w:val="both"/>
            </w:pPr>
            <w:r>
              <w:t>ES tiesību akta vienība tiek pārņemta</w:t>
            </w:r>
            <w:r w:rsidRPr="009E2709">
              <w:t xml:space="preserve"> </w:t>
            </w:r>
            <w:r>
              <w:t>pilnībā.</w:t>
            </w:r>
          </w:p>
        </w:tc>
        <w:tc>
          <w:tcPr>
            <w:tcW w:w="2386" w:type="dxa"/>
          </w:tcPr>
          <w:p w:rsidR="001568E0" w:rsidRPr="009E2709" w:rsidRDefault="000F5F17" w:rsidP="001568E0">
            <w:pPr>
              <w:pStyle w:val="naiskr"/>
              <w:spacing w:before="0" w:beforeAutospacing="0" w:after="0" w:afterAutospacing="0"/>
              <w:jc w:val="both"/>
            </w:pPr>
            <w:r>
              <w:t>Neparedz stingrākas prasības</w:t>
            </w:r>
          </w:p>
        </w:tc>
      </w:tr>
      <w:tr w:rsidR="001568E0" w:rsidRPr="009E2709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3128" w:type="dxa"/>
            <w:gridSpan w:val="4"/>
            <w:vAlign w:val="center"/>
          </w:tcPr>
          <w:p w:rsidR="001568E0" w:rsidRPr="009E2709" w:rsidRDefault="001568E0" w:rsidP="001568E0">
            <w:pPr>
              <w:pStyle w:val="naiskr"/>
              <w:spacing w:before="0" w:beforeAutospacing="0" w:after="0" w:afterAutospacing="0"/>
              <w:jc w:val="both"/>
            </w:pPr>
            <w:r w:rsidRPr="009E2709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6370" w:type="dxa"/>
            <w:gridSpan w:val="4"/>
          </w:tcPr>
          <w:p w:rsidR="001568E0" w:rsidRPr="009E2709" w:rsidRDefault="00980B60" w:rsidP="001568E0">
            <w:pPr>
              <w:pStyle w:val="naiskr"/>
              <w:spacing w:before="0" w:beforeAutospacing="0" w:after="0" w:afterAutospacing="0"/>
            </w:pPr>
            <w:r w:rsidRPr="006022C3">
              <w:t>Projekts šo jomu neskar.</w:t>
            </w:r>
          </w:p>
        </w:tc>
      </w:tr>
      <w:tr w:rsidR="001568E0" w:rsidRPr="009E2709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3128" w:type="dxa"/>
            <w:gridSpan w:val="4"/>
            <w:vAlign w:val="center"/>
          </w:tcPr>
          <w:p w:rsidR="001568E0" w:rsidRPr="009E2709" w:rsidRDefault="001568E0" w:rsidP="001568E0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370" w:type="dxa"/>
            <w:gridSpan w:val="4"/>
          </w:tcPr>
          <w:p w:rsidR="001568E0" w:rsidRPr="009E2709" w:rsidRDefault="00980B60" w:rsidP="001568E0">
            <w:pPr>
              <w:pStyle w:val="naiskr"/>
              <w:spacing w:before="0" w:beforeAutospacing="0" w:after="0" w:afterAutospacing="0"/>
            </w:pPr>
            <w:r w:rsidRPr="006022C3">
              <w:t>Projekts šo jomu neskar.</w:t>
            </w:r>
          </w:p>
        </w:tc>
      </w:tr>
      <w:tr w:rsidR="001568E0" w:rsidRPr="009E2709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3128" w:type="dxa"/>
            <w:gridSpan w:val="4"/>
          </w:tcPr>
          <w:p w:rsidR="001568E0" w:rsidRPr="009E2709" w:rsidRDefault="001568E0" w:rsidP="001568E0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6370" w:type="dxa"/>
            <w:gridSpan w:val="4"/>
          </w:tcPr>
          <w:p w:rsidR="001568E0" w:rsidRPr="009E2709" w:rsidRDefault="001568E0" w:rsidP="001568E0">
            <w:pPr>
              <w:pStyle w:val="naiskr"/>
              <w:spacing w:before="0" w:beforeAutospacing="0" w:after="0" w:afterAutospacing="0"/>
            </w:pPr>
          </w:p>
        </w:tc>
      </w:tr>
      <w:tr w:rsidR="001568E0" w:rsidRPr="009E2709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498" w:type="dxa"/>
            <w:gridSpan w:val="8"/>
          </w:tcPr>
          <w:p w:rsidR="001568E0" w:rsidRPr="009E2709" w:rsidRDefault="001568E0" w:rsidP="001568E0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1568E0" w:rsidRPr="009E2709" w:rsidTr="000F5F17">
        <w:tblPrEx>
          <w:jc w:val="center"/>
          <w:tblInd w:w="0" w:type="dxa"/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498" w:type="dxa"/>
            <w:gridSpan w:val="8"/>
          </w:tcPr>
          <w:p w:rsidR="001568E0" w:rsidRPr="003F321E" w:rsidRDefault="001568E0" w:rsidP="001568E0">
            <w:pPr>
              <w:pStyle w:val="naiskr"/>
              <w:spacing w:before="0" w:beforeAutospacing="0" w:after="0" w:afterAutospacing="0"/>
              <w:jc w:val="center"/>
              <w:rPr>
                <w:bCs/>
                <w:szCs w:val="20"/>
              </w:rPr>
            </w:pPr>
            <w:r w:rsidRPr="003F321E">
              <w:rPr>
                <w:bCs/>
                <w:szCs w:val="20"/>
              </w:rPr>
              <w:t>Projekts šo jomu neskar.</w:t>
            </w:r>
          </w:p>
        </w:tc>
      </w:tr>
      <w:tr w:rsidR="001568E0" w:rsidRPr="001568E0" w:rsidTr="000F5F1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1568E0" w:rsidRPr="00994DC0" w:rsidRDefault="001568E0" w:rsidP="001568E0">
            <w:pPr>
              <w:jc w:val="center"/>
              <w:rPr>
                <w:b/>
                <w:bCs/>
                <w:lang w:val="lv-LV"/>
              </w:rPr>
            </w:pPr>
            <w:r w:rsidRPr="00994DC0">
              <w:rPr>
                <w:b/>
                <w:bCs/>
                <w:lang w:val="lv-LV" w:eastAsia="lv-LV"/>
              </w:rPr>
              <w:t>VI</w:t>
            </w:r>
            <w:r w:rsidRPr="00994DC0">
              <w:rPr>
                <w:b/>
                <w:bCs/>
                <w:lang w:val="lv-LV"/>
              </w:rPr>
              <w:t>. Sabiedrības līdzdalība un komunikācijas aktivitātes</w:t>
            </w:r>
          </w:p>
        </w:tc>
      </w:tr>
      <w:tr w:rsidR="001568E0" w:rsidRPr="003F08E7" w:rsidTr="000F5F1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63358E" w:rsidRDefault="001568E0" w:rsidP="001568E0">
            <w:pPr>
              <w:rPr>
                <w:lang w:val="lv-LV" w:eastAsia="lv-LV"/>
              </w:rPr>
            </w:pPr>
            <w:r w:rsidRPr="00032D24">
              <w:t>1.</w:t>
            </w:r>
          </w:p>
        </w:tc>
        <w:tc>
          <w:tcPr>
            <w:tcW w:w="33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994DC0" w:rsidRDefault="001568E0" w:rsidP="001568E0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5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994DC0" w:rsidRDefault="001568E0" w:rsidP="001568E0">
            <w:pPr>
              <w:pStyle w:val="Kjene"/>
              <w:jc w:val="both"/>
              <w:rPr>
                <w:lang w:val="lv-LV"/>
              </w:rPr>
            </w:pPr>
            <w:r w:rsidRPr="000A0C27">
              <w:rPr>
                <w:lang w:val="lv-LV"/>
              </w:rPr>
              <w:t>Noteikumu projekts ievietots Zemkopības ministrijas tīm</w:t>
            </w:r>
            <w:r>
              <w:rPr>
                <w:lang w:val="lv-LV"/>
              </w:rPr>
              <w:t xml:space="preserve">ekļvietnē </w:t>
            </w:r>
            <w:hyperlink r:id="rId8" w:history="1">
              <w:r w:rsidRPr="00C409DB">
                <w:rPr>
                  <w:rStyle w:val="Hipersaite"/>
                  <w:lang w:val="lv-LV"/>
                </w:rPr>
                <w:t>www.zm.gov.lv</w:t>
              </w:r>
            </w:hyperlink>
            <w:r>
              <w:rPr>
                <w:lang w:val="lv-LV"/>
              </w:rPr>
              <w:t xml:space="preserve"> </w:t>
            </w:r>
            <w:r w:rsidRPr="000A0C27">
              <w:rPr>
                <w:lang w:val="lv-LV"/>
              </w:rPr>
              <w:t>sabiedriskajai apspriešanai</w:t>
            </w:r>
            <w:r>
              <w:rPr>
                <w:lang w:val="lv-LV"/>
              </w:rPr>
              <w:t>.</w:t>
            </w:r>
          </w:p>
        </w:tc>
      </w:tr>
      <w:tr w:rsidR="001568E0" w:rsidRPr="003F08E7" w:rsidTr="000F5F1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63358E" w:rsidRDefault="001568E0" w:rsidP="001568E0">
            <w:pPr>
              <w:rPr>
                <w:lang w:val="lv-LV" w:eastAsia="lv-LV"/>
              </w:rPr>
            </w:pPr>
            <w:r w:rsidRPr="00032D24">
              <w:t>2.</w:t>
            </w:r>
          </w:p>
        </w:tc>
        <w:tc>
          <w:tcPr>
            <w:tcW w:w="33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994DC0" w:rsidRDefault="001568E0" w:rsidP="001568E0">
            <w:pPr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Sabiedrības līdzdalība projekta izstrādē</w:t>
            </w:r>
          </w:p>
        </w:tc>
        <w:tc>
          <w:tcPr>
            <w:tcW w:w="55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994DC0" w:rsidRDefault="001568E0" w:rsidP="001568E0">
            <w:pPr>
              <w:pStyle w:val="naiskr"/>
              <w:spacing w:before="0" w:beforeAutospacing="0" w:after="0" w:afterAutospacing="0"/>
              <w:jc w:val="both"/>
            </w:pPr>
            <w:r w:rsidRPr="00994DC0">
              <w:t xml:space="preserve">Noteikumu projekts elektroniski tiks nosūtīts saskaņošanai </w:t>
            </w:r>
            <w:r>
              <w:t xml:space="preserve">biedrībai “Latvijas Dzīvnieku barības ražotāju un tirgotāju asociācija” un “Lauksaimnieku organizāciju sadarbības padome”. </w:t>
            </w:r>
          </w:p>
        </w:tc>
      </w:tr>
      <w:tr w:rsidR="001568E0" w:rsidRPr="007233BA" w:rsidTr="000F5F1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63358E" w:rsidRDefault="001568E0" w:rsidP="001568E0">
            <w:pPr>
              <w:rPr>
                <w:lang w:val="lv-LV" w:eastAsia="lv-LV"/>
              </w:rPr>
            </w:pPr>
            <w:r w:rsidRPr="00032D24">
              <w:t>3.</w:t>
            </w:r>
          </w:p>
        </w:tc>
        <w:tc>
          <w:tcPr>
            <w:tcW w:w="33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994DC0" w:rsidRDefault="001568E0" w:rsidP="001568E0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Sabiedrības līdzdalības rezultāti</w:t>
            </w:r>
          </w:p>
        </w:tc>
        <w:tc>
          <w:tcPr>
            <w:tcW w:w="55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994DC0" w:rsidRDefault="001568E0" w:rsidP="001568E0">
            <w:pPr>
              <w:pStyle w:val="Kjene"/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Pēc publicēšanas Zemkopības ministrijas tīmekļvietnē ik</w:t>
            </w:r>
            <w:r w:rsidR="007233BA">
              <w:rPr>
                <w:lang w:val="lv-LV"/>
              </w:rPr>
              <w:t>vienam sabiedrības pārstāvim bija</w:t>
            </w:r>
            <w:r w:rsidRPr="00994DC0">
              <w:rPr>
                <w:lang w:val="lv-LV"/>
              </w:rPr>
              <w:t xml:space="preserve"> iespēja sniegt viedokli, iebildumus un priekšlikumus par sagatavoto noteikumu projektu.</w:t>
            </w:r>
            <w:r w:rsidR="007233BA">
              <w:rPr>
                <w:lang w:val="lv-LV"/>
              </w:rPr>
              <w:t xml:space="preserve"> Iebildumu un priekšlikumu nebija.</w:t>
            </w:r>
          </w:p>
        </w:tc>
      </w:tr>
      <w:tr w:rsidR="001568E0" w:rsidRPr="0063358E" w:rsidTr="000F5F17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63358E" w:rsidRDefault="001568E0" w:rsidP="001568E0">
            <w:pPr>
              <w:rPr>
                <w:lang w:val="lv-LV" w:eastAsia="lv-LV"/>
              </w:rPr>
            </w:pPr>
            <w:r w:rsidRPr="00032D24">
              <w:t>4.</w:t>
            </w:r>
          </w:p>
        </w:tc>
        <w:tc>
          <w:tcPr>
            <w:tcW w:w="336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994DC0" w:rsidRDefault="001568E0" w:rsidP="001568E0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Cita informācija</w:t>
            </w:r>
          </w:p>
        </w:tc>
        <w:tc>
          <w:tcPr>
            <w:tcW w:w="556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568E0" w:rsidRPr="00994DC0" w:rsidRDefault="001568E0" w:rsidP="001568E0">
            <w:pPr>
              <w:pStyle w:val="Kjene"/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Nav</w:t>
            </w:r>
            <w:r w:rsidR="0069236A">
              <w:rPr>
                <w:lang w:val="lv-LV"/>
              </w:rPr>
              <w:t>.</w:t>
            </w:r>
          </w:p>
        </w:tc>
      </w:tr>
    </w:tbl>
    <w:p w:rsidR="002A1FAE" w:rsidRPr="0063358E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3F08E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63358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63358E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4D31EB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Pārtikas un veterinārais dienests</w:t>
            </w:r>
            <w:r w:rsidR="0069236A">
              <w:rPr>
                <w:lang w:val="lv-LV"/>
              </w:rPr>
              <w:t xml:space="preserve"> un</w:t>
            </w:r>
            <w:r w:rsidR="009B66F6">
              <w:rPr>
                <w:lang w:val="lv-LV"/>
              </w:rPr>
              <w:t xml:space="preserve"> </w:t>
            </w:r>
            <w:r w:rsidR="004D31EB">
              <w:rPr>
                <w:lang w:val="lv-LV"/>
              </w:rPr>
              <w:t>Lauksaimniecības datu centrs</w:t>
            </w:r>
          </w:p>
        </w:tc>
      </w:tr>
      <w:tr w:rsidR="00563946" w:rsidRPr="003F08E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Projekta izpildes ietekme uz pārvaldes funkcij</w:t>
            </w:r>
            <w:r w:rsidR="009768A0" w:rsidRPr="0063358E">
              <w:rPr>
                <w:lang w:val="lv-LV"/>
              </w:rPr>
              <w:t>ām un institucionālo struktūru.</w:t>
            </w:r>
          </w:p>
          <w:p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 xml:space="preserve">Jaunu institūciju izveide, esošu institūciju likvidācija vai </w:t>
            </w:r>
            <w:r w:rsidRPr="0063358E">
              <w:rPr>
                <w:lang w:val="lv-LV"/>
              </w:rPr>
              <w:lastRenderedPageBreak/>
              <w:t>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4643C2" w:rsidP="00CF29E7">
            <w:pPr>
              <w:pStyle w:val="naiskr"/>
              <w:spacing w:before="0" w:beforeAutospacing="0" w:after="0" w:afterAutospacing="0"/>
              <w:jc w:val="both"/>
            </w:pPr>
            <w:r>
              <w:rPr>
                <w:iCs/>
                <w:noProof/>
              </w:rPr>
              <w:lastRenderedPageBreak/>
              <w:t xml:space="preserve">Noteikumu projektam nav ietekmes uz </w:t>
            </w:r>
            <w:r w:rsidR="00CF29E7">
              <w:rPr>
                <w:iCs/>
                <w:noProof/>
              </w:rPr>
              <w:t>institūciju</w:t>
            </w:r>
            <w:r>
              <w:rPr>
                <w:iCs/>
                <w:noProof/>
              </w:rPr>
              <w:t xml:space="preserve"> funkcijām un struktūru</w:t>
            </w:r>
            <w:r w:rsidRPr="000C036A">
              <w:rPr>
                <w:iCs/>
                <w:noProof/>
              </w:rPr>
              <w:t>.</w:t>
            </w:r>
          </w:p>
        </w:tc>
      </w:tr>
      <w:tr w:rsidR="00563946" w:rsidRPr="0063358E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316" w:rsidRPr="0063358E" w:rsidRDefault="00805470" w:rsidP="00880359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Nav</w:t>
            </w:r>
            <w:r w:rsidR="00EE148C" w:rsidRPr="0063358E">
              <w:rPr>
                <w:lang w:val="lv-LV"/>
              </w:rPr>
              <w:t>.</w:t>
            </w:r>
          </w:p>
        </w:tc>
      </w:tr>
    </w:tbl>
    <w:p w:rsidR="00702C3F" w:rsidRPr="0063358E" w:rsidRDefault="00702C3F" w:rsidP="00D80316">
      <w:pPr>
        <w:pStyle w:val="naisf"/>
        <w:spacing w:before="0" w:beforeAutospacing="0" w:after="0" w:afterAutospacing="0"/>
        <w:rPr>
          <w:lang w:val="lv-LV"/>
        </w:rPr>
      </w:pPr>
    </w:p>
    <w:p w:rsidR="0013483A" w:rsidRDefault="0013483A" w:rsidP="00D80316">
      <w:pPr>
        <w:pStyle w:val="naisf"/>
        <w:spacing w:before="0" w:beforeAutospacing="0" w:after="0" w:afterAutospacing="0"/>
        <w:rPr>
          <w:lang w:val="lv-LV"/>
        </w:rPr>
      </w:pPr>
    </w:p>
    <w:p w:rsidR="003F08E7" w:rsidRPr="0063358E" w:rsidRDefault="003F08E7" w:rsidP="00D80316">
      <w:pPr>
        <w:pStyle w:val="naisf"/>
        <w:spacing w:before="0" w:beforeAutospacing="0" w:after="0" w:afterAutospacing="0"/>
        <w:rPr>
          <w:lang w:val="lv-LV"/>
        </w:rPr>
      </w:pPr>
    </w:p>
    <w:p w:rsidR="00840ADE" w:rsidRPr="005B418A" w:rsidRDefault="00805470" w:rsidP="00F3435A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B418A">
        <w:rPr>
          <w:sz w:val="28"/>
          <w:szCs w:val="28"/>
          <w:lang w:val="lv-LV"/>
        </w:rPr>
        <w:t>Zemkop</w:t>
      </w:r>
      <w:r w:rsidR="00F3435A">
        <w:rPr>
          <w:sz w:val="28"/>
          <w:szCs w:val="28"/>
          <w:lang w:val="lv-LV"/>
        </w:rPr>
        <w:t>ības ministrs</w:t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bookmarkStart w:id="2" w:name="_GoBack"/>
      <w:bookmarkEnd w:id="2"/>
      <w:r w:rsidR="00F3435A">
        <w:rPr>
          <w:sz w:val="28"/>
          <w:szCs w:val="28"/>
          <w:lang w:val="lv-LV"/>
        </w:rPr>
        <w:t>Jānis Dūklavs</w:t>
      </w:r>
    </w:p>
    <w:p w:rsidR="0013483A" w:rsidRPr="00524246" w:rsidRDefault="0013483A" w:rsidP="00D80316">
      <w:pPr>
        <w:jc w:val="both"/>
        <w:rPr>
          <w:sz w:val="20"/>
          <w:szCs w:val="20"/>
          <w:lang w:val="lv-LV"/>
        </w:rPr>
      </w:pPr>
    </w:p>
    <w:p w:rsidR="00672E9B" w:rsidRDefault="00672E9B" w:rsidP="00FD7B25">
      <w:pPr>
        <w:jc w:val="both"/>
        <w:rPr>
          <w:sz w:val="20"/>
          <w:szCs w:val="20"/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3F08E7" w:rsidRDefault="003F08E7" w:rsidP="00FD7B25">
      <w:pPr>
        <w:jc w:val="both"/>
        <w:rPr>
          <w:lang w:val="lv-LV"/>
        </w:rPr>
      </w:pPr>
    </w:p>
    <w:p w:rsidR="00FD7B25" w:rsidRPr="003F08E7" w:rsidRDefault="003A1AB4" w:rsidP="00FD7B25">
      <w:pPr>
        <w:jc w:val="both"/>
        <w:rPr>
          <w:lang w:val="lv-LV"/>
        </w:rPr>
      </w:pPr>
      <w:r w:rsidRPr="003F08E7">
        <w:rPr>
          <w:lang w:val="lv-LV"/>
        </w:rPr>
        <w:t>Villa</w:t>
      </w:r>
      <w:r w:rsidR="00805470" w:rsidRPr="003F08E7">
        <w:rPr>
          <w:lang w:val="lv-LV"/>
        </w:rPr>
        <w:t xml:space="preserve"> 67027</w:t>
      </w:r>
      <w:r w:rsidRPr="003F08E7">
        <w:rPr>
          <w:lang w:val="lv-LV"/>
        </w:rPr>
        <w:t>196</w:t>
      </w:r>
    </w:p>
    <w:p w:rsidR="00D80316" w:rsidRPr="003F08E7" w:rsidRDefault="003A1AB4" w:rsidP="00D80316">
      <w:pPr>
        <w:jc w:val="both"/>
        <w:rPr>
          <w:lang w:val="lv-LV"/>
        </w:rPr>
      </w:pPr>
      <w:r w:rsidRPr="003F08E7">
        <w:rPr>
          <w:rStyle w:val="Hipersaite"/>
          <w:color w:val="auto"/>
          <w:u w:val="none"/>
          <w:lang w:val="lv-LV"/>
        </w:rPr>
        <w:t>Liga.Villa</w:t>
      </w:r>
      <w:r w:rsidR="00C850A0" w:rsidRPr="003F08E7">
        <w:rPr>
          <w:rStyle w:val="Hipersaite"/>
          <w:color w:val="auto"/>
          <w:u w:val="none"/>
          <w:lang w:val="lv-LV"/>
        </w:rPr>
        <w:t>@zm.gov.lv</w:t>
      </w:r>
    </w:p>
    <w:sectPr w:rsidR="00D80316" w:rsidRPr="003F08E7" w:rsidSect="003F08E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63" w:rsidRDefault="00203163">
      <w:r>
        <w:separator/>
      </w:r>
    </w:p>
  </w:endnote>
  <w:endnote w:type="continuationSeparator" w:id="0">
    <w:p w:rsidR="00203163" w:rsidRDefault="0020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2" w:rsidRPr="0013483A" w:rsidRDefault="003F08E7" w:rsidP="0013483A">
    <w:pPr>
      <w:pStyle w:val="Kjene"/>
    </w:pPr>
    <w:r w:rsidRPr="003F08E7">
      <w:rPr>
        <w:rFonts w:eastAsia="Arial Unicode MS"/>
        <w:sz w:val="20"/>
        <w:szCs w:val="20"/>
      </w:rPr>
      <w:t>ZMAnot_101218_registraci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CE" w:rsidRPr="003F08E7" w:rsidRDefault="003F08E7" w:rsidP="003F08E7">
    <w:pPr>
      <w:pStyle w:val="Kjene"/>
    </w:pPr>
    <w:r w:rsidRPr="003F08E7">
      <w:rPr>
        <w:rFonts w:eastAsia="Arial Unicode MS"/>
        <w:sz w:val="20"/>
        <w:szCs w:val="20"/>
      </w:rPr>
      <w:t>ZMAnot_101218_registraci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63" w:rsidRDefault="00203163">
      <w:r>
        <w:separator/>
      </w:r>
    </w:p>
  </w:footnote>
  <w:footnote w:type="continuationSeparator" w:id="0">
    <w:p w:rsidR="00203163" w:rsidRDefault="0020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655"/>
      <w:docPartObj>
        <w:docPartGallery w:val="Page Numbers (Top of Page)"/>
        <w:docPartUnique/>
      </w:docPartObj>
    </w:sdtPr>
    <w:sdtEndPr/>
    <w:sdtContent>
      <w:p w:rsidR="004371D2" w:rsidRDefault="008054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8E7" w:rsidRPr="003F08E7">
          <w:rPr>
            <w:noProof/>
            <w:lang w:val="lv-LV"/>
          </w:rPr>
          <w:t>2</w:t>
        </w:r>
        <w:r>
          <w:fldChar w:fldCharType="end"/>
        </w:r>
      </w:p>
    </w:sdtContent>
  </w:sdt>
  <w:p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E20"/>
    <w:multiLevelType w:val="hybridMultilevel"/>
    <w:tmpl w:val="79ECCD00"/>
    <w:lvl w:ilvl="0" w:tplc="750EFC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31FF8"/>
    <w:multiLevelType w:val="hybridMultilevel"/>
    <w:tmpl w:val="D8EC5F9A"/>
    <w:lvl w:ilvl="0" w:tplc="F40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25151"/>
    <w:multiLevelType w:val="hybridMultilevel"/>
    <w:tmpl w:val="1820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1CC8"/>
    <w:multiLevelType w:val="hybridMultilevel"/>
    <w:tmpl w:val="3BA6A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5313D"/>
    <w:multiLevelType w:val="hybridMultilevel"/>
    <w:tmpl w:val="5F3A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172A1"/>
    <w:rsid w:val="0002028D"/>
    <w:rsid w:val="000229D9"/>
    <w:rsid w:val="000242A9"/>
    <w:rsid w:val="00024A66"/>
    <w:rsid w:val="000314B0"/>
    <w:rsid w:val="00034655"/>
    <w:rsid w:val="00035280"/>
    <w:rsid w:val="00036239"/>
    <w:rsid w:val="00041055"/>
    <w:rsid w:val="000416C2"/>
    <w:rsid w:val="00041A31"/>
    <w:rsid w:val="00042DF7"/>
    <w:rsid w:val="000431FE"/>
    <w:rsid w:val="00045C9A"/>
    <w:rsid w:val="000462C8"/>
    <w:rsid w:val="000510C8"/>
    <w:rsid w:val="00053156"/>
    <w:rsid w:val="0005482F"/>
    <w:rsid w:val="00054D5C"/>
    <w:rsid w:val="00066128"/>
    <w:rsid w:val="000661DB"/>
    <w:rsid w:val="00071D89"/>
    <w:rsid w:val="000757CD"/>
    <w:rsid w:val="00075949"/>
    <w:rsid w:val="00077B73"/>
    <w:rsid w:val="00080973"/>
    <w:rsid w:val="00081ED6"/>
    <w:rsid w:val="000824E9"/>
    <w:rsid w:val="00087001"/>
    <w:rsid w:val="00090BC5"/>
    <w:rsid w:val="0009126F"/>
    <w:rsid w:val="00094606"/>
    <w:rsid w:val="000972B4"/>
    <w:rsid w:val="000A0C27"/>
    <w:rsid w:val="000A21E9"/>
    <w:rsid w:val="000A458A"/>
    <w:rsid w:val="000A5382"/>
    <w:rsid w:val="000B158F"/>
    <w:rsid w:val="000B18B0"/>
    <w:rsid w:val="000B4F3E"/>
    <w:rsid w:val="000B76A7"/>
    <w:rsid w:val="000B7717"/>
    <w:rsid w:val="000C195E"/>
    <w:rsid w:val="000C294B"/>
    <w:rsid w:val="000C4932"/>
    <w:rsid w:val="000C712B"/>
    <w:rsid w:val="000C77DE"/>
    <w:rsid w:val="000D0645"/>
    <w:rsid w:val="000D0F89"/>
    <w:rsid w:val="000D2A6C"/>
    <w:rsid w:val="000D3E1D"/>
    <w:rsid w:val="000D4C09"/>
    <w:rsid w:val="000D5490"/>
    <w:rsid w:val="000D5769"/>
    <w:rsid w:val="000D73CD"/>
    <w:rsid w:val="000E2685"/>
    <w:rsid w:val="000E332A"/>
    <w:rsid w:val="000E5296"/>
    <w:rsid w:val="000E7AE5"/>
    <w:rsid w:val="000F0801"/>
    <w:rsid w:val="000F5F17"/>
    <w:rsid w:val="00102859"/>
    <w:rsid w:val="00102DAF"/>
    <w:rsid w:val="00103546"/>
    <w:rsid w:val="00103B00"/>
    <w:rsid w:val="00111518"/>
    <w:rsid w:val="00122965"/>
    <w:rsid w:val="00123E81"/>
    <w:rsid w:val="001240F7"/>
    <w:rsid w:val="001255FD"/>
    <w:rsid w:val="00126F3D"/>
    <w:rsid w:val="001313F8"/>
    <w:rsid w:val="0013178C"/>
    <w:rsid w:val="00134040"/>
    <w:rsid w:val="0013483A"/>
    <w:rsid w:val="00135391"/>
    <w:rsid w:val="00135A98"/>
    <w:rsid w:val="00136860"/>
    <w:rsid w:val="00136D9D"/>
    <w:rsid w:val="00136E0F"/>
    <w:rsid w:val="00141446"/>
    <w:rsid w:val="0014272B"/>
    <w:rsid w:val="00142BC2"/>
    <w:rsid w:val="001432B9"/>
    <w:rsid w:val="00146693"/>
    <w:rsid w:val="001568E0"/>
    <w:rsid w:val="00164781"/>
    <w:rsid w:val="00165CEE"/>
    <w:rsid w:val="001736B5"/>
    <w:rsid w:val="0017524A"/>
    <w:rsid w:val="001753C2"/>
    <w:rsid w:val="00175488"/>
    <w:rsid w:val="00182264"/>
    <w:rsid w:val="00182F0D"/>
    <w:rsid w:val="001875B2"/>
    <w:rsid w:val="00191BB2"/>
    <w:rsid w:val="00191DD9"/>
    <w:rsid w:val="00193540"/>
    <w:rsid w:val="0019562E"/>
    <w:rsid w:val="001A5B25"/>
    <w:rsid w:val="001B02AA"/>
    <w:rsid w:val="001B6611"/>
    <w:rsid w:val="001C48EB"/>
    <w:rsid w:val="001C5024"/>
    <w:rsid w:val="001D0EDE"/>
    <w:rsid w:val="001D0F73"/>
    <w:rsid w:val="001D1250"/>
    <w:rsid w:val="001D1E94"/>
    <w:rsid w:val="001D299B"/>
    <w:rsid w:val="001D2C04"/>
    <w:rsid w:val="001D42C2"/>
    <w:rsid w:val="001D4771"/>
    <w:rsid w:val="001E0CBC"/>
    <w:rsid w:val="001E2A04"/>
    <w:rsid w:val="001E7773"/>
    <w:rsid w:val="001E7AF5"/>
    <w:rsid w:val="001F07C1"/>
    <w:rsid w:val="001F19ED"/>
    <w:rsid w:val="001F1B2D"/>
    <w:rsid w:val="001F3BF0"/>
    <w:rsid w:val="001F6CE5"/>
    <w:rsid w:val="001F7FFD"/>
    <w:rsid w:val="0020098E"/>
    <w:rsid w:val="00201F66"/>
    <w:rsid w:val="00202138"/>
    <w:rsid w:val="00203163"/>
    <w:rsid w:val="002131EC"/>
    <w:rsid w:val="002136CB"/>
    <w:rsid w:val="00222EDD"/>
    <w:rsid w:val="00223E45"/>
    <w:rsid w:val="00225E0F"/>
    <w:rsid w:val="00234B17"/>
    <w:rsid w:val="00235FBB"/>
    <w:rsid w:val="0024348A"/>
    <w:rsid w:val="00247965"/>
    <w:rsid w:val="00254234"/>
    <w:rsid w:val="00256343"/>
    <w:rsid w:val="00256513"/>
    <w:rsid w:val="00257C95"/>
    <w:rsid w:val="002651EF"/>
    <w:rsid w:val="00274B90"/>
    <w:rsid w:val="00280218"/>
    <w:rsid w:val="0028195D"/>
    <w:rsid w:val="00281DD4"/>
    <w:rsid w:val="002915EA"/>
    <w:rsid w:val="002927B0"/>
    <w:rsid w:val="0029349F"/>
    <w:rsid w:val="00295975"/>
    <w:rsid w:val="002A1FAE"/>
    <w:rsid w:val="002A3120"/>
    <w:rsid w:val="002A6863"/>
    <w:rsid w:val="002A7285"/>
    <w:rsid w:val="002B0984"/>
    <w:rsid w:val="002B7920"/>
    <w:rsid w:val="002C5620"/>
    <w:rsid w:val="002D1C3C"/>
    <w:rsid w:val="002D3D03"/>
    <w:rsid w:val="002D4411"/>
    <w:rsid w:val="002D6755"/>
    <w:rsid w:val="002D7E3E"/>
    <w:rsid w:val="002E32AA"/>
    <w:rsid w:val="002E461D"/>
    <w:rsid w:val="002E5AB4"/>
    <w:rsid w:val="002F1D06"/>
    <w:rsid w:val="002F28DE"/>
    <w:rsid w:val="002F3F4A"/>
    <w:rsid w:val="002F5B9D"/>
    <w:rsid w:val="002F5BC9"/>
    <w:rsid w:val="002F6723"/>
    <w:rsid w:val="00301FBB"/>
    <w:rsid w:val="0030220B"/>
    <w:rsid w:val="0030271D"/>
    <w:rsid w:val="00302D88"/>
    <w:rsid w:val="00303EB8"/>
    <w:rsid w:val="003053DE"/>
    <w:rsid w:val="00306624"/>
    <w:rsid w:val="00306A90"/>
    <w:rsid w:val="00315F49"/>
    <w:rsid w:val="00320460"/>
    <w:rsid w:val="0032224B"/>
    <w:rsid w:val="003226D5"/>
    <w:rsid w:val="00324015"/>
    <w:rsid w:val="00331EB6"/>
    <w:rsid w:val="003331AA"/>
    <w:rsid w:val="00334E30"/>
    <w:rsid w:val="00336A6A"/>
    <w:rsid w:val="00337202"/>
    <w:rsid w:val="0033787A"/>
    <w:rsid w:val="0034042A"/>
    <w:rsid w:val="003415CF"/>
    <w:rsid w:val="00347F8C"/>
    <w:rsid w:val="00352392"/>
    <w:rsid w:val="00354934"/>
    <w:rsid w:val="00355629"/>
    <w:rsid w:val="00355C4A"/>
    <w:rsid w:val="00362129"/>
    <w:rsid w:val="00362435"/>
    <w:rsid w:val="00363A58"/>
    <w:rsid w:val="003642E8"/>
    <w:rsid w:val="00365646"/>
    <w:rsid w:val="003715D3"/>
    <w:rsid w:val="00372414"/>
    <w:rsid w:val="00372AA1"/>
    <w:rsid w:val="00373A11"/>
    <w:rsid w:val="00376FD0"/>
    <w:rsid w:val="00381261"/>
    <w:rsid w:val="00384D6B"/>
    <w:rsid w:val="00390667"/>
    <w:rsid w:val="00390C59"/>
    <w:rsid w:val="00394C3C"/>
    <w:rsid w:val="00395B1C"/>
    <w:rsid w:val="00396498"/>
    <w:rsid w:val="00396675"/>
    <w:rsid w:val="003A1AB4"/>
    <w:rsid w:val="003A5A33"/>
    <w:rsid w:val="003A6FCF"/>
    <w:rsid w:val="003B0077"/>
    <w:rsid w:val="003B10F2"/>
    <w:rsid w:val="003B17C5"/>
    <w:rsid w:val="003B1D39"/>
    <w:rsid w:val="003B358A"/>
    <w:rsid w:val="003B7046"/>
    <w:rsid w:val="003C502A"/>
    <w:rsid w:val="003C7A93"/>
    <w:rsid w:val="003C7EF8"/>
    <w:rsid w:val="003D172C"/>
    <w:rsid w:val="003D2D63"/>
    <w:rsid w:val="003D4DD7"/>
    <w:rsid w:val="003D58FB"/>
    <w:rsid w:val="003E43CA"/>
    <w:rsid w:val="003E520D"/>
    <w:rsid w:val="003E7FAF"/>
    <w:rsid w:val="003F08E7"/>
    <w:rsid w:val="003F0ADD"/>
    <w:rsid w:val="003F1060"/>
    <w:rsid w:val="003F321E"/>
    <w:rsid w:val="003F6D9F"/>
    <w:rsid w:val="00400CA9"/>
    <w:rsid w:val="0040375C"/>
    <w:rsid w:val="004051D5"/>
    <w:rsid w:val="00411DDA"/>
    <w:rsid w:val="00412BF8"/>
    <w:rsid w:val="00415046"/>
    <w:rsid w:val="00415B44"/>
    <w:rsid w:val="00416038"/>
    <w:rsid w:val="004161E8"/>
    <w:rsid w:val="00416342"/>
    <w:rsid w:val="00416EE1"/>
    <w:rsid w:val="00417ECB"/>
    <w:rsid w:val="00423820"/>
    <w:rsid w:val="004271C4"/>
    <w:rsid w:val="00427E20"/>
    <w:rsid w:val="00430082"/>
    <w:rsid w:val="00431E11"/>
    <w:rsid w:val="00432340"/>
    <w:rsid w:val="0043519F"/>
    <w:rsid w:val="004353C5"/>
    <w:rsid w:val="0043578A"/>
    <w:rsid w:val="004371D2"/>
    <w:rsid w:val="00441EC7"/>
    <w:rsid w:val="0044286F"/>
    <w:rsid w:val="00443DC8"/>
    <w:rsid w:val="004448CC"/>
    <w:rsid w:val="00444F3F"/>
    <w:rsid w:val="004453F2"/>
    <w:rsid w:val="00447224"/>
    <w:rsid w:val="00450054"/>
    <w:rsid w:val="00452098"/>
    <w:rsid w:val="00454857"/>
    <w:rsid w:val="00461218"/>
    <w:rsid w:val="004643C2"/>
    <w:rsid w:val="00466611"/>
    <w:rsid w:val="00472E45"/>
    <w:rsid w:val="0047701A"/>
    <w:rsid w:val="004816BF"/>
    <w:rsid w:val="00482D35"/>
    <w:rsid w:val="00486C63"/>
    <w:rsid w:val="00487BD7"/>
    <w:rsid w:val="004918A1"/>
    <w:rsid w:val="0049242B"/>
    <w:rsid w:val="00493336"/>
    <w:rsid w:val="00494041"/>
    <w:rsid w:val="004A0F32"/>
    <w:rsid w:val="004A557E"/>
    <w:rsid w:val="004A7310"/>
    <w:rsid w:val="004A73C8"/>
    <w:rsid w:val="004B2C61"/>
    <w:rsid w:val="004B58B8"/>
    <w:rsid w:val="004C2FDD"/>
    <w:rsid w:val="004C7B06"/>
    <w:rsid w:val="004D07DB"/>
    <w:rsid w:val="004D31EB"/>
    <w:rsid w:val="004D3339"/>
    <w:rsid w:val="004D4E0D"/>
    <w:rsid w:val="004D58E1"/>
    <w:rsid w:val="004E09A3"/>
    <w:rsid w:val="004E0DB1"/>
    <w:rsid w:val="004E269C"/>
    <w:rsid w:val="004E2750"/>
    <w:rsid w:val="004F2443"/>
    <w:rsid w:val="004F39DF"/>
    <w:rsid w:val="004F45EE"/>
    <w:rsid w:val="004F4CA0"/>
    <w:rsid w:val="004F52B0"/>
    <w:rsid w:val="004F537D"/>
    <w:rsid w:val="004F743F"/>
    <w:rsid w:val="004F7917"/>
    <w:rsid w:val="005028A1"/>
    <w:rsid w:val="00505B65"/>
    <w:rsid w:val="0051243C"/>
    <w:rsid w:val="005167C8"/>
    <w:rsid w:val="00517E4C"/>
    <w:rsid w:val="0052049A"/>
    <w:rsid w:val="00521049"/>
    <w:rsid w:val="005218F8"/>
    <w:rsid w:val="00523D95"/>
    <w:rsid w:val="00524246"/>
    <w:rsid w:val="005245DA"/>
    <w:rsid w:val="00526D53"/>
    <w:rsid w:val="00527CA5"/>
    <w:rsid w:val="00531348"/>
    <w:rsid w:val="0053640C"/>
    <w:rsid w:val="00537317"/>
    <w:rsid w:val="00537825"/>
    <w:rsid w:val="00541CCE"/>
    <w:rsid w:val="00542A70"/>
    <w:rsid w:val="00542C4D"/>
    <w:rsid w:val="00545C0F"/>
    <w:rsid w:val="00546B28"/>
    <w:rsid w:val="005507FE"/>
    <w:rsid w:val="00552C76"/>
    <w:rsid w:val="00555281"/>
    <w:rsid w:val="005606B9"/>
    <w:rsid w:val="00563946"/>
    <w:rsid w:val="00564C7D"/>
    <w:rsid w:val="00567094"/>
    <w:rsid w:val="00582F02"/>
    <w:rsid w:val="005836BF"/>
    <w:rsid w:val="00583B97"/>
    <w:rsid w:val="00586D50"/>
    <w:rsid w:val="00591B01"/>
    <w:rsid w:val="00592CCB"/>
    <w:rsid w:val="005936C3"/>
    <w:rsid w:val="0059488D"/>
    <w:rsid w:val="005A4E5E"/>
    <w:rsid w:val="005A632C"/>
    <w:rsid w:val="005B32C4"/>
    <w:rsid w:val="005B418A"/>
    <w:rsid w:val="005B56C1"/>
    <w:rsid w:val="005B6403"/>
    <w:rsid w:val="005B7B09"/>
    <w:rsid w:val="005C164C"/>
    <w:rsid w:val="005C36BE"/>
    <w:rsid w:val="005C652B"/>
    <w:rsid w:val="005D0ABF"/>
    <w:rsid w:val="005D187C"/>
    <w:rsid w:val="005D4119"/>
    <w:rsid w:val="005D4E29"/>
    <w:rsid w:val="005D709D"/>
    <w:rsid w:val="005E3161"/>
    <w:rsid w:val="005E6C44"/>
    <w:rsid w:val="005F03F5"/>
    <w:rsid w:val="005F29F7"/>
    <w:rsid w:val="005F2D55"/>
    <w:rsid w:val="006009B0"/>
    <w:rsid w:val="0060528B"/>
    <w:rsid w:val="00605C4C"/>
    <w:rsid w:val="00610015"/>
    <w:rsid w:val="00612B74"/>
    <w:rsid w:val="006154DC"/>
    <w:rsid w:val="006171BC"/>
    <w:rsid w:val="006173DA"/>
    <w:rsid w:val="00625237"/>
    <w:rsid w:val="00631F20"/>
    <w:rsid w:val="006332DD"/>
    <w:rsid w:val="0063358E"/>
    <w:rsid w:val="00635548"/>
    <w:rsid w:val="00641578"/>
    <w:rsid w:val="00645EB5"/>
    <w:rsid w:val="0064629C"/>
    <w:rsid w:val="0065045B"/>
    <w:rsid w:val="00654849"/>
    <w:rsid w:val="00655AD7"/>
    <w:rsid w:val="00656A44"/>
    <w:rsid w:val="006620A2"/>
    <w:rsid w:val="00663EBD"/>
    <w:rsid w:val="0066595C"/>
    <w:rsid w:val="006679B1"/>
    <w:rsid w:val="00667F7B"/>
    <w:rsid w:val="00672E24"/>
    <w:rsid w:val="00672E9B"/>
    <w:rsid w:val="00673E6F"/>
    <w:rsid w:val="0067663F"/>
    <w:rsid w:val="006803FA"/>
    <w:rsid w:val="00680F42"/>
    <w:rsid w:val="00686340"/>
    <w:rsid w:val="0068661D"/>
    <w:rsid w:val="0069236A"/>
    <w:rsid w:val="00693977"/>
    <w:rsid w:val="006949AD"/>
    <w:rsid w:val="006952DD"/>
    <w:rsid w:val="0069571E"/>
    <w:rsid w:val="00696704"/>
    <w:rsid w:val="00696E02"/>
    <w:rsid w:val="00697874"/>
    <w:rsid w:val="006A0C96"/>
    <w:rsid w:val="006A2F67"/>
    <w:rsid w:val="006A655D"/>
    <w:rsid w:val="006B1E8F"/>
    <w:rsid w:val="006B3E08"/>
    <w:rsid w:val="006B6D04"/>
    <w:rsid w:val="006C2C1C"/>
    <w:rsid w:val="006D6923"/>
    <w:rsid w:val="006E3A81"/>
    <w:rsid w:val="006E56CA"/>
    <w:rsid w:val="006E56EC"/>
    <w:rsid w:val="006E5FF3"/>
    <w:rsid w:val="006F021D"/>
    <w:rsid w:val="006F13DA"/>
    <w:rsid w:val="006F5627"/>
    <w:rsid w:val="006F56D9"/>
    <w:rsid w:val="006F60C7"/>
    <w:rsid w:val="006F7C6F"/>
    <w:rsid w:val="0070099A"/>
    <w:rsid w:val="00701950"/>
    <w:rsid w:val="00702C3F"/>
    <w:rsid w:val="00705735"/>
    <w:rsid w:val="007066BA"/>
    <w:rsid w:val="007069DA"/>
    <w:rsid w:val="00707EBD"/>
    <w:rsid w:val="00715655"/>
    <w:rsid w:val="00715AF2"/>
    <w:rsid w:val="00720CCE"/>
    <w:rsid w:val="00722230"/>
    <w:rsid w:val="007233BA"/>
    <w:rsid w:val="007238CD"/>
    <w:rsid w:val="00731BCA"/>
    <w:rsid w:val="007346E3"/>
    <w:rsid w:val="00734A11"/>
    <w:rsid w:val="00740021"/>
    <w:rsid w:val="00740E88"/>
    <w:rsid w:val="007412C6"/>
    <w:rsid w:val="0074155B"/>
    <w:rsid w:val="00745F5F"/>
    <w:rsid w:val="00746573"/>
    <w:rsid w:val="00746943"/>
    <w:rsid w:val="007470FD"/>
    <w:rsid w:val="00752E64"/>
    <w:rsid w:val="007616D1"/>
    <w:rsid w:val="007700BE"/>
    <w:rsid w:val="007733EB"/>
    <w:rsid w:val="00774547"/>
    <w:rsid w:val="00776135"/>
    <w:rsid w:val="00782B91"/>
    <w:rsid w:val="00783E61"/>
    <w:rsid w:val="0078663D"/>
    <w:rsid w:val="007866C4"/>
    <w:rsid w:val="007959A0"/>
    <w:rsid w:val="00797078"/>
    <w:rsid w:val="007A0FB0"/>
    <w:rsid w:val="007A1940"/>
    <w:rsid w:val="007A60C6"/>
    <w:rsid w:val="007A65B3"/>
    <w:rsid w:val="007B091E"/>
    <w:rsid w:val="007C260A"/>
    <w:rsid w:val="007D09E8"/>
    <w:rsid w:val="007D1BED"/>
    <w:rsid w:val="007D4821"/>
    <w:rsid w:val="007D5F30"/>
    <w:rsid w:val="007D62E1"/>
    <w:rsid w:val="007E3B48"/>
    <w:rsid w:val="007E53CD"/>
    <w:rsid w:val="007E5CB4"/>
    <w:rsid w:val="007F077D"/>
    <w:rsid w:val="007F4F05"/>
    <w:rsid w:val="007F7011"/>
    <w:rsid w:val="007F7086"/>
    <w:rsid w:val="007F72BC"/>
    <w:rsid w:val="007F7585"/>
    <w:rsid w:val="00801BA9"/>
    <w:rsid w:val="008020EF"/>
    <w:rsid w:val="00804BD4"/>
    <w:rsid w:val="00804C4D"/>
    <w:rsid w:val="008051DF"/>
    <w:rsid w:val="00805470"/>
    <w:rsid w:val="00810D04"/>
    <w:rsid w:val="00810FAA"/>
    <w:rsid w:val="00814282"/>
    <w:rsid w:val="008146C9"/>
    <w:rsid w:val="00815DF2"/>
    <w:rsid w:val="008162AD"/>
    <w:rsid w:val="008162E3"/>
    <w:rsid w:val="00821A1E"/>
    <w:rsid w:val="00825BCC"/>
    <w:rsid w:val="00825FE1"/>
    <w:rsid w:val="00827D64"/>
    <w:rsid w:val="00834575"/>
    <w:rsid w:val="00837FC6"/>
    <w:rsid w:val="00840ADE"/>
    <w:rsid w:val="008410DB"/>
    <w:rsid w:val="00841A51"/>
    <w:rsid w:val="00843F6E"/>
    <w:rsid w:val="00844118"/>
    <w:rsid w:val="00844886"/>
    <w:rsid w:val="00844E06"/>
    <w:rsid w:val="00852C49"/>
    <w:rsid w:val="00852E92"/>
    <w:rsid w:val="00853AF1"/>
    <w:rsid w:val="00854A33"/>
    <w:rsid w:val="008560B1"/>
    <w:rsid w:val="00857666"/>
    <w:rsid w:val="00860398"/>
    <w:rsid w:val="008613BB"/>
    <w:rsid w:val="00862788"/>
    <w:rsid w:val="00863919"/>
    <w:rsid w:val="00863F2F"/>
    <w:rsid w:val="00864DB2"/>
    <w:rsid w:val="00865A92"/>
    <w:rsid w:val="00872216"/>
    <w:rsid w:val="008736D5"/>
    <w:rsid w:val="0087397A"/>
    <w:rsid w:val="00880359"/>
    <w:rsid w:val="008815B4"/>
    <w:rsid w:val="00884194"/>
    <w:rsid w:val="00884779"/>
    <w:rsid w:val="008869E5"/>
    <w:rsid w:val="00891304"/>
    <w:rsid w:val="00892144"/>
    <w:rsid w:val="00892E12"/>
    <w:rsid w:val="008931F1"/>
    <w:rsid w:val="008952A8"/>
    <w:rsid w:val="00895375"/>
    <w:rsid w:val="008A2AAE"/>
    <w:rsid w:val="008A3716"/>
    <w:rsid w:val="008A4C6E"/>
    <w:rsid w:val="008B42A7"/>
    <w:rsid w:val="008C0767"/>
    <w:rsid w:val="008C1508"/>
    <w:rsid w:val="008C3DF8"/>
    <w:rsid w:val="008C60E0"/>
    <w:rsid w:val="008D6010"/>
    <w:rsid w:val="008E0B75"/>
    <w:rsid w:val="008E4C67"/>
    <w:rsid w:val="008E5256"/>
    <w:rsid w:val="008E7AD0"/>
    <w:rsid w:val="008F48A1"/>
    <w:rsid w:val="009012D8"/>
    <w:rsid w:val="009015FE"/>
    <w:rsid w:val="0090631A"/>
    <w:rsid w:val="00906B6E"/>
    <w:rsid w:val="0091373B"/>
    <w:rsid w:val="00915B83"/>
    <w:rsid w:val="00916DAA"/>
    <w:rsid w:val="00921EC8"/>
    <w:rsid w:val="00925D64"/>
    <w:rsid w:val="0092651E"/>
    <w:rsid w:val="00930D0B"/>
    <w:rsid w:val="0093279B"/>
    <w:rsid w:val="00932817"/>
    <w:rsid w:val="00934FF1"/>
    <w:rsid w:val="00940F1A"/>
    <w:rsid w:val="009410D7"/>
    <w:rsid w:val="00946244"/>
    <w:rsid w:val="00946E40"/>
    <w:rsid w:val="00947579"/>
    <w:rsid w:val="00947FC1"/>
    <w:rsid w:val="00950BBC"/>
    <w:rsid w:val="00951FA9"/>
    <w:rsid w:val="009534D1"/>
    <w:rsid w:val="00960F21"/>
    <w:rsid w:val="009628E0"/>
    <w:rsid w:val="00965E4B"/>
    <w:rsid w:val="0096706F"/>
    <w:rsid w:val="00972A02"/>
    <w:rsid w:val="00974839"/>
    <w:rsid w:val="009768A0"/>
    <w:rsid w:val="00980B60"/>
    <w:rsid w:val="009865D0"/>
    <w:rsid w:val="00990FFF"/>
    <w:rsid w:val="00991594"/>
    <w:rsid w:val="00991A10"/>
    <w:rsid w:val="009938C4"/>
    <w:rsid w:val="00994DC0"/>
    <w:rsid w:val="00994F9D"/>
    <w:rsid w:val="009953C0"/>
    <w:rsid w:val="00996671"/>
    <w:rsid w:val="009A214A"/>
    <w:rsid w:val="009A22FD"/>
    <w:rsid w:val="009A5B3A"/>
    <w:rsid w:val="009A72A7"/>
    <w:rsid w:val="009A794A"/>
    <w:rsid w:val="009B0583"/>
    <w:rsid w:val="009B1FF7"/>
    <w:rsid w:val="009B3493"/>
    <w:rsid w:val="009B43ED"/>
    <w:rsid w:val="009B66F6"/>
    <w:rsid w:val="009B741E"/>
    <w:rsid w:val="009C0F67"/>
    <w:rsid w:val="009C38D1"/>
    <w:rsid w:val="009C4E7B"/>
    <w:rsid w:val="009C5289"/>
    <w:rsid w:val="009D157A"/>
    <w:rsid w:val="009D1972"/>
    <w:rsid w:val="009D2F15"/>
    <w:rsid w:val="009D3BCE"/>
    <w:rsid w:val="009D3CF3"/>
    <w:rsid w:val="009D554F"/>
    <w:rsid w:val="009D6C6F"/>
    <w:rsid w:val="009D7EF2"/>
    <w:rsid w:val="009E14BD"/>
    <w:rsid w:val="009E438A"/>
    <w:rsid w:val="009E56D4"/>
    <w:rsid w:val="009E7CFA"/>
    <w:rsid w:val="009E7E2D"/>
    <w:rsid w:val="009F1E8C"/>
    <w:rsid w:val="009F5B05"/>
    <w:rsid w:val="00A0030E"/>
    <w:rsid w:val="00A003EE"/>
    <w:rsid w:val="00A03E4F"/>
    <w:rsid w:val="00A0448F"/>
    <w:rsid w:val="00A1132E"/>
    <w:rsid w:val="00A1485A"/>
    <w:rsid w:val="00A1538A"/>
    <w:rsid w:val="00A16241"/>
    <w:rsid w:val="00A1738A"/>
    <w:rsid w:val="00A378AC"/>
    <w:rsid w:val="00A50F4D"/>
    <w:rsid w:val="00A55773"/>
    <w:rsid w:val="00A63DF8"/>
    <w:rsid w:val="00A642F1"/>
    <w:rsid w:val="00A65399"/>
    <w:rsid w:val="00A6575E"/>
    <w:rsid w:val="00A67EA0"/>
    <w:rsid w:val="00A706A7"/>
    <w:rsid w:val="00A75EE6"/>
    <w:rsid w:val="00A91B78"/>
    <w:rsid w:val="00A92200"/>
    <w:rsid w:val="00A92BD7"/>
    <w:rsid w:val="00AA12D6"/>
    <w:rsid w:val="00AA1F59"/>
    <w:rsid w:val="00AB03D0"/>
    <w:rsid w:val="00AB54C6"/>
    <w:rsid w:val="00AC3B20"/>
    <w:rsid w:val="00AC54AC"/>
    <w:rsid w:val="00AD323F"/>
    <w:rsid w:val="00AD329A"/>
    <w:rsid w:val="00AD3E31"/>
    <w:rsid w:val="00AD679A"/>
    <w:rsid w:val="00AD6E82"/>
    <w:rsid w:val="00AE119B"/>
    <w:rsid w:val="00AE32C8"/>
    <w:rsid w:val="00AF062B"/>
    <w:rsid w:val="00AF1442"/>
    <w:rsid w:val="00AF7067"/>
    <w:rsid w:val="00B03E03"/>
    <w:rsid w:val="00B03F77"/>
    <w:rsid w:val="00B06D43"/>
    <w:rsid w:val="00B0745B"/>
    <w:rsid w:val="00B07A1D"/>
    <w:rsid w:val="00B162CB"/>
    <w:rsid w:val="00B212FB"/>
    <w:rsid w:val="00B2215B"/>
    <w:rsid w:val="00B25DE8"/>
    <w:rsid w:val="00B3553E"/>
    <w:rsid w:val="00B3600B"/>
    <w:rsid w:val="00B40603"/>
    <w:rsid w:val="00B45B5E"/>
    <w:rsid w:val="00B474CB"/>
    <w:rsid w:val="00B50EF5"/>
    <w:rsid w:val="00B54ADF"/>
    <w:rsid w:val="00B568AC"/>
    <w:rsid w:val="00B620D8"/>
    <w:rsid w:val="00B71ECC"/>
    <w:rsid w:val="00B744F5"/>
    <w:rsid w:val="00B76184"/>
    <w:rsid w:val="00B7717C"/>
    <w:rsid w:val="00B85122"/>
    <w:rsid w:val="00B87C86"/>
    <w:rsid w:val="00B92142"/>
    <w:rsid w:val="00B9567C"/>
    <w:rsid w:val="00B979B6"/>
    <w:rsid w:val="00B97ECE"/>
    <w:rsid w:val="00BA09FF"/>
    <w:rsid w:val="00BA1DAC"/>
    <w:rsid w:val="00BA3EF1"/>
    <w:rsid w:val="00BB0407"/>
    <w:rsid w:val="00BB065B"/>
    <w:rsid w:val="00BB275E"/>
    <w:rsid w:val="00BB2973"/>
    <w:rsid w:val="00BB344C"/>
    <w:rsid w:val="00BB3AD0"/>
    <w:rsid w:val="00BB462F"/>
    <w:rsid w:val="00BB6A1F"/>
    <w:rsid w:val="00BB7DEF"/>
    <w:rsid w:val="00BC00BB"/>
    <w:rsid w:val="00BC441A"/>
    <w:rsid w:val="00BC5690"/>
    <w:rsid w:val="00BC7DEB"/>
    <w:rsid w:val="00BC7FF7"/>
    <w:rsid w:val="00BD1ECD"/>
    <w:rsid w:val="00BD5D98"/>
    <w:rsid w:val="00BE199B"/>
    <w:rsid w:val="00BE21A9"/>
    <w:rsid w:val="00BE488A"/>
    <w:rsid w:val="00BE731C"/>
    <w:rsid w:val="00BF03B3"/>
    <w:rsid w:val="00BF6500"/>
    <w:rsid w:val="00C004F0"/>
    <w:rsid w:val="00C00DB2"/>
    <w:rsid w:val="00C02846"/>
    <w:rsid w:val="00C03C8C"/>
    <w:rsid w:val="00C05A03"/>
    <w:rsid w:val="00C0677B"/>
    <w:rsid w:val="00C11A57"/>
    <w:rsid w:val="00C15F9F"/>
    <w:rsid w:val="00C25021"/>
    <w:rsid w:val="00C271F3"/>
    <w:rsid w:val="00C3066A"/>
    <w:rsid w:val="00C324CB"/>
    <w:rsid w:val="00C37BF9"/>
    <w:rsid w:val="00C411AB"/>
    <w:rsid w:val="00C4440C"/>
    <w:rsid w:val="00C44A77"/>
    <w:rsid w:val="00C51CB8"/>
    <w:rsid w:val="00C51F85"/>
    <w:rsid w:val="00C53A33"/>
    <w:rsid w:val="00C54606"/>
    <w:rsid w:val="00C55D04"/>
    <w:rsid w:val="00C60EE9"/>
    <w:rsid w:val="00C6110C"/>
    <w:rsid w:val="00C62C37"/>
    <w:rsid w:val="00C679A0"/>
    <w:rsid w:val="00C7257A"/>
    <w:rsid w:val="00C72BE5"/>
    <w:rsid w:val="00C74A20"/>
    <w:rsid w:val="00C76A06"/>
    <w:rsid w:val="00C77CB5"/>
    <w:rsid w:val="00C850A0"/>
    <w:rsid w:val="00C8752A"/>
    <w:rsid w:val="00C90A67"/>
    <w:rsid w:val="00C916A2"/>
    <w:rsid w:val="00C91EC1"/>
    <w:rsid w:val="00C94025"/>
    <w:rsid w:val="00C94D82"/>
    <w:rsid w:val="00C97B95"/>
    <w:rsid w:val="00CA1A10"/>
    <w:rsid w:val="00CA21C0"/>
    <w:rsid w:val="00CA48E4"/>
    <w:rsid w:val="00CA6F62"/>
    <w:rsid w:val="00CB20E0"/>
    <w:rsid w:val="00CB3467"/>
    <w:rsid w:val="00CB47C7"/>
    <w:rsid w:val="00CB5D94"/>
    <w:rsid w:val="00CB6D13"/>
    <w:rsid w:val="00CB7210"/>
    <w:rsid w:val="00CC0595"/>
    <w:rsid w:val="00CC3768"/>
    <w:rsid w:val="00CC4C3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9E7"/>
    <w:rsid w:val="00CF2A22"/>
    <w:rsid w:val="00CF3042"/>
    <w:rsid w:val="00CF764E"/>
    <w:rsid w:val="00D00B32"/>
    <w:rsid w:val="00D04236"/>
    <w:rsid w:val="00D11A0D"/>
    <w:rsid w:val="00D219D3"/>
    <w:rsid w:val="00D21ADB"/>
    <w:rsid w:val="00D248C5"/>
    <w:rsid w:val="00D315E6"/>
    <w:rsid w:val="00D31E5A"/>
    <w:rsid w:val="00D3651A"/>
    <w:rsid w:val="00D36CD2"/>
    <w:rsid w:val="00D46E60"/>
    <w:rsid w:val="00D47520"/>
    <w:rsid w:val="00D51A01"/>
    <w:rsid w:val="00D55434"/>
    <w:rsid w:val="00D57789"/>
    <w:rsid w:val="00D57A35"/>
    <w:rsid w:val="00D7654D"/>
    <w:rsid w:val="00D80316"/>
    <w:rsid w:val="00D80346"/>
    <w:rsid w:val="00D80FC5"/>
    <w:rsid w:val="00D9509E"/>
    <w:rsid w:val="00DA0504"/>
    <w:rsid w:val="00DA219B"/>
    <w:rsid w:val="00DA2CD4"/>
    <w:rsid w:val="00DA36DC"/>
    <w:rsid w:val="00DA6F88"/>
    <w:rsid w:val="00DA7192"/>
    <w:rsid w:val="00DA7456"/>
    <w:rsid w:val="00DB04CD"/>
    <w:rsid w:val="00DB0D62"/>
    <w:rsid w:val="00DB3865"/>
    <w:rsid w:val="00DB6ED4"/>
    <w:rsid w:val="00DC445A"/>
    <w:rsid w:val="00DC5A0D"/>
    <w:rsid w:val="00DC72BD"/>
    <w:rsid w:val="00DC751F"/>
    <w:rsid w:val="00DC7D55"/>
    <w:rsid w:val="00DD194C"/>
    <w:rsid w:val="00DD3147"/>
    <w:rsid w:val="00DD50CC"/>
    <w:rsid w:val="00DD5D35"/>
    <w:rsid w:val="00DD7368"/>
    <w:rsid w:val="00DE0A79"/>
    <w:rsid w:val="00DE0F15"/>
    <w:rsid w:val="00DE24EC"/>
    <w:rsid w:val="00DE7AF5"/>
    <w:rsid w:val="00DF0C28"/>
    <w:rsid w:val="00DF4EB4"/>
    <w:rsid w:val="00DF6319"/>
    <w:rsid w:val="00DF6ADB"/>
    <w:rsid w:val="00DF6F64"/>
    <w:rsid w:val="00DF7F40"/>
    <w:rsid w:val="00E01493"/>
    <w:rsid w:val="00E03ED2"/>
    <w:rsid w:val="00E04CB3"/>
    <w:rsid w:val="00E05E34"/>
    <w:rsid w:val="00E072F7"/>
    <w:rsid w:val="00E11F82"/>
    <w:rsid w:val="00E13048"/>
    <w:rsid w:val="00E141E5"/>
    <w:rsid w:val="00E16289"/>
    <w:rsid w:val="00E1733F"/>
    <w:rsid w:val="00E21FDC"/>
    <w:rsid w:val="00E24719"/>
    <w:rsid w:val="00E26795"/>
    <w:rsid w:val="00E2760A"/>
    <w:rsid w:val="00E27B93"/>
    <w:rsid w:val="00E30086"/>
    <w:rsid w:val="00E303D3"/>
    <w:rsid w:val="00E309DF"/>
    <w:rsid w:val="00E35288"/>
    <w:rsid w:val="00E3613F"/>
    <w:rsid w:val="00E42844"/>
    <w:rsid w:val="00E42CAF"/>
    <w:rsid w:val="00E44B7A"/>
    <w:rsid w:val="00E52016"/>
    <w:rsid w:val="00E5262D"/>
    <w:rsid w:val="00E55BF1"/>
    <w:rsid w:val="00E574F5"/>
    <w:rsid w:val="00E57AA3"/>
    <w:rsid w:val="00E61E8B"/>
    <w:rsid w:val="00E6286C"/>
    <w:rsid w:val="00E66ED2"/>
    <w:rsid w:val="00E6792B"/>
    <w:rsid w:val="00E718CD"/>
    <w:rsid w:val="00E816C3"/>
    <w:rsid w:val="00E82DE4"/>
    <w:rsid w:val="00E87487"/>
    <w:rsid w:val="00E87F26"/>
    <w:rsid w:val="00E907D3"/>
    <w:rsid w:val="00E93367"/>
    <w:rsid w:val="00E94C8F"/>
    <w:rsid w:val="00E95107"/>
    <w:rsid w:val="00E953D4"/>
    <w:rsid w:val="00E95C7B"/>
    <w:rsid w:val="00EA33F2"/>
    <w:rsid w:val="00EA70DD"/>
    <w:rsid w:val="00EA7F20"/>
    <w:rsid w:val="00EB0BF7"/>
    <w:rsid w:val="00EB4527"/>
    <w:rsid w:val="00EB47B3"/>
    <w:rsid w:val="00EC1313"/>
    <w:rsid w:val="00EC3428"/>
    <w:rsid w:val="00EC408D"/>
    <w:rsid w:val="00EC5BDF"/>
    <w:rsid w:val="00EC6672"/>
    <w:rsid w:val="00ED005F"/>
    <w:rsid w:val="00ED32B9"/>
    <w:rsid w:val="00ED5363"/>
    <w:rsid w:val="00ED680D"/>
    <w:rsid w:val="00ED70D2"/>
    <w:rsid w:val="00EE148C"/>
    <w:rsid w:val="00EE3148"/>
    <w:rsid w:val="00EF2F6E"/>
    <w:rsid w:val="00EF649A"/>
    <w:rsid w:val="00F00501"/>
    <w:rsid w:val="00F03B7A"/>
    <w:rsid w:val="00F04E3A"/>
    <w:rsid w:val="00F0575B"/>
    <w:rsid w:val="00F07DE8"/>
    <w:rsid w:val="00F120C1"/>
    <w:rsid w:val="00F1309F"/>
    <w:rsid w:val="00F131AE"/>
    <w:rsid w:val="00F163DE"/>
    <w:rsid w:val="00F22413"/>
    <w:rsid w:val="00F23DE6"/>
    <w:rsid w:val="00F249E3"/>
    <w:rsid w:val="00F26083"/>
    <w:rsid w:val="00F27A25"/>
    <w:rsid w:val="00F3394C"/>
    <w:rsid w:val="00F33C4F"/>
    <w:rsid w:val="00F3435A"/>
    <w:rsid w:val="00F34DF6"/>
    <w:rsid w:val="00F34E51"/>
    <w:rsid w:val="00F40103"/>
    <w:rsid w:val="00F41089"/>
    <w:rsid w:val="00F437D0"/>
    <w:rsid w:val="00F45886"/>
    <w:rsid w:val="00F47B3B"/>
    <w:rsid w:val="00F47F60"/>
    <w:rsid w:val="00F5436E"/>
    <w:rsid w:val="00F54E51"/>
    <w:rsid w:val="00F64393"/>
    <w:rsid w:val="00F64987"/>
    <w:rsid w:val="00F675E2"/>
    <w:rsid w:val="00F74362"/>
    <w:rsid w:val="00F747AE"/>
    <w:rsid w:val="00F81626"/>
    <w:rsid w:val="00F81B03"/>
    <w:rsid w:val="00F82214"/>
    <w:rsid w:val="00F82F05"/>
    <w:rsid w:val="00F8642C"/>
    <w:rsid w:val="00F868F8"/>
    <w:rsid w:val="00F91A46"/>
    <w:rsid w:val="00F93A50"/>
    <w:rsid w:val="00F96000"/>
    <w:rsid w:val="00F96CA9"/>
    <w:rsid w:val="00FA1307"/>
    <w:rsid w:val="00FA1773"/>
    <w:rsid w:val="00FB0E47"/>
    <w:rsid w:val="00FB1B13"/>
    <w:rsid w:val="00FB6B91"/>
    <w:rsid w:val="00FB6C00"/>
    <w:rsid w:val="00FB734E"/>
    <w:rsid w:val="00FC01FF"/>
    <w:rsid w:val="00FC0C98"/>
    <w:rsid w:val="00FD0291"/>
    <w:rsid w:val="00FD03AB"/>
    <w:rsid w:val="00FD51F1"/>
    <w:rsid w:val="00FD5BB3"/>
    <w:rsid w:val="00FD7B25"/>
    <w:rsid w:val="00FE0290"/>
    <w:rsid w:val="00FE5CA8"/>
    <w:rsid w:val="00FF0C1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CC825-DC68-4A00-943C-6C1E662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Nosaukums">
    <w:name w:val="Title"/>
    <w:basedOn w:val="Parasts"/>
    <w:link w:val="NosaukumsRakstz"/>
    <w:qFormat/>
    <w:rsid w:val="005245DA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245DA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31A7-0E1F-416D-B407-8C6F1A56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5931</Words>
  <Characters>3381</Characters>
  <Application>Microsoft Office Word</Application>
  <DocSecurity>0</DocSecurity>
  <Lines>28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Groz. MK not. Nr.416</vt:lpstr>
    </vt:vector>
  </TitlesOfParts>
  <Company>Zemkopības Ministrija</Company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Līga Villa</dc:creator>
  <cp:keywords/>
  <dc:description>Villa 67027196_x000d_
Liga.Villa@zm.gov.lv</dc:description>
  <cp:lastModifiedBy>Kristiāna Sebre</cp:lastModifiedBy>
  <cp:revision>27</cp:revision>
  <cp:lastPrinted>2018-10-18T12:37:00Z</cp:lastPrinted>
  <dcterms:created xsi:type="dcterms:W3CDTF">2018-11-20T12:19:00Z</dcterms:created>
  <dcterms:modified xsi:type="dcterms:W3CDTF">2018-12-10T09:08:00Z</dcterms:modified>
</cp:coreProperties>
</file>