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6A" w:rsidRPr="00E3024C" w:rsidRDefault="0082106C" w:rsidP="00E3024C">
      <w:pPr>
        <w:spacing w:after="120"/>
        <w:jc w:val="right"/>
        <w:rPr>
          <w:rFonts w:cs="Times New Roman"/>
          <w:i/>
          <w:sz w:val="24"/>
          <w:szCs w:val="24"/>
          <w:lang w:val="lv-LV" w:eastAsia="lv-LV" w:bidi="ar-SA"/>
        </w:rPr>
      </w:pPr>
      <w:r>
        <w:rPr>
          <w:rFonts w:cs="Times New Roman"/>
          <w:i/>
          <w:sz w:val="24"/>
          <w:szCs w:val="24"/>
          <w:lang w:val="lv-LV" w:eastAsia="lv-LV" w:bidi="ar-SA"/>
        </w:rPr>
        <w:t>Neoficiāls t</w:t>
      </w:r>
      <w:r w:rsidR="006117B1">
        <w:rPr>
          <w:rFonts w:cs="Times New Roman"/>
          <w:i/>
          <w:sz w:val="24"/>
          <w:szCs w:val="24"/>
          <w:lang w:val="lv-LV" w:eastAsia="lv-LV" w:bidi="ar-SA"/>
        </w:rPr>
        <w:t>ulkojums</w:t>
      </w:r>
    </w:p>
    <w:p w:rsidR="0055526A" w:rsidRPr="0051667C" w:rsidRDefault="0093461F" w:rsidP="00E3024C">
      <w:pPr>
        <w:spacing w:after="120"/>
        <w:jc w:val="center"/>
        <w:rPr>
          <w:rFonts w:cs="Times New Roman"/>
          <w:bCs/>
          <w:sz w:val="24"/>
          <w:szCs w:val="24"/>
          <w:lang w:val="lv-LV" w:eastAsia="lv-LV" w:bidi="ar-SA"/>
        </w:rPr>
      </w:pPr>
      <w:r w:rsidRPr="0051667C">
        <w:rPr>
          <w:sz w:val="24"/>
          <w:szCs w:val="24"/>
          <w:lang w:val="lv-LV"/>
        </w:rPr>
        <w:t xml:space="preserve">LIETUVAS REPUBLIKAS NACIONĀLĀS AIZSARDZĪBAS MINISTRIJAS, IGAUNIJAS REPUBLIKAS </w:t>
      </w:r>
      <w:r w:rsidR="00906A68">
        <w:rPr>
          <w:sz w:val="24"/>
          <w:szCs w:val="24"/>
          <w:lang w:val="lv-LV"/>
        </w:rPr>
        <w:t>ĀRLIETU</w:t>
      </w:r>
      <w:r w:rsidR="00906A68" w:rsidRPr="0051667C">
        <w:rPr>
          <w:sz w:val="24"/>
          <w:szCs w:val="24"/>
          <w:lang w:val="lv-LV"/>
        </w:rPr>
        <w:t xml:space="preserve"> </w:t>
      </w:r>
      <w:r w:rsidRPr="0051667C">
        <w:rPr>
          <w:sz w:val="24"/>
          <w:szCs w:val="24"/>
          <w:lang w:val="lv-LV"/>
        </w:rPr>
        <w:t xml:space="preserve">MINISTRIJAS, </w:t>
      </w:r>
      <w:r w:rsidR="00906A68">
        <w:rPr>
          <w:sz w:val="24"/>
          <w:szCs w:val="24"/>
          <w:lang w:val="lv-LV"/>
        </w:rPr>
        <w:t xml:space="preserve">VĀCIJAS FEDERĀLĀS </w:t>
      </w:r>
      <w:r w:rsidR="000707D9">
        <w:rPr>
          <w:sz w:val="24"/>
          <w:szCs w:val="24"/>
          <w:lang w:val="lv-LV"/>
        </w:rPr>
        <w:t xml:space="preserve">REPUBLIKAS FEDERĀLĀS </w:t>
      </w:r>
      <w:r w:rsidR="00906A68">
        <w:rPr>
          <w:sz w:val="24"/>
          <w:szCs w:val="24"/>
          <w:lang w:val="lv-LV"/>
        </w:rPr>
        <w:t xml:space="preserve">AIZSARDZĪBAS MINISTRIJAS, </w:t>
      </w:r>
      <w:r w:rsidRPr="0051667C">
        <w:rPr>
          <w:sz w:val="24"/>
          <w:szCs w:val="24"/>
          <w:lang w:val="lv-LV"/>
        </w:rPr>
        <w:t xml:space="preserve">FRANCIJAS REPUBLIKAS </w:t>
      </w:r>
      <w:r w:rsidR="00C117BF">
        <w:rPr>
          <w:sz w:val="24"/>
          <w:szCs w:val="24"/>
          <w:lang w:val="lv-LV"/>
        </w:rPr>
        <w:t>AIZSARDZĪBAS</w:t>
      </w:r>
      <w:r w:rsidR="00906A68" w:rsidRPr="00906A68">
        <w:rPr>
          <w:sz w:val="24"/>
          <w:szCs w:val="24"/>
          <w:lang w:val="lv-LV"/>
        </w:rPr>
        <w:t xml:space="preserve"> </w:t>
      </w:r>
      <w:r w:rsidRPr="00906A68">
        <w:rPr>
          <w:sz w:val="24"/>
          <w:szCs w:val="24"/>
          <w:lang w:val="lv-LV"/>
        </w:rPr>
        <w:t>MINISTRA, ITĀLIJAS REPUBLIKAS AIZSARDZĪBAS MINISTRIJAS, LATVIJAS REPUBLIKAS AIZSARDZĪBAS MINISTRIJAS, TURCIJAS REPUBLIKAS NACI</w:t>
      </w:r>
      <w:r w:rsidR="00906A68">
        <w:rPr>
          <w:sz w:val="24"/>
          <w:szCs w:val="24"/>
          <w:lang w:val="lv-LV"/>
        </w:rPr>
        <w:t xml:space="preserve">ONĀLĀS AIZSARDZĪBAS MINISTRIJAS, </w:t>
      </w:r>
      <w:r w:rsidR="00906A68" w:rsidRPr="00906A68">
        <w:rPr>
          <w:rFonts w:cs="Times New Roman"/>
          <w:sz w:val="24"/>
          <w:szCs w:val="24"/>
          <w:lang w:val="lv-LV"/>
        </w:rPr>
        <w:t>LIELBRITĀNIJAS UN ZIEMEĻĪRIJAS APVIENOTĀS KARALISTES AIZSARDZĪBAS MINISTRIJAS</w:t>
      </w:r>
      <w:r w:rsidR="00906A68">
        <w:rPr>
          <w:sz w:val="24"/>
          <w:szCs w:val="24"/>
          <w:lang w:val="lv-LV"/>
        </w:rPr>
        <w:t xml:space="preserve"> UN ASV AIZSARDZĪBAS DEPARTAMENTA </w:t>
      </w:r>
      <w:r w:rsidRPr="00906A68">
        <w:rPr>
          <w:sz w:val="24"/>
          <w:szCs w:val="24"/>
          <w:lang w:val="lv-LV"/>
        </w:rPr>
        <w:t xml:space="preserve">SAPRAŠANĀS </w:t>
      </w:r>
      <w:r w:rsidR="000707D9" w:rsidRPr="00906A68">
        <w:rPr>
          <w:sz w:val="24"/>
          <w:szCs w:val="24"/>
          <w:lang w:val="lv-LV"/>
        </w:rPr>
        <w:t>MEMORAND</w:t>
      </w:r>
      <w:r w:rsidR="000707D9">
        <w:rPr>
          <w:sz w:val="24"/>
          <w:szCs w:val="24"/>
          <w:lang w:val="lv-LV"/>
        </w:rPr>
        <w:t>A</w:t>
      </w:r>
      <w:r w:rsidR="000707D9" w:rsidRPr="00906A68">
        <w:rPr>
          <w:sz w:val="24"/>
          <w:szCs w:val="24"/>
          <w:lang w:val="lv-LV"/>
        </w:rPr>
        <w:t xml:space="preserve"> </w:t>
      </w:r>
      <w:r w:rsidRPr="00906A68">
        <w:rPr>
          <w:sz w:val="24"/>
          <w:szCs w:val="24"/>
          <w:lang w:val="lv-LV"/>
        </w:rPr>
        <w:t xml:space="preserve">PAR NATO ENERĢĒTISKĀS DROŠĪBAS IZCILĪBAS CENTRA (NATO EDC) IZVEIDOŠANU, ADMINISTRĒŠANU UN DARBĪBU </w:t>
      </w:r>
      <w:r w:rsidR="000707D9">
        <w:rPr>
          <w:sz w:val="24"/>
          <w:szCs w:val="24"/>
          <w:lang w:val="lv-LV"/>
        </w:rPr>
        <w:t>PĀRSKATĪŠANA</w:t>
      </w:r>
    </w:p>
    <w:p w:rsidR="000048EC" w:rsidRDefault="00C860E6" w:rsidP="00925FA3">
      <w:pPr>
        <w:spacing w:after="120"/>
        <w:jc w:val="both"/>
        <w:rPr>
          <w:rFonts w:cs="Times New Roman"/>
          <w:sz w:val="24"/>
          <w:szCs w:val="24"/>
          <w:lang w:val="lv-LV" w:eastAsia="lv-LV" w:bidi="ar-SA"/>
        </w:rPr>
      </w:pPr>
      <w:bookmarkStart w:id="0" w:name="p-93309"/>
      <w:bookmarkStart w:id="1" w:name="p1"/>
      <w:bookmarkEnd w:id="0"/>
      <w:bookmarkEnd w:id="1"/>
      <w:r w:rsidRPr="00C860E6">
        <w:rPr>
          <w:sz w:val="24"/>
          <w:szCs w:val="24"/>
          <w:lang w:val="lv-LV"/>
        </w:rPr>
        <w:t xml:space="preserve">Lietuvas Republikas </w:t>
      </w:r>
      <w:r w:rsidRPr="00906A68">
        <w:rPr>
          <w:sz w:val="24"/>
          <w:szCs w:val="24"/>
          <w:lang w:val="lv-LV"/>
        </w:rPr>
        <w:t xml:space="preserve">Nacionālās aizsardzības ministrijas, Igaunijas Republikas </w:t>
      </w:r>
      <w:r w:rsidR="00BD3BDD" w:rsidRPr="00906A68">
        <w:rPr>
          <w:sz w:val="24"/>
          <w:szCs w:val="24"/>
          <w:lang w:val="lv-LV"/>
        </w:rPr>
        <w:t xml:space="preserve">Igaunijas Republikas </w:t>
      </w:r>
      <w:r w:rsidR="00906A68" w:rsidRPr="00906A68">
        <w:rPr>
          <w:sz w:val="24"/>
          <w:szCs w:val="24"/>
          <w:lang w:val="lv-LV"/>
        </w:rPr>
        <w:t>Ārlietu</w:t>
      </w:r>
      <w:r w:rsidR="00BD3BDD" w:rsidRPr="00906A68">
        <w:rPr>
          <w:sz w:val="24"/>
          <w:szCs w:val="24"/>
          <w:lang w:val="lv-LV"/>
        </w:rPr>
        <w:t xml:space="preserve"> ministrijas</w:t>
      </w:r>
      <w:r w:rsidRPr="00906A68">
        <w:rPr>
          <w:sz w:val="24"/>
          <w:szCs w:val="24"/>
          <w:lang w:val="lv-LV"/>
        </w:rPr>
        <w:t xml:space="preserve">, </w:t>
      </w:r>
      <w:r w:rsidR="00906A68">
        <w:rPr>
          <w:sz w:val="24"/>
          <w:szCs w:val="24"/>
          <w:lang w:val="lv-LV"/>
        </w:rPr>
        <w:t xml:space="preserve">Vācijas Federālās </w:t>
      </w:r>
      <w:r w:rsidR="000707D9">
        <w:rPr>
          <w:sz w:val="24"/>
          <w:szCs w:val="24"/>
          <w:lang w:val="lv-LV"/>
        </w:rPr>
        <w:t xml:space="preserve">Republikas Federālās </w:t>
      </w:r>
      <w:r w:rsidR="00906A68">
        <w:rPr>
          <w:sz w:val="24"/>
          <w:szCs w:val="24"/>
          <w:lang w:val="lv-LV"/>
        </w:rPr>
        <w:t xml:space="preserve">Aizsardzības ministrijas, </w:t>
      </w:r>
      <w:r w:rsidRPr="00906A68">
        <w:rPr>
          <w:sz w:val="24"/>
          <w:szCs w:val="24"/>
          <w:lang w:val="lv-LV"/>
        </w:rPr>
        <w:t xml:space="preserve">Francijas Republikas </w:t>
      </w:r>
      <w:r w:rsidR="00E7440C">
        <w:rPr>
          <w:sz w:val="24"/>
          <w:szCs w:val="24"/>
          <w:lang w:val="lv-LV"/>
        </w:rPr>
        <w:t>a</w:t>
      </w:r>
      <w:r w:rsidR="00C117BF">
        <w:rPr>
          <w:sz w:val="24"/>
          <w:szCs w:val="24"/>
          <w:lang w:val="lv-LV"/>
        </w:rPr>
        <w:t>izsardzības</w:t>
      </w:r>
      <w:r w:rsidRPr="00906A68">
        <w:rPr>
          <w:sz w:val="24"/>
          <w:szCs w:val="24"/>
          <w:lang w:val="lv-LV"/>
        </w:rPr>
        <w:t xml:space="preserve"> ministra, Itālijas Republikas Aizsardzības ministrijas, Latvijas Republikas Aizsardzības ministrijas</w:t>
      </w:r>
      <w:r w:rsidR="00906A68">
        <w:rPr>
          <w:sz w:val="24"/>
          <w:szCs w:val="24"/>
          <w:lang w:val="lv-LV"/>
        </w:rPr>
        <w:t xml:space="preserve">, </w:t>
      </w:r>
      <w:r w:rsidRPr="00906A68">
        <w:rPr>
          <w:sz w:val="24"/>
          <w:szCs w:val="24"/>
          <w:lang w:val="lv-LV"/>
        </w:rPr>
        <w:t>Turcijas Republikas Nacionālās aizsardzības ministrijas</w:t>
      </w:r>
      <w:r w:rsidR="00906A68">
        <w:rPr>
          <w:sz w:val="24"/>
          <w:szCs w:val="24"/>
          <w:lang w:val="lv-LV"/>
        </w:rPr>
        <w:t>,</w:t>
      </w:r>
      <w:r w:rsidRPr="00906A68">
        <w:rPr>
          <w:sz w:val="24"/>
          <w:szCs w:val="24"/>
          <w:lang w:val="lv-LV"/>
        </w:rPr>
        <w:t xml:space="preserve"> </w:t>
      </w:r>
      <w:r w:rsidR="00906A68" w:rsidRPr="00906A68">
        <w:rPr>
          <w:rFonts w:cs="Times New Roman"/>
          <w:sz w:val="24"/>
          <w:szCs w:val="24"/>
          <w:lang w:val="lv-LV"/>
        </w:rPr>
        <w:t>Lielbritānijas un Ziemeļīrijas Apvienotās Karalistes Aizsardzības ministrijas</w:t>
      </w:r>
      <w:r w:rsidR="00906A68" w:rsidRPr="00906A68">
        <w:rPr>
          <w:sz w:val="24"/>
          <w:szCs w:val="24"/>
          <w:lang w:val="lv-LV"/>
        </w:rPr>
        <w:t xml:space="preserve"> </w:t>
      </w:r>
      <w:r w:rsidR="00906A68">
        <w:rPr>
          <w:sz w:val="24"/>
          <w:szCs w:val="24"/>
          <w:lang w:val="lv-LV"/>
        </w:rPr>
        <w:t xml:space="preserve">un ASV </w:t>
      </w:r>
      <w:r w:rsidR="00A65C2A">
        <w:rPr>
          <w:sz w:val="24"/>
          <w:szCs w:val="24"/>
          <w:lang w:val="lv-LV"/>
        </w:rPr>
        <w:t xml:space="preserve">Aizsardzības </w:t>
      </w:r>
      <w:r w:rsidR="00906A68">
        <w:rPr>
          <w:sz w:val="24"/>
          <w:szCs w:val="24"/>
          <w:lang w:val="lv-LV"/>
        </w:rPr>
        <w:t>departamenta</w:t>
      </w:r>
      <w:r w:rsidR="00954BCA">
        <w:rPr>
          <w:sz w:val="24"/>
          <w:szCs w:val="24"/>
          <w:lang w:val="lv-LV"/>
        </w:rPr>
        <w:t xml:space="preserve"> </w:t>
      </w:r>
      <w:r w:rsidRPr="00906A68">
        <w:rPr>
          <w:sz w:val="24"/>
          <w:szCs w:val="24"/>
          <w:lang w:val="lv-LV"/>
        </w:rPr>
        <w:t>Saprašanās memoranda par NATO Enerģētiskās drošības izcilības centra (NATO EDC) izveidošanu, administrēšanu un darbību</w:t>
      </w:r>
      <w:r w:rsidR="009C2F20" w:rsidRPr="00906A68">
        <w:rPr>
          <w:sz w:val="24"/>
          <w:szCs w:val="24"/>
          <w:lang w:val="lv-LV"/>
        </w:rPr>
        <w:t xml:space="preserve"> </w:t>
      </w:r>
      <w:r w:rsidR="0055526A" w:rsidRPr="00906A68">
        <w:rPr>
          <w:rFonts w:cs="Times New Roman"/>
          <w:sz w:val="24"/>
          <w:szCs w:val="24"/>
          <w:lang w:val="lv-LV" w:eastAsia="lv-LV" w:bidi="ar-SA"/>
        </w:rPr>
        <w:t xml:space="preserve">(turpmāk — </w:t>
      </w:r>
      <w:r w:rsidR="0045763C">
        <w:rPr>
          <w:rFonts w:cs="Times New Roman"/>
          <w:sz w:val="24"/>
          <w:szCs w:val="24"/>
          <w:lang w:val="lv-LV"/>
        </w:rPr>
        <w:t>NATO EDC darbības saparašanās memorands</w:t>
      </w:r>
      <w:r w:rsidR="0055526A" w:rsidRPr="00906A68">
        <w:rPr>
          <w:rFonts w:cs="Times New Roman"/>
          <w:sz w:val="24"/>
          <w:szCs w:val="24"/>
          <w:lang w:val="lv-LV" w:eastAsia="lv-LV" w:bidi="ar-SA"/>
        </w:rPr>
        <w:t>)</w:t>
      </w:r>
      <w:r w:rsidRPr="00906A68">
        <w:rPr>
          <w:rFonts w:cs="Times New Roman"/>
          <w:sz w:val="24"/>
          <w:szCs w:val="24"/>
          <w:lang w:val="lv-LV" w:eastAsia="lv-LV" w:bidi="ar-SA"/>
        </w:rPr>
        <w:t>, kas parakstīts 2012</w:t>
      </w:r>
      <w:r w:rsidR="00E3024C" w:rsidRPr="00906A68">
        <w:rPr>
          <w:rFonts w:cs="Times New Roman"/>
          <w:sz w:val="24"/>
          <w:szCs w:val="24"/>
          <w:lang w:val="lv-LV" w:eastAsia="lv-LV" w:bidi="ar-SA"/>
        </w:rPr>
        <w:t>.</w:t>
      </w:r>
      <w:r w:rsidR="00954BCA">
        <w:rPr>
          <w:rFonts w:cs="Times New Roman"/>
          <w:sz w:val="24"/>
          <w:szCs w:val="24"/>
          <w:lang w:val="lv-LV" w:eastAsia="lv-LV" w:bidi="ar-SA"/>
        </w:rPr>
        <w:t> </w:t>
      </w:r>
      <w:r w:rsidR="00E3024C" w:rsidRPr="00906A68">
        <w:rPr>
          <w:rFonts w:cs="Times New Roman"/>
          <w:sz w:val="24"/>
          <w:szCs w:val="24"/>
          <w:lang w:val="lv-LV" w:eastAsia="lv-LV" w:bidi="ar-SA"/>
        </w:rPr>
        <w:t xml:space="preserve">gada </w:t>
      </w:r>
      <w:r w:rsidRPr="00906A68">
        <w:rPr>
          <w:rFonts w:cs="Times New Roman"/>
          <w:sz w:val="24"/>
          <w:szCs w:val="24"/>
          <w:lang w:val="lv-LV" w:eastAsia="lv-LV" w:bidi="ar-SA"/>
        </w:rPr>
        <w:t>1</w:t>
      </w:r>
      <w:r w:rsidR="00954BCA">
        <w:rPr>
          <w:rFonts w:cs="Times New Roman"/>
          <w:sz w:val="24"/>
          <w:szCs w:val="24"/>
          <w:lang w:val="lv-LV" w:eastAsia="lv-LV" w:bidi="ar-SA"/>
        </w:rPr>
        <w:t>0</w:t>
      </w:r>
      <w:r w:rsidR="00E3024C" w:rsidRPr="00906A68">
        <w:rPr>
          <w:rFonts w:cs="Times New Roman"/>
          <w:sz w:val="24"/>
          <w:szCs w:val="24"/>
          <w:lang w:val="lv-LV" w:eastAsia="lv-LV" w:bidi="ar-SA"/>
        </w:rPr>
        <w:t>.</w:t>
      </w:r>
      <w:r w:rsidR="00954BCA">
        <w:rPr>
          <w:rFonts w:cs="Times New Roman"/>
          <w:sz w:val="24"/>
          <w:szCs w:val="24"/>
          <w:lang w:val="lv-LV" w:eastAsia="lv-LV" w:bidi="ar-SA"/>
        </w:rPr>
        <w:t> </w:t>
      </w:r>
      <w:r w:rsidR="00E3024C" w:rsidRPr="00906A68">
        <w:rPr>
          <w:rFonts w:cs="Times New Roman"/>
          <w:sz w:val="24"/>
          <w:szCs w:val="24"/>
          <w:lang w:val="lv-LV" w:eastAsia="lv-LV" w:bidi="ar-SA"/>
        </w:rPr>
        <w:t>jūlijā,</w:t>
      </w:r>
      <w:r w:rsidR="008544AA" w:rsidRPr="00906A68">
        <w:rPr>
          <w:rFonts w:cs="Times New Roman"/>
          <w:sz w:val="24"/>
          <w:szCs w:val="24"/>
          <w:lang w:val="lv-LV" w:eastAsia="lv-LV" w:bidi="ar-SA"/>
        </w:rPr>
        <w:t xml:space="preserve"> D</w:t>
      </w:r>
      <w:r w:rsidR="00E3024C" w:rsidRPr="00906A68">
        <w:rPr>
          <w:rFonts w:cs="Times New Roman"/>
          <w:sz w:val="24"/>
          <w:szCs w:val="24"/>
          <w:lang w:val="lv-LV" w:eastAsia="lv-LV" w:bidi="ar-SA"/>
        </w:rPr>
        <w:t xml:space="preserve">alībnieki </w:t>
      </w:r>
      <w:r w:rsidRPr="00906A68">
        <w:rPr>
          <w:rFonts w:cs="Times New Roman"/>
          <w:sz w:val="24"/>
          <w:szCs w:val="24"/>
          <w:lang w:val="lv-LV"/>
        </w:rPr>
        <w:t xml:space="preserve">ir </w:t>
      </w:r>
      <w:r w:rsidRPr="00B42F5A">
        <w:rPr>
          <w:rFonts w:cs="Times New Roman"/>
          <w:sz w:val="24"/>
          <w:szCs w:val="24"/>
          <w:lang w:val="lv-LV"/>
        </w:rPr>
        <w:t xml:space="preserve">nolēmuši </w:t>
      </w:r>
      <w:r w:rsidR="000707D9">
        <w:rPr>
          <w:rFonts w:cs="Times New Roman"/>
          <w:sz w:val="24"/>
          <w:szCs w:val="24"/>
          <w:lang w:val="lv-LV" w:eastAsia="lv-LV" w:bidi="ar-SA"/>
        </w:rPr>
        <w:t xml:space="preserve"> </w:t>
      </w:r>
      <w:r w:rsidR="000707D9">
        <w:rPr>
          <w:rFonts w:cs="Times New Roman"/>
          <w:sz w:val="24"/>
          <w:szCs w:val="24"/>
          <w:lang w:val="lv-LV"/>
        </w:rPr>
        <w:t xml:space="preserve">pārskatīt </w:t>
      </w:r>
      <w:r w:rsidR="00B42F5A" w:rsidRPr="00B42F5A">
        <w:rPr>
          <w:rFonts w:cs="Times New Roman"/>
          <w:sz w:val="24"/>
          <w:szCs w:val="24"/>
          <w:lang w:val="lv-LV" w:eastAsia="lv-LV" w:bidi="ar-SA"/>
        </w:rPr>
        <w:t xml:space="preserve"> </w:t>
      </w:r>
      <w:r w:rsidR="00787080">
        <w:rPr>
          <w:rFonts w:cs="Times New Roman"/>
          <w:sz w:val="24"/>
          <w:szCs w:val="24"/>
          <w:lang w:val="lv-LV"/>
        </w:rPr>
        <w:t>NATO EDC darbības sap</w:t>
      </w:r>
      <w:bookmarkStart w:id="2" w:name="_GoBack"/>
      <w:bookmarkEnd w:id="2"/>
      <w:r w:rsidR="0045763C">
        <w:rPr>
          <w:rFonts w:cs="Times New Roman"/>
          <w:sz w:val="24"/>
          <w:szCs w:val="24"/>
          <w:lang w:val="lv-LV"/>
        </w:rPr>
        <w:t>rašanās memorandu</w:t>
      </w:r>
      <w:r w:rsidR="0045763C" w:rsidRPr="00B42F5A" w:rsidDel="0045763C">
        <w:rPr>
          <w:rFonts w:cs="Times New Roman"/>
          <w:sz w:val="24"/>
          <w:szCs w:val="24"/>
          <w:lang w:val="lv-LV" w:eastAsia="lv-LV" w:bidi="ar-SA"/>
        </w:rPr>
        <w:t xml:space="preserve"> </w:t>
      </w:r>
      <w:r w:rsidR="00E3024C" w:rsidRPr="00B42F5A">
        <w:rPr>
          <w:rFonts w:cs="Times New Roman"/>
          <w:sz w:val="24"/>
          <w:szCs w:val="24"/>
          <w:lang w:val="lv-LV" w:eastAsia="lv-LV" w:bidi="ar-SA"/>
        </w:rPr>
        <w:t>saska</w:t>
      </w:r>
      <w:r w:rsidR="00E3024C" w:rsidRPr="00E3024C">
        <w:rPr>
          <w:rFonts w:cs="Times New Roman"/>
          <w:sz w:val="24"/>
          <w:szCs w:val="24"/>
          <w:lang w:val="lv-LV" w:eastAsia="lv-LV" w:bidi="ar-SA"/>
        </w:rPr>
        <w:t>ņā ar tā 18.</w:t>
      </w:r>
      <w:r w:rsidR="003E6541">
        <w:rPr>
          <w:rFonts w:cs="Times New Roman"/>
          <w:sz w:val="24"/>
          <w:szCs w:val="24"/>
          <w:lang w:val="lv-LV" w:eastAsia="lv-LV" w:bidi="ar-SA"/>
        </w:rPr>
        <w:t> </w:t>
      </w:r>
      <w:r w:rsidR="00E3024C" w:rsidRPr="00E3024C">
        <w:rPr>
          <w:rFonts w:cs="Times New Roman"/>
          <w:sz w:val="24"/>
          <w:szCs w:val="24"/>
          <w:lang w:val="lv-LV" w:eastAsia="lv-LV" w:bidi="ar-SA"/>
        </w:rPr>
        <w:t>panta 2.</w:t>
      </w:r>
      <w:r w:rsidR="003E6541">
        <w:rPr>
          <w:rFonts w:cs="Times New Roman"/>
          <w:sz w:val="24"/>
          <w:szCs w:val="24"/>
          <w:lang w:val="lv-LV" w:eastAsia="lv-LV" w:bidi="ar-SA"/>
        </w:rPr>
        <w:t> </w:t>
      </w:r>
      <w:r w:rsidR="00E3024C" w:rsidRPr="00E3024C">
        <w:rPr>
          <w:rFonts w:cs="Times New Roman"/>
          <w:sz w:val="24"/>
          <w:szCs w:val="24"/>
          <w:lang w:val="lv-LV" w:eastAsia="lv-LV" w:bidi="ar-SA"/>
        </w:rPr>
        <w:t>apakšpunktu</w:t>
      </w:r>
      <w:r w:rsidR="000707D9">
        <w:rPr>
          <w:rFonts w:cs="Times New Roman"/>
          <w:sz w:val="24"/>
          <w:szCs w:val="24"/>
          <w:lang w:val="lv-LV" w:eastAsia="lv-LV" w:bidi="ar-SA"/>
        </w:rPr>
        <w:t>:</w:t>
      </w:r>
    </w:p>
    <w:p w:rsidR="00B42F5A" w:rsidRPr="00B42F5A" w:rsidRDefault="00B42F5A" w:rsidP="00925FA3">
      <w:pPr>
        <w:tabs>
          <w:tab w:val="left" w:pos="-720"/>
        </w:tabs>
        <w:suppressAutoHyphens/>
        <w:jc w:val="both"/>
        <w:rPr>
          <w:spacing w:val="-3"/>
          <w:sz w:val="24"/>
          <w:szCs w:val="24"/>
          <w:lang w:val="lv-LV"/>
        </w:rPr>
      </w:pPr>
      <w:r w:rsidRPr="00B42F5A">
        <w:rPr>
          <w:spacing w:val="-3"/>
          <w:sz w:val="24"/>
          <w:szCs w:val="24"/>
          <w:lang w:val="lv-LV"/>
        </w:rPr>
        <w:t>1. Papildināt IX sadaļu ar 9.6. </w:t>
      </w:r>
      <w:r w:rsidR="00792791">
        <w:rPr>
          <w:spacing w:val="-3"/>
          <w:sz w:val="24"/>
          <w:szCs w:val="24"/>
          <w:lang w:val="lv-LV"/>
        </w:rPr>
        <w:t>apakš</w:t>
      </w:r>
      <w:r w:rsidRPr="00B42F5A">
        <w:rPr>
          <w:spacing w:val="-3"/>
          <w:sz w:val="24"/>
          <w:szCs w:val="24"/>
          <w:lang w:val="lv-LV"/>
        </w:rPr>
        <w:t>punktu šādā redakcijā:</w:t>
      </w:r>
    </w:p>
    <w:p w:rsidR="00B42F5A" w:rsidRPr="00B42F5A" w:rsidRDefault="00B42F5A" w:rsidP="00925FA3">
      <w:pPr>
        <w:tabs>
          <w:tab w:val="left" w:pos="-720"/>
        </w:tabs>
        <w:suppressAutoHyphens/>
        <w:jc w:val="both"/>
        <w:rPr>
          <w:spacing w:val="-3"/>
          <w:lang w:val="lv-LV"/>
        </w:rPr>
      </w:pPr>
    </w:p>
    <w:p w:rsidR="00B42F5A" w:rsidRPr="00B01D6B" w:rsidRDefault="00B42F5A" w:rsidP="00925FA3">
      <w:pPr>
        <w:tabs>
          <w:tab w:val="left" w:pos="-720"/>
        </w:tabs>
        <w:suppressAutoHyphens/>
        <w:jc w:val="both"/>
        <w:rPr>
          <w:spacing w:val="-3"/>
          <w:sz w:val="24"/>
          <w:szCs w:val="24"/>
          <w:lang w:val="lv-LV"/>
        </w:rPr>
      </w:pPr>
      <w:r w:rsidRPr="00B01D6B">
        <w:rPr>
          <w:spacing w:val="-3"/>
          <w:sz w:val="24"/>
          <w:szCs w:val="24"/>
          <w:lang w:val="lv-LV"/>
        </w:rPr>
        <w:t xml:space="preserve">“9.6. Pēc </w:t>
      </w:r>
      <w:r w:rsidR="0045763C">
        <w:rPr>
          <w:spacing w:val="-3"/>
          <w:sz w:val="24"/>
          <w:szCs w:val="24"/>
          <w:lang w:val="lv-LV"/>
        </w:rPr>
        <w:t>Koordinācijas Komitejas</w:t>
      </w:r>
      <w:r w:rsidRPr="00B01D6B">
        <w:rPr>
          <w:spacing w:val="-3"/>
          <w:sz w:val="24"/>
          <w:szCs w:val="24"/>
          <w:lang w:val="lv-LV"/>
        </w:rPr>
        <w:t xml:space="preserve"> (</w:t>
      </w:r>
      <w:r w:rsidR="0045763C">
        <w:rPr>
          <w:spacing w:val="-3"/>
          <w:sz w:val="24"/>
          <w:szCs w:val="24"/>
          <w:lang w:val="lv-LV"/>
        </w:rPr>
        <w:t>KK</w:t>
      </w:r>
      <w:r w:rsidRPr="00B01D6B">
        <w:rPr>
          <w:spacing w:val="-3"/>
          <w:sz w:val="24"/>
          <w:szCs w:val="24"/>
          <w:lang w:val="lv-LV"/>
        </w:rPr>
        <w:t xml:space="preserve">) pieprasījuma un pamatojoties uz pieejamību, </w:t>
      </w:r>
      <w:r w:rsidR="0045763C">
        <w:rPr>
          <w:spacing w:val="-3"/>
          <w:sz w:val="24"/>
          <w:szCs w:val="24"/>
          <w:lang w:val="lv-LV"/>
        </w:rPr>
        <w:t xml:space="preserve">Ietvara valsts </w:t>
      </w:r>
      <w:r w:rsidR="00B01D6B" w:rsidRPr="00B01D6B">
        <w:rPr>
          <w:spacing w:val="-3"/>
          <w:sz w:val="24"/>
          <w:szCs w:val="24"/>
          <w:lang w:val="lv-LV"/>
        </w:rPr>
        <w:t>(</w:t>
      </w:r>
      <w:r w:rsidR="0045763C">
        <w:rPr>
          <w:spacing w:val="-3"/>
          <w:sz w:val="24"/>
          <w:szCs w:val="24"/>
          <w:lang w:val="lv-LV"/>
        </w:rPr>
        <w:t>IV</w:t>
      </w:r>
      <w:r w:rsidR="00B01D6B" w:rsidRPr="00B01D6B">
        <w:rPr>
          <w:spacing w:val="-3"/>
          <w:sz w:val="24"/>
          <w:szCs w:val="24"/>
          <w:lang w:val="lv-LV"/>
        </w:rPr>
        <w:t>) var sniegt papildu finansējumu, lai segtu iz</w:t>
      </w:r>
      <w:r w:rsidR="003E6541">
        <w:rPr>
          <w:spacing w:val="-3"/>
          <w:sz w:val="24"/>
          <w:szCs w:val="24"/>
          <w:lang w:val="lv-LV"/>
        </w:rPr>
        <w:t>maksa</w:t>
      </w:r>
      <w:r w:rsidR="00B01D6B" w:rsidRPr="00B01D6B">
        <w:rPr>
          <w:spacing w:val="-3"/>
          <w:sz w:val="24"/>
          <w:szCs w:val="24"/>
          <w:lang w:val="lv-LV"/>
        </w:rPr>
        <w:t>s, kas izklāst</w:t>
      </w:r>
      <w:r w:rsidR="003E6541">
        <w:rPr>
          <w:spacing w:val="-3"/>
          <w:sz w:val="24"/>
          <w:szCs w:val="24"/>
          <w:lang w:val="lv-LV"/>
        </w:rPr>
        <w:t>ītas</w:t>
      </w:r>
      <w:r w:rsidR="00B01D6B" w:rsidRPr="00B01D6B">
        <w:rPr>
          <w:spacing w:val="-3"/>
          <w:sz w:val="24"/>
          <w:szCs w:val="24"/>
          <w:lang w:val="lv-LV"/>
        </w:rPr>
        <w:t xml:space="preserve"> E pielikumā un ir nepieciešam</w:t>
      </w:r>
      <w:r w:rsidR="003E6541">
        <w:rPr>
          <w:spacing w:val="-3"/>
          <w:sz w:val="24"/>
          <w:szCs w:val="24"/>
          <w:lang w:val="lv-LV"/>
        </w:rPr>
        <w:t>as</w:t>
      </w:r>
      <w:r w:rsidR="00B01D6B" w:rsidRPr="00B01D6B">
        <w:rPr>
          <w:spacing w:val="-3"/>
          <w:sz w:val="24"/>
          <w:szCs w:val="24"/>
          <w:lang w:val="lv-LV"/>
        </w:rPr>
        <w:t>, lai izpildītu Darb</w:t>
      </w:r>
      <w:r w:rsidR="0045763C">
        <w:rPr>
          <w:spacing w:val="-3"/>
          <w:sz w:val="24"/>
          <w:szCs w:val="24"/>
          <w:lang w:val="lv-LV"/>
        </w:rPr>
        <w:t xml:space="preserve">ības programmu </w:t>
      </w:r>
      <w:r w:rsidR="00B01D6B" w:rsidRPr="00B01D6B">
        <w:rPr>
          <w:spacing w:val="-3"/>
          <w:sz w:val="24"/>
          <w:szCs w:val="24"/>
          <w:lang w:val="lv-LV"/>
        </w:rPr>
        <w:t>(</w:t>
      </w:r>
      <w:r w:rsidR="0045763C">
        <w:rPr>
          <w:spacing w:val="-3"/>
          <w:sz w:val="24"/>
          <w:szCs w:val="24"/>
          <w:lang w:val="lv-LV"/>
        </w:rPr>
        <w:t>DP</w:t>
      </w:r>
      <w:r w:rsidR="00B01D6B" w:rsidRPr="00B01D6B">
        <w:rPr>
          <w:spacing w:val="-3"/>
          <w:sz w:val="24"/>
          <w:szCs w:val="24"/>
          <w:lang w:val="lv-LV"/>
        </w:rPr>
        <w:t>)</w:t>
      </w:r>
      <w:r w:rsidRPr="00B01D6B">
        <w:rPr>
          <w:spacing w:val="-3"/>
          <w:sz w:val="24"/>
          <w:szCs w:val="24"/>
          <w:lang w:val="lv-LV"/>
        </w:rPr>
        <w:t xml:space="preserve">. </w:t>
      </w:r>
      <w:r w:rsidR="00B01D6B" w:rsidRPr="00B01D6B">
        <w:rPr>
          <w:spacing w:val="-3"/>
          <w:sz w:val="24"/>
          <w:szCs w:val="24"/>
          <w:lang w:val="lv-LV"/>
        </w:rPr>
        <w:t xml:space="preserve">Šis </w:t>
      </w:r>
      <w:r w:rsidR="0045763C">
        <w:rPr>
          <w:spacing w:val="-3"/>
          <w:sz w:val="24"/>
          <w:szCs w:val="24"/>
          <w:lang w:val="lv-LV"/>
        </w:rPr>
        <w:t>IV</w:t>
      </w:r>
      <w:r w:rsidR="0045763C" w:rsidRPr="00B01D6B">
        <w:rPr>
          <w:spacing w:val="-3"/>
          <w:sz w:val="24"/>
          <w:szCs w:val="24"/>
          <w:lang w:val="lv-LV"/>
        </w:rPr>
        <w:t xml:space="preserve"> </w:t>
      </w:r>
      <w:r w:rsidR="00B01D6B" w:rsidRPr="00B01D6B">
        <w:rPr>
          <w:spacing w:val="-3"/>
          <w:sz w:val="24"/>
          <w:szCs w:val="24"/>
          <w:lang w:val="lv-LV"/>
        </w:rPr>
        <w:t xml:space="preserve">sniegtais papildu finansējums </w:t>
      </w:r>
      <w:r w:rsidR="00954BCA">
        <w:rPr>
          <w:spacing w:val="-3"/>
          <w:sz w:val="24"/>
          <w:szCs w:val="24"/>
          <w:lang w:val="lv-LV"/>
        </w:rPr>
        <w:t xml:space="preserve">tiktu ieskaitīts </w:t>
      </w:r>
      <w:r w:rsidR="0045763C">
        <w:rPr>
          <w:spacing w:val="-3"/>
          <w:sz w:val="24"/>
          <w:szCs w:val="24"/>
          <w:lang w:val="lv-LV"/>
        </w:rPr>
        <w:t xml:space="preserve">EDC </w:t>
      </w:r>
      <w:r w:rsidR="00954BCA">
        <w:rPr>
          <w:spacing w:val="-3"/>
          <w:sz w:val="24"/>
          <w:szCs w:val="24"/>
          <w:lang w:val="lv-LV"/>
        </w:rPr>
        <w:t xml:space="preserve">budžetā, bet </w:t>
      </w:r>
      <w:r w:rsidR="00B01D6B" w:rsidRPr="00B01D6B">
        <w:rPr>
          <w:spacing w:val="-3"/>
          <w:sz w:val="24"/>
          <w:szCs w:val="24"/>
          <w:lang w:val="lv-LV"/>
        </w:rPr>
        <w:t xml:space="preserve">nepalielina kopējo </w:t>
      </w:r>
      <w:r w:rsidR="00954BCA">
        <w:rPr>
          <w:spacing w:val="-3"/>
          <w:sz w:val="24"/>
          <w:szCs w:val="24"/>
          <w:lang w:val="lv-LV"/>
        </w:rPr>
        <w:t xml:space="preserve">iemaksu daļu, ko </w:t>
      </w:r>
      <w:r w:rsidR="0015748C">
        <w:rPr>
          <w:spacing w:val="-3"/>
          <w:sz w:val="24"/>
          <w:szCs w:val="24"/>
          <w:lang w:val="lv-LV"/>
        </w:rPr>
        <w:t xml:space="preserve">EDC </w:t>
      </w:r>
      <w:r w:rsidR="00954BCA">
        <w:rPr>
          <w:spacing w:val="-3"/>
          <w:sz w:val="24"/>
          <w:szCs w:val="24"/>
          <w:lang w:val="lv-LV"/>
        </w:rPr>
        <w:t>budžetā iemaksā Sponsorējošās valstis</w:t>
      </w:r>
      <w:r w:rsidRPr="00B01D6B">
        <w:rPr>
          <w:spacing w:val="-3"/>
          <w:sz w:val="24"/>
          <w:szCs w:val="24"/>
          <w:lang w:val="lv-LV"/>
        </w:rPr>
        <w:t xml:space="preserve">”. </w:t>
      </w:r>
    </w:p>
    <w:p w:rsidR="00B42F5A" w:rsidRPr="003E6541" w:rsidRDefault="00B42F5A" w:rsidP="00925FA3">
      <w:pPr>
        <w:jc w:val="both"/>
        <w:rPr>
          <w:sz w:val="24"/>
          <w:szCs w:val="24"/>
          <w:lang w:val="lv-LV"/>
        </w:rPr>
      </w:pPr>
    </w:p>
    <w:p w:rsidR="00A61340" w:rsidRDefault="00B42F5A" w:rsidP="00925FA3">
      <w:pPr>
        <w:jc w:val="both"/>
        <w:rPr>
          <w:sz w:val="24"/>
          <w:szCs w:val="24"/>
          <w:lang w:val="lv-LV"/>
        </w:rPr>
      </w:pPr>
      <w:r w:rsidRPr="003E6541">
        <w:rPr>
          <w:sz w:val="24"/>
          <w:szCs w:val="24"/>
          <w:lang w:val="lv-LV"/>
        </w:rPr>
        <w:t xml:space="preserve">2. </w:t>
      </w:r>
      <w:r w:rsidR="00C91058">
        <w:rPr>
          <w:sz w:val="24"/>
          <w:szCs w:val="24"/>
          <w:lang w:val="lv-LV"/>
        </w:rPr>
        <w:t xml:space="preserve">Pārskatīt </w:t>
      </w:r>
      <w:r w:rsidR="00456773">
        <w:rPr>
          <w:sz w:val="24"/>
          <w:szCs w:val="24"/>
          <w:lang w:val="lv-LV"/>
        </w:rPr>
        <w:t xml:space="preserve">C pielikuma 3. d. </w:t>
      </w:r>
      <w:r w:rsidR="00792791">
        <w:rPr>
          <w:sz w:val="24"/>
          <w:szCs w:val="24"/>
          <w:lang w:val="lv-LV"/>
        </w:rPr>
        <w:t xml:space="preserve">punktu </w:t>
      </w:r>
      <w:r w:rsidR="00A61340">
        <w:rPr>
          <w:sz w:val="24"/>
          <w:szCs w:val="24"/>
          <w:lang w:val="lv-LV"/>
        </w:rPr>
        <w:t>šādā redakcijā:</w:t>
      </w:r>
    </w:p>
    <w:p w:rsidR="00A61340" w:rsidRDefault="00A61340" w:rsidP="00925FA3">
      <w:pPr>
        <w:jc w:val="both"/>
        <w:rPr>
          <w:sz w:val="24"/>
          <w:szCs w:val="24"/>
          <w:lang w:val="lv-LV"/>
        </w:rPr>
      </w:pPr>
    </w:p>
    <w:p w:rsidR="00A61340" w:rsidRDefault="00A61340" w:rsidP="00925FA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“</w:t>
      </w:r>
      <w:r w:rsidR="00B2065B">
        <w:rPr>
          <w:sz w:val="24"/>
          <w:szCs w:val="24"/>
          <w:lang w:val="lv-LV"/>
        </w:rPr>
        <w:t>īstenot tādus nesaistošus sadarbības pasākumus</w:t>
      </w:r>
      <w:r w:rsidR="006B547E">
        <w:rPr>
          <w:sz w:val="24"/>
          <w:szCs w:val="24"/>
          <w:lang w:val="lv-LV"/>
        </w:rPr>
        <w:t xml:space="preserve">, kas nerada ietekmi uz Centra </w:t>
      </w:r>
      <w:r w:rsidR="0015748C">
        <w:rPr>
          <w:sz w:val="24"/>
          <w:szCs w:val="24"/>
          <w:lang w:val="lv-LV"/>
        </w:rPr>
        <w:t>DP</w:t>
      </w:r>
      <w:r w:rsidR="006B547E">
        <w:rPr>
          <w:sz w:val="24"/>
          <w:szCs w:val="24"/>
          <w:lang w:val="lv-LV"/>
        </w:rPr>
        <w:t xml:space="preserve"> vai budžetu (atbilstoši </w:t>
      </w:r>
      <w:r w:rsidR="0015748C">
        <w:rPr>
          <w:sz w:val="24"/>
          <w:szCs w:val="24"/>
          <w:lang w:val="lv-LV"/>
        </w:rPr>
        <w:t>KK</w:t>
      </w:r>
      <w:r w:rsidR="006B547E">
        <w:rPr>
          <w:sz w:val="24"/>
          <w:szCs w:val="24"/>
          <w:lang w:val="lv-LV"/>
        </w:rPr>
        <w:t xml:space="preserve"> atskaitēm), </w:t>
      </w:r>
      <w:r w:rsidR="00184D32" w:rsidRPr="00A340D5">
        <w:rPr>
          <w:sz w:val="24"/>
          <w:szCs w:val="24"/>
          <w:lang w:val="lv-LV"/>
        </w:rPr>
        <w:t xml:space="preserve">ar NATO dalībvalstu vai </w:t>
      </w:r>
      <w:r w:rsidR="00B2065B" w:rsidRPr="00A340D5">
        <w:rPr>
          <w:sz w:val="24"/>
          <w:szCs w:val="24"/>
          <w:lang w:val="lv-LV"/>
        </w:rPr>
        <w:t>partnervalstu</w:t>
      </w:r>
      <w:r w:rsidR="00184D32" w:rsidRPr="00A340D5">
        <w:rPr>
          <w:sz w:val="24"/>
          <w:szCs w:val="24"/>
          <w:lang w:val="lv-LV"/>
        </w:rPr>
        <w:t xml:space="preserve"> akadēmiskām institūcijām, </w:t>
      </w:r>
      <w:r w:rsidR="006B547E" w:rsidRPr="00A340D5">
        <w:rPr>
          <w:sz w:val="24"/>
          <w:szCs w:val="24"/>
          <w:lang w:val="lv-LV"/>
        </w:rPr>
        <w:t>kas nav Centra dalībvalstis”</w:t>
      </w:r>
    </w:p>
    <w:p w:rsidR="00A61340" w:rsidRDefault="00A61340" w:rsidP="00925FA3">
      <w:pPr>
        <w:jc w:val="both"/>
        <w:rPr>
          <w:sz w:val="24"/>
          <w:szCs w:val="24"/>
          <w:lang w:val="lv-LV"/>
        </w:rPr>
      </w:pPr>
    </w:p>
    <w:p w:rsidR="00B42F5A" w:rsidRPr="003E6541" w:rsidRDefault="00B2065B" w:rsidP="00925FA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3. </w:t>
      </w:r>
      <w:r w:rsidR="00AB485F">
        <w:rPr>
          <w:sz w:val="24"/>
          <w:szCs w:val="24"/>
          <w:lang w:val="lv-LV"/>
        </w:rPr>
        <w:t>D</w:t>
      </w:r>
      <w:r w:rsidR="00AB485F" w:rsidRPr="003E6541">
        <w:rPr>
          <w:sz w:val="24"/>
          <w:szCs w:val="24"/>
          <w:lang w:val="lv-LV"/>
        </w:rPr>
        <w:t xml:space="preserve">zēst </w:t>
      </w:r>
      <w:r w:rsidR="003E6541" w:rsidRPr="003E6541">
        <w:rPr>
          <w:sz w:val="24"/>
          <w:szCs w:val="24"/>
          <w:lang w:val="lv-LV"/>
        </w:rPr>
        <w:t>E pielikum</w:t>
      </w:r>
      <w:r w:rsidR="00F20FE1">
        <w:rPr>
          <w:sz w:val="24"/>
          <w:szCs w:val="24"/>
          <w:lang w:val="lv-LV"/>
        </w:rPr>
        <w:t>a</w:t>
      </w:r>
      <w:r w:rsidR="003E6541" w:rsidRPr="003E6541">
        <w:rPr>
          <w:sz w:val="24"/>
          <w:szCs w:val="24"/>
          <w:lang w:val="lv-LV"/>
        </w:rPr>
        <w:t xml:space="preserve"> </w:t>
      </w:r>
      <w:r w:rsidR="00B42F5A" w:rsidRPr="003E6541">
        <w:rPr>
          <w:sz w:val="24"/>
          <w:szCs w:val="24"/>
          <w:lang w:val="lv-LV"/>
        </w:rPr>
        <w:t>2 d.</w:t>
      </w:r>
      <w:r w:rsidR="003E6541">
        <w:rPr>
          <w:sz w:val="24"/>
          <w:szCs w:val="24"/>
          <w:lang w:val="lv-LV"/>
        </w:rPr>
        <w:t> </w:t>
      </w:r>
      <w:r w:rsidR="003E6541" w:rsidRPr="003E6541">
        <w:rPr>
          <w:sz w:val="24"/>
          <w:szCs w:val="24"/>
          <w:lang w:val="lv-LV"/>
        </w:rPr>
        <w:t>punktu</w:t>
      </w:r>
      <w:r w:rsidR="00B42F5A" w:rsidRPr="003E6541">
        <w:rPr>
          <w:sz w:val="24"/>
          <w:szCs w:val="24"/>
          <w:lang w:val="lv-LV"/>
        </w:rPr>
        <w:t>.</w:t>
      </w:r>
      <w:r w:rsidR="00B01D6B" w:rsidRPr="003E6541">
        <w:rPr>
          <w:sz w:val="24"/>
          <w:szCs w:val="24"/>
          <w:lang w:val="lv-LV"/>
        </w:rPr>
        <w:t xml:space="preserve"> </w:t>
      </w:r>
    </w:p>
    <w:p w:rsidR="00B42F5A" w:rsidRPr="00906A68" w:rsidRDefault="00B42F5A" w:rsidP="00925FA3">
      <w:pPr>
        <w:jc w:val="both"/>
        <w:rPr>
          <w:sz w:val="24"/>
          <w:szCs w:val="24"/>
          <w:lang w:val="lv-LV"/>
        </w:rPr>
      </w:pPr>
    </w:p>
    <w:p w:rsidR="00B42F5A" w:rsidRPr="00906A68" w:rsidRDefault="00B2065B" w:rsidP="00925FA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</w:t>
      </w:r>
      <w:r w:rsidR="00B42F5A" w:rsidRPr="00906A68">
        <w:rPr>
          <w:sz w:val="24"/>
          <w:szCs w:val="24"/>
          <w:lang w:val="lv-LV"/>
        </w:rPr>
        <w:t xml:space="preserve">. </w:t>
      </w:r>
      <w:r w:rsidR="00AB485F" w:rsidRPr="00906A68">
        <w:rPr>
          <w:sz w:val="24"/>
          <w:szCs w:val="24"/>
          <w:lang w:val="lv-LV"/>
        </w:rPr>
        <w:t xml:space="preserve">Iekļaut </w:t>
      </w:r>
      <w:r w:rsidR="003E6541" w:rsidRPr="00906A68">
        <w:rPr>
          <w:sz w:val="24"/>
          <w:szCs w:val="24"/>
          <w:lang w:val="lv-LV"/>
        </w:rPr>
        <w:t>E pielikumā jaunu</w:t>
      </w:r>
      <w:r w:rsidR="00B42F5A" w:rsidRPr="00906A68">
        <w:rPr>
          <w:sz w:val="24"/>
          <w:szCs w:val="24"/>
          <w:lang w:val="lv-LV"/>
        </w:rPr>
        <w:t xml:space="preserve"> 3</w:t>
      </w:r>
      <w:r w:rsidR="003E6541" w:rsidRPr="00906A68">
        <w:rPr>
          <w:sz w:val="24"/>
          <w:szCs w:val="24"/>
          <w:lang w:val="lv-LV"/>
        </w:rPr>
        <w:t>. punktu šādā redakcijā</w:t>
      </w:r>
      <w:r w:rsidR="00B42F5A" w:rsidRPr="00906A68">
        <w:rPr>
          <w:sz w:val="24"/>
          <w:szCs w:val="24"/>
          <w:lang w:val="lv-LV"/>
        </w:rPr>
        <w:t>:</w:t>
      </w:r>
    </w:p>
    <w:p w:rsidR="00B42F5A" w:rsidRPr="00906A68" w:rsidRDefault="00B42F5A" w:rsidP="00925FA3">
      <w:pPr>
        <w:jc w:val="both"/>
        <w:rPr>
          <w:lang w:val="lv-LV"/>
        </w:rPr>
      </w:pPr>
    </w:p>
    <w:p w:rsidR="00B42F5A" w:rsidRPr="00906A68" w:rsidRDefault="00B42F5A" w:rsidP="00925FA3">
      <w:pPr>
        <w:jc w:val="both"/>
        <w:rPr>
          <w:rFonts w:cs="Times New Roman"/>
          <w:sz w:val="24"/>
          <w:szCs w:val="24"/>
          <w:lang w:val="lv-LV"/>
        </w:rPr>
      </w:pPr>
      <w:r w:rsidRPr="00906A68">
        <w:rPr>
          <w:rFonts w:cs="Times New Roman"/>
          <w:sz w:val="24"/>
          <w:szCs w:val="24"/>
          <w:lang w:val="lv-LV"/>
        </w:rPr>
        <w:t xml:space="preserve">“ 3. </w:t>
      </w:r>
      <w:r w:rsidR="003E6541" w:rsidRPr="00906A68">
        <w:rPr>
          <w:rFonts w:cs="Times New Roman"/>
          <w:sz w:val="24"/>
          <w:szCs w:val="24"/>
          <w:lang w:val="lv-LV"/>
        </w:rPr>
        <w:t xml:space="preserve">Ar </w:t>
      </w:r>
      <w:r w:rsidR="0015748C">
        <w:rPr>
          <w:rFonts w:cs="Times New Roman"/>
          <w:sz w:val="24"/>
          <w:szCs w:val="24"/>
          <w:lang w:val="lv-LV"/>
        </w:rPr>
        <w:t>DP</w:t>
      </w:r>
      <w:r w:rsidR="0015748C" w:rsidRPr="00906A68">
        <w:rPr>
          <w:rFonts w:cs="Times New Roman"/>
          <w:sz w:val="24"/>
          <w:szCs w:val="24"/>
          <w:lang w:val="lv-LV"/>
        </w:rPr>
        <w:t xml:space="preserve"> </w:t>
      </w:r>
      <w:r w:rsidR="003E6541" w:rsidRPr="00906A68">
        <w:rPr>
          <w:rFonts w:cs="Times New Roman"/>
          <w:sz w:val="24"/>
          <w:szCs w:val="24"/>
          <w:lang w:val="lv-LV"/>
        </w:rPr>
        <w:t>saistītu projektu izdevumi</w:t>
      </w:r>
      <w:r w:rsidRPr="00906A68">
        <w:rPr>
          <w:rFonts w:cs="Times New Roman"/>
          <w:sz w:val="24"/>
          <w:szCs w:val="24"/>
          <w:lang w:val="lv-LV"/>
        </w:rPr>
        <w:t>:</w:t>
      </w:r>
    </w:p>
    <w:p w:rsidR="00B42F5A" w:rsidRPr="00906A68" w:rsidRDefault="00B42F5A" w:rsidP="00925FA3">
      <w:pPr>
        <w:ind w:firstLine="720"/>
        <w:jc w:val="both"/>
        <w:rPr>
          <w:sz w:val="24"/>
          <w:szCs w:val="24"/>
          <w:lang w:val="lv-LV"/>
        </w:rPr>
      </w:pPr>
      <w:r w:rsidRPr="00906A68">
        <w:rPr>
          <w:sz w:val="24"/>
          <w:szCs w:val="24"/>
          <w:lang w:val="lv-LV"/>
        </w:rPr>
        <w:t>a. publi</w:t>
      </w:r>
      <w:r w:rsidR="00AB485F" w:rsidRPr="00906A68">
        <w:rPr>
          <w:sz w:val="24"/>
          <w:szCs w:val="24"/>
          <w:lang w:val="lv-LV"/>
        </w:rPr>
        <w:t>kāciju</w:t>
      </w:r>
      <w:r w:rsidRPr="00906A68">
        <w:rPr>
          <w:sz w:val="24"/>
          <w:szCs w:val="24"/>
          <w:lang w:val="lv-LV"/>
        </w:rPr>
        <w:t xml:space="preserve"> </w:t>
      </w:r>
      <w:r w:rsidR="00AB485F" w:rsidRPr="00906A68">
        <w:rPr>
          <w:sz w:val="24"/>
          <w:szCs w:val="24"/>
          <w:lang w:val="lv-LV"/>
        </w:rPr>
        <w:t>izmaksas</w:t>
      </w:r>
      <w:r w:rsidRPr="00906A68">
        <w:rPr>
          <w:sz w:val="24"/>
          <w:szCs w:val="24"/>
          <w:lang w:val="lv-LV"/>
        </w:rPr>
        <w:t>;</w:t>
      </w:r>
    </w:p>
    <w:p w:rsidR="00B42F5A" w:rsidRPr="00AB485F" w:rsidRDefault="00B42F5A" w:rsidP="00925FA3">
      <w:pPr>
        <w:ind w:firstLine="720"/>
        <w:jc w:val="both"/>
        <w:rPr>
          <w:sz w:val="24"/>
          <w:szCs w:val="24"/>
          <w:lang w:val="lv-LV"/>
        </w:rPr>
      </w:pPr>
      <w:r w:rsidRPr="00906A68">
        <w:rPr>
          <w:sz w:val="24"/>
          <w:szCs w:val="24"/>
          <w:lang w:val="lv-LV"/>
        </w:rPr>
        <w:t>b</w:t>
      </w:r>
      <w:r w:rsidR="00AB485F" w:rsidRPr="00906A68">
        <w:rPr>
          <w:sz w:val="24"/>
          <w:szCs w:val="24"/>
          <w:lang w:val="lv-LV"/>
        </w:rPr>
        <w:t>. pagaidu darbuzņēmēji</w:t>
      </w:r>
      <w:r w:rsidRPr="00AB485F">
        <w:rPr>
          <w:sz w:val="24"/>
          <w:szCs w:val="24"/>
          <w:lang w:val="lv-LV"/>
        </w:rPr>
        <w:t>;</w:t>
      </w:r>
    </w:p>
    <w:p w:rsidR="00B42F5A" w:rsidRPr="00AB485F" w:rsidRDefault="00B42F5A" w:rsidP="00925FA3">
      <w:pPr>
        <w:ind w:firstLine="720"/>
        <w:jc w:val="both"/>
        <w:rPr>
          <w:sz w:val="24"/>
          <w:szCs w:val="24"/>
          <w:lang w:val="lv-LV"/>
        </w:rPr>
      </w:pPr>
      <w:r w:rsidRPr="00AB485F">
        <w:rPr>
          <w:sz w:val="24"/>
          <w:szCs w:val="24"/>
          <w:lang w:val="lv-LV"/>
        </w:rPr>
        <w:t xml:space="preserve">c. </w:t>
      </w:r>
      <w:r w:rsidR="00AB485F" w:rsidRPr="00AB485F">
        <w:rPr>
          <w:sz w:val="24"/>
          <w:szCs w:val="24"/>
          <w:lang w:val="lv-LV"/>
        </w:rPr>
        <w:t>pētniecība un konsultācijas</w:t>
      </w:r>
      <w:r w:rsidRPr="00AB485F">
        <w:rPr>
          <w:sz w:val="24"/>
          <w:szCs w:val="24"/>
          <w:lang w:val="lv-LV"/>
        </w:rPr>
        <w:t>.”</w:t>
      </w:r>
    </w:p>
    <w:p w:rsidR="00B42F5A" w:rsidRPr="00C87211" w:rsidRDefault="00B42F5A" w:rsidP="00925FA3">
      <w:pPr>
        <w:jc w:val="both"/>
        <w:rPr>
          <w:sz w:val="24"/>
          <w:szCs w:val="24"/>
          <w:lang w:val="lv-LV"/>
        </w:rPr>
      </w:pPr>
    </w:p>
    <w:p w:rsidR="00B42F5A" w:rsidRDefault="00B2065B" w:rsidP="00925FA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</w:t>
      </w:r>
      <w:r w:rsidR="00B42F5A" w:rsidRPr="00062630">
        <w:rPr>
          <w:sz w:val="24"/>
          <w:szCs w:val="24"/>
          <w:lang w:val="lv-LV"/>
        </w:rPr>
        <w:t xml:space="preserve">. </w:t>
      </w:r>
      <w:r w:rsidR="00AB485F" w:rsidRPr="00062630">
        <w:rPr>
          <w:sz w:val="24"/>
          <w:szCs w:val="24"/>
          <w:lang w:val="lv-LV"/>
        </w:rPr>
        <w:t xml:space="preserve">Uzskatīt agrāko E pielikuma 3.un 4. punktu </w:t>
      </w:r>
      <w:r w:rsidR="00062630" w:rsidRPr="00062630">
        <w:rPr>
          <w:sz w:val="24"/>
          <w:szCs w:val="24"/>
          <w:lang w:val="lv-LV"/>
        </w:rPr>
        <w:t xml:space="preserve">attiecīgi </w:t>
      </w:r>
      <w:r w:rsidR="00AB485F" w:rsidRPr="00062630">
        <w:rPr>
          <w:sz w:val="24"/>
          <w:szCs w:val="24"/>
          <w:lang w:val="lv-LV"/>
        </w:rPr>
        <w:t xml:space="preserve">par </w:t>
      </w:r>
      <w:r w:rsidR="00062630" w:rsidRPr="00062630">
        <w:rPr>
          <w:sz w:val="24"/>
          <w:szCs w:val="24"/>
          <w:lang w:val="lv-LV"/>
        </w:rPr>
        <w:t>4.un 5.</w:t>
      </w:r>
      <w:r w:rsidR="009218BA">
        <w:rPr>
          <w:sz w:val="24"/>
          <w:szCs w:val="24"/>
          <w:lang w:val="lv-LV"/>
        </w:rPr>
        <w:t> </w:t>
      </w:r>
      <w:r w:rsidR="00062630" w:rsidRPr="00062630">
        <w:rPr>
          <w:sz w:val="24"/>
          <w:szCs w:val="24"/>
          <w:lang w:val="lv-LV"/>
        </w:rPr>
        <w:t>punkt</w:t>
      </w:r>
      <w:r w:rsidR="00062630">
        <w:rPr>
          <w:sz w:val="24"/>
          <w:szCs w:val="24"/>
          <w:lang w:val="lv-LV"/>
        </w:rPr>
        <w:t>u.</w:t>
      </w:r>
    </w:p>
    <w:p w:rsidR="00B2065B" w:rsidRDefault="00B2065B" w:rsidP="00925FA3">
      <w:pPr>
        <w:jc w:val="both"/>
        <w:rPr>
          <w:sz w:val="24"/>
          <w:szCs w:val="24"/>
          <w:lang w:val="lv-LV"/>
        </w:rPr>
      </w:pPr>
    </w:p>
    <w:p w:rsidR="00B2065B" w:rsidRDefault="00B2065B" w:rsidP="00925FA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6. </w:t>
      </w:r>
      <w:r w:rsidR="00DC6A5C">
        <w:rPr>
          <w:sz w:val="24"/>
          <w:szCs w:val="24"/>
          <w:lang w:val="lv-LV"/>
        </w:rPr>
        <w:t xml:space="preserve">Pārskatīt </w:t>
      </w:r>
      <w:r>
        <w:rPr>
          <w:sz w:val="24"/>
          <w:szCs w:val="24"/>
          <w:lang w:val="lv-LV"/>
        </w:rPr>
        <w:t xml:space="preserve">B pielikuma 7. </w:t>
      </w:r>
      <w:r w:rsidR="00792791">
        <w:rPr>
          <w:sz w:val="24"/>
          <w:szCs w:val="24"/>
          <w:lang w:val="lv-LV"/>
        </w:rPr>
        <w:t xml:space="preserve">punkta </w:t>
      </w:r>
      <w:r>
        <w:rPr>
          <w:sz w:val="24"/>
          <w:szCs w:val="24"/>
          <w:lang w:val="lv-LV"/>
        </w:rPr>
        <w:t>otro teikumu</w:t>
      </w:r>
      <w:r w:rsidR="00792791">
        <w:rPr>
          <w:sz w:val="24"/>
          <w:szCs w:val="24"/>
          <w:lang w:val="lv-LV"/>
        </w:rPr>
        <w:t>, svītrojot to un aizstājot</w:t>
      </w:r>
      <w:r>
        <w:rPr>
          <w:sz w:val="24"/>
          <w:szCs w:val="24"/>
          <w:lang w:val="lv-LV"/>
        </w:rPr>
        <w:t xml:space="preserve"> šādā redakcijā:</w:t>
      </w:r>
    </w:p>
    <w:p w:rsidR="00B2065B" w:rsidRPr="00062630" w:rsidRDefault="00B2065B" w:rsidP="00925FA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“</w:t>
      </w:r>
      <w:r w:rsidR="0015748C">
        <w:rPr>
          <w:sz w:val="24"/>
          <w:szCs w:val="24"/>
          <w:lang w:val="lv-LV"/>
        </w:rPr>
        <w:t>KK</w:t>
      </w:r>
      <w:r>
        <w:rPr>
          <w:sz w:val="24"/>
          <w:szCs w:val="24"/>
          <w:lang w:val="lv-LV"/>
        </w:rPr>
        <w:t xml:space="preserve"> lēmumus nepieņem noklusējuma saskaņojuma procedūras ietvaros.”</w:t>
      </w:r>
    </w:p>
    <w:p w:rsidR="00B42F5A" w:rsidRDefault="00B42F5A" w:rsidP="00925FA3">
      <w:pPr>
        <w:jc w:val="both"/>
        <w:rPr>
          <w:sz w:val="24"/>
          <w:szCs w:val="24"/>
          <w:lang w:val="lv-LV"/>
        </w:rPr>
      </w:pPr>
    </w:p>
    <w:p w:rsidR="00B2065B" w:rsidRDefault="00B2065B" w:rsidP="00925FA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7. </w:t>
      </w:r>
      <w:r w:rsidR="00C91058">
        <w:rPr>
          <w:sz w:val="24"/>
          <w:szCs w:val="24"/>
          <w:lang w:val="lv-LV"/>
        </w:rPr>
        <w:t>Pārskatīt</w:t>
      </w:r>
      <w:r>
        <w:rPr>
          <w:sz w:val="24"/>
          <w:szCs w:val="24"/>
          <w:lang w:val="lv-LV"/>
        </w:rPr>
        <w:t xml:space="preserve"> XIV sadaļu, pievienojot 14.8</w:t>
      </w:r>
      <w:r w:rsidR="00792791">
        <w:rPr>
          <w:sz w:val="24"/>
          <w:szCs w:val="24"/>
          <w:lang w:val="lv-LV"/>
        </w:rPr>
        <w:t>.apakšpunktu</w:t>
      </w:r>
      <w:r>
        <w:rPr>
          <w:sz w:val="24"/>
          <w:szCs w:val="24"/>
          <w:lang w:val="lv-LV"/>
        </w:rPr>
        <w:t>:</w:t>
      </w:r>
    </w:p>
    <w:p w:rsidR="00B2065B" w:rsidRDefault="00B2065B" w:rsidP="00925FA3">
      <w:pPr>
        <w:jc w:val="both"/>
        <w:rPr>
          <w:sz w:val="24"/>
          <w:szCs w:val="24"/>
          <w:lang w:val="lv-LV"/>
        </w:rPr>
      </w:pPr>
    </w:p>
    <w:p w:rsidR="00B2065B" w:rsidRPr="00906A68" w:rsidRDefault="00B2065B" w:rsidP="00925FA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“Šis Saprašanās memorands nav uzskatāms par juridiski saistošu un tas nav uzskatāms par starptautisku līgumu</w:t>
      </w:r>
      <w:r w:rsidR="002C5FBF">
        <w:rPr>
          <w:sz w:val="24"/>
          <w:szCs w:val="24"/>
          <w:lang w:val="lv-LV"/>
        </w:rPr>
        <w:t xml:space="preserve">, kā arī tas neuzliek </w:t>
      </w:r>
      <w:r w:rsidR="00792791">
        <w:rPr>
          <w:sz w:val="24"/>
          <w:szCs w:val="24"/>
          <w:lang w:val="lv-LV"/>
        </w:rPr>
        <w:t xml:space="preserve">Dalībniekiem </w:t>
      </w:r>
      <w:r w:rsidR="002C5FBF">
        <w:rPr>
          <w:sz w:val="24"/>
          <w:szCs w:val="24"/>
          <w:lang w:val="lv-LV"/>
        </w:rPr>
        <w:t>juridiskas saistības.</w:t>
      </w:r>
      <w:r>
        <w:rPr>
          <w:sz w:val="24"/>
          <w:szCs w:val="24"/>
          <w:lang w:val="lv-LV"/>
        </w:rPr>
        <w:t>”</w:t>
      </w:r>
    </w:p>
    <w:p w:rsidR="00B42F5A" w:rsidRPr="00906A68" w:rsidRDefault="00B42F5A" w:rsidP="00925FA3">
      <w:pPr>
        <w:jc w:val="both"/>
        <w:rPr>
          <w:sz w:val="24"/>
          <w:szCs w:val="24"/>
          <w:lang w:val="lv-LV"/>
        </w:rPr>
      </w:pPr>
    </w:p>
    <w:p w:rsidR="002C5FBF" w:rsidRPr="002C5FBF" w:rsidRDefault="002C5FBF" w:rsidP="00925FA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8. </w:t>
      </w:r>
      <w:r w:rsidR="00C91058">
        <w:rPr>
          <w:sz w:val="24"/>
          <w:szCs w:val="24"/>
          <w:lang w:val="lv-LV"/>
        </w:rPr>
        <w:t xml:space="preserve">Pārskatītā </w:t>
      </w:r>
      <w:r>
        <w:rPr>
          <w:sz w:val="24"/>
          <w:szCs w:val="24"/>
          <w:lang w:val="lv-LV"/>
        </w:rPr>
        <w:t xml:space="preserve">NATO EDC </w:t>
      </w:r>
      <w:r w:rsidR="0015748C">
        <w:rPr>
          <w:sz w:val="24"/>
          <w:szCs w:val="24"/>
          <w:lang w:val="lv-LV"/>
        </w:rPr>
        <w:t xml:space="preserve">darbības </w:t>
      </w:r>
      <w:r>
        <w:rPr>
          <w:sz w:val="24"/>
          <w:szCs w:val="24"/>
          <w:lang w:val="lv-LV"/>
        </w:rPr>
        <w:t>Saprašanās memoranda</w:t>
      </w:r>
      <w:r w:rsidRPr="002C5FBF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konsolidētā versija ir pievienota </w:t>
      </w:r>
      <w:r w:rsidR="00792791">
        <w:rPr>
          <w:sz w:val="24"/>
          <w:szCs w:val="24"/>
          <w:lang w:val="lv-LV"/>
        </w:rPr>
        <w:t xml:space="preserve">A </w:t>
      </w:r>
      <w:r>
        <w:rPr>
          <w:sz w:val="24"/>
          <w:szCs w:val="24"/>
          <w:lang w:val="lv-LV"/>
        </w:rPr>
        <w:t>pielikumā.</w:t>
      </w:r>
    </w:p>
    <w:p w:rsidR="002C5FBF" w:rsidRDefault="002C5FBF" w:rsidP="00925FA3">
      <w:pPr>
        <w:jc w:val="both"/>
        <w:rPr>
          <w:sz w:val="24"/>
          <w:szCs w:val="24"/>
          <w:lang w:val="lv-LV"/>
        </w:rPr>
      </w:pPr>
    </w:p>
    <w:p w:rsidR="00B42F5A" w:rsidRPr="00906A68" w:rsidRDefault="00B2065B" w:rsidP="00925FA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9</w:t>
      </w:r>
      <w:r w:rsidR="00B42F5A" w:rsidRPr="00906A68">
        <w:rPr>
          <w:sz w:val="24"/>
          <w:szCs w:val="24"/>
          <w:lang w:val="lv-LV"/>
        </w:rPr>
        <w:t xml:space="preserve">. </w:t>
      </w:r>
      <w:r w:rsidR="00062630">
        <w:rPr>
          <w:sz w:val="24"/>
          <w:szCs w:val="24"/>
          <w:lang w:val="lv-LV"/>
        </w:rPr>
        <w:t>Š</w:t>
      </w:r>
      <w:r w:rsidR="00792791">
        <w:rPr>
          <w:sz w:val="24"/>
          <w:szCs w:val="24"/>
          <w:lang w:val="lv-LV"/>
        </w:rPr>
        <w:t>ī pārskatīšana</w:t>
      </w:r>
      <w:r w:rsidR="00062630">
        <w:rPr>
          <w:sz w:val="24"/>
          <w:szCs w:val="24"/>
          <w:lang w:val="lv-LV"/>
        </w:rPr>
        <w:t xml:space="preserve"> stāsie</w:t>
      </w:r>
      <w:r w:rsidR="00062630" w:rsidRPr="006E5F21">
        <w:rPr>
          <w:sz w:val="24"/>
          <w:szCs w:val="24"/>
          <w:lang w:val="lv-LV"/>
        </w:rPr>
        <w:t>s spēkā</w:t>
      </w:r>
      <w:r w:rsidR="00062630">
        <w:rPr>
          <w:sz w:val="24"/>
          <w:szCs w:val="24"/>
          <w:lang w:val="lv-LV"/>
        </w:rPr>
        <w:t xml:space="preserve"> dienā</w:t>
      </w:r>
      <w:r w:rsidR="00062630" w:rsidRPr="00062630">
        <w:rPr>
          <w:rFonts w:cs="Times New Roman"/>
          <w:sz w:val="24"/>
          <w:szCs w:val="24"/>
          <w:lang w:val="lv-LV"/>
        </w:rPr>
        <w:t>, kad to būs parakstījis pēdējais parakstītājs</w:t>
      </w:r>
      <w:r w:rsidR="00B42F5A" w:rsidRPr="00062630">
        <w:rPr>
          <w:rFonts w:cs="Times New Roman"/>
          <w:sz w:val="24"/>
          <w:szCs w:val="24"/>
          <w:lang w:val="lv-LV"/>
        </w:rPr>
        <w:t>.</w:t>
      </w:r>
    </w:p>
    <w:p w:rsidR="00B42F5A" w:rsidRPr="00906A68" w:rsidRDefault="00B42F5A" w:rsidP="00925FA3">
      <w:pPr>
        <w:jc w:val="both"/>
        <w:rPr>
          <w:sz w:val="24"/>
          <w:szCs w:val="24"/>
          <w:lang w:val="lv-LV"/>
        </w:rPr>
      </w:pPr>
    </w:p>
    <w:p w:rsidR="00B42F5A" w:rsidRPr="00C21CBD" w:rsidRDefault="00B2065B" w:rsidP="00925FA3">
      <w:pPr>
        <w:spacing w:after="120"/>
        <w:jc w:val="both"/>
        <w:rPr>
          <w:rFonts w:cs="Times New Roman"/>
          <w:sz w:val="24"/>
          <w:szCs w:val="24"/>
          <w:lang w:val="lv-LV" w:eastAsia="lv-LV" w:bidi="ar-SA"/>
        </w:rPr>
      </w:pPr>
      <w:r>
        <w:rPr>
          <w:sz w:val="24"/>
          <w:szCs w:val="24"/>
          <w:lang w:val="lv-LV"/>
        </w:rPr>
        <w:t>10</w:t>
      </w:r>
      <w:r w:rsidR="009F52E3" w:rsidRPr="00906A68">
        <w:rPr>
          <w:sz w:val="24"/>
          <w:szCs w:val="24"/>
          <w:lang w:val="lv-LV"/>
        </w:rPr>
        <w:t xml:space="preserve">. </w:t>
      </w:r>
      <w:r w:rsidR="00BD3BDD" w:rsidRPr="009F52E3">
        <w:rPr>
          <w:rFonts w:cs="Times New Roman"/>
          <w:sz w:val="24"/>
          <w:szCs w:val="24"/>
          <w:lang w:val="lv-LV"/>
        </w:rPr>
        <w:t>Parakstīts vienā oriģinālā angļu un franču valodā</w:t>
      </w:r>
      <w:r w:rsidR="00BD3BDD" w:rsidRPr="00906A68">
        <w:rPr>
          <w:rFonts w:cs="Times New Roman"/>
          <w:sz w:val="24"/>
          <w:szCs w:val="24"/>
          <w:lang w:val="lv-LV"/>
        </w:rPr>
        <w:t>.</w:t>
      </w:r>
      <w:r w:rsidR="00BD3BDD" w:rsidRPr="00906A68">
        <w:rPr>
          <w:rFonts w:ascii="Arial" w:hAnsi="Arial" w:cs="Arial"/>
          <w:lang w:val="lv-LV"/>
        </w:rPr>
        <w:t xml:space="preserve"> </w:t>
      </w:r>
      <w:r w:rsidR="00AA6602" w:rsidRPr="00AA6602">
        <w:rPr>
          <w:rFonts w:cs="Times New Roman"/>
          <w:sz w:val="24"/>
          <w:szCs w:val="24"/>
          <w:lang w:val="lv-LV"/>
        </w:rPr>
        <w:t>Šī</w:t>
      </w:r>
      <w:r w:rsidR="00925FA3">
        <w:rPr>
          <w:rFonts w:cs="Times New Roman"/>
          <w:sz w:val="24"/>
          <w:szCs w:val="24"/>
          <w:lang w:val="lv-LV"/>
        </w:rPr>
        <w:t>s</w:t>
      </w:r>
      <w:r w:rsidR="00AA6602" w:rsidRPr="00AA6602">
        <w:rPr>
          <w:rFonts w:cs="Times New Roman"/>
          <w:sz w:val="24"/>
          <w:szCs w:val="24"/>
          <w:lang w:val="lv-LV"/>
        </w:rPr>
        <w:t xml:space="preserve"> </w:t>
      </w:r>
      <w:r w:rsidR="00792791">
        <w:rPr>
          <w:rFonts w:cs="Times New Roman"/>
          <w:sz w:val="24"/>
          <w:szCs w:val="24"/>
          <w:lang w:val="lv-LV"/>
        </w:rPr>
        <w:t xml:space="preserve">pārskatīšanas </w:t>
      </w:r>
      <w:r w:rsidR="00AA6602" w:rsidRPr="00AA6602">
        <w:rPr>
          <w:rFonts w:cs="Times New Roman"/>
          <w:sz w:val="24"/>
          <w:szCs w:val="24"/>
          <w:lang w:val="lv-LV"/>
        </w:rPr>
        <w:t xml:space="preserve">oriģināls tiek deponēts Lietuvas Republikas Nacionālās aizsardzības ministrijā, kura nodod apliecinātas </w:t>
      </w:r>
      <w:r w:rsidR="00AA6602" w:rsidRPr="00C21CBD">
        <w:rPr>
          <w:rFonts w:cs="Times New Roman"/>
          <w:sz w:val="24"/>
          <w:szCs w:val="24"/>
          <w:lang w:val="lv-LV"/>
        </w:rPr>
        <w:t xml:space="preserve">kopijas katram </w:t>
      </w:r>
      <w:r w:rsidR="0015748C">
        <w:rPr>
          <w:sz w:val="24"/>
          <w:szCs w:val="24"/>
          <w:lang w:val="lv-LV"/>
        </w:rPr>
        <w:t>NATO EDC darbības Saprašanās memoranda</w:t>
      </w:r>
      <w:r w:rsidR="0015748C" w:rsidRPr="002C5FBF">
        <w:rPr>
          <w:sz w:val="24"/>
          <w:szCs w:val="24"/>
          <w:lang w:val="lv-LV"/>
        </w:rPr>
        <w:t xml:space="preserve"> </w:t>
      </w:r>
      <w:r w:rsidR="00AA6602" w:rsidRPr="00C21CBD">
        <w:rPr>
          <w:rFonts w:cs="Times New Roman"/>
          <w:sz w:val="24"/>
          <w:szCs w:val="24"/>
          <w:lang w:val="lv-LV"/>
        </w:rPr>
        <w:t xml:space="preserve">Dalībniekam un Sabiedroto spēku Augstākās virspavēlniecības Transformācijas komandiera štābam. </w:t>
      </w:r>
    </w:p>
    <w:p w:rsidR="009F52E3" w:rsidRDefault="009F52E3" w:rsidP="003A4AAB">
      <w:pPr>
        <w:jc w:val="center"/>
        <w:rPr>
          <w:lang w:val="lv-LV"/>
        </w:rPr>
      </w:pPr>
    </w:p>
    <w:p w:rsidR="009F52E3" w:rsidRDefault="009F52E3" w:rsidP="003A4AAB">
      <w:pPr>
        <w:jc w:val="center"/>
        <w:rPr>
          <w:lang w:val="lv-LV"/>
        </w:rPr>
      </w:pPr>
    </w:p>
    <w:p w:rsidR="00EE1CCC" w:rsidRDefault="00EE1CCC" w:rsidP="00EE1CCC">
      <w:pPr>
        <w:jc w:val="right"/>
        <w:rPr>
          <w:lang w:val="lv-LV"/>
        </w:rPr>
      </w:pPr>
    </w:p>
    <w:p w:rsidR="003A4AAB" w:rsidRPr="003A4AAB" w:rsidRDefault="003A4AAB" w:rsidP="00606355">
      <w:pPr>
        <w:rPr>
          <w:rFonts w:cs="Times New Roman"/>
          <w:b/>
          <w:sz w:val="24"/>
          <w:szCs w:val="24"/>
          <w:lang w:val="lv-LV"/>
        </w:rPr>
      </w:pPr>
      <w:r w:rsidRPr="00EE1CCC">
        <w:rPr>
          <w:lang w:val="lv-LV"/>
        </w:rPr>
        <w:br w:type="page"/>
      </w:r>
      <w:r w:rsidRPr="00C860E6">
        <w:rPr>
          <w:b/>
          <w:sz w:val="24"/>
          <w:szCs w:val="24"/>
          <w:lang w:val="lv-LV"/>
        </w:rPr>
        <w:lastRenderedPageBreak/>
        <w:t>LIETUVAS REPUBLIKAS NACIONĀLĀS AIZSARDZĪBAS MINISTRIJAS</w:t>
      </w:r>
      <w:r>
        <w:rPr>
          <w:b/>
          <w:sz w:val="24"/>
          <w:szCs w:val="24"/>
          <w:lang w:val="lv-LV"/>
        </w:rPr>
        <w:t xml:space="preserve"> VĀRDĀ</w:t>
      </w:r>
    </w:p>
    <w:p w:rsidR="003A4AAB" w:rsidRPr="003A4AAB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3A4AAB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3A4AAB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3A4AAB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Paraksts</w:t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Vārds</w:t>
      </w:r>
      <w:r w:rsidR="0093461F" w:rsidRPr="006D1B13">
        <w:rPr>
          <w:rFonts w:cs="Times New Roman"/>
          <w:sz w:val="24"/>
          <w:szCs w:val="24"/>
          <w:lang w:val="lv-LV"/>
        </w:rPr>
        <w:t>, uzvārds</w:t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Amats</w:t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:rsidR="003A4AAB" w:rsidRPr="006D1B13" w:rsidRDefault="00C117BF" w:rsidP="003A4AAB">
      <w:pPr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Vieta/datums</w:t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b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br w:type="page"/>
      </w:r>
      <w:r w:rsidR="00BD3BDD" w:rsidRPr="006D1B13">
        <w:rPr>
          <w:rFonts w:cs="Times New Roman"/>
          <w:b/>
          <w:sz w:val="24"/>
          <w:szCs w:val="24"/>
          <w:lang w:val="lv-LV"/>
        </w:rPr>
        <w:lastRenderedPageBreak/>
        <w:t xml:space="preserve">IGAUNIJAS REPUBLIKAS </w:t>
      </w:r>
      <w:r w:rsidR="00F0143A">
        <w:rPr>
          <w:rFonts w:cs="Times New Roman"/>
          <w:b/>
          <w:sz w:val="24"/>
          <w:szCs w:val="24"/>
          <w:lang w:val="lv-LV"/>
        </w:rPr>
        <w:t>ĀRLIETU</w:t>
      </w:r>
      <w:r w:rsidR="00F0143A" w:rsidRPr="006D1B13">
        <w:rPr>
          <w:rFonts w:cs="Times New Roman"/>
          <w:b/>
          <w:sz w:val="24"/>
          <w:szCs w:val="24"/>
          <w:lang w:val="lv-LV"/>
        </w:rPr>
        <w:t xml:space="preserve"> </w:t>
      </w:r>
      <w:r w:rsidR="00BD3BDD" w:rsidRPr="006D1B13">
        <w:rPr>
          <w:rFonts w:cs="Times New Roman"/>
          <w:b/>
          <w:sz w:val="24"/>
          <w:szCs w:val="24"/>
          <w:lang w:val="lv-LV"/>
        </w:rPr>
        <w:t>MINISTRIJAS VĀRDĀ</w:t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Paraksts</w:t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Vārds</w:t>
      </w:r>
      <w:r w:rsidR="0093461F" w:rsidRPr="006D1B13">
        <w:rPr>
          <w:rFonts w:cs="Times New Roman"/>
          <w:sz w:val="24"/>
          <w:szCs w:val="24"/>
          <w:lang w:val="lv-LV"/>
        </w:rPr>
        <w:t>, uzvārds</w:t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Amats</w:t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:rsidR="00C117BF" w:rsidRPr="006D1B13" w:rsidRDefault="00C117BF" w:rsidP="00C117BF">
      <w:pPr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Vieta/datums</w:t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tabs>
          <w:tab w:val="left" w:pos="5760"/>
        </w:tabs>
        <w:rPr>
          <w:rFonts w:cs="Times New Roman"/>
          <w:sz w:val="24"/>
          <w:szCs w:val="24"/>
          <w:lang w:val="lv-LV"/>
        </w:rPr>
      </w:pPr>
    </w:p>
    <w:p w:rsidR="00F0143A" w:rsidRPr="00F0143A" w:rsidRDefault="003A4AAB" w:rsidP="00F0143A">
      <w:pPr>
        <w:pStyle w:val="PlainText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6D1B13">
        <w:rPr>
          <w:rFonts w:ascii="Times New Roman" w:hAnsi="Times New Roman"/>
          <w:sz w:val="24"/>
          <w:szCs w:val="24"/>
          <w:lang w:val="lv-LV"/>
        </w:rPr>
        <w:br w:type="page"/>
      </w:r>
      <w:r w:rsidR="00F0143A">
        <w:rPr>
          <w:rFonts w:ascii="Times New Roman" w:hAnsi="Times New Roman"/>
          <w:b/>
          <w:sz w:val="24"/>
          <w:szCs w:val="24"/>
          <w:lang w:val="lv-LV"/>
        </w:rPr>
        <w:lastRenderedPageBreak/>
        <w:t>VĀCIJAS FEDERĀLĀS</w:t>
      </w:r>
      <w:r w:rsidR="00D7794E">
        <w:rPr>
          <w:rFonts w:ascii="Times New Roman" w:hAnsi="Times New Roman"/>
          <w:b/>
          <w:sz w:val="24"/>
          <w:szCs w:val="24"/>
          <w:lang w:val="lv-LV"/>
        </w:rPr>
        <w:t xml:space="preserve"> REPUBLIKAS FEDERĀLĀS </w:t>
      </w:r>
      <w:r w:rsidR="00F0143A" w:rsidRPr="00F0143A">
        <w:rPr>
          <w:rFonts w:ascii="Times New Roman" w:hAnsi="Times New Roman"/>
          <w:b/>
          <w:sz w:val="24"/>
          <w:szCs w:val="24"/>
          <w:lang w:val="lv-LV"/>
        </w:rPr>
        <w:t xml:space="preserve">AIZSARDZĪBAS </w:t>
      </w:r>
      <w:r w:rsidR="00D7794E" w:rsidRPr="00F0143A">
        <w:rPr>
          <w:rFonts w:ascii="Times New Roman" w:hAnsi="Times New Roman"/>
          <w:b/>
          <w:sz w:val="24"/>
          <w:szCs w:val="24"/>
          <w:lang w:val="lv-LV"/>
        </w:rPr>
        <w:t>MINISTR</w:t>
      </w:r>
      <w:r w:rsidR="00D7794E">
        <w:rPr>
          <w:rFonts w:ascii="Times New Roman" w:hAnsi="Times New Roman"/>
          <w:b/>
          <w:sz w:val="24"/>
          <w:szCs w:val="24"/>
          <w:lang w:val="lv-LV"/>
        </w:rPr>
        <w:t>IJAS</w:t>
      </w:r>
      <w:r w:rsidR="00606355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F0143A" w:rsidRPr="00F0143A">
        <w:rPr>
          <w:rFonts w:ascii="Times New Roman" w:hAnsi="Times New Roman"/>
          <w:b/>
          <w:sz w:val="24"/>
          <w:szCs w:val="24"/>
          <w:lang w:val="lv-LV"/>
        </w:rPr>
        <w:t>VĀRDĀ</w:t>
      </w:r>
    </w:p>
    <w:p w:rsidR="00F0143A" w:rsidRPr="00F0143A" w:rsidRDefault="00F0143A" w:rsidP="00F0143A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0143A" w:rsidRPr="00F0143A" w:rsidRDefault="00F0143A" w:rsidP="00F0143A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0143A" w:rsidRPr="00F0143A" w:rsidRDefault="00F0143A" w:rsidP="00F0143A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  <w:r w:rsidRPr="00F0143A">
        <w:rPr>
          <w:rFonts w:ascii="Times New Roman" w:hAnsi="Times New Roman"/>
          <w:sz w:val="24"/>
          <w:szCs w:val="24"/>
          <w:lang w:val="lv-LV"/>
        </w:rPr>
        <w:t>________________________________</w:t>
      </w:r>
      <w:r w:rsidRPr="00F0143A">
        <w:rPr>
          <w:rFonts w:ascii="Times New Roman" w:hAnsi="Times New Roman"/>
          <w:sz w:val="24"/>
          <w:szCs w:val="24"/>
          <w:lang w:val="lv-LV"/>
        </w:rPr>
        <w:tab/>
      </w:r>
    </w:p>
    <w:p w:rsidR="00F0143A" w:rsidRPr="00F0143A" w:rsidRDefault="00F0143A" w:rsidP="00F0143A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  <w:r w:rsidRPr="00F0143A">
        <w:rPr>
          <w:rFonts w:ascii="Times New Roman" w:hAnsi="Times New Roman"/>
          <w:sz w:val="24"/>
          <w:szCs w:val="24"/>
          <w:lang w:val="lv-LV"/>
        </w:rPr>
        <w:t>Paraksts</w:t>
      </w:r>
    </w:p>
    <w:p w:rsidR="00F0143A" w:rsidRPr="00F0143A" w:rsidRDefault="00F0143A" w:rsidP="00F0143A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0143A" w:rsidRPr="00F0143A" w:rsidRDefault="00F0143A" w:rsidP="00F0143A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0143A" w:rsidRPr="00F0143A" w:rsidRDefault="00F0143A" w:rsidP="00F0143A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0143A" w:rsidRPr="00F0143A" w:rsidRDefault="00F0143A" w:rsidP="00F0143A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  <w:r w:rsidRPr="00F0143A">
        <w:rPr>
          <w:rFonts w:ascii="Times New Roman" w:hAnsi="Times New Roman"/>
          <w:sz w:val="24"/>
          <w:szCs w:val="24"/>
          <w:lang w:val="lv-LV"/>
        </w:rPr>
        <w:t>________________________________</w:t>
      </w:r>
      <w:r w:rsidRPr="00F0143A">
        <w:rPr>
          <w:rFonts w:ascii="Times New Roman" w:hAnsi="Times New Roman"/>
          <w:sz w:val="24"/>
          <w:szCs w:val="24"/>
          <w:lang w:val="lv-LV"/>
        </w:rPr>
        <w:tab/>
      </w:r>
    </w:p>
    <w:p w:rsidR="00F0143A" w:rsidRPr="00F0143A" w:rsidRDefault="00F0143A" w:rsidP="00F0143A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  <w:r w:rsidRPr="00F0143A">
        <w:rPr>
          <w:rFonts w:ascii="Times New Roman" w:hAnsi="Times New Roman"/>
          <w:sz w:val="24"/>
          <w:szCs w:val="24"/>
          <w:lang w:val="lv-LV"/>
        </w:rPr>
        <w:t>Vārds, uzvārds</w:t>
      </w:r>
    </w:p>
    <w:p w:rsidR="00F0143A" w:rsidRPr="00F0143A" w:rsidRDefault="00F0143A" w:rsidP="00F0143A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0143A" w:rsidRPr="00F0143A" w:rsidRDefault="00F0143A" w:rsidP="00F0143A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0143A" w:rsidRPr="00F0143A" w:rsidRDefault="00F0143A" w:rsidP="00F0143A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0143A" w:rsidRPr="00F0143A" w:rsidRDefault="00F0143A" w:rsidP="00F0143A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  <w:r w:rsidRPr="00F0143A">
        <w:rPr>
          <w:rFonts w:ascii="Times New Roman" w:hAnsi="Times New Roman"/>
          <w:sz w:val="24"/>
          <w:szCs w:val="24"/>
          <w:lang w:val="lv-LV"/>
        </w:rPr>
        <w:t>________________________________</w:t>
      </w:r>
      <w:r w:rsidRPr="00F0143A">
        <w:rPr>
          <w:rFonts w:ascii="Times New Roman" w:hAnsi="Times New Roman"/>
          <w:sz w:val="24"/>
          <w:szCs w:val="24"/>
          <w:lang w:val="lv-LV"/>
        </w:rPr>
        <w:tab/>
      </w:r>
    </w:p>
    <w:p w:rsidR="00F0143A" w:rsidRPr="00F0143A" w:rsidRDefault="00F0143A" w:rsidP="00F0143A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  <w:r w:rsidRPr="00F0143A">
        <w:rPr>
          <w:rFonts w:ascii="Times New Roman" w:hAnsi="Times New Roman"/>
          <w:sz w:val="24"/>
          <w:szCs w:val="24"/>
          <w:lang w:val="lv-LV"/>
        </w:rPr>
        <w:t>Amats</w:t>
      </w:r>
    </w:p>
    <w:p w:rsidR="00F0143A" w:rsidRPr="00F0143A" w:rsidRDefault="00F0143A" w:rsidP="00F0143A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0143A" w:rsidRPr="00F0143A" w:rsidRDefault="00F0143A" w:rsidP="00F0143A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0143A" w:rsidRPr="00F0143A" w:rsidRDefault="00F0143A" w:rsidP="00F0143A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0143A" w:rsidRPr="00F0143A" w:rsidRDefault="00F0143A" w:rsidP="00F0143A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  <w:r w:rsidRPr="00F0143A">
        <w:rPr>
          <w:rFonts w:ascii="Times New Roman" w:hAnsi="Times New Roman"/>
          <w:sz w:val="24"/>
          <w:szCs w:val="24"/>
          <w:lang w:val="lv-LV"/>
        </w:rPr>
        <w:t>________________________________</w:t>
      </w:r>
      <w:r w:rsidRPr="00F0143A">
        <w:rPr>
          <w:rFonts w:ascii="Times New Roman" w:hAnsi="Times New Roman"/>
          <w:sz w:val="24"/>
          <w:szCs w:val="24"/>
          <w:lang w:val="lv-LV"/>
        </w:rPr>
        <w:tab/>
      </w:r>
    </w:p>
    <w:p w:rsidR="00C117BF" w:rsidRPr="006D1B13" w:rsidRDefault="00C117BF" w:rsidP="00C117BF">
      <w:pPr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Vieta/datums</w:t>
      </w:r>
    </w:p>
    <w:p w:rsidR="00F0143A" w:rsidRDefault="00F0143A">
      <w:pPr>
        <w:rPr>
          <w:rFonts w:cs="Times New Roman"/>
          <w:b/>
          <w:snapToGrid w:val="0"/>
          <w:sz w:val="24"/>
          <w:szCs w:val="24"/>
          <w:lang w:val="lv-LV" w:bidi="ar-SA"/>
        </w:rPr>
      </w:pPr>
      <w:r>
        <w:rPr>
          <w:b/>
          <w:sz w:val="24"/>
          <w:szCs w:val="24"/>
          <w:lang w:val="lv-LV"/>
        </w:rPr>
        <w:br w:type="page"/>
      </w:r>
    </w:p>
    <w:p w:rsidR="003A4AAB" w:rsidRPr="006D1B13" w:rsidRDefault="004B183F" w:rsidP="003A4AAB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  <w:r w:rsidRPr="006D1B13">
        <w:rPr>
          <w:rFonts w:ascii="Times New Roman" w:hAnsi="Times New Roman"/>
          <w:b/>
          <w:sz w:val="24"/>
          <w:szCs w:val="24"/>
          <w:lang w:val="lv-LV"/>
        </w:rPr>
        <w:lastRenderedPageBreak/>
        <w:t xml:space="preserve">FRANCIJAS REPUBLIKAS </w:t>
      </w:r>
      <w:r w:rsidR="00F0143A">
        <w:rPr>
          <w:rFonts w:ascii="Times New Roman" w:hAnsi="Times New Roman"/>
          <w:b/>
          <w:sz w:val="24"/>
          <w:szCs w:val="24"/>
          <w:lang w:val="lv-LV"/>
        </w:rPr>
        <w:t>BRUŅOTO SPĒKU</w:t>
      </w:r>
      <w:r w:rsidR="00F0143A" w:rsidRPr="006D1B13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6D1B13">
        <w:rPr>
          <w:rFonts w:ascii="Times New Roman" w:hAnsi="Times New Roman"/>
          <w:b/>
          <w:sz w:val="24"/>
          <w:szCs w:val="24"/>
          <w:lang w:val="lv-LV"/>
        </w:rPr>
        <w:t>MINISTRA VĀRDĀ</w:t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Paraksts</w:t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Vārds</w:t>
      </w:r>
      <w:r w:rsidR="0093461F" w:rsidRPr="006D1B13">
        <w:rPr>
          <w:rFonts w:cs="Times New Roman"/>
          <w:sz w:val="24"/>
          <w:szCs w:val="24"/>
          <w:lang w:val="lv-LV"/>
        </w:rPr>
        <w:t>, uzvārds</w:t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Amats</w:t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:rsidR="00C117BF" w:rsidRPr="006D1B13" w:rsidRDefault="00C117BF" w:rsidP="00C117BF">
      <w:pPr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Vieta/datums</w:t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A4AAB" w:rsidRPr="006D1B13" w:rsidRDefault="003A4AAB" w:rsidP="003A4AAB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A4AAB" w:rsidRPr="006D1B13" w:rsidRDefault="003A4AAB" w:rsidP="003A4AAB">
      <w:pPr>
        <w:tabs>
          <w:tab w:val="left" w:pos="5760"/>
        </w:tabs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br w:type="page"/>
      </w:r>
    </w:p>
    <w:p w:rsidR="003A4AAB" w:rsidRPr="006D1B13" w:rsidRDefault="004B183F" w:rsidP="003A4AAB">
      <w:pPr>
        <w:tabs>
          <w:tab w:val="left" w:pos="5760"/>
        </w:tabs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b/>
          <w:sz w:val="24"/>
          <w:szCs w:val="24"/>
          <w:lang w:val="lv-LV"/>
        </w:rPr>
        <w:lastRenderedPageBreak/>
        <w:t>ITĀLIJAS REPUBLIKAS AIZSARDZĪBAS MINISTRIJAS VĀRDĀ</w:t>
      </w:r>
    </w:p>
    <w:p w:rsidR="003A4AAB" w:rsidRPr="006D1B13" w:rsidRDefault="003A4AAB" w:rsidP="003A4AAB">
      <w:pPr>
        <w:tabs>
          <w:tab w:val="left" w:pos="5760"/>
        </w:tabs>
        <w:rPr>
          <w:rFonts w:cs="Times New Roman"/>
          <w:sz w:val="24"/>
          <w:szCs w:val="24"/>
          <w:u w:val="single"/>
          <w:lang w:val="lv-LV"/>
        </w:rPr>
      </w:pPr>
    </w:p>
    <w:p w:rsidR="003A4AAB" w:rsidRPr="006D1B13" w:rsidRDefault="003A4AAB" w:rsidP="003A4AAB">
      <w:pPr>
        <w:tabs>
          <w:tab w:val="left" w:pos="5760"/>
        </w:tabs>
        <w:rPr>
          <w:rFonts w:cs="Times New Roman"/>
          <w:sz w:val="24"/>
          <w:szCs w:val="24"/>
          <w:u w:val="single"/>
          <w:lang w:val="lv-LV"/>
        </w:rPr>
      </w:pPr>
    </w:p>
    <w:p w:rsidR="003A4AAB" w:rsidRPr="006D1B13" w:rsidRDefault="003A4AAB" w:rsidP="003A4AAB">
      <w:pPr>
        <w:tabs>
          <w:tab w:val="left" w:pos="5760"/>
        </w:tabs>
        <w:rPr>
          <w:rFonts w:cs="Times New Roman"/>
          <w:sz w:val="24"/>
          <w:szCs w:val="24"/>
          <w:u w:val="single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Paraksts</w:t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Vārds</w:t>
      </w:r>
      <w:r w:rsidR="0093461F" w:rsidRPr="006D1B13">
        <w:rPr>
          <w:rFonts w:cs="Times New Roman"/>
          <w:sz w:val="24"/>
          <w:szCs w:val="24"/>
          <w:lang w:val="lv-LV"/>
        </w:rPr>
        <w:t>, uzvārds</w:t>
      </w:r>
      <w:r w:rsidRPr="006D1B13">
        <w:rPr>
          <w:rFonts w:cs="Times New Roman"/>
          <w:sz w:val="24"/>
          <w:szCs w:val="24"/>
          <w:lang w:val="lv-LV"/>
        </w:rPr>
        <w:t xml:space="preserve"> </w:t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Amats</w:t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:rsidR="00C117BF" w:rsidRPr="006D1B13" w:rsidRDefault="00C117BF" w:rsidP="00C117BF">
      <w:pPr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Vieta/datums</w:t>
      </w:r>
    </w:p>
    <w:p w:rsidR="003A4AAB" w:rsidRPr="006D1B13" w:rsidRDefault="003A4AAB" w:rsidP="003A4AAB">
      <w:pPr>
        <w:tabs>
          <w:tab w:val="left" w:pos="5760"/>
        </w:tabs>
        <w:rPr>
          <w:u w:val="single"/>
          <w:lang w:val="lv-LV"/>
        </w:rPr>
      </w:pPr>
    </w:p>
    <w:p w:rsidR="003A4AAB" w:rsidRPr="006D1B13" w:rsidRDefault="003A4AAB" w:rsidP="003A4AAB">
      <w:pPr>
        <w:tabs>
          <w:tab w:val="left" w:pos="5760"/>
        </w:tabs>
        <w:rPr>
          <w:u w:val="single"/>
          <w:lang w:val="lv-LV"/>
        </w:rPr>
      </w:pPr>
    </w:p>
    <w:p w:rsidR="003A4AAB" w:rsidRPr="006D1B13" w:rsidRDefault="003A4AAB" w:rsidP="003A4AAB">
      <w:pPr>
        <w:tabs>
          <w:tab w:val="left" w:pos="5760"/>
        </w:tabs>
        <w:rPr>
          <w:lang w:val="lv-LV"/>
        </w:rPr>
      </w:pPr>
    </w:p>
    <w:p w:rsidR="003A4AAB" w:rsidRPr="006D1B13" w:rsidRDefault="003A4AAB" w:rsidP="003A4AAB">
      <w:pPr>
        <w:tabs>
          <w:tab w:val="left" w:pos="5760"/>
        </w:tabs>
        <w:rPr>
          <w:lang w:val="lv-LV"/>
        </w:rPr>
      </w:pPr>
      <w:r w:rsidRPr="006D1B13">
        <w:rPr>
          <w:lang w:val="lv-LV"/>
        </w:rPr>
        <w:br w:type="page"/>
      </w:r>
      <w:r w:rsidR="004B183F" w:rsidRPr="006D1B13">
        <w:rPr>
          <w:b/>
          <w:sz w:val="24"/>
          <w:szCs w:val="24"/>
          <w:lang w:val="lv-LV"/>
        </w:rPr>
        <w:lastRenderedPageBreak/>
        <w:t xml:space="preserve">LATVIJAS REPUBLIKAS AIZSARDZĪBAS MINISTRIJAS VĀRDĀ </w:t>
      </w:r>
    </w:p>
    <w:p w:rsidR="003A4AAB" w:rsidRPr="006D1B13" w:rsidRDefault="003A4AAB" w:rsidP="003A4AAB">
      <w:pPr>
        <w:tabs>
          <w:tab w:val="left" w:pos="5760"/>
        </w:tabs>
        <w:rPr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Paraksts</w:t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Vārds</w:t>
      </w:r>
      <w:r w:rsidR="0093461F" w:rsidRPr="006D1B13">
        <w:rPr>
          <w:rFonts w:cs="Times New Roman"/>
          <w:sz w:val="24"/>
          <w:szCs w:val="24"/>
          <w:lang w:val="lv-LV"/>
        </w:rPr>
        <w:t>, uzvārds</w:t>
      </w:r>
      <w:r w:rsidRPr="006D1B13">
        <w:rPr>
          <w:rFonts w:cs="Times New Roman"/>
          <w:sz w:val="24"/>
          <w:szCs w:val="24"/>
          <w:lang w:val="lv-LV"/>
        </w:rPr>
        <w:t xml:space="preserve"> </w:t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Amats</w:t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:rsidR="00C117BF" w:rsidRPr="006D1B13" w:rsidRDefault="00C117BF" w:rsidP="00C117BF">
      <w:pPr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Vieta/datums</w:t>
      </w:r>
    </w:p>
    <w:p w:rsidR="003A4AAB" w:rsidRPr="006D1B13" w:rsidRDefault="003A4AAB" w:rsidP="003A4AAB">
      <w:pPr>
        <w:tabs>
          <w:tab w:val="left" w:pos="5760"/>
        </w:tabs>
        <w:rPr>
          <w:lang w:val="lv-LV"/>
        </w:rPr>
      </w:pPr>
    </w:p>
    <w:p w:rsidR="003A4AAB" w:rsidRPr="006D1B13" w:rsidRDefault="003A4AAB" w:rsidP="003A4AAB">
      <w:pPr>
        <w:tabs>
          <w:tab w:val="left" w:pos="5760"/>
        </w:tabs>
        <w:rPr>
          <w:lang w:val="lv-LV"/>
        </w:rPr>
      </w:pPr>
    </w:p>
    <w:p w:rsidR="003A4AAB" w:rsidRPr="006D1B13" w:rsidRDefault="003A4AAB" w:rsidP="003A4AAB">
      <w:pPr>
        <w:tabs>
          <w:tab w:val="left" w:pos="5760"/>
        </w:tabs>
        <w:rPr>
          <w:lang w:val="lv-LV"/>
        </w:rPr>
      </w:pPr>
    </w:p>
    <w:p w:rsidR="003A4AAB" w:rsidRPr="006D1B13" w:rsidRDefault="003A4AAB" w:rsidP="003A4AAB">
      <w:pPr>
        <w:tabs>
          <w:tab w:val="left" w:pos="5760"/>
        </w:tabs>
        <w:rPr>
          <w:rFonts w:cs="Times New Roman"/>
          <w:b/>
          <w:sz w:val="24"/>
          <w:szCs w:val="24"/>
          <w:lang w:val="lv-LV"/>
        </w:rPr>
      </w:pPr>
      <w:r w:rsidRPr="006D1B13">
        <w:rPr>
          <w:lang w:val="lv-LV"/>
        </w:rPr>
        <w:br w:type="page"/>
      </w:r>
      <w:r w:rsidR="00362490" w:rsidRPr="006D1B13">
        <w:rPr>
          <w:rFonts w:cs="Times New Roman"/>
          <w:b/>
          <w:color w:val="414142"/>
          <w:sz w:val="24"/>
          <w:szCs w:val="24"/>
          <w:lang w:val="lv-LV"/>
        </w:rPr>
        <w:lastRenderedPageBreak/>
        <w:t>LIELBRITĀNIJAS UN ZIEMEĻĪRIJAS APVIENOTĀS KARALISTES AIZSARDZĪBAS MINISTRIJAS VĀRDĀ</w:t>
      </w:r>
    </w:p>
    <w:p w:rsidR="003A4AAB" w:rsidRPr="006D1B13" w:rsidRDefault="003A4AAB" w:rsidP="003A4AAB">
      <w:pPr>
        <w:tabs>
          <w:tab w:val="left" w:pos="5760"/>
        </w:tabs>
        <w:rPr>
          <w:lang w:val="lv-LV"/>
        </w:rPr>
      </w:pPr>
    </w:p>
    <w:p w:rsidR="003A4AAB" w:rsidRPr="006D1B13" w:rsidRDefault="003A4AAB" w:rsidP="003A4AAB">
      <w:pPr>
        <w:tabs>
          <w:tab w:val="left" w:pos="5760"/>
        </w:tabs>
        <w:rPr>
          <w:lang w:val="lv-LV"/>
        </w:rPr>
      </w:pPr>
    </w:p>
    <w:p w:rsidR="003A4AAB" w:rsidRPr="006D1B13" w:rsidRDefault="003A4AAB" w:rsidP="003A4AAB">
      <w:pPr>
        <w:tabs>
          <w:tab w:val="left" w:pos="5760"/>
        </w:tabs>
        <w:rPr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Paraksts</w:t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Vārds</w:t>
      </w:r>
      <w:r w:rsidR="0093461F" w:rsidRPr="006D1B13">
        <w:rPr>
          <w:rFonts w:cs="Times New Roman"/>
          <w:sz w:val="24"/>
          <w:szCs w:val="24"/>
          <w:lang w:val="lv-LV"/>
        </w:rPr>
        <w:t>, uzvārds</w:t>
      </w:r>
      <w:r w:rsidRPr="006D1B13">
        <w:rPr>
          <w:rFonts w:cs="Times New Roman"/>
          <w:sz w:val="24"/>
          <w:szCs w:val="24"/>
          <w:lang w:val="lv-LV"/>
        </w:rPr>
        <w:t xml:space="preserve"> </w:t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Amats</w:t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:rsidR="00C117BF" w:rsidRPr="006D1B13" w:rsidRDefault="00C117BF" w:rsidP="00C117BF">
      <w:pPr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Vieta/datums</w:t>
      </w:r>
    </w:p>
    <w:p w:rsidR="003A4AAB" w:rsidRPr="006D1B13" w:rsidRDefault="003A4AAB" w:rsidP="003A4AAB">
      <w:pPr>
        <w:tabs>
          <w:tab w:val="left" w:pos="5760"/>
        </w:tabs>
        <w:rPr>
          <w:lang w:val="lv-LV"/>
        </w:rPr>
      </w:pPr>
    </w:p>
    <w:p w:rsidR="003A4AAB" w:rsidRPr="006D1B13" w:rsidRDefault="003A4AAB" w:rsidP="003A4AAB">
      <w:pPr>
        <w:tabs>
          <w:tab w:val="left" w:pos="5760"/>
        </w:tabs>
        <w:rPr>
          <w:lang w:val="lv-LV"/>
        </w:rPr>
      </w:pPr>
    </w:p>
    <w:p w:rsidR="003A4AAB" w:rsidRPr="006D1B13" w:rsidRDefault="003A4AAB" w:rsidP="003A4AAB">
      <w:pPr>
        <w:tabs>
          <w:tab w:val="left" w:pos="5760"/>
        </w:tabs>
        <w:rPr>
          <w:lang w:val="lv-LV"/>
        </w:rPr>
      </w:pPr>
    </w:p>
    <w:p w:rsidR="003A4AAB" w:rsidRPr="006D1B13" w:rsidRDefault="003A4AAB" w:rsidP="003A4AAB">
      <w:pPr>
        <w:tabs>
          <w:tab w:val="left" w:pos="5760"/>
        </w:tabs>
        <w:rPr>
          <w:lang w:val="lv-LV"/>
        </w:rPr>
      </w:pPr>
    </w:p>
    <w:p w:rsidR="003A4AAB" w:rsidRPr="006D1B13" w:rsidRDefault="003A4AAB" w:rsidP="003A4AAB">
      <w:pPr>
        <w:tabs>
          <w:tab w:val="left" w:pos="5760"/>
        </w:tabs>
        <w:rPr>
          <w:lang w:val="lv-LV"/>
        </w:rPr>
      </w:pPr>
    </w:p>
    <w:p w:rsidR="003A4AAB" w:rsidRPr="006D1B13" w:rsidRDefault="003A4AAB" w:rsidP="003A4AAB">
      <w:pPr>
        <w:tabs>
          <w:tab w:val="left" w:pos="5760"/>
        </w:tabs>
        <w:rPr>
          <w:lang w:val="lv-LV"/>
        </w:rPr>
      </w:pPr>
    </w:p>
    <w:p w:rsidR="003A4AAB" w:rsidRPr="006D1B13" w:rsidRDefault="003A4AAB" w:rsidP="003A4AAB">
      <w:pPr>
        <w:tabs>
          <w:tab w:val="left" w:pos="5760"/>
        </w:tabs>
        <w:rPr>
          <w:lang w:val="lv-LV"/>
        </w:rPr>
      </w:pPr>
      <w:r w:rsidRPr="006D1B13">
        <w:rPr>
          <w:lang w:val="lv-LV"/>
        </w:rPr>
        <w:br w:type="page"/>
      </w:r>
    </w:p>
    <w:p w:rsidR="003A4AAB" w:rsidRPr="006D1B13" w:rsidRDefault="00362490" w:rsidP="003A4AAB">
      <w:pPr>
        <w:tabs>
          <w:tab w:val="left" w:pos="5760"/>
        </w:tabs>
        <w:rPr>
          <w:b/>
          <w:sz w:val="24"/>
          <w:szCs w:val="24"/>
          <w:lang w:val="lv-LV"/>
        </w:rPr>
      </w:pPr>
      <w:r w:rsidRPr="006D1B13">
        <w:rPr>
          <w:b/>
          <w:sz w:val="24"/>
          <w:szCs w:val="24"/>
          <w:lang w:val="lv-LV"/>
        </w:rPr>
        <w:lastRenderedPageBreak/>
        <w:t>TURCIJAS REPUBLIKAS NACIONĀLĀS AIZSARDZĪBAS MINISTRIJAS VĀRDĀ</w:t>
      </w:r>
    </w:p>
    <w:p w:rsidR="003A4AAB" w:rsidRPr="006D1B13" w:rsidRDefault="003A4AAB" w:rsidP="003A4AAB">
      <w:pPr>
        <w:tabs>
          <w:tab w:val="left" w:pos="5760"/>
        </w:tabs>
        <w:rPr>
          <w:sz w:val="24"/>
          <w:szCs w:val="24"/>
          <w:lang w:val="lv-LV"/>
        </w:rPr>
      </w:pPr>
    </w:p>
    <w:p w:rsidR="003A4AAB" w:rsidRDefault="00524243" w:rsidP="003A4AAB">
      <w:pPr>
        <w:tabs>
          <w:tab w:val="left" w:pos="5760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(Turcijas Republikas Valdības vārdā)</w:t>
      </w:r>
    </w:p>
    <w:p w:rsidR="00524243" w:rsidRDefault="00524243" w:rsidP="003A4AAB">
      <w:pPr>
        <w:tabs>
          <w:tab w:val="left" w:pos="5760"/>
        </w:tabs>
        <w:rPr>
          <w:sz w:val="24"/>
          <w:szCs w:val="24"/>
          <w:lang w:val="lv-LV"/>
        </w:rPr>
      </w:pPr>
    </w:p>
    <w:p w:rsidR="00524243" w:rsidRPr="00524243" w:rsidRDefault="00524243" w:rsidP="00F2184C">
      <w:pPr>
        <w:tabs>
          <w:tab w:val="left" w:pos="5760"/>
        </w:tabs>
        <w:jc w:val="both"/>
        <w:rPr>
          <w:i/>
          <w:sz w:val="24"/>
          <w:szCs w:val="24"/>
          <w:lang w:val="lv-LV"/>
        </w:rPr>
      </w:pPr>
      <w:r>
        <w:rPr>
          <w:i/>
          <w:sz w:val="24"/>
          <w:szCs w:val="24"/>
          <w:lang w:val="lv-LV"/>
        </w:rPr>
        <w:t>Turcijas Republikas V</w:t>
      </w:r>
      <w:r w:rsidRPr="00524243">
        <w:rPr>
          <w:i/>
          <w:sz w:val="24"/>
          <w:szCs w:val="24"/>
          <w:lang w:val="lv-LV"/>
        </w:rPr>
        <w:t xml:space="preserve">aldības </w:t>
      </w:r>
      <w:r>
        <w:rPr>
          <w:i/>
          <w:sz w:val="24"/>
          <w:szCs w:val="24"/>
          <w:lang w:val="lv-LV"/>
        </w:rPr>
        <w:t>iekšējās</w:t>
      </w:r>
      <w:r w:rsidRPr="00524243">
        <w:rPr>
          <w:i/>
          <w:sz w:val="24"/>
          <w:szCs w:val="24"/>
          <w:lang w:val="lv-LV"/>
        </w:rPr>
        <w:t xml:space="preserve"> </w:t>
      </w:r>
      <w:r>
        <w:rPr>
          <w:i/>
          <w:sz w:val="24"/>
          <w:szCs w:val="24"/>
          <w:lang w:val="lv-LV"/>
        </w:rPr>
        <w:t>ratifikācijas</w:t>
      </w:r>
      <w:r w:rsidRPr="00524243">
        <w:rPr>
          <w:i/>
          <w:sz w:val="24"/>
          <w:szCs w:val="24"/>
          <w:lang w:val="lv-LV"/>
        </w:rPr>
        <w:t xml:space="preserve"> procedūra </w:t>
      </w:r>
      <w:r w:rsidR="00F2184C">
        <w:rPr>
          <w:i/>
          <w:sz w:val="24"/>
          <w:szCs w:val="24"/>
          <w:lang w:val="lv-LV"/>
        </w:rPr>
        <w:t>grozījumu apstiprināšanai</w:t>
      </w:r>
      <w:r w:rsidR="00F2184C" w:rsidRPr="00F2184C">
        <w:rPr>
          <w:i/>
          <w:sz w:val="24"/>
          <w:szCs w:val="24"/>
          <w:lang w:val="lv-LV"/>
        </w:rPr>
        <w:t xml:space="preserve"> Saprašanās memorandā par Centra izveidošanu </w:t>
      </w:r>
      <w:r w:rsidRPr="00524243">
        <w:rPr>
          <w:i/>
          <w:sz w:val="24"/>
          <w:szCs w:val="24"/>
          <w:lang w:val="lv-LV"/>
        </w:rPr>
        <w:t xml:space="preserve">paredz, ka </w:t>
      </w:r>
      <w:r w:rsidR="009C23D6">
        <w:rPr>
          <w:i/>
          <w:sz w:val="24"/>
          <w:szCs w:val="24"/>
          <w:lang w:val="lv-LV"/>
        </w:rPr>
        <w:t>tās apstiprinājums stājas spēkā brīdī, kad ir saņemts rakstisks apliecinājums par ratifikācijas un saskaņošanas procedūru noslēgšanu.</w:t>
      </w:r>
    </w:p>
    <w:p w:rsidR="003A4AAB" w:rsidRPr="006D1B13" w:rsidRDefault="003A4AAB" w:rsidP="003A4AAB">
      <w:pPr>
        <w:tabs>
          <w:tab w:val="left" w:pos="5760"/>
        </w:tabs>
        <w:rPr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Paraksts</w:t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Vārds</w:t>
      </w:r>
      <w:r w:rsidR="0093461F" w:rsidRPr="006D1B13">
        <w:rPr>
          <w:rFonts w:cs="Times New Roman"/>
          <w:sz w:val="24"/>
          <w:szCs w:val="24"/>
          <w:lang w:val="lv-LV"/>
        </w:rPr>
        <w:t>, uzvārds</w:t>
      </w:r>
      <w:r w:rsidRPr="006D1B13">
        <w:rPr>
          <w:rFonts w:cs="Times New Roman"/>
          <w:sz w:val="24"/>
          <w:szCs w:val="24"/>
          <w:lang w:val="lv-LV"/>
        </w:rPr>
        <w:t xml:space="preserve"> </w:t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Amats</w:t>
      </w: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:rsidR="00C117BF" w:rsidRPr="006D1B13" w:rsidRDefault="00C117BF" w:rsidP="00C117BF">
      <w:pPr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Vieta/datums</w:t>
      </w:r>
    </w:p>
    <w:p w:rsidR="003A4AAB" w:rsidRPr="006D1B13" w:rsidRDefault="003A4AAB" w:rsidP="003A4AAB">
      <w:pPr>
        <w:tabs>
          <w:tab w:val="left" w:pos="5760"/>
        </w:tabs>
        <w:rPr>
          <w:lang w:val="lv-LV"/>
        </w:rPr>
      </w:pPr>
    </w:p>
    <w:p w:rsidR="003A4AAB" w:rsidRPr="006D1B13" w:rsidRDefault="003A4AAB" w:rsidP="003A4AAB">
      <w:pPr>
        <w:tabs>
          <w:tab w:val="left" w:pos="5760"/>
        </w:tabs>
        <w:rPr>
          <w:lang w:val="lv-LV"/>
        </w:rPr>
      </w:pPr>
    </w:p>
    <w:p w:rsidR="009C23D6" w:rsidRDefault="009C23D6">
      <w:pPr>
        <w:rPr>
          <w:rFonts w:cs="Times New Roman"/>
          <w:snapToGrid w:val="0"/>
          <w:sz w:val="24"/>
          <w:lang w:val="lv-LV" w:bidi="ar-SA"/>
        </w:rPr>
      </w:pPr>
      <w:r>
        <w:rPr>
          <w:sz w:val="24"/>
          <w:lang w:val="lv-LV"/>
        </w:rPr>
        <w:br w:type="page"/>
      </w:r>
    </w:p>
    <w:p w:rsidR="009C23D6" w:rsidRPr="00D7794E" w:rsidRDefault="009C23D6" w:rsidP="009C23D6">
      <w:pPr>
        <w:pStyle w:val="PlainText"/>
        <w:jc w:val="both"/>
        <w:rPr>
          <w:rFonts w:ascii="Times New Roman" w:hAnsi="Times New Roman"/>
          <w:b/>
          <w:sz w:val="24"/>
          <w:lang w:val="lv-LV"/>
        </w:rPr>
      </w:pPr>
      <w:r w:rsidRPr="00D7794E">
        <w:rPr>
          <w:rFonts w:ascii="Times New Roman" w:hAnsi="Times New Roman"/>
          <w:b/>
          <w:sz w:val="24"/>
          <w:lang w:val="lv-LV"/>
        </w:rPr>
        <w:lastRenderedPageBreak/>
        <w:t>ASV AIZSARDZĪBAS DEPARTAMENTA VĀRDĀ</w:t>
      </w:r>
    </w:p>
    <w:p w:rsidR="009C23D6" w:rsidRPr="009C23D6" w:rsidRDefault="009C23D6" w:rsidP="009C23D6">
      <w:pPr>
        <w:pStyle w:val="PlainText"/>
        <w:jc w:val="both"/>
        <w:rPr>
          <w:rFonts w:ascii="Times New Roman" w:hAnsi="Times New Roman"/>
          <w:sz w:val="24"/>
          <w:lang w:val="lv-LV"/>
        </w:rPr>
      </w:pPr>
    </w:p>
    <w:p w:rsidR="009C23D6" w:rsidRPr="009C23D6" w:rsidRDefault="009C23D6" w:rsidP="009C23D6">
      <w:pPr>
        <w:pStyle w:val="PlainText"/>
        <w:jc w:val="both"/>
        <w:rPr>
          <w:rFonts w:ascii="Times New Roman" w:hAnsi="Times New Roman"/>
          <w:sz w:val="24"/>
          <w:lang w:val="lv-LV"/>
        </w:rPr>
      </w:pPr>
    </w:p>
    <w:p w:rsidR="009C23D6" w:rsidRPr="009C23D6" w:rsidRDefault="009C23D6" w:rsidP="009C23D6">
      <w:pPr>
        <w:pStyle w:val="PlainText"/>
        <w:jc w:val="both"/>
        <w:rPr>
          <w:rFonts w:ascii="Times New Roman" w:hAnsi="Times New Roman"/>
          <w:sz w:val="24"/>
          <w:lang w:val="lv-LV"/>
        </w:rPr>
      </w:pPr>
    </w:p>
    <w:p w:rsidR="009C23D6" w:rsidRPr="009C23D6" w:rsidRDefault="009C23D6" w:rsidP="009C23D6">
      <w:pPr>
        <w:pStyle w:val="PlainText"/>
        <w:jc w:val="both"/>
        <w:rPr>
          <w:rFonts w:ascii="Times New Roman" w:hAnsi="Times New Roman"/>
          <w:sz w:val="24"/>
          <w:lang w:val="lv-LV"/>
        </w:rPr>
      </w:pPr>
      <w:r w:rsidRPr="009C23D6">
        <w:rPr>
          <w:rFonts w:ascii="Times New Roman" w:hAnsi="Times New Roman"/>
          <w:sz w:val="24"/>
          <w:lang w:val="lv-LV"/>
        </w:rPr>
        <w:t>________________________________</w:t>
      </w:r>
      <w:r w:rsidRPr="009C23D6">
        <w:rPr>
          <w:rFonts w:ascii="Times New Roman" w:hAnsi="Times New Roman"/>
          <w:sz w:val="24"/>
          <w:lang w:val="lv-LV"/>
        </w:rPr>
        <w:tab/>
      </w:r>
    </w:p>
    <w:p w:rsidR="009C23D6" w:rsidRPr="009C23D6" w:rsidRDefault="009C23D6" w:rsidP="009C23D6">
      <w:pPr>
        <w:pStyle w:val="PlainText"/>
        <w:jc w:val="both"/>
        <w:rPr>
          <w:rFonts w:ascii="Times New Roman" w:hAnsi="Times New Roman"/>
          <w:sz w:val="24"/>
          <w:lang w:val="lv-LV"/>
        </w:rPr>
      </w:pPr>
      <w:r w:rsidRPr="009C23D6">
        <w:rPr>
          <w:rFonts w:ascii="Times New Roman" w:hAnsi="Times New Roman"/>
          <w:sz w:val="24"/>
          <w:lang w:val="lv-LV"/>
        </w:rPr>
        <w:t>Paraksts</w:t>
      </w:r>
    </w:p>
    <w:p w:rsidR="009C23D6" w:rsidRPr="009C23D6" w:rsidRDefault="009C23D6" w:rsidP="009C23D6">
      <w:pPr>
        <w:pStyle w:val="PlainText"/>
        <w:jc w:val="both"/>
        <w:rPr>
          <w:rFonts w:ascii="Times New Roman" w:hAnsi="Times New Roman"/>
          <w:sz w:val="24"/>
          <w:lang w:val="lv-LV"/>
        </w:rPr>
      </w:pPr>
    </w:p>
    <w:p w:rsidR="009C23D6" w:rsidRPr="009C23D6" w:rsidRDefault="009C23D6" w:rsidP="009C23D6">
      <w:pPr>
        <w:pStyle w:val="PlainText"/>
        <w:jc w:val="both"/>
        <w:rPr>
          <w:rFonts w:ascii="Times New Roman" w:hAnsi="Times New Roman"/>
          <w:sz w:val="24"/>
          <w:lang w:val="lv-LV"/>
        </w:rPr>
      </w:pPr>
    </w:p>
    <w:p w:rsidR="009C23D6" w:rsidRPr="009C23D6" w:rsidRDefault="009C23D6" w:rsidP="009C23D6">
      <w:pPr>
        <w:pStyle w:val="PlainText"/>
        <w:jc w:val="both"/>
        <w:rPr>
          <w:rFonts w:ascii="Times New Roman" w:hAnsi="Times New Roman"/>
          <w:sz w:val="24"/>
          <w:lang w:val="lv-LV"/>
        </w:rPr>
      </w:pPr>
    </w:p>
    <w:p w:rsidR="009C23D6" w:rsidRPr="009C23D6" w:rsidRDefault="009C23D6" w:rsidP="009C23D6">
      <w:pPr>
        <w:pStyle w:val="PlainText"/>
        <w:jc w:val="both"/>
        <w:rPr>
          <w:rFonts w:ascii="Times New Roman" w:hAnsi="Times New Roman"/>
          <w:sz w:val="24"/>
          <w:lang w:val="lv-LV"/>
        </w:rPr>
      </w:pPr>
      <w:r w:rsidRPr="009C23D6">
        <w:rPr>
          <w:rFonts w:ascii="Times New Roman" w:hAnsi="Times New Roman"/>
          <w:sz w:val="24"/>
          <w:lang w:val="lv-LV"/>
        </w:rPr>
        <w:t>________________________________</w:t>
      </w:r>
      <w:r w:rsidRPr="009C23D6">
        <w:rPr>
          <w:rFonts w:ascii="Times New Roman" w:hAnsi="Times New Roman"/>
          <w:sz w:val="24"/>
          <w:lang w:val="lv-LV"/>
        </w:rPr>
        <w:tab/>
      </w:r>
    </w:p>
    <w:p w:rsidR="009C23D6" w:rsidRPr="009C23D6" w:rsidRDefault="009C23D6" w:rsidP="009C23D6">
      <w:pPr>
        <w:pStyle w:val="PlainText"/>
        <w:jc w:val="both"/>
        <w:rPr>
          <w:rFonts w:ascii="Times New Roman" w:hAnsi="Times New Roman"/>
          <w:sz w:val="24"/>
          <w:lang w:val="lv-LV"/>
        </w:rPr>
      </w:pPr>
      <w:r w:rsidRPr="009C23D6">
        <w:rPr>
          <w:rFonts w:ascii="Times New Roman" w:hAnsi="Times New Roman"/>
          <w:sz w:val="24"/>
          <w:lang w:val="lv-LV"/>
        </w:rPr>
        <w:t xml:space="preserve">Vārds, uzvārds </w:t>
      </w:r>
    </w:p>
    <w:p w:rsidR="009C23D6" w:rsidRPr="009C23D6" w:rsidRDefault="009C23D6" w:rsidP="009C23D6">
      <w:pPr>
        <w:pStyle w:val="PlainText"/>
        <w:jc w:val="both"/>
        <w:rPr>
          <w:rFonts w:ascii="Times New Roman" w:hAnsi="Times New Roman"/>
          <w:sz w:val="24"/>
          <w:lang w:val="lv-LV"/>
        </w:rPr>
      </w:pPr>
    </w:p>
    <w:p w:rsidR="009C23D6" w:rsidRPr="009C23D6" w:rsidRDefault="009C23D6" w:rsidP="009C23D6">
      <w:pPr>
        <w:pStyle w:val="PlainText"/>
        <w:jc w:val="both"/>
        <w:rPr>
          <w:rFonts w:ascii="Times New Roman" w:hAnsi="Times New Roman"/>
          <w:sz w:val="24"/>
          <w:lang w:val="lv-LV"/>
        </w:rPr>
      </w:pPr>
    </w:p>
    <w:p w:rsidR="009C23D6" w:rsidRPr="009C23D6" w:rsidRDefault="009C23D6" w:rsidP="009C23D6">
      <w:pPr>
        <w:pStyle w:val="PlainText"/>
        <w:jc w:val="both"/>
        <w:rPr>
          <w:rFonts w:ascii="Times New Roman" w:hAnsi="Times New Roman"/>
          <w:sz w:val="24"/>
          <w:lang w:val="lv-LV"/>
        </w:rPr>
      </w:pPr>
    </w:p>
    <w:p w:rsidR="009C23D6" w:rsidRPr="009C23D6" w:rsidRDefault="009C23D6" w:rsidP="009C23D6">
      <w:pPr>
        <w:pStyle w:val="PlainText"/>
        <w:jc w:val="both"/>
        <w:rPr>
          <w:rFonts w:ascii="Times New Roman" w:hAnsi="Times New Roman"/>
          <w:sz w:val="24"/>
          <w:lang w:val="lv-LV"/>
        </w:rPr>
      </w:pPr>
      <w:r w:rsidRPr="009C23D6">
        <w:rPr>
          <w:rFonts w:ascii="Times New Roman" w:hAnsi="Times New Roman"/>
          <w:sz w:val="24"/>
          <w:lang w:val="lv-LV"/>
        </w:rPr>
        <w:t>________________________________</w:t>
      </w:r>
      <w:r w:rsidRPr="009C23D6">
        <w:rPr>
          <w:rFonts w:ascii="Times New Roman" w:hAnsi="Times New Roman"/>
          <w:sz w:val="24"/>
          <w:lang w:val="lv-LV"/>
        </w:rPr>
        <w:tab/>
      </w:r>
    </w:p>
    <w:p w:rsidR="009C23D6" w:rsidRPr="009C23D6" w:rsidRDefault="009C23D6" w:rsidP="009C23D6">
      <w:pPr>
        <w:pStyle w:val="PlainText"/>
        <w:jc w:val="both"/>
        <w:rPr>
          <w:rFonts w:ascii="Times New Roman" w:hAnsi="Times New Roman"/>
          <w:sz w:val="24"/>
          <w:lang w:val="lv-LV"/>
        </w:rPr>
      </w:pPr>
      <w:r w:rsidRPr="009C23D6">
        <w:rPr>
          <w:rFonts w:ascii="Times New Roman" w:hAnsi="Times New Roman"/>
          <w:sz w:val="24"/>
          <w:lang w:val="lv-LV"/>
        </w:rPr>
        <w:t>Amats</w:t>
      </w:r>
    </w:p>
    <w:p w:rsidR="009C23D6" w:rsidRPr="009C23D6" w:rsidRDefault="009C23D6" w:rsidP="009C23D6">
      <w:pPr>
        <w:pStyle w:val="PlainText"/>
        <w:jc w:val="both"/>
        <w:rPr>
          <w:rFonts w:ascii="Times New Roman" w:hAnsi="Times New Roman"/>
          <w:sz w:val="24"/>
          <w:lang w:val="lv-LV"/>
        </w:rPr>
      </w:pPr>
    </w:p>
    <w:p w:rsidR="009C23D6" w:rsidRPr="009C23D6" w:rsidRDefault="009C23D6" w:rsidP="009C23D6">
      <w:pPr>
        <w:pStyle w:val="PlainText"/>
        <w:jc w:val="both"/>
        <w:rPr>
          <w:rFonts w:ascii="Times New Roman" w:hAnsi="Times New Roman"/>
          <w:sz w:val="24"/>
          <w:lang w:val="lv-LV"/>
        </w:rPr>
      </w:pPr>
    </w:p>
    <w:p w:rsidR="009C23D6" w:rsidRPr="009C23D6" w:rsidRDefault="009C23D6" w:rsidP="009C23D6">
      <w:pPr>
        <w:pStyle w:val="PlainText"/>
        <w:jc w:val="both"/>
        <w:rPr>
          <w:rFonts w:ascii="Times New Roman" w:hAnsi="Times New Roman"/>
          <w:sz w:val="24"/>
          <w:lang w:val="lv-LV"/>
        </w:rPr>
      </w:pPr>
    </w:p>
    <w:p w:rsidR="009C23D6" w:rsidRPr="009C23D6" w:rsidRDefault="009C23D6" w:rsidP="009C23D6">
      <w:pPr>
        <w:pStyle w:val="PlainText"/>
        <w:jc w:val="both"/>
        <w:rPr>
          <w:rFonts w:ascii="Times New Roman" w:hAnsi="Times New Roman"/>
          <w:sz w:val="24"/>
          <w:lang w:val="lv-LV"/>
        </w:rPr>
      </w:pPr>
      <w:r w:rsidRPr="009C23D6">
        <w:rPr>
          <w:rFonts w:ascii="Times New Roman" w:hAnsi="Times New Roman"/>
          <w:sz w:val="24"/>
          <w:lang w:val="lv-LV"/>
        </w:rPr>
        <w:t>________________________________</w:t>
      </w:r>
      <w:r w:rsidRPr="009C23D6">
        <w:rPr>
          <w:rFonts w:ascii="Times New Roman" w:hAnsi="Times New Roman"/>
          <w:sz w:val="24"/>
          <w:lang w:val="lv-LV"/>
        </w:rPr>
        <w:tab/>
      </w:r>
    </w:p>
    <w:p w:rsidR="00C117BF" w:rsidRPr="006D1B13" w:rsidRDefault="00C117BF" w:rsidP="00C117BF">
      <w:pPr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Vieta/datums</w:t>
      </w:r>
    </w:p>
    <w:p w:rsidR="003A4AAB" w:rsidRPr="006D1B13" w:rsidRDefault="003A4AAB" w:rsidP="003A4AAB">
      <w:pPr>
        <w:pStyle w:val="PlainText"/>
        <w:jc w:val="both"/>
        <w:rPr>
          <w:rFonts w:ascii="Times New Roman" w:hAnsi="Times New Roman"/>
          <w:sz w:val="24"/>
          <w:lang w:val="lv-LV"/>
        </w:rPr>
      </w:pPr>
    </w:p>
    <w:p w:rsidR="002629F4" w:rsidRDefault="002629F4" w:rsidP="006E5F21">
      <w:pPr>
        <w:pStyle w:val="ListParagraph"/>
        <w:autoSpaceDE w:val="0"/>
        <w:autoSpaceDN w:val="0"/>
        <w:adjustRightInd w:val="0"/>
        <w:spacing w:before="240"/>
        <w:ind w:left="0"/>
        <w:jc w:val="both"/>
        <w:rPr>
          <w:sz w:val="24"/>
          <w:szCs w:val="24"/>
          <w:lang w:val="lv-LV"/>
        </w:rPr>
      </w:pPr>
    </w:p>
    <w:p w:rsidR="002629F4" w:rsidRDefault="002629F4" w:rsidP="002629F4">
      <w:pPr>
        <w:tabs>
          <w:tab w:val="right" w:pos="9911"/>
        </w:tabs>
        <w:jc w:val="both"/>
        <w:rPr>
          <w:sz w:val="24"/>
          <w:szCs w:val="24"/>
          <w:lang w:val="lv-LV"/>
        </w:rPr>
      </w:pPr>
    </w:p>
    <w:p w:rsidR="009C23D6" w:rsidRDefault="009C23D6" w:rsidP="002629F4">
      <w:pPr>
        <w:tabs>
          <w:tab w:val="right" w:pos="9911"/>
        </w:tabs>
        <w:jc w:val="both"/>
        <w:rPr>
          <w:sz w:val="24"/>
          <w:szCs w:val="24"/>
          <w:lang w:val="lv-LV"/>
        </w:rPr>
      </w:pPr>
    </w:p>
    <w:p w:rsidR="009C23D6" w:rsidRDefault="009C23D6" w:rsidP="002629F4">
      <w:pPr>
        <w:tabs>
          <w:tab w:val="right" w:pos="9911"/>
        </w:tabs>
        <w:jc w:val="both"/>
        <w:rPr>
          <w:sz w:val="24"/>
          <w:szCs w:val="24"/>
          <w:lang w:val="lv-LV"/>
        </w:rPr>
      </w:pPr>
    </w:p>
    <w:p w:rsidR="009C23D6" w:rsidRDefault="009C23D6" w:rsidP="002629F4">
      <w:pPr>
        <w:tabs>
          <w:tab w:val="right" w:pos="9911"/>
        </w:tabs>
        <w:jc w:val="both"/>
        <w:rPr>
          <w:sz w:val="24"/>
          <w:szCs w:val="24"/>
          <w:lang w:val="lv-LV"/>
        </w:rPr>
      </w:pPr>
    </w:p>
    <w:p w:rsidR="009C23D6" w:rsidRDefault="009C23D6" w:rsidP="002629F4">
      <w:pPr>
        <w:tabs>
          <w:tab w:val="right" w:pos="9911"/>
        </w:tabs>
        <w:jc w:val="both"/>
        <w:rPr>
          <w:sz w:val="24"/>
          <w:szCs w:val="24"/>
          <w:lang w:val="lv-LV"/>
        </w:rPr>
      </w:pPr>
    </w:p>
    <w:p w:rsidR="009C23D6" w:rsidRDefault="009C23D6" w:rsidP="002629F4">
      <w:pPr>
        <w:tabs>
          <w:tab w:val="right" w:pos="9911"/>
        </w:tabs>
        <w:jc w:val="both"/>
        <w:rPr>
          <w:sz w:val="24"/>
          <w:szCs w:val="24"/>
          <w:lang w:val="lv-LV"/>
        </w:rPr>
      </w:pPr>
    </w:p>
    <w:p w:rsidR="009C23D6" w:rsidRPr="00A85340" w:rsidRDefault="009C23D6" w:rsidP="002629F4">
      <w:pPr>
        <w:tabs>
          <w:tab w:val="right" w:pos="9911"/>
        </w:tabs>
        <w:jc w:val="both"/>
        <w:rPr>
          <w:sz w:val="24"/>
          <w:szCs w:val="24"/>
          <w:lang w:val="lv-LV"/>
        </w:rPr>
      </w:pPr>
    </w:p>
    <w:p w:rsidR="002629F4" w:rsidRPr="00A85340" w:rsidRDefault="002629F4" w:rsidP="002629F4">
      <w:pPr>
        <w:tabs>
          <w:tab w:val="right" w:pos="9911"/>
        </w:tabs>
        <w:jc w:val="both"/>
        <w:rPr>
          <w:sz w:val="24"/>
          <w:szCs w:val="24"/>
          <w:lang w:val="lv-LV"/>
        </w:rPr>
      </w:pPr>
    </w:p>
    <w:p w:rsidR="00606355" w:rsidRPr="00606355" w:rsidRDefault="00606355" w:rsidP="00606355">
      <w:pPr>
        <w:tabs>
          <w:tab w:val="right" w:pos="8364"/>
        </w:tabs>
        <w:spacing w:after="120"/>
        <w:jc w:val="both"/>
        <w:rPr>
          <w:rFonts w:cs="Times New Roman"/>
          <w:sz w:val="24"/>
          <w:szCs w:val="24"/>
          <w:lang w:val="en-GB" w:eastAsia="en-GB" w:bidi="ar-SA"/>
        </w:rPr>
      </w:pPr>
      <w:r w:rsidRPr="00606355">
        <w:rPr>
          <w:sz w:val="24"/>
          <w:szCs w:val="24"/>
        </w:rPr>
        <w:t>Aizsardzības ministrs</w:t>
      </w:r>
      <w:r w:rsidRPr="00606355">
        <w:rPr>
          <w:sz w:val="24"/>
          <w:szCs w:val="24"/>
        </w:rPr>
        <w:tab/>
        <w:t>R.Bergmanis</w:t>
      </w:r>
    </w:p>
    <w:p w:rsidR="00606355" w:rsidRDefault="00606355" w:rsidP="00606355">
      <w:pPr>
        <w:tabs>
          <w:tab w:val="right" w:pos="8364"/>
        </w:tabs>
        <w:spacing w:after="120"/>
        <w:jc w:val="both"/>
        <w:rPr>
          <w:sz w:val="24"/>
          <w:szCs w:val="24"/>
        </w:rPr>
      </w:pPr>
    </w:p>
    <w:p w:rsidR="00553D05" w:rsidRPr="00606355" w:rsidRDefault="00553D05" w:rsidP="00606355">
      <w:pPr>
        <w:tabs>
          <w:tab w:val="right" w:pos="8364"/>
        </w:tabs>
        <w:spacing w:after="120"/>
        <w:jc w:val="both"/>
        <w:rPr>
          <w:sz w:val="24"/>
          <w:szCs w:val="24"/>
        </w:rPr>
      </w:pPr>
    </w:p>
    <w:p w:rsidR="00553D05" w:rsidRDefault="00553D05" w:rsidP="00553D05">
      <w:pPr>
        <w:rPr>
          <w:rFonts w:cs="Times New Roman"/>
          <w:sz w:val="24"/>
          <w:szCs w:val="24"/>
          <w:lang w:val="en-GB" w:bidi="ar-SA"/>
        </w:rPr>
      </w:pPr>
      <w:r>
        <w:rPr>
          <w:sz w:val="24"/>
          <w:szCs w:val="24"/>
        </w:rPr>
        <w:t>Vīza: valsts sekretārs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J.Garisons</w:t>
      </w:r>
    </w:p>
    <w:p w:rsidR="00606355" w:rsidRPr="00606355" w:rsidRDefault="00606355" w:rsidP="00606355">
      <w:pPr>
        <w:spacing w:before="100" w:beforeAutospacing="1"/>
        <w:rPr>
          <w:sz w:val="24"/>
          <w:szCs w:val="24"/>
          <w:lang w:val="lv-LV" w:eastAsia="lv-LV"/>
        </w:rPr>
      </w:pPr>
    </w:p>
    <w:p w:rsidR="002629F4" w:rsidRDefault="002629F4" w:rsidP="002629F4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2629F4" w:rsidRPr="00A85340" w:rsidRDefault="002629F4" w:rsidP="002629F4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2629F4" w:rsidRPr="008544AA" w:rsidRDefault="002629F4" w:rsidP="006E5F21">
      <w:pPr>
        <w:pStyle w:val="ListParagraph"/>
        <w:autoSpaceDE w:val="0"/>
        <w:autoSpaceDN w:val="0"/>
        <w:adjustRightInd w:val="0"/>
        <w:spacing w:before="240"/>
        <w:ind w:left="0"/>
        <w:jc w:val="both"/>
        <w:rPr>
          <w:sz w:val="24"/>
          <w:szCs w:val="24"/>
          <w:lang w:val="lv-LV"/>
        </w:rPr>
      </w:pPr>
    </w:p>
    <w:p w:rsidR="008544AA" w:rsidRPr="008544AA" w:rsidRDefault="008544AA" w:rsidP="008544AA">
      <w:pPr>
        <w:pStyle w:val="ListParagraph"/>
        <w:autoSpaceDE w:val="0"/>
        <w:autoSpaceDN w:val="0"/>
        <w:adjustRightInd w:val="0"/>
        <w:spacing w:before="240"/>
        <w:jc w:val="both"/>
        <w:rPr>
          <w:sz w:val="28"/>
          <w:szCs w:val="28"/>
          <w:lang w:val="lv-LV"/>
        </w:rPr>
      </w:pPr>
    </w:p>
    <w:p w:rsidR="00A33DED" w:rsidRDefault="00A33DED" w:rsidP="00B24BFA">
      <w:pPr>
        <w:tabs>
          <w:tab w:val="right" w:pos="8222"/>
        </w:tabs>
        <w:jc w:val="both"/>
        <w:rPr>
          <w:sz w:val="28"/>
          <w:szCs w:val="28"/>
          <w:lang w:val="lv-LV"/>
        </w:rPr>
      </w:pPr>
    </w:p>
    <w:sectPr w:rsidR="00A33DED" w:rsidSect="0082106C">
      <w:footerReference w:type="default" r:id="rId8"/>
      <w:pgSz w:w="11906" w:h="16838"/>
      <w:pgMar w:top="1440" w:right="1416" w:bottom="1440" w:left="1800" w:header="720" w:footer="3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BFA" w:rsidRDefault="00B24BFA" w:rsidP="00B24BFA">
      <w:r>
        <w:separator/>
      </w:r>
    </w:p>
  </w:endnote>
  <w:endnote w:type="continuationSeparator" w:id="0">
    <w:p w:rsidR="00B24BFA" w:rsidRDefault="00B24BFA" w:rsidP="00B2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F21" w:rsidRPr="00E630ED" w:rsidRDefault="00D7794E" w:rsidP="006E5F21">
    <w:pPr>
      <w:spacing w:after="120"/>
      <w:jc w:val="both"/>
      <w:rPr>
        <w:snapToGrid w:val="0"/>
        <w:sz w:val="22"/>
        <w:szCs w:val="22"/>
        <w:lang w:val="lv-LV"/>
      </w:rPr>
    </w:pPr>
    <w:r w:rsidRPr="00D7794E">
      <w:rPr>
        <w:snapToGrid w:val="0"/>
        <w:sz w:val="22"/>
        <w:szCs w:val="22"/>
        <w:lang w:val="lv-LV"/>
      </w:rPr>
      <w:t>AIMsl_2</w:t>
    </w:r>
    <w:r w:rsidR="001D3B60">
      <w:rPr>
        <w:snapToGrid w:val="0"/>
        <w:sz w:val="22"/>
        <w:szCs w:val="22"/>
        <w:lang w:val="lv-LV"/>
      </w:rPr>
      <w:t>712</w:t>
    </w:r>
    <w:r w:rsidRPr="00D7794E">
      <w:rPr>
        <w:snapToGrid w:val="0"/>
        <w:sz w:val="22"/>
        <w:szCs w:val="22"/>
        <w:lang w:val="lv-LV"/>
      </w:rPr>
      <w:t>18_ensec_coe_revis</w:t>
    </w:r>
    <w:r w:rsidR="00B24BFA" w:rsidRPr="006E5F21">
      <w:rPr>
        <w:sz w:val="22"/>
        <w:szCs w:val="22"/>
        <w:lang w:val="lv-LV"/>
      </w:rPr>
      <w:t xml:space="preserve">; </w:t>
    </w:r>
  </w:p>
  <w:p w:rsidR="00D66373" w:rsidRPr="003B2EBE" w:rsidRDefault="00D66373" w:rsidP="00D66373">
    <w:pPr>
      <w:pStyle w:val="Footer"/>
      <w:tabs>
        <w:tab w:val="right" w:pos="9072"/>
      </w:tabs>
      <w:jc w:val="right"/>
    </w:pPr>
    <w:r w:rsidRPr="003B2EBE">
      <w:rPr>
        <w:bCs/>
      </w:rPr>
      <w:fldChar w:fldCharType="begin"/>
    </w:r>
    <w:r w:rsidRPr="003B2EBE">
      <w:rPr>
        <w:bCs/>
      </w:rPr>
      <w:instrText xml:space="preserve"> PAGE </w:instrText>
    </w:r>
    <w:r w:rsidRPr="003B2EBE">
      <w:rPr>
        <w:bCs/>
      </w:rPr>
      <w:fldChar w:fldCharType="separate"/>
    </w:r>
    <w:r w:rsidR="00787080">
      <w:rPr>
        <w:bCs/>
        <w:noProof/>
      </w:rPr>
      <w:t>1</w:t>
    </w:r>
    <w:r w:rsidRPr="003B2EBE">
      <w:rPr>
        <w:bCs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BFA" w:rsidRDefault="00B24BFA" w:rsidP="00B24BFA">
      <w:r>
        <w:separator/>
      </w:r>
    </w:p>
  </w:footnote>
  <w:footnote w:type="continuationSeparator" w:id="0">
    <w:p w:rsidR="00B24BFA" w:rsidRDefault="00B24BFA" w:rsidP="00B24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D3346"/>
    <w:multiLevelType w:val="hybridMultilevel"/>
    <w:tmpl w:val="A304662C"/>
    <w:lvl w:ilvl="0" w:tplc="FFFFFFFF">
      <w:start w:val="1"/>
      <w:numFmt w:val="decimal"/>
      <w:lvlText w:val="21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84DF9"/>
    <w:multiLevelType w:val="hybridMultilevel"/>
    <w:tmpl w:val="A0320B20"/>
    <w:lvl w:ilvl="0" w:tplc="2F8683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20201"/>
    <w:multiLevelType w:val="hybridMultilevel"/>
    <w:tmpl w:val="1CC03C84"/>
    <w:lvl w:ilvl="0" w:tplc="0A7456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6A"/>
    <w:rsid w:val="000048EC"/>
    <w:rsid w:val="000431B3"/>
    <w:rsid w:val="00062630"/>
    <w:rsid w:val="000707D9"/>
    <w:rsid w:val="00113D10"/>
    <w:rsid w:val="0012627C"/>
    <w:rsid w:val="0015748C"/>
    <w:rsid w:val="00184D32"/>
    <w:rsid w:val="00193967"/>
    <w:rsid w:val="001C25DB"/>
    <w:rsid w:val="001C6900"/>
    <w:rsid w:val="001D3B60"/>
    <w:rsid w:val="002270C3"/>
    <w:rsid w:val="00245B15"/>
    <w:rsid w:val="00254CDD"/>
    <w:rsid w:val="00257654"/>
    <w:rsid w:val="00260AF5"/>
    <w:rsid w:val="0026236D"/>
    <w:rsid w:val="002629F4"/>
    <w:rsid w:val="0026667D"/>
    <w:rsid w:val="00270B7F"/>
    <w:rsid w:val="00292E58"/>
    <w:rsid w:val="00295030"/>
    <w:rsid w:val="00297FDD"/>
    <w:rsid w:val="002C09A8"/>
    <w:rsid w:val="002C4FF3"/>
    <w:rsid w:val="002C5FBF"/>
    <w:rsid w:val="002D5911"/>
    <w:rsid w:val="00304507"/>
    <w:rsid w:val="003144B2"/>
    <w:rsid w:val="003259DE"/>
    <w:rsid w:val="00362490"/>
    <w:rsid w:val="00366B34"/>
    <w:rsid w:val="00395D10"/>
    <w:rsid w:val="003A17EA"/>
    <w:rsid w:val="003A4AAB"/>
    <w:rsid w:val="003C6F34"/>
    <w:rsid w:val="003D27BD"/>
    <w:rsid w:val="003E6541"/>
    <w:rsid w:val="00415100"/>
    <w:rsid w:val="00456773"/>
    <w:rsid w:val="0045763C"/>
    <w:rsid w:val="00494A32"/>
    <w:rsid w:val="004A0787"/>
    <w:rsid w:val="004B183F"/>
    <w:rsid w:val="004C5E88"/>
    <w:rsid w:val="004D146D"/>
    <w:rsid w:val="0051667C"/>
    <w:rsid w:val="0052077D"/>
    <w:rsid w:val="00524243"/>
    <w:rsid w:val="005273BE"/>
    <w:rsid w:val="00553D05"/>
    <w:rsid w:val="0055526A"/>
    <w:rsid w:val="00582E8A"/>
    <w:rsid w:val="005974D1"/>
    <w:rsid w:val="005A462A"/>
    <w:rsid w:val="005E1814"/>
    <w:rsid w:val="00606355"/>
    <w:rsid w:val="006117B1"/>
    <w:rsid w:val="00623937"/>
    <w:rsid w:val="00653B67"/>
    <w:rsid w:val="006933A2"/>
    <w:rsid w:val="006B40F5"/>
    <w:rsid w:val="006B547E"/>
    <w:rsid w:val="006D1B13"/>
    <w:rsid w:val="006E5F21"/>
    <w:rsid w:val="006F4344"/>
    <w:rsid w:val="00750FC6"/>
    <w:rsid w:val="007635F3"/>
    <w:rsid w:val="00787080"/>
    <w:rsid w:val="00792791"/>
    <w:rsid w:val="007C4E93"/>
    <w:rsid w:val="007F5BB5"/>
    <w:rsid w:val="0082106C"/>
    <w:rsid w:val="00822623"/>
    <w:rsid w:val="008544AA"/>
    <w:rsid w:val="00862576"/>
    <w:rsid w:val="008804EF"/>
    <w:rsid w:val="008C05EB"/>
    <w:rsid w:val="008D4FAF"/>
    <w:rsid w:val="008E039A"/>
    <w:rsid w:val="00906A68"/>
    <w:rsid w:val="00911CFE"/>
    <w:rsid w:val="009218BA"/>
    <w:rsid w:val="00925FA3"/>
    <w:rsid w:val="0093461F"/>
    <w:rsid w:val="009354B4"/>
    <w:rsid w:val="00954BCA"/>
    <w:rsid w:val="00956485"/>
    <w:rsid w:val="00961EAA"/>
    <w:rsid w:val="0097747F"/>
    <w:rsid w:val="00985310"/>
    <w:rsid w:val="009A48D6"/>
    <w:rsid w:val="009A755E"/>
    <w:rsid w:val="009C23D6"/>
    <w:rsid w:val="009C2F20"/>
    <w:rsid w:val="009E70D2"/>
    <w:rsid w:val="009F041A"/>
    <w:rsid w:val="009F52E3"/>
    <w:rsid w:val="00A33DED"/>
    <w:rsid w:val="00A340D5"/>
    <w:rsid w:val="00A4666F"/>
    <w:rsid w:val="00A61340"/>
    <w:rsid w:val="00A65C2A"/>
    <w:rsid w:val="00A74B33"/>
    <w:rsid w:val="00AA6602"/>
    <w:rsid w:val="00AB485F"/>
    <w:rsid w:val="00AC7FF1"/>
    <w:rsid w:val="00AD1D9A"/>
    <w:rsid w:val="00AF15C9"/>
    <w:rsid w:val="00AF3AC3"/>
    <w:rsid w:val="00B01D6B"/>
    <w:rsid w:val="00B03507"/>
    <w:rsid w:val="00B2065B"/>
    <w:rsid w:val="00B24BFA"/>
    <w:rsid w:val="00B407AA"/>
    <w:rsid w:val="00B424C5"/>
    <w:rsid w:val="00B42F5A"/>
    <w:rsid w:val="00B67B14"/>
    <w:rsid w:val="00B76705"/>
    <w:rsid w:val="00B86A93"/>
    <w:rsid w:val="00BD3BDD"/>
    <w:rsid w:val="00C03D54"/>
    <w:rsid w:val="00C05E2A"/>
    <w:rsid w:val="00C117BF"/>
    <w:rsid w:val="00C20FCF"/>
    <w:rsid w:val="00C21CBD"/>
    <w:rsid w:val="00C46212"/>
    <w:rsid w:val="00C571BD"/>
    <w:rsid w:val="00C729FB"/>
    <w:rsid w:val="00C860E6"/>
    <w:rsid w:val="00C87211"/>
    <w:rsid w:val="00C91058"/>
    <w:rsid w:val="00CB23E2"/>
    <w:rsid w:val="00CC1EA4"/>
    <w:rsid w:val="00CC5A13"/>
    <w:rsid w:val="00D42D84"/>
    <w:rsid w:val="00D62512"/>
    <w:rsid w:val="00D66373"/>
    <w:rsid w:val="00D676D3"/>
    <w:rsid w:val="00D7794E"/>
    <w:rsid w:val="00DA52CA"/>
    <w:rsid w:val="00DC6A5C"/>
    <w:rsid w:val="00DD5C44"/>
    <w:rsid w:val="00E04E46"/>
    <w:rsid w:val="00E3024C"/>
    <w:rsid w:val="00E630ED"/>
    <w:rsid w:val="00E74039"/>
    <w:rsid w:val="00E7440C"/>
    <w:rsid w:val="00E9662C"/>
    <w:rsid w:val="00EE1CCC"/>
    <w:rsid w:val="00F0143A"/>
    <w:rsid w:val="00F05871"/>
    <w:rsid w:val="00F074AB"/>
    <w:rsid w:val="00F16449"/>
    <w:rsid w:val="00F20FE1"/>
    <w:rsid w:val="00F2184C"/>
    <w:rsid w:val="00F22346"/>
    <w:rsid w:val="00F3217F"/>
    <w:rsid w:val="00F46B6F"/>
    <w:rsid w:val="00F54FC7"/>
    <w:rsid w:val="00FC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41048D58"/>
  <w15:docId w15:val="{CEBD60C2-6DB3-45DB-920D-971F77C3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lang w:val="en-AU" w:eastAsia="en-US" w:bidi="lo-LA"/>
    </w:rPr>
  </w:style>
  <w:style w:type="paragraph" w:styleId="Heading5">
    <w:name w:val="heading 5"/>
    <w:basedOn w:val="Normal"/>
    <w:next w:val="Normal"/>
    <w:link w:val="Heading5Char"/>
    <w:qFormat/>
    <w:rsid w:val="00E3024C"/>
    <w:pPr>
      <w:keepNext/>
      <w:jc w:val="center"/>
      <w:outlineLvl w:val="4"/>
    </w:pPr>
    <w:rPr>
      <w:rFonts w:cs="Times New Roman"/>
      <w:b/>
      <w:bCs/>
      <w:sz w:val="36"/>
      <w:szCs w:val="24"/>
      <w:lang w:val="lv-LV" w:eastAsia="lv-LV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55526A"/>
    <w:pPr>
      <w:spacing w:line="360" w:lineRule="auto"/>
      <w:ind w:firstLine="300"/>
    </w:pPr>
    <w:rPr>
      <w:rFonts w:cs="Times New Roman"/>
      <w:color w:val="414142"/>
      <w:lang w:val="lv-LV" w:eastAsia="lv-LV" w:bidi="ar-SA"/>
    </w:rPr>
  </w:style>
  <w:style w:type="paragraph" w:styleId="ListParagraph">
    <w:name w:val="List Paragraph"/>
    <w:basedOn w:val="Normal"/>
    <w:qFormat/>
    <w:rsid w:val="00F074A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6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6F34"/>
    <w:rPr>
      <w:rFonts w:ascii="Tahoma" w:hAnsi="Tahoma" w:cs="Tahoma"/>
      <w:sz w:val="16"/>
      <w:szCs w:val="16"/>
      <w:lang w:val="en-AU" w:eastAsia="en-US" w:bidi="lo-LA"/>
    </w:rPr>
  </w:style>
  <w:style w:type="character" w:styleId="CommentReference">
    <w:name w:val="annotation reference"/>
    <w:basedOn w:val="DefaultParagraphFont"/>
    <w:rsid w:val="009564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6485"/>
  </w:style>
  <w:style w:type="character" w:customStyle="1" w:styleId="CommentTextChar">
    <w:name w:val="Comment Text Char"/>
    <w:basedOn w:val="DefaultParagraphFont"/>
    <w:link w:val="CommentText"/>
    <w:rsid w:val="00956485"/>
    <w:rPr>
      <w:rFonts w:cs="Arial Unicode MS"/>
      <w:lang w:val="en-AU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956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6485"/>
    <w:rPr>
      <w:rFonts w:cs="Arial Unicode MS"/>
      <w:b/>
      <w:bCs/>
      <w:lang w:val="en-AU" w:eastAsia="en-US" w:bidi="lo-LA"/>
    </w:rPr>
  </w:style>
  <w:style w:type="paragraph" w:customStyle="1" w:styleId="naisf">
    <w:name w:val="naisf"/>
    <w:basedOn w:val="Normal"/>
    <w:rsid w:val="00B24BFA"/>
    <w:pPr>
      <w:spacing w:before="100" w:beforeAutospacing="1" w:after="100" w:afterAutospacing="1"/>
    </w:pPr>
    <w:rPr>
      <w:rFonts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rsid w:val="00B24B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4BFA"/>
    <w:rPr>
      <w:rFonts w:cs="Arial Unicode MS"/>
      <w:lang w:val="en-AU" w:eastAsia="en-US" w:bidi="lo-LA"/>
    </w:rPr>
  </w:style>
  <w:style w:type="paragraph" w:styleId="Footer">
    <w:name w:val="footer"/>
    <w:basedOn w:val="Normal"/>
    <w:link w:val="FooterChar"/>
    <w:uiPriority w:val="99"/>
    <w:rsid w:val="00B24B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BFA"/>
    <w:rPr>
      <w:rFonts w:cs="Arial Unicode MS"/>
      <w:lang w:val="en-AU" w:eastAsia="en-US" w:bidi="lo-LA"/>
    </w:rPr>
  </w:style>
  <w:style w:type="character" w:customStyle="1" w:styleId="Heading5Char">
    <w:name w:val="Heading 5 Char"/>
    <w:basedOn w:val="DefaultParagraphFont"/>
    <w:link w:val="Heading5"/>
    <w:rsid w:val="00E3024C"/>
    <w:rPr>
      <w:b/>
      <w:bCs/>
      <w:sz w:val="36"/>
      <w:szCs w:val="24"/>
    </w:rPr>
  </w:style>
  <w:style w:type="paragraph" w:styleId="BodyText">
    <w:name w:val="Body Text"/>
    <w:basedOn w:val="Normal"/>
    <w:link w:val="BodyTextChar"/>
    <w:rsid w:val="00E3024C"/>
    <w:pPr>
      <w:jc w:val="center"/>
    </w:pPr>
    <w:rPr>
      <w:rFonts w:cs="Times New Roman"/>
      <w:sz w:val="24"/>
      <w:szCs w:val="24"/>
      <w:lang w:val="lv-LV" w:bidi="ar-SA"/>
    </w:rPr>
  </w:style>
  <w:style w:type="character" w:customStyle="1" w:styleId="BodyTextChar">
    <w:name w:val="Body Text Char"/>
    <w:basedOn w:val="DefaultParagraphFont"/>
    <w:link w:val="BodyText"/>
    <w:rsid w:val="00E3024C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117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117B1"/>
    <w:rPr>
      <w:rFonts w:cs="Arial Unicode MS"/>
      <w:lang w:val="en-AU" w:eastAsia="en-US" w:bidi="lo-LA"/>
    </w:rPr>
  </w:style>
  <w:style w:type="paragraph" w:styleId="PlainText">
    <w:name w:val="Plain Text"/>
    <w:basedOn w:val="Normal"/>
    <w:link w:val="PlainTextChar"/>
    <w:rsid w:val="003A4AAB"/>
    <w:pPr>
      <w:widowControl w:val="0"/>
    </w:pPr>
    <w:rPr>
      <w:rFonts w:ascii="Courier New" w:hAnsi="Courier New" w:cs="Times New Roman"/>
      <w:snapToGrid w:val="0"/>
      <w:lang w:val="en-US" w:bidi="ar-SA"/>
    </w:rPr>
  </w:style>
  <w:style w:type="character" w:customStyle="1" w:styleId="PlainTextChar">
    <w:name w:val="Plain Text Char"/>
    <w:basedOn w:val="DefaultParagraphFont"/>
    <w:link w:val="PlainText"/>
    <w:rsid w:val="003A4AAB"/>
    <w:rPr>
      <w:rFonts w:ascii="Courier New" w:hAnsi="Courier New"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8493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7024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1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8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9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15CA6-8547-492B-8EEF-F772F485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11</Pages>
  <Words>3840</Words>
  <Characters>2190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AIMsl_210618_ensec_coe_revis;</vt:lpstr>
    </vt:vector>
  </TitlesOfParts>
  <Manager/>
  <Company>AIM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AIMsl_210618_ensec_coe_revis;</dc:title>
  <dc:subject/>
  <dc:creator>Līga Atstāja</dc:creator>
  <dc:description>Tālr.: (+371) 6 7335231 _x000d_
E-pasts: Liga.Atstaja@mod.gov.lv,_x000d_
</dc:description>
  <cp:lastModifiedBy>Elina Curkste</cp:lastModifiedBy>
  <cp:revision>31</cp:revision>
  <cp:lastPrinted>2017-01-02T10:10:00Z</cp:lastPrinted>
  <dcterms:created xsi:type="dcterms:W3CDTF">2016-12-30T10:01:00Z</dcterms:created>
  <dcterms:modified xsi:type="dcterms:W3CDTF">2018-12-28T08:38:00Z</dcterms:modified>
</cp:coreProperties>
</file>