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7C43" w14:textId="77777777" w:rsidR="00841489" w:rsidRDefault="00841489" w:rsidP="003960F7">
      <w:pPr>
        <w:contextualSpacing/>
        <w:jc w:val="center"/>
        <w:rPr>
          <w:b/>
          <w:sz w:val="26"/>
          <w:szCs w:val="26"/>
        </w:rPr>
      </w:pPr>
    </w:p>
    <w:p w14:paraId="60845D9F" w14:textId="4E3C02AD" w:rsidR="00093BD0" w:rsidRPr="00885EE2" w:rsidRDefault="00F06577" w:rsidP="003960F7">
      <w:pPr>
        <w:contextualSpacing/>
        <w:jc w:val="center"/>
        <w:rPr>
          <w:b/>
          <w:sz w:val="26"/>
          <w:szCs w:val="26"/>
        </w:rPr>
      </w:pPr>
      <w:r w:rsidRPr="00885EE2">
        <w:rPr>
          <w:b/>
          <w:sz w:val="26"/>
          <w:szCs w:val="26"/>
        </w:rPr>
        <w:t>Ministru kabineta noteikumu projekta</w:t>
      </w:r>
    </w:p>
    <w:p w14:paraId="51089027" w14:textId="77777777" w:rsidR="00093BD0" w:rsidRPr="00885EE2" w:rsidRDefault="00F06577" w:rsidP="003960F7">
      <w:pPr>
        <w:contextualSpacing/>
        <w:jc w:val="center"/>
        <w:rPr>
          <w:b/>
          <w:sz w:val="26"/>
          <w:szCs w:val="26"/>
        </w:rPr>
      </w:pPr>
      <w:r w:rsidRPr="00885EE2">
        <w:rPr>
          <w:b/>
          <w:sz w:val="26"/>
          <w:szCs w:val="26"/>
        </w:rPr>
        <w:t>“</w:t>
      </w:r>
      <w:r w:rsidR="005B4DF8">
        <w:rPr>
          <w:b/>
          <w:sz w:val="26"/>
          <w:szCs w:val="26"/>
        </w:rPr>
        <w:t>Konkurences padomes nolikums</w:t>
      </w:r>
      <w:r w:rsidRPr="00885EE2">
        <w:rPr>
          <w:b/>
          <w:sz w:val="26"/>
          <w:szCs w:val="26"/>
        </w:rPr>
        <w:t xml:space="preserve">” </w:t>
      </w:r>
    </w:p>
    <w:p w14:paraId="508EF784" w14:textId="77777777" w:rsidR="00093BD0" w:rsidRPr="00885EE2" w:rsidRDefault="00F06577" w:rsidP="003960F7">
      <w:pPr>
        <w:pStyle w:val="naisc"/>
        <w:spacing w:before="0" w:beforeAutospacing="0" w:after="0" w:afterAutospacing="0"/>
        <w:contextualSpacing/>
        <w:rPr>
          <w:b/>
        </w:rPr>
      </w:pPr>
      <w:r w:rsidRPr="00885EE2">
        <w:rPr>
          <w:b/>
        </w:rPr>
        <w:t>sākotnējās ietekmes novērtējuma ziņojums (anotācija)</w:t>
      </w:r>
    </w:p>
    <w:p w14:paraId="17BA6A82" w14:textId="40A6B63C" w:rsidR="001E7BB8" w:rsidRDefault="001E7BB8" w:rsidP="003960F7">
      <w:pPr>
        <w:contextualSpacing/>
        <w:jc w:val="both"/>
        <w:rPr>
          <w:rFonts w:eastAsiaTheme="minorHAnsi"/>
          <w:b/>
          <w:bCs/>
          <w:szCs w:val="22"/>
          <w:lang w:eastAsia="en-US"/>
        </w:rPr>
      </w:pPr>
    </w:p>
    <w:p w14:paraId="56A9E17B" w14:textId="77777777" w:rsidR="00841489" w:rsidRPr="00885EE2" w:rsidRDefault="00841489" w:rsidP="003960F7">
      <w:pPr>
        <w:contextualSpacing/>
        <w:jc w:val="both"/>
        <w:rPr>
          <w:rFonts w:eastAsiaTheme="minorHAnsi"/>
          <w:b/>
          <w:bCs/>
          <w:szCs w:val="22"/>
          <w:lang w:eastAsia="en-US"/>
        </w:rPr>
      </w:pPr>
    </w:p>
    <w:tbl>
      <w:tblPr>
        <w:tblW w:w="49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61"/>
      </w:tblGrid>
      <w:tr w:rsidR="00995D00" w14:paraId="1473F941" w14:textId="77777777" w:rsidTr="00760BBD">
        <w:trPr>
          <w:trHeight w:val="420"/>
        </w:trPr>
        <w:tc>
          <w:tcPr>
            <w:tcW w:w="5000" w:type="pct"/>
            <w:gridSpan w:val="2"/>
            <w:shd w:val="clear" w:color="auto" w:fill="auto"/>
            <w:hideMark/>
          </w:tcPr>
          <w:p w14:paraId="6594B1C0" w14:textId="77777777" w:rsidR="00D739A0" w:rsidRPr="00885EE2" w:rsidRDefault="00F06577" w:rsidP="003960F7">
            <w:pPr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Tiesību akta projekta anotācijas kopsavilkums</w:t>
            </w:r>
          </w:p>
        </w:tc>
      </w:tr>
      <w:tr w:rsidR="00995D00" w14:paraId="5DB76455" w14:textId="77777777" w:rsidTr="00D739A0">
        <w:trPr>
          <w:trHeight w:val="540"/>
        </w:trPr>
        <w:tc>
          <w:tcPr>
            <w:tcW w:w="1440" w:type="pct"/>
            <w:shd w:val="clear" w:color="auto" w:fill="auto"/>
            <w:hideMark/>
          </w:tcPr>
          <w:p w14:paraId="402DF8AC" w14:textId="77777777" w:rsidR="00D739A0" w:rsidRPr="00885EE2" w:rsidRDefault="00F06577" w:rsidP="003960F7">
            <w:pPr>
              <w:contextualSpacing/>
            </w:pPr>
            <w:r w:rsidRPr="00885EE2">
              <w:t xml:space="preserve">Mērķis, risinājums un projekta spēkā stāšanās laiks </w:t>
            </w:r>
          </w:p>
        </w:tc>
        <w:tc>
          <w:tcPr>
            <w:tcW w:w="3560" w:type="pct"/>
            <w:shd w:val="clear" w:color="auto" w:fill="auto"/>
            <w:hideMark/>
          </w:tcPr>
          <w:p w14:paraId="3EA9B1F4" w14:textId="44F2F434" w:rsidR="00994A01" w:rsidRDefault="00994A01" w:rsidP="003960F7">
            <w:pPr>
              <w:contextualSpacing/>
              <w:jc w:val="both"/>
            </w:pPr>
            <w:bookmarkStart w:id="0" w:name="_Hlk531865707"/>
            <w:r w:rsidRPr="00885EE2">
              <w:t>Tiesību akta projekts izstrādāts</w:t>
            </w:r>
            <w:r>
              <w:t xml:space="preserve">, lai precizētu </w:t>
            </w:r>
            <w:r w:rsidRPr="00885EE2">
              <w:rPr>
                <w:rFonts w:eastAsiaTheme="minorHAnsi"/>
                <w:lang w:bidi="lo-LA"/>
              </w:rPr>
              <w:t xml:space="preserve">Ministru kabineta </w:t>
            </w:r>
            <w:r>
              <w:t>2008.</w:t>
            </w:r>
            <w:r w:rsidR="007A7F61">
              <w:t xml:space="preserve">gada </w:t>
            </w:r>
            <w:r w:rsidR="006041C6">
              <w:t xml:space="preserve">29.septembra </w:t>
            </w:r>
            <w:r>
              <w:t xml:space="preserve">noteikumus Nr.795 “Konkurences padomes nolikums” </w:t>
            </w:r>
            <w:r w:rsidR="00E018E5">
              <w:t xml:space="preserve">(turpmāk – </w:t>
            </w:r>
            <w:r w:rsidR="00503547">
              <w:t>Noteikumi Nr.795</w:t>
            </w:r>
            <w:r w:rsidR="00E018E5">
              <w:t xml:space="preserve">) </w:t>
            </w:r>
            <w:r>
              <w:t>atbilstoši Konkurences likumā veiktajiem grozījumiem. Tā kā grozījumu apjoms pārsniedza</w:t>
            </w:r>
            <w:r w:rsidRPr="00885EE2">
              <w:t xml:space="preserve"> </w:t>
            </w:r>
            <w:r w:rsidRPr="00B211BE">
              <w:t>pusi no spēkā esošo noteikumu normu apjoma</w:t>
            </w:r>
            <w:r>
              <w:t>, tika sagatavots jauns noteikumu projekts</w:t>
            </w:r>
            <w:r w:rsidRPr="00B211BE">
              <w:t>.</w:t>
            </w:r>
          </w:p>
          <w:p w14:paraId="0F1CC4D2" w14:textId="77777777" w:rsidR="00E53B72" w:rsidRPr="00885EE2" w:rsidRDefault="00994A01" w:rsidP="003960F7">
            <w:pPr>
              <w:contextualSpacing/>
              <w:jc w:val="both"/>
              <w:rPr>
                <w:rFonts w:eastAsiaTheme="minorHAnsi"/>
                <w:lang w:bidi="lo-LA"/>
              </w:rPr>
            </w:pPr>
            <w:r w:rsidRPr="00885EE2">
              <w:rPr>
                <w:rFonts w:eastAsiaTheme="minorHAnsi"/>
                <w:lang w:bidi="lo-LA"/>
              </w:rPr>
              <w:t>Paredzēts, ka tiesību akta projekts stāsies spēkā Oficiālo publikāciju un tiesiskās informācijas likumā noteiktajā kārtībā.</w:t>
            </w:r>
            <w:bookmarkEnd w:id="0"/>
          </w:p>
        </w:tc>
      </w:tr>
    </w:tbl>
    <w:p w14:paraId="5F910BFC" w14:textId="53CC7C25" w:rsidR="00D739A0" w:rsidRDefault="00D739A0" w:rsidP="003960F7">
      <w:pPr>
        <w:contextualSpacing/>
        <w:jc w:val="both"/>
        <w:rPr>
          <w:rFonts w:eastAsiaTheme="minorHAnsi"/>
          <w:b/>
          <w:bCs/>
          <w:szCs w:val="22"/>
          <w:lang w:eastAsia="en-US"/>
        </w:rPr>
      </w:pPr>
    </w:p>
    <w:p w14:paraId="66C36763" w14:textId="77777777" w:rsidR="00841489" w:rsidRPr="00885EE2" w:rsidRDefault="00841489" w:rsidP="003960F7">
      <w:pPr>
        <w:contextualSpacing/>
        <w:jc w:val="both"/>
        <w:rPr>
          <w:rFonts w:eastAsiaTheme="minorHAnsi"/>
          <w:b/>
          <w:bCs/>
          <w:szCs w:val="22"/>
          <w:lang w:eastAsia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"/>
        <w:gridCol w:w="2218"/>
        <w:gridCol w:w="6702"/>
      </w:tblGrid>
      <w:tr w:rsidR="00995D00" w14:paraId="554E56CC" w14:textId="77777777" w:rsidTr="005D1D15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85AD18" w14:textId="77777777" w:rsidR="001E7BB8" w:rsidRPr="00885EE2" w:rsidRDefault="00F06577" w:rsidP="003960F7">
            <w:pPr>
              <w:contextualSpacing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885EE2">
              <w:rPr>
                <w:rFonts w:eastAsiaTheme="minorHAnsi"/>
                <w:b/>
                <w:bCs/>
                <w:szCs w:val="22"/>
                <w:lang w:eastAsia="en-US"/>
              </w:rPr>
              <w:t>I. Tiesību akta projekta izstrādes nepieciešamība</w:t>
            </w:r>
          </w:p>
        </w:tc>
      </w:tr>
      <w:tr w:rsidR="00995D00" w14:paraId="4944B8CB" w14:textId="77777777" w:rsidTr="001D0195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4AB39" w14:textId="77777777" w:rsidR="001E7BB8" w:rsidRPr="00885EE2" w:rsidRDefault="00F06577" w:rsidP="003960F7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1.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97EC0" w14:textId="77777777" w:rsidR="001E7BB8" w:rsidRPr="00B931E6" w:rsidRDefault="00F06577" w:rsidP="003960F7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B931E6">
              <w:rPr>
                <w:rFonts w:eastAsiaTheme="minorHAnsi"/>
                <w:szCs w:val="22"/>
                <w:lang w:eastAsia="en-US"/>
              </w:rPr>
              <w:t>Pamatojums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506BD0" w14:textId="088129CA" w:rsidR="00606801" w:rsidRPr="00B931E6" w:rsidRDefault="00274C17" w:rsidP="003960F7">
            <w:pPr>
              <w:contextualSpacing/>
              <w:jc w:val="both"/>
            </w:pPr>
            <w:r w:rsidRPr="00B931E6">
              <w:rPr>
                <w:iCs/>
              </w:rPr>
              <w:t>Ministru kabineta</w:t>
            </w:r>
            <w:r w:rsidR="009A1358" w:rsidRPr="00B931E6">
              <w:rPr>
                <w:iCs/>
              </w:rPr>
              <w:t xml:space="preserve"> noteikumu projekts</w:t>
            </w:r>
            <w:r w:rsidRPr="00B931E6">
              <w:rPr>
                <w:iCs/>
              </w:rPr>
              <w:t xml:space="preserve"> “</w:t>
            </w:r>
            <w:r w:rsidR="009A1358" w:rsidRPr="00B931E6">
              <w:t>Konkurences padomes nolikums</w:t>
            </w:r>
            <w:r w:rsidRPr="00B931E6">
              <w:rPr>
                <w:iCs/>
              </w:rPr>
              <w:t>”</w:t>
            </w:r>
            <w:r w:rsidR="009A1358" w:rsidRPr="00B931E6">
              <w:rPr>
                <w:iCs/>
              </w:rPr>
              <w:t xml:space="preserve"> (turpmāk – Projekts</w:t>
            </w:r>
            <w:r w:rsidRPr="00B931E6">
              <w:rPr>
                <w:iCs/>
              </w:rPr>
              <w:t>) izstrādāt</w:t>
            </w:r>
            <w:r w:rsidR="0009786F">
              <w:rPr>
                <w:iCs/>
              </w:rPr>
              <w:t>s</w:t>
            </w:r>
            <w:r w:rsidRPr="00B931E6">
              <w:rPr>
                <w:iCs/>
              </w:rPr>
              <w:t xml:space="preserve"> pēc </w:t>
            </w:r>
            <w:r w:rsidR="009A1358" w:rsidRPr="00B931E6">
              <w:rPr>
                <w:iCs/>
              </w:rPr>
              <w:t>Ekonomikas</w:t>
            </w:r>
            <w:r w:rsidRPr="00B931E6">
              <w:rPr>
                <w:iCs/>
              </w:rPr>
              <w:t xml:space="preserve"> ministrijas iniciatīvas atbilstoši Val</w:t>
            </w:r>
            <w:r w:rsidR="009A1358" w:rsidRPr="00B931E6">
              <w:rPr>
                <w:iCs/>
              </w:rPr>
              <w:t>sts pārvaldes iekārtas likuma 16</w:t>
            </w:r>
            <w:r w:rsidRPr="00B931E6">
              <w:rPr>
                <w:iCs/>
              </w:rPr>
              <w:t xml:space="preserve">. panta </w:t>
            </w:r>
            <w:r w:rsidR="009A1358" w:rsidRPr="00B931E6">
              <w:rPr>
                <w:iCs/>
              </w:rPr>
              <w:t>pirmajai</w:t>
            </w:r>
            <w:r w:rsidR="00B931E6">
              <w:rPr>
                <w:iCs/>
              </w:rPr>
              <w:t xml:space="preserve"> daļai</w:t>
            </w:r>
            <w:r w:rsidRPr="00B931E6">
              <w:rPr>
                <w:iCs/>
              </w:rPr>
              <w:t>.</w:t>
            </w:r>
          </w:p>
        </w:tc>
      </w:tr>
      <w:tr w:rsidR="00995D00" w14:paraId="003176FB" w14:textId="77777777" w:rsidTr="009A1358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72205B" w14:textId="77777777" w:rsidR="001E7BB8" w:rsidRPr="00885EE2" w:rsidRDefault="00F06577" w:rsidP="003960F7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2.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03060" w14:textId="77777777" w:rsidR="001E7BB8" w:rsidRPr="00885EE2" w:rsidRDefault="00F06577" w:rsidP="003960F7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5CD3AE" w14:textId="3462384E" w:rsidR="00714A32" w:rsidRPr="00885EE2" w:rsidRDefault="00AD40CF" w:rsidP="003960F7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2016.</w:t>
            </w:r>
            <w:r w:rsidR="008503AE">
              <w:rPr>
                <w:bCs/>
              </w:rPr>
              <w:t>gada 12.maijā</w:t>
            </w:r>
            <w:r>
              <w:rPr>
                <w:bCs/>
              </w:rPr>
              <w:t xml:space="preserve"> pieņemtie grozījumi Konkurences likumā </w:t>
            </w:r>
            <w:r w:rsidRPr="0073150E">
              <w:rPr>
                <w:bCs/>
              </w:rPr>
              <w:t>nodrošin</w:t>
            </w:r>
            <w:r>
              <w:rPr>
                <w:bCs/>
              </w:rPr>
              <w:t>āja elastīgāku regulējumu</w:t>
            </w:r>
            <w:r w:rsidRPr="0073150E">
              <w:rPr>
                <w:bCs/>
              </w:rPr>
              <w:t xml:space="preserve"> Konkurences likumā noteiktajam Konkurences padomes strukturālajam iedalījumam, lai būtu iespējams vieglāk veikt strukturālas un funkcionālas izmaiņas iestādē, </w:t>
            </w:r>
            <w:proofErr w:type="spellStart"/>
            <w:r w:rsidRPr="0073150E">
              <w:rPr>
                <w:bCs/>
              </w:rPr>
              <w:t>efektivizējot</w:t>
            </w:r>
            <w:proofErr w:type="spellEnd"/>
            <w:r w:rsidRPr="0073150E">
              <w:rPr>
                <w:bCs/>
              </w:rPr>
              <w:t xml:space="preserve"> tās darbību.</w:t>
            </w:r>
            <w:r w:rsidR="00B65BCB">
              <w:rPr>
                <w:bCs/>
              </w:rPr>
              <w:t xml:space="preserve"> </w:t>
            </w:r>
            <w:r w:rsidR="00B931E6">
              <w:rPr>
                <w:bCs/>
              </w:rPr>
              <w:t xml:space="preserve">Attiecīgi nepieciešams precizēt arī </w:t>
            </w:r>
            <w:r w:rsidR="006900E6">
              <w:t xml:space="preserve">Konkurences padomes </w:t>
            </w:r>
            <w:r w:rsidR="00B931E6">
              <w:rPr>
                <w:bCs/>
              </w:rPr>
              <w:t xml:space="preserve">nolikumu. </w:t>
            </w:r>
            <w:r w:rsidR="00B65BCB">
              <w:rPr>
                <w:bCs/>
              </w:rPr>
              <w:t xml:space="preserve">Vienlaikus </w:t>
            </w:r>
            <w:r w:rsidR="004E4810">
              <w:rPr>
                <w:bCs/>
              </w:rPr>
              <w:t>P</w:t>
            </w:r>
            <w:r w:rsidR="00B931E6">
              <w:rPr>
                <w:bCs/>
              </w:rPr>
              <w:t xml:space="preserve">rojektā </w:t>
            </w:r>
            <w:r w:rsidR="005E005D">
              <w:rPr>
                <w:bCs/>
              </w:rPr>
              <w:t>novērsta normu dublēšanās ar augstāk</w:t>
            </w:r>
            <w:r w:rsidR="008B159A">
              <w:rPr>
                <w:bCs/>
              </w:rPr>
              <w:t xml:space="preserve">a juridiska spēka </w:t>
            </w:r>
            <w:r w:rsidR="005E005D">
              <w:rPr>
                <w:bCs/>
              </w:rPr>
              <w:t>normatīvajiem aktiem.</w:t>
            </w:r>
          </w:p>
        </w:tc>
      </w:tr>
      <w:tr w:rsidR="00995D00" w14:paraId="71E05A54" w14:textId="77777777" w:rsidTr="001D019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E3A94" w14:textId="77777777" w:rsidR="001E7BB8" w:rsidRPr="00885EE2" w:rsidRDefault="00F06577" w:rsidP="003960F7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3.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9E682" w14:textId="77777777" w:rsidR="001E7BB8" w:rsidRPr="00885EE2" w:rsidRDefault="00F06577" w:rsidP="003960F7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Projekta izstrādē iesaistītās institūcijas</w:t>
            </w:r>
            <w:r w:rsidR="007545B2" w:rsidRPr="00885EE2">
              <w:rPr>
                <w:rFonts w:eastAsiaTheme="minorHAnsi"/>
                <w:szCs w:val="22"/>
                <w:lang w:eastAsia="en-US"/>
              </w:rPr>
              <w:t xml:space="preserve"> un publiskas personas kapitālsabiedrības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CC78E" w14:textId="77777777" w:rsidR="001E7BB8" w:rsidRPr="00885EE2" w:rsidRDefault="0073150E" w:rsidP="003960F7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Ekonomikas ministrija, Konkurences padome</w:t>
            </w:r>
          </w:p>
        </w:tc>
      </w:tr>
      <w:tr w:rsidR="00995D00" w14:paraId="3A782EE7" w14:textId="77777777" w:rsidTr="001D019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F63277" w14:textId="77777777" w:rsidR="001E7BB8" w:rsidRPr="00885EE2" w:rsidRDefault="00F06577" w:rsidP="003960F7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4.</w:t>
            </w:r>
          </w:p>
        </w:tc>
        <w:tc>
          <w:tcPr>
            <w:tcW w:w="1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FAD313" w14:textId="77777777" w:rsidR="001E7BB8" w:rsidRPr="00885EE2" w:rsidRDefault="00F06577" w:rsidP="003960F7">
            <w:pPr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0638F" w14:textId="3716C6C1" w:rsidR="001E7BB8" w:rsidRPr="00885EE2" w:rsidRDefault="00F06577" w:rsidP="003960F7">
            <w:pPr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885EE2">
              <w:rPr>
                <w:rFonts w:eastAsiaTheme="minorHAnsi"/>
                <w:szCs w:val="22"/>
                <w:lang w:eastAsia="en-US"/>
              </w:rPr>
              <w:t>Nav</w:t>
            </w:r>
          </w:p>
        </w:tc>
      </w:tr>
    </w:tbl>
    <w:p w14:paraId="2FAC3879" w14:textId="716239E5" w:rsidR="00A57838" w:rsidRDefault="00A57838" w:rsidP="003960F7">
      <w:pPr>
        <w:tabs>
          <w:tab w:val="left" w:pos="1020"/>
        </w:tabs>
        <w:contextualSpacing/>
        <w:jc w:val="both"/>
      </w:pPr>
    </w:p>
    <w:p w14:paraId="60540CD6" w14:textId="77777777" w:rsidR="00841489" w:rsidRPr="00885EE2" w:rsidRDefault="00841489" w:rsidP="003960F7">
      <w:pPr>
        <w:tabs>
          <w:tab w:val="left" w:pos="1020"/>
        </w:tabs>
        <w:contextualSpacing/>
        <w:jc w:val="both"/>
      </w:pPr>
    </w:p>
    <w:tbl>
      <w:tblPr>
        <w:tblpPr w:leftFromText="180" w:rightFromText="180" w:vertAnchor="text" w:horzAnchor="margin" w:tblpY="2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995D00" w14:paraId="6ED07D62" w14:textId="77777777" w:rsidTr="00923940">
        <w:trPr>
          <w:trHeight w:val="195"/>
        </w:trPr>
        <w:tc>
          <w:tcPr>
            <w:tcW w:w="9493" w:type="dxa"/>
            <w:vAlign w:val="center"/>
          </w:tcPr>
          <w:p w14:paraId="7CFF4AA7" w14:textId="77777777" w:rsidR="00C65DA2" w:rsidRPr="00885EE2" w:rsidRDefault="00F06577" w:rsidP="003960F7">
            <w:pPr>
              <w:ind w:left="421"/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 xml:space="preserve">II. Tiesību akta projekta ietekme uz sabiedrību, tautsaimniecības attīstību </w:t>
            </w:r>
          </w:p>
          <w:p w14:paraId="68DFDA8F" w14:textId="77777777" w:rsidR="00A57838" w:rsidRPr="00885EE2" w:rsidRDefault="00F06577" w:rsidP="003960F7">
            <w:pPr>
              <w:ind w:left="421"/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un administratīvo slogu</w:t>
            </w:r>
          </w:p>
        </w:tc>
      </w:tr>
      <w:tr w:rsidR="00995D00" w14:paraId="3E582961" w14:textId="77777777" w:rsidTr="00923940">
        <w:trPr>
          <w:trHeight w:val="331"/>
        </w:trPr>
        <w:tc>
          <w:tcPr>
            <w:tcW w:w="9493" w:type="dxa"/>
          </w:tcPr>
          <w:p w14:paraId="4F6705D9" w14:textId="7C1CB033" w:rsidR="00C76CD3" w:rsidRPr="00885EE2" w:rsidRDefault="00F06577" w:rsidP="003960F7">
            <w:pPr>
              <w:contextualSpacing/>
              <w:jc w:val="center"/>
            </w:pPr>
            <w:r w:rsidRPr="00885EE2">
              <w:t>Projekt</w:t>
            </w:r>
            <w:r w:rsidR="00760DCC">
              <w:t>s</w:t>
            </w:r>
            <w:r w:rsidRPr="00885EE2">
              <w:t xml:space="preserve"> </w:t>
            </w:r>
            <w:r w:rsidR="00760DCC" w:rsidRPr="00885EE2">
              <w:rPr>
                <w:iCs/>
              </w:rPr>
              <w:t>šo jomu neskar</w:t>
            </w:r>
            <w:r w:rsidR="00C67AB2">
              <w:t>.</w:t>
            </w:r>
          </w:p>
        </w:tc>
      </w:tr>
    </w:tbl>
    <w:p w14:paraId="57383605" w14:textId="77777777" w:rsidR="00A57838" w:rsidRPr="00885EE2" w:rsidRDefault="00A57838" w:rsidP="003960F7">
      <w:pPr>
        <w:contextualSpacing/>
        <w:jc w:val="both"/>
      </w:pPr>
    </w:p>
    <w:tbl>
      <w:tblPr>
        <w:tblpPr w:leftFromText="180" w:rightFromText="180" w:vertAnchor="text" w:horzAnchor="margin" w:tblpY="2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995D00" w14:paraId="38DE38EE" w14:textId="77777777" w:rsidTr="00923940">
        <w:trPr>
          <w:trHeight w:val="195"/>
        </w:trPr>
        <w:tc>
          <w:tcPr>
            <w:tcW w:w="9493" w:type="dxa"/>
            <w:vAlign w:val="center"/>
          </w:tcPr>
          <w:p w14:paraId="227D381B" w14:textId="77777777" w:rsidR="00A57838" w:rsidRPr="00885EE2" w:rsidRDefault="00F06577" w:rsidP="003960F7">
            <w:pPr>
              <w:ind w:left="421"/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995D00" w14:paraId="295C731A" w14:textId="77777777" w:rsidTr="00923940">
        <w:trPr>
          <w:trHeight w:val="331"/>
        </w:trPr>
        <w:tc>
          <w:tcPr>
            <w:tcW w:w="9493" w:type="dxa"/>
          </w:tcPr>
          <w:p w14:paraId="403AC320" w14:textId="71208AFE" w:rsidR="00A57838" w:rsidRPr="00885EE2" w:rsidRDefault="00F06577" w:rsidP="003960F7">
            <w:pPr>
              <w:contextualSpacing/>
              <w:jc w:val="center"/>
              <w:rPr>
                <w:iCs/>
              </w:rPr>
            </w:pPr>
            <w:r w:rsidRPr="00885EE2">
              <w:rPr>
                <w:iCs/>
              </w:rPr>
              <w:t xml:space="preserve">Projekts </w:t>
            </w:r>
            <w:r w:rsidR="002C2597" w:rsidRPr="00885EE2">
              <w:rPr>
                <w:iCs/>
              </w:rPr>
              <w:t>šo jomu neskar</w:t>
            </w:r>
          </w:p>
        </w:tc>
      </w:tr>
    </w:tbl>
    <w:p w14:paraId="5AB86311" w14:textId="77777777" w:rsidR="00A57838" w:rsidRPr="00885EE2" w:rsidRDefault="00A57838" w:rsidP="003960F7">
      <w:pPr>
        <w:contextualSpacing/>
        <w:jc w:val="both"/>
      </w:pPr>
    </w:p>
    <w:tbl>
      <w:tblPr>
        <w:tblpPr w:leftFromText="180" w:rightFromText="180" w:vertAnchor="text" w:horzAnchor="margin" w:tblpY="2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6804"/>
      </w:tblGrid>
      <w:tr w:rsidR="00995D00" w14:paraId="740A7893" w14:textId="77777777" w:rsidTr="00923940">
        <w:trPr>
          <w:trHeight w:val="195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vAlign w:val="center"/>
          </w:tcPr>
          <w:p w14:paraId="6EBD6CF9" w14:textId="77777777" w:rsidR="00A57838" w:rsidRPr="00885EE2" w:rsidRDefault="00F06577" w:rsidP="003960F7">
            <w:pPr>
              <w:ind w:left="421"/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lastRenderedPageBreak/>
              <w:t xml:space="preserve">IV. Tiesību akta projekta ietekme uz </w:t>
            </w:r>
            <w:r w:rsidRPr="00885EE2">
              <w:rPr>
                <w:b/>
                <w:bCs/>
                <w:lang w:bidi="lo-LA"/>
              </w:rPr>
              <w:t>spēkā esošo tiesību normu sistēmu</w:t>
            </w:r>
          </w:p>
        </w:tc>
      </w:tr>
      <w:tr w:rsidR="00F82EFE" w:rsidRPr="00F82EFE" w14:paraId="0958C7D1" w14:textId="77777777" w:rsidTr="00F82EFE">
        <w:trPr>
          <w:trHeight w:val="3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A0B" w14:textId="04F09B20" w:rsidR="00F82EFE" w:rsidRPr="00F82EFE" w:rsidRDefault="00F82EFE" w:rsidP="00F82EFE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F82EFE">
              <w:rPr>
                <w:rFonts w:eastAsiaTheme="minorHAnsi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C7A" w14:textId="092E1EEE" w:rsidR="00F82EFE" w:rsidRPr="00F82EFE" w:rsidRDefault="00F82EFE" w:rsidP="00F82EFE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F82EFE">
              <w:rPr>
                <w:rFonts w:eastAsiaTheme="minorHAnsi"/>
                <w:szCs w:val="22"/>
                <w:lang w:eastAsia="en-US"/>
              </w:rPr>
              <w:t>Saistītie tiesību aktu projekti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3CD" w14:textId="6B340521" w:rsidR="00F82EFE" w:rsidRPr="00F82EFE" w:rsidRDefault="00F82EFE" w:rsidP="00F82EFE">
            <w:pPr>
              <w:pStyle w:val="tv21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F82EFE">
              <w:rPr>
                <w:rFonts w:eastAsiaTheme="minorHAnsi"/>
                <w:szCs w:val="22"/>
                <w:lang w:eastAsia="en-US"/>
              </w:rPr>
              <w:t>Ar noteikumu projekta spēkā stāšanās brīdi spēku zaudēs Ministru kabineta</w:t>
            </w:r>
            <w:r w:rsidRPr="00F82EFE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F82EFE">
              <w:rPr>
                <w:rFonts w:eastAsiaTheme="minorHAnsi"/>
                <w:szCs w:val="22"/>
                <w:lang w:eastAsia="en-US"/>
              </w:rPr>
              <w:t>2008. gada 29. septembra noteikum</w:t>
            </w:r>
            <w:r>
              <w:rPr>
                <w:rFonts w:eastAsiaTheme="minorHAnsi"/>
                <w:szCs w:val="22"/>
                <w:lang w:eastAsia="en-US"/>
              </w:rPr>
              <w:t>i</w:t>
            </w:r>
            <w:r w:rsidRPr="00F82EFE">
              <w:rPr>
                <w:rFonts w:eastAsiaTheme="minorHAnsi"/>
                <w:szCs w:val="22"/>
                <w:lang w:eastAsia="en-US"/>
              </w:rPr>
              <w:t xml:space="preserve"> Nr. 795 “Konkurences padomes nolikums” (Latvijas Vēstnesis, 2008, 153. nr.; 2010, 49. nr.).</w:t>
            </w:r>
          </w:p>
        </w:tc>
      </w:tr>
      <w:tr w:rsidR="00F82EFE" w:rsidRPr="00F82EFE" w14:paraId="21B863EC" w14:textId="77777777" w:rsidTr="00F82EFE">
        <w:trPr>
          <w:trHeight w:val="3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CA8" w14:textId="3224371B" w:rsidR="00F82EFE" w:rsidRPr="00F82EFE" w:rsidRDefault="00F82EFE" w:rsidP="00F82EFE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F82EFE">
              <w:rPr>
                <w:rFonts w:eastAsiaTheme="minorHAnsi"/>
                <w:szCs w:val="22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E55" w14:textId="0A0D0D8E" w:rsidR="00F82EFE" w:rsidRPr="00F82EFE" w:rsidRDefault="00F82EFE" w:rsidP="00F82EFE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F82EFE">
              <w:rPr>
                <w:rFonts w:eastAsiaTheme="minorHAnsi"/>
                <w:szCs w:val="22"/>
                <w:lang w:eastAsia="en-US"/>
              </w:rPr>
              <w:t>Atbildīgā institūcija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006" w14:textId="7F47A05E" w:rsidR="00F82EFE" w:rsidRPr="00F82EFE" w:rsidRDefault="00F82EFE" w:rsidP="00F82EFE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Ekonomikas ministrija</w:t>
            </w:r>
          </w:p>
        </w:tc>
      </w:tr>
      <w:tr w:rsidR="00F82EFE" w:rsidRPr="00F82EFE" w14:paraId="14BAA35B" w14:textId="77777777" w:rsidTr="00F82EFE">
        <w:trPr>
          <w:trHeight w:val="3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7A8" w14:textId="1367238A" w:rsidR="00F82EFE" w:rsidRPr="00F82EFE" w:rsidRDefault="00F82EFE" w:rsidP="00F82EFE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F82EFE">
              <w:rPr>
                <w:rFonts w:eastAsiaTheme="minorHAnsi"/>
                <w:szCs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415" w14:textId="32828AF3" w:rsidR="00F82EFE" w:rsidRPr="00F82EFE" w:rsidRDefault="00F82EFE" w:rsidP="00F82EFE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 w:rsidRPr="00F82EFE">
              <w:rPr>
                <w:rFonts w:eastAsiaTheme="minorHAnsi"/>
                <w:szCs w:val="22"/>
                <w:lang w:eastAsia="en-US"/>
              </w:rPr>
              <w:t>Cita informācija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B51C" w14:textId="2A977D82" w:rsidR="00F82EFE" w:rsidRPr="00F82EFE" w:rsidRDefault="00F82EFE" w:rsidP="00F82EFE">
            <w:pPr>
              <w:contextualSpacing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Nav</w:t>
            </w:r>
          </w:p>
        </w:tc>
      </w:tr>
    </w:tbl>
    <w:p w14:paraId="53388392" w14:textId="137D5752" w:rsidR="00A173DA" w:rsidRDefault="00A173DA" w:rsidP="00F82EFE">
      <w:pPr>
        <w:contextualSpacing/>
        <w:rPr>
          <w:rFonts w:eastAsiaTheme="minorHAnsi"/>
          <w:szCs w:val="22"/>
          <w:lang w:eastAsia="en-US"/>
        </w:rPr>
      </w:pPr>
    </w:p>
    <w:p w14:paraId="4A8B95A4" w14:textId="77777777" w:rsidR="00841489" w:rsidRDefault="00841489" w:rsidP="00F82EFE">
      <w:pPr>
        <w:contextualSpacing/>
        <w:rPr>
          <w:rFonts w:eastAsiaTheme="minorHAnsi"/>
          <w:szCs w:val="22"/>
          <w:lang w:eastAsia="en-US"/>
        </w:rPr>
      </w:pPr>
    </w:p>
    <w:tbl>
      <w:tblPr>
        <w:tblpPr w:leftFromText="180" w:rightFromText="180" w:vertAnchor="text" w:horzAnchor="margin" w:tblpY="3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A173DA" w14:paraId="679C4844" w14:textId="77777777" w:rsidTr="00A173DA">
        <w:trPr>
          <w:trHeight w:val="195"/>
        </w:trPr>
        <w:tc>
          <w:tcPr>
            <w:tcW w:w="9493" w:type="dxa"/>
            <w:vAlign w:val="center"/>
          </w:tcPr>
          <w:p w14:paraId="02E6B437" w14:textId="77777777" w:rsidR="00A173DA" w:rsidRPr="00885EE2" w:rsidRDefault="00A173DA" w:rsidP="00A173DA">
            <w:pPr>
              <w:ind w:left="421"/>
              <w:contextualSpacing/>
              <w:jc w:val="center"/>
              <w:rPr>
                <w:b/>
                <w:bCs/>
              </w:rPr>
            </w:pPr>
            <w:r w:rsidRPr="00885EE2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173DA" w14:paraId="558D50FB" w14:textId="77777777" w:rsidTr="00A173DA">
        <w:trPr>
          <w:trHeight w:val="331"/>
        </w:trPr>
        <w:tc>
          <w:tcPr>
            <w:tcW w:w="9493" w:type="dxa"/>
          </w:tcPr>
          <w:p w14:paraId="718D51F0" w14:textId="77777777" w:rsidR="00A173DA" w:rsidRPr="00885EE2" w:rsidRDefault="00A173DA" w:rsidP="00A173DA">
            <w:pPr>
              <w:contextualSpacing/>
              <w:jc w:val="center"/>
              <w:rPr>
                <w:iCs/>
              </w:rPr>
            </w:pPr>
            <w:r w:rsidRPr="00885EE2">
              <w:rPr>
                <w:iCs/>
              </w:rPr>
              <w:t>Projekts šo jomu neskar</w:t>
            </w:r>
          </w:p>
        </w:tc>
      </w:tr>
    </w:tbl>
    <w:p w14:paraId="6F972734" w14:textId="67F89EE6" w:rsidR="00A173DA" w:rsidRDefault="00A173DA" w:rsidP="00F82EFE">
      <w:pPr>
        <w:contextualSpacing/>
        <w:rPr>
          <w:rFonts w:eastAsiaTheme="minorHAnsi"/>
          <w:szCs w:val="22"/>
          <w:lang w:eastAsia="en-US"/>
        </w:rPr>
      </w:pPr>
    </w:p>
    <w:p w14:paraId="47F4D417" w14:textId="77777777" w:rsidR="00841489" w:rsidRPr="00F82EFE" w:rsidRDefault="00841489" w:rsidP="00F82EFE">
      <w:pPr>
        <w:contextualSpacing/>
        <w:rPr>
          <w:rFonts w:eastAsiaTheme="minorHAnsi"/>
          <w:szCs w:val="22"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1"/>
        <w:gridCol w:w="2405"/>
        <w:gridCol w:w="1139"/>
        <w:gridCol w:w="5410"/>
      </w:tblGrid>
      <w:tr w:rsidR="00A173DA" w:rsidRPr="00885EE2" w14:paraId="3054843E" w14:textId="77777777" w:rsidTr="00A173DA">
        <w:trPr>
          <w:trHeight w:val="420"/>
        </w:trPr>
        <w:tc>
          <w:tcPr>
            <w:tcW w:w="5000" w:type="pct"/>
            <w:gridSpan w:val="5"/>
            <w:shd w:val="clear" w:color="auto" w:fill="auto"/>
            <w:hideMark/>
          </w:tcPr>
          <w:p w14:paraId="6282005B" w14:textId="77777777" w:rsidR="00A173DA" w:rsidRPr="00885EE2" w:rsidRDefault="00A173DA" w:rsidP="001B2395">
            <w:pPr>
              <w:jc w:val="center"/>
              <w:rPr>
                <w:b/>
                <w:bCs/>
              </w:rPr>
            </w:pPr>
            <w:r w:rsidRPr="00885EE2">
              <w:t> </w:t>
            </w:r>
            <w:r w:rsidRPr="00885EE2">
              <w:rPr>
                <w:b/>
                <w:bCs/>
              </w:rPr>
              <w:t>VI. Sabiedrības līdzdalība un komunikācijas aktivitātes</w:t>
            </w:r>
          </w:p>
        </w:tc>
      </w:tr>
      <w:tr w:rsidR="00A173DA" w:rsidRPr="00885EE2" w14:paraId="3CE142A2" w14:textId="77777777" w:rsidTr="00A173DA">
        <w:trPr>
          <w:trHeight w:val="540"/>
        </w:trPr>
        <w:tc>
          <w:tcPr>
            <w:tcW w:w="235" w:type="pct"/>
            <w:gridSpan w:val="2"/>
            <w:shd w:val="clear" w:color="auto" w:fill="auto"/>
            <w:hideMark/>
          </w:tcPr>
          <w:p w14:paraId="3562088E" w14:textId="77777777" w:rsidR="00A173DA" w:rsidRPr="00885EE2" w:rsidRDefault="00A173DA" w:rsidP="001B2395">
            <w:r w:rsidRPr="00885EE2">
              <w:t>1.</w:t>
            </w:r>
          </w:p>
        </w:tc>
        <w:tc>
          <w:tcPr>
            <w:tcW w:w="1280" w:type="pct"/>
            <w:shd w:val="clear" w:color="auto" w:fill="auto"/>
            <w:hideMark/>
          </w:tcPr>
          <w:p w14:paraId="0CEEF4C0" w14:textId="77777777" w:rsidR="00A173DA" w:rsidRPr="00885EE2" w:rsidRDefault="00A173DA" w:rsidP="001B2395">
            <w:r w:rsidRPr="00885EE2">
              <w:t>Plānotās sabiedrības līdzdalības un komunikācijas aktivitātes saistībā ar projektu</w:t>
            </w:r>
          </w:p>
        </w:tc>
        <w:tc>
          <w:tcPr>
            <w:tcW w:w="3485" w:type="pct"/>
            <w:gridSpan w:val="2"/>
            <w:shd w:val="clear" w:color="auto" w:fill="auto"/>
            <w:hideMark/>
          </w:tcPr>
          <w:p w14:paraId="10952D0A" w14:textId="45A85286" w:rsidR="00A173DA" w:rsidRPr="00AC6820" w:rsidRDefault="00A173DA" w:rsidP="00A173DA">
            <w:pPr>
              <w:pStyle w:val="naiskr"/>
              <w:spacing w:before="0" w:after="0"/>
              <w:ind w:right="57"/>
              <w:jc w:val="both"/>
              <w:rPr>
                <w:iCs/>
              </w:rPr>
            </w:pPr>
            <w:r>
              <w:rPr>
                <w:rStyle w:val="st1"/>
                <w:bCs/>
              </w:rPr>
              <w:t xml:space="preserve">Paziņojums par līdzdalības iespējām </w:t>
            </w:r>
            <w:r>
              <w:rPr>
                <w:iCs/>
              </w:rPr>
              <w:t>P</w:t>
            </w:r>
            <w:r w:rsidRPr="00AC6820">
              <w:rPr>
                <w:iCs/>
              </w:rPr>
              <w:t>rojekta izstrād</w:t>
            </w:r>
            <w:r>
              <w:rPr>
                <w:iCs/>
              </w:rPr>
              <w:t>es procesā</w:t>
            </w:r>
            <w:r w:rsidRPr="00AC6820">
              <w:rPr>
                <w:iCs/>
              </w:rPr>
              <w:t xml:space="preserve"> </w:t>
            </w:r>
            <w:r>
              <w:rPr>
                <w:iCs/>
              </w:rPr>
              <w:t>ir</w:t>
            </w:r>
            <w:r w:rsidRPr="00AC6820">
              <w:rPr>
                <w:iCs/>
              </w:rPr>
              <w:t xml:space="preserve"> </w:t>
            </w:r>
            <w:r>
              <w:rPr>
                <w:iCs/>
              </w:rPr>
              <w:t>ievietots</w:t>
            </w:r>
            <w:r w:rsidRPr="00AC6820">
              <w:rPr>
                <w:iCs/>
              </w:rPr>
              <w:t xml:space="preserve"> Ekonomikas ministrijas mājas lapā </w:t>
            </w:r>
            <w:r>
              <w:rPr>
                <w:iCs/>
              </w:rPr>
              <w:t xml:space="preserve">vismaz </w:t>
            </w:r>
            <w:r w:rsidRPr="00AC6820">
              <w:rPr>
                <w:iCs/>
              </w:rPr>
              <w:t>2 nedēļas pirms tā izsludināšanas Valsts sekretāru sanāksmē.</w:t>
            </w:r>
          </w:p>
          <w:p w14:paraId="46300FF7" w14:textId="2E5511B6" w:rsidR="00A173DA" w:rsidRPr="00885EE2" w:rsidRDefault="00A173DA" w:rsidP="001B2395">
            <w:pPr>
              <w:jc w:val="both"/>
            </w:pPr>
          </w:p>
        </w:tc>
      </w:tr>
      <w:tr w:rsidR="00A173DA" w:rsidRPr="00885EE2" w14:paraId="36155943" w14:textId="77777777" w:rsidTr="00A173DA">
        <w:trPr>
          <w:trHeight w:val="330"/>
        </w:trPr>
        <w:tc>
          <w:tcPr>
            <w:tcW w:w="235" w:type="pct"/>
            <w:gridSpan w:val="2"/>
            <w:shd w:val="clear" w:color="auto" w:fill="auto"/>
            <w:hideMark/>
          </w:tcPr>
          <w:p w14:paraId="28C61AC4" w14:textId="77777777" w:rsidR="00A173DA" w:rsidRPr="00885EE2" w:rsidRDefault="00A173DA" w:rsidP="001B2395">
            <w:r w:rsidRPr="00885EE2">
              <w:t>2.</w:t>
            </w:r>
          </w:p>
        </w:tc>
        <w:tc>
          <w:tcPr>
            <w:tcW w:w="1280" w:type="pct"/>
            <w:shd w:val="clear" w:color="auto" w:fill="auto"/>
            <w:hideMark/>
          </w:tcPr>
          <w:p w14:paraId="52FDA9D8" w14:textId="77777777" w:rsidR="00A173DA" w:rsidRPr="00885EE2" w:rsidRDefault="00A173DA" w:rsidP="001B2395">
            <w:r w:rsidRPr="00885EE2">
              <w:t>Sabiedrības līdzdalība projekta izstrādē</w:t>
            </w:r>
          </w:p>
        </w:tc>
        <w:tc>
          <w:tcPr>
            <w:tcW w:w="3485" w:type="pct"/>
            <w:gridSpan w:val="2"/>
            <w:shd w:val="clear" w:color="auto" w:fill="auto"/>
          </w:tcPr>
          <w:p w14:paraId="54FE3E38" w14:textId="0BE46844" w:rsidR="00841489" w:rsidRDefault="00841489" w:rsidP="00841489">
            <w:pPr>
              <w:contextualSpacing/>
              <w:jc w:val="both"/>
            </w:pPr>
            <w:r>
              <w:t>Ar</w:t>
            </w:r>
            <w:r w:rsidR="00A173DA" w:rsidRPr="00885EE2">
              <w:t xml:space="preserve"> </w:t>
            </w:r>
            <w:r>
              <w:t>P</w:t>
            </w:r>
            <w:r w:rsidRPr="00885EE2">
              <w:t xml:space="preserve">rojektu paredzēts </w:t>
            </w:r>
            <w:r>
              <w:t>izdot no jauna Konkurences padomes nolikumu</w:t>
            </w:r>
            <w:r w:rsidRPr="00885EE2">
              <w:rPr>
                <w:bCs/>
              </w:rPr>
              <w:t xml:space="preserve">, lai nodrošinātu </w:t>
            </w:r>
            <w:r>
              <w:t xml:space="preserve">Noteikumos Nr.795 </w:t>
            </w:r>
            <w:r w:rsidRPr="00885EE2">
              <w:rPr>
                <w:bCs/>
              </w:rPr>
              <w:t>ietvertā normatīvā regulējuma atbilstību spēkā</w:t>
            </w:r>
            <w:r w:rsidR="00A173DA" w:rsidRPr="00885EE2">
              <w:t xml:space="preserve"> </w:t>
            </w:r>
            <w:r w:rsidRPr="00885EE2">
              <w:rPr>
                <w:bCs/>
              </w:rPr>
              <w:t>esošiem ārējiem tiesību aktiem</w:t>
            </w:r>
            <w:r>
              <w:rPr>
                <w:bCs/>
              </w:rPr>
              <w:t xml:space="preserve"> un faktiskajai situācijai</w:t>
            </w:r>
            <w:r w:rsidRPr="00885EE2">
              <w:t xml:space="preserve">, </w:t>
            </w:r>
            <w:r>
              <w:t>būtiski nemainot</w:t>
            </w:r>
            <w:r w:rsidRPr="00885EE2">
              <w:t xml:space="preserve"> esošo regulējumu un neievieš</w:t>
            </w:r>
            <w:r>
              <w:t>ot</w:t>
            </w:r>
            <w:r w:rsidRPr="00885EE2">
              <w:t xml:space="preserve"> jaunas politikas iniciatīvas</w:t>
            </w:r>
            <w:r>
              <w:t>.</w:t>
            </w:r>
          </w:p>
          <w:p w14:paraId="686998BC" w14:textId="3871FD66" w:rsidR="00A173DA" w:rsidRPr="00885EE2" w:rsidRDefault="00841489" w:rsidP="00841489">
            <w:pPr>
              <w:jc w:val="both"/>
            </w:pPr>
            <w:r>
              <w:rPr>
                <w:iCs/>
                <w:color w:val="000000" w:themeColor="text1"/>
              </w:rPr>
              <w:t>Tomēr, l</w:t>
            </w:r>
            <w:r w:rsidRPr="0034404C">
              <w:rPr>
                <w:iCs/>
                <w:color w:val="000000" w:themeColor="text1"/>
              </w:rPr>
              <w:t xml:space="preserve">ai informētu sabiedrību un nodrošinātu iespēju izteikt viedokļus, noteikumu projekts kopā ar sākotnējās ietekmes novērtējuma ziņojumu </w:t>
            </w:r>
            <w:r>
              <w:rPr>
                <w:iCs/>
                <w:color w:val="000000" w:themeColor="text1"/>
              </w:rPr>
              <w:t xml:space="preserve">2018. gada 18. decembrī </w:t>
            </w:r>
            <w:r w:rsidRPr="0034404C">
              <w:rPr>
                <w:iCs/>
                <w:color w:val="000000" w:themeColor="text1"/>
              </w:rPr>
              <w:t>ievietots Ekonomikas ministrijas tīmekļa vietnē</w:t>
            </w:r>
            <w:r>
              <w:rPr>
                <w:iCs/>
                <w:color w:val="000000" w:themeColor="text1"/>
              </w:rPr>
              <w:t xml:space="preserve"> (</w:t>
            </w:r>
            <w:hyperlink r:id="rId8" w:history="1">
              <w:r w:rsidRPr="008051DE">
                <w:rPr>
                  <w:rStyle w:val="Hyperlink"/>
                  <w:iCs/>
                </w:rPr>
                <w:t>https://www.em.gov.lv/</w:t>
              </w:r>
            </w:hyperlink>
            <w:r>
              <w:rPr>
                <w:iCs/>
                <w:color w:val="000000" w:themeColor="text1"/>
              </w:rPr>
              <w:t>)</w:t>
            </w:r>
            <w:r w:rsidR="00A87BBA">
              <w:rPr>
                <w:iCs/>
                <w:color w:val="000000" w:themeColor="text1"/>
              </w:rPr>
              <w:t xml:space="preserve">, </w:t>
            </w:r>
            <w:r w:rsidRPr="0034404C">
              <w:rPr>
                <w:iCs/>
                <w:color w:val="000000" w:themeColor="text1"/>
              </w:rPr>
              <w:t>aicinot sabiedrību izteikt atsauksmes un viedokļus.</w:t>
            </w:r>
            <w:bookmarkStart w:id="1" w:name="_GoBack"/>
            <w:bookmarkEnd w:id="1"/>
          </w:p>
        </w:tc>
      </w:tr>
      <w:tr w:rsidR="00A173DA" w:rsidRPr="00885EE2" w14:paraId="50FF89CB" w14:textId="77777777" w:rsidTr="00A173DA">
        <w:trPr>
          <w:trHeight w:val="465"/>
        </w:trPr>
        <w:tc>
          <w:tcPr>
            <w:tcW w:w="23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C0E2791" w14:textId="77777777" w:rsidR="00A173DA" w:rsidRPr="00885EE2" w:rsidRDefault="00A173DA" w:rsidP="001B2395">
            <w:r w:rsidRPr="00885EE2">
              <w:t>3.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610E9C5" w14:textId="77777777" w:rsidR="00A173DA" w:rsidRPr="00885EE2" w:rsidRDefault="00A173DA" w:rsidP="001B2395">
            <w:r w:rsidRPr="00885EE2">
              <w:t>Sabiedrības līdzdalības rezultāti</w:t>
            </w:r>
          </w:p>
        </w:tc>
        <w:tc>
          <w:tcPr>
            <w:tcW w:w="348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533C4" w14:textId="2CA9B92A" w:rsidR="00A173DA" w:rsidRPr="00885EE2" w:rsidRDefault="00841489" w:rsidP="001B2395">
            <w:pPr>
              <w:jc w:val="both"/>
            </w:pPr>
            <w:r>
              <w:t>Nav.</w:t>
            </w:r>
          </w:p>
        </w:tc>
      </w:tr>
      <w:tr w:rsidR="00A173DA" w:rsidRPr="00885EE2" w14:paraId="35D469F6" w14:textId="77777777" w:rsidTr="00A173DA">
        <w:trPr>
          <w:trHeight w:val="465"/>
        </w:trPr>
        <w:tc>
          <w:tcPr>
            <w:tcW w:w="23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656154D" w14:textId="77777777" w:rsidR="00A173DA" w:rsidRPr="00885EE2" w:rsidRDefault="00A173DA" w:rsidP="001B2395">
            <w:r w:rsidRPr="00885EE2">
              <w:t>4.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F7C12AC" w14:textId="77777777" w:rsidR="00A173DA" w:rsidRPr="00885EE2" w:rsidRDefault="00A173DA" w:rsidP="001B2395">
            <w:r w:rsidRPr="00885EE2">
              <w:t>Cita informācija</w:t>
            </w:r>
          </w:p>
        </w:tc>
        <w:tc>
          <w:tcPr>
            <w:tcW w:w="348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E5394F" w14:textId="51529CB9" w:rsidR="00A173DA" w:rsidRPr="00885EE2" w:rsidRDefault="00A173DA" w:rsidP="001B2395">
            <w:pPr>
              <w:jc w:val="both"/>
            </w:pPr>
            <w:r w:rsidRPr="00885EE2">
              <w:t>Nav.</w:t>
            </w:r>
          </w:p>
        </w:tc>
      </w:tr>
      <w:tr w:rsidR="00A173DA" w:rsidRPr="00885EE2" w14:paraId="46BF8FC6" w14:textId="77777777" w:rsidTr="00A173DA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1884C" w14:textId="77777777" w:rsidR="00A173DA" w:rsidRDefault="00A173DA" w:rsidP="001B2395">
            <w:pPr>
              <w:pStyle w:val="naisnod"/>
              <w:spacing w:before="0" w:beforeAutospacing="0" w:after="0" w:afterAutospacing="0"/>
              <w:ind w:left="57" w:right="57"/>
              <w:rPr>
                <w:b/>
              </w:rPr>
            </w:pPr>
          </w:p>
          <w:p w14:paraId="30F1C92D" w14:textId="16795DD6" w:rsidR="00841489" w:rsidRPr="00885EE2" w:rsidRDefault="00841489" w:rsidP="001B2395">
            <w:pPr>
              <w:pStyle w:val="naisnod"/>
              <w:spacing w:before="0" w:beforeAutospacing="0" w:after="0" w:afterAutospacing="0"/>
              <w:ind w:left="57" w:right="57"/>
              <w:rPr>
                <w:b/>
              </w:rPr>
            </w:pPr>
          </w:p>
        </w:tc>
      </w:tr>
      <w:tr w:rsidR="00A173DA" w:rsidRPr="00885EE2" w14:paraId="74E75D21" w14:textId="77777777" w:rsidTr="00A173DA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3DFB8342" w14:textId="77777777" w:rsidR="00A173DA" w:rsidRPr="00885EE2" w:rsidRDefault="00A173DA" w:rsidP="001B2395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885EE2">
              <w:rPr>
                <w:b/>
              </w:rPr>
              <w:t>VII. Tiesību akta projekta izpildes nodrošināšana un tās ietekme uz institūcijām</w:t>
            </w:r>
          </w:p>
        </w:tc>
      </w:tr>
      <w:tr w:rsidR="00A173DA" w:rsidRPr="00885EE2" w14:paraId="0CF7500D" w14:textId="77777777" w:rsidTr="00A173DA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7"/>
          <w:jc w:val="center"/>
        </w:trPr>
        <w:tc>
          <w:tcPr>
            <w:tcW w:w="224" w:type="pct"/>
          </w:tcPr>
          <w:p w14:paraId="6AECB93D" w14:textId="77777777" w:rsidR="00A173DA" w:rsidRPr="00885EE2" w:rsidRDefault="00A173DA" w:rsidP="001B2395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885EE2">
              <w:t>1.</w:t>
            </w:r>
          </w:p>
        </w:tc>
        <w:tc>
          <w:tcPr>
            <w:tcW w:w="1897" w:type="pct"/>
            <w:gridSpan w:val="3"/>
          </w:tcPr>
          <w:p w14:paraId="168B5BEA" w14:textId="77777777" w:rsidR="00A173DA" w:rsidRPr="00885EE2" w:rsidRDefault="00A173DA" w:rsidP="001B2395">
            <w:pPr>
              <w:pStyle w:val="naisf"/>
              <w:spacing w:before="0" w:beforeAutospacing="0" w:after="0" w:afterAutospacing="0"/>
              <w:ind w:left="57" w:right="57"/>
            </w:pPr>
            <w:r w:rsidRPr="00885EE2">
              <w:t>Projekta izpildē iesaistītās institūcijas</w:t>
            </w:r>
          </w:p>
        </w:tc>
        <w:tc>
          <w:tcPr>
            <w:tcW w:w="2879" w:type="pct"/>
          </w:tcPr>
          <w:p w14:paraId="7B51D222" w14:textId="064D052E" w:rsidR="00A173DA" w:rsidRPr="00885EE2" w:rsidRDefault="00A173DA" w:rsidP="001B2395">
            <w:pPr>
              <w:ind w:right="114"/>
              <w:jc w:val="both"/>
              <w:rPr>
                <w:bCs/>
              </w:rPr>
            </w:pPr>
            <w:r w:rsidRPr="00885EE2">
              <w:rPr>
                <w:bCs/>
              </w:rPr>
              <w:t xml:space="preserve"> Projekta izpildi nodrošinās </w:t>
            </w:r>
            <w:r>
              <w:rPr>
                <w:bCs/>
              </w:rPr>
              <w:t>Konkurences padome</w:t>
            </w:r>
            <w:r w:rsidRPr="00885EE2">
              <w:t>.</w:t>
            </w:r>
          </w:p>
        </w:tc>
      </w:tr>
      <w:tr w:rsidR="00A173DA" w:rsidRPr="00885EE2" w14:paraId="0ACFA1F7" w14:textId="77777777" w:rsidTr="00A173DA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3"/>
          <w:jc w:val="center"/>
        </w:trPr>
        <w:tc>
          <w:tcPr>
            <w:tcW w:w="224" w:type="pct"/>
          </w:tcPr>
          <w:p w14:paraId="06C6B335" w14:textId="77777777" w:rsidR="00A173DA" w:rsidRPr="00885EE2" w:rsidRDefault="00A173DA" w:rsidP="001B2395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885EE2">
              <w:t>2.</w:t>
            </w:r>
          </w:p>
        </w:tc>
        <w:tc>
          <w:tcPr>
            <w:tcW w:w="1897" w:type="pct"/>
            <w:gridSpan w:val="3"/>
          </w:tcPr>
          <w:p w14:paraId="0FD59960" w14:textId="77777777" w:rsidR="00A173DA" w:rsidRPr="00885EE2" w:rsidRDefault="00A173DA" w:rsidP="001B2395">
            <w:pPr>
              <w:pStyle w:val="naisf"/>
              <w:spacing w:before="0" w:beforeAutospacing="0" w:after="0" w:afterAutospacing="0"/>
              <w:ind w:left="57" w:right="57"/>
              <w:jc w:val="left"/>
            </w:pPr>
            <w:r w:rsidRPr="00885EE2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879" w:type="pct"/>
          </w:tcPr>
          <w:p w14:paraId="1069B64B" w14:textId="77777777" w:rsidR="00A173DA" w:rsidRPr="00885EE2" w:rsidRDefault="00A173DA" w:rsidP="001B2395">
            <w:pPr>
              <w:ind w:left="-28"/>
              <w:jc w:val="both"/>
            </w:pPr>
            <w:r w:rsidRPr="00885EE2">
              <w:t xml:space="preserve">    Ar projektu netiek paplašinātas </w:t>
            </w:r>
            <w:r>
              <w:t>iestādei</w:t>
            </w:r>
            <w:r w:rsidRPr="00885EE2">
              <w:t xml:space="preserve"> normatīvajos aktos noteiktās funkcijas.</w:t>
            </w:r>
          </w:p>
          <w:p w14:paraId="42831A7C" w14:textId="77777777" w:rsidR="00A173DA" w:rsidRPr="00885EE2" w:rsidRDefault="00A173DA" w:rsidP="001B2395">
            <w:pPr>
              <w:ind w:left="-28"/>
              <w:jc w:val="both"/>
            </w:pPr>
            <w:r w:rsidRPr="00885EE2">
              <w:t xml:space="preserve">    Projekts neparedz jaunu institūciju izveidi vai esošo institūciju likvidāciju vai reorganizāciju, kā arī projektam nav ietekmes uz esošo institūciju cilvēkresursiem.</w:t>
            </w:r>
          </w:p>
          <w:p w14:paraId="3A9BEC93" w14:textId="77777777" w:rsidR="00A173DA" w:rsidRPr="00885EE2" w:rsidRDefault="00A173DA" w:rsidP="001B2395">
            <w:pPr>
              <w:ind w:left="121" w:right="114"/>
              <w:jc w:val="both"/>
            </w:pPr>
          </w:p>
        </w:tc>
      </w:tr>
      <w:tr w:rsidR="00A173DA" w:rsidRPr="00885EE2" w14:paraId="346CA090" w14:textId="77777777" w:rsidTr="00A173DA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2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3D0C" w14:textId="77777777" w:rsidR="00A173DA" w:rsidRPr="00885EE2" w:rsidRDefault="00A173DA" w:rsidP="001B2395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885EE2">
              <w:lastRenderedPageBreak/>
              <w:t>3.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7AA" w14:textId="77777777" w:rsidR="00A173DA" w:rsidRPr="00885EE2" w:rsidRDefault="00A173DA" w:rsidP="001B2395">
            <w:pPr>
              <w:pStyle w:val="naisf"/>
              <w:spacing w:before="0" w:beforeAutospacing="0" w:after="0" w:afterAutospacing="0"/>
              <w:ind w:right="57" w:firstLine="74"/>
            </w:pPr>
            <w:r w:rsidRPr="00885EE2">
              <w:t>Cita informācija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7A97" w14:textId="77777777" w:rsidR="00A173DA" w:rsidRPr="00885EE2" w:rsidRDefault="00A173DA" w:rsidP="001B2395">
            <w:pPr>
              <w:ind w:right="57"/>
              <w:jc w:val="both"/>
            </w:pPr>
            <w:r w:rsidRPr="00885EE2">
              <w:t xml:space="preserve">    Nav.</w:t>
            </w:r>
          </w:p>
        </w:tc>
      </w:tr>
    </w:tbl>
    <w:p w14:paraId="1C7EC463" w14:textId="77777777" w:rsidR="006B5644" w:rsidRDefault="006B5644" w:rsidP="003960F7">
      <w:pPr>
        <w:contextualSpacing/>
        <w:jc w:val="both"/>
        <w:rPr>
          <w:sz w:val="27"/>
          <w:szCs w:val="27"/>
        </w:rPr>
      </w:pPr>
    </w:p>
    <w:p w14:paraId="423C893D" w14:textId="77777777" w:rsidR="00C46497" w:rsidRDefault="00C46497" w:rsidP="003960F7">
      <w:pPr>
        <w:contextualSpacing/>
        <w:jc w:val="both"/>
        <w:rPr>
          <w:sz w:val="27"/>
          <w:szCs w:val="27"/>
        </w:rPr>
      </w:pPr>
    </w:p>
    <w:p w14:paraId="2769BDE8" w14:textId="77777777" w:rsidR="00C46497" w:rsidRDefault="00C46497" w:rsidP="003960F7">
      <w:pPr>
        <w:contextualSpacing/>
        <w:jc w:val="both"/>
        <w:rPr>
          <w:sz w:val="27"/>
          <w:szCs w:val="27"/>
        </w:rPr>
      </w:pPr>
    </w:p>
    <w:p w14:paraId="78684C9A" w14:textId="77777777" w:rsidR="00576628" w:rsidRPr="00841489" w:rsidRDefault="00576628" w:rsidP="003960F7">
      <w:pPr>
        <w:contextualSpacing/>
        <w:jc w:val="both"/>
        <w:rPr>
          <w:sz w:val="28"/>
          <w:szCs w:val="28"/>
        </w:rPr>
      </w:pPr>
      <w:r w:rsidRPr="00841489">
        <w:rPr>
          <w:sz w:val="28"/>
          <w:szCs w:val="28"/>
        </w:rPr>
        <w:t xml:space="preserve">Ministru prezidenta biedrs, </w:t>
      </w:r>
    </w:p>
    <w:p w14:paraId="544FB65E" w14:textId="4829C6DF" w:rsidR="00576628" w:rsidRPr="00841489" w:rsidRDefault="00576628" w:rsidP="00E86B80">
      <w:pPr>
        <w:tabs>
          <w:tab w:val="left" w:pos="7230"/>
        </w:tabs>
        <w:contextualSpacing/>
        <w:jc w:val="both"/>
        <w:rPr>
          <w:sz w:val="28"/>
          <w:szCs w:val="28"/>
        </w:rPr>
      </w:pPr>
      <w:r w:rsidRPr="00841489">
        <w:rPr>
          <w:sz w:val="28"/>
          <w:szCs w:val="28"/>
        </w:rPr>
        <w:t>ekonomikas ministrs</w:t>
      </w:r>
      <w:r w:rsidRPr="00841489">
        <w:rPr>
          <w:sz w:val="28"/>
          <w:szCs w:val="28"/>
        </w:rPr>
        <w:tab/>
        <w:t>A.</w:t>
      </w:r>
      <w:r w:rsidR="007E63CF" w:rsidRPr="00841489">
        <w:rPr>
          <w:sz w:val="28"/>
          <w:szCs w:val="28"/>
        </w:rPr>
        <w:t> </w:t>
      </w:r>
      <w:r w:rsidRPr="00841489">
        <w:rPr>
          <w:sz w:val="28"/>
          <w:szCs w:val="28"/>
        </w:rPr>
        <w:t>Ašeradens</w:t>
      </w:r>
    </w:p>
    <w:p w14:paraId="111408E5" w14:textId="77777777" w:rsidR="00576628" w:rsidRPr="00841489" w:rsidRDefault="00576628" w:rsidP="00E86B80">
      <w:pPr>
        <w:tabs>
          <w:tab w:val="left" w:pos="7230"/>
        </w:tabs>
        <w:contextualSpacing/>
        <w:jc w:val="both"/>
        <w:rPr>
          <w:sz w:val="28"/>
          <w:szCs w:val="28"/>
        </w:rPr>
      </w:pPr>
    </w:p>
    <w:p w14:paraId="22F630F5" w14:textId="77777777" w:rsidR="000C157D" w:rsidRPr="00841489" w:rsidRDefault="00576628" w:rsidP="00E86B80">
      <w:pPr>
        <w:tabs>
          <w:tab w:val="left" w:pos="7230"/>
        </w:tabs>
        <w:contextualSpacing/>
        <w:jc w:val="both"/>
        <w:rPr>
          <w:sz w:val="28"/>
          <w:szCs w:val="28"/>
        </w:rPr>
      </w:pPr>
      <w:r w:rsidRPr="00841489">
        <w:rPr>
          <w:sz w:val="28"/>
          <w:szCs w:val="28"/>
        </w:rPr>
        <w:t>Vīza:</w:t>
      </w:r>
    </w:p>
    <w:p w14:paraId="59C0DBC1" w14:textId="32664394" w:rsidR="00DE64E8" w:rsidRPr="00841489" w:rsidRDefault="00576628" w:rsidP="00E86B80">
      <w:pPr>
        <w:tabs>
          <w:tab w:val="left" w:pos="7230"/>
        </w:tabs>
        <w:contextualSpacing/>
        <w:jc w:val="both"/>
        <w:rPr>
          <w:sz w:val="28"/>
          <w:szCs w:val="28"/>
        </w:rPr>
      </w:pPr>
      <w:r w:rsidRPr="00841489">
        <w:rPr>
          <w:sz w:val="28"/>
          <w:szCs w:val="28"/>
        </w:rPr>
        <w:t>Valsts sekretārs</w:t>
      </w:r>
      <w:r w:rsidRPr="00841489">
        <w:rPr>
          <w:sz w:val="28"/>
          <w:szCs w:val="28"/>
        </w:rPr>
        <w:tab/>
        <w:t>Ē.</w:t>
      </w:r>
      <w:r w:rsidR="007E63CF" w:rsidRPr="00841489">
        <w:rPr>
          <w:sz w:val="28"/>
          <w:szCs w:val="28"/>
        </w:rPr>
        <w:t> </w:t>
      </w:r>
      <w:r w:rsidRPr="00841489">
        <w:rPr>
          <w:sz w:val="28"/>
          <w:szCs w:val="28"/>
        </w:rPr>
        <w:t>Eglītis</w:t>
      </w:r>
    </w:p>
    <w:p w14:paraId="56BB5028" w14:textId="77777777" w:rsidR="00923940" w:rsidRPr="00841489" w:rsidRDefault="00923940" w:rsidP="003960F7">
      <w:pPr>
        <w:contextualSpacing/>
        <w:jc w:val="both"/>
        <w:rPr>
          <w:sz w:val="28"/>
          <w:szCs w:val="28"/>
        </w:rPr>
      </w:pPr>
    </w:p>
    <w:p w14:paraId="6AFEEE96" w14:textId="77777777" w:rsidR="002C6B2F" w:rsidRPr="00841489" w:rsidRDefault="002C6B2F" w:rsidP="003960F7">
      <w:pPr>
        <w:contextualSpacing/>
        <w:jc w:val="both"/>
        <w:rPr>
          <w:sz w:val="28"/>
          <w:szCs w:val="28"/>
        </w:rPr>
      </w:pPr>
    </w:p>
    <w:p w14:paraId="043C7778" w14:textId="77777777" w:rsidR="00923940" w:rsidRPr="00923940" w:rsidRDefault="00923940" w:rsidP="003960F7">
      <w:pPr>
        <w:contextualSpacing/>
        <w:rPr>
          <w:noProof/>
          <w:sz w:val="20"/>
          <w:szCs w:val="20"/>
        </w:rPr>
      </w:pPr>
      <w:r w:rsidRPr="00923940">
        <w:rPr>
          <w:noProof/>
          <w:sz w:val="20"/>
          <w:szCs w:val="20"/>
        </w:rPr>
        <w:t>Arta Šmukste 67013263</w:t>
      </w:r>
    </w:p>
    <w:p w14:paraId="1EBFDE29" w14:textId="77777777" w:rsidR="00923940" w:rsidRPr="00923940" w:rsidRDefault="00923940" w:rsidP="003960F7">
      <w:pPr>
        <w:contextualSpacing/>
        <w:rPr>
          <w:sz w:val="20"/>
          <w:szCs w:val="20"/>
        </w:rPr>
      </w:pPr>
      <w:r w:rsidRPr="00923940">
        <w:rPr>
          <w:noProof/>
          <w:sz w:val="20"/>
          <w:szCs w:val="20"/>
        </w:rPr>
        <w:t>Arta.Smukste@em.gov.lv</w:t>
      </w:r>
    </w:p>
    <w:p w14:paraId="41BA7AC6" w14:textId="77777777" w:rsidR="00923940" w:rsidRPr="00923940" w:rsidRDefault="00923940" w:rsidP="003960F7">
      <w:pPr>
        <w:contextualSpacing/>
        <w:rPr>
          <w:sz w:val="16"/>
          <w:szCs w:val="16"/>
        </w:rPr>
      </w:pPr>
    </w:p>
    <w:p w14:paraId="2A04DA65" w14:textId="77777777" w:rsidR="00632454" w:rsidRPr="0075632A" w:rsidRDefault="00B16A76" w:rsidP="003960F7">
      <w:pPr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Dita </w:t>
      </w:r>
      <w:proofErr w:type="spellStart"/>
      <w:r w:rsidR="00632454" w:rsidRPr="0075632A">
        <w:rPr>
          <w:color w:val="000000" w:themeColor="text1"/>
          <w:sz w:val="20"/>
          <w:szCs w:val="20"/>
        </w:rPr>
        <w:t>Dzērviniece</w:t>
      </w:r>
      <w:proofErr w:type="spellEnd"/>
      <w:r w:rsidR="00632454" w:rsidRPr="0075632A">
        <w:rPr>
          <w:color w:val="000000" w:themeColor="text1"/>
          <w:sz w:val="20"/>
          <w:szCs w:val="20"/>
        </w:rPr>
        <w:t xml:space="preserve"> 67365225</w:t>
      </w:r>
    </w:p>
    <w:p w14:paraId="173B0DB7" w14:textId="77777777" w:rsidR="00632454" w:rsidRPr="0075632A" w:rsidRDefault="00632454" w:rsidP="003960F7">
      <w:pPr>
        <w:contextualSpacing/>
        <w:rPr>
          <w:color w:val="000000" w:themeColor="text1"/>
          <w:sz w:val="20"/>
          <w:szCs w:val="20"/>
        </w:rPr>
      </w:pPr>
      <w:r w:rsidRPr="0075632A">
        <w:rPr>
          <w:color w:val="000000" w:themeColor="text1"/>
          <w:sz w:val="20"/>
          <w:szCs w:val="20"/>
        </w:rPr>
        <w:t>dita.dzerviniece@kp.gov.lv</w:t>
      </w:r>
    </w:p>
    <w:sectPr w:rsidR="00632454" w:rsidRPr="0075632A" w:rsidSect="00A173D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134" w:right="1134" w:bottom="1134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9E91" w14:textId="77777777" w:rsidR="00AB17EE" w:rsidRDefault="00AB17EE">
      <w:r>
        <w:separator/>
      </w:r>
    </w:p>
  </w:endnote>
  <w:endnote w:type="continuationSeparator" w:id="0">
    <w:p w14:paraId="701F8BE2" w14:textId="77777777" w:rsidR="00AB17EE" w:rsidRDefault="00AB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D9F5" w14:textId="77777777" w:rsidR="00022FAA" w:rsidRDefault="00F06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7E1E80D0" w14:textId="77777777" w:rsidR="00022FAA" w:rsidRDefault="00022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E442" w14:textId="6ACEAD60" w:rsidR="00022FAA" w:rsidRPr="00EF7B56" w:rsidRDefault="009A1358" w:rsidP="00EF7B56">
    <w:pPr>
      <w:jc w:val="both"/>
      <w:rPr>
        <w:sz w:val="20"/>
        <w:szCs w:val="20"/>
      </w:rPr>
    </w:pPr>
    <w:r>
      <w:rPr>
        <w:sz w:val="20"/>
        <w:szCs w:val="20"/>
      </w:rPr>
      <w:t>E</w:t>
    </w:r>
    <w:r w:rsidR="00681D7E">
      <w:rPr>
        <w:sz w:val="20"/>
        <w:szCs w:val="20"/>
      </w:rPr>
      <w:t>MAnot_</w:t>
    </w:r>
    <w:r w:rsidR="002545E3">
      <w:rPr>
        <w:sz w:val="20"/>
        <w:szCs w:val="20"/>
      </w:rPr>
      <w:t>1712</w:t>
    </w:r>
    <w:r w:rsidR="00F06577">
      <w:rPr>
        <w:sz w:val="20"/>
        <w:szCs w:val="20"/>
      </w:rPr>
      <w:t>18_</w:t>
    </w:r>
    <w:r w:rsidR="0073150E">
      <w:rPr>
        <w:sz w:val="20"/>
        <w:szCs w:val="20"/>
      </w:rPr>
      <w:t>KPnolik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EC88" w14:textId="473F15E2" w:rsidR="00022FAA" w:rsidRPr="00EC1670" w:rsidRDefault="00681D7E" w:rsidP="00EC1670">
    <w:pPr>
      <w:jc w:val="both"/>
      <w:rPr>
        <w:sz w:val="20"/>
        <w:szCs w:val="20"/>
      </w:rPr>
    </w:pPr>
    <w:r>
      <w:rPr>
        <w:sz w:val="20"/>
        <w:szCs w:val="20"/>
      </w:rPr>
      <w:t>EMAnot_</w:t>
    </w:r>
    <w:r w:rsidR="002545E3">
      <w:rPr>
        <w:sz w:val="20"/>
        <w:szCs w:val="20"/>
      </w:rPr>
      <w:t>1712</w:t>
    </w:r>
    <w:r w:rsidR="00B931E6">
      <w:rPr>
        <w:sz w:val="20"/>
        <w:szCs w:val="20"/>
      </w:rPr>
      <w:t>18_KPnolik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6D257" w14:textId="77777777" w:rsidR="00AB17EE" w:rsidRDefault="00AB17EE">
      <w:r>
        <w:separator/>
      </w:r>
    </w:p>
  </w:footnote>
  <w:footnote w:type="continuationSeparator" w:id="0">
    <w:p w14:paraId="61001EDD" w14:textId="77777777" w:rsidR="00AB17EE" w:rsidRDefault="00AB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06CB" w14:textId="77777777" w:rsidR="00022FAA" w:rsidRDefault="00F065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8918F" w14:textId="77777777" w:rsidR="00022FAA" w:rsidRDefault="00022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555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AF5FC8" w14:textId="77777777" w:rsidR="00923940" w:rsidRDefault="009239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9AF0302"/>
    <w:multiLevelType w:val="hybridMultilevel"/>
    <w:tmpl w:val="7408D402"/>
    <w:lvl w:ilvl="0" w:tplc="E3C8ED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D244FC40" w:tentative="1">
      <w:start w:val="1"/>
      <w:numFmt w:val="lowerLetter"/>
      <w:lvlText w:val="%2."/>
      <w:lvlJc w:val="left"/>
      <w:pPr>
        <w:ind w:left="1440" w:hanging="360"/>
      </w:pPr>
    </w:lvl>
    <w:lvl w:ilvl="2" w:tplc="D7AA313E" w:tentative="1">
      <w:start w:val="1"/>
      <w:numFmt w:val="lowerRoman"/>
      <w:lvlText w:val="%3."/>
      <w:lvlJc w:val="right"/>
      <w:pPr>
        <w:ind w:left="2160" w:hanging="180"/>
      </w:pPr>
    </w:lvl>
    <w:lvl w:ilvl="3" w:tplc="7748622E" w:tentative="1">
      <w:start w:val="1"/>
      <w:numFmt w:val="decimal"/>
      <w:lvlText w:val="%4."/>
      <w:lvlJc w:val="left"/>
      <w:pPr>
        <w:ind w:left="2880" w:hanging="360"/>
      </w:pPr>
    </w:lvl>
    <w:lvl w:ilvl="4" w:tplc="133084B6" w:tentative="1">
      <w:start w:val="1"/>
      <w:numFmt w:val="lowerLetter"/>
      <w:lvlText w:val="%5."/>
      <w:lvlJc w:val="left"/>
      <w:pPr>
        <w:ind w:left="3600" w:hanging="360"/>
      </w:pPr>
    </w:lvl>
    <w:lvl w:ilvl="5" w:tplc="9FD67390" w:tentative="1">
      <w:start w:val="1"/>
      <w:numFmt w:val="lowerRoman"/>
      <w:lvlText w:val="%6."/>
      <w:lvlJc w:val="right"/>
      <w:pPr>
        <w:ind w:left="4320" w:hanging="180"/>
      </w:pPr>
    </w:lvl>
    <w:lvl w:ilvl="6" w:tplc="F656FBC4" w:tentative="1">
      <w:start w:val="1"/>
      <w:numFmt w:val="decimal"/>
      <w:lvlText w:val="%7."/>
      <w:lvlJc w:val="left"/>
      <w:pPr>
        <w:ind w:left="5040" w:hanging="360"/>
      </w:pPr>
    </w:lvl>
    <w:lvl w:ilvl="7" w:tplc="5BECEC36" w:tentative="1">
      <w:start w:val="1"/>
      <w:numFmt w:val="lowerLetter"/>
      <w:lvlText w:val="%8."/>
      <w:lvlJc w:val="left"/>
      <w:pPr>
        <w:ind w:left="5760" w:hanging="360"/>
      </w:pPr>
    </w:lvl>
    <w:lvl w:ilvl="8" w:tplc="5BE866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D0"/>
    <w:rsid w:val="00001E13"/>
    <w:rsid w:val="00016B72"/>
    <w:rsid w:val="00021B85"/>
    <w:rsid w:val="00022FAA"/>
    <w:rsid w:val="00031518"/>
    <w:rsid w:val="00034525"/>
    <w:rsid w:val="00041D5C"/>
    <w:rsid w:val="00052D9D"/>
    <w:rsid w:val="000859F4"/>
    <w:rsid w:val="00085D62"/>
    <w:rsid w:val="00091ED7"/>
    <w:rsid w:val="00092438"/>
    <w:rsid w:val="00093BD0"/>
    <w:rsid w:val="0009786F"/>
    <w:rsid w:val="000A7E85"/>
    <w:rsid w:val="000B405F"/>
    <w:rsid w:val="000C08E6"/>
    <w:rsid w:val="000C157D"/>
    <w:rsid w:val="000C6D09"/>
    <w:rsid w:val="000D750D"/>
    <w:rsid w:val="000D7F7A"/>
    <w:rsid w:val="000E0747"/>
    <w:rsid w:val="000F054E"/>
    <w:rsid w:val="000F35C6"/>
    <w:rsid w:val="000F6FC7"/>
    <w:rsid w:val="00114037"/>
    <w:rsid w:val="00141984"/>
    <w:rsid w:val="001550D7"/>
    <w:rsid w:val="00161781"/>
    <w:rsid w:val="001B298F"/>
    <w:rsid w:val="001C3216"/>
    <w:rsid w:val="001C6DFC"/>
    <w:rsid w:val="001D0195"/>
    <w:rsid w:val="001D022D"/>
    <w:rsid w:val="001E0D5A"/>
    <w:rsid w:val="001E2FE8"/>
    <w:rsid w:val="001E38B8"/>
    <w:rsid w:val="001E6DFC"/>
    <w:rsid w:val="001E7BB8"/>
    <w:rsid w:val="001F04C3"/>
    <w:rsid w:val="001F6F96"/>
    <w:rsid w:val="00206266"/>
    <w:rsid w:val="00211F74"/>
    <w:rsid w:val="00214840"/>
    <w:rsid w:val="00214CFB"/>
    <w:rsid w:val="002238B3"/>
    <w:rsid w:val="00237A53"/>
    <w:rsid w:val="00240F6C"/>
    <w:rsid w:val="0025386D"/>
    <w:rsid w:val="002545E3"/>
    <w:rsid w:val="00257E19"/>
    <w:rsid w:val="002623D8"/>
    <w:rsid w:val="002736D2"/>
    <w:rsid w:val="00274C17"/>
    <w:rsid w:val="00291E18"/>
    <w:rsid w:val="00295310"/>
    <w:rsid w:val="002967FD"/>
    <w:rsid w:val="002A2987"/>
    <w:rsid w:val="002C0F92"/>
    <w:rsid w:val="002C2251"/>
    <w:rsid w:val="002C2597"/>
    <w:rsid w:val="002C40DB"/>
    <w:rsid w:val="002C6B2F"/>
    <w:rsid w:val="002D4A24"/>
    <w:rsid w:val="002D4E8F"/>
    <w:rsid w:val="002E4731"/>
    <w:rsid w:val="00323DA0"/>
    <w:rsid w:val="003452AF"/>
    <w:rsid w:val="0035710F"/>
    <w:rsid w:val="00365139"/>
    <w:rsid w:val="00393399"/>
    <w:rsid w:val="003960F7"/>
    <w:rsid w:val="003A11DD"/>
    <w:rsid w:val="003B30B9"/>
    <w:rsid w:val="003F1F13"/>
    <w:rsid w:val="003F509C"/>
    <w:rsid w:val="0041455E"/>
    <w:rsid w:val="00427E01"/>
    <w:rsid w:val="00430C2F"/>
    <w:rsid w:val="00434377"/>
    <w:rsid w:val="0045247E"/>
    <w:rsid w:val="00456AD9"/>
    <w:rsid w:val="004571D8"/>
    <w:rsid w:val="00457A6D"/>
    <w:rsid w:val="00481E91"/>
    <w:rsid w:val="00492D01"/>
    <w:rsid w:val="004A01E5"/>
    <w:rsid w:val="004A5E21"/>
    <w:rsid w:val="004A6F68"/>
    <w:rsid w:val="004B3B49"/>
    <w:rsid w:val="004C612D"/>
    <w:rsid w:val="004D2056"/>
    <w:rsid w:val="004E085D"/>
    <w:rsid w:val="004E4810"/>
    <w:rsid w:val="004F08EE"/>
    <w:rsid w:val="004F4D58"/>
    <w:rsid w:val="00503547"/>
    <w:rsid w:val="005222AA"/>
    <w:rsid w:val="00531170"/>
    <w:rsid w:val="0053632A"/>
    <w:rsid w:val="00537629"/>
    <w:rsid w:val="00543996"/>
    <w:rsid w:val="00555D9F"/>
    <w:rsid w:val="00561F8F"/>
    <w:rsid w:val="00562378"/>
    <w:rsid w:val="00565EBC"/>
    <w:rsid w:val="00574C92"/>
    <w:rsid w:val="00575695"/>
    <w:rsid w:val="00576628"/>
    <w:rsid w:val="00582398"/>
    <w:rsid w:val="00583A27"/>
    <w:rsid w:val="00590B23"/>
    <w:rsid w:val="005B4DF8"/>
    <w:rsid w:val="005B6E5E"/>
    <w:rsid w:val="005E005D"/>
    <w:rsid w:val="005F587E"/>
    <w:rsid w:val="006041C6"/>
    <w:rsid w:val="00606801"/>
    <w:rsid w:val="00607762"/>
    <w:rsid w:val="00611502"/>
    <w:rsid w:val="00612287"/>
    <w:rsid w:val="00615748"/>
    <w:rsid w:val="00615C24"/>
    <w:rsid w:val="00626B86"/>
    <w:rsid w:val="00632454"/>
    <w:rsid w:val="0063658B"/>
    <w:rsid w:val="00636678"/>
    <w:rsid w:val="0064096C"/>
    <w:rsid w:val="0064417A"/>
    <w:rsid w:val="006551EE"/>
    <w:rsid w:val="0065758A"/>
    <w:rsid w:val="006610D4"/>
    <w:rsid w:val="006673A0"/>
    <w:rsid w:val="00670899"/>
    <w:rsid w:val="00675EB7"/>
    <w:rsid w:val="00681D7E"/>
    <w:rsid w:val="00685C88"/>
    <w:rsid w:val="006900E6"/>
    <w:rsid w:val="006900F9"/>
    <w:rsid w:val="006A168D"/>
    <w:rsid w:val="006B218E"/>
    <w:rsid w:val="006B5644"/>
    <w:rsid w:val="006D50F0"/>
    <w:rsid w:val="006D5608"/>
    <w:rsid w:val="006E493D"/>
    <w:rsid w:val="006E4EA0"/>
    <w:rsid w:val="006E6DC0"/>
    <w:rsid w:val="006E7F65"/>
    <w:rsid w:val="006F25EF"/>
    <w:rsid w:val="006F6BAD"/>
    <w:rsid w:val="007009DC"/>
    <w:rsid w:val="007059A7"/>
    <w:rsid w:val="00714A32"/>
    <w:rsid w:val="00722E07"/>
    <w:rsid w:val="0073150E"/>
    <w:rsid w:val="00731513"/>
    <w:rsid w:val="007545B2"/>
    <w:rsid w:val="00760BBD"/>
    <w:rsid w:val="00760DCC"/>
    <w:rsid w:val="007A6756"/>
    <w:rsid w:val="007A7F61"/>
    <w:rsid w:val="007B1110"/>
    <w:rsid w:val="007B755C"/>
    <w:rsid w:val="007D61A8"/>
    <w:rsid w:val="007E134D"/>
    <w:rsid w:val="007E63CF"/>
    <w:rsid w:val="007F2FE5"/>
    <w:rsid w:val="007F62A1"/>
    <w:rsid w:val="00801237"/>
    <w:rsid w:val="0080604E"/>
    <w:rsid w:val="00806FD0"/>
    <w:rsid w:val="00813301"/>
    <w:rsid w:val="0081601E"/>
    <w:rsid w:val="0081634E"/>
    <w:rsid w:val="00816FE9"/>
    <w:rsid w:val="008345EF"/>
    <w:rsid w:val="00837048"/>
    <w:rsid w:val="00841489"/>
    <w:rsid w:val="008503AE"/>
    <w:rsid w:val="00855991"/>
    <w:rsid w:val="008706B7"/>
    <w:rsid w:val="00872BF9"/>
    <w:rsid w:val="00874379"/>
    <w:rsid w:val="008751CA"/>
    <w:rsid w:val="00884927"/>
    <w:rsid w:val="00885EE2"/>
    <w:rsid w:val="008A18BE"/>
    <w:rsid w:val="008A1E2F"/>
    <w:rsid w:val="008A2E6C"/>
    <w:rsid w:val="008B159A"/>
    <w:rsid w:val="008D0FBF"/>
    <w:rsid w:val="008D4920"/>
    <w:rsid w:val="008E685B"/>
    <w:rsid w:val="008F0F69"/>
    <w:rsid w:val="008F1C98"/>
    <w:rsid w:val="008F263A"/>
    <w:rsid w:val="008F2756"/>
    <w:rsid w:val="009220AE"/>
    <w:rsid w:val="00923940"/>
    <w:rsid w:val="0092398A"/>
    <w:rsid w:val="00927598"/>
    <w:rsid w:val="00930E5E"/>
    <w:rsid w:val="009515EA"/>
    <w:rsid w:val="009733BA"/>
    <w:rsid w:val="0098204E"/>
    <w:rsid w:val="00985D38"/>
    <w:rsid w:val="0099052B"/>
    <w:rsid w:val="00994A01"/>
    <w:rsid w:val="00995D00"/>
    <w:rsid w:val="009A0553"/>
    <w:rsid w:val="009A1358"/>
    <w:rsid w:val="009B0A87"/>
    <w:rsid w:val="009B475F"/>
    <w:rsid w:val="009C50BA"/>
    <w:rsid w:val="009E56BE"/>
    <w:rsid w:val="009F3CAB"/>
    <w:rsid w:val="009F639C"/>
    <w:rsid w:val="00A03F0C"/>
    <w:rsid w:val="00A173DA"/>
    <w:rsid w:val="00A17D4F"/>
    <w:rsid w:val="00A24EC4"/>
    <w:rsid w:val="00A4204A"/>
    <w:rsid w:val="00A57838"/>
    <w:rsid w:val="00A57A5B"/>
    <w:rsid w:val="00A678AB"/>
    <w:rsid w:val="00A803B8"/>
    <w:rsid w:val="00A81797"/>
    <w:rsid w:val="00A86A2A"/>
    <w:rsid w:val="00A87BBA"/>
    <w:rsid w:val="00A90379"/>
    <w:rsid w:val="00A90417"/>
    <w:rsid w:val="00AB17EE"/>
    <w:rsid w:val="00AB1EE0"/>
    <w:rsid w:val="00AB4711"/>
    <w:rsid w:val="00AD2077"/>
    <w:rsid w:val="00AD40CF"/>
    <w:rsid w:val="00B0090C"/>
    <w:rsid w:val="00B0616B"/>
    <w:rsid w:val="00B156C3"/>
    <w:rsid w:val="00B16A76"/>
    <w:rsid w:val="00B211BE"/>
    <w:rsid w:val="00B33A6D"/>
    <w:rsid w:val="00B365F9"/>
    <w:rsid w:val="00B4562C"/>
    <w:rsid w:val="00B475BE"/>
    <w:rsid w:val="00B637BA"/>
    <w:rsid w:val="00B65BCB"/>
    <w:rsid w:val="00B77F52"/>
    <w:rsid w:val="00B81D0E"/>
    <w:rsid w:val="00B82320"/>
    <w:rsid w:val="00B86A62"/>
    <w:rsid w:val="00B87042"/>
    <w:rsid w:val="00B931E6"/>
    <w:rsid w:val="00B9508B"/>
    <w:rsid w:val="00BF0088"/>
    <w:rsid w:val="00BF4936"/>
    <w:rsid w:val="00BF7459"/>
    <w:rsid w:val="00C025CB"/>
    <w:rsid w:val="00C17AF7"/>
    <w:rsid w:val="00C22989"/>
    <w:rsid w:val="00C36BD2"/>
    <w:rsid w:val="00C46497"/>
    <w:rsid w:val="00C569EF"/>
    <w:rsid w:val="00C65DA2"/>
    <w:rsid w:val="00C67AB2"/>
    <w:rsid w:val="00C7653C"/>
    <w:rsid w:val="00C76CD3"/>
    <w:rsid w:val="00C84D00"/>
    <w:rsid w:val="00C851EB"/>
    <w:rsid w:val="00C908CC"/>
    <w:rsid w:val="00CA4285"/>
    <w:rsid w:val="00CB00B4"/>
    <w:rsid w:val="00CB675D"/>
    <w:rsid w:val="00CB6F2B"/>
    <w:rsid w:val="00CC2A4E"/>
    <w:rsid w:val="00CD1BF5"/>
    <w:rsid w:val="00CE4FC6"/>
    <w:rsid w:val="00CE5933"/>
    <w:rsid w:val="00CF1538"/>
    <w:rsid w:val="00D041CA"/>
    <w:rsid w:val="00D1513D"/>
    <w:rsid w:val="00D172C4"/>
    <w:rsid w:val="00D175D0"/>
    <w:rsid w:val="00D21E8C"/>
    <w:rsid w:val="00D27466"/>
    <w:rsid w:val="00D40ED8"/>
    <w:rsid w:val="00D46A3F"/>
    <w:rsid w:val="00D605DC"/>
    <w:rsid w:val="00D6642F"/>
    <w:rsid w:val="00D700C5"/>
    <w:rsid w:val="00D739A0"/>
    <w:rsid w:val="00DA370A"/>
    <w:rsid w:val="00DB42A8"/>
    <w:rsid w:val="00DB60A5"/>
    <w:rsid w:val="00DC05F7"/>
    <w:rsid w:val="00DC5678"/>
    <w:rsid w:val="00DD0073"/>
    <w:rsid w:val="00DD602A"/>
    <w:rsid w:val="00DD753D"/>
    <w:rsid w:val="00DE3329"/>
    <w:rsid w:val="00DE5248"/>
    <w:rsid w:val="00DE64E8"/>
    <w:rsid w:val="00DF104F"/>
    <w:rsid w:val="00DF62DE"/>
    <w:rsid w:val="00E018E5"/>
    <w:rsid w:val="00E108C7"/>
    <w:rsid w:val="00E44597"/>
    <w:rsid w:val="00E44F00"/>
    <w:rsid w:val="00E47233"/>
    <w:rsid w:val="00E4775A"/>
    <w:rsid w:val="00E47E5F"/>
    <w:rsid w:val="00E53B72"/>
    <w:rsid w:val="00E656C1"/>
    <w:rsid w:val="00E66CE4"/>
    <w:rsid w:val="00E71B47"/>
    <w:rsid w:val="00E82077"/>
    <w:rsid w:val="00E86B80"/>
    <w:rsid w:val="00EA124D"/>
    <w:rsid w:val="00EA5736"/>
    <w:rsid w:val="00EA5935"/>
    <w:rsid w:val="00EC1670"/>
    <w:rsid w:val="00ED4FE9"/>
    <w:rsid w:val="00EE231C"/>
    <w:rsid w:val="00EE2892"/>
    <w:rsid w:val="00EF7B56"/>
    <w:rsid w:val="00F06577"/>
    <w:rsid w:val="00F07D8A"/>
    <w:rsid w:val="00F120D9"/>
    <w:rsid w:val="00F208AA"/>
    <w:rsid w:val="00F21283"/>
    <w:rsid w:val="00F23354"/>
    <w:rsid w:val="00F27E8D"/>
    <w:rsid w:val="00F31B5C"/>
    <w:rsid w:val="00F371D9"/>
    <w:rsid w:val="00F41FD3"/>
    <w:rsid w:val="00F45271"/>
    <w:rsid w:val="00F732C3"/>
    <w:rsid w:val="00F735F4"/>
    <w:rsid w:val="00F82050"/>
    <w:rsid w:val="00F82409"/>
    <w:rsid w:val="00F82EFE"/>
    <w:rsid w:val="00F90D0F"/>
    <w:rsid w:val="00F90D1A"/>
    <w:rsid w:val="00F96110"/>
    <w:rsid w:val="00F96BB8"/>
    <w:rsid w:val="00FA1B18"/>
    <w:rsid w:val="00FE2D0E"/>
    <w:rsid w:val="00FE40AD"/>
    <w:rsid w:val="00FE5AB2"/>
    <w:rsid w:val="00FE76D5"/>
    <w:rsid w:val="00FF229D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1FBB3"/>
  <w15:chartTrackingRefBased/>
  <w15:docId w15:val="{C81FD06A-1FC8-4D25-B024-0403AE8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093BD0"/>
    <w:pPr>
      <w:spacing w:before="100" w:beforeAutospacing="1" w:after="100" w:afterAutospacing="1"/>
      <w:jc w:val="center"/>
    </w:pPr>
    <w:rPr>
      <w:sz w:val="26"/>
      <w:szCs w:val="26"/>
      <w:lang w:eastAsia="en-US"/>
    </w:rPr>
  </w:style>
  <w:style w:type="paragraph" w:customStyle="1" w:styleId="naisf">
    <w:name w:val="naisf"/>
    <w:basedOn w:val="Normal"/>
    <w:rsid w:val="00093BD0"/>
    <w:pPr>
      <w:spacing w:before="100" w:beforeAutospacing="1" w:after="100" w:afterAutospacing="1"/>
      <w:jc w:val="both"/>
    </w:pPr>
    <w:rPr>
      <w:szCs w:val="20"/>
      <w:lang w:eastAsia="en-US"/>
    </w:rPr>
  </w:style>
  <w:style w:type="paragraph" w:styleId="NormalWeb">
    <w:name w:val="Normal (Web)"/>
    <w:basedOn w:val="Normal"/>
    <w:semiHidden/>
    <w:rsid w:val="00093BD0"/>
    <w:pPr>
      <w:spacing w:before="100" w:beforeAutospacing="1" w:after="100" w:afterAutospacing="1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093BD0"/>
    <w:pPr>
      <w:ind w:firstLine="435"/>
      <w:jc w:val="both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93B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093BD0"/>
  </w:style>
  <w:style w:type="paragraph" w:styleId="Footer">
    <w:name w:val="footer"/>
    <w:basedOn w:val="Normal"/>
    <w:link w:val="FooterChar"/>
    <w:semiHidden/>
    <w:rsid w:val="00093BD0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093BD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93B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B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BB8"/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BB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B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5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E07"/>
    <w:rPr>
      <w:color w:val="0563C1" w:themeColor="hyperlink"/>
      <w:u w:val="single"/>
    </w:rPr>
  </w:style>
  <w:style w:type="paragraph" w:customStyle="1" w:styleId="liknoteik1">
    <w:name w:val="lik_noteik1"/>
    <w:basedOn w:val="Normal"/>
    <w:rsid w:val="00C851EB"/>
    <w:pPr>
      <w:spacing w:before="100" w:beforeAutospacing="1" w:after="100" w:afterAutospacing="1" w:line="360" w:lineRule="auto"/>
      <w:ind w:firstLine="300"/>
      <w:jc w:val="right"/>
    </w:pPr>
    <w:rPr>
      <w:b/>
      <w:bCs/>
      <w:color w:val="414142"/>
      <w:sz w:val="20"/>
      <w:szCs w:val="20"/>
    </w:rPr>
  </w:style>
  <w:style w:type="paragraph" w:customStyle="1" w:styleId="likdat1">
    <w:name w:val="lik_dat1"/>
    <w:basedOn w:val="Normal"/>
    <w:rsid w:val="00C851EB"/>
    <w:pPr>
      <w:spacing w:before="100" w:beforeAutospacing="1" w:after="100" w:afterAutospacing="1" w:line="360" w:lineRule="auto"/>
      <w:ind w:firstLine="300"/>
      <w:jc w:val="right"/>
    </w:pPr>
    <w:rPr>
      <w:color w:val="414142"/>
      <w:sz w:val="20"/>
      <w:szCs w:val="20"/>
    </w:rPr>
  </w:style>
  <w:style w:type="paragraph" w:customStyle="1" w:styleId="naisnod">
    <w:name w:val="naisnod"/>
    <w:basedOn w:val="Normal"/>
    <w:rsid w:val="00A578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08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2">
    <w:name w:val="tv2132"/>
    <w:basedOn w:val="Normal"/>
    <w:rsid w:val="005F587E"/>
    <w:pPr>
      <w:spacing w:line="360" w:lineRule="auto"/>
      <w:ind w:firstLine="300"/>
    </w:pPr>
    <w:rPr>
      <w:color w:val="414142"/>
      <w:sz w:val="20"/>
      <w:szCs w:val="20"/>
      <w:lang w:bidi="lo-LA"/>
    </w:rPr>
  </w:style>
  <w:style w:type="character" w:customStyle="1" w:styleId="fontsize21">
    <w:name w:val="fontsize21"/>
    <w:basedOn w:val="DefaultParagraphFont"/>
    <w:rsid w:val="005F587E"/>
    <w:rPr>
      <w:b w:val="0"/>
      <w:bCs w:val="0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2394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66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E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E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545E3"/>
    <w:rPr>
      <w:color w:val="954F72" w:themeColor="followedHyperlink"/>
      <w:u w:val="single"/>
    </w:rPr>
  </w:style>
  <w:style w:type="paragraph" w:customStyle="1" w:styleId="naiskr">
    <w:name w:val="naiskr"/>
    <w:basedOn w:val="Normal"/>
    <w:uiPriority w:val="99"/>
    <w:rsid w:val="00DB60A5"/>
    <w:pPr>
      <w:spacing w:before="75" w:after="75"/>
    </w:pPr>
  </w:style>
  <w:style w:type="character" w:customStyle="1" w:styleId="st1">
    <w:name w:val="st1"/>
    <w:uiPriority w:val="99"/>
    <w:rsid w:val="00DB60A5"/>
  </w:style>
  <w:style w:type="paragraph" w:customStyle="1" w:styleId="tv213">
    <w:name w:val="tv213"/>
    <w:basedOn w:val="Normal"/>
    <w:rsid w:val="00F82E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5B8C-AC3F-4E40-AE79-A127A30F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503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“Konkurences padomes nolikums" sākotnējās ietekmes novērtējuma ziņojums (anotācija)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“Konkurences padomes nolikums" sākotnējās ietekmes novērtējuma ziņojums (anotācija)</dc:title>
  <dc:creator>Antis Apsītis</dc:creator>
  <dc:description>67013263, Arta.Smukste@em.gov.lv</dc:description>
  <cp:lastModifiedBy>Arta Šmukste</cp:lastModifiedBy>
  <cp:revision>4</cp:revision>
  <cp:lastPrinted>2018-12-18T09:15:00Z</cp:lastPrinted>
  <dcterms:created xsi:type="dcterms:W3CDTF">2018-12-17T09:15:00Z</dcterms:created>
  <dcterms:modified xsi:type="dcterms:W3CDTF">2018-12-18T09:15:00Z</dcterms:modified>
</cp:coreProperties>
</file>