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89257" w14:textId="77777777" w:rsidR="00EE1CF5" w:rsidRPr="00FB7745" w:rsidRDefault="00EE1CF5" w:rsidP="00EE1CF5">
      <w:pPr>
        <w:jc w:val="right"/>
        <w:rPr>
          <w:rFonts w:cs="Times New Roman"/>
          <w:szCs w:val="26"/>
        </w:rPr>
      </w:pPr>
      <w:r w:rsidRPr="00FB7745">
        <w:rPr>
          <w:rFonts w:cs="Times New Roman"/>
          <w:szCs w:val="26"/>
        </w:rPr>
        <w:t xml:space="preserve">(Ministru kabineta  </w:t>
      </w:r>
    </w:p>
    <w:p w14:paraId="4C22C8CE" w14:textId="77777777" w:rsidR="00EE1CF5" w:rsidRPr="00FB7745" w:rsidRDefault="00EE1CF5" w:rsidP="00EE1CF5">
      <w:pPr>
        <w:jc w:val="right"/>
        <w:rPr>
          <w:rFonts w:cs="Times New Roman"/>
          <w:szCs w:val="26"/>
        </w:rPr>
      </w:pPr>
      <w:r w:rsidRPr="00FB7745">
        <w:rPr>
          <w:rFonts w:cs="Times New Roman"/>
          <w:szCs w:val="26"/>
        </w:rPr>
        <w:t>2018. gada            </w:t>
      </w:r>
    </w:p>
    <w:p w14:paraId="6D7E5F53" w14:textId="77777777" w:rsidR="00EE1CF5" w:rsidRPr="00FB7745" w:rsidRDefault="00EE1CF5" w:rsidP="00EE1CF5">
      <w:pPr>
        <w:jc w:val="right"/>
        <w:rPr>
          <w:rFonts w:cs="Times New Roman"/>
          <w:szCs w:val="26"/>
        </w:rPr>
      </w:pPr>
      <w:r w:rsidRPr="00FB7745">
        <w:rPr>
          <w:rFonts w:cs="Times New Roman"/>
          <w:szCs w:val="26"/>
        </w:rPr>
        <w:t>rīkojums Nr.        )</w:t>
      </w:r>
    </w:p>
    <w:p w14:paraId="241BE0D9" w14:textId="77777777" w:rsidR="00EE1CF5" w:rsidRDefault="00EE1CF5" w:rsidP="00EE1CF5">
      <w:pPr>
        <w:jc w:val="center"/>
        <w:rPr>
          <w:rFonts w:cs="Times New Roman"/>
          <w:b/>
          <w:szCs w:val="28"/>
        </w:rPr>
      </w:pPr>
    </w:p>
    <w:p w14:paraId="5C8DBBAC" w14:textId="77777777" w:rsidR="00EE1CF5" w:rsidRDefault="00EE1CF5" w:rsidP="00EE1CF5">
      <w:pPr>
        <w:jc w:val="center"/>
        <w:rPr>
          <w:rFonts w:cs="Times New Roman"/>
          <w:b/>
          <w:szCs w:val="28"/>
        </w:rPr>
      </w:pPr>
    </w:p>
    <w:p w14:paraId="4465A354" w14:textId="77777777" w:rsidR="00EE1CF5" w:rsidRDefault="00EE1CF5" w:rsidP="00EE1CF5">
      <w:pPr>
        <w:jc w:val="center"/>
        <w:rPr>
          <w:rFonts w:cs="Times New Roman"/>
          <w:b/>
          <w:szCs w:val="28"/>
        </w:rPr>
      </w:pPr>
    </w:p>
    <w:p w14:paraId="0A37B24C" w14:textId="77777777" w:rsidR="00EE1CF5" w:rsidRDefault="00EE1CF5" w:rsidP="00EE1CF5">
      <w:pPr>
        <w:jc w:val="center"/>
        <w:rPr>
          <w:rFonts w:cs="Times New Roman"/>
          <w:b/>
          <w:szCs w:val="28"/>
        </w:rPr>
      </w:pPr>
    </w:p>
    <w:p w14:paraId="15BFCCDA" w14:textId="77777777" w:rsidR="00EE1CF5" w:rsidRDefault="00EE1CF5" w:rsidP="00EE1CF5">
      <w:pPr>
        <w:jc w:val="center"/>
        <w:rPr>
          <w:rFonts w:cs="Times New Roman"/>
          <w:b/>
          <w:szCs w:val="28"/>
        </w:rPr>
      </w:pPr>
    </w:p>
    <w:p w14:paraId="7A22865B" w14:textId="77777777" w:rsidR="00EE1CF5" w:rsidRDefault="00EE1CF5" w:rsidP="00EE1CF5">
      <w:pPr>
        <w:jc w:val="center"/>
        <w:rPr>
          <w:rFonts w:cs="Times New Roman"/>
          <w:b/>
          <w:szCs w:val="28"/>
        </w:rPr>
      </w:pPr>
    </w:p>
    <w:p w14:paraId="198955FC" w14:textId="77777777" w:rsidR="00EE1CF5" w:rsidRDefault="00EE1CF5" w:rsidP="00EE1CF5">
      <w:pPr>
        <w:jc w:val="center"/>
        <w:rPr>
          <w:rFonts w:cs="Times New Roman"/>
          <w:b/>
          <w:szCs w:val="28"/>
        </w:rPr>
      </w:pPr>
    </w:p>
    <w:p w14:paraId="44B46104" w14:textId="77777777" w:rsidR="00EE1CF5" w:rsidRDefault="00EE1CF5" w:rsidP="00EE1CF5">
      <w:pPr>
        <w:jc w:val="center"/>
        <w:rPr>
          <w:rFonts w:cs="Times New Roman"/>
          <w:b/>
          <w:szCs w:val="28"/>
        </w:rPr>
      </w:pPr>
    </w:p>
    <w:p w14:paraId="56FAA055" w14:textId="77777777" w:rsidR="00EE1CF5" w:rsidRDefault="00EE1CF5" w:rsidP="00EE1CF5">
      <w:pPr>
        <w:jc w:val="center"/>
        <w:rPr>
          <w:rFonts w:cs="Times New Roman"/>
          <w:b/>
          <w:szCs w:val="28"/>
        </w:rPr>
      </w:pPr>
    </w:p>
    <w:p w14:paraId="67E5BA76" w14:textId="77777777" w:rsidR="00EE1CF5" w:rsidRDefault="00EE1CF5" w:rsidP="00EE1CF5">
      <w:pPr>
        <w:jc w:val="center"/>
        <w:rPr>
          <w:rFonts w:cs="Times New Roman"/>
          <w:b/>
          <w:szCs w:val="28"/>
        </w:rPr>
      </w:pPr>
    </w:p>
    <w:p w14:paraId="732F3C0C" w14:textId="77777777" w:rsidR="00EE1CF5" w:rsidRDefault="00EE1CF5" w:rsidP="00EE1CF5">
      <w:pPr>
        <w:jc w:val="center"/>
        <w:rPr>
          <w:rFonts w:cs="Times New Roman"/>
          <w:b/>
          <w:szCs w:val="28"/>
        </w:rPr>
      </w:pPr>
    </w:p>
    <w:p w14:paraId="761F89DF" w14:textId="77777777" w:rsidR="00EE1CF5" w:rsidRDefault="00EE1CF5" w:rsidP="00EE1CF5">
      <w:pPr>
        <w:jc w:val="center"/>
        <w:rPr>
          <w:rFonts w:cs="Times New Roman"/>
          <w:b/>
          <w:szCs w:val="28"/>
        </w:rPr>
      </w:pPr>
    </w:p>
    <w:p w14:paraId="32F93769" w14:textId="77777777" w:rsidR="00EE1CF5" w:rsidRDefault="00EE1CF5" w:rsidP="00EE1CF5">
      <w:pPr>
        <w:jc w:val="center"/>
        <w:rPr>
          <w:rFonts w:cs="Times New Roman"/>
          <w:b/>
          <w:szCs w:val="28"/>
        </w:rPr>
      </w:pPr>
    </w:p>
    <w:p w14:paraId="1DCF7350" w14:textId="77777777" w:rsidR="00EE1CF5" w:rsidRDefault="00EE1CF5" w:rsidP="00EE1CF5">
      <w:pPr>
        <w:jc w:val="center"/>
        <w:rPr>
          <w:rFonts w:cs="Times New Roman"/>
          <w:b/>
          <w:szCs w:val="28"/>
        </w:rPr>
      </w:pPr>
    </w:p>
    <w:p w14:paraId="3A87986F" w14:textId="77777777" w:rsidR="00EE1CF5" w:rsidRDefault="00EE1CF5" w:rsidP="00EE1CF5">
      <w:pPr>
        <w:jc w:val="center"/>
        <w:rPr>
          <w:rFonts w:cs="Times New Roman"/>
          <w:b/>
          <w:szCs w:val="28"/>
        </w:rPr>
      </w:pPr>
    </w:p>
    <w:p w14:paraId="7EEFA207" w14:textId="77777777" w:rsidR="00EE1CF5" w:rsidRDefault="00EE1CF5" w:rsidP="00EE1CF5">
      <w:pPr>
        <w:jc w:val="center"/>
        <w:rPr>
          <w:rFonts w:cs="Times New Roman"/>
          <w:b/>
          <w:szCs w:val="28"/>
        </w:rPr>
      </w:pPr>
    </w:p>
    <w:p w14:paraId="4A27E03A" w14:textId="77777777" w:rsidR="00EE1CF5" w:rsidRDefault="00EE1CF5" w:rsidP="00EE1CF5">
      <w:pPr>
        <w:jc w:val="center"/>
        <w:rPr>
          <w:rFonts w:cs="Times New Roman"/>
          <w:b/>
          <w:szCs w:val="28"/>
        </w:rPr>
      </w:pPr>
    </w:p>
    <w:p w14:paraId="76D1EA4F" w14:textId="77777777" w:rsidR="00EE1CF5" w:rsidRDefault="00EE1CF5" w:rsidP="00EE1CF5">
      <w:pPr>
        <w:jc w:val="center"/>
        <w:rPr>
          <w:rFonts w:cs="Times New Roman"/>
          <w:b/>
          <w:szCs w:val="28"/>
        </w:rPr>
      </w:pPr>
    </w:p>
    <w:p w14:paraId="6E16BF59" w14:textId="77777777" w:rsidR="00EE1CF5" w:rsidRDefault="00EE1CF5" w:rsidP="00EE1CF5">
      <w:pPr>
        <w:jc w:val="center"/>
        <w:rPr>
          <w:rFonts w:cs="Times New Roman"/>
          <w:b/>
          <w:szCs w:val="28"/>
        </w:rPr>
      </w:pPr>
    </w:p>
    <w:p w14:paraId="79B7B3D6" w14:textId="77777777" w:rsidR="00EE1CF5" w:rsidRDefault="00EE1CF5" w:rsidP="00EE1CF5">
      <w:pPr>
        <w:jc w:val="center"/>
        <w:rPr>
          <w:rFonts w:cs="Times New Roman"/>
          <w:b/>
          <w:szCs w:val="28"/>
        </w:rPr>
      </w:pPr>
    </w:p>
    <w:p w14:paraId="177B1859" w14:textId="77777777" w:rsidR="00EE1CF5" w:rsidRPr="00270046" w:rsidRDefault="00EE1CF5" w:rsidP="00EE1CF5">
      <w:pPr>
        <w:jc w:val="center"/>
        <w:rPr>
          <w:rFonts w:cs="Times New Roman"/>
          <w:b/>
          <w:szCs w:val="28"/>
        </w:rPr>
      </w:pPr>
    </w:p>
    <w:p w14:paraId="6861CEB1" w14:textId="77777777" w:rsidR="00EE1CF5" w:rsidRPr="00FB7745" w:rsidRDefault="00EE1CF5" w:rsidP="00EE1CF5">
      <w:pPr>
        <w:jc w:val="center"/>
        <w:rPr>
          <w:rFonts w:cs="Times New Roman"/>
          <w:b/>
          <w:sz w:val="32"/>
          <w:szCs w:val="28"/>
        </w:rPr>
      </w:pPr>
      <w:r w:rsidRPr="00270046">
        <w:rPr>
          <w:rFonts w:cs="Times New Roman"/>
          <w:b/>
          <w:sz w:val="32"/>
          <w:szCs w:val="28"/>
        </w:rPr>
        <w:t>Kompleksi pasākumi obligātā iepirkuma komponentes atcelšanai un elektroenerģijas tirgus attīstībai</w:t>
      </w:r>
    </w:p>
    <w:p w14:paraId="0B435DA1" w14:textId="77777777" w:rsidR="00EE1CF5" w:rsidRPr="0070797C" w:rsidRDefault="00EE1CF5" w:rsidP="00EE1CF5">
      <w:pPr>
        <w:jc w:val="center"/>
        <w:rPr>
          <w:rFonts w:cs="Times New Roman"/>
          <w:b/>
          <w:szCs w:val="28"/>
        </w:rPr>
      </w:pPr>
    </w:p>
    <w:p w14:paraId="326BB099" w14:textId="77777777" w:rsidR="00EE1CF5" w:rsidRPr="00FB7745" w:rsidRDefault="00EE1CF5" w:rsidP="00EE1CF5">
      <w:pPr>
        <w:spacing w:before="120" w:after="240"/>
        <w:jc w:val="center"/>
        <w:rPr>
          <w:rFonts w:cs="Times New Roman"/>
          <w:b/>
          <w:sz w:val="28"/>
          <w:szCs w:val="28"/>
        </w:rPr>
      </w:pPr>
      <w:r w:rsidRPr="00FB7745">
        <w:rPr>
          <w:rFonts w:cs="Times New Roman"/>
          <w:b/>
          <w:sz w:val="28"/>
          <w:szCs w:val="28"/>
        </w:rPr>
        <w:t>KONCEPTUĀLS ZIŅOJUMS</w:t>
      </w:r>
    </w:p>
    <w:p w14:paraId="68629F84" w14:textId="77777777" w:rsidR="00EE1CF5" w:rsidRDefault="00EE1CF5" w:rsidP="00EE1CF5">
      <w:pPr>
        <w:jc w:val="left"/>
        <w:rPr>
          <w:rFonts w:cs="Times New Roman"/>
          <w:b/>
          <w:szCs w:val="28"/>
        </w:rPr>
      </w:pPr>
      <w:r>
        <w:rPr>
          <w:rFonts w:cs="Times New Roman"/>
          <w:b/>
          <w:szCs w:val="28"/>
        </w:rPr>
        <w:br w:type="page"/>
      </w:r>
    </w:p>
    <w:p w14:paraId="2A8E852A" w14:textId="77777777" w:rsidR="00EE1CF5" w:rsidRPr="00DB4E1D" w:rsidRDefault="00EE1CF5" w:rsidP="00EE1CF5">
      <w:pPr>
        <w:spacing w:after="120"/>
        <w:jc w:val="center"/>
        <w:rPr>
          <w:rFonts w:cs="Times New Roman"/>
          <w:b/>
          <w:sz w:val="32"/>
          <w:szCs w:val="28"/>
        </w:rPr>
      </w:pPr>
      <w:r w:rsidRPr="00DB4E1D">
        <w:rPr>
          <w:rFonts w:cs="Times New Roman"/>
          <w:b/>
          <w:sz w:val="32"/>
          <w:szCs w:val="28"/>
        </w:rPr>
        <w:lastRenderedPageBreak/>
        <w:t>SATURS</w:t>
      </w:r>
    </w:p>
    <w:p w14:paraId="3897598D" w14:textId="77777777" w:rsidR="00EE1CF5" w:rsidRDefault="00EE1CF5" w:rsidP="00EE1CF5">
      <w:pPr>
        <w:pStyle w:val="TOC1"/>
        <w:tabs>
          <w:tab w:val="right" w:leader="dot" w:pos="9061"/>
        </w:tabs>
        <w:rPr>
          <w:rFonts w:asciiTheme="minorHAnsi" w:eastAsiaTheme="minorEastAsia" w:hAnsiTheme="minorHAnsi"/>
          <w:noProof/>
          <w:sz w:val="22"/>
          <w:lang w:eastAsia="lv-LV"/>
        </w:rPr>
      </w:pPr>
      <w:r w:rsidRPr="00605206">
        <w:rPr>
          <w:rFonts w:cs="Times New Roman"/>
          <w:sz w:val="24"/>
          <w:szCs w:val="24"/>
        </w:rPr>
        <w:fldChar w:fldCharType="begin"/>
      </w:r>
      <w:r w:rsidRPr="00605206">
        <w:rPr>
          <w:rFonts w:cs="Times New Roman"/>
          <w:sz w:val="24"/>
          <w:szCs w:val="24"/>
        </w:rPr>
        <w:instrText xml:space="preserve"> TOC \h \z \t "1.nodaļa;1;1.1.apakšnodaļa;2;1.1.1.apakšnodaļa;3" </w:instrText>
      </w:r>
      <w:r w:rsidRPr="00605206">
        <w:rPr>
          <w:rFonts w:cs="Times New Roman"/>
          <w:sz w:val="24"/>
          <w:szCs w:val="24"/>
        </w:rPr>
        <w:fldChar w:fldCharType="separate"/>
      </w:r>
      <w:hyperlink w:anchor="_Toc531798560" w:history="1">
        <w:r w:rsidRPr="00DE15C4">
          <w:rPr>
            <w:rStyle w:val="Hyperlink"/>
            <w:noProof/>
          </w:rPr>
          <w:t>Ievads</w:t>
        </w:r>
        <w:r>
          <w:rPr>
            <w:noProof/>
            <w:webHidden/>
          </w:rPr>
          <w:tab/>
        </w:r>
        <w:r>
          <w:rPr>
            <w:noProof/>
            <w:webHidden/>
          </w:rPr>
          <w:fldChar w:fldCharType="begin"/>
        </w:r>
        <w:r>
          <w:rPr>
            <w:noProof/>
            <w:webHidden/>
          </w:rPr>
          <w:instrText xml:space="preserve"> PAGEREF _Toc531798560 \h </w:instrText>
        </w:r>
        <w:r>
          <w:rPr>
            <w:noProof/>
            <w:webHidden/>
          </w:rPr>
        </w:r>
        <w:r>
          <w:rPr>
            <w:noProof/>
            <w:webHidden/>
          </w:rPr>
          <w:fldChar w:fldCharType="separate"/>
        </w:r>
        <w:r>
          <w:rPr>
            <w:noProof/>
            <w:webHidden/>
          </w:rPr>
          <w:t>4</w:t>
        </w:r>
        <w:r>
          <w:rPr>
            <w:noProof/>
            <w:webHidden/>
          </w:rPr>
          <w:fldChar w:fldCharType="end"/>
        </w:r>
      </w:hyperlink>
    </w:p>
    <w:p w14:paraId="21534007" w14:textId="77777777" w:rsidR="00EE1CF5" w:rsidRDefault="00EE1CF5" w:rsidP="00EE1CF5">
      <w:pPr>
        <w:pStyle w:val="TOC1"/>
        <w:tabs>
          <w:tab w:val="right" w:leader="dot" w:pos="9061"/>
        </w:tabs>
        <w:rPr>
          <w:rFonts w:asciiTheme="minorHAnsi" w:eastAsiaTheme="minorEastAsia" w:hAnsiTheme="minorHAnsi"/>
          <w:noProof/>
          <w:sz w:val="22"/>
          <w:lang w:eastAsia="lv-LV"/>
        </w:rPr>
      </w:pPr>
      <w:hyperlink w:anchor="_Toc531798561" w:history="1">
        <w:r w:rsidRPr="00DE15C4">
          <w:rPr>
            <w:rStyle w:val="Hyperlink"/>
            <w:noProof/>
          </w:rPr>
          <w:t>Kopsavilkums</w:t>
        </w:r>
        <w:r>
          <w:rPr>
            <w:noProof/>
            <w:webHidden/>
          </w:rPr>
          <w:tab/>
        </w:r>
        <w:r>
          <w:rPr>
            <w:noProof/>
            <w:webHidden/>
          </w:rPr>
          <w:fldChar w:fldCharType="begin"/>
        </w:r>
        <w:r>
          <w:rPr>
            <w:noProof/>
            <w:webHidden/>
          </w:rPr>
          <w:instrText xml:space="preserve"> PAGEREF _Toc531798561 \h </w:instrText>
        </w:r>
        <w:r>
          <w:rPr>
            <w:noProof/>
            <w:webHidden/>
          </w:rPr>
        </w:r>
        <w:r>
          <w:rPr>
            <w:noProof/>
            <w:webHidden/>
          </w:rPr>
          <w:fldChar w:fldCharType="separate"/>
        </w:r>
        <w:r>
          <w:rPr>
            <w:noProof/>
            <w:webHidden/>
          </w:rPr>
          <w:t>8</w:t>
        </w:r>
        <w:r>
          <w:rPr>
            <w:noProof/>
            <w:webHidden/>
          </w:rPr>
          <w:fldChar w:fldCharType="end"/>
        </w:r>
      </w:hyperlink>
    </w:p>
    <w:p w14:paraId="11CC232A" w14:textId="77777777" w:rsidR="00EE1CF5" w:rsidRDefault="00EE1CF5" w:rsidP="00EE1CF5">
      <w:pPr>
        <w:pStyle w:val="TOC1"/>
        <w:tabs>
          <w:tab w:val="right" w:leader="dot" w:pos="9061"/>
        </w:tabs>
        <w:rPr>
          <w:rFonts w:asciiTheme="minorHAnsi" w:eastAsiaTheme="minorEastAsia" w:hAnsiTheme="minorHAnsi"/>
          <w:noProof/>
          <w:sz w:val="22"/>
          <w:lang w:eastAsia="lv-LV"/>
        </w:rPr>
      </w:pPr>
      <w:hyperlink w:anchor="_Toc531798562" w:history="1">
        <w:r w:rsidRPr="00DE15C4">
          <w:rPr>
            <w:rStyle w:val="Hyperlink"/>
            <w:noProof/>
          </w:rPr>
          <w:t>1.Atbalsts elektroenerģijas ražošanai un tā ietekme uz elektroenerģijas lietotājiem</w:t>
        </w:r>
        <w:r>
          <w:rPr>
            <w:noProof/>
            <w:webHidden/>
          </w:rPr>
          <w:tab/>
        </w:r>
        <w:r>
          <w:rPr>
            <w:noProof/>
            <w:webHidden/>
          </w:rPr>
          <w:fldChar w:fldCharType="begin"/>
        </w:r>
        <w:r>
          <w:rPr>
            <w:noProof/>
            <w:webHidden/>
          </w:rPr>
          <w:instrText xml:space="preserve"> PAGEREF _Toc531798562 \h </w:instrText>
        </w:r>
        <w:r>
          <w:rPr>
            <w:noProof/>
            <w:webHidden/>
          </w:rPr>
        </w:r>
        <w:r>
          <w:rPr>
            <w:noProof/>
            <w:webHidden/>
          </w:rPr>
          <w:fldChar w:fldCharType="separate"/>
        </w:r>
        <w:r>
          <w:rPr>
            <w:noProof/>
            <w:webHidden/>
          </w:rPr>
          <w:t>13</w:t>
        </w:r>
        <w:r>
          <w:rPr>
            <w:noProof/>
            <w:webHidden/>
          </w:rPr>
          <w:fldChar w:fldCharType="end"/>
        </w:r>
      </w:hyperlink>
    </w:p>
    <w:p w14:paraId="5F6DB4D5" w14:textId="77777777" w:rsidR="00EE1CF5" w:rsidRDefault="00EE1CF5" w:rsidP="00EE1CF5">
      <w:pPr>
        <w:pStyle w:val="TOC1"/>
        <w:tabs>
          <w:tab w:val="right" w:leader="dot" w:pos="9061"/>
        </w:tabs>
        <w:rPr>
          <w:rFonts w:asciiTheme="minorHAnsi" w:eastAsiaTheme="minorEastAsia" w:hAnsiTheme="minorHAnsi"/>
          <w:noProof/>
          <w:sz w:val="22"/>
          <w:lang w:eastAsia="lv-LV"/>
        </w:rPr>
      </w:pPr>
      <w:hyperlink w:anchor="_Toc531798563" w:history="1">
        <w:r w:rsidRPr="00DE15C4">
          <w:rPr>
            <w:rStyle w:val="Hyperlink"/>
            <w:noProof/>
          </w:rPr>
          <w:t>2. Atbalsts elektroenerģijas lietotājiem</w:t>
        </w:r>
        <w:r>
          <w:rPr>
            <w:noProof/>
            <w:webHidden/>
          </w:rPr>
          <w:tab/>
        </w:r>
        <w:r>
          <w:rPr>
            <w:noProof/>
            <w:webHidden/>
          </w:rPr>
          <w:fldChar w:fldCharType="begin"/>
        </w:r>
        <w:r>
          <w:rPr>
            <w:noProof/>
            <w:webHidden/>
          </w:rPr>
          <w:instrText xml:space="preserve"> PAGEREF _Toc531798563 \h </w:instrText>
        </w:r>
        <w:r>
          <w:rPr>
            <w:noProof/>
            <w:webHidden/>
          </w:rPr>
        </w:r>
        <w:r>
          <w:rPr>
            <w:noProof/>
            <w:webHidden/>
          </w:rPr>
          <w:fldChar w:fldCharType="separate"/>
        </w:r>
        <w:r>
          <w:rPr>
            <w:noProof/>
            <w:webHidden/>
          </w:rPr>
          <w:t>24</w:t>
        </w:r>
        <w:r>
          <w:rPr>
            <w:noProof/>
            <w:webHidden/>
          </w:rPr>
          <w:fldChar w:fldCharType="end"/>
        </w:r>
      </w:hyperlink>
    </w:p>
    <w:p w14:paraId="0EBF4086" w14:textId="77777777" w:rsidR="00EE1CF5" w:rsidRDefault="00EE1CF5" w:rsidP="00EE1CF5">
      <w:pPr>
        <w:pStyle w:val="TOC1"/>
        <w:tabs>
          <w:tab w:val="left" w:pos="880"/>
          <w:tab w:val="right" w:leader="dot" w:pos="9061"/>
        </w:tabs>
        <w:rPr>
          <w:rFonts w:asciiTheme="minorHAnsi" w:eastAsiaTheme="minorEastAsia" w:hAnsiTheme="minorHAnsi"/>
          <w:noProof/>
          <w:sz w:val="22"/>
          <w:lang w:eastAsia="lv-LV"/>
        </w:rPr>
      </w:pPr>
      <w:hyperlink w:anchor="_Toc531798564" w:history="1">
        <w:r w:rsidRPr="00DE15C4">
          <w:rPr>
            <w:rStyle w:val="Hyperlink"/>
            <w:noProof/>
          </w:rPr>
          <w:t xml:space="preserve">2.1. </w:t>
        </w:r>
        <w:r>
          <w:rPr>
            <w:rFonts w:asciiTheme="minorHAnsi" w:eastAsiaTheme="minorEastAsia" w:hAnsiTheme="minorHAnsi"/>
            <w:noProof/>
            <w:sz w:val="22"/>
            <w:lang w:eastAsia="lv-LV"/>
          </w:rPr>
          <w:tab/>
        </w:r>
        <w:r w:rsidRPr="00DE15C4">
          <w:rPr>
            <w:rStyle w:val="Hyperlink"/>
            <w:noProof/>
          </w:rPr>
          <w:t>Veiktie pasākumi OIK mazināšanai</w:t>
        </w:r>
        <w:r>
          <w:rPr>
            <w:noProof/>
            <w:webHidden/>
          </w:rPr>
          <w:tab/>
        </w:r>
        <w:r>
          <w:rPr>
            <w:noProof/>
            <w:webHidden/>
          </w:rPr>
          <w:fldChar w:fldCharType="begin"/>
        </w:r>
        <w:r>
          <w:rPr>
            <w:noProof/>
            <w:webHidden/>
          </w:rPr>
          <w:instrText xml:space="preserve"> PAGEREF _Toc531798564 \h </w:instrText>
        </w:r>
        <w:r>
          <w:rPr>
            <w:noProof/>
            <w:webHidden/>
          </w:rPr>
        </w:r>
        <w:r>
          <w:rPr>
            <w:noProof/>
            <w:webHidden/>
          </w:rPr>
          <w:fldChar w:fldCharType="separate"/>
        </w:r>
        <w:r>
          <w:rPr>
            <w:noProof/>
            <w:webHidden/>
          </w:rPr>
          <w:t>24</w:t>
        </w:r>
        <w:r>
          <w:rPr>
            <w:noProof/>
            <w:webHidden/>
          </w:rPr>
          <w:fldChar w:fldCharType="end"/>
        </w:r>
      </w:hyperlink>
    </w:p>
    <w:p w14:paraId="5A1B12CB" w14:textId="77777777" w:rsidR="00EE1CF5" w:rsidRDefault="00EE1CF5" w:rsidP="00EE1CF5">
      <w:pPr>
        <w:pStyle w:val="TOC1"/>
        <w:tabs>
          <w:tab w:val="left" w:pos="880"/>
          <w:tab w:val="right" w:leader="dot" w:pos="9061"/>
        </w:tabs>
        <w:rPr>
          <w:rFonts w:asciiTheme="minorHAnsi" w:eastAsiaTheme="minorEastAsia" w:hAnsiTheme="minorHAnsi"/>
          <w:noProof/>
          <w:sz w:val="22"/>
          <w:lang w:eastAsia="lv-LV"/>
        </w:rPr>
      </w:pPr>
      <w:hyperlink w:anchor="_Toc531798565" w:history="1">
        <w:r w:rsidRPr="00DE15C4">
          <w:rPr>
            <w:rStyle w:val="Hyperlink"/>
            <w:noProof/>
          </w:rPr>
          <w:t xml:space="preserve">2.2. </w:t>
        </w:r>
        <w:r>
          <w:rPr>
            <w:rFonts w:asciiTheme="minorHAnsi" w:eastAsiaTheme="minorEastAsia" w:hAnsiTheme="minorHAnsi"/>
            <w:noProof/>
            <w:sz w:val="22"/>
            <w:lang w:eastAsia="lv-LV"/>
          </w:rPr>
          <w:tab/>
        </w:r>
        <w:r w:rsidRPr="00DE15C4">
          <w:rPr>
            <w:rStyle w:val="Hyperlink"/>
            <w:noProof/>
          </w:rPr>
          <w:t>Atbalsts energoietilpīgiem apstrādes rūpniecības uzņēmumiem</w:t>
        </w:r>
        <w:r>
          <w:rPr>
            <w:noProof/>
            <w:webHidden/>
          </w:rPr>
          <w:tab/>
        </w:r>
        <w:r>
          <w:rPr>
            <w:noProof/>
            <w:webHidden/>
          </w:rPr>
          <w:fldChar w:fldCharType="begin"/>
        </w:r>
        <w:r>
          <w:rPr>
            <w:noProof/>
            <w:webHidden/>
          </w:rPr>
          <w:instrText xml:space="preserve"> PAGEREF _Toc531798565 \h </w:instrText>
        </w:r>
        <w:r>
          <w:rPr>
            <w:noProof/>
            <w:webHidden/>
          </w:rPr>
        </w:r>
        <w:r>
          <w:rPr>
            <w:noProof/>
            <w:webHidden/>
          </w:rPr>
          <w:fldChar w:fldCharType="separate"/>
        </w:r>
        <w:r>
          <w:rPr>
            <w:noProof/>
            <w:webHidden/>
          </w:rPr>
          <w:t>26</w:t>
        </w:r>
        <w:r>
          <w:rPr>
            <w:noProof/>
            <w:webHidden/>
          </w:rPr>
          <w:fldChar w:fldCharType="end"/>
        </w:r>
      </w:hyperlink>
    </w:p>
    <w:p w14:paraId="5BACE5D6" w14:textId="77777777" w:rsidR="00EE1CF5" w:rsidRDefault="00EE1CF5" w:rsidP="00EE1CF5">
      <w:pPr>
        <w:pStyle w:val="TOC2"/>
        <w:rPr>
          <w:rFonts w:asciiTheme="minorHAnsi" w:eastAsiaTheme="minorEastAsia" w:hAnsiTheme="minorHAnsi"/>
          <w:noProof/>
          <w:sz w:val="22"/>
          <w:lang w:eastAsia="lv-LV"/>
        </w:rPr>
      </w:pPr>
      <w:hyperlink w:anchor="_Toc531798566" w:history="1">
        <w:r w:rsidRPr="00DE15C4">
          <w:rPr>
            <w:rStyle w:val="Hyperlink"/>
            <w:noProof/>
          </w:rPr>
          <w:t xml:space="preserve">2.3. </w:t>
        </w:r>
        <w:r>
          <w:rPr>
            <w:rFonts w:asciiTheme="minorHAnsi" w:eastAsiaTheme="minorEastAsia" w:hAnsiTheme="minorHAnsi"/>
            <w:noProof/>
            <w:sz w:val="22"/>
            <w:lang w:eastAsia="lv-LV"/>
          </w:rPr>
          <w:tab/>
        </w:r>
        <w:r w:rsidRPr="00DE15C4">
          <w:rPr>
            <w:rStyle w:val="Hyperlink"/>
            <w:noProof/>
          </w:rPr>
          <w:t>Atbalsts aizsargātajiem lietotājiem</w:t>
        </w:r>
        <w:r>
          <w:rPr>
            <w:noProof/>
            <w:webHidden/>
          </w:rPr>
          <w:tab/>
        </w:r>
        <w:r>
          <w:rPr>
            <w:noProof/>
            <w:webHidden/>
          </w:rPr>
          <w:fldChar w:fldCharType="begin"/>
        </w:r>
        <w:r>
          <w:rPr>
            <w:noProof/>
            <w:webHidden/>
          </w:rPr>
          <w:instrText xml:space="preserve"> PAGEREF _Toc531798566 \h </w:instrText>
        </w:r>
        <w:r>
          <w:rPr>
            <w:noProof/>
            <w:webHidden/>
          </w:rPr>
        </w:r>
        <w:r>
          <w:rPr>
            <w:noProof/>
            <w:webHidden/>
          </w:rPr>
          <w:fldChar w:fldCharType="separate"/>
        </w:r>
        <w:r>
          <w:rPr>
            <w:noProof/>
            <w:webHidden/>
          </w:rPr>
          <w:t>28</w:t>
        </w:r>
        <w:r>
          <w:rPr>
            <w:noProof/>
            <w:webHidden/>
          </w:rPr>
          <w:fldChar w:fldCharType="end"/>
        </w:r>
      </w:hyperlink>
    </w:p>
    <w:p w14:paraId="12FA38C2" w14:textId="77777777" w:rsidR="00EE1CF5" w:rsidRDefault="00EE1CF5" w:rsidP="00EE1CF5">
      <w:pPr>
        <w:pStyle w:val="TOC1"/>
        <w:tabs>
          <w:tab w:val="left" w:pos="560"/>
          <w:tab w:val="right" w:leader="dot" w:pos="9061"/>
        </w:tabs>
        <w:rPr>
          <w:rFonts w:asciiTheme="minorHAnsi" w:eastAsiaTheme="minorEastAsia" w:hAnsiTheme="minorHAnsi"/>
          <w:noProof/>
          <w:sz w:val="22"/>
          <w:lang w:eastAsia="lv-LV"/>
        </w:rPr>
      </w:pPr>
      <w:hyperlink w:anchor="_Toc531798567" w:history="1">
        <w:r w:rsidRPr="00DE15C4">
          <w:rPr>
            <w:rStyle w:val="Hyperlink"/>
            <w:noProof/>
          </w:rPr>
          <w:t>3.</w:t>
        </w:r>
        <w:r>
          <w:rPr>
            <w:rFonts w:asciiTheme="minorHAnsi" w:eastAsiaTheme="minorEastAsia" w:hAnsiTheme="minorHAnsi"/>
            <w:noProof/>
            <w:sz w:val="22"/>
            <w:lang w:eastAsia="lv-LV"/>
          </w:rPr>
          <w:tab/>
        </w:r>
        <w:r w:rsidRPr="00DE15C4">
          <w:rPr>
            <w:rStyle w:val="Hyperlink"/>
            <w:noProof/>
          </w:rPr>
          <w:t>Valsts pētījumu programma enerģētikā</w:t>
        </w:r>
        <w:r>
          <w:rPr>
            <w:noProof/>
            <w:webHidden/>
          </w:rPr>
          <w:tab/>
        </w:r>
        <w:r>
          <w:rPr>
            <w:noProof/>
            <w:webHidden/>
          </w:rPr>
          <w:fldChar w:fldCharType="begin"/>
        </w:r>
        <w:r>
          <w:rPr>
            <w:noProof/>
            <w:webHidden/>
          </w:rPr>
          <w:instrText xml:space="preserve"> PAGEREF _Toc531798567 \h </w:instrText>
        </w:r>
        <w:r>
          <w:rPr>
            <w:noProof/>
            <w:webHidden/>
          </w:rPr>
        </w:r>
        <w:r>
          <w:rPr>
            <w:noProof/>
            <w:webHidden/>
          </w:rPr>
          <w:fldChar w:fldCharType="separate"/>
        </w:r>
        <w:r>
          <w:rPr>
            <w:noProof/>
            <w:webHidden/>
          </w:rPr>
          <w:t>33</w:t>
        </w:r>
        <w:r>
          <w:rPr>
            <w:noProof/>
            <w:webHidden/>
          </w:rPr>
          <w:fldChar w:fldCharType="end"/>
        </w:r>
      </w:hyperlink>
    </w:p>
    <w:p w14:paraId="2460212D" w14:textId="77777777" w:rsidR="00EE1CF5" w:rsidRDefault="00EE1CF5" w:rsidP="00EE1CF5">
      <w:pPr>
        <w:pStyle w:val="TOC1"/>
        <w:tabs>
          <w:tab w:val="left" w:pos="560"/>
          <w:tab w:val="right" w:leader="dot" w:pos="9061"/>
        </w:tabs>
        <w:rPr>
          <w:rFonts w:asciiTheme="minorHAnsi" w:eastAsiaTheme="minorEastAsia" w:hAnsiTheme="minorHAnsi"/>
          <w:noProof/>
          <w:sz w:val="22"/>
          <w:lang w:eastAsia="lv-LV"/>
        </w:rPr>
      </w:pPr>
      <w:hyperlink w:anchor="_Toc531798568" w:history="1">
        <w:r w:rsidRPr="00DE15C4">
          <w:rPr>
            <w:rStyle w:val="Hyperlink"/>
            <w:noProof/>
          </w:rPr>
          <w:t>4.</w:t>
        </w:r>
        <w:r>
          <w:rPr>
            <w:rFonts w:asciiTheme="minorHAnsi" w:eastAsiaTheme="minorEastAsia" w:hAnsiTheme="minorHAnsi"/>
            <w:noProof/>
            <w:sz w:val="22"/>
            <w:lang w:eastAsia="lv-LV"/>
          </w:rPr>
          <w:tab/>
        </w:r>
        <w:r w:rsidRPr="00DE15C4">
          <w:rPr>
            <w:rStyle w:val="Hyperlink"/>
            <w:noProof/>
          </w:rPr>
          <w:t>Instrumenti elektroenerģijas obligātā iepirkuma sloga samazināšanai</w:t>
        </w:r>
        <w:r>
          <w:rPr>
            <w:noProof/>
            <w:webHidden/>
          </w:rPr>
          <w:tab/>
        </w:r>
        <w:r>
          <w:rPr>
            <w:noProof/>
            <w:webHidden/>
          </w:rPr>
          <w:fldChar w:fldCharType="begin"/>
        </w:r>
        <w:r>
          <w:rPr>
            <w:noProof/>
            <w:webHidden/>
          </w:rPr>
          <w:instrText xml:space="preserve"> PAGEREF _Toc531798568 \h </w:instrText>
        </w:r>
        <w:r>
          <w:rPr>
            <w:noProof/>
            <w:webHidden/>
          </w:rPr>
        </w:r>
        <w:r>
          <w:rPr>
            <w:noProof/>
            <w:webHidden/>
          </w:rPr>
          <w:fldChar w:fldCharType="separate"/>
        </w:r>
        <w:r>
          <w:rPr>
            <w:noProof/>
            <w:webHidden/>
          </w:rPr>
          <w:t>35</w:t>
        </w:r>
        <w:r>
          <w:rPr>
            <w:noProof/>
            <w:webHidden/>
          </w:rPr>
          <w:fldChar w:fldCharType="end"/>
        </w:r>
      </w:hyperlink>
    </w:p>
    <w:p w14:paraId="16E585C1" w14:textId="77777777" w:rsidR="00EE1CF5" w:rsidRDefault="00EE1CF5" w:rsidP="00EE1CF5">
      <w:pPr>
        <w:pStyle w:val="TOC2"/>
        <w:rPr>
          <w:rFonts w:asciiTheme="minorHAnsi" w:eastAsiaTheme="minorEastAsia" w:hAnsiTheme="minorHAnsi"/>
          <w:noProof/>
          <w:sz w:val="22"/>
          <w:lang w:eastAsia="lv-LV"/>
        </w:rPr>
      </w:pPr>
      <w:hyperlink w:anchor="_Toc531798569" w:history="1">
        <w:r w:rsidRPr="00DE15C4">
          <w:rPr>
            <w:rStyle w:val="Hyperlink"/>
            <w:noProof/>
          </w:rPr>
          <w:t>4.1.</w:t>
        </w:r>
        <w:r>
          <w:rPr>
            <w:rFonts w:asciiTheme="minorHAnsi" w:eastAsiaTheme="minorEastAsia" w:hAnsiTheme="minorHAnsi"/>
            <w:noProof/>
            <w:sz w:val="22"/>
            <w:lang w:eastAsia="lv-LV"/>
          </w:rPr>
          <w:tab/>
        </w:r>
        <w:r w:rsidRPr="00DE15C4">
          <w:rPr>
            <w:rStyle w:val="Hyperlink"/>
            <w:noProof/>
          </w:rPr>
          <w:t>Subsidētās elektroenerģijas nodoklis</w:t>
        </w:r>
        <w:r>
          <w:rPr>
            <w:noProof/>
            <w:webHidden/>
          </w:rPr>
          <w:tab/>
        </w:r>
        <w:r>
          <w:rPr>
            <w:noProof/>
            <w:webHidden/>
          </w:rPr>
          <w:fldChar w:fldCharType="begin"/>
        </w:r>
        <w:r>
          <w:rPr>
            <w:noProof/>
            <w:webHidden/>
          </w:rPr>
          <w:instrText xml:space="preserve"> PAGEREF _Toc531798569 \h </w:instrText>
        </w:r>
        <w:r>
          <w:rPr>
            <w:noProof/>
            <w:webHidden/>
          </w:rPr>
        </w:r>
        <w:r>
          <w:rPr>
            <w:noProof/>
            <w:webHidden/>
          </w:rPr>
          <w:fldChar w:fldCharType="separate"/>
        </w:r>
        <w:r>
          <w:rPr>
            <w:noProof/>
            <w:webHidden/>
          </w:rPr>
          <w:t>35</w:t>
        </w:r>
        <w:r>
          <w:rPr>
            <w:noProof/>
            <w:webHidden/>
          </w:rPr>
          <w:fldChar w:fldCharType="end"/>
        </w:r>
      </w:hyperlink>
    </w:p>
    <w:p w14:paraId="7E48FEBF" w14:textId="77777777" w:rsidR="00EE1CF5" w:rsidRDefault="00EE1CF5" w:rsidP="00EE1CF5">
      <w:pPr>
        <w:pStyle w:val="TOC2"/>
        <w:rPr>
          <w:rFonts w:asciiTheme="minorHAnsi" w:eastAsiaTheme="minorEastAsia" w:hAnsiTheme="minorHAnsi"/>
          <w:noProof/>
          <w:sz w:val="22"/>
          <w:lang w:eastAsia="lv-LV"/>
        </w:rPr>
      </w:pPr>
      <w:hyperlink w:anchor="_Toc531798570" w:history="1">
        <w:r w:rsidRPr="00DE15C4">
          <w:rPr>
            <w:rStyle w:val="Hyperlink"/>
            <w:noProof/>
          </w:rPr>
          <w:t>4.2. Elektroenerģijas iepirkuma cenu formulu pārskatīšana</w:t>
        </w:r>
        <w:r>
          <w:rPr>
            <w:noProof/>
            <w:webHidden/>
          </w:rPr>
          <w:tab/>
        </w:r>
        <w:r>
          <w:rPr>
            <w:noProof/>
            <w:webHidden/>
          </w:rPr>
          <w:fldChar w:fldCharType="begin"/>
        </w:r>
        <w:r>
          <w:rPr>
            <w:noProof/>
            <w:webHidden/>
          </w:rPr>
          <w:instrText xml:space="preserve"> PAGEREF _Toc531798570 \h </w:instrText>
        </w:r>
        <w:r>
          <w:rPr>
            <w:noProof/>
            <w:webHidden/>
          </w:rPr>
        </w:r>
        <w:r>
          <w:rPr>
            <w:noProof/>
            <w:webHidden/>
          </w:rPr>
          <w:fldChar w:fldCharType="separate"/>
        </w:r>
        <w:r>
          <w:rPr>
            <w:noProof/>
            <w:webHidden/>
          </w:rPr>
          <w:t>37</w:t>
        </w:r>
        <w:r>
          <w:rPr>
            <w:noProof/>
            <w:webHidden/>
          </w:rPr>
          <w:fldChar w:fldCharType="end"/>
        </w:r>
      </w:hyperlink>
    </w:p>
    <w:p w14:paraId="5161EA16" w14:textId="77777777" w:rsidR="00EE1CF5" w:rsidRDefault="00EE1CF5" w:rsidP="00EE1CF5">
      <w:pPr>
        <w:pStyle w:val="TOC2"/>
        <w:rPr>
          <w:rFonts w:asciiTheme="minorHAnsi" w:eastAsiaTheme="minorEastAsia" w:hAnsiTheme="minorHAnsi"/>
          <w:noProof/>
          <w:sz w:val="22"/>
          <w:lang w:eastAsia="lv-LV"/>
        </w:rPr>
      </w:pPr>
      <w:hyperlink w:anchor="_Toc531798571" w:history="1">
        <w:r w:rsidRPr="00DE15C4">
          <w:rPr>
            <w:rStyle w:val="Hyperlink"/>
            <w:noProof/>
          </w:rPr>
          <w:t>4.3.</w:t>
        </w:r>
        <w:r>
          <w:rPr>
            <w:rFonts w:asciiTheme="minorHAnsi" w:eastAsiaTheme="minorEastAsia" w:hAnsiTheme="minorHAnsi"/>
            <w:noProof/>
            <w:sz w:val="22"/>
            <w:lang w:eastAsia="lv-LV"/>
          </w:rPr>
          <w:tab/>
        </w:r>
        <w:r w:rsidRPr="00DE15C4">
          <w:rPr>
            <w:rStyle w:val="Hyperlink"/>
            <w:noProof/>
          </w:rPr>
          <w:t>Kopējo kapitālieguldījumu iekšējās peļņas norma</w:t>
        </w:r>
        <w:r>
          <w:rPr>
            <w:noProof/>
            <w:webHidden/>
          </w:rPr>
          <w:tab/>
        </w:r>
        <w:r>
          <w:rPr>
            <w:noProof/>
            <w:webHidden/>
          </w:rPr>
          <w:fldChar w:fldCharType="begin"/>
        </w:r>
        <w:r>
          <w:rPr>
            <w:noProof/>
            <w:webHidden/>
          </w:rPr>
          <w:instrText xml:space="preserve"> PAGEREF _Toc531798571 \h </w:instrText>
        </w:r>
        <w:r>
          <w:rPr>
            <w:noProof/>
            <w:webHidden/>
          </w:rPr>
        </w:r>
        <w:r>
          <w:rPr>
            <w:noProof/>
            <w:webHidden/>
          </w:rPr>
          <w:fldChar w:fldCharType="separate"/>
        </w:r>
        <w:r>
          <w:rPr>
            <w:noProof/>
            <w:webHidden/>
          </w:rPr>
          <w:t>39</w:t>
        </w:r>
        <w:r>
          <w:rPr>
            <w:noProof/>
            <w:webHidden/>
          </w:rPr>
          <w:fldChar w:fldCharType="end"/>
        </w:r>
      </w:hyperlink>
    </w:p>
    <w:p w14:paraId="345E1BD8" w14:textId="77777777" w:rsidR="00EE1CF5" w:rsidRDefault="00EE1CF5" w:rsidP="00EE1CF5">
      <w:pPr>
        <w:pStyle w:val="TOC3"/>
        <w:rPr>
          <w:rFonts w:asciiTheme="minorHAnsi" w:eastAsiaTheme="minorEastAsia" w:hAnsiTheme="minorHAnsi"/>
          <w:noProof/>
          <w:sz w:val="22"/>
          <w:lang w:eastAsia="lv-LV"/>
        </w:rPr>
      </w:pPr>
      <w:hyperlink w:anchor="_Toc531798572" w:history="1">
        <w:r w:rsidRPr="00DE15C4">
          <w:rPr>
            <w:rStyle w:val="Hyperlink"/>
            <w:noProof/>
          </w:rPr>
          <w:t>4.3.1. Aprēķinā iekļauts vēsturiskais atbalsts</w:t>
        </w:r>
        <w:r>
          <w:rPr>
            <w:noProof/>
            <w:webHidden/>
          </w:rPr>
          <w:tab/>
        </w:r>
        <w:r>
          <w:rPr>
            <w:noProof/>
            <w:webHidden/>
          </w:rPr>
          <w:fldChar w:fldCharType="begin"/>
        </w:r>
        <w:r>
          <w:rPr>
            <w:noProof/>
            <w:webHidden/>
          </w:rPr>
          <w:instrText xml:space="preserve"> PAGEREF _Toc531798572 \h </w:instrText>
        </w:r>
        <w:r>
          <w:rPr>
            <w:noProof/>
            <w:webHidden/>
          </w:rPr>
        </w:r>
        <w:r>
          <w:rPr>
            <w:noProof/>
            <w:webHidden/>
          </w:rPr>
          <w:fldChar w:fldCharType="separate"/>
        </w:r>
        <w:r>
          <w:rPr>
            <w:noProof/>
            <w:webHidden/>
          </w:rPr>
          <w:t>40</w:t>
        </w:r>
        <w:r>
          <w:rPr>
            <w:noProof/>
            <w:webHidden/>
          </w:rPr>
          <w:fldChar w:fldCharType="end"/>
        </w:r>
      </w:hyperlink>
    </w:p>
    <w:p w14:paraId="195EFCBF" w14:textId="77777777" w:rsidR="00EE1CF5" w:rsidRDefault="00EE1CF5" w:rsidP="00EE1CF5">
      <w:pPr>
        <w:pStyle w:val="TOC3"/>
        <w:rPr>
          <w:rFonts w:asciiTheme="minorHAnsi" w:eastAsiaTheme="minorEastAsia" w:hAnsiTheme="minorHAnsi"/>
          <w:noProof/>
          <w:sz w:val="22"/>
          <w:lang w:eastAsia="lv-LV"/>
        </w:rPr>
      </w:pPr>
      <w:hyperlink w:anchor="_Toc531798573" w:history="1">
        <w:r w:rsidRPr="00DE15C4">
          <w:rPr>
            <w:rStyle w:val="Hyperlink"/>
            <w:noProof/>
          </w:rPr>
          <w:t>4.3.2. Aprēķina veikšana tām stacijām, kurām tas pašlaik netiek veikts</w:t>
        </w:r>
        <w:r>
          <w:rPr>
            <w:noProof/>
            <w:webHidden/>
          </w:rPr>
          <w:tab/>
        </w:r>
        <w:r>
          <w:rPr>
            <w:noProof/>
            <w:webHidden/>
          </w:rPr>
          <w:fldChar w:fldCharType="begin"/>
        </w:r>
        <w:r>
          <w:rPr>
            <w:noProof/>
            <w:webHidden/>
          </w:rPr>
          <w:instrText xml:space="preserve"> PAGEREF _Toc531798573 \h </w:instrText>
        </w:r>
        <w:r>
          <w:rPr>
            <w:noProof/>
            <w:webHidden/>
          </w:rPr>
        </w:r>
        <w:r>
          <w:rPr>
            <w:noProof/>
            <w:webHidden/>
          </w:rPr>
          <w:fldChar w:fldCharType="separate"/>
        </w:r>
        <w:r>
          <w:rPr>
            <w:noProof/>
            <w:webHidden/>
          </w:rPr>
          <w:t>44</w:t>
        </w:r>
        <w:r>
          <w:rPr>
            <w:noProof/>
            <w:webHidden/>
          </w:rPr>
          <w:fldChar w:fldCharType="end"/>
        </w:r>
      </w:hyperlink>
    </w:p>
    <w:p w14:paraId="6C12E59B" w14:textId="77777777" w:rsidR="00EE1CF5" w:rsidRDefault="00EE1CF5" w:rsidP="00EE1CF5">
      <w:pPr>
        <w:pStyle w:val="TOC3"/>
        <w:rPr>
          <w:rFonts w:asciiTheme="minorHAnsi" w:eastAsiaTheme="minorEastAsia" w:hAnsiTheme="minorHAnsi"/>
          <w:noProof/>
          <w:sz w:val="22"/>
          <w:lang w:eastAsia="lv-LV"/>
        </w:rPr>
      </w:pPr>
      <w:hyperlink w:anchor="_Toc531798574" w:history="1">
        <w:r w:rsidRPr="00DE15C4">
          <w:rPr>
            <w:rStyle w:val="Hyperlink"/>
            <w:noProof/>
          </w:rPr>
          <w:t>4.3.3. Atceltas tiesības iesniegt zvērināta revidenta apstiprinātu aprēķinu</w:t>
        </w:r>
        <w:r>
          <w:rPr>
            <w:noProof/>
            <w:webHidden/>
          </w:rPr>
          <w:tab/>
        </w:r>
        <w:r>
          <w:rPr>
            <w:noProof/>
            <w:webHidden/>
          </w:rPr>
          <w:fldChar w:fldCharType="begin"/>
        </w:r>
        <w:r>
          <w:rPr>
            <w:noProof/>
            <w:webHidden/>
          </w:rPr>
          <w:instrText xml:space="preserve"> PAGEREF _Toc531798574 \h </w:instrText>
        </w:r>
        <w:r>
          <w:rPr>
            <w:noProof/>
            <w:webHidden/>
          </w:rPr>
        </w:r>
        <w:r>
          <w:rPr>
            <w:noProof/>
            <w:webHidden/>
          </w:rPr>
          <w:fldChar w:fldCharType="separate"/>
        </w:r>
        <w:r>
          <w:rPr>
            <w:noProof/>
            <w:webHidden/>
          </w:rPr>
          <w:t>45</w:t>
        </w:r>
        <w:r>
          <w:rPr>
            <w:noProof/>
            <w:webHidden/>
          </w:rPr>
          <w:fldChar w:fldCharType="end"/>
        </w:r>
      </w:hyperlink>
    </w:p>
    <w:p w14:paraId="2BFF4A52" w14:textId="77777777" w:rsidR="00EE1CF5" w:rsidRDefault="00EE1CF5" w:rsidP="00EE1CF5">
      <w:pPr>
        <w:pStyle w:val="TOC3"/>
        <w:rPr>
          <w:rFonts w:asciiTheme="minorHAnsi" w:eastAsiaTheme="minorEastAsia" w:hAnsiTheme="minorHAnsi"/>
          <w:noProof/>
          <w:sz w:val="22"/>
          <w:lang w:eastAsia="lv-LV"/>
        </w:rPr>
      </w:pPr>
      <w:hyperlink w:anchor="_Toc531798575" w:history="1">
        <w:r w:rsidRPr="00DE15C4">
          <w:rPr>
            <w:rStyle w:val="Hyperlink"/>
            <w:noProof/>
          </w:rPr>
          <w:t>4.3.4. Līmeņatzīmju pārskatīšana</w:t>
        </w:r>
        <w:r>
          <w:rPr>
            <w:noProof/>
            <w:webHidden/>
          </w:rPr>
          <w:tab/>
        </w:r>
        <w:r>
          <w:rPr>
            <w:noProof/>
            <w:webHidden/>
          </w:rPr>
          <w:fldChar w:fldCharType="begin"/>
        </w:r>
        <w:r>
          <w:rPr>
            <w:noProof/>
            <w:webHidden/>
          </w:rPr>
          <w:instrText xml:space="preserve"> PAGEREF _Toc531798575 \h </w:instrText>
        </w:r>
        <w:r>
          <w:rPr>
            <w:noProof/>
            <w:webHidden/>
          </w:rPr>
        </w:r>
        <w:r>
          <w:rPr>
            <w:noProof/>
            <w:webHidden/>
          </w:rPr>
          <w:fldChar w:fldCharType="separate"/>
        </w:r>
        <w:r>
          <w:rPr>
            <w:noProof/>
            <w:webHidden/>
          </w:rPr>
          <w:t>46</w:t>
        </w:r>
        <w:r>
          <w:rPr>
            <w:noProof/>
            <w:webHidden/>
          </w:rPr>
          <w:fldChar w:fldCharType="end"/>
        </w:r>
      </w:hyperlink>
    </w:p>
    <w:p w14:paraId="7BD2EB8D" w14:textId="77777777" w:rsidR="00EE1CF5" w:rsidRDefault="00EE1CF5" w:rsidP="00EE1CF5">
      <w:pPr>
        <w:pStyle w:val="TOC3"/>
        <w:rPr>
          <w:rFonts w:asciiTheme="minorHAnsi" w:eastAsiaTheme="minorEastAsia" w:hAnsiTheme="minorHAnsi"/>
          <w:noProof/>
          <w:sz w:val="22"/>
          <w:lang w:eastAsia="lv-LV"/>
        </w:rPr>
      </w:pPr>
      <w:hyperlink w:anchor="_Toc531798576" w:history="1">
        <w:r w:rsidRPr="00DE15C4">
          <w:rPr>
            <w:rStyle w:val="Hyperlink"/>
            <w:noProof/>
          </w:rPr>
          <w:t>4.3.5. Instrumenta ieviešana</w:t>
        </w:r>
        <w:r>
          <w:rPr>
            <w:noProof/>
            <w:webHidden/>
          </w:rPr>
          <w:tab/>
        </w:r>
        <w:r>
          <w:rPr>
            <w:noProof/>
            <w:webHidden/>
          </w:rPr>
          <w:fldChar w:fldCharType="begin"/>
        </w:r>
        <w:r>
          <w:rPr>
            <w:noProof/>
            <w:webHidden/>
          </w:rPr>
          <w:instrText xml:space="preserve"> PAGEREF _Toc531798576 \h </w:instrText>
        </w:r>
        <w:r>
          <w:rPr>
            <w:noProof/>
            <w:webHidden/>
          </w:rPr>
        </w:r>
        <w:r>
          <w:rPr>
            <w:noProof/>
            <w:webHidden/>
          </w:rPr>
          <w:fldChar w:fldCharType="separate"/>
        </w:r>
        <w:r>
          <w:rPr>
            <w:noProof/>
            <w:webHidden/>
          </w:rPr>
          <w:t>48</w:t>
        </w:r>
        <w:r>
          <w:rPr>
            <w:noProof/>
            <w:webHidden/>
          </w:rPr>
          <w:fldChar w:fldCharType="end"/>
        </w:r>
      </w:hyperlink>
    </w:p>
    <w:p w14:paraId="65A3702A" w14:textId="77777777" w:rsidR="00EE1CF5" w:rsidRDefault="00EE1CF5" w:rsidP="00EE1CF5">
      <w:pPr>
        <w:pStyle w:val="TOC2"/>
        <w:rPr>
          <w:rFonts w:asciiTheme="minorHAnsi" w:eastAsiaTheme="minorEastAsia" w:hAnsiTheme="minorHAnsi"/>
          <w:noProof/>
          <w:sz w:val="22"/>
          <w:lang w:eastAsia="lv-LV"/>
        </w:rPr>
      </w:pPr>
      <w:hyperlink w:anchor="_Toc531798577" w:history="1">
        <w:r w:rsidRPr="00DE15C4">
          <w:rPr>
            <w:rStyle w:val="Hyperlink"/>
            <w:noProof/>
          </w:rPr>
          <w:t>4.4.</w:t>
        </w:r>
        <w:r>
          <w:rPr>
            <w:rFonts w:asciiTheme="minorHAnsi" w:eastAsiaTheme="minorEastAsia" w:hAnsiTheme="minorHAnsi"/>
            <w:noProof/>
            <w:sz w:val="22"/>
            <w:lang w:eastAsia="lv-LV"/>
          </w:rPr>
          <w:tab/>
        </w:r>
        <w:r w:rsidRPr="00DE15C4">
          <w:rPr>
            <w:rStyle w:val="Hyperlink"/>
            <w:noProof/>
          </w:rPr>
          <w:t>Prasības izejvielu kvalitātes kritērijiem biogāzes stacijām</w:t>
        </w:r>
        <w:r>
          <w:rPr>
            <w:noProof/>
            <w:webHidden/>
          </w:rPr>
          <w:tab/>
        </w:r>
        <w:r>
          <w:rPr>
            <w:noProof/>
            <w:webHidden/>
          </w:rPr>
          <w:fldChar w:fldCharType="begin"/>
        </w:r>
        <w:r>
          <w:rPr>
            <w:noProof/>
            <w:webHidden/>
          </w:rPr>
          <w:instrText xml:space="preserve"> PAGEREF _Toc531798577 \h </w:instrText>
        </w:r>
        <w:r>
          <w:rPr>
            <w:noProof/>
            <w:webHidden/>
          </w:rPr>
        </w:r>
        <w:r>
          <w:rPr>
            <w:noProof/>
            <w:webHidden/>
          </w:rPr>
          <w:fldChar w:fldCharType="separate"/>
        </w:r>
        <w:r>
          <w:rPr>
            <w:noProof/>
            <w:webHidden/>
          </w:rPr>
          <w:t>48</w:t>
        </w:r>
        <w:r>
          <w:rPr>
            <w:noProof/>
            <w:webHidden/>
          </w:rPr>
          <w:fldChar w:fldCharType="end"/>
        </w:r>
      </w:hyperlink>
    </w:p>
    <w:p w14:paraId="4A12E37C" w14:textId="77777777" w:rsidR="00EE1CF5" w:rsidRDefault="00EE1CF5" w:rsidP="00EE1CF5">
      <w:pPr>
        <w:pStyle w:val="TOC2"/>
        <w:rPr>
          <w:rFonts w:asciiTheme="minorHAnsi" w:eastAsiaTheme="minorEastAsia" w:hAnsiTheme="minorHAnsi"/>
          <w:noProof/>
          <w:sz w:val="22"/>
          <w:lang w:eastAsia="lv-LV"/>
        </w:rPr>
      </w:pPr>
      <w:hyperlink w:anchor="_Toc531798578" w:history="1">
        <w:r w:rsidRPr="00DE15C4">
          <w:rPr>
            <w:rStyle w:val="Hyperlink"/>
            <w:noProof/>
          </w:rPr>
          <w:t>4.5. Rīcība attiecībā uz dabasgāzes stacijām sniegto atbalstu</w:t>
        </w:r>
        <w:r>
          <w:rPr>
            <w:noProof/>
            <w:webHidden/>
          </w:rPr>
          <w:tab/>
        </w:r>
        <w:r>
          <w:rPr>
            <w:noProof/>
            <w:webHidden/>
          </w:rPr>
          <w:fldChar w:fldCharType="begin"/>
        </w:r>
        <w:r>
          <w:rPr>
            <w:noProof/>
            <w:webHidden/>
          </w:rPr>
          <w:instrText xml:space="preserve"> PAGEREF _Toc531798578 \h </w:instrText>
        </w:r>
        <w:r>
          <w:rPr>
            <w:noProof/>
            <w:webHidden/>
          </w:rPr>
        </w:r>
        <w:r>
          <w:rPr>
            <w:noProof/>
            <w:webHidden/>
          </w:rPr>
          <w:fldChar w:fldCharType="separate"/>
        </w:r>
        <w:r>
          <w:rPr>
            <w:noProof/>
            <w:webHidden/>
          </w:rPr>
          <w:t>51</w:t>
        </w:r>
        <w:r>
          <w:rPr>
            <w:noProof/>
            <w:webHidden/>
          </w:rPr>
          <w:fldChar w:fldCharType="end"/>
        </w:r>
      </w:hyperlink>
    </w:p>
    <w:p w14:paraId="51ADD8EC" w14:textId="77777777" w:rsidR="00EE1CF5" w:rsidRDefault="00EE1CF5" w:rsidP="00EE1CF5">
      <w:pPr>
        <w:pStyle w:val="TOC2"/>
        <w:rPr>
          <w:rFonts w:asciiTheme="minorHAnsi" w:eastAsiaTheme="minorEastAsia" w:hAnsiTheme="minorHAnsi"/>
          <w:noProof/>
          <w:sz w:val="22"/>
          <w:lang w:eastAsia="lv-LV"/>
        </w:rPr>
      </w:pPr>
      <w:hyperlink w:anchor="_Toc531798579" w:history="1">
        <w:r w:rsidRPr="00DE15C4">
          <w:rPr>
            <w:rStyle w:val="Hyperlink"/>
            <w:noProof/>
          </w:rPr>
          <w:t>4.6. Brīvprātīga iziešana no OI sistēmas un staciju darbība pēc atbalsta perioda beigām</w:t>
        </w:r>
        <w:r>
          <w:rPr>
            <w:noProof/>
            <w:webHidden/>
          </w:rPr>
          <w:tab/>
        </w:r>
        <w:r>
          <w:rPr>
            <w:noProof/>
            <w:webHidden/>
          </w:rPr>
          <w:fldChar w:fldCharType="begin"/>
        </w:r>
        <w:r>
          <w:rPr>
            <w:noProof/>
            <w:webHidden/>
          </w:rPr>
          <w:instrText xml:space="preserve"> PAGEREF _Toc531798579 \h </w:instrText>
        </w:r>
        <w:r>
          <w:rPr>
            <w:noProof/>
            <w:webHidden/>
          </w:rPr>
        </w:r>
        <w:r>
          <w:rPr>
            <w:noProof/>
            <w:webHidden/>
          </w:rPr>
          <w:fldChar w:fldCharType="separate"/>
        </w:r>
        <w:r>
          <w:rPr>
            <w:noProof/>
            <w:webHidden/>
          </w:rPr>
          <w:t>52</w:t>
        </w:r>
        <w:r>
          <w:rPr>
            <w:noProof/>
            <w:webHidden/>
          </w:rPr>
          <w:fldChar w:fldCharType="end"/>
        </w:r>
      </w:hyperlink>
    </w:p>
    <w:p w14:paraId="1567BD83" w14:textId="77777777" w:rsidR="00EE1CF5" w:rsidRDefault="00EE1CF5" w:rsidP="00EE1CF5">
      <w:pPr>
        <w:pStyle w:val="TOC2"/>
        <w:rPr>
          <w:rFonts w:asciiTheme="minorHAnsi" w:eastAsiaTheme="minorEastAsia" w:hAnsiTheme="minorHAnsi"/>
          <w:noProof/>
          <w:sz w:val="22"/>
          <w:lang w:eastAsia="lv-LV"/>
        </w:rPr>
      </w:pPr>
      <w:hyperlink w:anchor="_Toc531798580" w:history="1">
        <w:r w:rsidRPr="00DE15C4">
          <w:rPr>
            <w:rStyle w:val="Hyperlink"/>
            <w:noProof/>
          </w:rPr>
          <w:t>4.7. “Zaļo sertifikātu” mehānisms</w:t>
        </w:r>
        <w:r>
          <w:rPr>
            <w:noProof/>
            <w:webHidden/>
          </w:rPr>
          <w:tab/>
        </w:r>
        <w:r>
          <w:rPr>
            <w:noProof/>
            <w:webHidden/>
          </w:rPr>
          <w:fldChar w:fldCharType="begin"/>
        </w:r>
        <w:r>
          <w:rPr>
            <w:noProof/>
            <w:webHidden/>
          </w:rPr>
          <w:instrText xml:space="preserve"> PAGEREF _Toc531798580 \h </w:instrText>
        </w:r>
        <w:r>
          <w:rPr>
            <w:noProof/>
            <w:webHidden/>
          </w:rPr>
        </w:r>
        <w:r>
          <w:rPr>
            <w:noProof/>
            <w:webHidden/>
          </w:rPr>
          <w:fldChar w:fldCharType="separate"/>
        </w:r>
        <w:r>
          <w:rPr>
            <w:noProof/>
            <w:webHidden/>
          </w:rPr>
          <w:t>53</w:t>
        </w:r>
        <w:r>
          <w:rPr>
            <w:noProof/>
            <w:webHidden/>
          </w:rPr>
          <w:fldChar w:fldCharType="end"/>
        </w:r>
      </w:hyperlink>
    </w:p>
    <w:p w14:paraId="47DE1405" w14:textId="77777777" w:rsidR="00EE1CF5" w:rsidRDefault="00EE1CF5" w:rsidP="00EE1CF5">
      <w:pPr>
        <w:pStyle w:val="TOC3"/>
        <w:rPr>
          <w:rFonts w:asciiTheme="minorHAnsi" w:eastAsiaTheme="minorEastAsia" w:hAnsiTheme="minorHAnsi"/>
          <w:noProof/>
          <w:sz w:val="22"/>
          <w:lang w:eastAsia="lv-LV"/>
        </w:rPr>
      </w:pPr>
      <w:hyperlink w:anchor="_Toc531798581" w:history="1">
        <w:r w:rsidRPr="00DE15C4">
          <w:rPr>
            <w:rStyle w:val="Hyperlink"/>
            <w:noProof/>
            <w:shd w:val="clear" w:color="auto" w:fill="FFFFFF"/>
          </w:rPr>
          <w:t xml:space="preserve">4.7.1. </w:t>
        </w:r>
        <w:r w:rsidRPr="00DE15C4">
          <w:rPr>
            <w:rStyle w:val="Hyperlink"/>
            <w:noProof/>
          </w:rPr>
          <w:t>Pāreja uz “zaļo sertifikātu” mehānismu</w:t>
        </w:r>
        <w:r>
          <w:rPr>
            <w:noProof/>
            <w:webHidden/>
          </w:rPr>
          <w:tab/>
        </w:r>
        <w:r>
          <w:rPr>
            <w:noProof/>
            <w:webHidden/>
          </w:rPr>
          <w:fldChar w:fldCharType="begin"/>
        </w:r>
        <w:r>
          <w:rPr>
            <w:noProof/>
            <w:webHidden/>
          </w:rPr>
          <w:instrText xml:space="preserve"> PAGEREF _Toc531798581 \h </w:instrText>
        </w:r>
        <w:r>
          <w:rPr>
            <w:noProof/>
            <w:webHidden/>
          </w:rPr>
        </w:r>
        <w:r>
          <w:rPr>
            <w:noProof/>
            <w:webHidden/>
          </w:rPr>
          <w:fldChar w:fldCharType="separate"/>
        </w:r>
        <w:r>
          <w:rPr>
            <w:noProof/>
            <w:webHidden/>
          </w:rPr>
          <w:t>53</w:t>
        </w:r>
        <w:r>
          <w:rPr>
            <w:noProof/>
            <w:webHidden/>
          </w:rPr>
          <w:fldChar w:fldCharType="end"/>
        </w:r>
      </w:hyperlink>
    </w:p>
    <w:p w14:paraId="2DB2DDF5" w14:textId="77777777" w:rsidR="00EE1CF5" w:rsidRDefault="00EE1CF5" w:rsidP="00EE1CF5">
      <w:pPr>
        <w:pStyle w:val="TOC3"/>
        <w:rPr>
          <w:rFonts w:asciiTheme="minorHAnsi" w:eastAsiaTheme="minorEastAsia" w:hAnsiTheme="minorHAnsi"/>
          <w:noProof/>
          <w:sz w:val="22"/>
          <w:lang w:eastAsia="lv-LV"/>
        </w:rPr>
      </w:pPr>
      <w:hyperlink w:anchor="_Toc531798582" w:history="1">
        <w:r w:rsidRPr="00DE15C4">
          <w:rPr>
            <w:rStyle w:val="Hyperlink"/>
            <w:rFonts w:eastAsiaTheme="majorEastAsia"/>
            <w:noProof/>
          </w:rPr>
          <w:t>4.7.2. Priekšlikums “zaļo sertifikātu” mehānisma izveidei Latvijā</w:t>
        </w:r>
        <w:r>
          <w:rPr>
            <w:noProof/>
            <w:webHidden/>
          </w:rPr>
          <w:tab/>
        </w:r>
        <w:r>
          <w:rPr>
            <w:noProof/>
            <w:webHidden/>
          </w:rPr>
          <w:fldChar w:fldCharType="begin"/>
        </w:r>
        <w:r>
          <w:rPr>
            <w:noProof/>
            <w:webHidden/>
          </w:rPr>
          <w:instrText xml:space="preserve"> PAGEREF _Toc531798582 \h </w:instrText>
        </w:r>
        <w:r>
          <w:rPr>
            <w:noProof/>
            <w:webHidden/>
          </w:rPr>
        </w:r>
        <w:r>
          <w:rPr>
            <w:noProof/>
            <w:webHidden/>
          </w:rPr>
          <w:fldChar w:fldCharType="separate"/>
        </w:r>
        <w:r>
          <w:rPr>
            <w:noProof/>
            <w:webHidden/>
          </w:rPr>
          <w:t>55</w:t>
        </w:r>
        <w:r>
          <w:rPr>
            <w:noProof/>
            <w:webHidden/>
          </w:rPr>
          <w:fldChar w:fldCharType="end"/>
        </w:r>
      </w:hyperlink>
    </w:p>
    <w:p w14:paraId="41F9C730" w14:textId="77777777" w:rsidR="00EE1CF5" w:rsidRDefault="00EE1CF5" w:rsidP="00EE1CF5">
      <w:pPr>
        <w:pStyle w:val="TOC3"/>
        <w:rPr>
          <w:rFonts w:asciiTheme="minorHAnsi" w:eastAsiaTheme="minorEastAsia" w:hAnsiTheme="minorHAnsi"/>
          <w:noProof/>
          <w:sz w:val="22"/>
          <w:lang w:eastAsia="lv-LV"/>
        </w:rPr>
      </w:pPr>
      <w:hyperlink w:anchor="_Toc531798583" w:history="1">
        <w:r w:rsidRPr="00DE15C4">
          <w:rPr>
            <w:rStyle w:val="Hyperlink"/>
            <w:noProof/>
            <w:shd w:val="clear" w:color="auto" w:fill="FFFFFF"/>
          </w:rPr>
          <w:t>4.7.3. “Zaļo sertifikātu” mehānisma apraksts</w:t>
        </w:r>
        <w:r>
          <w:rPr>
            <w:noProof/>
            <w:webHidden/>
          </w:rPr>
          <w:tab/>
        </w:r>
        <w:r>
          <w:rPr>
            <w:noProof/>
            <w:webHidden/>
          </w:rPr>
          <w:fldChar w:fldCharType="begin"/>
        </w:r>
        <w:r>
          <w:rPr>
            <w:noProof/>
            <w:webHidden/>
          </w:rPr>
          <w:instrText xml:space="preserve"> PAGEREF _Toc531798583 \h </w:instrText>
        </w:r>
        <w:r>
          <w:rPr>
            <w:noProof/>
            <w:webHidden/>
          </w:rPr>
        </w:r>
        <w:r>
          <w:rPr>
            <w:noProof/>
            <w:webHidden/>
          </w:rPr>
          <w:fldChar w:fldCharType="separate"/>
        </w:r>
        <w:r>
          <w:rPr>
            <w:noProof/>
            <w:webHidden/>
          </w:rPr>
          <w:t>57</w:t>
        </w:r>
        <w:r>
          <w:rPr>
            <w:noProof/>
            <w:webHidden/>
          </w:rPr>
          <w:fldChar w:fldCharType="end"/>
        </w:r>
      </w:hyperlink>
    </w:p>
    <w:p w14:paraId="265B4558" w14:textId="77777777" w:rsidR="00EE1CF5" w:rsidRDefault="00EE1CF5" w:rsidP="00EE1CF5">
      <w:pPr>
        <w:pStyle w:val="TOC2"/>
        <w:rPr>
          <w:rFonts w:asciiTheme="minorHAnsi" w:eastAsiaTheme="minorEastAsia" w:hAnsiTheme="minorHAnsi"/>
          <w:noProof/>
          <w:sz w:val="22"/>
          <w:lang w:eastAsia="lv-LV"/>
        </w:rPr>
      </w:pPr>
      <w:hyperlink w:anchor="_Toc531798584" w:history="1">
        <w:r w:rsidRPr="00DE15C4">
          <w:rPr>
            <w:rStyle w:val="Hyperlink"/>
            <w:noProof/>
          </w:rPr>
          <w:t>4.8.</w:t>
        </w:r>
        <w:r>
          <w:rPr>
            <w:rFonts w:asciiTheme="minorHAnsi" w:eastAsiaTheme="minorEastAsia" w:hAnsiTheme="minorHAnsi"/>
            <w:noProof/>
            <w:sz w:val="22"/>
            <w:lang w:eastAsia="lv-LV"/>
          </w:rPr>
          <w:tab/>
        </w:r>
        <w:r w:rsidRPr="00DE15C4">
          <w:rPr>
            <w:rStyle w:val="Hyperlink"/>
            <w:noProof/>
          </w:rPr>
          <w:t>Pāreja uz piemaksas noteikšanu virs elektroenerģijas tirgus cenas</w:t>
        </w:r>
        <w:r>
          <w:rPr>
            <w:noProof/>
            <w:webHidden/>
          </w:rPr>
          <w:tab/>
        </w:r>
        <w:r>
          <w:rPr>
            <w:noProof/>
            <w:webHidden/>
          </w:rPr>
          <w:fldChar w:fldCharType="begin"/>
        </w:r>
        <w:r>
          <w:rPr>
            <w:noProof/>
            <w:webHidden/>
          </w:rPr>
          <w:instrText xml:space="preserve"> PAGEREF _Toc531798584 \h </w:instrText>
        </w:r>
        <w:r>
          <w:rPr>
            <w:noProof/>
            <w:webHidden/>
          </w:rPr>
        </w:r>
        <w:r>
          <w:rPr>
            <w:noProof/>
            <w:webHidden/>
          </w:rPr>
          <w:fldChar w:fldCharType="separate"/>
        </w:r>
        <w:r>
          <w:rPr>
            <w:noProof/>
            <w:webHidden/>
          </w:rPr>
          <w:t>59</w:t>
        </w:r>
        <w:r>
          <w:rPr>
            <w:noProof/>
            <w:webHidden/>
          </w:rPr>
          <w:fldChar w:fldCharType="end"/>
        </w:r>
      </w:hyperlink>
    </w:p>
    <w:p w14:paraId="168010B2" w14:textId="77777777" w:rsidR="00EE1CF5" w:rsidRDefault="00EE1CF5" w:rsidP="00EE1CF5">
      <w:pPr>
        <w:pStyle w:val="TOC1"/>
        <w:tabs>
          <w:tab w:val="right" w:leader="dot" w:pos="9061"/>
        </w:tabs>
        <w:rPr>
          <w:rFonts w:asciiTheme="minorHAnsi" w:eastAsiaTheme="minorEastAsia" w:hAnsiTheme="minorHAnsi"/>
          <w:noProof/>
          <w:sz w:val="22"/>
          <w:lang w:eastAsia="lv-LV"/>
        </w:rPr>
      </w:pPr>
      <w:hyperlink w:anchor="_Toc531798585" w:history="1">
        <w:r w:rsidRPr="00DE15C4">
          <w:rPr>
            <w:rStyle w:val="Hyperlink"/>
            <w:noProof/>
          </w:rPr>
          <w:t>5. Pasākumi OI sistēmas sakārtošanai un uzraudzībai</w:t>
        </w:r>
        <w:r>
          <w:rPr>
            <w:noProof/>
            <w:webHidden/>
          </w:rPr>
          <w:tab/>
        </w:r>
        <w:r>
          <w:rPr>
            <w:noProof/>
            <w:webHidden/>
          </w:rPr>
          <w:fldChar w:fldCharType="begin"/>
        </w:r>
        <w:r>
          <w:rPr>
            <w:noProof/>
            <w:webHidden/>
          </w:rPr>
          <w:instrText xml:space="preserve"> PAGEREF _Toc531798585 \h </w:instrText>
        </w:r>
        <w:r>
          <w:rPr>
            <w:noProof/>
            <w:webHidden/>
          </w:rPr>
        </w:r>
        <w:r>
          <w:rPr>
            <w:noProof/>
            <w:webHidden/>
          </w:rPr>
          <w:fldChar w:fldCharType="separate"/>
        </w:r>
        <w:r>
          <w:rPr>
            <w:noProof/>
            <w:webHidden/>
          </w:rPr>
          <w:t>62</w:t>
        </w:r>
        <w:r>
          <w:rPr>
            <w:noProof/>
            <w:webHidden/>
          </w:rPr>
          <w:fldChar w:fldCharType="end"/>
        </w:r>
      </w:hyperlink>
    </w:p>
    <w:p w14:paraId="4A0D3A54" w14:textId="77777777" w:rsidR="00EE1CF5" w:rsidRDefault="00EE1CF5" w:rsidP="00EE1CF5">
      <w:pPr>
        <w:pStyle w:val="TOC2"/>
        <w:rPr>
          <w:rFonts w:asciiTheme="minorHAnsi" w:eastAsiaTheme="minorEastAsia" w:hAnsiTheme="minorHAnsi"/>
          <w:noProof/>
          <w:sz w:val="22"/>
          <w:lang w:eastAsia="lv-LV"/>
        </w:rPr>
      </w:pPr>
      <w:hyperlink w:anchor="_Toc531798586" w:history="1">
        <w:r w:rsidRPr="00DE15C4">
          <w:rPr>
            <w:rStyle w:val="Hyperlink"/>
            <w:noProof/>
          </w:rPr>
          <w:t>5.1. AER atbalsta izmaksu disciplīna</w:t>
        </w:r>
        <w:r>
          <w:rPr>
            <w:noProof/>
            <w:webHidden/>
          </w:rPr>
          <w:tab/>
        </w:r>
        <w:r>
          <w:rPr>
            <w:noProof/>
            <w:webHidden/>
          </w:rPr>
          <w:fldChar w:fldCharType="begin"/>
        </w:r>
        <w:r>
          <w:rPr>
            <w:noProof/>
            <w:webHidden/>
          </w:rPr>
          <w:instrText xml:space="preserve"> PAGEREF _Toc531798586 \h </w:instrText>
        </w:r>
        <w:r>
          <w:rPr>
            <w:noProof/>
            <w:webHidden/>
          </w:rPr>
        </w:r>
        <w:r>
          <w:rPr>
            <w:noProof/>
            <w:webHidden/>
          </w:rPr>
          <w:fldChar w:fldCharType="separate"/>
        </w:r>
        <w:r>
          <w:rPr>
            <w:noProof/>
            <w:webHidden/>
          </w:rPr>
          <w:t>62</w:t>
        </w:r>
        <w:r>
          <w:rPr>
            <w:noProof/>
            <w:webHidden/>
          </w:rPr>
          <w:fldChar w:fldCharType="end"/>
        </w:r>
      </w:hyperlink>
    </w:p>
    <w:p w14:paraId="78839529" w14:textId="77777777" w:rsidR="00EE1CF5" w:rsidRDefault="00EE1CF5" w:rsidP="00EE1CF5">
      <w:pPr>
        <w:pStyle w:val="TOC2"/>
        <w:rPr>
          <w:rFonts w:asciiTheme="minorHAnsi" w:eastAsiaTheme="minorEastAsia" w:hAnsiTheme="minorHAnsi"/>
          <w:noProof/>
          <w:sz w:val="22"/>
          <w:lang w:eastAsia="lv-LV"/>
        </w:rPr>
      </w:pPr>
      <w:hyperlink w:anchor="_Toc531798587" w:history="1">
        <w:r w:rsidRPr="00DE15C4">
          <w:rPr>
            <w:rStyle w:val="Hyperlink"/>
            <w:noProof/>
          </w:rPr>
          <w:t>5.2. Jaudas maksas administrēšana</w:t>
        </w:r>
        <w:r>
          <w:rPr>
            <w:noProof/>
            <w:webHidden/>
          </w:rPr>
          <w:tab/>
        </w:r>
        <w:r>
          <w:rPr>
            <w:noProof/>
            <w:webHidden/>
          </w:rPr>
          <w:fldChar w:fldCharType="begin"/>
        </w:r>
        <w:r>
          <w:rPr>
            <w:noProof/>
            <w:webHidden/>
          </w:rPr>
          <w:instrText xml:space="preserve"> PAGEREF _Toc531798587 \h </w:instrText>
        </w:r>
        <w:r>
          <w:rPr>
            <w:noProof/>
            <w:webHidden/>
          </w:rPr>
        </w:r>
        <w:r>
          <w:rPr>
            <w:noProof/>
            <w:webHidden/>
          </w:rPr>
          <w:fldChar w:fldCharType="separate"/>
        </w:r>
        <w:r>
          <w:rPr>
            <w:noProof/>
            <w:webHidden/>
          </w:rPr>
          <w:t>63</w:t>
        </w:r>
        <w:r>
          <w:rPr>
            <w:noProof/>
            <w:webHidden/>
          </w:rPr>
          <w:fldChar w:fldCharType="end"/>
        </w:r>
      </w:hyperlink>
    </w:p>
    <w:p w14:paraId="6AFE2E44" w14:textId="77777777" w:rsidR="00EE1CF5" w:rsidRDefault="00EE1CF5" w:rsidP="00EE1CF5">
      <w:pPr>
        <w:pStyle w:val="TOC2"/>
        <w:rPr>
          <w:rFonts w:asciiTheme="minorHAnsi" w:eastAsiaTheme="minorEastAsia" w:hAnsiTheme="minorHAnsi"/>
          <w:noProof/>
          <w:sz w:val="22"/>
          <w:lang w:eastAsia="lv-LV"/>
        </w:rPr>
      </w:pPr>
      <w:hyperlink w:anchor="_Toc531798588" w:history="1">
        <w:r w:rsidRPr="00DE15C4">
          <w:rPr>
            <w:rStyle w:val="Hyperlink"/>
            <w:noProof/>
          </w:rPr>
          <w:t>5.3. Vairumtirgus cenas izsole</w:t>
        </w:r>
        <w:r>
          <w:rPr>
            <w:noProof/>
            <w:webHidden/>
          </w:rPr>
          <w:tab/>
        </w:r>
        <w:r>
          <w:rPr>
            <w:noProof/>
            <w:webHidden/>
          </w:rPr>
          <w:fldChar w:fldCharType="begin"/>
        </w:r>
        <w:r>
          <w:rPr>
            <w:noProof/>
            <w:webHidden/>
          </w:rPr>
          <w:instrText xml:space="preserve"> PAGEREF _Toc531798588 \h </w:instrText>
        </w:r>
        <w:r>
          <w:rPr>
            <w:noProof/>
            <w:webHidden/>
          </w:rPr>
        </w:r>
        <w:r>
          <w:rPr>
            <w:noProof/>
            <w:webHidden/>
          </w:rPr>
          <w:fldChar w:fldCharType="separate"/>
        </w:r>
        <w:r>
          <w:rPr>
            <w:noProof/>
            <w:webHidden/>
          </w:rPr>
          <w:t>67</w:t>
        </w:r>
        <w:r>
          <w:rPr>
            <w:noProof/>
            <w:webHidden/>
          </w:rPr>
          <w:fldChar w:fldCharType="end"/>
        </w:r>
      </w:hyperlink>
    </w:p>
    <w:p w14:paraId="3441E7F5" w14:textId="77777777" w:rsidR="00EE1CF5" w:rsidRDefault="00EE1CF5" w:rsidP="00EE1CF5">
      <w:pPr>
        <w:pStyle w:val="TOC2"/>
        <w:rPr>
          <w:rFonts w:asciiTheme="minorHAnsi" w:eastAsiaTheme="minorEastAsia" w:hAnsiTheme="minorHAnsi"/>
          <w:noProof/>
          <w:sz w:val="22"/>
          <w:lang w:eastAsia="lv-LV"/>
        </w:rPr>
      </w:pPr>
      <w:hyperlink w:anchor="_Toc531798589" w:history="1">
        <w:r w:rsidRPr="00DE15C4">
          <w:rPr>
            <w:rStyle w:val="Hyperlink"/>
            <w:noProof/>
          </w:rPr>
          <w:t>5.4. Valsts atbalsta jautājumu administrēšana</w:t>
        </w:r>
        <w:r>
          <w:rPr>
            <w:noProof/>
            <w:webHidden/>
          </w:rPr>
          <w:tab/>
        </w:r>
        <w:r>
          <w:rPr>
            <w:noProof/>
            <w:webHidden/>
          </w:rPr>
          <w:fldChar w:fldCharType="begin"/>
        </w:r>
        <w:r>
          <w:rPr>
            <w:noProof/>
            <w:webHidden/>
          </w:rPr>
          <w:instrText xml:space="preserve"> PAGEREF _Toc531798589 \h </w:instrText>
        </w:r>
        <w:r>
          <w:rPr>
            <w:noProof/>
            <w:webHidden/>
          </w:rPr>
        </w:r>
        <w:r>
          <w:rPr>
            <w:noProof/>
            <w:webHidden/>
          </w:rPr>
          <w:fldChar w:fldCharType="separate"/>
        </w:r>
        <w:r>
          <w:rPr>
            <w:noProof/>
            <w:webHidden/>
          </w:rPr>
          <w:t>68</w:t>
        </w:r>
        <w:r>
          <w:rPr>
            <w:noProof/>
            <w:webHidden/>
          </w:rPr>
          <w:fldChar w:fldCharType="end"/>
        </w:r>
      </w:hyperlink>
    </w:p>
    <w:p w14:paraId="5F6C6237" w14:textId="77777777" w:rsidR="00EE1CF5" w:rsidRDefault="00EE1CF5" w:rsidP="00EE1CF5">
      <w:pPr>
        <w:pStyle w:val="TOC2"/>
        <w:rPr>
          <w:rFonts w:asciiTheme="minorHAnsi" w:eastAsiaTheme="minorEastAsia" w:hAnsiTheme="minorHAnsi"/>
          <w:noProof/>
          <w:sz w:val="22"/>
          <w:lang w:eastAsia="lv-LV"/>
        </w:rPr>
      </w:pPr>
      <w:hyperlink w:anchor="_Toc531798590" w:history="1">
        <w:r w:rsidRPr="00DE15C4">
          <w:rPr>
            <w:rStyle w:val="Hyperlink"/>
            <w:noProof/>
          </w:rPr>
          <w:t xml:space="preserve">5.5. Administratīvā atbildība par pārkāpumiem </w:t>
        </w:r>
        <w:r w:rsidRPr="00DE15C4">
          <w:rPr>
            <w:rStyle w:val="Hyperlink"/>
            <w:bCs/>
            <w:noProof/>
          </w:rPr>
          <w:t>elektroenerģijas ražošanas jomā</w:t>
        </w:r>
        <w:r>
          <w:rPr>
            <w:noProof/>
            <w:webHidden/>
          </w:rPr>
          <w:tab/>
        </w:r>
        <w:r>
          <w:rPr>
            <w:noProof/>
            <w:webHidden/>
          </w:rPr>
          <w:fldChar w:fldCharType="begin"/>
        </w:r>
        <w:r>
          <w:rPr>
            <w:noProof/>
            <w:webHidden/>
          </w:rPr>
          <w:instrText xml:space="preserve"> PAGEREF _Toc531798590 \h </w:instrText>
        </w:r>
        <w:r>
          <w:rPr>
            <w:noProof/>
            <w:webHidden/>
          </w:rPr>
        </w:r>
        <w:r>
          <w:rPr>
            <w:noProof/>
            <w:webHidden/>
          </w:rPr>
          <w:fldChar w:fldCharType="separate"/>
        </w:r>
        <w:r>
          <w:rPr>
            <w:noProof/>
            <w:webHidden/>
          </w:rPr>
          <w:t>71</w:t>
        </w:r>
        <w:r>
          <w:rPr>
            <w:noProof/>
            <w:webHidden/>
          </w:rPr>
          <w:fldChar w:fldCharType="end"/>
        </w:r>
      </w:hyperlink>
    </w:p>
    <w:p w14:paraId="5C00CB5E" w14:textId="77777777" w:rsidR="00EE1CF5" w:rsidRDefault="00EE1CF5" w:rsidP="00EE1CF5">
      <w:pPr>
        <w:pStyle w:val="TOC1"/>
        <w:tabs>
          <w:tab w:val="right" w:leader="dot" w:pos="9061"/>
        </w:tabs>
        <w:rPr>
          <w:rFonts w:asciiTheme="minorHAnsi" w:eastAsiaTheme="minorEastAsia" w:hAnsiTheme="minorHAnsi"/>
          <w:noProof/>
          <w:sz w:val="22"/>
          <w:lang w:eastAsia="lv-LV"/>
        </w:rPr>
      </w:pPr>
      <w:hyperlink w:anchor="_Toc531798591" w:history="1">
        <w:r w:rsidRPr="00DE15C4">
          <w:rPr>
            <w:rStyle w:val="Hyperlink"/>
            <w:noProof/>
          </w:rPr>
          <w:t>6. Risinājumi</w:t>
        </w:r>
        <w:r>
          <w:rPr>
            <w:noProof/>
            <w:webHidden/>
          </w:rPr>
          <w:tab/>
        </w:r>
        <w:r>
          <w:rPr>
            <w:noProof/>
            <w:webHidden/>
          </w:rPr>
          <w:fldChar w:fldCharType="begin"/>
        </w:r>
        <w:r>
          <w:rPr>
            <w:noProof/>
            <w:webHidden/>
          </w:rPr>
          <w:instrText xml:space="preserve"> PAGEREF _Toc531798591 \h </w:instrText>
        </w:r>
        <w:r>
          <w:rPr>
            <w:noProof/>
            <w:webHidden/>
          </w:rPr>
        </w:r>
        <w:r>
          <w:rPr>
            <w:noProof/>
            <w:webHidden/>
          </w:rPr>
          <w:fldChar w:fldCharType="separate"/>
        </w:r>
        <w:r>
          <w:rPr>
            <w:noProof/>
            <w:webHidden/>
          </w:rPr>
          <w:t>72</w:t>
        </w:r>
        <w:r>
          <w:rPr>
            <w:noProof/>
            <w:webHidden/>
          </w:rPr>
          <w:fldChar w:fldCharType="end"/>
        </w:r>
      </w:hyperlink>
    </w:p>
    <w:p w14:paraId="2586CADD" w14:textId="77777777" w:rsidR="00EE1CF5" w:rsidRDefault="00EE1CF5" w:rsidP="00EE1CF5">
      <w:pPr>
        <w:pStyle w:val="TOC2"/>
        <w:rPr>
          <w:rFonts w:asciiTheme="minorHAnsi" w:eastAsiaTheme="minorEastAsia" w:hAnsiTheme="minorHAnsi"/>
          <w:noProof/>
          <w:sz w:val="22"/>
          <w:lang w:eastAsia="lv-LV"/>
        </w:rPr>
      </w:pPr>
      <w:hyperlink w:anchor="_Toc531798592" w:history="1">
        <w:r w:rsidRPr="00DE15C4">
          <w:rPr>
            <w:rStyle w:val="Hyperlink"/>
            <w:noProof/>
          </w:rPr>
          <w:t>1.risinājums</w:t>
        </w:r>
        <w:r>
          <w:rPr>
            <w:noProof/>
            <w:webHidden/>
          </w:rPr>
          <w:tab/>
        </w:r>
        <w:r>
          <w:rPr>
            <w:noProof/>
            <w:webHidden/>
          </w:rPr>
          <w:fldChar w:fldCharType="begin"/>
        </w:r>
        <w:r>
          <w:rPr>
            <w:noProof/>
            <w:webHidden/>
          </w:rPr>
          <w:instrText xml:space="preserve"> PAGEREF _Toc531798592 \h </w:instrText>
        </w:r>
        <w:r>
          <w:rPr>
            <w:noProof/>
            <w:webHidden/>
          </w:rPr>
        </w:r>
        <w:r>
          <w:rPr>
            <w:noProof/>
            <w:webHidden/>
          </w:rPr>
          <w:fldChar w:fldCharType="separate"/>
        </w:r>
        <w:r>
          <w:rPr>
            <w:noProof/>
            <w:webHidden/>
          </w:rPr>
          <w:t>72</w:t>
        </w:r>
        <w:r>
          <w:rPr>
            <w:noProof/>
            <w:webHidden/>
          </w:rPr>
          <w:fldChar w:fldCharType="end"/>
        </w:r>
      </w:hyperlink>
    </w:p>
    <w:p w14:paraId="3F214179" w14:textId="77777777" w:rsidR="00EE1CF5" w:rsidRDefault="00EE1CF5" w:rsidP="00EE1CF5">
      <w:pPr>
        <w:pStyle w:val="TOC2"/>
        <w:rPr>
          <w:rFonts w:asciiTheme="minorHAnsi" w:eastAsiaTheme="minorEastAsia" w:hAnsiTheme="minorHAnsi"/>
          <w:noProof/>
          <w:sz w:val="22"/>
          <w:lang w:eastAsia="lv-LV"/>
        </w:rPr>
      </w:pPr>
      <w:hyperlink w:anchor="_Toc531798593" w:history="1">
        <w:r w:rsidRPr="00DE15C4">
          <w:rPr>
            <w:rStyle w:val="Hyperlink"/>
            <w:noProof/>
          </w:rPr>
          <w:t>2.risinājums</w:t>
        </w:r>
        <w:r>
          <w:rPr>
            <w:noProof/>
            <w:webHidden/>
          </w:rPr>
          <w:tab/>
        </w:r>
        <w:r>
          <w:rPr>
            <w:noProof/>
            <w:webHidden/>
          </w:rPr>
          <w:fldChar w:fldCharType="begin"/>
        </w:r>
        <w:r>
          <w:rPr>
            <w:noProof/>
            <w:webHidden/>
          </w:rPr>
          <w:instrText xml:space="preserve"> PAGEREF _Toc531798593 \h </w:instrText>
        </w:r>
        <w:r>
          <w:rPr>
            <w:noProof/>
            <w:webHidden/>
          </w:rPr>
        </w:r>
        <w:r>
          <w:rPr>
            <w:noProof/>
            <w:webHidden/>
          </w:rPr>
          <w:fldChar w:fldCharType="separate"/>
        </w:r>
        <w:r>
          <w:rPr>
            <w:noProof/>
            <w:webHidden/>
          </w:rPr>
          <w:t>74</w:t>
        </w:r>
        <w:r>
          <w:rPr>
            <w:noProof/>
            <w:webHidden/>
          </w:rPr>
          <w:fldChar w:fldCharType="end"/>
        </w:r>
      </w:hyperlink>
    </w:p>
    <w:p w14:paraId="79D999D8" w14:textId="77777777" w:rsidR="00EE1CF5" w:rsidRDefault="00EE1CF5" w:rsidP="00EE1CF5">
      <w:pPr>
        <w:pStyle w:val="TOC2"/>
        <w:rPr>
          <w:rFonts w:asciiTheme="minorHAnsi" w:eastAsiaTheme="minorEastAsia" w:hAnsiTheme="minorHAnsi"/>
          <w:noProof/>
          <w:sz w:val="22"/>
          <w:lang w:eastAsia="lv-LV"/>
        </w:rPr>
      </w:pPr>
      <w:hyperlink w:anchor="_Toc531798594" w:history="1">
        <w:r w:rsidRPr="00DE15C4">
          <w:rPr>
            <w:rStyle w:val="Hyperlink"/>
            <w:noProof/>
          </w:rPr>
          <w:t>3.risinājums</w:t>
        </w:r>
        <w:r>
          <w:rPr>
            <w:noProof/>
            <w:webHidden/>
          </w:rPr>
          <w:tab/>
        </w:r>
        <w:r>
          <w:rPr>
            <w:noProof/>
            <w:webHidden/>
          </w:rPr>
          <w:fldChar w:fldCharType="begin"/>
        </w:r>
        <w:r>
          <w:rPr>
            <w:noProof/>
            <w:webHidden/>
          </w:rPr>
          <w:instrText xml:space="preserve"> PAGEREF _Toc531798594 \h </w:instrText>
        </w:r>
        <w:r>
          <w:rPr>
            <w:noProof/>
            <w:webHidden/>
          </w:rPr>
        </w:r>
        <w:r>
          <w:rPr>
            <w:noProof/>
            <w:webHidden/>
          </w:rPr>
          <w:fldChar w:fldCharType="separate"/>
        </w:r>
        <w:r>
          <w:rPr>
            <w:noProof/>
            <w:webHidden/>
          </w:rPr>
          <w:t>78</w:t>
        </w:r>
        <w:r>
          <w:rPr>
            <w:noProof/>
            <w:webHidden/>
          </w:rPr>
          <w:fldChar w:fldCharType="end"/>
        </w:r>
      </w:hyperlink>
    </w:p>
    <w:p w14:paraId="2BEFD9F9" w14:textId="77777777" w:rsidR="00EE1CF5" w:rsidRDefault="00EE1CF5" w:rsidP="00EE1CF5">
      <w:pPr>
        <w:pStyle w:val="TOC2"/>
        <w:rPr>
          <w:rFonts w:asciiTheme="minorHAnsi" w:eastAsiaTheme="minorEastAsia" w:hAnsiTheme="minorHAnsi"/>
          <w:noProof/>
          <w:sz w:val="22"/>
          <w:lang w:eastAsia="lv-LV"/>
        </w:rPr>
      </w:pPr>
      <w:hyperlink w:anchor="_Toc531798595" w:history="1">
        <w:r w:rsidRPr="00DE15C4">
          <w:rPr>
            <w:rStyle w:val="Hyperlink"/>
            <w:noProof/>
          </w:rPr>
          <w:t>4.risinājums</w:t>
        </w:r>
        <w:r>
          <w:rPr>
            <w:noProof/>
            <w:webHidden/>
          </w:rPr>
          <w:tab/>
        </w:r>
        <w:r>
          <w:rPr>
            <w:noProof/>
            <w:webHidden/>
          </w:rPr>
          <w:fldChar w:fldCharType="begin"/>
        </w:r>
        <w:r>
          <w:rPr>
            <w:noProof/>
            <w:webHidden/>
          </w:rPr>
          <w:instrText xml:space="preserve"> PAGEREF _Toc531798595 \h </w:instrText>
        </w:r>
        <w:r>
          <w:rPr>
            <w:noProof/>
            <w:webHidden/>
          </w:rPr>
        </w:r>
        <w:r>
          <w:rPr>
            <w:noProof/>
            <w:webHidden/>
          </w:rPr>
          <w:fldChar w:fldCharType="separate"/>
        </w:r>
        <w:r>
          <w:rPr>
            <w:noProof/>
            <w:webHidden/>
          </w:rPr>
          <w:t>81</w:t>
        </w:r>
        <w:r>
          <w:rPr>
            <w:noProof/>
            <w:webHidden/>
          </w:rPr>
          <w:fldChar w:fldCharType="end"/>
        </w:r>
      </w:hyperlink>
    </w:p>
    <w:p w14:paraId="2B89EB84" w14:textId="77777777" w:rsidR="00EE1CF5" w:rsidRDefault="00EE1CF5" w:rsidP="00EE1CF5">
      <w:pPr>
        <w:pStyle w:val="NormalWeb"/>
        <w:shd w:val="clear" w:color="auto" w:fill="FFFFFF"/>
        <w:spacing w:line="293" w:lineRule="atLeast"/>
        <w:ind w:firstLine="300"/>
      </w:pPr>
      <w:r w:rsidRPr="00605206">
        <w:fldChar w:fldCharType="end"/>
      </w:r>
      <w:bookmarkStart w:id="0" w:name="_Toc256000000"/>
      <w:bookmarkStart w:id="1" w:name="_Toc523492908"/>
    </w:p>
    <w:p w14:paraId="651CFA6C" w14:textId="77777777" w:rsidR="00EE1CF5" w:rsidRPr="00605206" w:rsidRDefault="00EE1CF5" w:rsidP="00EE1CF5">
      <w:pPr>
        <w:pStyle w:val="NormalWeb"/>
        <w:shd w:val="clear" w:color="auto" w:fill="FFFFFF"/>
        <w:spacing w:line="293" w:lineRule="atLeast"/>
        <w:ind w:firstLine="300"/>
      </w:pPr>
    </w:p>
    <w:p w14:paraId="23BFE86A" w14:textId="77777777" w:rsidR="00EE1CF5" w:rsidRPr="006B350D" w:rsidRDefault="00EE1CF5" w:rsidP="00EE1CF5">
      <w:pPr>
        <w:pStyle w:val="NormalWeb"/>
        <w:shd w:val="clear" w:color="auto" w:fill="FFFFFF"/>
        <w:spacing w:line="293" w:lineRule="atLeast"/>
        <w:rPr>
          <w:rFonts w:eastAsia="Times New Roman"/>
          <w:b/>
          <w:sz w:val="26"/>
          <w:szCs w:val="26"/>
          <w:lang w:eastAsia="lv-LV"/>
        </w:rPr>
      </w:pPr>
      <w:r w:rsidRPr="006B350D">
        <w:rPr>
          <w:b/>
          <w:sz w:val="26"/>
          <w:szCs w:val="26"/>
        </w:rPr>
        <w:t>I</w:t>
      </w:r>
      <w:r w:rsidRPr="006B350D">
        <w:rPr>
          <w:rFonts w:eastAsia="Times New Roman"/>
          <w:b/>
          <w:sz w:val="26"/>
          <w:szCs w:val="26"/>
          <w:lang w:eastAsia="lv-LV"/>
        </w:rPr>
        <w:t>zmantoto saīsinājumu saraksts</w:t>
      </w:r>
    </w:p>
    <w:p w14:paraId="1443E28F" w14:textId="77777777" w:rsidR="00EE1CF5" w:rsidRPr="007310D6" w:rsidRDefault="00EE1CF5" w:rsidP="00EE1CF5">
      <w:pPr>
        <w:pStyle w:val="NormalWeb"/>
        <w:shd w:val="clear" w:color="auto" w:fill="FFFFFF"/>
        <w:spacing w:line="293" w:lineRule="atLeast"/>
        <w:ind w:firstLine="300"/>
        <w:rPr>
          <w:rFonts w:eastAsia="Times New Roman"/>
          <w:sz w:val="26"/>
          <w:szCs w:val="26"/>
          <w:lang w:eastAsia="lv-LV"/>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1814"/>
        <w:gridCol w:w="7257"/>
      </w:tblGrid>
      <w:tr w:rsidR="00EE1CF5" w14:paraId="50D08DE4" w14:textId="77777777" w:rsidTr="00263AB1">
        <w:tc>
          <w:tcPr>
            <w:tcW w:w="1000" w:type="pct"/>
            <w:tcBorders>
              <w:top w:val="nil"/>
              <w:left w:val="nil"/>
              <w:bottom w:val="nil"/>
              <w:right w:val="nil"/>
            </w:tcBorders>
            <w:shd w:val="clear" w:color="auto" w:fill="FFFFFF"/>
            <w:hideMark/>
          </w:tcPr>
          <w:p w14:paraId="0B573655"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AER</w:t>
            </w:r>
          </w:p>
        </w:tc>
        <w:tc>
          <w:tcPr>
            <w:tcW w:w="4000" w:type="pct"/>
            <w:tcBorders>
              <w:top w:val="nil"/>
              <w:left w:val="nil"/>
              <w:bottom w:val="nil"/>
              <w:right w:val="nil"/>
            </w:tcBorders>
            <w:shd w:val="clear" w:color="auto" w:fill="FFFFFF"/>
            <w:hideMark/>
          </w:tcPr>
          <w:p w14:paraId="2BCC1F11"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Atjaunojamie energoresursi</w:t>
            </w:r>
          </w:p>
        </w:tc>
      </w:tr>
      <w:tr w:rsidR="00EE1CF5" w14:paraId="5D0B2B77" w14:textId="77777777" w:rsidTr="00263AB1">
        <w:tc>
          <w:tcPr>
            <w:tcW w:w="1000" w:type="pct"/>
            <w:tcBorders>
              <w:top w:val="nil"/>
              <w:left w:val="nil"/>
              <w:bottom w:val="nil"/>
              <w:right w:val="nil"/>
            </w:tcBorders>
            <w:shd w:val="clear" w:color="auto" w:fill="FFFFFF"/>
          </w:tcPr>
          <w:p w14:paraId="6BE03EF0" w14:textId="77777777" w:rsidR="00EE1CF5" w:rsidRDefault="00EE1CF5" w:rsidP="00263AB1">
            <w:pPr>
              <w:spacing w:before="100" w:beforeAutospacing="1" w:after="100" w:afterAutospacing="1" w:line="293" w:lineRule="atLeast"/>
              <w:jc w:val="left"/>
              <w:rPr>
                <w:rFonts w:eastAsiaTheme="minorEastAsia"/>
                <w:szCs w:val="28"/>
              </w:rPr>
            </w:pPr>
            <w:r w:rsidRPr="00815BF0">
              <w:rPr>
                <w:rFonts w:eastAsia="Times New Roman" w:cs="Times New Roman"/>
                <w:szCs w:val="26"/>
                <w:lang w:eastAsia="lv-LV"/>
              </w:rPr>
              <w:t>BENTE</w:t>
            </w:r>
            <w:r>
              <w:rPr>
                <w:rFonts w:eastAsiaTheme="minorEastAsia"/>
                <w:szCs w:val="28"/>
              </w:rPr>
              <w:t xml:space="preserve"> </w:t>
            </w:r>
          </w:p>
          <w:p w14:paraId="14DB7899" w14:textId="77777777" w:rsidR="00EE1CF5" w:rsidRPr="00815BF0" w:rsidRDefault="00EE1CF5" w:rsidP="00263AB1">
            <w:pPr>
              <w:spacing w:before="100" w:beforeAutospacing="1" w:after="100" w:afterAutospacing="1" w:line="293" w:lineRule="atLeast"/>
              <w:jc w:val="left"/>
              <w:rPr>
                <w:rFonts w:eastAsia="Times New Roman" w:cs="Times New Roman"/>
                <w:szCs w:val="26"/>
                <w:lang w:eastAsia="lv-LV"/>
              </w:rPr>
            </w:pPr>
            <w:r>
              <w:rPr>
                <w:rFonts w:eastAsiaTheme="minorEastAsia"/>
                <w:szCs w:val="28"/>
              </w:rPr>
              <w:t>CSP</w:t>
            </w:r>
          </w:p>
        </w:tc>
        <w:tc>
          <w:tcPr>
            <w:tcW w:w="4000" w:type="pct"/>
            <w:tcBorders>
              <w:top w:val="nil"/>
              <w:left w:val="nil"/>
              <w:bottom w:val="nil"/>
              <w:right w:val="nil"/>
            </w:tcBorders>
            <w:shd w:val="clear" w:color="auto" w:fill="FFFFFF"/>
          </w:tcPr>
          <w:p w14:paraId="42AE3F5A" w14:textId="77777777" w:rsidR="00EE1CF5" w:rsidRDefault="00EE1CF5" w:rsidP="00263AB1">
            <w:r>
              <w:t>Baltijas valstu enerģētikas sistēmu analīze (</w:t>
            </w:r>
            <w:r w:rsidRPr="008535EF">
              <w:rPr>
                <w:i/>
              </w:rPr>
              <w:t>Baltic Energy Technology Scenarios 2018</w:t>
            </w:r>
            <w:r>
              <w:t>)</w:t>
            </w:r>
          </w:p>
          <w:p w14:paraId="31C13B42" w14:textId="77777777" w:rsidR="00EE1CF5" w:rsidRPr="00264607" w:rsidRDefault="00EE1CF5" w:rsidP="00263AB1">
            <w:r>
              <w:t>Centrālā statistikas pārvalde</w:t>
            </w:r>
          </w:p>
        </w:tc>
      </w:tr>
      <w:tr w:rsidR="00EE1CF5" w14:paraId="634DC008" w14:textId="77777777" w:rsidTr="00263AB1">
        <w:tc>
          <w:tcPr>
            <w:tcW w:w="1000" w:type="pct"/>
            <w:tcBorders>
              <w:top w:val="nil"/>
              <w:left w:val="nil"/>
              <w:bottom w:val="nil"/>
              <w:right w:val="nil"/>
            </w:tcBorders>
            <w:shd w:val="clear" w:color="auto" w:fill="FFFFFF"/>
            <w:hideMark/>
          </w:tcPr>
          <w:p w14:paraId="108F61EE" w14:textId="77777777" w:rsidR="00EE1CF5" w:rsidRPr="004B1D43" w:rsidRDefault="00EE1CF5" w:rsidP="00263AB1">
            <w:pPr>
              <w:spacing w:before="100" w:beforeAutospacing="1" w:after="100" w:afterAutospacing="1" w:line="293" w:lineRule="atLeast"/>
              <w:jc w:val="left"/>
              <w:rPr>
                <w:rFonts w:eastAsia="Times New Roman" w:cs="Times New Roman"/>
                <w:szCs w:val="26"/>
                <w:lang w:eastAsia="lv-LV"/>
              </w:rPr>
            </w:pPr>
            <w:r w:rsidRPr="004B1D43">
              <w:rPr>
                <w:rFonts w:eastAsia="Times New Roman" w:cs="Times New Roman"/>
                <w:szCs w:val="26"/>
                <w:lang w:eastAsia="lv-LV"/>
              </w:rPr>
              <w:t>EM</w:t>
            </w:r>
          </w:p>
        </w:tc>
        <w:tc>
          <w:tcPr>
            <w:tcW w:w="4000" w:type="pct"/>
            <w:tcBorders>
              <w:top w:val="nil"/>
              <w:left w:val="nil"/>
              <w:bottom w:val="nil"/>
              <w:right w:val="nil"/>
            </w:tcBorders>
            <w:shd w:val="clear" w:color="auto" w:fill="FFFFFF"/>
            <w:hideMark/>
          </w:tcPr>
          <w:p w14:paraId="67AC97F0" w14:textId="77777777" w:rsidR="00EE1CF5" w:rsidRPr="004B1D43" w:rsidRDefault="00EE1CF5" w:rsidP="00263AB1">
            <w:pPr>
              <w:spacing w:before="100" w:beforeAutospacing="1" w:after="100" w:afterAutospacing="1" w:line="293" w:lineRule="atLeast"/>
              <w:jc w:val="left"/>
              <w:rPr>
                <w:rFonts w:eastAsia="Times New Roman" w:cs="Times New Roman"/>
                <w:szCs w:val="26"/>
                <w:lang w:eastAsia="lv-LV"/>
              </w:rPr>
            </w:pPr>
            <w:r w:rsidRPr="004B1D43">
              <w:rPr>
                <w:rFonts w:eastAsia="Times New Roman" w:cs="Times New Roman"/>
                <w:szCs w:val="26"/>
                <w:lang w:eastAsia="lv-LV"/>
              </w:rPr>
              <w:t>Ekonomikas ministrija</w:t>
            </w:r>
          </w:p>
        </w:tc>
      </w:tr>
      <w:tr w:rsidR="00EE1CF5" w14:paraId="0373B5E1" w14:textId="77777777" w:rsidTr="00263AB1">
        <w:tc>
          <w:tcPr>
            <w:tcW w:w="1000" w:type="pct"/>
            <w:tcBorders>
              <w:top w:val="nil"/>
              <w:left w:val="nil"/>
              <w:bottom w:val="nil"/>
              <w:right w:val="nil"/>
            </w:tcBorders>
            <w:shd w:val="clear" w:color="auto" w:fill="FFFFFF"/>
          </w:tcPr>
          <w:p w14:paraId="38CCD7B0" w14:textId="77777777" w:rsidR="00EE1CF5" w:rsidRPr="004B1D43" w:rsidRDefault="00EE1CF5" w:rsidP="00263AB1">
            <w:pPr>
              <w:spacing w:before="100" w:beforeAutospacing="1" w:after="100" w:afterAutospacing="1" w:line="293" w:lineRule="atLeast"/>
              <w:jc w:val="left"/>
              <w:rPr>
                <w:rFonts w:eastAsia="Times New Roman" w:cs="Times New Roman"/>
                <w:szCs w:val="26"/>
                <w:lang w:eastAsia="lv-LV"/>
              </w:rPr>
            </w:pPr>
            <w:r>
              <w:rPr>
                <w:rFonts w:eastAsia="Times New Roman" w:cs="Times New Roman"/>
                <w:szCs w:val="26"/>
                <w:lang w:eastAsia="lv-LV"/>
              </w:rPr>
              <w:t>EPT</w:t>
            </w:r>
          </w:p>
        </w:tc>
        <w:tc>
          <w:tcPr>
            <w:tcW w:w="4000" w:type="pct"/>
            <w:tcBorders>
              <w:top w:val="nil"/>
              <w:left w:val="nil"/>
              <w:bottom w:val="nil"/>
              <w:right w:val="nil"/>
            </w:tcBorders>
            <w:shd w:val="clear" w:color="auto" w:fill="FFFFFF"/>
          </w:tcPr>
          <w:p w14:paraId="257B3A2E" w14:textId="77777777" w:rsidR="00EE1CF5" w:rsidRPr="004B1D43" w:rsidRDefault="00EE1CF5" w:rsidP="00263AB1">
            <w:pPr>
              <w:spacing w:before="100" w:beforeAutospacing="1" w:after="100" w:afterAutospacing="1" w:line="293" w:lineRule="atLeast"/>
              <w:jc w:val="left"/>
              <w:rPr>
                <w:rFonts w:eastAsia="Times New Roman" w:cs="Times New Roman"/>
                <w:szCs w:val="26"/>
                <w:lang w:eastAsia="lv-LV"/>
              </w:rPr>
            </w:pPr>
            <w:r>
              <w:rPr>
                <w:rFonts w:eastAsia="Times New Roman" w:cs="Times New Roman"/>
                <w:szCs w:val="26"/>
                <w:lang w:eastAsia="lv-LV"/>
              </w:rPr>
              <w:t>AS “Enerģijas publiskais tirgotājs”</w:t>
            </w:r>
          </w:p>
        </w:tc>
      </w:tr>
      <w:tr w:rsidR="00EE1CF5" w14:paraId="4C75EE2B" w14:textId="77777777" w:rsidTr="00263AB1">
        <w:tc>
          <w:tcPr>
            <w:tcW w:w="1000" w:type="pct"/>
            <w:tcBorders>
              <w:top w:val="nil"/>
              <w:left w:val="nil"/>
              <w:bottom w:val="nil"/>
              <w:right w:val="nil"/>
            </w:tcBorders>
            <w:shd w:val="clear" w:color="auto" w:fill="FFFFFF"/>
            <w:hideMark/>
          </w:tcPr>
          <w:p w14:paraId="091530F0"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ES</w:t>
            </w:r>
          </w:p>
        </w:tc>
        <w:tc>
          <w:tcPr>
            <w:tcW w:w="4000" w:type="pct"/>
            <w:tcBorders>
              <w:top w:val="nil"/>
              <w:left w:val="nil"/>
              <w:bottom w:val="nil"/>
              <w:right w:val="nil"/>
            </w:tcBorders>
            <w:shd w:val="clear" w:color="auto" w:fill="FFFFFF"/>
            <w:hideMark/>
          </w:tcPr>
          <w:p w14:paraId="0D032382"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Eiropas Savienība</w:t>
            </w:r>
          </w:p>
        </w:tc>
      </w:tr>
      <w:tr w:rsidR="00EE1CF5" w14:paraId="27FABF08" w14:textId="77777777" w:rsidTr="00263AB1">
        <w:tc>
          <w:tcPr>
            <w:tcW w:w="1000" w:type="pct"/>
            <w:tcBorders>
              <w:top w:val="nil"/>
              <w:left w:val="nil"/>
              <w:bottom w:val="nil"/>
              <w:right w:val="nil"/>
            </w:tcBorders>
            <w:shd w:val="clear" w:color="auto" w:fill="FFFFFF"/>
          </w:tcPr>
          <w:p w14:paraId="633ECD72"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Pr>
                <w:rFonts w:eastAsia="Times New Roman" w:cs="Times New Roman"/>
                <w:szCs w:val="26"/>
                <w:lang w:eastAsia="lv-LV"/>
              </w:rPr>
              <w:t>ETL</w:t>
            </w:r>
          </w:p>
        </w:tc>
        <w:tc>
          <w:tcPr>
            <w:tcW w:w="4000" w:type="pct"/>
            <w:tcBorders>
              <w:top w:val="nil"/>
              <w:left w:val="nil"/>
              <w:bottom w:val="nil"/>
              <w:right w:val="nil"/>
            </w:tcBorders>
            <w:shd w:val="clear" w:color="auto" w:fill="FFFFFF"/>
          </w:tcPr>
          <w:p w14:paraId="7B5C88D8"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Pr>
                <w:rFonts w:eastAsia="Times New Roman" w:cs="Times New Roman"/>
                <w:szCs w:val="26"/>
                <w:lang w:eastAsia="lv-LV"/>
              </w:rPr>
              <w:t>Elektroenerģijas tirgus likums</w:t>
            </w:r>
          </w:p>
        </w:tc>
      </w:tr>
      <w:tr w:rsidR="00EE1CF5" w14:paraId="76EBF22A" w14:textId="77777777" w:rsidTr="00263AB1">
        <w:tc>
          <w:tcPr>
            <w:tcW w:w="1000" w:type="pct"/>
            <w:tcBorders>
              <w:top w:val="nil"/>
              <w:left w:val="nil"/>
              <w:bottom w:val="nil"/>
              <w:right w:val="nil"/>
            </w:tcBorders>
            <w:shd w:val="clear" w:color="auto" w:fill="FFFFFF"/>
          </w:tcPr>
          <w:p w14:paraId="597F536C"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EUR</w:t>
            </w:r>
          </w:p>
        </w:tc>
        <w:tc>
          <w:tcPr>
            <w:tcW w:w="4000" w:type="pct"/>
            <w:tcBorders>
              <w:top w:val="nil"/>
              <w:left w:val="nil"/>
              <w:bottom w:val="nil"/>
              <w:right w:val="nil"/>
            </w:tcBorders>
            <w:shd w:val="clear" w:color="auto" w:fill="FFFFFF"/>
          </w:tcPr>
          <w:p w14:paraId="04B034F3"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Pr>
                <w:rFonts w:eastAsia="Times New Roman" w:cs="Times New Roman"/>
                <w:szCs w:val="26"/>
                <w:lang w:eastAsia="lv-LV"/>
              </w:rPr>
              <w:t>E</w:t>
            </w:r>
            <w:r w:rsidRPr="007310D6">
              <w:rPr>
                <w:rFonts w:eastAsia="Times New Roman" w:cs="Times New Roman"/>
                <w:szCs w:val="26"/>
                <w:lang w:eastAsia="lv-LV"/>
              </w:rPr>
              <w:t>uro</w:t>
            </w:r>
          </w:p>
        </w:tc>
      </w:tr>
      <w:tr w:rsidR="00EE1CF5" w14:paraId="5A3FA1EF" w14:textId="77777777" w:rsidTr="00263AB1">
        <w:tc>
          <w:tcPr>
            <w:tcW w:w="1000" w:type="pct"/>
            <w:tcBorders>
              <w:top w:val="nil"/>
              <w:left w:val="nil"/>
              <w:bottom w:val="nil"/>
              <w:right w:val="nil"/>
            </w:tcBorders>
            <w:shd w:val="clear" w:color="auto" w:fill="FFFFFF"/>
          </w:tcPr>
          <w:p w14:paraId="54B635AF" w14:textId="77777777" w:rsidR="00EE1CF5" w:rsidRPr="00815BF0" w:rsidRDefault="00EE1CF5" w:rsidP="00263AB1">
            <w:pPr>
              <w:spacing w:before="100" w:beforeAutospacing="1" w:after="100" w:afterAutospacing="1" w:line="293" w:lineRule="atLeast"/>
              <w:jc w:val="left"/>
              <w:rPr>
                <w:rFonts w:eastAsia="Times New Roman" w:cs="Times New Roman"/>
                <w:szCs w:val="26"/>
                <w:lang w:eastAsia="lv-LV"/>
              </w:rPr>
            </w:pPr>
            <w:r w:rsidRPr="00815BF0">
              <w:rPr>
                <w:rFonts w:eastAsia="Times New Roman" w:cs="Times New Roman"/>
                <w:szCs w:val="26"/>
                <w:lang w:eastAsia="lv-LV"/>
              </w:rPr>
              <w:t>FIP</w:t>
            </w:r>
          </w:p>
        </w:tc>
        <w:tc>
          <w:tcPr>
            <w:tcW w:w="4000" w:type="pct"/>
            <w:tcBorders>
              <w:top w:val="nil"/>
              <w:left w:val="nil"/>
              <w:bottom w:val="nil"/>
              <w:right w:val="nil"/>
            </w:tcBorders>
            <w:shd w:val="clear" w:color="auto" w:fill="FFFFFF"/>
          </w:tcPr>
          <w:p w14:paraId="6D36614C" w14:textId="77777777" w:rsidR="00EE1CF5" w:rsidRPr="00815BF0" w:rsidRDefault="00EE1CF5" w:rsidP="00263AB1">
            <w:pPr>
              <w:spacing w:before="100" w:beforeAutospacing="1" w:after="100" w:afterAutospacing="1" w:line="293" w:lineRule="atLeast"/>
              <w:jc w:val="left"/>
              <w:rPr>
                <w:rFonts w:eastAsia="Times New Roman" w:cs="Times New Roman"/>
                <w:i/>
                <w:szCs w:val="26"/>
                <w:lang w:eastAsia="lv-LV"/>
              </w:rPr>
            </w:pPr>
            <w:r w:rsidRPr="00815BF0">
              <w:rPr>
                <w:rFonts w:eastAsia="Times New Roman" w:cs="Times New Roman"/>
                <w:i/>
                <w:szCs w:val="26"/>
                <w:lang w:eastAsia="lv-LV"/>
              </w:rPr>
              <w:t>Feed-in-premium</w:t>
            </w:r>
          </w:p>
        </w:tc>
      </w:tr>
      <w:tr w:rsidR="00EE1CF5" w14:paraId="2883667D" w14:textId="77777777" w:rsidTr="00263AB1">
        <w:tc>
          <w:tcPr>
            <w:tcW w:w="1000" w:type="pct"/>
            <w:tcBorders>
              <w:top w:val="nil"/>
              <w:left w:val="nil"/>
              <w:bottom w:val="nil"/>
              <w:right w:val="nil"/>
            </w:tcBorders>
            <w:shd w:val="clear" w:color="auto" w:fill="FFFFFF"/>
            <w:hideMark/>
          </w:tcPr>
          <w:p w14:paraId="56343B71" w14:textId="77777777" w:rsidR="00EE1CF5" w:rsidRPr="002756D0" w:rsidRDefault="00EE1CF5" w:rsidP="00263AB1">
            <w:pPr>
              <w:spacing w:before="100" w:beforeAutospacing="1" w:after="100" w:afterAutospacing="1" w:line="293" w:lineRule="atLeast"/>
              <w:jc w:val="left"/>
              <w:rPr>
                <w:rFonts w:eastAsia="Times New Roman" w:cs="Times New Roman"/>
                <w:szCs w:val="26"/>
                <w:lang w:eastAsia="lv-LV"/>
              </w:rPr>
            </w:pPr>
            <w:r w:rsidRPr="002756D0">
              <w:rPr>
                <w:rFonts w:eastAsia="Times New Roman" w:cs="Times New Roman"/>
                <w:szCs w:val="26"/>
                <w:lang w:eastAsia="lv-LV"/>
              </w:rPr>
              <w:t>FM</w:t>
            </w:r>
          </w:p>
        </w:tc>
        <w:tc>
          <w:tcPr>
            <w:tcW w:w="4000" w:type="pct"/>
            <w:tcBorders>
              <w:top w:val="nil"/>
              <w:left w:val="nil"/>
              <w:bottom w:val="nil"/>
              <w:right w:val="nil"/>
            </w:tcBorders>
            <w:shd w:val="clear" w:color="auto" w:fill="FFFFFF"/>
            <w:hideMark/>
          </w:tcPr>
          <w:p w14:paraId="2CD9544A" w14:textId="77777777" w:rsidR="00EE1CF5" w:rsidRPr="002756D0" w:rsidRDefault="00EE1CF5" w:rsidP="00263AB1">
            <w:pPr>
              <w:spacing w:before="100" w:beforeAutospacing="1" w:after="100" w:afterAutospacing="1" w:line="293" w:lineRule="atLeast"/>
              <w:jc w:val="left"/>
              <w:rPr>
                <w:rFonts w:eastAsia="Times New Roman" w:cs="Times New Roman"/>
                <w:szCs w:val="26"/>
                <w:lang w:eastAsia="lv-LV"/>
              </w:rPr>
            </w:pPr>
            <w:r w:rsidRPr="002756D0">
              <w:rPr>
                <w:rFonts w:eastAsia="Times New Roman" w:cs="Times New Roman"/>
                <w:szCs w:val="26"/>
                <w:lang w:eastAsia="lv-LV"/>
              </w:rPr>
              <w:t>Finanšu ministrija</w:t>
            </w:r>
          </w:p>
        </w:tc>
      </w:tr>
      <w:tr w:rsidR="00EE1CF5" w14:paraId="41C684B0" w14:textId="77777777" w:rsidTr="00263AB1">
        <w:tc>
          <w:tcPr>
            <w:tcW w:w="1000" w:type="pct"/>
            <w:tcBorders>
              <w:top w:val="nil"/>
              <w:left w:val="nil"/>
              <w:bottom w:val="nil"/>
              <w:right w:val="nil"/>
            </w:tcBorders>
            <w:shd w:val="clear" w:color="auto" w:fill="FFFFFF"/>
          </w:tcPr>
          <w:p w14:paraId="53FF8773" w14:textId="77777777" w:rsidR="00EE1CF5" w:rsidRPr="00BE7454" w:rsidRDefault="00EE1CF5" w:rsidP="00263AB1">
            <w:pPr>
              <w:spacing w:before="100" w:beforeAutospacing="1" w:after="100" w:afterAutospacing="1" w:line="293" w:lineRule="atLeast"/>
              <w:jc w:val="left"/>
              <w:rPr>
                <w:rFonts w:eastAsia="Times New Roman" w:cs="Times New Roman"/>
                <w:szCs w:val="26"/>
                <w:lang w:eastAsia="lv-LV"/>
              </w:rPr>
            </w:pPr>
            <w:r w:rsidRPr="00BE7454">
              <w:rPr>
                <w:rFonts w:eastAsia="Times New Roman" w:cs="Times New Roman"/>
                <w:szCs w:val="26"/>
                <w:lang w:eastAsia="lv-LV"/>
              </w:rPr>
              <w:t>HES</w:t>
            </w:r>
          </w:p>
        </w:tc>
        <w:tc>
          <w:tcPr>
            <w:tcW w:w="4000" w:type="pct"/>
            <w:tcBorders>
              <w:top w:val="nil"/>
              <w:left w:val="nil"/>
              <w:bottom w:val="nil"/>
              <w:right w:val="nil"/>
            </w:tcBorders>
            <w:shd w:val="clear" w:color="auto" w:fill="FFFFFF"/>
          </w:tcPr>
          <w:p w14:paraId="0CFC2FE8" w14:textId="77777777" w:rsidR="00EE1CF5" w:rsidRPr="00BE7454" w:rsidRDefault="00EE1CF5" w:rsidP="00263AB1">
            <w:pPr>
              <w:spacing w:before="100" w:beforeAutospacing="1" w:after="100" w:afterAutospacing="1" w:line="293" w:lineRule="atLeast"/>
              <w:jc w:val="left"/>
              <w:rPr>
                <w:rFonts w:eastAsia="Times New Roman" w:cs="Times New Roman"/>
                <w:szCs w:val="26"/>
                <w:lang w:eastAsia="lv-LV"/>
              </w:rPr>
            </w:pPr>
            <w:r w:rsidRPr="00BE7454">
              <w:rPr>
                <w:rFonts w:eastAsia="Times New Roman" w:cs="Times New Roman"/>
                <w:szCs w:val="26"/>
                <w:lang w:eastAsia="lv-LV"/>
              </w:rPr>
              <w:t>Hidroelektrostacija</w:t>
            </w:r>
          </w:p>
        </w:tc>
      </w:tr>
      <w:tr w:rsidR="00EE1CF5" w14:paraId="263620F8" w14:textId="77777777" w:rsidTr="00263AB1">
        <w:tc>
          <w:tcPr>
            <w:tcW w:w="1000" w:type="pct"/>
            <w:tcBorders>
              <w:top w:val="nil"/>
              <w:left w:val="nil"/>
              <w:bottom w:val="nil"/>
              <w:right w:val="nil"/>
            </w:tcBorders>
            <w:shd w:val="clear" w:color="auto" w:fill="FFFFFF"/>
            <w:hideMark/>
          </w:tcPr>
          <w:p w14:paraId="77DD309F" w14:textId="77777777" w:rsidR="00EE1CF5" w:rsidRPr="004B1D43" w:rsidRDefault="00EE1CF5" w:rsidP="00263AB1">
            <w:pPr>
              <w:spacing w:before="100" w:beforeAutospacing="1" w:after="100" w:afterAutospacing="1" w:line="293" w:lineRule="atLeast"/>
              <w:jc w:val="left"/>
              <w:rPr>
                <w:rFonts w:eastAsia="Times New Roman" w:cs="Times New Roman"/>
                <w:szCs w:val="26"/>
                <w:lang w:eastAsia="lv-LV"/>
              </w:rPr>
            </w:pPr>
            <w:r w:rsidRPr="004B1D43">
              <w:rPr>
                <w:rFonts w:eastAsia="Times New Roman" w:cs="Times New Roman"/>
                <w:szCs w:val="26"/>
                <w:lang w:eastAsia="lv-LV"/>
              </w:rPr>
              <w:t>IKP</w:t>
            </w:r>
          </w:p>
        </w:tc>
        <w:tc>
          <w:tcPr>
            <w:tcW w:w="4000" w:type="pct"/>
            <w:tcBorders>
              <w:top w:val="nil"/>
              <w:left w:val="nil"/>
              <w:bottom w:val="nil"/>
              <w:right w:val="nil"/>
            </w:tcBorders>
            <w:shd w:val="clear" w:color="auto" w:fill="FFFFFF"/>
            <w:hideMark/>
          </w:tcPr>
          <w:p w14:paraId="7B9F380C" w14:textId="77777777" w:rsidR="00EE1CF5" w:rsidRPr="004B1D43" w:rsidRDefault="00EE1CF5" w:rsidP="00263AB1">
            <w:pPr>
              <w:spacing w:before="100" w:beforeAutospacing="1" w:after="100" w:afterAutospacing="1" w:line="293" w:lineRule="atLeast"/>
              <w:jc w:val="left"/>
              <w:rPr>
                <w:rFonts w:eastAsia="Times New Roman" w:cs="Times New Roman"/>
                <w:szCs w:val="26"/>
                <w:lang w:eastAsia="lv-LV"/>
              </w:rPr>
            </w:pPr>
            <w:r w:rsidRPr="004B1D43">
              <w:rPr>
                <w:rFonts w:eastAsia="Times New Roman" w:cs="Times New Roman"/>
                <w:szCs w:val="26"/>
                <w:lang w:eastAsia="lv-LV"/>
              </w:rPr>
              <w:t>Iekšzemes kopprodukts</w:t>
            </w:r>
          </w:p>
        </w:tc>
      </w:tr>
      <w:tr w:rsidR="00EE1CF5" w14:paraId="1473D293" w14:textId="77777777" w:rsidTr="00263AB1">
        <w:tc>
          <w:tcPr>
            <w:tcW w:w="1000" w:type="pct"/>
            <w:tcBorders>
              <w:top w:val="nil"/>
              <w:left w:val="nil"/>
              <w:bottom w:val="nil"/>
              <w:right w:val="nil"/>
            </w:tcBorders>
            <w:shd w:val="clear" w:color="auto" w:fill="FFFFFF"/>
            <w:hideMark/>
          </w:tcPr>
          <w:p w14:paraId="059B8045" w14:textId="77777777" w:rsidR="00EE1CF5" w:rsidRPr="00BE7454" w:rsidRDefault="00EE1CF5" w:rsidP="00263AB1">
            <w:pPr>
              <w:spacing w:before="100" w:beforeAutospacing="1" w:after="100" w:afterAutospacing="1" w:line="293" w:lineRule="atLeast"/>
              <w:jc w:val="left"/>
              <w:rPr>
                <w:rFonts w:eastAsia="Times New Roman" w:cs="Times New Roman"/>
                <w:szCs w:val="26"/>
                <w:lang w:eastAsia="lv-LV"/>
              </w:rPr>
            </w:pPr>
            <w:r w:rsidRPr="00BE7454">
              <w:rPr>
                <w:rFonts w:eastAsia="Times New Roman" w:cs="Times New Roman"/>
                <w:szCs w:val="26"/>
                <w:lang w:eastAsia="lv-LV"/>
              </w:rPr>
              <w:t>IRENA</w:t>
            </w:r>
          </w:p>
        </w:tc>
        <w:tc>
          <w:tcPr>
            <w:tcW w:w="4000" w:type="pct"/>
            <w:tcBorders>
              <w:top w:val="nil"/>
              <w:left w:val="nil"/>
              <w:bottom w:val="nil"/>
              <w:right w:val="nil"/>
            </w:tcBorders>
            <w:shd w:val="clear" w:color="auto" w:fill="FFFFFF"/>
            <w:hideMark/>
          </w:tcPr>
          <w:p w14:paraId="3994970E" w14:textId="77777777" w:rsidR="00EE1CF5" w:rsidRPr="00BE7454" w:rsidRDefault="00EE1CF5" w:rsidP="00263AB1">
            <w:pPr>
              <w:spacing w:before="100" w:beforeAutospacing="1" w:after="100" w:afterAutospacing="1" w:line="293" w:lineRule="atLeast"/>
              <w:jc w:val="left"/>
              <w:rPr>
                <w:rFonts w:eastAsia="Times New Roman" w:cs="Times New Roman"/>
                <w:szCs w:val="26"/>
                <w:lang w:eastAsia="lv-LV"/>
              </w:rPr>
            </w:pPr>
            <w:r w:rsidRPr="00BE7454">
              <w:rPr>
                <w:rFonts w:eastAsia="Times New Roman" w:cs="Times New Roman"/>
                <w:szCs w:val="26"/>
                <w:lang w:eastAsia="lv-LV"/>
              </w:rPr>
              <w:t>Starptautiskā atjaunojamās enerģijas aģentūra</w:t>
            </w:r>
            <w:r>
              <w:rPr>
                <w:rFonts w:eastAsia="Times New Roman" w:cs="Times New Roman"/>
                <w:szCs w:val="26"/>
                <w:lang w:eastAsia="lv-LV"/>
              </w:rPr>
              <w:t xml:space="preserve"> (</w:t>
            </w:r>
            <w:r w:rsidRPr="00BE7454">
              <w:rPr>
                <w:rFonts w:eastAsia="Times New Roman" w:cs="Times New Roman"/>
                <w:i/>
                <w:szCs w:val="26"/>
                <w:lang w:eastAsia="lv-LV"/>
              </w:rPr>
              <w:t>International Renewable Energy Agency</w:t>
            </w:r>
            <w:r>
              <w:rPr>
                <w:rFonts w:eastAsia="Times New Roman" w:cs="Times New Roman"/>
                <w:szCs w:val="26"/>
                <w:lang w:eastAsia="lv-LV"/>
              </w:rPr>
              <w:t>)</w:t>
            </w:r>
          </w:p>
        </w:tc>
      </w:tr>
      <w:tr w:rsidR="00EE1CF5" w14:paraId="5823D5CD" w14:textId="77777777" w:rsidTr="00263AB1">
        <w:tc>
          <w:tcPr>
            <w:tcW w:w="1000" w:type="pct"/>
            <w:tcBorders>
              <w:top w:val="nil"/>
              <w:left w:val="nil"/>
              <w:bottom w:val="nil"/>
              <w:right w:val="nil"/>
            </w:tcBorders>
            <w:shd w:val="clear" w:color="auto" w:fill="FFFFFF"/>
          </w:tcPr>
          <w:p w14:paraId="3A6206C1" w14:textId="77777777" w:rsidR="00EE1CF5" w:rsidRPr="004B1D43" w:rsidRDefault="00EE1CF5" w:rsidP="00263AB1">
            <w:pPr>
              <w:spacing w:before="100" w:beforeAutospacing="1" w:after="100" w:afterAutospacing="1" w:line="293" w:lineRule="atLeast"/>
              <w:jc w:val="left"/>
              <w:rPr>
                <w:rFonts w:eastAsia="Times New Roman" w:cs="Times New Roman"/>
                <w:szCs w:val="26"/>
                <w:lang w:eastAsia="lv-LV"/>
              </w:rPr>
            </w:pPr>
            <w:r w:rsidRPr="004B1D43">
              <w:rPr>
                <w:rFonts w:eastAsia="Times New Roman" w:cs="Times New Roman"/>
                <w:szCs w:val="26"/>
                <w:lang w:eastAsia="lv-LV"/>
              </w:rPr>
              <w:t>IRR</w:t>
            </w:r>
          </w:p>
        </w:tc>
        <w:tc>
          <w:tcPr>
            <w:tcW w:w="4000" w:type="pct"/>
            <w:tcBorders>
              <w:top w:val="nil"/>
              <w:left w:val="nil"/>
              <w:bottom w:val="nil"/>
              <w:right w:val="nil"/>
            </w:tcBorders>
            <w:shd w:val="clear" w:color="auto" w:fill="FFFFFF"/>
          </w:tcPr>
          <w:p w14:paraId="5DA9DA2D" w14:textId="77777777" w:rsidR="00EE1CF5" w:rsidRPr="004B1D43" w:rsidRDefault="00EE1CF5" w:rsidP="00263AB1">
            <w:pPr>
              <w:spacing w:before="100" w:beforeAutospacing="1" w:after="100" w:afterAutospacing="1" w:line="293" w:lineRule="atLeast"/>
              <w:jc w:val="left"/>
              <w:rPr>
                <w:rFonts w:eastAsia="Times New Roman" w:cs="Times New Roman"/>
                <w:szCs w:val="26"/>
                <w:lang w:eastAsia="lv-LV"/>
              </w:rPr>
            </w:pPr>
            <w:r w:rsidRPr="004B1D43">
              <w:rPr>
                <w:szCs w:val="26"/>
              </w:rPr>
              <w:t>iekšējās peļņas norma (</w:t>
            </w:r>
            <w:r w:rsidRPr="004B1D43">
              <w:rPr>
                <w:i/>
                <w:szCs w:val="26"/>
              </w:rPr>
              <w:t>internal rate of return</w:t>
            </w:r>
            <w:r w:rsidRPr="004B1D43">
              <w:rPr>
                <w:szCs w:val="26"/>
              </w:rPr>
              <w:t>)</w:t>
            </w:r>
          </w:p>
        </w:tc>
      </w:tr>
      <w:tr w:rsidR="00EE1CF5" w14:paraId="699A3DF7" w14:textId="77777777" w:rsidTr="00263AB1">
        <w:tc>
          <w:tcPr>
            <w:tcW w:w="1000" w:type="pct"/>
            <w:tcBorders>
              <w:top w:val="nil"/>
              <w:left w:val="nil"/>
              <w:bottom w:val="nil"/>
              <w:right w:val="nil"/>
            </w:tcBorders>
            <w:shd w:val="clear" w:color="auto" w:fill="FFFFFF"/>
          </w:tcPr>
          <w:p w14:paraId="71CDF110" w14:textId="77777777" w:rsidR="00EE1CF5" w:rsidRPr="004B1D43" w:rsidRDefault="00EE1CF5" w:rsidP="00263AB1">
            <w:pPr>
              <w:spacing w:before="100" w:beforeAutospacing="1" w:after="100" w:afterAutospacing="1" w:line="293" w:lineRule="atLeast"/>
              <w:jc w:val="left"/>
              <w:rPr>
                <w:rFonts w:eastAsia="Times New Roman" w:cs="Times New Roman"/>
                <w:szCs w:val="26"/>
                <w:lang w:eastAsia="lv-LV"/>
              </w:rPr>
            </w:pPr>
            <w:r>
              <w:rPr>
                <w:rFonts w:eastAsia="Times New Roman" w:cs="Times New Roman"/>
                <w:szCs w:val="26"/>
                <w:lang w:eastAsia="lv-LV"/>
              </w:rPr>
              <w:t>LCOE</w:t>
            </w:r>
          </w:p>
        </w:tc>
        <w:tc>
          <w:tcPr>
            <w:tcW w:w="4000" w:type="pct"/>
            <w:tcBorders>
              <w:top w:val="nil"/>
              <w:left w:val="nil"/>
              <w:bottom w:val="nil"/>
              <w:right w:val="nil"/>
            </w:tcBorders>
            <w:shd w:val="clear" w:color="auto" w:fill="FFFFFF"/>
          </w:tcPr>
          <w:p w14:paraId="04A5D99E" w14:textId="77777777" w:rsidR="00EE1CF5" w:rsidRPr="004B1D43" w:rsidRDefault="00EE1CF5" w:rsidP="00263AB1">
            <w:pPr>
              <w:spacing w:before="100" w:beforeAutospacing="1" w:after="100" w:afterAutospacing="1" w:line="293" w:lineRule="atLeast"/>
              <w:jc w:val="left"/>
              <w:rPr>
                <w:szCs w:val="26"/>
              </w:rPr>
            </w:pPr>
            <w:r>
              <w:rPr>
                <w:szCs w:val="26"/>
              </w:rPr>
              <w:t>Izlīdzinātās elektroenerģijas ražošanas izmaksas (</w:t>
            </w:r>
            <w:r w:rsidRPr="00920DEA">
              <w:rPr>
                <w:i/>
                <w:szCs w:val="26"/>
              </w:rPr>
              <w:t>Levelized cost of energy</w:t>
            </w:r>
            <w:r>
              <w:rPr>
                <w:szCs w:val="26"/>
              </w:rPr>
              <w:t>)</w:t>
            </w:r>
          </w:p>
        </w:tc>
      </w:tr>
      <w:tr w:rsidR="00EE1CF5" w14:paraId="2C191EE0" w14:textId="77777777" w:rsidTr="00263AB1">
        <w:tc>
          <w:tcPr>
            <w:tcW w:w="1000" w:type="pct"/>
            <w:tcBorders>
              <w:top w:val="nil"/>
              <w:left w:val="nil"/>
              <w:bottom w:val="nil"/>
              <w:right w:val="nil"/>
            </w:tcBorders>
            <w:shd w:val="clear" w:color="auto" w:fill="FFFFFF"/>
          </w:tcPr>
          <w:p w14:paraId="5D481614" w14:textId="77777777" w:rsidR="00EE1CF5" w:rsidRDefault="00EE1CF5" w:rsidP="00263AB1">
            <w:pPr>
              <w:spacing w:before="100" w:beforeAutospacing="1" w:after="100" w:afterAutospacing="1" w:line="293" w:lineRule="atLeast"/>
              <w:jc w:val="left"/>
              <w:rPr>
                <w:rFonts w:eastAsia="Times New Roman" w:cs="Times New Roman"/>
                <w:szCs w:val="26"/>
                <w:lang w:eastAsia="lv-LV"/>
              </w:rPr>
            </w:pPr>
            <w:r>
              <w:rPr>
                <w:rFonts w:eastAsia="Times New Roman" w:cs="Times New Roman"/>
                <w:szCs w:val="26"/>
                <w:lang w:eastAsia="lv-LV"/>
              </w:rPr>
              <w:t>MHEA</w:t>
            </w:r>
          </w:p>
        </w:tc>
        <w:tc>
          <w:tcPr>
            <w:tcW w:w="4000" w:type="pct"/>
            <w:tcBorders>
              <w:top w:val="nil"/>
              <w:left w:val="nil"/>
              <w:bottom w:val="nil"/>
              <w:right w:val="nil"/>
            </w:tcBorders>
            <w:shd w:val="clear" w:color="auto" w:fill="FFFFFF"/>
          </w:tcPr>
          <w:p w14:paraId="3183E5F1" w14:textId="77777777" w:rsidR="00EE1CF5" w:rsidRDefault="00EE1CF5" w:rsidP="00263AB1">
            <w:pPr>
              <w:spacing w:before="100" w:beforeAutospacing="1" w:after="100" w:afterAutospacing="1" w:line="293" w:lineRule="atLeast"/>
              <w:jc w:val="left"/>
              <w:rPr>
                <w:szCs w:val="26"/>
              </w:rPr>
            </w:pPr>
            <w:r>
              <w:rPr>
                <w:szCs w:val="26"/>
              </w:rPr>
              <w:t>Mazās hidroenerģētikas asociācija</w:t>
            </w:r>
          </w:p>
        </w:tc>
      </w:tr>
      <w:tr w:rsidR="00EE1CF5" w14:paraId="31C95BCE" w14:textId="77777777" w:rsidTr="00263AB1">
        <w:tc>
          <w:tcPr>
            <w:tcW w:w="1000" w:type="pct"/>
            <w:tcBorders>
              <w:top w:val="nil"/>
              <w:left w:val="nil"/>
              <w:bottom w:val="nil"/>
              <w:right w:val="nil"/>
            </w:tcBorders>
            <w:shd w:val="clear" w:color="auto" w:fill="FFFFFF"/>
            <w:hideMark/>
          </w:tcPr>
          <w:p w14:paraId="5AC2466C"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MK</w:t>
            </w:r>
          </w:p>
        </w:tc>
        <w:tc>
          <w:tcPr>
            <w:tcW w:w="4000" w:type="pct"/>
            <w:tcBorders>
              <w:top w:val="nil"/>
              <w:left w:val="nil"/>
              <w:bottom w:val="nil"/>
              <w:right w:val="nil"/>
            </w:tcBorders>
            <w:shd w:val="clear" w:color="auto" w:fill="FFFFFF"/>
            <w:hideMark/>
          </w:tcPr>
          <w:p w14:paraId="6A148F46"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Ministru kabinets</w:t>
            </w:r>
          </w:p>
        </w:tc>
      </w:tr>
      <w:tr w:rsidR="00EE1CF5" w14:paraId="07C1E666" w14:textId="77777777" w:rsidTr="00263AB1">
        <w:tc>
          <w:tcPr>
            <w:tcW w:w="1000" w:type="pct"/>
            <w:tcBorders>
              <w:top w:val="nil"/>
              <w:left w:val="nil"/>
              <w:bottom w:val="nil"/>
              <w:right w:val="nil"/>
            </w:tcBorders>
            <w:shd w:val="clear" w:color="auto" w:fill="FFFFFF"/>
            <w:hideMark/>
          </w:tcPr>
          <w:p w14:paraId="14D3AC7B"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OI</w:t>
            </w:r>
          </w:p>
        </w:tc>
        <w:tc>
          <w:tcPr>
            <w:tcW w:w="4000" w:type="pct"/>
            <w:tcBorders>
              <w:top w:val="nil"/>
              <w:left w:val="nil"/>
              <w:bottom w:val="nil"/>
              <w:right w:val="nil"/>
            </w:tcBorders>
            <w:shd w:val="clear" w:color="auto" w:fill="FFFFFF"/>
            <w:hideMark/>
          </w:tcPr>
          <w:p w14:paraId="178C9878"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Obligātais iepirkums</w:t>
            </w:r>
          </w:p>
        </w:tc>
      </w:tr>
      <w:tr w:rsidR="00EE1CF5" w14:paraId="27A3FD21" w14:textId="77777777" w:rsidTr="00263AB1">
        <w:tc>
          <w:tcPr>
            <w:tcW w:w="1000" w:type="pct"/>
            <w:tcBorders>
              <w:top w:val="nil"/>
              <w:left w:val="nil"/>
              <w:bottom w:val="nil"/>
              <w:right w:val="nil"/>
            </w:tcBorders>
            <w:shd w:val="clear" w:color="auto" w:fill="FFFFFF"/>
            <w:hideMark/>
          </w:tcPr>
          <w:p w14:paraId="34B09060"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OIK</w:t>
            </w:r>
          </w:p>
        </w:tc>
        <w:tc>
          <w:tcPr>
            <w:tcW w:w="4000" w:type="pct"/>
            <w:tcBorders>
              <w:top w:val="nil"/>
              <w:left w:val="nil"/>
              <w:bottom w:val="nil"/>
              <w:right w:val="nil"/>
            </w:tcBorders>
            <w:shd w:val="clear" w:color="auto" w:fill="FFFFFF"/>
            <w:hideMark/>
          </w:tcPr>
          <w:p w14:paraId="749F8AFD"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Obligātā iepirkuma komponente</w:t>
            </w:r>
          </w:p>
        </w:tc>
      </w:tr>
      <w:tr w:rsidR="00EE1CF5" w14:paraId="7866E180" w14:textId="77777777" w:rsidTr="00263AB1">
        <w:tc>
          <w:tcPr>
            <w:tcW w:w="1000" w:type="pct"/>
            <w:tcBorders>
              <w:top w:val="nil"/>
              <w:left w:val="nil"/>
              <w:bottom w:val="nil"/>
              <w:right w:val="nil"/>
            </w:tcBorders>
            <w:shd w:val="clear" w:color="auto" w:fill="FFFFFF"/>
          </w:tcPr>
          <w:p w14:paraId="5932A025"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PVN</w:t>
            </w:r>
          </w:p>
        </w:tc>
        <w:tc>
          <w:tcPr>
            <w:tcW w:w="4000" w:type="pct"/>
            <w:tcBorders>
              <w:top w:val="nil"/>
              <w:left w:val="nil"/>
              <w:bottom w:val="nil"/>
              <w:right w:val="nil"/>
            </w:tcBorders>
            <w:shd w:val="clear" w:color="auto" w:fill="FFFFFF"/>
          </w:tcPr>
          <w:p w14:paraId="06369E63"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Pievienotās vērtības nodoklis</w:t>
            </w:r>
          </w:p>
        </w:tc>
      </w:tr>
      <w:tr w:rsidR="00EE1CF5" w14:paraId="5BF0EB17" w14:textId="77777777" w:rsidTr="00263AB1">
        <w:tc>
          <w:tcPr>
            <w:tcW w:w="1000" w:type="pct"/>
            <w:tcBorders>
              <w:top w:val="nil"/>
              <w:left w:val="nil"/>
              <w:bottom w:val="nil"/>
              <w:right w:val="nil"/>
            </w:tcBorders>
            <w:shd w:val="clear" w:color="auto" w:fill="FFFFFF"/>
            <w:hideMark/>
          </w:tcPr>
          <w:p w14:paraId="1DE5EBC8"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SEN</w:t>
            </w:r>
          </w:p>
        </w:tc>
        <w:tc>
          <w:tcPr>
            <w:tcW w:w="4000" w:type="pct"/>
            <w:tcBorders>
              <w:top w:val="nil"/>
              <w:left w:val="nil"/>
              <w:bottom w:val="nil"/>
              <w:right w:val="nil"/>
            </w:tcBorders>
            <w:shd w:val="clear" w:color="auto" w:fill="FFFFFF"/>
            <w:hideMark/>
          </w:tcPr>
          <w:p w14:paraId="189309F0" w14:textId="77777777" w:rsidR="00EE1CF5" w:rsidRPr="007310D6" w:rsidRDefault="00EE1CF5" w:rsidP="00263AB1">
            <w:pPr>
              <w:spacing w:before="100" w:beforeAutospacing="1" w:after="100" w:afterAutospacing="1" w:line="293" w:lineRule="atLeast"/>
              <w:jc w:val="left"/>
              <w:rPr>
                <w:rFonts w:eastAsia="Times New Roman" w:cs="Times New Roman"/>
                <w:szCs w:val="26"/>
                <w:lang w:eastAsia="lv-LV"/>
              </w:rPr>
            </w:pPr>
            <w:r w:rsidRPr="007310D6">
              <w:rPr>
                <w:rFonts w:eastAsia="Times New Roman" w:cs="Times New Roman"/>
                <w:szCs w:val="26"/>
                <w:lang w:eastAsia="lv-LV"/>
              </w:rPr>
              <w:t>Subsidētās e</w:t>
            </w:r>
            <w:r>
              <w:rPr>
                <w:rFonts w:eastAsia="Times New Roman" w:cs="Times New Roman"/>
                <w:szCs w:val="26"/>
                <w:lang w:eastAsia="lv-LV"/>
              </w:rPr>
              <w:t>lektroe</w:t>
            </w:r>
            <w:r w:rsidRPr="007310D6">
              <w:rPr>
                <w:rFonts w:eastAsia="Times New Roman" w:cs="Times New Roman"/>
                <w:szCs w:val="26"/>
                <w:lang w:eastAsia="lv-LV"/>
              </w:rPr>
              <w:t>nerģijas nodoklis</w:t>
            </w:r>
          </w:p>
        </w:tc>
      </w:tr>
      <w:tr w:rsidR="00EE1CF5" w14:paraId="150D9D8E" w14:textId="77777777" w:rsidTr="00263AB1">
        <w:tc>
          <w:tcPr>
            <w:tcW w:w="1000" w:type="pct"/>
            <w:tcBorders>
              <w:top w:val="nil"/>
              <w:left w:val="nil"/>
              <w:bottom w:val="nil"/>
              <w:right w:val="nil"/>
            </w:tcBorders>
            <w:shd w:val="clear" w:color="auto" w:fill="FFFFFF"/>
            <w:hideMark/>
          </w:tcPr>
          <w:p w14:paraId="4477C652" w14:textId="77777777" w:rsidR="00EE1CF5" w:rsidRPr="006B350D" w:rsidRDefault="00EE1CF5" w:rsidP="00263AB1">
            <w:pPr>
              <w:spacing w:before="100" w:beforeAutospacing="1" w:after="100" w:afterAutospacing="1" w:line="293" w:lineRule="atLeast"/>
              <w:jc w:val="left"/>
              <w:rPr>
                <w:rFonts w:eastAsia="Times New Roman" w:cs="Times New Roman"/>
                <w:szCs w:val="26"/>
                <w:lang w:eastAsia="lv-LV"/>
              </w:rPr>
            </w:pPr>
            <w:r w:rsidRPr="006B350D">
              <w:rPr>
                <w:rFonts w:eastAsia="Times New Roman" w:cs="Times New Roman"/>
                <w:szCs w:val="26"/>
                <w:lang w:eastAsia="lv-LV"/>
              </w:rPr>
              <w:t>SPRK</w:t>
            </w:r>
          </w:p>
        </w:tc>
        <w:tc>
          <w:tcPr>
            <w:tcW w:w="4000" w:type="pct"/>
            <w:tcBorders>
              <w:top w:val="nil"/>
              <w:left w:val="nil"/>
              <w:bottom w:val="nil"/>
              <w:right w:val="nil"/>
            </w:tcBorders>
            <w:shd w:val="clear" w:color="auto" w:fill="FFFFFF"/>
            <w:hideMark/>
          </w:tcPr>
          <w:p w14:paraId="42000005" w14:textId="77777777" w:rsidR="00EE1CF5" w:rsidRPr="006B350D" w:rsidRDefault="00EE1CF5" w:rsidP="00263AB1">
            <w:pPr>
              <w:spacing w:before="100" w:beforeAutospacing="1" w:after="100" w:afterAutospacing="1" w:line="293" w:lineRule="atLeast"/>
              <w:jc w:val="left"/>
              <w:rPr>
                <w:rFonts w:eastAsia="Times New Roman" w:cs="Times New Roman"/>
                <w:szCs w:val="26"/>
                <w:lang w:eastAsia="lv-LV"/>
              </w:rPr>
            </w:pPr>
            <w:r w:rsidRPr="006B350D">
              <w:rPr>
                <w:rFonts w:eastAsia="Times New Roman" w:cs="Times New Roman"/>
                <w:szCs w:val="26"/>
                <w:lang w:eastAsia="lv-LV"/>
              </w:rPr>
              <w:t>Sabiedrisko pakalpojumu regulēšanas komisija</w:t>
            </w:r>
          </w:p>
        </w:tc>
      </w:tr>
      <w:tr w:rsidR="00EE1CF5" w14:paraId="1074C66E" w14:textId="77777777" w:rsidTr="00263AB1">
        <w:tc>
          <w:tcPr>
            <w:tcW w:w="1000" w:type="pct"/>
            <w:tcBorders>
              <w:top w:val="nil"/>
              <w:left w:val="nil"/>
              <w:bottom w:val="nil"/>
              <w:right w:val="nil"/>
            </w:tcBorders>
            <w:shd w:val="clear" w:color="auto" w:fill="FFFFFF"/>
          </w:tcPr>
          <w:p w14:paraId="46620CFA" w14:textId="77777777" w:rsidR="00EE1CF5" w:rsidRPr="00BE7454" w:rsidRDefault="00EE1CF5" w:rsidP="00263AB1">
            <w:pPr>
              <w:spacing w:before="100" w:beforeAutospacing="1" w:after="100" w:afterAutospacing="1" w:line="293" w:lineRule="atLeast"/>
              <w:jc w:val="left"/>
              <w:rPr>
                <w:rFonts w:eastAsia="Times New Roman" w:cs="Times New Roman"/>
                <w:szCs w:val="26"/>
                <w:lang w:eastAsia="lv-LV"/>
              </w:rPr>
            </w:pPr>
            <w:r w:rsidRPr="00BE7454">
              <w:rPr>
                <w:rFonts w:eastAsia="Times New Roman" w:cs="Times New Roman"/>
                <w:szCs w:val="26"/>
                <w:lang w:eastAsia="lv-LV"/>
              </w:rPr>
              <w:t>VES</w:t>
            </w:r>
          </w:p>
        </w:tc>
        <w:tc>
          <w:tcPr>
            <w:tcW w:w="4000" w:type="pct"/>
            <w:tcBorders>
              <w:top w:val="nil"/>
              <w:left w:val="nil"/>
              <w:bottom w:val="nil"/>
              <w:right w:val="nil"/>
            </w:tcBorders>
            <w:shd w:val="clear" w:color="auto" w:fill="FFFFFF"/>
          </w:tcPr>
          <w:p w14:paraId="3A98BC18" w14:textId="77777777" w:rsidR="00EE1CF5" w:rsidRPr="00BE7454" w:rsidRDefault="00EE1CF5" w:rsidP="00263AB1">
            <w:pPr>
              <w:spacing w:before="100" w:beforeAutospacing="1" w:after="100" w:afterAutospacing="1" w:line="293" w:lineRule="atLeast"/>
              <w:jc w:val="left"/>
              <w:rPr>
                <w:rFonts w:eastAsia="Times New Roman" w:cs="Times New Roman"/>
                <w:szCs w:val="26"/>
                <w:lang w:eastAsia="lv-LV"/>
              </w:rPr>
            </w:pPr>
            <w:r w:rsidRPr="00BE7454">
              <w:rPr>
                <w:rFonts w:eastAsia="Times New Roman" w:cs="Times New Roman"/>
                <w:szCs w:val="26"/>
                <w:lang w:eastAsia="lv-LV"/>
              </w:rPr>
              <w:t>Vēja elektrostacija</w:t>
            </w:r>
          </w:p>
        </w:tc>
      </w:tr>
      <w:tr w:rsidR="00EE1CF5" w14:paraId="7B7E91D5" w14:textId="77777777" w:rsidTr="00263AB1">
        <w:tc>
          <w:tcPr>
            <w:tcW w:w="1000" w:type="pct"/>
            <w:tcBorders>
              <w:top w:val="nil"/>
              <w:left w:val="nil"/>
              <w:bottom w:val="nil"/>
              <w:right w:val="nil"/>
            </w:tcBorders>
            <w:shd w:val="clear" w:color="auto" w:fill="FFFFFF"/>
          </w:tcPr>
          <w:p w14:paraId="6AED180A" w14:textId="77777777" w:rsidR="00EE1CF5" w:rsidRPr="004B1D43" w:rsidRDefault="00EE1CF5" w:rsidP="00263AB1">
            <w:pPr>
              <w:spacing w:before="100" w:beforeAutospacing="1" w:after="100" w:afterAutospacing="1" w:line="293" w:lineRule="atLeast"/>
              <w:jc w:val="left"/>
              <w:rPr>
                <w:rFonts w:eastAsia="Times New Roman" w:cs="Times New Roman"/>
                <w:szCs w:val="26"/>
                <w:lang w:eastAsia="lv-LV"/>
              </w:rPr>
            </w:pPr>
          </w:p>
        </w:tc>
        <w:tc>
          <w:tcPr>
            <w:tcW w:w="4000" w:type="pct"/>
            <w:tcBorders>
              <w:top w:val="nil"/>
              <w:left w:val="nil"/>
              <w:bottom w:val="nil"/>
              <w:right w:val="nil"/>
            </w:tcBorders>
            <w:shd w:val="clear" w:color="auto" w:fill="FFFFFF"/>
          </w:tcPr>
          <w:p w14:paraId="24C02CAC" w14:textId="77777777" w:rsidR="00EE1CF5" w:rsidRPr="004B1D43" w:rsidRDefault="00EE1CF5" w:rsidP="00263AB1">
            <w:pPr>
              <w:spacing w:before="100" w:beforeAutospacing="1" w:after="100" w:afterAutospacing="1" w:line="293" w:lineRule="atLeast"/>
              <w:jc w:val="left"/>
              <w:rPr>
                <w:rFonts w:eastAsia="Times New Roman" w:cs="Times New Roman"/>
                <w:szCs w:val="26"/>
                <w:lang w:eastAsia="lv-LV"/>
              </w:rPr>
            </w:pPr>
          </w:p>
        </w:tc>
      </w:tr>
    </w:tbl>
    <w:p w14:paraId="41AD7FEE" w14:textId="77777777" w:rsidR="00EE1CF5" w:rsidRDefault="00EE1CF5" w:rsidP="00EE1CF5">
      <w:pPr>
        <w:pStyle w:val="1nodaa"/>
      </w:pPr>
    </w:p>
    <w:p w14:paraId="3811A880" w14:textId="77777777" w:rsidR="00EE1CF5" w:rsidRDefault="00EE1CF5" w:rsidP="00EE1CF5">
      <w:pPr>
        <w:pStyle w:val="1nodaa"/>
      </w:pPr>
    </w:p>
    <w:p w14:paraId="187A0494" w14:textId="77777777" w:rsidR="00EE1CF5" w:rsidRDefault="00EE1CF5" w:rsidP="00EE1CF5">
      <w:pPr>
        <w:pStyle w:val="1nodaa"/>
      </w:pPr>
    </w:p>
    <w:p w14:paraId="1C0E5F96" w14:textId="77777777" w:rsidR="00EE1CF5" w:rsidRDefault="00EE1CF5" w:rsidP="00EE1CF5">
      <w:pPr>
        <w:pStyle w:val="1nodaa"/>
      </w:pPr>
    </w:p>
    <w:p w14:paraId="6E75AB59" w14:textId="77777777" w:rsidR="00EE1CF5" w:rsidRPr="00C17B82" w:rsidRDefault="00EE1CF5" w:rsidP="00EE1CF5">
      <w:pPr>
        <w:pStyle w:val="1nodaa"/>
      </w:pPr>
      <w:bookmarkStart w:id="2" w:name="_Toc256000016"/>
      <w:bookmarkStart w:id="3" w:name="_Toc528585648"/>
      <w:bookmarkStart w:id="4" w:name="_Toc531798560"/>
      <w:r w:rsidRPr="00C17B82">
        <w:lastRenderedPageBreak/>
        <w:t>Ievads</w:t>
      </w:r>
      <w:bookmarkEnd w:id="0"/>
      <w:bookmarkEnd w:id="1"/>
      <w:bookmarkEnd w:id="2"/>
      <w:bookmarkEnd w:id="3"/>
      <w:bookmarkEnd w:id="4"/>
      <w:r>
        <w:br/>
      </w:r>
    </w:p>
    <w:p w14:paraId="333B5577" w14:textId="77777777" w:rsidR="00EE1CF5" w:rsidRDefault="00EE1CF5" w:rsidP="00EE1CF5">
      <w:pPr>
        <w:spacing w:before="120"/>
        <w:ind w:firstLine="720"/>
      </w:pPr>
      <w:r>
        <w:t xml:space="preserve">EM ir izstrādājusi kompleksu risinājumu līdzšinējā elektroenerģijas galalietotāju OIK maksājuma, kas vērsts uz enerģijas, kas iegūta no atjaunojamiem energoresursiem (turpmāk – AER), veicināšanu un augsti efektīvas koģenerācijas izplatības veicināšanu, tai </w:t>
      </w:r>
      <w:r w:rsidRPr="00EB65E5">
        <w:t xml:space="preserve">skaitā dabasgāzei, </w:t>
      </w:r>
      <w:r>
        <w:t>izbeigšanai</w:t>
      </w:r>
      <w:r w:rsidRPr="00EB65E5">
        <w:t xml:space="preserve"> </w:t>
      </w:r>
      <w:r w:rsidRPr="006B1BB9">
        <w:t>trīs gad</w:t>
      </w:r>
      <w:r>
        <w:t>u laikā</w:t>
      </w:r>
      <w:r w:rsidRPr="006B1BB9">
        <w:t>.</w:t>
      </w:r>
      <w:bookmarkStart w:id="5" w:name="_Hlk526856508"/>
    </w:p>
    <w:p w14:paraId="064A91DF" w14:textId="77777777" w:rsidR="00EE1CF5" w:rsidRDefault="00EE1CF5" w:rsidP="00EE1CF5">
      <w:pPr>
        <w:spacing w:before="120"/>
        <w:ind w:firstLine="720"/>
      </w:pPr>
      <w:r w:rsidRPr="006B1BB9">
        <w:t xml:space="preserve">Ņemot vērā Ziemeļu </w:t>
      </w:r>
      <w:r>
        <w:t xml:space="preserve">Enerģētikas pētniecības institūta </w:t>
      </w:r>
      <w:r w:rsidRPr="006B1BB9">
        <w:rPr>
          <w:i/>
        </w:rPr>
        <w:t>Baltic Energy Technology Scenarios 2018</w:t>
      </w:r>
      <w:r w:rsidRPr="006B1BB9">
        <w:t xml:space="preserve"> </w:t>
      </w:r>
      <w:r>
        <w:t xml:space="preserve">pētījuma </w:t>
      </w:r>
      <w:r w:rsidRPr="006B1BB9">
        <w:t xml:space="preserve">rezultātus, </w:t>
      </w:r>
      <w:r>
        <w:t>t</w:t>
      </w:r>
      <w:r w:rsidRPr="006B1BB9">
        <w:t xml:space="preserve">ā ietvaros veiktā enerģētikas sistēmanalīze, veidojot scenārijus, atklājot izmaiņas Baltijas valstu enerģētikā, secina, ka atbalsts enerģijas, kas iegūta no AER, veicināšanai, periodā līdz 2030.gadam, lai nepārsniegtu nepieciešamās izmaksas, ir pamatotas līdz 0,3% no </w:t>
      </w:r>
      <w:r>
        <w:t xml:space="preserve">valsts iekšzemes kopprodukta (turpmāk – </w:t>
      </w:r>
      <w:r w:rsidRPr="006B1BB9">
        <w:t>IKP</w:t>
      </w:r>
      <w:r>
        <w:t>)</w:t>
      </w:r>
      <w:r w:rsidRPr="006B1BB9">
        <w:t xml:space="preserve"> apjomā.</w:t>
      </w:r>
      <w:r>
        <w:rPr>
          <w:rStyle w:val="FootnoteReference"/>
        </w:rPr>
        <w:footnoteReference w:id="1"/>
      </w:r>
      <w:r w:rsidRPr="006B1BB9">
        <w:t xml:space="preserve"> </w:t>
      </w:r>
    </w:p>
    <w:p w14:paraId="75CAD11B" w14:textId="77777777" w:rsidR="00EE1CF5" w:rsidRDefault="00EE1CF5" w:rsidP="00EE1CF5">
      <w:pPr>
        <w:spacing w:before="120"/>
        <w:ind w:firstLine="720"/>
      </w:pPr>
      <w:r w:rsidRPr="006B1BB9">
        <w:t xml:space="preserve">Arī </w:t>
      </w:r>
      <w:r>
        <w:t>ar</w:t>
      </w:r>
      <w:r w:rsidRPr="001F6842">
        <w:rPr>
          <w:rFonts w:eastAsia="Calibri" w:cs="Times New Roman"/>
          <w:szCs w:val="28"/>
        </w:rPr>
        <w:t xml:space="preserve"> </w:t>
      </w:r>
      <w:r>
        <w:rPr>
          <w:rFonts w:eastAsia="Calibri" w:cs="Times New Roman"/>
          <w:szCs w:val="28"/>
        </w:rPr>
        <w:t>Ministru kabineta (turpmāk – MK)</w:t>
      </w:r>
      <w:r w:rsidRPr="001F6842">
        <w:rPr>
          <w:rFonts w:eastAsia="Calibri" w:cs="Times New Roman"/>
          <w:szCs w:val="28"/>
        </w:rPr>
        <w:t xml:space="preserve"> 2018.gada 24.aprīļa rīkojumu Nr.172 “Par darba grupu elektroenerģijas obligātā iepirkuma maksājumu sistēmas atcelšanai” (turpmāk </w:t>
      </w:r>
      <w:r>
        <w:t xml:space="preserve">– </w:t>
      </w:r>
      <w:r w:rsidRPr="001F6842">
        <w:rPr>
          <w:rFonts w:eastAsia="Calibri" w:cs="Times New Roman"/>
          <w:szCs w:val="28"/>
        </w:rPr>
        <w:t xml:space="preserve"> rīkojums Nr.172) </w:t>
      </w:r>
      <w:r>
        <w:rPr>
          <w:rFonts w:eastAsia="Calibri" w:cs="Times New Roman"/>
          <w:szCs w:val="28"/>
        </w:rPr>
        <w:t>izveidotās</w:t>
      </w:r>
      <w:r w:rsidRPr="001F6842">
        <w:rPr>
          <w:rFonts w:eastAsia="Calibri" w:cs="Times New Roman"/>
          <w:szCs w:val="28"/>
        </w:rPr>
        <w:t xml:space="preserve"> darba grupa</w:t>
      </w:r>
      <w:r>
        <w:rPr>
          <w:rFonts w:eastAsia="Calibri" w:cs="Times New Roman"/>
          <w:szCs w:val="28"/>
        </w:rPr>
        <w:t>s</w:t>
      </w:r>
      <w:r w:rsidRPr="001F6842">
        <w:rPr>
          <w:rFonts w:eastAsia="Calibri" w:cs="Times New Roman"/>
          <w:szCs w:val="28"/>
        </w:rPr>
        <w:t xml:space="preserve"> (turpmāk – Darba grupa)</w:t>
      </w:r>
      <w:r>
        <w:rPr>
          <w:rFonts w:eastAsia="Calibri" w:cs="Times New Roman"/>
          <w:szCs w:val="28"/>
        </w:rPr>
        <w:t xml:space="preserve"> pieaicināto, </w:t>
      </w:r>
      <w:r w:rsidRPr="006B1BB9">
        <w:t>Fizikālās enerģētikas aģentūras enerģētikas ekspertu vērtējumā</w:t>
      </w:r>
      <w:r>
        <w:t xml:space="preserve"> valsts atbalsts elektroenerģijas ražošanai no AER</w:t>
      </w:r>
      <w:r w:rsidRPr="006B1BB9">
        <w:t xml:space="preserve"> </w:t>
      </w:r>
      <w:r>
        <w:t xml:space="preserve">gadā </w:t>
      </w:r>
      <w:r w:rsidRPr="006B1BB9">
        <w:t>0,3%</w:t>
      </w:r>
      <w:r>
        <w:t xml:space="preserve">  apjomā</w:t>
      </w:r>
      <w:r w:rsidRPr="006B1BB9">
        <w:t xml:space="preserve"> no IKP ir </w:t>
      </w:r>
      <w:r>
        <w:t xml:space="preserve">samērīgs un tautsaimniecības interesēm atbilstošs. </w:t>
      </w:r>
      <w:r w:rsidRPr="006B1BB9">
        <w:t xml:space="preserve">Līdz ar to arī attiecībā uz valsts atbalsta mehānismu – elektroenerģijas </w:t>
      </w:r>
      <w:r>
        <w:t>obligāto iepirkumu un garantēto maksu</w:t>
      </w:r>
      <w:r w:rsidRPr="006B1BB9">
        <w:t xml:space="preserve"> par elektrostacijā uzstādīto elektrisko jaudu (turpmāk – OI mehānisms), ieviešams maksimāli pieļaujamais izmaksu</w:t>
      </w:r>
      <w:r>
        <w:t xml:space="preserve"> apjoms, kas ir </w:t>
      </w:r>
      <w:r w:rsidRPr="00EB65E5">
        <w:t>pamatots lielums veikto investīciju izmaksu neitrālai ietekmei uz tautsaimniecību</w:t>
      </w:r>
      <w:r>
        <w:t>.</w:t>
      </w:r>
      <w:bookmarkEnd w:id="5"/>
    </w:p>
    <w:p w14:paraId="00C4E263" w14:textId="77777777" w:rsidR="00EE1CF5" w:rsidRDefault="00EE1CF5" w:rsidP="00EE1CF5">
      <w:pPr>
        <w:spacing w:before="120"/>
        <w:rPr>
          <w:b/>
          <w:sz w:val="28"/>
          <w:szCs w:val="28"/>
        </w:rPr>
      </w:pPr>
      <w:r>
        <w:tab/>
      </w:r>
      <w:r w:rsidRPr="006B1BB9">
        <w:t>Līdz ar to  š</w:t>
      </w:r>
      <w:r>
        <w:t>ajā konceptuālajā</w:t>
      </w:r>
      <w:r w:rsidRPr="006B1BB9">
        <w:t xml:space="preserve"> ziņojum</w:t>
      </w:r>
      <w:r>
        <w:t>ā</w:t>
      </w:r>
      <w:r w:rsidRPr="006B1BB9">
        <w:t xml:space="preserve"> “Kompleksi pasākumi obligātā iepirkuma komponentes atcelšanai un elektroenerģijas tirgus attīstībai” (turpmāk – Ziņojums)</w:t>
      </w:r>
      <w:r>
        <w:t xml:space="preserve"> iekļautais risinājums </w:t>
      </w:r>
      <w:r w:rsidRPr="005C4BDA">
        <w:rPr>
          <w:b/>
          <w:sz w:val="28"/>
          <w:szCs w:val="28"/>
        </w:rPr>
        <w:t>paredz periodā līdz 2021.gadam</w:t>
      </w:r>
      <w:r>
        <w:rPr>
          <w:b/>
          <w:sz w:val="28"/>
          <w:szCs w:val="28"/>
        </w:rPr>
        <w:t xml:space="preserve"> (ieskaitot)</w:t>
      </w:r>
      <w:r w:rsidRPr="005C4BDA">
        <w:rPr>
          <w:b/>
          <w:sz w:val="28"/>
          <w:szCs w:val="28"/>
        </w:rPr>
        <w:t xml:space="preserve"> īstenot kompleksus pasākumus, lai </w:t>
      </w:r>
      <w:r>
        <w:rPr>
          <w:b/>
          <w:sz w:val="28"/>
          <w:szCs w:val="28"/>
        </w:rPr>
        <w:t xml:space="preserve">nodrošinātu, ka sākot ar 2022. gada 1. janvāri valsts atbalsts elektroenerģijas ražošanai tiek balstīts uz tirgus principiem un </w:t>
      </w:r>
      <w:r w:rsidRPr="00213898">
        <w:rPr>
          <w:b/>
          <w:sz w:val="28"/>
          <w:szCs w:val="28"/>
        </w:rPr>
        <w:t xml:space="preserve">Latvijas elektroenerģijas lietotāju kopējās </w:t>
      </w:r>
      <w:r>
        <w:rPr>
          <w:b/>
          <w:sz w:val="28"/>
          <w:szCs w:val="28"/>
        </w:rPr>
        <w:t xml:space="preserve">atbalsta </w:t>
      </w:r>
      <w:r w:rsidRPr="00213898">
        <w:rPr>
          <w:b/>
          <w:sz w:val="28"/>
          <w:szCs w:val="28"/>
        </w:rPr>
        <w:t xml:space="preserve">izmaksas elektroenerģijas ražošanai </w:t>
      </w:r>
      <w:r>
        <w:rPr>
          <w:b/>
          <w:sz w:val="28"/>
          <w:szCs w:val="28"/>
        </w:rPr>
        <w:t>tā ietvaros turpmāk ik gadu nepārsniegtu</w:t>
      </w:r>
      <w:r w:rsidRPr="00213898">
        <w:rPr>
          <w:b/>
          <w:sz w:val="28"/>
          <w:szCs w:val="28"/>
        </w:rPr>
        <w:t xml:space="preserve"> 0,3 </w:t>
      </w:r>
      <w:r>
        <w:rPr>
          <w:b/>
          <w:sz w:val="28"/>
          <w:szCs w:val="28"/>
        </w:rPr>
        <w:t>%</w:t>
      </w:r>
      <w:r w:rsidRPr="00213898">
        <w:rPr>
          <w:b/>
          <w:sz w:val="28"/>
          <w:szCs w:val="28"/>
        </w:rPr>
        <w:t xml:space="preserve"> </w:t>
      </w:r>
      <w:r>
        <w:rPr>
          <w:b/>
          <w:sz w:val="28"/>
          <w:szCs w:val="28"/>
        </w:rPr>
        <w:t xml:space="preserve">no IKP (iepriekšējā gada) salīdzinājumā ar 1,0% no IKP 2017. gadā </w:t>
      </w:r>
      <w:r w:rsidRPr="00951F06">
        <w:rPr>
          <w:sz w:val="28"/>
          <w:szCs w:val="28"/>
        </w:rPr>
        <w:t>(sk.attēlu).</w:t>
      </w:r>
    </w:p>
    <w:p w14:paraId="1C2DA0E5" w14:textId="77777777" w:rsidR="00EE1CF5" w:rsidRDefault="00EE1CF5" w:rsidP="00EE1CF5">
      <w:pPr>
        <w:spacing w:before="120"/>
        <w:rPr>
          <w:b/>
          <w:sz w:val="28"/>
          <w:szCs w:val="28"/>
        </w:rPr>
      </w:pPr>
    </w:p>
    <w:p w14:paraId="1D823C20" w14:textId="77777777" w:rsidR="00EE1CF5" w:rsidRDefault="00EE1CF5" w:rsidP="00EE1CF5">
      <w:pPr>
        <w:spacing w:before="120"/>
        <w:jc w:val="center"/>
        <w:rPr>
          <w:b/>
          <w:sz w:val="28"/>
          <w:szCs w:val="28"/>
        </w:rPr>
      </w:pPr>
      <w:r>
        <w:rPr>
          <w:noProof/>
        </w:rPr>
        <w:lastRenderedPageBreak/>
        <w:drawing>
          <wp:inline distT="0" distB="0" distL="0" distR="0" wp14:anchorId="2E863620" wp14:editId="6DD72F9B">
            <wp:extent cx="4845132" cy="1805050"/>
            <wp:effectExtent l="0" t="0" r="0" b="5080"/>
            <wp:docPr id="1" name="Chart 1">
              <a:extLst xmlns:a="http://schemas.openxmlformats.org/drawingml/2006/main">
                <a:ext uri="{FF2B5EF4-FFF2-40B4-BE49-F238E27FC236}">
                  <a16:creationId xmlns:a16="http://schemas.microsoft.com/office/drawing/2014/main" id="{A737E2A7-49EE-4A6E-B563-E994A4AFE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84948D1" w14:textId="77777777" w:rsidR="00EE1CF5" w:rsidRDefault="00EE1CF5" w:rsidP="00EE1CF5">
      <w:pPr>
        <w:spacing w:before="120"/>
        <w:jc w:val="center"/>
        <w:rPr>
          <w:b/>
        </w:rPr>
      </w:pPr>
      <w:r w:rsidRPr="004735D6">
        <w:rPr>
          <w:b/>
        </w:rPr>
        <w:t>Elektroenerģijas galalietotāju izdevumi par saražoto elektroenerģiju pret iepriekšējā gada IKP faktiskajās cenās</w:t>
      </w:r>
      <w:r>
        <w:rPr>
          <w:b/>
        </w:rPr>
        <w:t xml:space="preserve"> EM piedāvātajā risinājumā</w:t>
      </w:r>
      <w:r>
        <w:rPr>
          <w:b/>
        </w:rPr>
        <w:br/>
      </w:r>
    </w:p>
    <w:p w14:paraId="1E7B4A10" w14:textId="77777777" w:rsidR="00EE1CF5" w:rsidRDefault="00EE1CF5" w:rsidP="00EE1CF5">
      <w:pPr>
        <w:spacing w:before="120"/>
        <w:ind w:firstLine="709"/>
      </w:pPr>
      <w:r>
        <w:t xml:space="preserve">Rosinātie pasākumi, ja tie tiek īstenoti pilnā apjomā, vidējā termiņā sabalansēs sabiedrības un dažādu tautsaimniecības sektoru intereses, vienlaikus nodrošinot valsts elektroapgādes drošumu un ļaujot sasniegt Latvijas enerģētikas politikas ilgtermiņa mērķus, kas definēti spēkā esošo </w:t>
      </w:r>
      <w:r w:rsidRPr="00437A8D">
        <w:t>Enerģ</w:t>
      </w:r>
      <w:r>
        <w:t>ētikas attīstības pamatnostādņu</w:t>
      </w:r>
      <w:r w:rsidRPr="00437A8D">
        <w:t xml:space="preserve"> 2016.-2020. gadam (turpmāk - pamatnostādnes)</w:t>
      </w:r>
      <w:r>
        <w:t xml:space="preserve"> 1.2.sadaļā:</w:t>
      </w:r>
    </w:p>
    <w:p w14:paraId="7AD5189F" w14:textId="77777777" w:rsidR="00EE1CF5" w:rsidRDefault="00EE1CF5" w:rsidP="00EE1CF5">
      <w:pPr>
        <w:pStyle w:val="ListParagraph"/>
        <w:numPr>
          <w:ilvl w:val="0"/>
          <w:numId w:val="27"/>
        </w:numPr>
        <w:spacing w:before="120"/>
        <w:contextualSpacing w:val="0"/>
      </w:pPr>
      <w:r w:rsidRPr="00447814">
        <w:rPr>
          <w:b/>
        </w:rPr>
        <w:t>energoapgādes drošuma paaugstināšana</w:t>
      </w:r>
      <w:r w:rsidRPr="00437A8D">
        <w:t>, kas paredz enerģijas lietotājiem pieejamas, stabilas enerģijas piegādes, mazinot ģeopolitiskos riskus, dažādojot enerģijas resursu piegāžu avotus un ceļus, attīstot starpsavienojumus un valsts iekšējās energoapgādes infrastruktūru, ieviešot energoapgādes tīklos viedās tehnoloģijas, veidojot energoresursu rezerves un iesaistoties tiesiskā regulējuma pilnveidošanā. Lai ilgtermiņā optimizētu energoapgādes drošuma izmaksas, nepieciešama arī reģionāla sadarbība</w:t>
      </w:r>
      <w:r>
        <w:t>, tai skaitā</w:t>
      </w:r>
      <w:r w:rsidRPr="00437A8D">
        <w:t xml:space="preserve"> turpmāka integrācija ES un Skandināvijas valstu tīklos, panākot cenu izlīdzinājumu reģionā</w:t>
      </w:r>
      <w:r>
        <w:t>;</w:t>
      </w:r>
    </w:p>
    <w:p w14:paraId="5C1E74EC" w14:textId="77777777" w:rsidR="00EE1CF5" w:rsidRDefault="00EE1CF5" w:rsidP="00EE1CF5">
      <w:pPr>
        <w:pStyle w:val="ListParagraph"/>
        <w:numPr>
          <w:ilvl w:val="0"/>
          <w:numId w:val="27"/>
        </w:numPr>
        <w:spacing w:before="120"/>
        <w:contextualSpacing w:val="0"/>
      </w:pPr>
      <w:r w:rsidRPr="00437A8D">
        <w:rPr>
          <w:b/>
          <w:bCs/>
        </w:rPr>
        <w:t>ilgtspējīga enerģētika,</w:t>
      </w:r>
      <w:r w:rsidRPr="00437A8D">
        <w:t xml:space="preserve"> kas nodrošina enerģētikas ilgtspēju gan ekonomiskā, </w:t>
      </w:r>
      <w:r>
        <w:t xml:space="preserve">gan sociālā, gan vides izpratnē, ko </w:t>
      </w:r>
      <w:r w:rsidRPr="00437A8D">
        <w:t>plānots panākt, uzlabojot energoefektivitāti, ieviešot viedās tehnoloģijas un veicinot augsti efektīvu ražošanas tehnoloģiju un AER izmantošanas tehnoloģijas</w:t>
      </w:r>
      <w:r>
        <w:t>.</w:t>
      </w:r>
      <w:r>
        <w:rPr>
          <w:rStyle w:val="FootnoteReference"/>
        </w:rPr>
        <w:footnoteReference w:id="2"/>
      </w:r>
    </w:p>
    <w:p w14:paraId="17786C36" w14:textId="77777777" w:rsidR="00EE1CF5" w:rsidRDefault="00EE1CF5" w:rsidP="00EE1CF5">
      <w:pPr>
        <w:spacing w:before="240"/>
        <w:ind w:firstLine="709"/>
      </w:pPr>
      <w:r>
        <w:t>Lai to nodrošinātu EM piedāvā:</w:t>
      </w:r>
    </w:p>
    <w:p w14:paraId="01DC0B5E" w14:textId="77777777" w:rsidR="00EE1CF5" w:rsidRPr="005C4BDA" w:rsidRDefault="00EE1CF5" w:rsidP="00EE1CF5">
      <w:pPr>
        <w:pStyle w:val="ListParagraph"/>
        <w:numPr>
          <w:ilvl w:val="0"/>
          <w:numId w:val="28"/>
        </w:numPr>
        <w:spacing w:before="120"/>
        <w:contextualSpacing w:val="0"/>
      </w:pPr>
      <w:bookmarkStart w:id="6" w:name="_Hlk526173750"/>
      <w:r>
        <w:t>Elektroenerģijas tirgus likumā (turpmāk – ETL)</w:t>
      </w:r>
      <w:r w:rsidRPr="005C4BDA">
        <w:t xml:space="preserve"> noteikt, </w:t>
      </w:r>
      <w:r>
        <w:t xml:space="preserve">ka ar 2022. gada 1. janvāri Latvijas elektroenerģijas </w:t>
      </w:r>
      <w:r w:rsidRPr="00213898">
        <w:t>lietotāju kopējās izmaksas valsts atbalsta nodrošināšanai elektroenerģijas ražošanai</w:t>
      </w:r>
      <w:r>
        <w:t xml:space="preserve"> </w:t>
      </w:r>
      <w:r w:rsidRPr="00B17EC0">
        <w:t xml:space="preserve">no AER, kā arī sistēmiski nozīmīgām elektrostacijām ar uzstādīto elektrisko jaudu virs 100 MW, </w:t>
      </w:r>
      <w:r w:rsidRPr="005C4BDA">
        <w:t xml:space="preserve">nepārsniedz 0,3% no IKP.  </w:t>
      </w:r>
    </w:p>
    <w:p w14:paraId="71ACCE04" w14:textId="77777777" w:rsidR="00EE1CF5" w:rsidRDefault="00EE1CF5" w:rsidP="00EE1CF5">
      <w:pPr>
        <w:pStyle w:val="ListParagraph"/>
        <w:numPr>
          <w:ilvl w:val="0"/>
          <w:numId w:val="28"/>
        </w:numPr>
        <w:spacing w:before="120"/>
        <w:contextualSpacing w:val="0"/>
      </w:pPr>
      <w:r>
        <w:t xml:space="preserve">Ar grozījumiem ETL paredzēt, ka ar 2022. gada 1. janvāri OI mehānisms tiek aizstāts ar tādu, kura pamatā ir </w:t>
      </w:r>
      <w:r w:rsidRPr="00824C5B">
        <w:t>tirgus cenas efektivitātes modeli</w:t>
      </w:r>
      <w:r>
        <w:t>s</w:t>
      </w:r>
      <w:r w:rsidRPr="00824C5B">
        <w:t xml:space="preserve"> jeb piemaks</w:t>
      </w:r>
      <w:r>
        <w:t>a</w:t>
      </w:r>
      <w:r w:rsidRPr="00824C5B">
        <w:t xml:space="preserve"> virs elektroenerģijas tirgus cenas (</w:t>
      </w:r>
      <w:r w:rsidRPr="001B75A7">
        <w:rPr>
          <w:i/>
        </w:rPr>
        <w:t>feed-in premium</w:t>
      </w:r>
      <w:r w:rsidRPr="00824C5B">
        <w:t>)</w:t>
      </w:r>
      <w:r>
        <w:t>.</w:t>
      </w:r>
    </w:p>
    <w:p w14:paraId="0D686A7E" w14:textId="77777777" w:rsidR="00EE1CF5" w:rsidRDefault="00EE1CF5" w:rsidP="00EE1CF5">
      <w:pPr>
        <w:pStyle w:val="ListParagraph"/>
        <w:numPr>
          <w:ilvl w:val="0"/>
          <w:numId w:val="28"/>
        </w:numPr>
        <w:spacing w:before="120"/>
        <w:contextualSpacing w:val="0"/>
      </w:pPr>
      <w:r>
        <w:t>A</w:t>
      </w:r>
      <w:r w:rsidRPr="00C62FAC">
        <w:t xml:space="preserve">tbilstoši tehnoloģiju attīstības tendencēm </w:t>
      </w:r>
      <w:r>
        <w:t>samazināt elektroenerģijas iepirkuma cenu vēl ekspluatācijā nenodotām elektrostacijām.</w:t>
      </w:r>
    </w:p>
    <w:p w14:paraId="79CA11B4" w14:textId="77777777" w:rsidR="00EE1CF5" w:rsidRDefault="00EE1CF5" w:rsidP="00EE1CF5">
      <w:pPr>
        <w:pStyle w:val="ListParagraph"/>
        <w:numPr>
          <w:ilvl w:val="0"/>
          <w:numId w:val="28"/>
        </w:numPr>
        <w:spacing w:before="120"/>
        <w:contextualSpacing w:val="0"/>
      </w:pPr>
      <w:r w:rsidRPr="005C4BDA">
        <w:t>Veicot grozījumu</w:t>
      </w:r>
      <w:r>
        <w:t>s</w:t>
      </w:r>
      <w:r w:rsidRPr="005C4BDA">
        <w:t xml:space="preserve"> </w:t>
      </w:r>
      <w:r>
        <w:t xml:space="preserve">ETL un atbilstošajos MK noteikumos, pilnveidot kopējo kapitālieguldījumu iekšējās peļņas normas (turpmāk – IRR) aprēķina mehānismu, lai </w:t>
      </w:r>
      <w:r>
        <w:lastRenderedPageBreak/>
        <w:t>nodrošinātu pārkompensācijas mehānisma efektivitāti un piemērošanu visām OI mehānismā strādājošām elektrostacijām, kas saņem valsts atbalstu, tai skaitā tām, kas darbojušās pirms ETL stāšanās spēkā un uz kurām pārkompensācijas mehānisms līdz šim nav attiecināts. Tai skaitā visām dabasgāzi izmantojošām stacijām, kuru mērķis primāri nav elektroenerģijas sistēmas drošuma nodrošinājums.</w:t>
      </w:r>
    </w:p>
    <w:p w14:paraId="58160D7E" w14:textId="77777777" w:rsidR="00EE1CF5" w:rsidRDefault="00EE1CF5" w:rsidP="00EE1CF5">
      <w:pPr>
        <w:pStyle w:val="ListParagraph"/>
        <w:numPr>
          <w:ilvl w:val="0"/>
          <w:numId w:val="28"/>
        </w:numPr>
        <w:spacing w:before="120"/>
        <w:contextualSpacing w:val="0"/>
      </w:pPr>
      <w:r w:rsidRPr="00C62FAC">
        <w:t>Noteikt prasības lauksaimniecības atlikumproduktu izmantošanai biogāzes stacijās un koriģēt atbalsta intensitāti atbil</w:t>
      </w:r>
      <w:r>
        <w:t>stoši piejaukuma apjomam.</w:t>
      </w:r>
    </w:p>
    <w:p w14:paraId="61107237" w14:textId="77777777" w:rsidR="00EE1CF5" w:rsidRPr="000F311A" w:rsidRDefault="00EE1CF5" w:rsidP="00EE1CF5">
      <w:pPr>
        <w:pStyle w:val="ListParagraph"/>
        <w:numPr>
          <w:ilvl w:val="0"/>
          <w:numId w:val="28"/>
        </w:numPr>
        <w:spacing w:before="120"/>
        <w:contextualSpacing w:val="0"/>
      </w:pPr>
      <w:r w:rsidRPr="000F311A">
        <w:rPr>
          <w:rFonts w:eastAsia="Times New Roman" w:cs="Times New Roman"/>
          <w:szCs w:val="26"/>
        </w:rPr>
        <w:t xml:space="preserve">Izmaksas, kas radušās par atbalsta sniegšanu elektroenerģijas ražošanai no </w:t>
      </w:r>
      <w:r>
        <w:rPr>
          <w:rFonts w:eastAsia="Times New Roman" w:cs="Times New Roman"/>
          <w:szCs w:val="26"/>
        </w:rPr>
        <w:t>dabasgāzes</w:t>
      </w:r>
      <w:r w:rsidRPr="000F311A">
        <w:rPr>
          <w:rFonts w:eastAsia="Times New Roman" w:cs="Times New Roman"/>
          <w:szCs w:val="26"/>
        </w:rPr>
        <w:t>, izņemot attiecībā uz sist</w:t>
      </w:r>
      <w:r>
        <w:rPr>
          <w:rFonts w:eastAsia="Times New Roman" w:cs="Times New Roman"/>
          <w:szCs w:val="26"/>
        </w:rPr>
        <w:t>ē</w:t>
      </w:r>
      <w:r w:rsidRPr="000F311A">
        <w:rPr>
          <w:rFonts w:eastAsia="Times New Roman" w:cs="Times New Roman"/>
          <w:szCs w:val="26"/>
        </w:rPr>
        <w:t>miski svarīgām stacijām, tiek piedāvāts ar 2022. gadu segt no valsts budžeta līdzekļiem.</w:t>
      </w:r>
    </w:p>
    <w:p w14:paraId="4EFA80D8" w14:textId="77777777" w:rsidR="00EE1CF5" w:rsidRPr="000F311A" w:rsidRDefault="00EE1CF5" w:rsidP="00EE1CF5">
      <w:pPr>
        <w:pStyle w:val="ListParagraph"/>
        <w:numPr>
          <w:ilvl w:val="0"/>
          <w:numId w:val="28"/>
        </w:numPr>
        <w:spacing w:before="120"/>
        <w:contextualSpacing w:val="0"/>
      </w:pPr>
      <w:r>
        <w:t xml:space="preserve">Piedāvāt komersantiem brīvprātīgu izeju no OI mehānisma un veicināt labvēlīgus nosacījumus elektroenerģijas ražošanai tirgus apstākļos. </w:t>
      </w:r>
    </w:p>
    <w:p w14:paraId="7B2DC8A4" w14:textId="77777777" w:rsidR="00EE1CF5" w:rsidRDefault="00EE1CF5" w:rsidP="00EE1CF5">
      <w:pPr>
        <w:pStyle w:val="ListParagraph"/>
        <w:numPr>
          <w:ilvl w:val="0"/>
          <w:numId w:val="28"/>
        </w:numPr>
        <w:spacing w:before="120"/>
        <w:contextualSpacing w:val="0"/>
      </w:pPr>
      <w:r>
        <w:t>Veikt papildu šādas izmaiņas OI mehānisma pilnveidošanai:</w:t>
      </w:r>
    </w:p>
    <w:bookmarkEnd w:id="6"/>
    <w:p w14:paraId="2677242E" w14:textId="77777777" w:rsidR="00EE1CF5" w:rsidRDefault="00EE1CF5" w:rsidP="00EE1CF5">
      <w:pPr>
        <w:pStyle w:val="ListParagraph"/>
        <w:numPr>
          <w:ilvl w:val="1"/>
          <w:numId w:val="28"/>
        </w:numPr>
        <w:spacing w:before="120"/>
        <w:contextualSpacing w:val="0"/>
      </w:pPr>
      <w:r>
        <w:t xml:space="preserve">Atbalsta jautājumus attiecībā uz elektrostacijām, kas nodrošina sistēmas stabilitāti, </w:t>
      </w:r>
      <w:r w:rsidRPr="00B97123">
        <w:t>no</w:t>
      </w:r>
      <w:r>
        <w:t>dot</w:t>
      </w:r>
      <w:r w:rsidRPr="00B97123">
        <w:t xml:space="preserve"> pārvades sistēmas operatoram</w:t>
      </w:r>
      <w:r>
        <w:t>;</w:t>
      </w:r>
    </w:p>
    <w:p w14:paraId="43B3C211" w14:textId="77777777" w:rsidR="00EE1CF5" w:rsidRDefault="00EE1CF5" w:rsidP="00EE1CF5">
      <w:pPr>
        <w:pStyle w:val="ListParagraph"/>
        <w:numPr>
          <w:ilvl w:val="1"/>
          <w:numId w:val="28"/>
        </w:numPr>
        <w:spacing w:before="120"/>
        <w:contextualSpacing w:val="0"/>
      </w:pPr>
      <w:r>
        <w:t>Samazināt lietotāju maksājumus, Enerģijas publiskajam tirgotājam rīkojot vairumtirgus cenas izsoli OI mehānisma ietvaros iepirktajai elektroenerģijai;</w:t>
      </w:r>
    </w:p>
    <w:p w14:paraId="6228D958" w14:textId="77777777" w:rsidR="00EE1CF5" w:rsidRDefault="00EE1CF5" w:rsidP="00EE1CF5">
      <w:pPr>
        <w:pStyle w:val="ListParagraph"/>
        <w:numPr>
          <w:ilvl w:val="1"/>
          <w:numId w:val="28"/>
        </w:numPr>
        <w:spacing w:before="120"/>
        <w:contextualSpacing w:val="0"/>
      </w:pPr>
      <w:r>
        <w:t xml:space="preserve">Pārskatīt OIK diferenciācijas mehānismu, paredzot, ka ar 2020. gada 1. janvāri elektrostaciju, kas saņem garantēto maksu par uzstādīto elektrisko jaudu šī mehānisma ietvaros (neattieksies uz sistēmiski nozīmīgajām stacijām ar uzstādīto jaudu virs 100 MW), izdevumi tiek segti proporcionāli elektroenerģijas galapatērētāju patēriņam;  </w:t>
      </w:r>
    </w:p>
    <w:p w14:paraId="5426F6A2" w14:textId="77777777" w:rsidR="00EE1CF5" w:rsidRDefault="00EE1CF5" w:rsidP="00EE1CF5">
      <w:pPr>
        <w:pStyle w:val="ListParagraph"/>
        <w:numPr>
          <w:ilvl w:val="1"/>
          <w:numId w:val="28"/>
        </w:numPr>
        <w:spacing w:before="120"/>
        <w:contextualSpacing w:val="0"/>
      </w:pPr>
      <w:r>
        <w:t>Pilnveidot elektroenerģijas ražošanas atbalsta administrēšanas sistēmu, piesaistot papildu resursus, kas pierādījies kā efektīvs līdzeklis negodprātīgo ražotāju darbības ierobežošanai un patērētāju maksājumu samazināšanai u.c..</w:t>
      </w:r>
    </w:p>
    <w:p w14:paraId="75D093BE" w14:textId="77777777" w:rsidR="00EE1CF5" w:rsidRPr="00F36607" w:rsidRDefault="00EE1CF5" w:rsidP="00EE1CF5">
      <w:pPr>
        <w:pStyle w:val="ListParagraph"/>
        <w:spacing w:before="120"/>
        <w:ind w:left="0" w:firstLine="851"/>
        <w:contextualSpacing w:val="0"/>
      </w:pPr>
      <w:r w:rsidRPr="00F36607">
        <w:t>Ņemts vērā, ka līdzšinējās OI mehānisma izmaksas</w:t>
      </w:r>
      <w:r>
        <w:t xml:space="preserve"> elektroenerģijas</w:t>
      </w:r>
      <w:r w:rsidRPr="00F36607">
        <w:t xml:space="preserve">, kas </w:t>
      </w:r>
      <w:r>
        <w:t>iegūta no</w:t>
      </w:r>
      <w:r w:rsidRPr="00F36607">
        <w:t xml:space="preserve"> AER 20</w:t>
      </w:r>
      <w:r>
        <w:t xml:space="preserve">17.gadā vērtējamas </w:t>
      </w:r>
      <w:r w:rsidRPr="00F36607">
        <w:t>119,4 milj. EUR</w:t>
      </w:r>
      <w:r>
        <w:t xml:space="preserve"> jeb 0,45% no IKP apmērā, iepretim kopējām </w:t>
      </w:r>
      <w:r w:rsidRPr="00F36607">
        <w:t>OI mehānisma izmaks</w:t>
      </w:r>
      <w:r>
        <w:t>ām</w:t>
      </w:r>
      <w:r w:rsidRPr="00F36607">
        <w:t xml:space="preserve"> 266,3 milj. EUR jeb 1% no IKP</w:t>
      </w:r>
      <w:r>
        <w:t xml:space="preserve"> apmērā</w:t>
      </w:r>
      <w:r w:rsidRPr="00F36607">
        <w:t xml:space="preserve">. Savukārt </w:t>
      </w:r>
      <w:r>
        <w:t xml:space="preserve">līdzšinējais atbalsts elektroenerģijas ražošanai, izmantojot dabasgāzi ir </w:t>
      </w:r>
      <w:r w:rsidRPr="00F36607">
        <w:t xml:space="preserve">35 milj. EUR jeb 0,13% no IKP </w:t>
      </w:r>
      <w:r>
        <w:t xml:space="preserve">apmērā </w:t>
      </w:r>
      <w:r w:rsidRPr="00F36607">
        <w:t xml:space="preserve">un jaudas maksājumiem - </w:t>
      </w:r>
      <w:r>
        <w:t>111,9 milj. </w:t>
      </w:r>
      <w:r w:rsidRPr="00F36607">
        <w:t xml:space="preserve">EUR jeb 0,42% no IKP.   </w:t>
      </w:r>
    </w:p>
    <w:p w14:paraId="5DC0D9A1" w14:textId="77777777" w:rsidR="00EE1CF5" w:rsidRDefault="00EE1CF5" w:rsidP="00EE1CF5">
      <w:pPr>
        <w:pStyle w:val="ListParagraph"/>
        <w:spacing w:before="120"/>
        <w:ind w:left="0" w:firstLine="851"/>
        <w:contextualSpacing w:val="0"/>
      </w:pPr>
      <w:r w:rsidRPr="00C62FAC">
        <w:t xml:space="preserve">Gadījumā, ja </w:t>
      </w:r>
      <w:r>
        <w:t>īstenojot šajā konceptuālajā ziņojumā ietvertos risinājumus, 2019. gadā kļūs skaidrs, ka uz 2022.gadu nebūs iespējams elektroenerģijas lietotāju kopējos izdevumus ierobežot 0,3% apmērā no IKP, apsverama subsidētās elektroenerģijas nodokļa (turpmāk – SEN) atjaunošana, piemēram, ar 2020. gadu.</w:t>
      </w:r>
    </w:p>
    <w:p w14:paraId="4A69EE33" w14:textId="77777777" w:rsidR="00EE1CF5" w:rsidRDefault="00EE1CF5" w:rsidP="00EE1CF5">
      <w:pPr>
        <w:pStyle w:val="ListParagraph"/>
        <w:spacing w:before="120"/>
        <w:ind w:left="0" w:firstLine="851"/>
        <w:contextualSpacing w:val="0"/>
      </w:pPr>
      <w:r>
        <w:t>No 1. attēlā atspoguļotās informācijas ir redzams laika grafiks šajā konceptuālajā ziņojumā aplūkoto centrālo instrumentu īstenošanai attiecībā uz OI mehānisma pārskatīšanu laika posmā no 2019.-2022. gadam.</w:t>
      </w:r>
    </w:p>
    <w:p w14:paraId="5CE3E5E7" w14:textId="77777777" w:rsidR="00EE1CF5" w:rsidRDefault="00EE1CF5" w:rsidP="00EE1CF5">
      <w:pPr>
        <w:spacing w:before="120"/>
        <w:ind w:firstLine="851"/>
        <w:jc w:val="right"/>
        <w:rPr>
          <w:i/>
          <w:szCs w:val="28"/>
        </w:rPr>
      </w:pPr>
    </w:p>
    <w:p w14:paraId="2DF7C4C8" w14:textId="77777777" w:rsidR="00EE1CF5" w:rsidRDefault="00EE1CF5" w:rsidP="00EE1CF5">
      <w:pPr>
        <w:spacing w:before="120"/>
        <w:ind w:firstLine="851"/>
        <w:jc w:val="right"/>
        <w:rPr>
          <w:i/>
          <w:szCs w:val="28"/>
        </w:rPr>
      </w:pPr>
    </w:p>
    <w:p w14:paraId="1544FBC9" w14:textId="77777777" w:rsidR="00EE1CF5" w:rsidRDefault="00EE1CF5" w:rsidP="00EE1CF5">
      <w:pPr>
        <w:spacing w:before="120"/>
        <w:ind w:firstLine="851"/>
        <w:jc w:val="right"/>
        <w:rPr>
          <w:i/>
          <w:szCs w:val="28"/>
        </w:rPr>
      </w:pPr>
    </w:p>
    <w:p w14:paraId="127BFA4E" w14:textId="77777777" w:rsidR="00EE1CF5" w:rsidRDefault="00EE1CF5" w:rsidP="00EE1CF5">
      <w:pPr>
        <w:spacing w:before="120"/>
        <w:ind w:firstLine="851"/>
        <w:jc w:val="right"/>
        <w:rPr>
          <w:i/>
          <w:szCs w:val="28"/>
        </w:rPr>
      </w:pPr>
    </w:p>
    <w:p w14:paraId="393E4339" w14:textId="77777777" w:rsidR="00EE1CF5" w:rsidRDefault="00EE1CF5" w:rsidP="00EE1CF5">
      <w:pPr>
        <w:spacing w:before="120"/>
        <w:ind w:firstLine="851"/>
        <w:jc w:val="right"/>
        <w:rPr>
          <w:i/>
          <w:szCs w:val="28"/>
        </w:rPr>
      </w:pPr>
    </w:p>
    <w:p w14:paraId="24A5C716" w14:textId="77777777" w:rsidR="00EE1CF5" w:rsidRPr="000A4413" w:rsidRDefault="00EE1CF5" w:rsidP="00EE1CF5">
      <w:pPr>
        <w:spacing w:before="120"/>
        <w:ind w:firstLine="851"/>
        <w:jc w:val="right"/>
        <w:rPr>
          <w:i/>
          <w:szCs w:val="28"/>
        </w:rPr>
      </w:pPr>
      <w:r w:rsidRPr="00046D62">
        <w:rPr>
          <w:i/>
          <w:szCs w:val="28"/>
        </w:rPr>
        <w:lastRenderedPageBreak/>
        <w:t>1.</w:t>
      </w:r>
      <w:r>
        <w:rPr>
          <w:i/>
          <w:szCs w:val="28"/>
        </w:rPr>
        <w:t xml:space="preserve"> attēls</w:t>
      </w:r>
    </w:p>
    <w:p w14:paraId="06D3679E" w14:textId="77777777" w:rsidR="00EE1CF5" w:rsidRDefault="00EE1CF5" w:rsidP="00EE1CF5">
      <w:pPr>
        <w:spacing w:before="120"/>
        <w:rPr>
          <w:szCs w:val="26"/>
        </w:rPr>
      </w:pPr>
      <w:r w:rsidRPr="00D94077">
        <w:rPr>
          <w:noProof/>
          <w:szCs w:val="26"/>
        </w:rPr>
        <w:drawing>
          <wp:inline distT="0" distB="0" distL="0" distR="0" wp14:anchorId="734A402C" wp14:editId="028CC35C">
            <wp:extent cx="5760085" cy="323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239770"/>
                    </a:xfrm>
                    <a:prstGeom prst="rect">
                      <a:avLst/>
                    </a:prstGeom>
                  </pic:spPr>
                </pic:pic>
              </a:graphicData>
            </a:graphic>
          </wp:inline>
        </w:drawing>
      </w:r>
    </w:p>
    <w:p w14:paraId="773ADCF4" w14:textId="77777777" w:rsidR="00EE1CF5" w:rsidRDefault="00EE1CF5" w:rsidP="00EE1CF5">
      <w:pPr>
        <w:ind w:firstLine="720"/>
        <w:jc w:val="center"/>
        <w:rPr>
          <w:rFonts w:eastAsiaTheme="minorEastAsia"/>
          <w:b/>
          <w:sz w:val="24"/>
          <w:szCs w:val="28"/>
        </w:rPr>
      </w:pPr>
      <w:r>
        <w:rPr>
          <w:rFonts w:eastAsiaTheme="minorEastAsia"/>
          <w:b/>
          <w:sz w:val="24"/>
          <w:szCs w:val="28"/>
        </w:rPr>
        <w:t>OI mehānisma atcelšanas laika grafiks</w:t>
      </w:r>
    </w:p>
    <w:p w14:paraId="283B8490" w14:textId="77777777" w:rsidR="00EE1CF5" w:rsidRPr="00046D62" w:rsidRDefault="00EE1CF5" w:rsidP="00EE1CF5">
      <w:pPr>
        <w:ind w:firstLine="720"/>
        <w:jc w:val="center"/>
        <w:rPr>
          <w:rFonts w:eastAsiaTheme="minorEastAsia"/>
          <w:szCs w:val="28"/>
        </w:rPr>
      </w:pPr>
    </w:p>
    <w:p w14:paraId="0E594EF9" w14:textId="77777777" w:rsidR="00EE1CF5" w:rsidRPr="00C54499" w:rsidRDefault="00EE1CF5" w:rsidP="00EE1CF5">
      <w:pPr>
        <w:spacing w:before="120"/>
        <w:ind w:firstLine="851"/>
      </w:pPr>
      <w:r>
        <w:t>Līdztekus 1. attēlā aplūkotajiem instrumentiem paredzēts uzlabot OI mehānismā darbojošos elektrostaciju kontroli, kā arī izstrādāt tālākus risinājumus elektrostaciju funkcionēšanai tirgus apstākļos.</w:t>
      </w:r>
      <w:r>
        <w:br w:type="page"/>
      </w:r>
    </w:p>
    <w:p w14:paraId="133764F3" w14:textId="77777777" w:rsidR="00EE1CF5" w:rsidRDefault="00EE1CF5" w:rsidP="00EE1CF5">
      <w:pPr>
        <w:pStyle w:val="1nodaa"/>
        <w:spacing w:after="240"/>
      </w:pPr>
      <w:bookmarkStart w:id="7" w:name="_Toc256000019"/>
      <w:bookmarkStart w:id="8" w:name="_Toc256000002"/>
      <w:bookmarkStart w:id="9" w:name="_Toc523492909"/>
      <w:bookmarkStart w:id="10" w:name="_Toc528585649"/>
      <w:bookmarkStart w:id="11" w:name="_Toc531798561"/>
      <w:r>
        <w:lastRenderedPageBreak/>
        <w:t>Kopsavilkums</w:t>
      </w:r>
      <w:bookmarkEnd w:id="7"/>
      <w:bookmarkEnd w:id="8"/>
      <w:bookmarkEnd w:id="9"/>
      <w:bookmarkEnd w:id="10"/>
      <w:bookmarkEnd w:id="11"/>
      <w:r>
        <w:t xml:space="preserve"> </w:t>
      </w:r>
    </w:p>
    <w:p w14:paraId="4F28847C" w14:textId="77777777" w:rsidR="00EE1CF5" w:rsidRPr="001F6842" w:rsidRDefault="00EE1CF5" w:rsidP="00EE1CF5">
      <w:pPr>
        <w:spacing w:before="120"/>
        <w:ind w:firstLine="709"/>
        <w:rPr>
          <w:rFonts w:eastAsia="Calibri" w:cs="Times New Roman"/>
          <w:szCs w:val="28"/>
        </w:rPr>
      </w:pPr>
      <w:r w:rsidRPr="001F6842">
        <w:rPr>
          <w:rFonts w:eastAsia="Calibri" w:cs="Times New Roman"/>
          <w:szCs w:val="28"/>
        </w:rPr>
        <w:t xml:space="preserve">Ar </w:t>
      </w:r>
      <w:r>
        <w:rPr>
          <w:rFonts w:eastAsia="Calibri" w:cs="Times New Roman"/>
          <w:szCs w:val="28"/>
        </w:rPr>
        <w:t>MK</w:t>
      </w:r>
      <w:r w:rsidRPr="001F6842">
        <w:rPr>
          <w:rFonts w:eastAsia="Calibri" w:cs="Times New Roman"/>
          <w:szCs w:val="28"/>
        </w:rPr>
        <w:t xml:space="preserve"> 2018.gada 24.aprīļa rīkojumu Nr.172 “Par darba grupu elektroenerģijas obligātā iepirkuma maksājumu sistēmas atcelšanai” (turpmāk - rīkojums Nr.172) tika izveidota </w:t>
      </w:r>
      <w:r>
        <w:rPr>
          <w:rFonts w:eastAsia="Calibri" w:cs="Times New Roman"/>
          <w:szCs w:val="28"/>
        </w:rPr>
        <w:t>D</w:t>
      </w:r>
      <w:r w:rsidRPr="001F6842">
        <w:rPr>
          <w:rFonts w:eastAsia="Calibri" w:cs="Times New Roman"/>
          <w:szCs w:val="28"/>
        </w:rPr>
        <w:t xml:space="preserve">arba grupa, kurai bija uzdots līdz 2018.gada 1.augustam izvērtēt </w:t>
      </w:r>
      <w:r>
        <w:rPr>
          <w:rFonts w:eastAsia="Calibri" w:cs="Times New Roman"/>
          <w:szCs w:val="28"/>
        </w:rPr>
        <w:t xml:space="preserve">obligātā iepirkuma komponentes (turpmāk – </w:t>
      </w:r>
      <w:r w:rsidRPr="001F6842">
        <w:rPr>
          <w:rFonts w:eastAsia="Calibri" w:cs="Times New Roman"/>
          <w:szCs w:val="28"/>
        </w:rPr>
        <w:t>OIK</w:t>
      </w:r>
      <w:r>
        <w:rPr>
          <w:rFonts w:eastAsia="Calibri" w:cs="Times New Roman"/>
          <w:szCs w:val="28"/>
        </w:rPr>
        <w:t>)</w:t>
      </w:r>
      <w:r w:rsidRPr="001F6842">
        <w:rPr>
          <w:rFonts w:eastAsia="Calibri" w:cs="Times New Roman"/>
          <w:szCs w:val="28"/>
        </w:rPr>
        <w:t xml:space="preserve"> un subsidētās elektroenerģijas sistēmas ietekmi uz tautsaimniecību, sagatavot priekšlikumus OIK maksājuma sistēmas atcelšanai, kā arī sagatavot priekšlikumus esošo atbalsta saņēmēju darbības nosacījumiem pēc OIK</w:t>
      </w:r>
      <w:r>
        <w:rPr>
          <w:rFonts w:eastAsia="Calibri" w:cs="Times New Roman"/>
          <w:szCs w:val="28"/>
        </w:rPr>
        <w:t xml:space="preserve"> maksājumu sistēmas atcelšanas.</w:t>
      </w:r>
    </w:p>
    <w:p w14:paraId="606F6A74" w14:textId="77777777" w:rsidR="00EE1CF5" w:rsidRDefault="00EE1CF5" w:rsidP="00EE1CF5">
      <w:pPr>
        <w:widowControl w:val="0"/>
        <w:spacing w:before="120"/>
        <w:ind w:firstLine="709"/>
        <w:rPr>
          <w:rFonts w:eastAsia="Calibri" w:cs="Times New Roman"/>
          <w:szCs w:val="28"/>
        </w:rPr>
      </w:pPr>
      <w:r w:rsidRPr="00046D62">
        <w:rPr>
          <w:rFonts w:eastAsia="Calibri" w:cs="Times New Roman"/>
          <w:szCs w:val="28"/>
        </w:rPr>
        <w:t xml:space="preserve">Ar rīkojuma Nr.172 3.punktu </w:t>
      </w:r>
      <w:r>
        <w:rPr>
          <w:rFonts w:eastAsia="Calibri" w:cs="Times New Roman"/>
          <w:szCs w:val="28"/>
        </w:rPr>
        <w:t>EM</w:t>
      </w:r>
      <w:r w:rsidRPr="00046D62">
        <w:rPr>
          <w:rFonts w:eastAsia="Calibri" w:cs="Times New Roman"/>
          <w:szCs w:val="28"/>
        </w:rPr>
        <w:t xml:space="preserve">, ņemot vērā darba grupas ieteikumus, ir uzdots līdz 2018.gada 1.septembrim iesniegt </w:t>
      </w:r>
      <w:r>
        <w:rPr>
          <w:rFonts w:eastAsia="Calibri" w:cs="Times New Roman"/>
          <w:szCs w:val="28"/>
        </w:rPr>
        <w:t>MK</w:t>
      </w:r>
      <w:r w:rsidRPr="00046D62">
        <w:rPr>
          <w:rFonts w:eastAsia="Calibri" w:cs="Times New Roman"/>
          <w:szCs w:val="28"/>
        </w:rPr>
        <w:t xml:space="preserve"> priekšliku</w:t>
      </w:r>
      <w:r>
        <w:rPr>
          <w:rFonts w:eastAsia="Calibri" w:cs="Times New Roman"/>
          <w:szCs w:val="28"/>
        </w:rPr>
        <w:t>mus normatīvo aktu grozījumiem.</w:t>
      </w:r>
    </w:p>
    <w:p w14:paraId="2D53C314" w14:textId="77777777" w:rsidR="00EE1CF5" w:rsidRPr="00046D62" w:rsidRDefault="00EE1CF5" w:rsidP="00EE1CF5">
      <w:pPr>
        <w:widowControl w:val="0"/>
        <w:spacing w:before="120"/>
        <w:ind w:firstLine="709"/>
        <w:rPr>
          <w:rFonts w:eastAsia="Calibri" w:cs="Times New Roman"/>
          <w:szCs w:val="28"/>
        </w:rPr>
      </w:pPr>
      <w:r>
        <w:rPr>
          <w:rFonts w:eastAsia="Calibri" w:cs="Times New Roman"/>
          <w:szCs w:val="28"/>
        </w:rPr>
        <w:t>EM, ie</w:t>
      </w:r>
      <w:r w:rsidRPr="003F69EB">
        <w:rPr>
          <w:rFonts w:eastAsia="Calibri" w:cs="Times New Roman"/>
          <w:szCs w:val="28"/>
        </w:rPr>
        <w:t>vē</w:t>
      </w:r>
      <w:r>
        <w:rPr>
          <w:rFonts w:eastAsia="Calibri" w:cs="Times New Roman"/>
          <w:szCs w:val="28"/>
        </w:rPr>
        <w:t>rojot Darba grupas sagatavotos</w:t>
      </w:r>
      <w:r w:rsidRPr="003F69EB">
        <w:rPr>
          <w:rFonts w:eastAsia="Calibri" w:cs="Times New Roman"/>
          <w:szCs w:val="28"/>
        </w:rPr>
        <w:t xml:space="preserve"> pr</w:t>
      </w:r>
      <w:r>
        <w:rPr>
          <w:rFonts w:eastAsia="Calibri" w:cs="Times New Roman"/>
          <w:szCs w:val="28"/>
        </w:rPr>
        <w:t>iekšlikumu</w:t>
      </w:r>
      <w:r w:rsidRPr="003F69EB">
        <w:rPr>
          <w:rFonts w:eastAsia="Calibri" w:cs="Times New Roman"/>
          <w:szCs w:val="28"/>
        </w:rPr>
        <w:t xml:space="preserve">s, kas apskatīti Darba grupas sanāksmēs un apkopoti </w:t>
      </w:r>
      <w:r>
        <w:rPr>
          <w:rFonts w:eastAsia="Calibri" w:cs="Times New Roman"/>
          <w:szCs w:val="28"/>
        </w:rPr>
        <w:t>Informatīvajā ziņojumā “</w:t>
      </w:r>
      <w:r w:rsidRPr="004173CB">
        <w:rPr>
          <w:rFonts w:eastAsia="Calibri" w:cs="Times New Roman"/>
          <w:szCs w:val="28"/>
        </w:rPr>
        <w:t>Par risinājumiem obligātā iepirkuma mehānisma atcelšanai un ilgtspējīgai a</w:t>
      </w:r>
      <w:r>
        <w:rPr>
          <w:rFonts w:eastAsia="Calibri" w:cs="Times New Roman"/>
          <w:szCs w:val="28"/>
        </w:rPr>
        <w:t>tjaunojamās enerģijas ražošanai”</w:t>
      </w:r>
      <w:r>
        <w:rPr>
          <w:rStyle w:val="FootnoteReference"/>
          <w:rFonts w:eastAsia="Calibri" w:cs="Times New Roman"/>
          <w:szCs w:val="28"/>
        </w:rPr>
        <w:footnoteReference w:id="3"/>
      </w:r>
      <w:r w:rsidRPr="003F69EB">
        <w:rPr>
          <w:rFonts w:eastAsia="Calibri" w:cs="Times New Roman"/>
          <w:szCs w:val="28"/>
        </w:rPr>
        <w:t>, izvērtējot to ekon</w:t>
      </w:r>
      <w:r>
        <w:rPr>
          <w:rFonts w:eastAsia="Calibri" w:cs="Times New Roman"/>
          <w:szCs w:val="28"/>
        </w:rPr>
        <w:t>omiskos un juridiskos aspektus</w:t>
      </w:r>
      <w:r w:rsidRPr="003F69EB">
        <w:rPr>
          <w:rFonts w:eastAsia="Calibri" w:cs="Times New Roman"/>
          <w:szCs w:val="28"/>
        </w:rPr>
        <w:t xml:space="preserve">, ir sagatavojusi </w:t>
      </w:r>
      <w:r>
        <w:rPr>
          <w:rFonts w:eastAsia="Calibri" w:cs="Times New Roman"/>
          <w:szCs w:val="28"/>
        </w:rPr>
        <w:t xml:space="preserve">kompleksi </w:t>
      </w:r>
      <w:r w:rsidRPr="003F69EB">
        <w:rPr>
          <w:rFonts w:eastAsia="Calibri" w:cs="Times New Roman"/>
          <w:szCs w:val="28"/>
        </w:rPr>
        <w:t>ieviešam</w:t>
      </w:r>
      <w:r>
        <w:rPr>
          <w:rFonts w:eastAsia="Calibri" w:cs="Times New Roman"/>
          <w:szCs w:val="28"/>
        </w:rPr>
        <w:t>u</w:t>
      </w:r>
      <w:r w:rsidRPr="003F69EB">
        <w:rPr>
          <w:rFonts w:eastAsia="Calibri" w:cs="Times New Roman"/>
          <w:szCs w:val="28"/>
        </w:rPr>
        <w:t xml:space="preserve"> instrumentu detalizētu aprakstu</w:t>
      </w:r>
      <w:r>
        <w:rPr>
          <w:rFonts w:eastAsia="Calibri" w:cs="Times New Roman"/>
          <w:szCs w:val="28"/>
        </w:rPr>
        <w:t>, apkopojusi to atsevišķos risinājumos un izvērtējusi</w:t>
      </w:r>
      <w:r w:rsidRPr="003F69EB">
        <w:rPr>
          <w:rFonts w:eastAsia="Calibri" w:cs="Times New Roman"/>
          <w:szCs w:val="28"/>
        </w:rPr>
        <w:t xml:space="preserve"> to ieviešana</w:t>
      </w:r>
      <w:r>
        <w:rPr>
          <w:rFonts w:eastAsia="Calibri" w:cs="Times New Roman"/>
          <w:szCs w:val="28"/>
        </w:rPr>
        <w:t xml:space="preserve">s iespējas līdz pārejas perioda beigām, </w:t>
      </w:r>
      <w:r w:rsidRPr="003F69EB">
        <w:rPr>
          <w:rFonts w:eastAsia="Calibri" w:cs="Times New Roman"/>
          <w:szCs w:val="28"/>
        </w:rPr>
        <w:t xml:space="preserve">paredzot </w:t>
      </w:r>
      <w:r>
        <w:rPr>
          <w:rFonts w:eastAsia="Calibri" w:cs="Times New Roman"/>
          <w:szCs w:val="28"/>
        </w:rPr>
        <w:t>pozitīvu</w:t>
      </w:r>
      <w:r w:rsidRPr="003F69EB">
        <w:rPr>
          <w:rFonts w:eastAsia="Calibri" w:cs="Times New Roman"/>
          <w:szCs w:val="28"/>
        </w:rPr>
        <w:t xml:space="preserve"> ietekmi uz elektroenerģijas lietotāju maksājumiem.</w:t>
      </w:r>
    </w:p>
    <w:p w14:paraId="016F8F11" w14:textId="77777777" w:rsidR="00EE1CF5" w:rsidRDefault="00EE1CF5" w:rsidP="00EE1CF5">
      <w:pPr>
        <w:spacing w:before="120"/>
        <w:ind w:firstLine="720"/>
      </w:pPr>
      <w:r>
        <w:t>Ņemot vērā minēto, Ziņojums</w:t>
      </w:r>
      <w:r w:rsidRPr="00092643">
        <w:t xml:space="preserve"> sagatavots, lai risinātu </w:t>
      </w:r>
      <w:r>
        <w:t>problēmas, kas saistās ar OIK radīto slogu elektroenerģijas lietotājiem un tautsaimniecībai kopumā</w:t>
      </w:r>
      <w:r w:rsidRPr="00092643">
        <w:t xml:space="preserve">, vienlaikus </w:t>
      </w:r>
      <w:r>
        <w:t xml:space="preserve">iespēju robežās </w:t>
      </w:r>
      <w:r w:rsidRPr="00092643">
        <w:t>ris</w:t>
      </w:r>
      <w:r>
        <w:t>inot jautājumus saistībā ar 2019.</w:t>
      </w:r>
      <w:r w:rsidRPr="00092643">
        <w:t>gada valsts budžetu un vidēja termiņa val</w:t>
      </w:r>
      <w:r>
        <w:t>sts budžeta ietvaru 2019.–2021.</w:t>
      </w:r>
      <w:r w:rsidRPr="00092643">
        <w:t>gadam.</w:t>
      </w:r>
    </w:p>
    <w:p w14:paraId="2FD02684" w14:textId="77777777" w:rsidR="00EE1CF5" w:rsidRDefault="00EE1CF5" w:rsidP="00EE1CF5">
      <w:pPr>
        <w:spacing w:before="240"/>
        <w:jc w:val="center"/>
        <w:rPr>
          <w:b/>
        </w:rPr>
      </w:pPr>
      <w:r w:rsidRPr="006A7DE6">
        <w:rPr>
          <w:b/>
        </w:rPr>
        <w:t xml:space="preserve">Atbalsts elektroenerģijas ražošanai un tā ietekme uz </w:t>
      </w:r>
      <w:r>
        <w:rPr>
          <w:b/>
        </w:rPr>
        <w:br/>
      </w:r>
      <w:r w:rsidRPr="006A7DE6">
        <w:rPr>
          <w:b/>
        </w:rPr>
        <w:t xml:space="preserve">elektroenerģijas </w:t>
      </w:r>
      <w:r>
        <w:rPr>
          <w:b/>
        </w:rPr>
        <w:t>lietotājiem</w:t>
      </w:r>
    </w:p>
    <w:p w14:paraId="5F62574A" w14:textId="77777777" w:rsidR="00EE1CF5" w:rsidRDefault="00EE1CF5" w:rsidP="00EE1CF5">
      <w:pPr>
        <w:spacing w:before="120"/>
        <w:ind w:firstLine="720"/>
        <w:rPr>
          <w:rFonts w:cs="Times New Roman"/>
          <w:noProof/>
          <w:szCs w:val="28"/>
          <w:lang w:eastAsia="lv-LV"/>
        </w:rPr>
      </w:pPr>
      <w:r w:rsidRPr="00046D62">
        <w:rPr>
          <w:rFonts w:eastAsiaTheme="minorEastAsia"/>
          <w:szCs w:val="28"/>
        </w:rPr>
        <w:t xml:space="preserve">Lai veicinātu </w:t>
      </w:r>
      <w:r>
        <w:rPr>
          <w:rFonts w:eastAsiaTheme="minorEastAsia"/>
          <w:szCs w:val="28"/>
        </w:rPr>
        <w:t xml:space="preserve">AER izmantošanu enerģijas ražošanā </w:t>
      </w:r>
      <w:r w:rsidRPr="00046D62">
        <w:rPr>
          <w:rFonts w:eastAsiaTheme="minorEastAsia"/>
          <w:szCs w:val="28"/>
        </w:rPr>
        <w:t>un augstas efektivitātes koģenerācij</w:t>
      </w:r>
      <w:r>
        <w:rPr>
          <w:rFonts w:eastAsiaTheme="minorEastAsia"/>
          <w:szCs w:val="28"/>
        </w:rPr>
        <w:t>as izplatību</w:t>
      </w:r>
      <w:r w:rsidRPr="00046D62">
        <w:rPr>
          <w:rFonts w:eastAsiaTheme="minorEastAsia"/>
          <w:szCs w:val="28"/>
        </w:rPr>
        <w:t xml:space="preserve">, Latvijā kā atbalsta instruments </w:t>
      </w:r>
      <w:r>
        <w:rPr>
          <w:rFonts w:eastAsiaTheme="minorEastAsia"/>
          <w:szCs w:val="28"/>
        </w:rPr>
        <w:t>līdz 2012.gadam tika</w:t>
      </w:r>
      <w:r w:rsidRPr="00046D62">
        <w:rPr>
          <w:rFonts w:eastAsiaTheme="minorEastAsia"/>
          <w:szCs w:val="28"/>
        </w:rPr>
        <w:t xml:space="preserve"> izmantots </w:t>
      </w:r>
      <w:r>
        <w:rPr>
          <w:rFonts w:eastAsiaTheme="minorEastAsia"/>
          <w:szCs w:val="28"/>
        </w:rPr>
        <w:t xml:space="preserve">OI mehānisms. 2017.gadā OI mehānisma ietvaros darbojās jau </w:t>
      </w:r>
      <w:r w:rsidRPr="00046D62">
        <w:rPr>
          <w:rFonts w:cs="Times New Roman"/>
          <w:noProof/>
          <w:szCs w:val="28"/>
          <w:lang w:eastAsia="lv-LV"/>
        </w:rPr>
        <w:t xml:space="preserve">408 </w:t>
      </w:r>
      <w:r>
        <w:rPr>
          <w:rFonts w:cs="Times New Roman"/>
          <w:noProof/>
          <w:szCs w:val="28"/>
          <w:lang w:eastAsia="lv-LV"/>
        </w:rPr>
        <w:t>elektrostacijas, attīstot Latvijā jaunu nozari enerģētikā.</w:t>
      </w:r>
    </w:p>
    <w:p w14:paraId="5ABBA635" w14:textId="77777777" w:rsidR="00EE1CF5" w:rsidRPr="00046D62" w:rsidRDefault="00EE1CF5" w:rsidP="00EE1CF5">
      <w:pPr>
        <w:spacing w:before="120"/>
        <w:ind w:firstLine="720"/>
        <w:rPr>
          <w:rFonts w:eastAsia="Times New Roman" w:cs="Times New Roman"/>
          <w:color w:val="000000" w:themeColor="text1"/>
          <w:szCs w:val="26"/>
        </w:rPr>
      </w:pPr>
      <w:r>
        <w:rPr>
          <w:rFonts w:eastAsiaTheme="minorEastAsia"/>
          <w:color w:val="000000" w:themeColor="text1"/>
          <w:szCs w:val="26"/>
        </w:rPr>
        <w:t xml:space="preserve">Lai arī Latvija ir sasniegusi vien 65% no ES vidējā ekonomiskās attīstības līmeņa (IKP pēc pirktspējas paritātes uz vienu iedzīvotāju), </w:t>
      </w:r>
      <w:r w:rsidRPr="0022391F">
        <w:rPr>
          <w:rFonts w:eastAsiaTheme="minorEastAsia"/>
          <w:color w:val="000000" w:themeColor="text1"/>
          <w:szCs w:val="26"/>
        </w:rPr>
        <w:t xml:space="preserve">Latvijā ir viens no lielākajiem </w:t>
      </w:r>
      <w:r>
        <w:rPr>
          <w:rFonts w:eastAsiaTheme="minorEastAsia"/>
          <w:color w:val="000000" w:themeColor="text1"/>
          <w:szCs w:val="26"/>
        </w:rPr>
        <w:t xml:space="preserve">valsts </w:t>
      </w:r>
      <w:r w:rsidRPr="0022391F">
        <w:rPr>
          <w:rFonts w:eastAsiaTheme="minorEastAsia"/>
          <w:color w:val="000000" w:themeColor="text1"/>
          <w:szCs w:val="26"/>
        </w:rPr>
        <w:t>atbalst</w:t>
      </w:r>
      <w:r>
        <w:rPr>
          <w:rFonts w:eastAsiaTheme="minorEastAsia"/>
          <w:color w:val="000000" w:themeColor="text1"/>
          <w:szCs w:val="26"/>
        </w:rPr>
        <w:t>a līmeņiem</w:t>
      </w:r>
      <w:r w:rsidRPr="0022391F">
        <w:rPr>
          <w:rFonts w:eastAsiaTheme="minorEastAsia"/>
          <w:color w:val="000000" w:themeColor="text1"/>
          <w:szCs w:val="26"/>
        </w:rPr>
        <w:t xml:space="preserve"> enerģētikas nozarei</w:t>
      </w:r>
      <w:r w:rsidRPr="00046D62">
        <w:rPr>
          <w:rFonts w:eastAsiaTheme="minorEastAsia"/>
          <w:color w:val="000000" w:themeColor="text1"/>
          <w:szCs w:val="26"/>
        </w:rPr>
        <w:t>.</w:t>
      </w:r>
      <w:r>
        <w:rPr>
          <w:rFonts w:eastAsiaTheme="minorEastAsia"/>
          <w:color w:val="000000" w:themeColor="text1"/>
          <w:szCs w:val="26"/>
        </w:rPr>
        <w:t xml:space="preserve"> </w:t>
      </w:r>
      <w:r w:rsidRPr="00046D62">
        <w:rPr>
          <w:szCs w:val="28"/>
        </w:rPr>
        <w:t>Laika posmā</w:t>
      </w:r>
      <w:r>
        <w:rPr>
          <w:szCs w:val="28"/>
        </w:rPr>
        <w:t xml:space="preserve"> no 2008.</w:t>
      </w:r>
      <w:r w:rsidRPr="00046D62">
        <w:rPr>
          <w:szCs w:val="28"/>
        </w:rPr>
        <w:t xml:space="preserve"> līdz 2017.gada </w:t>
      </w:r>
      <w:r>
        <w:rPr>
          <w:szCs w:val="28"/>
        </w:rPr>
        <w:t>beigām</w:t>
      </w:r>
      <w:r w:rsidRPr="00046D62">
        <w:rPr>
          <w:szCs w:val="28"/>
        </w:rPr>
        <w:t xml:space="preserve"> atbals</w:t>
      </w:r>
      <w:r>
        <w:rPr>
          <w:szCs w:val="28"/>
        </w:rPr>
        <w:t>ta apjoms vērtējams 1,8 mljrd.</w:t>
      </w:r>
      <w:r w:rsidRPr="00046D62">
        <w:rPr>
          <w:szCs w:val="28"/>
        </w:rPr>
        <w:t xml:space="preserve"> EUR apmērā, no kuriem 1,5</w:t>
      </w:r>
      <w:r>
        <w:rPr>
          <w:szCs w:val="28"/>
        </w:rPr>
        <w:t> mljrd.</w:t>
      </w:r>
      <w:r w:rsidRPr="00046D62">
        <w:rPr>
          <w:szCs w:val="28"/>
        </w:rPr>
        <w:t xml:space="preserve"> EUR ir elektroenerģijas lietotāju maksājumi.</w:t>
      </w:r>
    </w:p>
    <w:p w14:paraId="6BE42C33" w14:textId="77777777" w:rsidR="00EE1CF5" w:rsidRDefault="00EE1CF5" w:rsidP="00EE1CF5">
      <w:pPr>
        <w:spacing w:before="120"/>
        <w:ind w:firstLine="720"/>
        <w:rPr>
          <w:color w:val="000000" w:themeColor="text1"/>
          <w:szCs w:val="26"/>
        </w:rPr>
      </w:pPr>
      <w:r w:rsidRPr="00046D62">
        <w:rPr>
          <w:rFonts w:eastAsiaTheme="minorEastAsia"/>
          <w:color w:val="000000" w:themeColor="text1"/>
          <w:szCs w:val="26"/>
        </w:rPr>
        <w:t>Pašreizējā Latvijas ekonomikas attīstības līmenī esošais OIK maksājuma apmērs elektroenerģijas gala lietotā</w:t>
      </w:r>
      <w:r>
        <w:rPr>
          <w:rFonts w:eastAsiaTheme="minorEastAsia"/>
          <w:color w:val="000000" w:themeColor="text1"/>
          <w:szCs w:val="26"/>
        </w:rPr>
        <w:t>jiem radījis</w:t>
      </w:r>
      <w:r w:rsidRPr="00046D62">
        <w:rPr>
          <w:rFonts w:eastAsiaTheme="minorEastAsia"/>
          <w:color w:val="000000" w:themeColor="text1"/>
          <w:szCs w:val="26"/>
        </w:rPr>
        <w:t xml:space="preserve"> </w:t>
      </w:r>
      <w:r>
        <w:rPr>
          <w:rFonts w:eastAsiaTheme="minorEastAsia"/>
          <w:color w:val="000000" w:themeColor="text1"/>
          <w:szCs w:val="26"/>
        </w:rPr>
        <w:t>būtisku</w:t>
      </w:r>
      <w:r w:rsidRPr="00046D62">
        <w:rPr>
          <w:rFonts w:eastAsiaTheme="minorEastAsia"/>
          <w:color w:val="000000" w:themeColor="text1"/>
          <w:szCs w:val="26"/>
        </w:rPr>
        <w:t xml:space="preserve"> slogu, atstāj</w:t>
      </w:r>
      <w:r>
        <w:rPr>
          <w:rFonts w:eastAsiaTheme="minorEastAsia"/>
          <w:color w:val="000000" w:themeColor="text1"/>
          <w:szCs w:val="26"/>
        </w:rPr>
        <w:t>ot</w:t>
      </w:r>
      <w:r w:rsidRPr="00046D62">
        <w:rPr>
          <w:rFonts w:eastAsiaTheme="minorEastAsia"/>
          <w:color w:val="000000" w:themeColor="text1"/>
          <w:szCs w:val="26"/>
        </w:rPr>
        <w:t xml:space="preserve"> negatīvu ietekmi uz Latvijas globālo konkurētspēju ilgtermiņā.</w:t>
      </w:r>
      <w:r>
        <w:rPr>
          <w:rFonts w:eastAsiaTheme="minorEastAsia"/>
          <w:color w:val="000000" w:themeColor="text1"/>
          <w:szCs w:val="26"/>
        </w:rPr>
        <w:t xml:space="preserve"> </w:t>
      </w:r>
      <w:r w:rsidRPr="00AA2BE5">
        <w:rPr>
          <w:color w:val="000000" w:themeColor="text1"/>
          <w:szCs w:val="28"/>
        </w:rPr>
        <w:t>Lai arī pēdējos gados valdības īstenotās politikas rezultātā ir izdevies</w:t>
      </w:r>
      <w:r>
        <w:rPr>
          <w:color w:val="000000" w:themeColor="text1"/>
          <w:szCs w:val="28"/>
        </w:rPr>
        <w:t xml:space="preserve"> būtiski</w:t>
      </w:r>
      <w:r w:rsidRPr="00AA2BE5">
        <w:rPr>
          <w:color w:val="000000" w:themeColor="text1"/>
          <w:szCs w:val="28"/>
        </w:rPr>
        <w:t xml:space="preserve"> mazināt elektroenerģijas izmaksu slogu noteiktām </w:t>
      </w:r>
      <w:r>
        <w:rPr>
          <w:color w:val="000000" w:themeColor="text1"/>
          <w:szCs w:val="28"/>
        </w:rPr>
        <w:t>elektroenerģijas lietotāju</w:t>
      </w:r>
      <w:r w:rsidRPr="00AA2BE5">
        <w:rPr>
          <w:color w:val="000000" w:themeColor="text1"/>
          <w:szCs w:val="28"/>
        </w:rPr>
        <w:t xml:space="preserve"> grupām, aplūkojot reģionālā griezumā, joprojām mazo un vidējo uzņēmumu elektroenerģijas izmaksas ir vērtējamas kā otras augstākās</w:t>
      </w:r>
      <w:r>
        <w:rPr>
          <w:color w:val="000000" w:themeColor="text1"/>
          <w:szCs w:val="28"/>
        </w:rPr>
        <w:t xml:space="preserve"> Baltijas jūras</w:t>
      </w:r>
      <w:r w:rsidRPr="00AA2BE5">
        <w:rPr>
          <w:color w:val="000000" w:themeColor="text1"/>
          <w:szCs w:val="28"/>
        </w:rPr>
        <w:t xml:space="preserve"> reģionā.</w:t>
      </w:r>
      <w:r w:rsidRPr="00AA2BE5">
        <w:rPr>
          <w:color w:val="000000" w:themeColor="text1"/>
          <w:szCs w:val="26"/>
        </w:rPr>
        <w:t xml:space="preserve"> Šis apstāklis kopumā</w:t>
      </w:r>
      <w:r>
        <w:rPr>
          <w:color w:val="000000" w:themeColor="text1"/>
          <w:szCs w:val="26"/>
        </w:rPr>
        <w:t xml:space="preserve"> </w:t>
      </w:r>
      <w:r w:rsidRPr="00046D62">
        <w:rPr>
          <w:color w:val="000000" w:themeColor="text1"/>
          <w:szCs w:val="26"/>
        </w:rPr>
        <w:t xml:space="preserve">mazina </w:t>
      </w:r>
      <w:r>
        <w:rPr>
          <w:color w:val="000000" w:themeColor="text1"/>
          <w:szCs w:val="26"/>
        </w:rPr>
        <w:t xml:space="preserve">īpaši </w:t>
      </w:r>
      <w:r w:rsidRPr="00046D62">
        <w:rPr>
          <w:color w:val="000000" w:themeColor="text1"/>
          <w:szCs w:val="26"/>
        </w:rPr>
        <w:t xml:space="preserve">apstrādes rūpniecības attīstības </w:t>
      </w:r>
      <w:r>
        <w:rPr>
          <w:color w:val="000000" w:themeColor="text1"/>
          <w:szCs w:val="26"/>
        </w:rPr>
        <w:t xml:space="preserve">iespējas. </w:t>
      </w:r>
    </w:p>
    <w:p w14:paraId="2B807E6A" w14:textId="77777777" w:rsidR="00EE1CF5" w:rsidRDefault="00EE1CF5" w:rsidP="00EE1CF5">
      <w:pPr>
        <w:keepNext/>
        <w:keepLines/>
        <w:spacing w:before="240"/>
        <w:ind w:firstLine="720"/>
        <w:jc w:val="center"/>
        <w:rPr>
          <w:b/>
        </w:rPr>
      </w:pPr>
      <w:r w:rsidRPr="006A7DE6">
        <w:rPr>
          <w:b/>
        </w:rPr>
        <w:lastRenderedPageBreak/>
        <w:t>Atbalsts elektroenerģijas lietotājiem</w:t>
      </w:r>
    </w:p>
    <w:p w14:paraId="7B7E72E9" w14:textId="77777777" w:rsidR="00EE1CF5" w:rsidRDefault="00EE1CF5" w:rsidP="00EE1CF5">
      <w:pPr>
        <w:keepNext/>
        <w:keepLines/>
        <w:spacing w:before="120"/>
        <w:ind w:firstLine="720"/>
      </w:pPr>
      <w:r w:rsidRPr="00046D62">
        <w:rPr>
          <w:rFonts w:eastAsiaTheme="minorEastAsia"/>
          <w:szCs w:val="28"/>
        </w:rPr>
        <w:t>Saistībā ar ievērojamo OIK pieaugumu, un ņemot vērā vidējās OIK prognozes laika posm</w:t>
      </w:r>
      <w:r>
        <w:rPr>
          <w:rFonts w:eastAsiaTheme="minorEastAsia"/>
          <w:szCs w:val="28"/>
        </w:rPr>
        <w:t>am</w:t>
      </w:r>
      <w:r w:rsidRPr="00046D62">
        <w:rPr>
          <w:rFonts w:eastAsiaTheme="minorEastAsia"/>
          <w:szCs w:val="28"/>
        </w:rPr>
        <w:t xml:space="preserve"> līdz 2025. gadam, sākot ar 2014. gadu OIK elektroenerģijas galalietotājiem tika saglabāta </w:t>
      </w:r>
      <w:r>
        <w:rPr>
          <w:rFonts w:eastAsia="Calibri" w:cs="Times New Roman"/>
          <w:szCs w:val="28"/>
          <w:lang w:eastAsia="lv-LV"/>
        </w:rPr>
        <w:t>26,79 EUR/MWh apmērā, turpmāk veicot ikgadēju izvērtējumu tirgus problemātikas risināšanai, tai skaitā ar EK tika saskaņots OI mehānisms, nodrošinot tā atbilstību ES iekšējam tirgum, ieviešot pārkompensācijas mehānismu.</w:t>
      </w:r>
      <w:r w:rsidRPr="00046D62">
        <w:rPr>
          <w:rFonts w:eastAsia="Times New Roman" w:cs="Times New Roman"/>
          <w:spacing w:val="8"/>
          <w:szCs w:val="26"/>
          <w:lang w:eastAsia="lv-LV"/>
        </w:rPr>
        <w:t xml:space="preserve">  </w:t>
      </w:r>
      <w:r>
        <w:rPr>
          <w:rFonts w:eastAsia="Calibri" w:cs="Times New Roman"/>
          <w:szCs w:val="28"/>
        </w:rPr>
        <w:t>MK</w:t>
      </w:r>
      <w:r w:rsidRPr="00046D62">
        <w:rPr>
          <w:rFonts w:eastAsia="Calibri" w:cs="Times New Roman"/>
          <w:szCs w:val="28"/>
        </w:rPr>
        <w:t xml:space="preserve"> 2017.gada 21.novembrī  nolēm</w:t>
      </w:r>
      <w:r>
        <w:rPr>
          <w:rFonts w:eastAsia="Calibri" w:cs="Times New Roman"/>
          <w:szCs w:val="28"/>
        </w:rPr>
        <w:t>a par 75% samazināt atbalstu AS </w:t>
      </w:r>
      <w:r w:rsidRPr="00046D62">
        <w:rPr>
          <w:rFonts w:eastAsia="Calibri" w:cs="Times New Roman"/>
          <w:szCs w:val="28"/>
        </w:rPr>
        <w:t xml:space="preserve">“Latvenergo” </w:t>
      </w:r>
      <w:r w:rsidRPr="00046D62">
        <w:rPr>
          <w:rFonts w:eastAsia="Times New Roman" w:cs="Times New Roman"/>
          <w:spacing w:val="6"/>
          <w:szCs w:val="28"/>
          <w:lang w:eastAsia="lv-LV"/>
        </w:rPr>
        <w:t>Rīgas TEC-1 un Rīgas TEC-2</w:t>
      </w:r>
      <w:r w:rsidRPr="00046D62">
        <w:rPr>
          <w:rFonts w:eastAsia="Calibri" w:cs="Times New Roman"/>
          <w:szCs w:val="28"/>
        </w:rPr>
        <w:t xml:space="preserve"> stacijām, tādējādi nodrošinot OIK izmaksu samazināšanu līdz </w:t>
      </w:r>
      <w:r w:rsidRPr="00046D62">
        <w:rPr>
          <w:rFonts w:eastAsia="Times New Roman" w:cs="Times New Roman"/>
          <w:spacing w:val="8"/>
          <w:szCs w:val="28"/>
          <w:lang w:eastAsia="lv-LV"/>
        </w:rPr>
        <w:t xml:space="preserve">25,79 EUR/MWh </w:t>
      </w:r>
      <w:r w:rsidRPr="00046D62">
        <w:rPr>
          <w:rFonts w:eastAsia="Calibri" w:cs="Times New Roman"/>
          <w:szCs w:val="28"/>
        </w:rPr>
        <w:t>gan uzņēmumiem, gan mājsaimniecībām ar 2018.gada 1.janvāri.</w:t>
      </w:r>
      <w:r w:rsidRPr="00732786">
        <w:rPr>
          <w:rFonts w:eastAsiaTheme="minorEastAsia"/>
          <w:iCs/>
          <w:szCs w:val="28"/>
        </w:rPr>
        <w:t xml:space="preserve"> </w:t>
      </w:r>
      <w:r>
        <w:rPr>
          <w:rFonts w:eastAsiaTheme="minorEastAsia"/>
          <w:iCs/>
          <w:szCs w:val="28"/>
        </w:rPr>
        <w:t>Savukārt a</w:t>
      </w:r>
      <w:r w:rsidRPr="00046D62">
        <w:rPr>
          <w:rFonts w:eastAsiaTheme="minorEastAsia"/>
          <w:iCs/>
          <w:szCs w:val="28"/>
        </w:rPr>
        <w:t xml:space="preserve">r </w:t>
      </w:r>
      <w:r>
        <w:rPr>
          <w:rFonts w:eastAsiaTheme="minorEastAsia"/>
          <w:iCs/>
          <w:szCs w:val="28"/>
        </w:rPr>
        <w:t>MK</w:t>
      </w:r>
      <w:r w:rsidRPr="00046D62">
        <w:rPr>
          <w:rFonts w:eastAsiaTheme="minorEastAsia"/>
          <w:iCs/>
          <w:szCs w:val="28"/>
        </w:rPr>
        <w:t xml:space="preserve"> 2018.gada 7.maija rīkojumu ir atbalstīta elektroenerģijas kopējās </w:t>
      </w:r>
      <w:r>
        <w:rPr>
          <w:rFonts w:eastAsiaTheme="minorEastAsia"/>
          <w:iCs/>
          <w:szCs w:val="28"/>
        </w:rPr>
        <w:t>OI</w:t>
      </w:r>
      <w:r w:rsidRPr="00046D62">
        <w:rPr>
          <w:rFonts w:eastAsiaTheme="minorEastAsia"/>
          <w:iCs/>
          <w:szCs w:val="28"/>
        </w:rPr>
        <w:t xml:space="preserve"> un jaudas komponentes vidējās vērtības samazināšana no 25,79 </w:t>
      </w:r>
      <w:r w:rsidRPr="00347EA2">
        <w:rPr>
          <w:rFonts w:eastAsiaTheme="minorEastAsia"/>
          <w:iCs/>
          <w:szCs w:val="28"/>
        </w:rPr>
        <w:t>EUR</w:t>
      </w:r>
      <w:r w:rsidRPr="00046D62">
        <w:rPr>
          <w:rFonts w:eastAsiaTheme="minorEastAsia"/>
          <w:iCs/>
          <w:szCs w:val="28"/>
        </w:rPr>
        <w:t>/MWh līdz 22,68 </w:t>
      </w:r>
      <w:r w:rsidRPr="00347EA2">
        <w:rPr>
          <w:rFonts w:eastAsiaTheme="minorEastAsia"/>
          <w:iCs/>
          <w:szCs w:val="28"/>
        </w:rPr>
        <w:t>EUR</w:t>
      </w:r>
      <w:r w:rsidRPr="00046D62">
        <w:rPr>
          <w:rFonts w:eastAsiaTheme="minorEastAsia"/>
          <w:iCs/>
          <w:szCs w:val="28"/>
        </w:rPr>
        <w:t>/MWh</w:t>
      </w:r>
      <w:r>
        <w:rPr>
          <w:rFonts w:eastAsiaTheme="minorEastAsia"/>
          <w:iCs/>
          <w:szCs w:val="28"/>
        </w:rPr>
        <w:t>.</w:t>
      </w:r>
    </w:p>
    <w:p w14:paraId="3D0B3CA5" w14:textId="77777777" w:rsidR="00EE1CF5" w:rsidRDefault="00EE1CF5" w:rsidP="00EE1CF5">
      <w:pPr>
        <w:spacing w:before="120"/>
        <w:ind w:firstLine="851"/>
        <w:rPr>
          <w:rFonts w:eastAsiaTheme="minorEastAsia"/>
          <w:bCs/>
          <w:color w:val="000000" w:themeColor="text1"/>
          <w:szCs w:val="28"/>
        </w:rPr>
      </w:pPr>
      <w:r>
        <w:rPr>
          <w:color w:val="000000" w:themeColor="text1"/>
          <w:szCs w:val="28"/>
        </w:rPr>
        <w:t xml:space="preserve">Tāpat 2018.gadā turpināts sniegt atbalstu energointensīviem </w:t>
      </w:r>
      <w:r w:rsidRPr="00743EE9">
        <w:rPr>
          <w:rFonts w:eastAsiaTheme="minorEastAsia"/>
          <w:bCs/>
          <w:color w:val="000000" w:themeColor="text1"/>
          <w:szCs w:val="28"/>
        </w:rPr>
        <w:t>apstrādes rūpniecības uzņēmumi</w:t>
      </w:r>
      <w:r>
        <w:rPr>
          <w:rFonts w:eastAsiaTheme="minorEastAsia"/>
          <w:bCs/>
          <w:color w:val="000000" w:themeColor="text1"/>
          <w:szCs w:val="28"/>
        </w:rPr>
        <w:t>em, tiem</w:t>
      </w:r>
      <w:r w:rsidRPr="00743EE9">
        <w:rPr>
          <w:rFonts w:eastAsiaTheme="minorEastAsia"/>
          <w:bCs/>
          <w:color w:val="000000" w:themeColor="text1"/>
          <w:szCs w:val="28"/>
        </w:rPr>
        <w:t xml:space="preserve"> iegūst</w:t>
      </w:r>
      <w:r>
        <w:rPr>
          <w:rFonts w:eastAsiaTheme="minorEastAsia"/>
          <w:bCs/>
          <w:color w:val="000000" w:themeColor="text1"/>
          <w:szCs w:val="28"/>
        </w:rPr>
        <w:t>ot</w:t>
      </w:r>
      <w:r w:rsidRPr="00743EE9">
        <w:rPr>
          <w:rFonts w:eastAsiaTheme="minorEastAsia"/>
          <w:bCs/>
          <w:color w:val="000000" w:themeColor="text1"/>
          <w:szCs w:val="28"/>
        </w:rPr>
        <w:t xml:space="preserve"> tiesības uz samazinātu līdzdalību </w:t>
      </w:r>
      <w:r>
        <w:rPr>
          <w:rFonts w:eastAsiaTheme="minorEastAsia"/>
          <w:bCs/>
          <w:color w:val="000000" w:themeColor="text1"/>
          <w:szCs w:val="28"/>
        </w:rPr>
        <w:t>OIK</w:t>
      </w:r>
      <w:r w:rsidRPr="00743EE9">
        <w:rPr>
          <w:rFonts w:eastAsiaTheme="minorEastAsia"/>
          <w:bCs/>
          <w:color w:val="000000" w:themeColor="text1"/>
          <w:szCs w:val="28"/>
        </w:rPr>
        <w:t xml:space="preserve"> maksāju</w:t>
      </w:r>
      <w:r>
        <w:rPr>
          <w:rFonts w:eastAsiaTheme="minorEastAsia"/>
          <w:bCs/>
          <w:color w:val="000000" w:themeColor="text1"/>
          <w:szCs w:val="28"/>
        </w:rPr>
        <w:t>mā. Atbalsta iespējas energointensīviem apstrādes rūpniecības uzņēmumiem tiks nodrošinātas līdz 2020.gadam, ieskaitot.</w:t>
      </w:r>
    </w:p>
    <w:p w14:paraId="73226446" w14:textId="77777777" w:rsidR="00EE1CF5" w:rsidRDefault="00EE1CF5" w:rsidP="00EE1CF5">
      <w:pPr>
        <w:spacing w:before="120"/>
        <w:ind w:firstLine="720"/>
      </w:pPr>
      <w:r w:rsidRPr="00B81392">
        <w:rPr>
          <w:szCs w:val="26"/>
        </w:rPr>
        <w:t>Pateicoties ai</w:t>
      </w:r>
      <w:r>
        <w:rPr>
          <w:szCs w:val="26"/>
        </w:rPr>
        <w:t>zsargātā lietotāja instrumentam</w:t>
      </w:r>
      <w:r w:rsidRPr="00B81392">
        <w:rPr>
          <w:szCs w:val="26"/>
        </w:rPr>
        <w:t xml:space="preserve"> Latvijā sociāli maz</w:t>
      </w:r>
      <w:r>
        <w:rPr>
          <w:szCs w:val="26"/>
        </w:rPr>
        <w:t xml:space="preserve">āk </w:t>
      </w:r>
      <w:r w:rsidRPr="00B81392">
        <w:rPr>
          <w:szCs w:val="26"/>
        </w:rPr>
        <w:t>aizsargāt</w:t>
      </w:r>
      <w:r>
        <w:rPr>
          <w:szCs w:val="26"/>
        </w:rPr>
        <w:t>a</w:t>
      </w:r>
      <w:r w:rsidRPr="00B81392">
        <w:rPr>
          <w:szCs w:val="26"/>
        </w:rPr>
        <w:t xml:space="preserve">jai iedzīvotāju daļai </w:t>
      </w:r>
      <w:r>
        <w:rPr>
          <w:szCs w:val="26"/>
        </w:rPr>
        <w:t>tiek rasti valsts budžeta līdzekļi elektroenerģijas kopējo izmaksu samazināšanai. T</w:t>
      </w:r>
      <w:r w:rsidRPr="00B81392">
        <w:rPr>
          <w:szCs w:val="26"/>
        </w:rPr>
        <w:t xml:space="preserve">ādējādi </w:t>
      </w:r>
      <w:r>
        <w:rPr>
          <w:szCs w:val="26"/>
        </w:rPr>
        <w:t xml:space="preserve">tiek </w:t>
      </w:r>
      <w:r w:rsidRPr="00B81392">
        <w:rPr>
          <w:szCs w:val="26"/>
        </w:rPr>
        <w:t>samazin</w:t>
      </w:r>
      <w:r>
        <w:rPr>
          <w:szCs w:val="26"/>
        </w:rPr>
        <w:t>āti</w:t>
      </w:r>
      <w:r w:rsidRPr="00B81392">
        <w:rPr>
          <w:szCs w:val="26"/>
        </w:rPr>
        <w:t xml:space="preserve"> enerģētiskās nabadzības risk</w:t>
      </w:r>
      <w:r>
        <w:rPr>
          <w:szCs w:val="26"/>
        </w:rPr>
        <w:t>i</w:t>
      </w:r>
      <w:r w:rsidRPr="00B81392">
        <w:rPr>
          <w:szCs w:val="26"/>
        </w:rPr>
        <w:t>s</w:t>
      </w:r>
      <w:r>
        <w:t xml:space="preserve">. </w:t>
      </w:r>
      <w:r>
        <w:rPr>
          <w:szCs w:val="26"/>
        </w:rPr>
        <w:t xml:space="preserve">Kaut gan aizsargātā lietotāja atbalsta instruments ir nozīmīgs sociālos riskus mazinošs rīks, tā šī brīža izpildījums ir smagnējs, tādējādi tikai daļēji sasniedzot savu mērķi. </w:t>
      </w:r>
      <w:r>
        <w:t xml:space="preserve">Tāpēc, lai risinātu līdzšinējās atbalsta sistēmas trūkumus EM ieskatā ir jāvērtē iespēja pārskatīt aizsargātā lietotāja atbalsta modeli. </w:t>
      </w:r>
    </w:p>
    <w:p w14:paraId="096DC592" w14:textId="77777777" w:rsidR="00EE1CF5" w:rsidRDefault="00EE1CF5" w:rsidP="00EE1CF5">
      <w:pPr>
        <w:spacing w:before="240"/>
        <w:jc w:val="center"/>
        <w:rPr>
          <w:b/>
        </w:rPr>
      </w:pPr>
      <w:r w:rsidRPr="006A7DE6">
        <w:rPr>
          <w:b/>
        </w:rPr>
        <w:t>Valsts pētījumu programma enerģētikā</w:t>
      </w:r>
    </w:p>
    <w:p w14:paraId="53413A7E" w14:textId="77777777" w:rsidR="00EE1CF5" w:rsidRPr="004F0B7F" w:rsidRDefault="00EE1CF5" w:rsidP="00EE1CF5">
      <w:pPr>
        <w:spacing w:before="120"/>
        <w:ind w:firstLine="720"/>
        <w:rPr>
          <w:szCs w:val="26"/>
        </w:rPr>
      </w:pPr>
      <w:r w:rsidRPr="00281FC8">
        <w:rPr>
          <w:rFonts w:cs="Times New Roman"/>
          <w:szCs w:val="26"/>
        </w:rPr>
        <w:t>Ņemot vērā izveidoto tiesisko ietvaru, ar MK</w:t>
      </w:r>
      <w:r>
        <w:rPr>
          <w:rFonts w:cs="Times New Roman"/>
          <w:szCs w:val="26"/>
        </w:rPr>
        <w:t xml:space="preserve"> 2018.gada 25.septembra</w:t>
      </w:r>
      <w:r w:rsidRPr="00281FC8">
        <w:rPr>
          <w:rFonts w:cs="Times New Roman"/>
          <w:szCs w:val="26"/>
        </w:rPr>
        <w:t xml:space="preserve"> rīkojumu </w:t>
      </w:r>
      <w:r>
        <w:rPr>
          <w:rFonts w:cs="Times New Roman"/>
          <w:szCs w:val="26"/>
        </w:rPr>
        <w:t>ir</w:t>
      </w:r>
      <w:r w:rsidRPr="00281FC8">
        <w:rPr>
          <w:rFonts w:cs="Times New Roman"/>
          <w:szCs w:val="26"/>
        </w:rPr>
        <w:t xml:space="preserve"> izveidot</w:t>
      </w:r>
      <w:r>
        <w:rPr>
          <w:rFonts w:cs="Times New Roman"/>
          <w:szCs w:val="26"/>
        </w:rPr>
        <w:t>a</w:t>
      </w:r>
      <w:r w:rsidRPr="00281FC8">
        <w:rPr>
          <w:rFonts w:cs="Times New Roman"/>
          <w:szCs w:val="26"/>
        </w:rPr>
        <w:t xml:space="preserve"> valsts pētījumu programm</w:t>
      </w:r>
      <w:r>
        <w:rPr>
          <w:rFonts w:cs="Times New Roman"/>
          <w:szCs w:val="26"/>
        </w:rPr>
        <w:t>a</w:t>
      </w:r>
      <w:r w:rsidRPr="00281FC8">
        <w:rPr>
          <w:rFonts w:cs="Times New Roman"/>
          <w:szCs w:val="26"/>
        </w:rPr>
        <w:t xml:space="preserve"> “Enerģētika”, tās ietvaros nodrošinot pētniecības finansējumu ar </w:t>
      </w:r>
      <w:r>
        <w:rPr>
          <w:rFonts w:eastAsia="Calibri" w:cs="Times New Roman"/>
          <w:szCs w:val="28"/>
        </w:rPr>
        <w:t>MK 2017. gada 22.septembra rīkojumu Nr.</w:t>
      </w:r>
      <w:r w:rsidRPr="00046D62">
        <w:rPr>
          <w:rFonts w:eastAsia="Calibri" w:cs="Times New Roman"/>
          <w:szCs w:val="28"/>
        </w:rPr>
        <w:t>530 “Par konceptuālo ziņojumu “Kompleksi pasākumi elektroenerģijas tirgus attīstībai””</w:t>
      </w:r>
      <w:r>
        <w:rPr>
          <w:rFonts w:eastAsia="Calibri" w:cs="Times New Roman"/>
          <w:szCs w:val="28"/>
          <w:vertAlign w:val="superscript"/>
        </w:rPr>
        <w:footnoteReference w:id="4"/>
      </w:r>
      <w:r w:rsidRPr="00046D62">
        <w:rPr>
          <w:rFonts w:eastAsia="Calibri" w:cs="Times New Roman"/>
          <w:szCs w:val="28"/>
        </w:rPr>
        <w:t xml:space="preserve"> </w:t>
      </w:r>
      <w:r>
        <w:rPr>
          <w:rFonts w:eastAsia="Calibri" w:cs="Times New Roman"/>
          <w:szCs w:val="28"/>
        </w:rPr>
        <w:t xml:space="preserve">(turpmāk – MK rīkojums Nr.30) </w:t>
      </w:r>
      <w:r w:rsidRPr="00281FC8">
        <w:rPr>
          <w:rFonts w:cs="Times New Roman"/>
          <w:szCs w:val="26"/>
        </w:rPr>
        <w:t>apstiprinātajā konceptuālajā ziņojumā ietvertajiem tematiskajiem j</w:t>
      </w:r>
      <w:r w:rsidRPr="004F0B7F">
        <w:rPr>
          <w:szCs w:val="26"/>
        </w:rPr>
        <w:t>autājumiem, t.sk. izdalot vairākus pētniecības blokus attiecībā uz Latvijas Nacionālā Enerģētikas un klimata plāna 2021.-2030.gadam izstrādi un tā īstenošanas nodrošināšanu, energoefektivitāti, tirgus un infrastruktūras jautājumiem, kā arī vietējiem energoresursiem un AER.</w:t>
      </w:r>
    </w:p>
    <w:p w14:paraId="086DE66B" w14:textId="77777777" w:rsidR="00EE1CF5" w:rsidRPr="004F0B7F" w:rsidRDefault="00EE1CF5" w:rsidP="00EE1CF5">
      <w:pPr>
        <w:spacing w:before="120"/>
        <w:ind w:firstLine="720"/>
        <w:rPr>
          <w:szCs w:val="26"/>
        </w:rPr>
      </w:pPr>
      <w:r w:rsidRPr="004F0B7F">
        <w:rPr>
          <w:szCs w:val="26"/>
        </w:rPr>
        <w:t xml:space="preserve">Ņemot vērā </w:t>
      </w:r>
      <w:r>
        <w:rPr>
          <w:szCs w:val="26"/>
        </w:rPr>
        <w:t>identificētās pētniecības vajadzības, arī nākamajā vidēja termiņa budžeta plānošanas perioda ietvaros ir nodrošināms finansējums valsts pētījumu programmas “Enerģētika” finansēšanai.</w:t>
      </w:r>
    </w:p>
    <w:p w14:paraId="7B2D46E6" w14:textId="77777777" w:rsidR="00EE1CF5" w:rsidRPr="007643E5" w:rsidRDefault="00EE1CF5" w:rsidP="00EE1CF5">
      <w:pPr>
        <w:spacing w:before="240"/>
        <w:jc w:val="center"/>
        <w:rPr>
          <w:b/>
        </w:rPr>
      </w:pPr>
      <w:r w:rsidRPr="007643E5">
        <w:rPr>
          <w:b/>
        </w:rPr>
        <w:t>OIK maksājumu samazināšana un OIK atcelšana</w:t>
      </w:r>
    </w:p>
    <w:p w14:paraId="1305CFF5" w14:textId="77777777" w:rsidR="00EE1CF5" w:rsidRPr="007643E5" w:rsidRDefault="00EE1CF5" w:rsidP="00EE1CF5">
      <w:pPr>
        <w:spacing w:before="120"/>
        <w:ind w:firstLine="720"/>
      </w:pPr>
      <w:r>
        <w:t>Šajā Ziņojumā p</w:t>
      </w:r>
      <w:r w:rsidRPr="007643E5">
        <w:t>iedāvāt</w:t>
      </w:r>
      <w:r>
        <w:t>ais</w:t>
      </w:r>
      <w:r w:rsidRPr="007643E5">
        <w:t xml:space="preserve"> risinājum</w:t>
      </w:r>
      <w:r>
        <w:t>s</w:t>
      </w:r>
      <w:r w:rsidRPr="007643E5">
        <w:t xml:space="preserve"> elektroenerģijas obligātā iepirkuma sloga samazināšanai ietver gan tādus pasākumus, kas </w:t>
      </w:r>
      <w:r>
        <w:t>īstenojami</w:t>
      </w:r>
      <w:r w:rsidRPr="007643E5">
        <w:t xml:space="preserve"> īstermiņā, gan tādus, kas paredz </w:t>
      </w:r>
      <w:r>
        <w:t xml:space="preserve">līdz pārejas perioda beigām </w:t>
      </w:r>
      <w:r w:rsidRPr="007643E5">
        <w:t>atteikšanos no pašreizējā OI mehānisma</w:t>
      </w:r>
      <w:r>
        <w:t>, to aizstājot ar piemaksu virs elektroenerģijas tirgus cenas</w:t>
      </w:r>
      <w:r w:rsidRPr="007643E5">
        <w:t xml:space="preserve">. </w:t>
      </w:r>
    </w:p>
    <w:p w14:paraId="61079AC8" w14:textId="77777777" w:rsidR="00EE1CF5" w:rsidRPr="007643E5" w:rsidRDefault="00EE1CF5" w:rsidP="00EE1CF5">
      <w:pPr>
        <w:spacing w:before="120"/>
        <w:ind w:firstLine="720"/>
        <w:rPr>
          <w:szCs w:val="26"/>
        </w:rPr>
      </w:pPr>
      <w:r w:rsidRPr="007643E5">
        <w:rPr>
          <w:szCs w:val="26"/>
        </w:rPr>
        <w:lastRenderedPageBreak/>
        <w:t xml:space="preserve">Ievērojot starptautiskajos pētījumos norādīto par pēdējos gados uzstādīto </w:t>
      </w:r>
      <w:r>
        <w:rPr>
          <w:szCs w:val="26"/>
        </w:rPr>
        <w:t>VES</w:t>
      </w:r>
      <w:r w:rsidRPr="007643E5">
        <w:rPr>
          <w:szCs w:val="26"/>
        </w:rPr>
        <w:t xml:space="preserve"> elektroenerģijas ražošanas izmaksām un kaimiņvalstu pieredzi ar šāda veida projektiem, kā arī</w:t>
      </w:r>
      <w:r>
        <w:rPr>
          <w:szCs w:val="26"/>
        </w:rPr>
        <w:t>,</w:t>
      </w:r>
      <w:r w:rsidRPr="007643E5">
        <w:rPr>
          <w:szCs w:val="26"/>
        </w:rPr>
        <w:t xml:space="preserve"> izmantojot normatīvajos aktos noteikto, ka </w:t>
      </w:r>
      <w:r>
        <w:rPr>
          <w:szCs w:val="26"/>
        </w:rPr>
        <w:t>EM</w:t>
      </w:r>
      <w:r w:rsidRPr="007643E5">
        <w:rPr>
          <w:szCs w:val="26"/>
        </w:rPr>
        <w:t xml:space="preserve"> var ierosināt pārskatīt elektroenerģijas ražošanas atbalsta formulu pamatotību, tiek piedāvāts veikt grozījumus normatīvajos aktos, samazinot </w:t>
      </w:r>
      <w:r w:rsidRPr="007643E5">
        <w:rPr>
          <w:b/>
          <w:szCs w:val="26"/>
        </w:rPr>
        <w:t xml:space="preserve">atbalsta apmēru </w:t>
      </w:r>
      <w:r>
        <w:rPr>
          <w:szCs w:val="26"/>
        </w:rPr>
        <w:t>VES</w:t>
      </w:r>
      <w:r w:rsidRPr="007643E5">
        <w:rPr>
          <w:szCs w:val="26"/>
        </w:rPr>
        <w:t xml:space="preserve"> projektiem, kas ekspluatāciju uzsākuši no 2018.gada, elektroenerģijas iepirkuma cenai piemērojot koeficientu 0,</w:t>
      </w:r>
      <w:r>
        <w:rPr>
          <w:szCs w:val="26"/>
        </w:rPr>
        <w:t>85</w:t>
      </w:r>
      <w:r w:rsidRPr="007643E5">
        <w:rPr>
          <w:szCs w:val="26"/>
        </w:rPr>
        <w:t xml:space="preserve">. </w:t>
      </w:r>
    </w:p>
    <w:p w14:paraId="7BC9CE02" w14:textId="77777777" w:rsidR="00EE1CF5" w:rsidRPr="007643E5" w:rsidRDefault="00EE1CF5" w:rsidP="00EE1CF5">
      <w:pPr>
        <w:spacing w:before="120"/>
        <w:ind w:firstLine="720"/>
      </w:pPr>
      <w:r w:rsidRPr="007643E5">
        <w:rPr>
          <w:szCs w:val="26"/>
        </w:rPr>
        <w:t>Risinājums paredz pilnveidot OI mehānismā ietverto elektrostaciju</w:t>
      </w:r>
      <w:r w:rsidRPr="007643E5">
        <w:rPr>
          <w:b/>
          <w:szCs w:val="26"/>
        </w:rPr>
        <w:t xml:space="preserve"> kopējo kapitālieguldījumu </w:t>
      </w:r>
      <w:r w:rsidRPr="000E18E3">
        <w:rPr>
          <w:b/>
          <w:szCs w:val="26"/>
        </w:rPr>
        <w:t>IRR</w:t>
      </w:r>
      <w:r w:rsidRPr="007643E5">
        <w:rPr>
          <w:szCs w:val="26"/>
        </w:rPr>
        <w:t xml:space="preserve"> aprēķināšanas metodiku un piemērošanas kārtību. Izmaiņas paredzētas, lai pilnveidotu mehānismu un novērstu elektrostaciju, kas pārdod elektroenerģiju </w:t>
      </w:r>
      <w:r>
        <w:rPr>
          <w:szCs w:val="26"/>
        </w:rPr>
        <w:t>OI</w:t>
      </w:r>
      <w:r w:rsidRPr="007643E5">
        <w:rPr>
          <w:szCs w:val="26"/>
        </w:rPr>
        <w:t xml:space="preserve"> </w:t>
      </w:r>
      <w:r>
        <w:rPr>
          <w:szCs w:val="26"/>
        </w:rPr>
        <w:t xml:space="preserve">mehānisma </w:t>
      </w:r>
      <w:r w:rsidRPr="007643E5">
        <w:rPr>
          <w:szCs w:val="26"/>
        </w:rPr>
        <w:t xml:space="preserve">ietvaros vai saņem garantētu maksu par elektrostacijā uzstādīto elektrisko jaudu, pārkompensāciju. Plānotās izmaiņas ietver kopējo kapitālieguldījumu IRR </w:t>
      </w:r>
      <w:r w:rsidRPr="007643E5">
        <w:t>aprēķinā iekļautu vēsturisko atbalstu</w:t>
      </w:r>
      <w:r w:rsidRPr="007643E5">
        <w:rPr>
          <w:szCs w:val="26"/>
        </w:rPr>
        <w:t>, a</w:t>
      </w:r>
      <w:r w:rsidRPr="007643E5">
        <w:t>prēķina veikšanu tām stacijām, kurām tas pašlaik netiek veikts, aprēķinā izmantojamo līmeņatzīmju pārskatīšana un atcelt tiesības iesniegt zvērināta revidenta apstiprinātu aprēķinu</w:t>
      </w:r>
      <w:r>
        <w:t>, ņemot vērā tā trūkumus</w:t>
      </w:r>
      <w:r w:rsidRPr="007643E5">
        <w:t>.</w:t>
      </w:r>
    </w:p>
    <w:p w14:paraId="07F11D63" w14:textId="77777777" w:rsidR="00EE1CF5" w:rsidRPr="007643E5" w:rsidRDefault="00EE1CF5" w:rsidP="00EE1CF5">
      <w:pPr>
        <w:spacing w:before="120"/>
        <w:ind w:firstLine="720"/>
      </w:pPr>
      <w:r w:rsidRPr="007643E5">
        <w:t xml:space="preserve">Tāpat paredzēts noteikt pienākumu komersantam </w:t>
      </w:r>
      <w:r w:rsidRPr="007643E5">
        <w:rPr>
          <w:b/>
        </w:rPr>
        <w:t>biogāzes ražošanas</w:t>
      </w:r>
      <w:r w:rsidRPr="007643E5">
        <w:t xml:space="preserve"> iekārtā kā pamat</w:t>
      </w:r>
      <w:r>
        <w:t xml:space="preserve">a </w:t>
      </w:r>
      <w:r w:rsidRPr="007643E5">
        <w:t>izejvielu biogāzes ražošanai izmantot noteiktu apjomu pārtikas atkritumu un citu organiskas izcelsmes atkritumu un ražošanas atlikumproduktus, lopkopības un putnkopības atlikumproduktus, kā arī pārtikas rūpniecības uzņēmumu notekūdeņus un ražošanas atlikumproduktus</w:t>
      </w:r>
      <w:r>
        <w:t xml:space="preserve"> u.tml</w:t>
      </w:r>
      <w:r w:rsidRPr="007643E5">
        <w:t>.</w:t>
      </w:r>
    </w:p>
    <w:p w14:paraId="48011FC7" w14:textId="77777777" w:rsidR="00EE1CF5" w:rsidRPr="007643E5" w:rsidRDefault="00EE1CF5" w:rsidP="00EE1CF5">
      <w:pPr>
        <w:spacing w:before="120"/>
      </w:pPr>
      <w:r w:rsidRPr="007643E5">
        <w:tab/>
        <w:t xml:space="preserve">Lai nodrošinātu OIK maksājuma atcelšanu </w:t>
      </w:r>
      <w:r>
        <w:t>lietotājiem</w:t>
      </w:r>
      <w:r w:rsidRPr="007643E5">
        <w:t xml:space="preserve">, vienlaikus pēc iespējas ņemot vērā uzņemtās valsts saistības pret ražotājiem un nodrošinot valstij izvirzīto </w:t>
      </w:r>
      <w:r>
        <w:t xml:space="preserve">enerģētikas </w:t>
      </w:r>
      <w:r w:rsidRPr="007643E5">
        <w:t xml:space="preserve">mērķu sasniegšanu, tiek piedāvāts </w:t>
      </w:r>
      <w:r>
        <w:t xml:space="preserve">ar 2022.gadu </w:t>
      </w:r>
      <w:r w:rsidRPr="007643E5">
        <w:rPr>
          <w:b/>
        </w:rPr>
        <w:t xml:space="preserve">atcelt </w:t>
      </w:r>
      <w:r>
        <w:rPr>
          <w:b/>
        </w:rPr>
        <w:t xml:space="preserve">esošo </w:t>
      </w:r>
      <w:r w:rsidRPr="007643E5">
        <w:rPr>
          <w:b/>
        </w:rPr>
        <w:t>OI mehānismu, vienlaikus</w:t>
      </w:r>
      <w:r>
        <w:rPr>
          <w:b/>
        </w:rPr>
        <w:t xml:space="preserve"> ieviešot</w:t>
      </w:r>
      <w:r w:rsidRPr="007643E5">
        <w:rPr>
          <w:b/>
        </w:rPr>
        <w:t xml:space="preserve"> </w:t>
      </w:r>
      <w:r w:rsidRPr="000E18E3">
        <w:rPr>
          <w:b/>
          <w:i/>
        </w:rPr>
        <w:t>feed-in premium</w:t>
      </w:r>
      <w:r w:rsidRPr="007643E5">
        <w:rPr>
          <w:b/>
        </w:rPr>
        <w:t xml:space="preserve"> mehānismu</w:t>
      </w:r>
      <w:r w:rsidRPr="007643E5">
        <w:t xml:space="preserve"> jeb </w:t>
      </w:r>
      <w:r>
        <w:t xml:space="preserve">atcelt publiskā tirgotāja </w:t>
      </w:r>
      <w:r w:rsidRPr="007643E5">
        <w:t xml:space="preserve">pienākumu </w:t>
      </w:r>
      <w:r>
        <w:t xml:space="preserve">iepirkt elektroenerģiju no komersantiem, kas saņēmuši tiesības OI mehānisma ietvaros, tā vietā paredzot veikt </w:t>
      </w:r>
      <w:r w:rsidRPr="0057755B">
        <w:t xml:space="preserve">atbalsta </w:t>
      </w:r>
      <w:r>
        <w:t>maksājumus minimāli nepieciešamā apjomā virs tirgus cenas.</w:t>
      </w:r>
      <w:r w:rsidRPr="007643E5">
        <w:t xml:space="preserve"> </w:t>
      </w:r>
    </w:p>
    <w:p w14:paraId="6E2CF3B3" w14:textId="77777777" w:rsidR="00EE1CF5" w:rsidRDefault="00EE1CF5" w:rsidP="00EE1CF5">
      <w:pPr>
        <w:spacing w:before="120"/>
      </w:pPr>
      <w:r w:rsidRPr="007643E5">
        <w:tab/>
      </w:r>
      <w:r w:rsidRPr="00677C5C">
        <w:rPr>
          <w:b/>
        </w:rPr>
        <w:t>P</w:t>
      </w:r>
      <w:r w:rsidRPr="007643E5">
        <w:rPr>
          <w:b/>
        </w:rPr>
        <w:t>iemaksas noteikšanu virs elektroenerģijas tirgus cenas</w:t>
      </w:r>
      <w:r w:rsidRPr="007643E5">
        <w:t xml:space="preserve"> ļau</w:t>
      </w:r>
      <w:r>
        <w:t>s</w:t>
      </w:r>
      <w:r w:rsidRPr="007643E5">
        <w:t xml:space="preserve"> samazināt izmaksātā atbalsta apmēru un veicinātu uz tirgus principiem balstītu ražotāju rīcību.</w:t>
      </w:r>
    </w:p>
    <w:p w14:paraId="4D8E1522" w14:textId="77777777" w:rsidR="00EE1CF5" w:rsidRPr="007D410B" w:rsidRDefault="00EE1CF5" w:rsidP="00EE1CF5">
      <w:pPr>
        <w:spacing w:before="120"/>
        <w:ind w:firstLine="720"/>
        <w:rPr>
          <w:b/>
        </w:rPr>
      </w:pPr>
      <w:r w:rsidRPr="007C1565">
        <w:rPr>
          <w:rFonts w:eastAsia="Times New Roman" w:cs="Times New Roman"/>
          <w:szCs w:val="26"/>
        </w:rPr>
        <w:t xml:space="preserve">Lai mazinātu OIK slogu sabiedrībai un elektroenerģijas lietotājiem nebūtu jāturpina segt izmaksas, kas radušās par atbalsta sniegšanu elektroenerģijas ražošanai no fosilajiem un importētajiem energoresursiem, </w:t>
      </w:r>
      <w:r w:rsidRPr="007C1565">
        <w:rPr>
          <w:rFonts w:eastAsia="Times New Roman" w:cs="Times New Roman"/>
          <w:b/>
          <w:szCs w:val="26"/>
        </w:rPr>
        <w:t>tiek piedāvāts izmaksas, kas radušās par atbalsta sniegšanu elektroenerģijas ražošanai no dabasgāzes, izņemot attiecībā uz sistēmiski svarīgām stacijām, ar 2022. gadu segt no valsts budžeta līdzekļiem</w:t>
      </w:r>
      <w:r w:rsidRPr="007C1565">
        <w:rPr>
          <w:rFonts w:eastAsia="Times New Roman" w:cs="Times New Roman"/>
          <w:szCs w:val="26"/>
        </w:rPr>
        <w:t>.</w:t>
      </w:r>
      <w:r>
        <w:rPr>
          <w:rFonts w:eastAsia="Times New Roman" w:cs="Times New Roman"/>
          <w:szCs w:val="26"/>
        </w:rPr>
        <w:t xml:space="preserve"> Vienlaikus nepieciešams </w:t>
      </w:r>
      <w:r w:rsidRPr="007D410B">
        <w:rPr>
          <w:rFonts w:eastAsia="Times New Roman" w:cs="Times New Roman"/>
          <w:b/>
          <w:szCs w:val="26"/>
        </w:rPr>
        <w:t xml:space="preserve">papildu izvērtējums par iespējamu atbalsta pārtraukšanu dabasgāzes stacijām ar uzstādīto elektrisko jaudu </w:t>
      </w:r>
      <w:r>
        <w:rPr>
          <w:rFonts w:eastAsia="Times New Roman" w:cs="Times New Roman"/>
          <w:b/>
          <w:szCs w:val="26"/>
        </w:rPr>
        <w:t>līdz</w:t>
      </w:r>
      <w:r w:rsidRPr="007D410B">
        <w:rPr>
          <w:rFonts w:eastAsia="Times New Roman" w:cs="Times New Roman"/>
          <w:b/>
          <w:szCs w:val="26"/>
        </w:rPr>
        <w:t xml:space="preserve"> 100 MW.</w:t>
      </w:r>
    </w:p>
    <w:p w14:paraId="5ECDA3F9" w14:textId="77777777" w:rsidR="00EE1CF5" w:rsidRDefault="00EE1CF5" w:rsidP="00EE1CF5">
      <w:pPr>
        <w:spacing w:before="120"/>
        <w:ind w:firstLine="720"/>
      </w:pPr>
      <w:r>
        <w:t xml:space="preserve">Ņemot vērā AER nozari pārstāvošo institūciju izrādīto interesi, EM varētu piedāvāt </w:t>
      </w:r>
      <w:r w:rsidRPr="00192CD8">
        <w:rPr>
          <w:b/>
        </w:rPr>
        <w:t>brīvprātīgu atteikšanos no elektroenerģijas OI vai garantētās maksas trīs gadu laikā</w:t>
      </w:r>
      <w:r>
        <w:t>, sākot ar gadu, kad saskaņā ar šajā ziņojumā iekļauto risinājumu</w:t>
      </w:r>
      <w:r w:rsidRPr="00990A44">
        <w:t xml:space="preserve"> </w:t>
      </w:r>
      <w:r>
        <w:t xml:space="preserve">tiks veikts kopējo kapitālieguldījumu iekšējās peļņas normas aprēķins. </w:t>
      </w:r>
    </w:p>
    <w:p w14:paraId="12187382" w14:textId="77777777" w:rsidR="00EE1CF5" w:rsidRPr="000F311A" w:rsidRDefault="00EE1CF5" w:rsidP="00EE1CF5">
      <w:pPr>
        <w:spacing w:before="120"/>
        <w:ind w:firstLine="720"/>
      </w:pPr>
      <w:r>
        <w:t xml:space="preserve">Tāpat atbildīgajām ministrijām jāstrādā pie risinājuma </w:t>
      </w:r>
      <w:r w:rsidRPr="000F311A">
        <w:rPr>
          <w:b/>
        </w:rPr>
        <w:t>biogāzes staciju</w:t>
      </w:r>
      <w:r>
        <w:t xml:space="preserve"> </w:t>
      </w:r>
      <w:r w:rsidRPr="00495E6F">
        <w:rPr>
          <w:b/>
        </w:rPr>
        <w:t>pārieša</w:t>
      </w:r>
      <w:r>
        <w:rPr>
          <w:b/>
        </w:rPr>
        <w:t>nai</w:t>
      </w:r>
      <w:r w:rsidRPr="00495E6F">
        <w:rPr>
          <w:b/>
        </w:rPr>
        <w:t xml:space="preserve"> no elektroenerģijas ražošanas OI mehānisma ietvaros uz biometāna ražošanu</w:t>
      </w:r>
      <w:r>
        <w:rPr>
          <w:b/>
        </w:rPr>
        <w:t xml:space="preserve">, dabas resursu nodokļa pārskatīšanas mazajām hidroelektrostacijām </w:t>
      </w:r>
      <w:r w:rsidRPr="000F311A">
        <w:t xml:space="preserve">un </w:t>
      </w:r>
      <w:r w:rsidRPr="007113EB">
        <w:rPr>
          <w:b/>
        </w:rPr>
        <w:t>izmaiņ</w:t>
      </w:r>
      <w:r>
        <w:rPr>
          <w:b/>
        </w:rPr>
        <w:t>ām</w:t>
      </w:r>
      <w:r w:rsidRPr="007113EB">
        <w:rPr>
          <w:b/>
        </w:rPr>
        <w:t xml:space="preserve"> teritorijas plānošanas nosacījumos </w:t>
      </w:r>
      <w:r w:rsidRPr="000F311A">
        <w:t>nolūkā sekmēt tālāku vēja enerģijas attīstību.</w:t>
      </w:r>
    </w:p>
    <w:p w14:paraId="4F13F2DB" w14:textId="77777777" w:rsidR="00EE1CF5" w:rsidRDefault="00EE1CF5" w:rsidP="00EE1CF5">
      <w:pPr>
        <w:spacing w:before="240"/>
        <w:jc w:val="center"/>
        <w:rPr>
          <w:b/>
        </w:rPr>
      </w:pPr>
    </w:p>
    <w:p w14:paraId="4B5890FA" w14:textId="77777777" w:rsidR="00EE1CF5" w:rsidRPr="007643E5" w:rsidRDefault="00EE1CF5" w:rsidP="00EE1CF5">
      <w:pPr>
        <w:spacing w:before="240"/>
        <w:jc w:val="center"/>
        <w:rPr>
          <w:b/>
          <w:webHidden/>
        </w:rPr>
      </w:pPr>
      <w:r w:rsidRPr="007643E5">
        <w:rPr>
          <w:b/>
        </w:rPr>
        <w:t>Citi pasākumi OI mehānisma sistēmas sakārtošanai un uzraudzībai</w:t>
      </w:r>
    </w:p>
    <w:p w14:paraId="1FBEA35C" w14:textId="77777777" w:rsidR="00EE1CF5" w:rsidRDefault="00EE1CF5" w:rsidP="00EE1CF5">
      <w:pPr>
        <w:spacing w:before="120"/>
        <w:rPr>
          <w:szCs w:val="26"/>
        </w:rPr>
      </w:pPr>
      <w:r w:rsidRPr="007643E5">
        <w:rPr>
          <w:webHidden/>
        </w:rPr>
        <w:tab/>
      </w:r>
      <w:r w:rsidRPr="007643E5">
        <w:rPr>
          <w:szCs w:val="26"/>
        </w:rPr>
        <w:t xml:space="preserve">Lai ierobežotu kopējo elektroenerģijas gala lietotāju OI izmaksu apjomu tādā apmērā, lai tam būtu pieņemama ietekme uz tautsaimniecības attīstību un </w:t>
      </w:r>
      <w:r>
        <w:rPr>
          <w:szCs w:val="26"/>
        </w:rPr>
        <w:t>lietotāju</w:t>
      </w:r>
      <w:r w:rsidRPr="007643E5">
        <w:rPr>
          <w:szCs w:val="26"/>
        </w:rPr>
        <w:t xml:space="preserve"> izmaksām, nepieciešams noteikt </w:t>
      </w:r>
      <w:r w:rsidRPr="007643E5">
        <w:rPr>
          <w:b/>
          <w:szCs w:val="26"/>
        </w:rPr>
        <w:t>AER veicināšanas un atbalsta politikas izmaksu disciplīnas principus un nosacījumus</w:t>
      </w:r>
      <w:r w:rsidRPr="007643E5">
        <w:rPr>
          <w:szCs w:val="26"/>
        </w:rPr>
        <w:t>. Izmaksām par</w:t>
      </w:r>
      <w:r w:rsidRPr="00902005">
        <w:rPr>
          <w:szCs w:val="26"/>
        </w:rPr>
        <w:t xml:space="preserve"> no AER iegūtas </w:t>
      </w:r>
      <w:r>
        <w:rPr>
          <w:szCs w:val="26"/>
        </w:rPr>
        <w:t>ene</w:t>
      </w:r>
      <w:r w:rsidRPr="00902005">
        <w:rPr>
          <w:szCs w:val="26"/>
        </w:rPr>
        <w:t xml:space="preserve">rģijas ražošanas veicināšanu, </w:t>
      </w:r>
      <w:r>
        <w:rPr>
          <w:szCs w:val="26"/>
        </w:rPr>
        <w:t xml:space="preserve">kā arī sistēmiski nozīmīgo elektrostaciju darbības nodrošināšanu, </w:t>
      </w:r>
      <w:r w:rsidRPr="00902005">
        <w:rPr>
          <w:iCs/>
          <w:szCs w:val="26"/>
        </w:rPr>
        <w:t>īstenojot nākotnes enerģētikas atbalsta politiku</w:t>
      </w:r>
      <w:r w:rsidRPr="00902005">
        <w:rPr>
          <w:iCs/>
        </w:rPr>
        <w:t>,</w:t>
      </w:r>
      <w:r w:rsidRPr="00902005">
        <w:rPr>
          <w:szCs w:val="26"/>
        </w:rPr>
        <w:t xml:space="preserve"> nevajadzētu pārsniegt </w:t>
      </w:r>
      <w:r w:rsidRPr="00902005">
        <w:t xml:space="preserve">0,3% no </w:t>
      </w:r>
      <w:r w:rsidRPr="00902005">
        <w:rPr>
          <w:szCs w:val="26"/>
        </w:rPr>
        <w:t>IKP.</w:t>
      </w:r>
    </w:p>
    <w:p w14:paraId="6F8DC068" w14:textId="77777777" w:rsidR="00EE1CF5" w:rsidRDefault="00EE1CF5" w:rsidP="00EE1CF5">
      <w:pPr>
        <w:spacing w:before="120"/>
        <w:ind w:firstLine="720"/>
      </w:pPr>
      <w:r>
        <w:t>Jaudas maksa pašreizējā formā ir radusies, vēsturiski papildinot sākotnējo ideju par atbalstu stacijām, kuras nepieciešamas elektroenerģijas sistēmas drošuma nodrošināšanai ar atbalstu citām stacijām, kas pilda cita veida uzdevumus. Reformējot OI mehānismu, nepieciešams reizē arī nodalīt dažādus politikas instrumentus pēc to mērķiem. Līdz ar to tiek piedāvāts ar 2020. gadu atbalsta nodrošināšanu elektrostacijām ar uzstādīto elektrisko jaudu, kas pārsniedz 100 MW</w:t>
      </w:r>
      <w:r w:rsidRPr="00820A32">
        <w:rPr>
          <w:b/>
        </w:rPr>
        <w:t>, kā sistēmai svarīgu elementu</w:t>
      </w:r>
      <w:r>
        <w:t xml:space="preserve"> </w:t>
      </w:r>
      <w:r w:rsidRPr="00D0793D">
        <w:rPr>
          <w:b/>
        </w:rPr>
        <w:t>nodot administrēšanai AS “Augstprieguma tīkls”</w:t>
      </w:r>
      <w:r w:rsidRPr="00D0793D">
        <w:t xml:space="preserve">, </w:t>
      </w:r>
      <w:r>
        <w:t>bet pārējo “jaudas maksu” pārvirzīt uz lietotāju maksājumu mainīgo daļu</w:t>
      </w:r>
      <w:r w:rsidRPr="00AB0F3D">
        <w:t>.</w:t>
      </w:r>
      <w:r>
        <w:t xml:space="preserve"> Vienlaikus tiek plānots, ka izmaksas, kas saistītas ar atbalsta sniegšanu tām dabasgāzes koģenerācijas stacijām, kas nav sistēmiski nozīmīgas, sākot ar 2022. gadu tiek segtas no valsts budžeta līdzekļiem.</w:t>
      </w:r>
    </w:p>
    <w:p w14:paraId="2C1B5AA1" w14:textId="77777777" w:rsidR="00EE1CF5" w:rsidRPr="00820A32" w:rsidRDefault="00EE1CF5" w:rsidP="00EE1CF5">
      <w:pPr>
        <w:spacing w:before="120"/>
        <w:ind w:firstLine="720"/>
      </w:pPr>
      <w:r>
        <w:t xml:space="preserve">Līdztekus minētajam, ņemot vērā saņemtos iebildumus, Ziņojuma ietvaros ir aplūkota iespēja elektroenerģijas ražotājiem “brīvprātīgi” iziet no OI mehānisma, kā arī plānots turpināt darbu pie atsevišķu jautājumu risināšanas, kas sekmētu OI mehānismā darbojošos elektrostaciju darbību tirgus apstākļos. </w:t>
      </w:r>
    </w:p>
    <w:p w14:paraId="3070AE47" w14:textId="77777777" w:rsidR="00EE1CF5" w:rsidRPr="00987255" w:rsidRDefault="00EE1CF5" w:rsidP="00EE1CF5">
      <w:pPr>
        <w:spacing w:before="120"/>
        <w:ind w:firstLine="720"/>
        <w:rPr>
          <w:b/>
          <w:szCs w:val="26"/>
        </w:rPr>
      </w:pPr>
      <w:r>
        <w:rPr>
          <w:szCs w:val="26"/>
        </w:rPr>
        <w:t>Lai mazinātu fiskālos riskus, kas saistās ar faktisko OI mehānisma izmaksu neparedzamību,</w:t>
      </w:r>
      <w:r w:rsidRPr="00D57E42">
        <w:rPr>
          <w:szCs w:val="26"/>
        </w:rPr>
        <w:t xml:space="preserve"> būtu iespējams veikt fiksēto instrumentu </w:t>
      </w:r>
      <w:r w:rsidRPr="00987255">
        <w:rPr>
          <w:b/>
          <w:szCs w:val="26"/>
        </w:rPr>
        <w:t>izsoles</w:t>
      </w:r>
      <w:r w:rsidRPr="00D57E42">
        <w:rPr>
          <w:szCs w:val="26"/>
        </w:rPr>
        <w:t xml:space="preserve"> Baltijas elektroenerģijas tirgū, tādejādi </w:t>
      </w:r>
      <w:r w:rsidRPr="00987255">
        <w:rPr>
          <w:b/>
          <w:szCs w:val="26"/>
        </w:rPr>
        <w:t>fiksējot OI</w:t>
      </w:r>
      <w:r>
        <w:rPr>
          <w:b/>
          <w:szCs w:val="26"/>
        </w:rPr>
        <w:t xml:space="preserve"> mehānisma</w:t>
      </w:r>
      <w:r w:rsidRPr="00987255">
        <w:rPr>
          <w:b/>
          <w:szCs w:val="26"/>
        </w:rPr>
        <w:t xml:space="preserve"> ietvaros iepirktās elektroenerģijas pārdošanas cenu</w:t>
      </w:r>
      <w:r w:rsidRPr="00D57E42">
        <w:rPr>
          <w:szCs w:val="26"/>
        </w:rPr>
        <w:t xml:space="preserve"> zināmu laika periodu uz priekšu</w:t>
      </w:r>
      <w:r>
        <w:rPr>
          <w:szCs w:val="26"/>
        </w:rPr>
        <w:t>.</w:t>
      </w:r>
    </w:p>
    <w:p w14:paraId="6DDAA0D3" w14:textId="77777777" w:rsidR="00EE1CF5" w:rsidRDefault="00EE1CF5" w:rsidP="00EE1CF5">
      <w:pPr>
        <w:spacing w:before="120"/>
        <w:ind w:firstLine="720"/>
        <w:rPr>
          <w:rFonts w:eastAsiaTheme="minorEastAsia"/>
          <w:szCs w:val="28"/>
        </w:rPr>
      </w:pPr>
      <w:r w:rsidRPr="00046D62">
        <w:rPr>
          <w:rFonts w:eastAsiaTheme="minorEastAsia"/>
          <w:szCs w:val="28"/>
        </w:rPr>
        <w:t xml:space="preserve">Nolūkā nodrošināt objektīvu un precīzu to komersantu, </w:t>
      </w:r>
      <w:r>
        <w:rPr>
          <w:rFonts w:eastAsiaTheme="minorEastAsia"/>
          <w:szCs w:val="28"/>
        </w:rPr>
        <w:t>kam</w:t>
      </w:r>
      <w:r w:rsidRPr="00046D62">
        <w:rPr>
          <w:rFonts w:eastAsiaTheme="minorEastAsia"/>
          <w:szCs w:val="28"/>
        </w:rPr>
        <w:t xml:space="preserve"> piešķirtas tiesības</w:t>
      </w:r>
      <w:r>
        <w:rPr>
          <w:rFonts w:eastAsiaTheme="minorEastAsia"/>
          <w:szCs w:val="28"/>
        </w:rPr>
        <w:t xml:space="preserve"> OI mehānisma ietvaros</w:t>
      </w:r>
      <w:r w:rsidRPr="00046D62">
        <w:rPr>
          <w:rFonts w:eastAsiaTheme="minorEastAsia"/>
          <w:szCs w:val="28"/>
        </w:rPr>
        <w:t xml:space="preserve">, uzskaiti un kontroli, kā arī optimālu energoietilpīgo apstrādes </w:t>
      </w:r>
      <w:r w:rsidRPr="00046D62">
        <w:rPr>
          <w:rFonts w:eastAsiaTheme="minorEastAsia" w:cs="Times New Roman"/>
          <w:szCs w:val="28"/>
        </w:rPr>
        <w:t>rūpniecības</w:t>
      </w:r>
      <w:r w:rsidRPr="00046D62">
        <w:rPr>
          <w:rFonts w:eastAsiaTheme="minorEastAsia"/>
          <w:szCs w:val="28"/>
        </w:rPr>
        <w:t xml:space="preserve"> uzņēmumu valsts atbalsta administrēšanu, un e</w:t>
      </w:r>
      <w:r w:rsidRPr="00046D62">
        <w:rPr>
          <w:rFonts w:eastAsiaTheme="minorEastAsia"/>
          <w:szCs w:val="28"/>
        </w:rPr>
        <w:noBreakHyphen/>
        <w:t>pakalpojumu ieviešanu un izmantošanu šajos procesos uzņēmumu administratīvā sloga mazināšanai un administrācijas efektivitātes uzlabošanai, ir nepieciešams paredzēt, ka 201</w:t>
      </w:r>
      <w:r>
        <w:rPr>
          <w:rFonts w:eastAsiaTheme="minorEastAsia"/>
          <w:szCs w:val="28"/>
        </w:rPr>
        <w:t>9. – 2021</w:t>
      </w:r>
      <w:r w:rsidRPr="00046D62">
        <w:rPr>
          <w:rFonts w:eastAsiaTheme="minorEastAsia"/>
          <w:szCs w:val="28"/>
        </w:rPr>
        <w:t xml:space="preserve">.gadā apropriācija tiek izmantota arī obligātā iepirkuma </w:t>
      </w:r>
      <w:r w:rsidRPr="00F36404">
        <w:rPr>
          <w:rFonts w:eastAsiaTheme="minorEastAsia"/>
          <w:b/>
          <w:szCs w:val="28"/>
        </w:rPr>
        <w:t>administrācijas izdevumiem</w:t>
      </w:r>
      <w:r w:rsidRPr="00046D62">
        <w:rPr>
          <w:rFonts w:eastAsiaTheme="minorEastAsia"/>
          <w:szCs w:val="28"/>
        </w:rPr>
        <w:t>, pakalpojumiem (e</w:t>
      </w:r>
      <w:r w:rsidRPr="00046D62">
        <w:rPr>
          <w:rFonts w:eastAsiaTheme="minorEastAsia"/>
          <w:szCs w:val="28"/>
        </w:rPr>
        <w:noBreakHyphen/>
        <w:t>pakalpojumu izstrāde, analītisko rīku izstrāde) un atlīdzībai (specifikāciju izstrāde, e</w:t>
      </w:r>
      <w:r w:rsidRPr="00046D62">
        <w:rPr>
          <w:rFonts w:eastAsiaTheme="minorEastAsia"/>
          <w:szCs w:val="28"/>
        </w:rPr>
        <w:noBreakHyphen/>
        <w:t>pakalpojumu ieviešana, analītisko rīku piemērošana, u.c. funkciju veikšanai, lai nodrošinātu OI</w:t>
      </w:r>
      <w:r>
        <w:rPr>
          <w:rFonts w:eastAsiaTheme="minorEastAsia"/>
          <w:szCs w:val="28"/>
        </w:rPr>
        <w:t xml:space="preserve"> mehānisma </w:t>
      </w:r>
      <w:r w:rsidRPr="00046D62">
        <w:rPr>
          <w:rFonts w:eastAsiaTheme="minorEastAsia"/>
          <w:szCs w:val="28"/>
        </w:rPr>
        <w:t xml:space="preserve"> darbību).</w:t>
      </w:r>
    </w:p>
    <w:p w14:paraId="77589FFB" w14:textId="77777777" w:rsidR="00EE1CF5" w:rsidRDefault="00EE1CF5" w:rsidP="00EE1CF5">
      <w:pPr>
        <w:spacing w:before="120"/>
        <w:ind w:firstLine="720"/>
        <w:rPr>
          <w:rFonts w:eastAsiaTheme="minorEastAsia"/>
          <w:szCs w:val="28"/>
        </w:rPr>
      </w:pPr>
      <w:r w:rsidRPr="00046D62">
        <w:rPr>
          <w:rFonts w:eastAsiaTheme="minorEastAsia"/>
          <w:bCs/>
          <w:color w:val="000000" w:themeColor="text1"/>
          <w:szCs w:val="28"/>
        </w:rPr>
        <w:t xml:space="preserve">Lai veicinātu enerģētikas politikas administrēšanas efektivitāti, 2018.gadā uzsākta </w:t>
      </w:r>
      <w:r w:rsidRPr="00F36404">
        <w:rPr>
          <w:rFonts w:eastAsiaTheme="minorEastAsia"/>
          <w:b/>
          <w:bCs/>
          <w:color w:val="000000" w:themeColor="text1"/>
          <w:szCs w:val="28"/>
        </w:rPr>
        <w:t>reorganizācija</w:t>
      </w:r>
      <w:r w:rsidRPr="00046D62">
        <w:rPr>
          <w:rFonts w:eastAsiaTheme="minorEastAsia"/>
          <w:bCs/>
          <w:color w:val="000000" w:themeColor="text1"/>
          <w:szCs w:val="28"/>
        </w:rPr>
        <w:t xml:space="preserve"> – </w:t>
      </w:r>
      <w:r w:rsidRPr="00046D62">
        <w:rPr>
          <w:rFonts w:eastAsiaTheme="minorEastAsia" w:cs="Times New Roman"/>
          <w:szCs w:val="28"/>
        </w:rPr>
        <w:t>nodalot</w:t>
      </w:r>
      <w:r w:rsidRPr="00046D62">
        <w:rPr>
          <w:rFonts w:eastAsiaTheme="minorEastAsia"/>
          <w:bCs/>
          <w:color w:val="000000" w:themeColor="text1"/>
          <w:szCs w:val="28"/>
        </w:rPr>
        <w:t xml:space="preserve"> enerģētikas politikas administrēšanas funkcijas no enerģētikas politikas plānošanas</w:t>
      </w:r>
      <w:r>
        <w:rPr>
          <w:rFonts w:eastAsiaTheme="minorEastAsia"/>
          <w:bCs/>
          <w:color w:val="000000" w:themeColor="text1"/>
          <w:szCs w:val="28"/>
        </w:rPr>
        <w:t>.</w:t>
      </w:r>
    </w:p>
    <w:p w14:paraId="1DFE5E97" w14:textId="77777777" w:rsidR="00EE1CF5" w:rsidRPr="00D57C7A" w:rsidRDefault="00EE1CF5" w:rsidP="00EE1CF5">
      <w:pPr>
        <w:spacing w:before="240" w:after="120"/>
        <w:jc w:val="center"/>
        <w:rPr>
          <w:b/>
        </w:rPr>
      </w:pPr>
      <w:r w:rsidRPr="00D57C7A">
        <w:rPr>
          <w:b/>
        </w:rPr>
        <w:t>Risinājumi</w:t>
      </w:r>
    </w:p>
    <w:p w14:paraId="427F8AD1" w14:textId="77777777" w:rsidR="00EE1CF5" w:rsidRPr="00D57C7A" w:rsidRDefault="00EE1CF5" w:rsidP="00EE1CF5">
      <w:pPr>
        <w:spacing w:before="120"/>
        <w:ind w:firstLine="720"/>
      </w:pPr>
      <w:r w:rsidRPr="00D57C7A">
        <w:t xml:space="preserve">Šajā </w:t>
      </w:r>
      <w:r>
        <w:t>Z</w:t>
      </w:r>
      <w:r w:rsidRPr="00D57C7A">
        <w:t>iņojumā tiek piedāvāti četri risinājumi, kas ir dažādas ziņojumā apskatīto instrumentu kombinācijas, kā arī tiek apskatīta iespēja saglabāt esošo situāciju attiecībā uz OI mehānismu un OIK maksājumiem lietotājiem.</w:t>
      </w:r>
    </w:p>
    <w:p w14:paraId="31FD441A" w14:textId="77777777" w:rsidR="00EE1CF5" w:rsidRDefault="00EE1CF5" w:rsidP="00EE1CF5">
      <w:pPr>
        <w:ind w:firstLine="720"/>
      </w:pPr>
      <w:r>
        <w:lastRenderedPageBreak/>
        <w:t xml:space="preserve">Izvērtējot visus risinājumus, lai sasniegtu leģitīmo mērķi - OI mehānisma pilnveidošana </w:t>
      </w:r>
      <w:r w:rsidRPr="001D3130">
        <w:t>un elektroenerģijas izmaksu sloga samazināšana elektroenerģijas galalietotājiem</w:t>
      </w:r>
      <w:r>
        <w:t xml:space="preserve"> Latvijas tautsaimniecības konkurētspējas un attīstības veicināšanai ilgtermiņā - kā visatbilstošākais būtu 4. risinājums.</w:t>
      </w:r>
    </w:p>
    <w:p w14:paraId="5C2A5A8E" w14:textId="77777777" w:rsidR="00EE1CF5" w:rsidRDefault="00EE1CF5" w:rsidP="00EE1CF5">
      <w:pPr>
        <w:ind w:firstLine="720"/>
      </w:pPr>
      <w:r>
        <w:t>Izskatāmajā gadījumā ir konstatējams, ka ar 1.risinājumu netiek samazināts OIK slogs elektroenerģijas galalietotājiem. Galalietotāji turpina OIK maksājumu veikšanu plānotajā apmērā un minētās sistēmas uzturēšana rada slogu valsts budžetam. Tāpat arī netiek samazināts OIK slogs mazajiem un vidējiem uzņēmumiem, radot iespējamus riskus Latvijas tautsaimniecības attīstībai.</w:t>
      </w:r>
    </w:p>
    <w:p w14:paraId="5FE0F3DE" w14:textId="77777777" w:rsidR="00EE1CF5" w:rsidRDefault="00EE1CF5" w:rsidP="00EE1CF5">
      <w:pPr>
        <w:ind w:firstLine="720"/>
      </w:pPr>
      <w:r>
        <w:t>Otrais risinājums paredz virkni pasākumu, lai padarītu obligātā iepirkuma sistēmu efektīvāku. Kā viens no pasākumiem ir paredzēts SEN piemērošana. Lai gan minētais risinājums sasniedz izvirzīto leģitīmo mērķi, tomēr, ņemot vērā salīdzinoši īso SEN ieviešanas termiņu, tas var radīt finansiālas grūtības komersantiem turpināt ražot elektroenerģiju, lai to pārdotu obligātā iepirkuma ietvaros. Ņemot vērā minēto, SEN ieviešana ir izvērtējama kā viens no pasākumiem OIK samazināšanai, taču paredzot komersantiem, kas pārdod elektroenerģiju obligātā iepirkuma ietvaros, ilgāku termiņu, lai pārkārtotu savu saimniecisko darbību tā, lai SEN ieviešana neradītu maksātnespējas riskus.</w:t>
      </w:r>
    </w:p>
    <w:p w14:paraId="53F87645" w14:textId="77777777" w:rsidR="00EE1CF5" w:rsidRDefault="00EE1CF5" w:rsidP="00EE1CF5">
      <w:pPr>
        <w:ind w:firstLine="720"/>
      </w:pPr>
      <w:r>
        <w:t>Trešais risinājums paredz OIK sistēmas atcelšanu un pāreju uz mehānismu, kas balstīts uz elektroenerģijas tirgus principiem. Ņemot vērā, ka nav zināma iespējamā iepirkuma cena, tad pastāv risks, ka minētā risinājuma ietvaros komersanti vairs nevarēs saņemt atbalstu, kas nepieciešams elektroenerģijas ražošanas turpināšanai. Līdz ar to, lai gan minētais risinājums sasniedz leģitīmo mērķi, ir jāizvērtē, vai tas nav sasniedzams ar  optimālāku risinājumu.</w:t>
      </w:r>
    </w:p>
    <w:p w14:paraId="7DDE211C" w14:textId="77777777" w:rsidR="00EE1CF5" w:rsidRDefault="00EE1CF5" w:rsidP="00EE1CF5">
      <w:pPr>
        <w:spacing w:before="120"/>
        <w:ind w:firstLine="720"/>
      </w:pPr>
      <w:r>
        <w:t>Ņemot vērā minēto, k</w:t>
      </w:r>
      <w:r w:rsidRPr="00D57C7A">
        <w:t xml:space="preserve">ā </w:t>
      </w:r>
      <w:r>
        <w:t>samērīgākais</w:t>
      </w:r>
      <w:r w:rsidRPr="00D57C7A">
        <w:t xml:space="preserve"> risinājum</w:t>
      </w:r>
      <w:r>
        <w:t>s</w:t>
      </w:r>
      <w:r w:rsidRPr="00D57C7A">
        <w:t xml:space="preserve"> sākotnējai OIK sloga mazināšanai lietotājiem un sekojošai OIK atcelšanai </w:t>
      </w:r>
      <w:r>
        <w:t>ir uzskatāms</w:t>
      </w:r>
      <w:r w:rsidRPr="00D57C7A">
        <w:t xml:space="preserve"> </w:t>
      </w:r>
      <w:r>
        <w:t>4.risinājums, kas paredz ieviest instrumentus obligātā iepirkuma komponentes samazināšanai, kuri nerada riskus komersantu saimnieciskās darbības turpināšanai. Minētais risinājums ir uzskatāms par visatbilstošāko, samērojot sabiedrības un komersantu, kuri pārdod elektroenerģiju obligātā iepirkuma ietvaros, intereses.</w:t>
      </w:r>
    </w:p>
    <w:p w14:paraId="4DA92C87" w14:textId="77777777" w:rsidR="00EE1CF5" w:rsidRDefault="00EE1CF5" w:rsidP="00EE1CF5">
      <w:pPr>
        <w:spacing w:before="120"/>
        <w:ind w:firstLine="709"/>
        <w:rPr>
          <w:szCs w:val="26"/>
        </w:rPr>
      </w:pPr>
      <w:bookmarkStart w:id="12" w:name="_Hlk523330067"/>
      <w:r w:rsidRPr="00DA3569">
        <w:t xml:space="preserve">Ieviešot 4.risinājumu, OIK iespējams samazināt no 22,68 EUR/MWh 2019. gadā līdz 15,33 EUR/MWh 2021.gadā. </w:t>
      </w:r>
      <w:r w:rsidRPr="00DA3569">
        <w:rPr>
          <w:szCs w:val="26"/>
        </w:rPr>
        <w:t>Savukārt 2022. gadā, piemērojot piemaksas virs tirgus cenas risinājumu, šis līmenis samazināsies līdz 11,75 EUR/MWh.</w:t>
      </w:r>
    </w:p>
    <w:p w14:paraId="6E1E0C89" w14:textId="77777777" w:rsidR="00EE1CF5" w:rsidRPr="00256DA1" w:rsidRDefault="00EE1CF5" w:rsidP="00EE1CF5">
      <w:pPr>
        <w:spacing w:before="240" w:line="259" w:lineRule="auto"/>
        <w:ind w:firstLine="720"/>
        <w:rPr>
          <w:szCs w:val="26"/>
        </w:rPr>
      </w:pPr>
      <w:r>
        <w:rPr>
          <w:szCs w:val="26"/>
        </w:rPr>
        <w:t xml:space="preserve">Nav paredzams, ka 4. risinājuma ieviešanai būs izšķiroša ietekme uz 2020.gada AER mērķu sasniegšanu. </w:t>
      </w:r>
    </w:p>
    <w:p w14:paraId="11D3C747" w14:textId="77777777" w:rsidR="00EE1CF5" w:rsidRPr="00256DA1" w:rsidRDefault="00EE1CF5" w:rsidP="00EE1CF5">
      <w:pPr>
        <w:spacing w:before="120"/>
        <w:ind w:firstLine="709"/>
        <w:rPr>
          <w:szCs w:val="26"/>
        </w:rPr>
      </w:pPr>
    </w:p>
    <w:p w14:paraId="0490AAAA" w14:textId="77777777" w:rsidR="00EE1CF5" w:rsidRDefault="00EE1CF5" w:rsidP="00EE1CF5">
      <w:pPr>
        <w:spacing w:before="120"/>
        <w:ind w:firstLine="709"/>
      </w:pPr>
    </w:p>
    <w:p w14:paraId="3CEFF441" w14:textId="77777777" w:rsidR="00EE1CF5" w:rsidRDefault="00EE1CF5" w:rsidP="00EE1CF5">
      <w:pPr>
        <w:ind w:firstLine="709"/>
      </w:pPr>
    </w:p>
    <w:p w14:paraId="5C7A39CD" w14:textId="77777777" w:rsidR="00EE1CF5" w:rsidRDefault="00EE1CF5" w:rsidP="00EE1CF5">
      <w:pPr>
        <w:jc w:val="left"/>
        <w:rPr>
          <w:b/>
          <w:sz w:val="32"/>
        </w:rPr>
      </w:pPr>
      <w:bookmarkStart w:id="13" w:name="_Toc256000004"/>
      <w:bookmarkStart w:id="14" w:name="_Toc523492910"/>
      <w:bookmarkEnd w:id="12"/>
      <w:r>
        <w:br w:type="page"/>
      </w:r>
    </w:p>
    <w:p w14:paraId="580865A8" w14:textId="77777777" w:rsidR="00EE1CF5" w:rsidRPr="003376B8" w:rsidRDefault="00EE1CF5" w:rsidP="00EE1CF5">
      <w:pPr>
        <w:pStyle w:val="1nodaa"/>
      </w:pPr>
      <w:bookmarkStart w:id="15" w:name="_Toc528585650"/>
      <w:bookmarkStart w:id="16" w:name="_Toc256000022"/>
      <w:bookmarkStart w:id="17" w:name="_Toc531798562"/>
      <w:r w:rsidRPr="003376B8">
        <w:lastRenderedPageBreak/>
        <w:t xml:space="preserve">1.Atbalsts elektroenerģijas ražošanai un tā ietekme uz elektroenerģijas </w:t>
      </w:r>
      <w:bookmarkEnd w:id="13"/>
      <w:bookmarkEnd w:id="14"/>
      <w:bookmarkEnd w:id="15"/>
      <w:r>
        <w:t>lietotājiem</w:t>
      </w:r>
      <w:bookmarkEnd w:id="16"/>
      <w:bookmarkEnd w:id="17"/>
      <w:r w:rsidRPr="003376B8">
        <w:br/>
      </w:r>
    </w:p>
    <w:p w14:paraId="5530C55B" w14:textId="77777777" w:rsidR="00EE1CF5" w:rsidRPr="00046D62" w:rsidRDefault="00EE1CF5" w:rsidP="00EE1CF5">
      <w:pPr>
        <w:spacing w:before="120" w:after="120"/>
        <w:ind w:firstLine="851"/>
        <w:rPr>
          <w:rFonts w:eastAsiaTheme="minorEastAsia"/>
          <w:szCs w:val="28"/>
        </w:rPr>
      </w:pPr>
      <w:r w:rsidRPr="00046D62">
        <w:rPr>
          <w:rFonts w:eastAsiaTheme="minorEastAsia"/>
          <w:szCs w:val="28"/>
        </w:rPr>
        <w:t>Lai veicinātu elektroenerģijas ražošanu no AER un augstas efektivitātes koģenerācijā, Latvijā kā atbalsta instruments tiek izmantots elektroenerģijas</w:t>
      </w:r>
      <w:r>
        <w:rPr>
          <w:rFonts w:eastAsiaTheme="minorEastAsia"/>
          <w:szCs w:val="28"/>
        </w:rPr>
        <w:t xml:space="preserve"> </w:t>
      </w:r>
      <w:r w:rsidRPr="00046D62">
        <w:rPr>
          <w:rFonts w:eastAsiaTheme="minorEastAsia"/>
          <w:szCs w:val="28"/>
        </w:rPr>
        <w:t>OI</w:t>
      </w:r>
      <w:r>
        <w:rPr>
          <w:rFonts w:eastAsiaTheme="minorEastAsia"/>
          <w:szCs w:val="28"/>
        </w:rPr>
        <w:t xml:space="preserve"> mehānisms, tai skaitā</w:t>
      </w:r>
      <w:r w:rsidRPr="00046D62">
        <w:rPr>
          <w:rFonts w:eastAsiaTheme="minorEastAsia"/>
          <w:szCs w:val="28"/>
        </w:rPr>
        <w:t xml:space="preserve"> jaudas maksa par elektrostacijā uzstādīto elektrisko jaudu.</w:t>
      </w:r>
    </w:p>
    <w:p w14:paraId="4B102068" w14:textId="77777777" w:rsidR="00EE1CF5" w:rsidRPr="00046D62" w:rsidRDefault="00EE1CF5" w:rsidP="00EE1CF5">
      <w:pPr>
        <w:ind w:firstLine="720"/>
        <w:rPr>
          <w:rFonts w:eastAsiaTheme="minorEastAsia"/>
          <w:szCs w:val="28"/>
        </w:rPr>
      </w:pPr>
    </w:p>
    <w:p w14:paraId="44B80248" w14:textId="77777777" w:rsidR="00EE1CF5" w:rsidRPr="000A4413" w:rsidRDefault="00EE1CF5" w:rsidP="00EE1CF5">
      <w:pPr>
        <w:ind w:firstLine="851"/>
        <w:jc w:val="right"/>
        <w:rPr>
          <w:i/>
          <w:szCs w:val="28"/>
        </w:rPr>
      </w:pPr>
      <w:r>
        <w:rPr>
          <w:i/>
          <w:szCs w:val="28"/>
        </w:rPr>
        <w:t>2</w:t>
      </w:r>
      <w:r w:rsidRPr="00046D62">
        <w:rPr>
          <w:i/>
          <w:szCs w:val="28"/>
        </w:rPr>
        <w:t>.</w:t>
      </w:r>
      <w:r>
        <w:rPr>
          <w:i/>
          <w:szCs w:val="28"/>
        </w:rPr>
        <w:t xml:space="preserve"> attēls</w:t>
      </w:r>
    </w:p>
    <w:p w14:paraId="623C6F74" w14:textId="77777777" w:rsidR="00EE1CF5" w:rsidRPr="00046D62" w:rsidRDefault="00EE1CF5" w:rsidP="00EE1CF5">
      <w:pPr>
        <w:ind w:firstLine="720"/>
        <w:jc w:val="center"/>
        <w:rPr>
          <w:rFonts w:eastAsiaTheme="minorEastAsia"/>
          <w:szCs w:val="28"/>
        </w:rPr>
      </w:pPr>
      <w:r w:rsidRPr="00046D62">
        <w:rPr>
          <w:noProof/>
          <w:lang w:eastAsia="lv-LV"/>
        </w:rPr>
        <w:drawing>
          <wp:inline distT="0" distB="0" distL="0" distR="0" wp14:anchorId="6D2F5F22" wp14:editId="4D619CD4">
            <wp:extent cx="3744472" cy="1960474"/>
            <wp:effectExtent l="0" t="0" r="8890" b="1905"/>
            <wp:docPr id="14" name="picture" descr="http://www.eptirgotajs.lv/wp-content/uploads/2014/05/01_4_jauda_staci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05522" name="picture"/>
                    <pic:cNvPicPr/>
                  </pic:nvPicPr>
                  <pic:blipFill>
                    <a:blip r:embed="rId10">
                      <a:extLst>
                        <a:ext uri="{28A0092B-C50C-407E-A947-70E740481C1C}">
                          <a14:useLocalDpi xmlns:a14="http://schemas.microsoft.com/office/drawing/2010/main" val="0"/>
                        </a:ext>
                      </a:extLst>
                    </a:blip>
                    <a:srcRect l="2076" t="9742" r="1274" b="2904"/>
                    <a:stretch>
                      <a:fillRect/>
                    </a:stretch>
                  </pic:blipFill>
                  <pic:spPr bwMode="auto">
                    <a:xfrm>
                      <a:off x="0" y="0"/>
                      <a:ext cx="3779624" cy="1978878"/>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szCs w:val="28"/>
        </w:rPr>
        <w:br/>
      </w:r>
      <w:r w:rsidRPr="000A4413">
        <w:rPr>
          <w:rFonts w:eastAsiaTheme="minorEastAsia"/>
          <w:b/>
          <w:sz w:val="24"/>
          <w:szCs w:val="28"/>
        </w:rPr>
        <w:t>Uzstādītā jauda pēc staciju veidiem 2017.gadā, MW</w:t>
      </w:r>
    </w:p>
    <w:p w14:paraId="438C932D" w14:textId="77777777" w:rsidR="00EE1CF5" w:rsidRPr="00046D62" w:rsidRDefault="00EE1CF5" w:rsidP="00EE1CF5">
      <w:pPr>
        <w:spacing w:before="120" w:after="120"/>
        <w:ind w:firstLine="851"/>
        <w:rPr>
          <w:rFonts w:cs="Times New Roman"/>
          <w:i/>
          <w:noProof/>
          <w:szCs w:val="28"/>
          <w:lang w:eastAsia="lv-LV"/>
        </w:rPr>
      </w:pPr>
      <w:r>
        <w:rPr>
          <w:rFonts w:cs="Times New Roman"/>
          <w:noProof/>
          <w:szCs w:val="28"/>
          <w:lang w:eastAsia="lv-LV"/>
        </w:rPr>
        <w:t>No 2. attēlā atspoguļotās informācijas redzams, ka k</w:t>
      </w:r>
      <w:r w:rsidRPr="00046D62">
        <w:rPr>
          <w:rFonts w:cs="Times New Roman"/>
          <w:noProof/>
          <w:szCs w:val="28"/>
          <w:lang w:eastAsia="lv-LV"/>
        </w:rPr>
        <w:t xml:space="preserve">opējā </w:t>
      </w:r>
      <w:r>
        <w:rPr>
          <w:rFonts w:cs="Times New Roman"/>
          <w:noProof/>
          <w:szCs w:val="28"/>
          <w:lang w:eastAsia="lv-LV"/>
        </w:rPr>
        <w:t xml:space="preserve">elektroenerģijas </w:t>
      </w:r>
      <w:r w:rsidRPr="00046D62">
        <w:rPr>
          <w:rFonts w:cs="Times New Roman"/>
          <w:noProof/>
          <w:szCs w:val="28"/>
          <w:lang w:eastAsia="lv-LV"/>
        </w:rPr>
        <w:t>ražotāju</w:t>
      </w:r>
      <w:r>
        <w:rPr>
          <w:rFonts w:cs="Times New Roman"/>
          <w:noProof/>
          <w:szCs w:val="28"/>
          <w:lang w:eastAsia="lv-LV"/>
        </w:rPr>
        <w:t>, kas saņem valsts atbalstu,</w:t>
      </w:r>
      <w:r w:rsidRPr="00046D62">
        <w:rPr>
          <w:rFonts w:cs="Times New Roman"/>
          <w:noProof/>
          <w:szCs w:val="28"/>
          <w:lang w:eastAsia="lv-LV"/>
        </w:rPr>
        <w:t xml:space="preserve"> uzstādītā </w:t>
      </w:r>
      <w:r>
        <w:rPr>
          <w:rFonts w:cs="Times New Roman"/>
          <w:noProof/>
          <w:szCs w:val="28"/>
          <w:lang w:eastAsia="lv-LV"/>
        </w:rPr>
        <w:t xml:space="preserve">elektriskā </w:t>
      </w:r>
      <w:r w:rsidRPr="00046D62">
        <w:rPr>
          <w:rFonts w:cs="Times New Roman"/>
          <w:noProof/>
          <w:szCs w:val="28"/>
          <w:lang w:eastAsia="lv-LV"/>
        </w:rPr>
        <w:t>jauda 20</w:t>
      </w:r>
      <w:r>
        <w:rPr>
          <w:rFonts w:cs="Times New Roman"/>
          <w:noProof/>
          <w:szCs w:val="28"/>
          <w:lang w:eastAsia="lv-LV"/>
        </w:rPr>
        <w:t>17.</w:t>
      </w:r>
      <w:r w:rsidRPr="00046D62">
        <w:rPr>
          <w:rFonts w:cs="Times New Roman"/>
          <w:noProof/>
          <w:szCs w:val="28"/>
          <w:lang w:eastAsia="lv-LV"/>
        </w:rPr>
        <w:t>gadā sasniedza 1</w:t>
      </w:r>
      <w:r>
        <w:rPr>
          <w:rFonts w:cs="Times New Roman"/>
          <w:noProof/>
          <w:szCs w:val="28"/>
          <w:lang w:eastAsia="lv-LV"/>
        </w:rPr>
        <w:t> </w:t>
      </w:r>
      <w:r w:rsidRPr="00046D62">
        <w:rPr>
          <w:rFonts w:cs="Times New Roman"/>
          <w:noProof/>
          <w:szCs w:val="28"/>
          <w:lang w:eastAsia="lv-LV"/>
        </w:rPr>
        <w:t>394</w:t>
      </w:r>
      <w:r>
        <w:rPr>
          <w:rFonts w:cs="Times New Roman"/>
          <w:noProof/>
          <w:szCs w:val="28"/>
          <w:lang w:eastAsia="lv-LV"/>
        </w:rPr>
        <w:t> </w:t>
      </w:r>
      <w:r w:rsidRPr="00046D62">
        <w:rPr>
          <w:rFonts w:cs="Times New Roman"/>
          <w:noProof/>
          <w:szCs w:val="28"/>
          <w:lang w:eastAsia="lv-LV"/>
        </w:rPr>
        <w:t>MW</w:t>
      </w:r>
      <w:r>
        <w:rPr>
          <w:rFonts w:cs="Times New Roman"/>
          <w:noProof/>
          <w:szCs w:val="28"/>
          <w:lang w:eastAsia="lv-LV"/>
        </w:rPr>
        <w:t>.</w:t>
      </w:r>
      <w:r w:rsidRPr="00046D62">
        <w:rPr>
          <w:rFonts w:cs="Times New Roman"/>
          <w:noProof/>
          <w:szCs w:val="28"/>
          <w:lang w:eastAsia="lv-LV"/>
        </w:rPr>
        <w:t xml:space="preserve"> </w:t>
      </w:r>
      <w:r>
        <w:rPr>
          <w:rFonts w:cs="Times New Roman"/>
          <w:noProof/>
          <w:szCs w:val="28"/>
          <w:lang w:eastAsia="lv-LV"/>
        </w:rPr>
        <w:t>N</w:t>
      </w:r>
      <w:r w:rsidRPr="00046D62">
        <w:rPr>
          <w:rFonts w:cs="Times New Roman"/>
          <w:noProof/>
          <w:szCs w:val="28"/>
          <w:lang w:eastAsia="lv-LV"/>
        </w:rPr>
        <w:t>o tās staciju, kuru uzstādītā jauda pārsniedz 4 MW</w:t>
      </w:r>
      <w:r>
        <w:rPr>
          <w:rFonts w:cs="Times New Roman"/>
          <w:noProof/>
          <w:szCs w:val="28"/>
          <w:lang w:eastAsia="lv-LV"/>
        </w:rPr>
        <w:t xml:space="preserve"> un kas saņem garantēto maksu par uzstādīto elektrisko jaudu</w:t>
      </w:r>
      <w:r w:rsidRPr="00046D62">
        <w:rPr>
          <w:rFonts w:cs="Times New Roman"/>
          <w:noProof/>
          <w:szCs w:val="28"/>
          <w:lang w:eastAsia="lv-LV"/>
        </w:rPr>
        <w:t>, kopējā jauda sasniedza 1 062 MW</w:t>
      </w:r>
      <w:r>
        <w:rPr>
          <w:rFonts w:cs="Times New Roman"/>
          <w:noProof/>
          <w:szCs w:val="28"/>
          <w:lang w:eastAsia="lv-LV"/>
        </w:rPr>
        <w:t xml:space="preserve">. Dabasgāzes koģenerācijas stacijas 1. attēlā ir izdalītas atsevišķi ar 1039 MW, savukārt vienīgā AER stacija ar 23 MW, kas saņem garantēto maksu par uzstādīto elektrisko jaudu, ir iekļauta pie biomasas stacijām. </w:t>
      </w:r>
      <w:r w:rsidRPr="00046D62">
        <w:rPr>
          <w:rFonts w:cs="Times New Roman"/>
          <w:noProof/>
          <w:szCs w:val="28"/>
          <w:lang w:eastAsia="lv-LV"/>
        </w:rPr>
        <w:t>Kopumā 2017.</w:t>
      </w:r>
      <w:r w:rsidRPr="00046D62">
        <w:rPr>
          <w:rFonts w:eastAsiaTheme="minorEastAsia"/>
          <w:szCs w:val="28"/>
        </w:rPr>
        <w:t>gadā</w:t>
      </w:r>
      <w:r w:rsidRPr="00046D62">
        <w:rPr>
          <w:rFonts w:cs="Times New Roman"/>
          <w:noProof/>
          <w:szCs w:val="28"/>
          <w:lang w:eastAsia="lv-LV"/>
        </w:rPr>
        <w:t xml:space="preserve"> atbalstu OI mehānisma ietvaros saņēma 408 </w:t>
      </w:r>
      <w:r>
        <w:rPr>
          <w:rFonts w:cs="Times New Roman"/>
          <w:noProof/>
          <w:szCs w:val="28"/>
          <w:lang w:eastAsia="lv-LV"/>
        </w:rPr>
        <w:t>elektro</w:t>
      </w:r>
      <w:r w:rsidRPr="00046D62">
        <w:rPr>
          <w:rFonts w:cs="Times New Roman"/>
          <w:noProof/>
          <w:szCs w:val="28"/>
          <w:lang w:eastAsia="lv-LV"/>
        </w:rPr>
        <w:t>stacijas. 35% no kopējā elektrostaciju skaita veido hidroelektrostacijas, 23% – koģenerācijas stacijas ar jaudu līdz 4 MW, 14% – biogāzes stacijas, 14% – biomasas stacijas un 13% – vēja elektrostacijas.</w:t>
      </w:r>
    </w:p>
    <w:p w14:paraId="02F6FD9E" w14:textId="77777777" w:rsidR="00EE1CF5" w:rsidRPr="00046D62" w:rsidRDefault="00EE1CF5" w:rsidP="00EE1CF5">
      <w:pPr>
        <w:spacing w:before="120" w:after="120"/>
        <w:ind w:firstLine="851"/>
        <w:rPr>
          <w:rFonts w:eastAsiaTheme="minorEastAsia"/>
          <w:szCs w:val="28"/>
        </w:rPr>
      </w:pPr>
      <w:r>
        <w:rPr>
          <w:rFonts w:eastAsiaTheme="minorEastAsia"/>
          <w:szCs w:val="28"/>
        </w:rPr>
        <w:t xml:space="preserve">Obligātā iepirkuma komponente (turpmāk – </w:t>
      </w:r>
      <w:r w:rsidRPr="00046D62">
        <w:rPr>
          <w:rFonts w:eastAsiaTheme="minorEastAsia"/>
          <w:szCs w:val="28"/>
        </w:rPr>
        <w:t>OIK</w:t>
      </w:r>
      <w:r>
        <w:rPr>
          <w:rFonts w:eastAsiaTheme="minorEastAsia"/>
          <w:szCs w:val="28"/>
        </w:rPr>
        <w:t>)</w:t>
      </w:r>
      <w:r w:rsidRPr="00046D62">
        <w:rPr>
          <w:rFonts w:eastAsiaTheme="minorEastAsia"/>
          <w:szCs w:val="28"/>
        </w:rPr>
        <w:t xml:space="preserve"> ir atkarīga no iepriekšējā gadā OI</w:t>
      </w:r>
      <w:r>
        <w:rPr>
          <w:rFonts w:eastAsiaTheme="minorEastAsia"/>
          <w:szCs w:val="28"/>
        </w:rPr>
        <w:t xml:space="preserve"> mehānisma</w:t>
      </w:r>
      <w:r w:rsidRPr="00046D62">
        <w:rPr>
          <w:rFonts w:eastAsiaTheme="minorEastAsia"/>
          <w:szCs w:val="28"/>
        </w:rPr>
        <w:t xml:space="preserve"> ietvaros iepirktās elektroenerģijas daudzuma un tās iepirkuma cenas. OIK apmēru ietekmē</w:t>
      </w:r>
      <w:r w:rsidRPr="003B7CFA">
        <w:t xml:space="preserve"> </w:t>
      </w:r>
      <w:r w:rsidRPr="003B7CFA">
        <w:rPr>
          <w:rFonts w:eastAsiaTheme="minorEastAsia"/>
          <w:szCs w:val="28"/>
        </w:rPr>
        <w:t>saražotās un OI mehānisma ietvaros iepirktās elektroenerģijas apjoms,</w:t>
      </w:r>
      <w:r w:rsidRPr="00046D62">
        <w:rPr>
          <w:rFonts w:eastAsiaTheme="minorEastAsia"/>
          <w:szCs w:val="28"/>
        </w:rPr>
        <w:t xml:space="preserve"> dabasgāzes cena, elektroenerģijas cena biržā un elektroenerģijas patēriņš. Pieaugot dabasgāzes cenai, pieaug arī OIK maksājumi. Turpretim, pieaugot elektroenerģijas cenai biržā vai elektroenerģijas patēriņa apjomam, OIK samazinās. OI</w:t>
      </w:r>
      <w:r>
        <w:rPr>
          <w:rFonts w:eastAsiaTheme="minorEastAsia"/>
          <w:szCs w:val="28"/>
        </w:rPr>
        <w:t xml:space="preserve"> mehānisma</w:t>
      </w:r>
      <w:r w:rsidRPr="00046D62">
        <w:rPr>
          <w:rFonts w:eastAsiaTheme="minorEastAsia"/>
          <w:szCs w:val="28"/>
        </w:rPr>
        <w:t xml:space="preserve"> ietvaros iepirktais elektroenerģijas apjoms un atbalsta izmaksas </w:t>
      </w:r>
      <w:r>
        <w:rPr>
          <w:rFonts w:eastAsiaTheme="minorEastAsia"/>
          <w:szCs w:val="28"/>
        </w:rPr>
        <w:t>2016. un 2017. gadā apkopots 1.</w:t>
      </w:r>
      <w:r w:rsidRPr="00046D62">
        <w:rPr>
          <w:rFonts w:eastAsiaTheme="minorEastAsia"/>
          <w:szCs w:val="28"/>
        </w:rPr>
        <w:t>tabulā.</w:t>
      </w:r>
    </w:p>
    <w:p w14:paraId="586C48D3" w14:textId="77777777" w:rsidR="00EE1CF5" w:rsidRDefault="00EE1CF5" w:rsidP="00EE1CF5">
      <w:pPr>
        <w:jc w:val="left"/>
        <w:rPr>
          <w:rFonts w:eastAsia="Times New Roman" w:cs="Times New Roman"/>
          <w:bCs/>
          <w:i/>
          <w:color w:val="000000"/>
          <w:sz w:val="24"/>
          <w:szCs w:val="24"/>
        </w:rPr>
      </w:pPr>
      <w:r>
        <w:rPr>
          <w:rFonts w:eastAsia="Times New Roman" w:cs="Times New Roman"/>
          <w:bCs/>
          <w:i/>
          <w:color w:val="000000"/>
          <w:sz w:val="24"/>
          <w:szCs w:val="24"/>
        </w:rPr>
        <w:br w:type="page"/>
      </w:r>
    </w:p>
    <w:p w14:paraId="4D32A9DC" w14:textId="77777777" w:rsidR="00EE1CF5" w:rsidRDefault="00EE1CF5" w:rsidP="00EE1CF5">
      <w:pPr>
        <w:keepNext/>
        <w:widowControl w:val="0"/>
        <w:adjustRightInd w:val="0"/>
        <w:spacing w:after="120"/>
        <w:jc w:val="right"/>
        <w:textAlignment w:val="baseline"/>
        <w:rPr>
          <w:rFonts w:eastAsia="Times New Roman" w:cs="Times New Roman"/>
          <w:bCs/>
          <w:i/>
          <w:color w:val="000000"/>
          <w:sz w:val="24"/>
          <w:szCs w:val="24"/>
        </w:rPr>
      </w:pPr>
      <w:r>
        <w:rPr>
          <w:rFonts w:eastAsia="Times New Roman" w:cs="Times New Roman"/>
          <w:bCs/>
          <w:i/>
          <w:color w:val="000000"/>
          <w:sz w:val="24"/>
          <w:szCs w:val="24"/>
        </w:rPr>
        <w:lastRenderedPageBreak/>
        <w:t>1.tabula</w:t>
      </w:r>
    </w:p>
    <w:p w14:paraId="2BAB3A49" w14:textId="77777777" w:rsidR="00EE1CF5" w:rsidRPr="0068715F" w:rsidRDefault="00EE1CF5" w:rsidP="00EE1CF5">
      <w:pPr>
        <w:keepNext/>
        <w:widowControl w:val="0"/>
        <w:adjustRightInd w:val="0"/>
        <w:spacing w:after="120"/>
        <w:jc w:val="center"/>
        <w:textAlignment w:val="baseline"/>
        <w:rPr>
          <w:rFonts w:eastAsia="Times New Roman" w:cs="Times New Roman"/>
          <w:bCs/>
          <w:i/>
          <w:color w:val="000000"/>
          <w:sz w:val="24"/>
          <w:szCs w:val="24"/>
        </w:rPr>
      </w:pPr>
      <w:r w:rsidRPr="00046D62">
        <w:rPr>
          <w:rFonts w:eastAsia="Times New Roman" w:cs="Times New Roman"/>
          <w:b/>
          <w:bCs/>
          <w:color w:val="000000"/>
          <w:sz w:val="24"/>
          <w:szCs w:val="24"/>
        </w:rPr>
        <w:t>OI ietvaros iepirktais elektroenerģijas apjoms un atbalsta izmaksas</w:t>
      </w:r>
    </w:p>
    <w:tbl>
      <w:tblPr>
        <w:tblW w:w="10628" w:type="dxa"/>
        <w:jc w:val="center"/>
        <w:tblLayout w:type="fixed"/>
        <w:tblCellMar>
          <w:left w:w="0" w:type="dxa"/>
          <w:right w:w="0" w:type="dxa"/>
        </w:tblCellMar>
        <w:tblLook w:val="04A0" w:firstRow="1" w:lastRow="0" w:firstColumn="1" w:lastColumn="0" w:noHBand="0" w:noVBand="1"/>
      </w:tblPr>
      <w:tblGrid>
        <w:gridCol w:w="1418"/>
        <w:gridCol w:w="683"/>
        <w:gridCol w:w="776"/>
        <w:gridCol w:w="776"/>
        <w:gridCol w:w="775"/>
        <w:gridCol w:w="775"/>
        <w:gridCol w:w="775"/>
        <w:gridCol w:w="775"/>
        <w:gridCol w:w="775"/>
        <w:gridCol w:w="775"/>
        <w:gridCol w:w="775"/>
        <w:gridCol w:w="775"/>
        <w:gridCol w:w="775"/>
      </w:tblGrid>
      <w:tr w:rsidR="00EE1CF5" w14:paraId="0166C4EF" w14:textId="77777777" w:rsidTr="00263AB1">
        <w:trPr>
          <w:trHeight w:val="113"/>
          <w:jc w:val="center"/>
        </w:trPr>
        <w:tc>
          <w:tcPr>
            <w:tcW w:w="1418" w:type="dxa"/>
            <w:vMerge w:val="restart"/>
            <w:tcBorders>
              <w:top w:val="nil"/>
              <w:left w:val="nil"/>
              <w:bottom w:val="single" w:sz="8" w:space="0" w:color="auto"/>
              <w:right w:val="single" w:sz="4" w:space="0" w:color="auto"/>
            </w:tcBorders>
            <w:tcMar>
              <w:top w:w="0" w:type="dxa"/>
              <w:left w:w="108" w:type="dxa"/>
              <w:bottom w:w="0" w:type="dxa"/>
              <w:right w:w="108" w:type="dxa"/>
            </w:tcMar>
          </w:tcPr>
          <w:p w14:paraId="62E7C26E" w14:textId="77777777" w:rsidR="00EE1CF5" w:rsidRPr="00046D62" w:rsidRDefault="00EE1CF5" w:rsidP="00263AB1">
            <w:pPr>
              <w:rPr>
                <w:rFonts w:eastAsia="Times New Roman" w:cs="Times New Roman"/>
                <w:b/>
                <w:bCs/>
                <w:color w:val="000000" w:themeColor="text1"/>
                <w:sz w:val="22"/>
              </w:rPr>
            </w:pPr>
          </w:p>
        </w:tc>
        <w:tc>
          <w:tcPr>
            <w:tcW w:w="3010"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701AF3D6"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Iepirktais elektroenerģijas apjoms</w:t>
            </w:r>
          </w:p>
          <w:p w14:paraId="55095EF0" w14:textId="77777777" w:rsidR="00EE1CF5" w:rsidRPr="00046D62" w:rsidRDefault="00EE1CF5" w:rsidP="00263AB1">
            <w:pPr>
              <w:jc w:val="center"/>
              <w:rPr>
                <w:rFonts w:cs="Times New Roman"/>
                <w:b/>
                <w:bCs/>
                <w:color w:val="000000" w:themeColor="text1"/>
                <w:sz w:val="22"/>
              </w:rPr>
            </w:pPr>
          </w:p>
        </w:tc>
        <w:tc>
          <w:tcPr>
            <w:tcW w:w="3100"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38C0350"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Ražotājiem izmaksātā naudas summa (t.sk. atbalsts)</w:t>
            </w:r>
          </w:p>
          <w:p w14:paraId="0D680402" w14:textId="77777777" w:rsidR="00EE1CF5" w:rsidRPr="00046D62" w:rsidRDefault="00EE1CF5" w:rsidP="00263AB1">
            <w:pPr>
              <w:jc w:val="center"/>
              <w:rPr>
                <w:rFonts w:cs="Times New Roman"/>
                <w:b/>
                <w:bCs/>
                <w:color w:val="000000" w:themeColor="text1"/>
                <w:sz w:val="22"/>
              </w:rPr>
            </w:pPr>
          </w:p>
        </w:tc>
        <w:tc>
          <w:tcPr>
            <w:tcW w:w="3100"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A6E8270"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Ražotājiem izmaksātā atbalsta summa</w:t>
            </w:r>
          </w:p>
          <w:p w14:paraId="2C8EE7FE" w14:textId="77777777" w:rsidR="00EE1CF5" w:rsidRPr="00046D62" w:rsidRDefault="00EE1CF5" w:rsidP="00263AB1">
            <w:pPr>
              <w:rPr>
                <w:rFonts w:cs="Times New Roman"/>
                <w:b/>
                <w:bCs/>
                <w:color w:val="000000" w:themeColor="text1"/>
                <w:sz w:val="22"/>
              </w:rPr>
            </w:pPr>
          </w:p>
        </w:tc>
      </w:tr>
      <w:tr w:rsidR="00EE1CF5" w14:paraId="529EC5E8" w14:textId="77777777" w:rsidTr="00263AB1">
        <w:trPr>
          <w:trHeight w:val="113"/>
          <w:jc w:val="center"/>
        </w:trPr>
        <w:tc>
          <w:tcPr>
            <w:tcW w:w="1418" w:type="dxa"/>
            <w:vMerge/>
            <w:tcBorders>
              <w:top w:val="nil"/>
              <w:left w:val="nil"/>
              <w:bottom w:val="single" w:sz="4" w:space="0" w:color="auto"/>
              <w:right w:val="single" w:sz="4" w:space="0" w:color="auto"/>
            </w:tcBorders>
            <w:vAlign w:val="center"/>
          </w:tcPr>
          <w:p w14:paraId="5E9DA724" w14:textId="77777777" w:rsidR="00EE1CF5" w:rsidRPr="00046D62" w:rsidRDefault="00EE1CF5" w:rsidP="00263AB1">
            <w:pPr>
              <w:rPr>
                <w:rFonts w:cs="Times New Roman"/>
                <w:b/>
                <w:color w:val="000000"/>
                <w:sz w:val="22"/>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21F142"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2016</w:t>
            </w:r>
          </w:p>
        </w:tc>
        <w:tc>
          <w:tcPr>
            <w:tcW w:w="1551"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6E316CD5"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2017</w:t>
            </w:r>
          </w:p>
        </w:tc>
        <w:tc>
          <w:tcPr>
            <w:tcW w:w="155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9290AE1"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2016</w:t>
            </w:r>
          </w:p>
        </w:tc>
        <w:tc>
          <w:tcPr>
            <w:tcW w:w="155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36936255"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2017</w:t>
            </w:r>
          </w:p>
        </w:tc>
        <w:tc>
          <w:tcPr>
            <w:tcW w:w="155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3035D0"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2016</w:t>
            </w:r>
          </w:p>
        </w:tc>
        <w:tc>
          <w:tcPr>
            <w:tcW w:w="155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078D4BBA"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2017</w:t>
            </w:r>
          </w:p>
        </w:tc>
      </w:tr>
      <w:tr w:rsidR="00EE1CF5" w14:paraId="76B71987" w14:textId="77777777" w:rsidTr="00263AB1">
        <w:trPr>
          <w:trHeight w:val="113"/>
          <w:jc w:val="center"/>
        </w:trPr>
        <w:tc>
          <w:tcPr>
            <w:tcW w:w="1418" w:type="dxa"/>
            <w:vMerge/>
            <w:tcBorders>
              <w:top w:val="nil"/>
              <w:left w:val="nil"/>
              <w:bottom w:val="single" w:sz="4" w:space="0" w:color="auto"/>
              <w:right w:val="single" w:sz="4" w:space="0" w:color="auto"/>
            </w:tcBorders>
            <w:vAlign w:val="center"/>
            <w:hideMark/>
          </w:tcPr>
          <w:p w14:paraId="301B3CFC" w14:textId="77777777" w:rsidR="00EE1CF5" w:rsidRPr="00046D62" w:rsidRDefault="00EE1CF5" w:rsidP="00263AB1">
            <w:pPr>
              <w:rPr>
                <w:rFonts w:cs="Times New Roman"/>
                <w:b/>
                <w:color w:val="000000"/>
                <w:sz w:val="22"/>
              </w:rPr>
            </w:pPr>
          </w:p>
        </w:tc>
        <w:tc>
          <w:tcPr>
            <w:tcW w:w="683" w:type="dxa"/>
            <w:tcBorders>
              <w:top w:val="single" w:sz="4" w:space="0" w:color="auto"/>
              <w:left w:val="single" w:sz="4" w:space="0" w:color="auto"/>
              <w:bottom w:val="single" w:sz="4" w:space="0" w:color="auto"/>
              <w:right w:val="single" w:sz="4" w:space="0" w:color="auto"/>
            </w:tcBorders>
            <w:shd w:val="clear" w:color="auto" w:fill="E7E6E6" w:themeFill="background2"/>
          </w:tcPr>
          <w:p w14:paraId="1FFF5203"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GWh</w:t>
            </w:r>
          </w:p>
        </w:tc>
        <w:tc>
          <w:tcPr>
            <w:tcW w:w="776" w:type="dxa"/>
            <w:tcBorders>
              <w:top w:val="single" w:sz="4" w:space="0" w:color="auto"/>
              <w:left w:val="single" w:sz="4" w:space="0" w:color="auto"/>
              <w:bottom w:val="single" w:sz="4" w:space="0" w:color="auto"/>
              <w:right w:val="single" w:sz="4" w:space="0" w:color="auto"/>
            </w:tcBorders>
            <w:shd w:val="clear" w:color="auto" w:fill="E7E6E6" w:themeFill="background2"/>
          </w:tcPr>
          <w:p w14:paraId="20F9F4FD" w14:textId="77777777" w:rsidR="00EE1CF5" w:rsidRPr="00046D62" w:rsidRDefault="00EE1CF5" w:rsidP="00263AB1">
            <w:pPr>
              <w:jc w:val="center"/>
              <w:rPr>
                <w:rFonts w:eastAsia="Times New Roman" w:cs="Times New Roman"/>
                <w:b/>
                <w:bCs/>
                <w:color w:val="000000" w:themeColor="text1"/>
                <w:sz w:val="22"/>
              </w:rPr>
            </w:pPr>
            <w:r w:rsidRPr="00046D62">
              <w:rPr>
                <w:rFonts w:eastAsia="Times New Roman" w:cs="Times New Roman"/>
                <w:b/>
                <w:bCs/>
                <w:color w:val="000000" w:themeColor="text1"/>
                <w:sz w:val="22"/>
              </w:rPr>
              <w:t>%</w:t>
            </w:r>
          </w:p>
        </w:tc>
        <w:tc>
          <w:tcPr>
            <w:tcW w:w="776" w:type="dxa"/>
            <w:tcBorders>
              <w:top w:val="single" w:sz="4" w:space="0" w:color="auto"/>
              <w:left w:val="single" w:sz="4" w:space="0" w:color="auto"/>
              <w:bottom w:val="single" w:sz="4" w:space="0" w:color="auto"/>
              <w:right w:val="single" w:sz="4" w:space="0" w:color="auto"/>
            </w:tcBorders>
            <w:shd w:val="clear" w:color="auto" w:fill="E7E6E6" w:themeFill="background2"/>
          </w:tcPr>
          <w:p w14:paraId="303854B8"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GWh</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14:paraId="7C16E344" w14:textId="77777777" w:rsidR="00EE1CF5" w:rsidRPr="00046D62" w:rsidRDefault="00EE1CF5" w:rsidP="00263AB1">
            <w:pPr>
              <w:jc w:val="center"/>
              <w:rPr>
                <w:rFonts w:eastAsia="Times New Roman" w:cs="Times New Roman"/>
                <w:b/>
                <w:bCs/>
                <w:color w:val="000000" w:themeColor="text1"/>
                <w:sz w:val="22"/>
              </w:rPr>
            </w:pPr>
            <w:r w:rsidRPr="00046D62">
              <w:rPr>
                <w:rFonts w:eastAsia="Times New Roman" w:cs="Times New Roman"/>
                <w:b/>
                <w:bCs/>
                <w:color w:val="000000" w:themeColor="text1"/>
                <w:sz w:val="22"/>
              </w:rPr>
              <w:t>%</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14:paraId="1519B266"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milj. EUR</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14:paraId="15DDAEED" w14:textId="77777777" w:rsidR="00EE1CF5" w:rsidRPr="00046D62" w:rsidRDefault="00EE1CF5" w:rsidP="00263AB1">
            <w:pPr>
              <w:jc w:val="center"/>
              <w:rPr>
                <w:rFonts w:eastAsia="Times New Roman" w:cs="Times New Roman"/>
                <w:b/>
                <w:bCs/>
                <w:color w:val="000000" w:themeColor="text1"/>
                <w:sz w:val="22"/>
              </w:rPr>
            </w:pPr>
            <w:r w:rsidRPr="00046D62">
              <w:rPr>
                <w:rFonts w:eastAsia="Times New Roman" w:cs="Times New Roman"/>
                <w:b/>
                <w:bCs/>
                <w:color w:val="000000" w:themeColor="text1"/>
                <w:sz w:val="22"/>
              </w:rPr>
              <w:t>%</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14:paraId="748C7297"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milj. EUR</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14:paraId="4B150969" w14:textId="77777777" w:rsidR="00EE1CF5" w:rsidRPr="00046D62" w:rsidRDefault="00EE1CF5" w:rsidP="00263AB1">
            <w:pPr>
              <w:jc w:val="center"/>
              <w:rPr>
                <w:rFonts w:eastAsia="Times New Roman" w:cs="Times New Roman"/>
                <w:b/>
                <w:bCs/>
                <w:color w:val="000000" w:themeColor="text1"/>
                <w:sz w:val="22"/>
              </w:rPr>
            </w:pPr>
            <w:r w:rsidRPr="00046D62">
              <w:rPr>
                <w:rFonts w:eastAsia="Times New Roman" w:cs="Times New Roman"/>
                <w:b/>
                <w:bCs/>
                <w:color w:val="000000" w:themeColor="text1"/>
                <w:sz w:val="22"/>
              </w:rPr>
              <w:t>%</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14:paraId="0116D30C"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milj. EUR</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14:paraId="63AB14ED" w14:textId="77777777" w:rsidR="00EE1CF5" w:rsidRPr="00046D62" w:rsidRDefault="00EE1CF5" w:rsidP="00263AB1">
            <w:pPr>
              <w:jc w:val="center"/>
              <w:rPr>
                <w:rFonts w:eastAsia="Times New Roman" w:cs="Times New Roman"/>
                <w:b/>
                <w:bCs/>
                <w:color w:val="000000" w:themeColor="text1"/>
                <w:sz w:val="22"/>
              </w:rPr>
            </w:pPr>
            <w:r w:rsidRPr="00046D62">
              <w:rPr>
                <w:rFonts w:eastAsia="Times New Roman" w:cs="Times New Roman"/>
                <w:b/>
                <w:bCs/>
                <w:color w:val="000000" w:themeColor="text1"/>
                <w:sz w:val="22"/>
              </w:rPr>
              <w:t>%</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14:paraId="354EB053"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milj. EUR</w:t>
            </w:r>
          </w:p>
        </w:tc>
        <w:tc>
          <w:tcPr>
            <w:tcW w:w="775" w:type="dxa"/>
            <w:tcBorders>
              <w:top w:val="single" w:sz="4" w:space="0" w:color="auto"/>
              <w:left w:val="single" w:sz="4" w:space="0" w:color="auto"/>
              <w:bottom w:val="single" w:sz="4" w:space="0" w:color="auto"/>
              <w:right w:val="single" w:sz="4" w:space="0" w:color="auto"/>
            </w:tcBorders>
            <w:shd w:val="clear" w:color="auto" w:fill="E7E6E6" w:themeFill="background2"/>
          </w:tcPr>
          <w:p w14:paraId="26CF387F" w14:textId="77777777" w:rsidR="00EE1CF5" w:rsidRPr="00046D62" w:rsidRDefault="00EE1CF5" w:rsidP="00263AB1">
            <w:pPr>
              <w:jc w:val="center"/>
              <w:rPr>
                <w:rFonts w:eastAsia="Times New Roman" w:cs="Times New Roman"/>
                <w:b/>
                <w:bCs/>
                <w:color w:val="000000" w:themeColor="text1"/>
                <w:sz w:val="22"/>
              </w:rPr>
            </w:pPr>
            <w:r w:rsidRPr="00046D62">
              <w:rPr>
                <w:rFonts w:eastAsia="Times New Roman" w:cs="Times New Roman"/>
                <w:b/>
                <w:bCs/>
                <w:color w:val="000000" w:themeColor="text1"/>
                <w:sz w:val="22"/>
              </w:rPr>
              <w:t>%</w:t>
            </w:r>
          </w:p>
        </w:tc>
      </w:tr>
      <w:tr w:rsidR="00EE1CF5" w14:paraId="1AAD8050" w14:textId="77777777" w:rsidTr="00263AB1">
        <w:trPr>
          <w:trHeight w:val="189"/>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5B557D" w14:textId="77777777" w:rsidR="00EE1CF5" w:rsidRPr="00046D62" w:rsidRDefault="00EE1CF5" w:rsidP="00263AB1">
            <w:pPr>
              <w:rPr>
                <w:rFonts w:eastAsia="Times New Roman" w:cs="Times New Roman"/>
                <w:color w:val="000000" w:themeColor="text1"/>
                <w:sz w:val="22"/>
              </w:rPr>
            </w:pPr>
            <w:r w:rsidRPr="00046D62">
              <w:rPr>
                <w:rFonts w:cs="Times New Roman"/>
                <w:color w:val="000000" w:themeColor="text1"/>
                <w:sz w:val="22"/>
              </w:rPr>
              <w:t>OI no AER</w:t>
            </w:r>
          </w:p>
        </w:tc>
        <w:tc>
          <w:tcPr>
            <w:tcW w:w="683" w:type="dxa"/>
            <w:tcBorders>
              <w:top w:val="single" w:sz="4" w:space="0" w:color="auto"/>
              <w:left w:val="single" w:sz="4" w:space="0" w:color="auto"/>
              <w:bottom w:val="single" w:sz="4" w:space="0" w:color="auto"/>
              <w:right w:val="single" w:sz="4" w:space="0" w:color="auto"/>
            </w:tcBorders>
            <w:vAlign w:val="center"/>
          </w:tcPr>
          <w:p w14:paraId="6FEB8994"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873,0</w:t>
            </w:r>
          </w:p>
        </w:tc>
        <w:tc>
          <w:tcPr>
            <w:tcW w:w="776" w:type="dxa"/>
            <w:tcBorders>
              <w:top w:val="single" w:sz="4" w:space="0" w:color="auto"/>
              <w:left w:val="single" w:sz="4" w:space="0" w:color="auto"/>
              <w:bottom w:val="single" w:sz="4" w:space="0" w:color="auto"/>
              <w:right w:val="single" w:sz="4" w:space="0" w:color="auto"/>
            </w:tcBorders>
            <w:vAlign w:val="center"/>
          </w:tcPr>
          <w:p w14:paraId="3A09E58E"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58,1</w:t>
            </w:r>
          </w:p>
        </w:tc>
        <w:tc>
          <w:tcPr>
            <w:tcW w:w="776" w:type="dxa"/>
            <w:tcBorders>
              <w:top w:val="single" w:sz="4" w:space="0" w:color="auto"/>
              <w:left w:val="single" w:sz="4" w:space="0" w:color="auto"/>
              <w:bottom w:val="single" w:sz="4" w:space="0" w:color="auto"/>
              <w:right w:val="single" w:sz="4" w:space="0" w:color="auto"/>
            </w:tcBorders>
          </w:tcPr>
          <w:p w14:paraId="28B85CEB"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1013,5</w:t>
            </w:r>
          </w:p>
        </w:tc>
        <w:tc>
          <w:tcPr>
            <w:tcW w:w="775" w:type="dxa"/>
            <w:tcBorders>
              <w:top w:val="single" w:sz="4" w:space="0" w:color="auto"/>
              <w:left w:val="single" w:sz="4" w:space="0" w:color="auto"/>
              <w:bottom w:val="single" w:sz="4" w:space="0" w:color="auto"/>
              <w:right w:val="single" w:sz="4" w:space="0" w:color="auto"/>
            </w:tcBorders>
          </w:tcPr>
          <w:p w14:paraId="43D15F2A"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64,7</w:t>
            </w:r>
          </w:p>
        </w:tc>
        <w:tc>
          <w:tcPr>
            <w:tcW w:w="775" w:type="dxa"/>
            <w:tcBorders>
              <w:top w:val="single" w:sz="4" w:space="0" w:color="auto"/>
              <w:left w:val="single" w:sz="4" w:space="0" w:color="auto"/>
              <w:bottom w:val="single" w:sz="4" w:space="0" w:color="auto"/>
              <w:right w:val="single" w:sz="4" w:space="0" w:color="auto"/>
            </w:tcBorders>
            <w:vAlign w:val="center"/>
          </w:tcPr>
          <w:p w14:paraId="523CA626"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123,0</w:t>
            </w:r>
          </w:p>
        </w:tc>
        <w:tc>
          <w:tcPr>
            <w:tcW w:w="775" w:type="dxa"/>
            <w:tcBorders>
              <w:top w:val="single" w:sz="4" w:space="0" w:color="auto"/>
              <w:left w:val="single" w:sz="4" w:space="0" w:color="auto"/>
              <w:bottom w:val="single" w:sz="4" w:space="0" w:color="auto"/>
              <w:right w:val="single" w:sz="4" w:space="0" w:color="auto"/>
            </w:tcBorders>
            <w:vAlign w:val="center"/>
          </w:tcPr>
          <w:p w14:paraId="7BBEDC1D"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42,3</w:t>
            </w:r>
          </w:p>
        </w:tc>
        <w:tc>
          <w:tcPr>
            <w:tcW w:w="775" w:type="dxa"/>
            <w:tcBorders>
              <w:top w:val="single" w:sz="4" w:space="0" w:color="auto"/>
              <w:left w:val="single" w:sz="4" w:space="0" w:color="auto"/>
              <w:bottom w:val="single" w:sz="4" w:space="0" w:color="auto"/>
              <w:right w:val="single" w:sz="4" w:space="0" w:color="auto"/>
            </w:tcBorders>
          </w:tcPr>
          <w:p w14:paraId="640F3C58"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154,2</w:t>
            </w:r>
          </w:p>
        </w:tc>
        <w:tc>
          <w:tcPr>
            <w:tcW w:w="775" w:type="dxa"/>
            <w:tcBorders>
              <w:top w:val="single" w:sz="4" w:space="0" w:color="auto"/>
              <w:left w:val="single" w:sz="4" w:space="0" w:color="auto"/>
              <w:bottom w:val="single" w:sz="4" w:space="0" w:color="auto"/>
              <w:right w:val="single" w:sz="4" w:space="0" w:color="auto"/>
            </w:tcBorders>
          </w:tcPr>
          <w:p w14:paraId="378AE6E4"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48,2</w:t>
            </w:r>
          </w:p>
        </w:tc>
        <w:tc>
          <w:tcPr>
            <w:tcW w:w="775" w:type="dxa"/>
            <w:tcBorders>
              <w:top w:val="single" w:sz="4" w:space="0" w:color="auto"/>
              <w:left w:val="single" w:sz="4" w:space="0" w:color="auto"/>
              <w:bottom w:val="single" w:sz="4" w:space="0" w:color="auto"/>
              <w:right w:val="single" w:sz="4" w:space="0" w:color="auto"/>
            </w:tcBorders>
            <w:vAlign w:val="center"/>
          </w:tcPr>
          <w:p w14:paraId="66C89A62"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91,9</w:t>
            </w:r>
          </w:p>
        </w:tc>
        <w:tc>
          <w:tcPr>
            <w:tcW w:w="775" w:type="dxa"/>
            <w:tcBorders>
              <w:top w:val="single" w:sz="4" w:space="0" w:color="auto"/>
              <w:left w:val="single" w:sz="4" w:space="0" w:color="auto"/>
              <w:bottom w:val="single" w:sz="4" w:space="0" w:color="auto"/>
              <w:right w:val="single" w:sz="4" w:space="0" w:color="auto"/>
            </w:tcBorders>
            <w:vAlign w:val="center"/>
          </w:tcPr>
          <w:p w14:paraId="38D78E79"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38,8</w:t>
            </w:r>
          </w:p>
        </w:tc>
        <w:tc>
          <w:tcPr>
            <w:tcW w:w="775" w:type="dxa"/>
            <w:tcBorders>
              <w:top w:val="single" w:sz="4" w:space="0" w:color="auto"/>
              <w:left w:val="single" w:sz="4" w:space="0" w:color="auto"/>
              <w:bottom w:val="single" w:sz="4" w:space="0" w:color="auto"/>
              <w:right w:val="single" w:sz="4" w:space="0" w:color="auto"/>
            </w:tcBorders>
          </w:tcPr>
          <w:p w14:paraId="40818EE0"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119,4</w:t>
            </w:r>
          </w:p>
        </w:tc>
        <w:tc>
          <w:tcPr>
            <w:tcW w:w="775" w:type="dxa"/>
            <w:tcBorders>
              <w:top w:val="single" w:sz="4" w:space="0" w:color="auto"/>
              <w:left w:val="single" w:sz="4" w:space="0" w:color="auto"/>
              <w:bottom w:val="single" w:sz="4" w:space="0" w:color="auto"/>
              <w:right w:val="single" w:sz="4" w:space="0" w:color="auto"/>
            </w:tcBorders>
          </w:tcPr>
          <w:p w14:paraId="4552F5D3"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44,8</w:t>
            </w:r>
          </w:p>
        </w:tc>
      </w:tr>
      <w:tr w:rsidR="00EE1CF5" w14:paraId="08749BDF" w14:textId="77777777" w:rsidTr="00263AB1">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203CAE" w14:textId="77777777" w:rsidR="00EE1CF5" w:rsidRPr="00046D62" w:rsidRDefault="00EE1CF5" w:rsidP="00263AB1">
            <w:pPr>
              <w:rPr>
                <w:rFonts w:eastAsia="Times New Roman" w:cs="Times New Roman"/>
                <w:color w:val="000000" w:themeColor="text1"/>
                <w:sz w:val="22"/>
              </w:rPr>
            </w:pPr>
            <w:r w:rsidRPr="00046D62">
              <w:rPr>
                <w:rFonts w:cs="Times New Roman"/>
                <w:i/>
                <w:iCs/>
                <w:color w:val="000000" w:themeColor="text1"/>
                <w:sz w:val="22"/>
              </w:rPr>
              <w:t>Biogāzes elektro-stacijas</w:t>
            </w:r>
          </w:p>
        </w:tc>
        <w:tc>
          <w:tcPr>
            <w:tcW w:w="624" w:type="dxa"/>
            <w:tcBorders>
              <w:top w:val="single" w:sz="4" w:space="0" w:color="auto"/>
              <w:left w:val="single" w:sz="4" w:space="0" w:color="auto"/>
              <w:bottom w:val="single" w:sz="4" w:space="0" w:color="auto"/>
              <w:right w:val="single" w:sz="4" w:space="0" w:color="auto"/>
            </w:tcBorders>
            <w:vAlign w:val="center"/>
          </w:tcPr>
          <w:p w14:paraId="28C49ADB"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378,0</w:t>
            </w:r>
          </w:p>
        </w:tc>
        <w:tc>
          <w:tcPr>
            <w:tcW w:w="624" w:type="dxa"/>
            <w:tcBorders>
              <w:top w:val="single" w:sz="4" w:space="0" w:color="auto"/>
              <w:left w:val="single" w:sz="4" w:space="0" w:color="auto"/>
              <w:bottom w:val="single" w:sz="4" w:space="0" w:color="auto"/>
              <w:right w:val="single" w:sz="4" w:space="0" w:color="auto"/>
            </w:tcBorders>
            <w:vAlign w:val="center"/>
          </w:tcPr>
          <w:p w14:paraId="19758D84"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25,1</w:t>
            </w:r>
          </w:p>
        </w:tc>
        <w:tc>
          <w:tcPr>
            <w:tcW w:w="624" w:type="dxa"/>
            <w:tcBorders>
              <w:top w:val="single" w:sz="4" w:space="0" w:color="auto"/>
              <w:left w:val="single" w:sz="4" w:space="0" w:color="auto"/>
              <w:bottom w:val="single" w:sz="4" w:space="0" w:color="auto"/>
              <w:right w:val="single" w:sz="4" w:space="0" w:color="auto"/>
            </w:tcBorders>
            <w:vAlign w:val="center"/>
          </w:tcPr>
          <w:p w14:paraId="4DC2BF25"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385,3</w:t>
            </w:r>
          </w:p>
        </w:tc>
        <w:tc>
          <w:tcPr>
            <w:tcW w:w="624" w:type="dxa"/>
            <w:tcBorders>
              <w:top w:val="single" w:sz="4" w:space="0" w:color="auto"/>
              <w:left w:val="single" w:sz="4" w:space="0" w:color="auto"/>
              <w:bottom w:val="single" w:sz="4" w:space="0" w:color="auto"/>
              <w:right w:val="single" w:sz="4" w:space="0" w:color="auto"/>
            </w:tcBorders>
            <w:vAlign w:val="center"/>
          </w:tcPr>
          <w:p w14:paraId="432BBF24"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24,6</w:t>
            </w:r>
          </w:p>
        </w:tc>
        <w:tc>
          <w:tcPr>
            <w:tcW w:w="624" w:type="dxa"/>
            <w:tcBorders>
              <w:top w:val="single" w:sz="4" w:space="0" w:color="auto"/>
              <w:left w:val="single" w:sz="4" w:space="0" w:color="auto"/>
              <w:bottom w:val="single" w:sz="4" w:space="0" w:color="auto"/>
              <w:right w:val="single" w:sz="4" w:space="0" w:color="auto"/>
            </w:tcBorders>
            <w:vAlign w:val="center"/>
          </w:tcPr>
          <w:p w14:paraId="0050939C"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61,5</w:t>
            </w:r>
          </w:p>
        </w:tc>
        <w:tc>
          <w:tcPr>
            <w:tcW w:w="624" w:type="dxa"/>
            <w:tcBorders>
              <w:top w:val="single" w:sz="4" w:space="0" w:color="auto"/>
              <w:left w:val="single" w:sz="4" w:space="0" w:color="auto"/>
              <w:bottom w:val="single" w:sz="4" w:space="0" w:color="auto"/>
              <w:right w:val="single" w:sz="4" w:space="0" w:color="auto"/>
            </w:tcBorders>
            <w:vAlign w:val="center"/>
          </w:tcPr>
          <w:p w14:paraId="2E3B7EBF"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21,1</w:t>
            </w:r>
          </w:p>
        </w:tc>
        <w:tc>
          <w:tcPr>
            <w:tcW w:w="624" w:type="dxa"/>
            <w:tcBorders>
              <w:top w:val="single" w:sz="4" w:space="0" w:color="auto"/>
              <w:left w:val="single" w:sz="4" w:space="0" w:color="auto"/>
              <w:bottom w:val="single" w:sz="4" w:space="0" w:color="auto"/>
              <w:right w:val="single" w:sz="4" w:space="0" w:color="auto"/>
            </w:tcBorders>
            <w:vAlign w:val="center"/>
          </w:tcPr>
          <w:p w14:paraId="3B7A2C45"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66,6</w:t>
            </w:r>
          </w:p>
        </w:tc>
        <w:tc>
          <w:tcPr>
            <w:tcW w:w="624" w:type="dxa"/>
            <w:tcBorders>
              <w:top w:val="single" w:sz="4" w:space="0" w:color="auto"/>
              <w:left w:val="single" w:sz="4" w:space="0" w:color="auto"/>
              <w:bottom w:val="single" w:sz="4" w:space="0" w:color="auto"/>
              <w:right w:val="single" w:sz="4" w:space="0" w:color="auto"/>
            </w:tcBorders>
            <w:vAlign w:val="center"/>
          </w:tcPr>
          <w:p w14:paraId="590134D9"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20,8</w:t>
            </w:r>
          </w:p>
        </w:tc>
        <w:tc>
          <w:tcPr>
            <w:tcW w:w="624" w:type="dxa"/>
            <w:tcBorders>
              <w:top w:val="single" w:sz="4" w:space="0" w:color="auto"/>
              <w:left w:val="single" w:sz="4" w:space="0" w:color="auto"/>
              <w:bottom w:val="single" w:sz="4" w:space="0" w:color="auto"/>
              <w:right w:val="single" w:sz="4" w:space="0" w:color="auto"/>
            </w:tcBorders>
            <w:vAlign w:val="center"/>
          </w:tcPr>
          <w:p w14:paraId="1E55443F"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47,9</w:t>
            </w:r>
          </w:p>
        </w:tc>
        <w:tc>
          <w:tcPr>
            <w:tcW w:w="624" w:type="dxa"/>
            <w:tcBorders>
              <w:top w:val="single" w:sz="4" w:space="0" w:color="auto"/>
              <w:left w:val="single" w:sz="4" w:space="0" w:color="auto"/>
              <w:bottom w:val="single" w:sz="4" w:space="0" w:color="auto"/>
              <w:right w:val="single" w:sz="4" w:space="0" w:color="auto"/>
            </w:tcBorders>
            <w:vAlign w:val="center"/>
          </w:tcPr>
          <w:p w14:paraId="4827EF71"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20,2</w:t>
            </w:r>
          </w:p>
        </w:tc>
        <w:tc>
          <w:tcPr>
            <w:tcW w:w="624" w:type="dxa"/>
            <w:tcBorders>
              <w:top w:val="single" w:sz="4" w:space="0" w:color="auto"/>
              <w:left w:val="single" w:sz="4" w:space="0" w:color="auto"/>
              <w:bottom w:val="single" w:sz="4" w:space="0" w:color="auto"/>
              <w:right w:val="single" w:sz="4" w:space="0" w:color="auto"/>
            </w:tcBorders>
            <w:vAlign w:val="center"/>
          </w:tcPr>
          <w:p w14:paraId="3F1991A0"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53,3</w:t>
            </w:r>
          </w:p>
        </w:tc>
        <w:tc>
          <w:tcPr>
            <w:tcW w:w="624" w:type="dxa"/>
            <w:tcBorders>
              <w:top w:val="single" w:sz="4" w:space="0" w:color="auto"/>
              <w:left w:val="single" w:sz="4" w:space="0" w:color="auto"/>
              <w:bottom w:val="single" w:sz="4" w:space="0" w:color="auto"/>
              <w:right w:val="single" w:sz="4" w:space="0" w:color="auto"/>
            </w:tcBorders>
            <w:vAlign w:val="center"/>
          </w:tcPr>
          <w:p w14:paraId="52F47D37"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20,0</w:t>
            </w:r>
          </w:p>
        </w:tc>
      </w:tr>
      <w:tr w:rsidR="00EE1CF5" w14:paraId="1127F690" w14:textId="77777777" w:rsidTr="00263AB1">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8C7B45" w14:textId="77777777" w:rsidR="00EE1CF5" w:rsidRPr="00046D62" w:rsidRDefault="00EE1CF5" w:rsidP="00263AB1">
            <w:pPr>
              <w:rPr>
                <w:rFonts w:eastAsia="Times New Roman" w:cs="Times New Roman"/>
                <w:color w:val="000000" w:themeColor="text1"/>
                <w:sz w:val="22"/>
              </w:rPr>
            </w:pPr>
            <w:r w:rsidRPr="00046D62">
              <w:rPr>
                <w:rFonts w:cs="Times New Roman"/>
                <w:i/>
                <w:iCs/>
                <w:color w:val="000000" w:themeColor="text1"/>
                <w:sz w:val="22"/>
              </w:rPr>
              <w:t>Biomasas elektro-stacijas</w:t>
            </w:r>
          </w:p>
        </w:tc>
        <w:tc>
          <w:tcPr>
            <w:tcW w:w="683" w:type="dxa"/>
            <w:tcBorders>
              <w:top w:val="single" w:sz="4" w:space="0" w:color="auto"/>
              <w:left w:val="single" w:sz="4" w:space="0" w:color="auto"/>
              <w:bottom w:val="single" w:sz="4" w:space="0" w:color="auto"/>
              <w:right w:val="single" w:sz="4" w:space="0" w:color="auto"/>
            </w:tcBorders>
            <w:vAlign w:val="center"/>
          </w:tcPr>
          <w:p w14:paraId="34620E49"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301,3</w:t>
            </w:r>
          </w:p>
        </w:tc>
        <w:tc>
          <w:tcPr>
            <w:tcW w:w="776" w:type="dxa"/>
            <w:tcBorders>
              <w:top w:val="single" w:sz="4" w:space="0" w:color="auto"/>
              <w:left w:val="single" w:sz="4" w:space="0" w:color="auto"/>
              <w:bottom w:val="single" w:sz="4" w:space="0" w:color="auto"/>
              <w:right w:val="single" w:sz="4" w:space="0" w:color="auto"/>
            </w:tcBorders>
            <w:vAlign w:val="center"/>
          </w:tcPr>
          <w:p w14:paraId="30CAE90D"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20,0</w:t>
            </w:r>
          </w:p>
        </w:tc>
        <w:tc>
          <w:tcPr>
            <w:tcW w:w="776" w:type="dxa"/>
            <w:tcBorders>
              <w:top w:val="single" w:sz="4" w:space="0" w:color="auto"/>
              <w:left w:val="single" w:sz="4" w:space="0" w:color="auto"/>
              <w:bottom w:val="single" w:sz="4" w:space="0" w:color="auto"/>
              <w:right w:val="single" w:sz="4" w:space="0" w:color="auto"/>
            </w:tcBorders>
            <w:vAlign w:val="center"/>
          </w:tcPr>
          <w:p w14:paraId="735B6C17"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396,6</w:t>
            </w:r>
          </w:p>
        </w:tc>
        <w:tc>
          <w:tcPr>
            <w:tcW w:w="775" w:type="dxa"/>
            <w:tcBorders>
              <w:top w:val="single" w:sz="4" w:space="0" w:color="auto"/>
              <w:left w:val="single" w:sz="4" w:space="0" w:color="auto"/>
              <w:bottom w:val="single" w:sz="4" w:space="0" w:color="auto"/>
              <w:right w:val="single" w:sz="4" w:space="0" w:color="auto"/>
            </w:tcBorders>
            <w:vAlign w:val="center"/>
          </w:tcPr>
          <w:p w14:paraId="154E9C6E"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25,3</w:t>
            </w:r>
          </w:p>
        </w:tc>
        <w:tc>
          <w:tcPr>
            <w:tcW w:w="775" w:type="dxa"/>
            <w:tcBorders>
              <w:top w:val="single" w:sz="4" w:space="0" w:color="auto"/>
              <w:left w:val="single" w:sz="4" w:space="0" w:color="auto"/>
              <w:bottom w:val="single" w:sz="4" w:space="0" w:color="auto"/>
              <w:right w:val="single" w:sz="4" w:space="0" w:color="auto"/>
            </w:tcBorders>
            <w:vAlign w:val="center"/>
          </w:tcPr>
          <w:p w14:paraId="03D3D4FF"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35,2</w:t>
            </w:r>
          </w:p>
        </w:tc>
        <w:tc>
          <w:tcPr>
            <w:tcW w:w="775" w:type="dxa"/>
            <w:tcBorders>
              <w:top w:val="single" w:sz="4" w:space="0" w:color="auto"/>
              <w:left w:val="single" w:sz="4" w:space="0" w:color="auto"/>
              <w:bottom w:val="single" w:sz="4" w:space="0" w:color="auto"/>
              <w:right w:val="single" w:sz="4" w:space="0" w:color="auto"/>
            </w:tcBorders>
            <w:vAlign w:val="center"/>
          </w:tcPr>
          <w:p w14:paraId="709EF47B"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12,1</w:t>
            </w:r>
          </w:p>
        </w:tc>
        <w:tc>
          <w:tcPr>
            <w:tcW w:w="775" w:type="dxa"/>
            <w:tcBorders>
              <w:top w:val="single" w:sz="4" w:space="0" w:color="auto"/>
              <w:left w:val="single" w:sz="4" w:space="0" w:color="auto"/>
              <w:bottom w:val="single" w:sz="4" w:space="0" w:color="auto"/>
              <w:right w:val="single" w:sz="4" w:space="0" w:color="auto"/>
            </w:tcBorders>
            <w:vAlign w:val="center"/>
          </w:tcPr>
          <w:p w14:paraId="1D15F537"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56,5</w:t>
            </w:r>
          </w:p>
        </w:tc>
        <w:tc>
          <w:tcPr>
            <w:tcW w:w="775" w:type="dxa"/>
            <w:tcBorders>
              <w:top w:val="single" w:sz="4" w:space="0" w:color="auto"/>
              <w:left w:val="single" w:sz="4" w:space="0" w:color="auto"/>
              <w:bottom w:val="single" w:sz="4" w:space="0" w:color="auto"/>
              <w:right w:val="single" w:sz="4" w:space="0" w:color="auto"/>
            </w:tcBorders>
            <w:vAlign w:val="center"/>
          </w:tcPr>
          <w:p w14:paraId="6E6D136C"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17,6</w:t>
            </w:r>
          </w:p>
        </w:tc>
        <w:tc>
          <w:tcPr>
            <w:tcW w:w="775" w:type="dxa"/>
            <w:tcBorders>
              <w:top w:val="single" w:sz="4" w:space="0" w:color="auto"/>
              <w:left w:val="single" w:sz="4" w:space="0" w:color="auto"/>
              <w:bottom w:val="single" w:sz="4" w:space="0" w:color="auto"/>
              <w:right w:val="single" w:sz="4" w:space="0" w:color="auto"/>
            </w:tcBorders>
            <w:vAlign w:val="center"/>
          </w:tcPr>
          <w:p w14:paraId="698F0B45"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24,4</w:t>
            </w:r>
          </w:p>
        </w:tc>
        <w:tc>
          <w:tcPr>
            <w:tcW w:w="775" w:type="dxa"/>
            <w:tcBorders>
              <w:top w:val="single" w:sz="4" w:space="0" w:color="auto"/>
              <w:left w:val="single" w:sz="4" w:space="0" w:color="auto"/>
              <w:bottom w:val="single" w:sz="4" w:space="0" w:color="auto"/>
              <w:right w:val="single" w:sz="4" w:space="0" w:color="auto"/>
            </w:tcBorders>
            <w:vAlign w:val="center"/>
          </w:tcPr>
          <w:p w14:paraId="2FB04BC8"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10,3</w:t>
            </w:r>
          </w:p>
        </w:tc>
        <w:tc>
          <w:tcPr>
            <w:tcW w:w="775" w:type="dxa"/>
            <w:tcBorders>
              <w:top w:val="single" w:sz="4" w:space="0" w:color="auto"/>
              <w:left w:val="single" w:sz="4" w:space="0" w:color="auto"/>
              <w:bottom w:val="single" w:sz="4" w:space="0" w:color="auto"/>
              <w:right w:val="single" w:sz="4" w:space="0" w:color="auto"/>
            </w:tcBorders>
            <w:vAlign w:val="center"/>
          </w:tcPr>
          <w:p w14:paraId="1957F8D9"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42,8</w:t>
            </w:r>
          </w:p>
        </w:tc>
        <w:tc>
          <w:tcPr>
            <w:tcW w:w="775" w:type="dxa"/>
            <w:tcBorders>
              <w:top w:val="single" w:sz="4" w:space="0" w:color="auto"/>
              <w:left w:val="single" w:sz="4" w:space="0" w:color="auto"/>
              <w:bottom w:val="single" w:sz="4" w:space="0" w:color="auto"/>
              <w:right w:val="single" w:sz="4" w:space="0" w:color="auto"/>
            </w:tcBorders>
            <w:vAlign w:val="center"/>
          </w:tcPr>
          <w:p w14:paraId="5EF2515B"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16,1</w:t>
            </w:r>
          </w:p>
        </w:tc>
      </w:tr>
      <w:tr w:rsidR="00EE1CF5" w14:paraId="05BF8496" w14:textId="77777777" w:rsidTr="00263AB1">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2AB85F" w14:textId="77777777" w:rsidR="00EE1CF5" w:rsidRPr="00046D62" w:rsidRDefault="00EE1CF5" w:rsidP="00263AB1">
            <w:pPr>
              <w:rPr>
                <w:rFonts w:eastAsia="Times New Roman" w:cs="Times New Roman"/>
                <w:color w:val="000000" w:themeColor="text1"/>
                <w:sz w:val="22"/>
              </w:rPr>
            </w:pPr>
            <w:r w:rsidRPr="00046D62">
              <w:rPr>
                <w:rFonts w:cs="Times New Roman"/>
                <w:i/>
                <w:iCs/>
                <w:color w:val="000000" w:themeColor="text1"/>
                <w:sz w:val="22"/>
              </w:rPr>
              <w:t>Vēja elektro-stacijas</w:t>
            </w:r>
          </w:p>
        </w:tc>
        <w:tc>
          <w:tcPr>
            <w:tcW w:w="683" w:type="dxa"/>
            <w:tcBorders>
              <w:top w:val="single" w:sz="4" w:space="0" w:color="auto"/>
              <w:left w:val="single" w:sz="4" w:space="0" w:color="auto"/>
              <w:bottom w:val="single" w:sz="4" w:space="0" w:color="auto"/>
              <w:right w:val="single" w:sz="4" w:space="0" w:color="auto"/>
            </w:tcBorders>
            <w:vAlign w:val="center"/>
          </w:tcPr>
          <w:p w14:paraId="12EFE7FC"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115,8</w:t>
            </w:r>
          </w:p>
        </w:tc>
        <w:tc>
          <w:tcPr>
            <w:tcW w:w="776" w:type="dxa"/>
            <w:tcBorders>
              <w:top w:val="single" w:sz="4" w:space="0" w:color="auto"/>
              <w:left w:val="single" w:sz="4" w:space="0" w:color="auto"/>
              <w:bottom w:val="single" w:sz="4" w:space="0" w:color="auto"/>
              <w:right w:val="single" w:sz="4" w:space="0" w:color="auto"/>
            </w:tcBorders>
            <w:vAlign w:val="center"/>
          </w:tcPr>
          <w:p w14:paraId="18A36F5D"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7,7</w:t>
            </w:r>
          </w:p>
        </w:tc>
        <w:tc>
          <w:tcPr>
            <w:tcW w:w="776" w:type="dxa"/>
            <w:tcBorders>
              <w:top w:val="single" w:sz="4" w:space="0" w:color="auto"/>
              <w:left w:val="single" w:sz="4" w:space="0" w:color="auto"/>
              <w:bottom w:val="single" w:sz="4" w:space="0" w:color="auto"/>
              <w:right w:val="single" w:sz="4" w:space="0" w:color="auto"/>
            </w:tcBorders>
            <w:vAlign w:val="center"/>
          </w:tcPr>
          <w:p w14:paraId="50F3FAD5"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135,2</w:t>
            </w:r>
          </w:p>
        </w:tc>
        <w:tc>
          <w:tcPr>
            <w:tcW w:w="775" w:type="dxa"/>
            <w:tcBorders>
              <w:top w:val="single" w:sz="4" w:space="0" w:color="auto"/>
              <w:left w:val="single" w:sz="4" w:space="0" w:color="auto"/>
              <w:bottom w:val="single" w:sz="4" w:space="0" w:color="auto"/>
              <w:right w:val="single" w:sz="4" w:space="0" w:color="auto"/>
            </w:tcBorders>
            <w:vAlign w:val="center"/>
          </w:tcPr>
          <w:p w14:paraId="3AEA9220"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8,6</w:t>
            </w:r>
          </w:p>
        </w:tc>
        <w:tc>
          <w:tcPr>
            <w:tcW w:w="775" w:type="dxa"/>
            <w:tcBorders>
              <w:top w:val="single" w:sz="4" w:space="0" w:color="auto"/>
              <w:left w:val="single" w:sz="4" w:space="0" w:color="auto"/>
              <w:bottom w:val="single" w:sz="4" w:space="0" w:color="auto"/>
              <w:right w:val="single" w:sz="4" w:space="0" w:color="auto"/>
            </w:tcBorders>
            <w:vAlign w:val="center"/>
          </w:tcPr>
          <w:p w14:paraId="53F499CF"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12,3</w:t>
            </w:r>
          </w:p>
        </w:tc>
        <w:tc>
          <w:tcPr>
            <w:tcW w:w="775" w:type="dxa"/>
            <w:tcBorders>
              <w:top w:val="single" w:sz="4" w:space="0" w:color="auto"/>
              <w:left w:val="single" w:sz="4" w:space="0" w:color="auto"/>
              <w:bottom w:val="single" w:sz="4" w:space="0" w:color="auto"/>
              <w:right w:val="single" w:sz="4" w:space="0" w:color="auto"/>
            </w:tcBorders>
            <w:vAlign w:val="center"/>
          </w:tcPr>
          <w:p w14:paraId="69BD7F46"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4,2</w:t>
            </w:r>
          </w:p>
        </w:tc>
        <w:tc>
          <w:tcPr>
            <w:tcW w:w="775" w:type="dxa"/>
            <w:tcBorders>
              <w:top w:val="single" w:sz="4" w:space="0" w:color="auto"/>
              <w:left w:val="single" w:sz="4" w:space="0" w:color="auto"/>
              <w:bottom w:val="single" w:sz="4" w:space="0" w:color="auto"/>
              <w:right w:val="single" w:sz="4" w:space="0" w:color="auto"/>
            </w:tcBorders>
            <w:vAlign w:val="center"/>
          </w:tcPr>
          <w:p w14:paraId="25C8A1E8"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14,5</w:t>
            </w:r>
          </w:p>
        </w:tc>
        <w:tc>
          <w:tcPr>
            <w:tcW w:w="775" w:type="dxa"/>
            <w:tcBorders>
              <w:top w:val="single" w:sz="4" w:space="0" w:color="auto"/>
              <w:left w:val="single" w:sz="4" w:space="0" w:color="auto"/>
              <w:bottom w:val="single" w:sz="4" w:space="0" w:color="auto"/>
              <w:right w:val="single" w:sz="4" w:space="0" w:color="auto"/>
            </w:tcBorders>
            <w:vAlign w:val="center"/>
          </w:tcPr>
          <w:p w14:paraId="1CF81654"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4,5</w:t>
            </w:r>
          </w:p>
        </w:tc>
        <w:tc>
          <w:tcPr>
            <w:tcW w:w="775" w:type="dxa"/>
            <w:tcBorders>
              <w:top w:val="single" w:sz="4" w:space="0" w:color="auto"/>
              <w:left w:val="single" w:sz="4" w:space="0" w:color="auto"/>
              <w:bottom w:val="single" w:sz="4" w:space="0" w:color="auto"/>
              <w:right w:val="single" w:sz="4" w:space="0" w:color="auto"/>
            </w:tcBorders>
            <w:vAlign w:val="center"/>
          </w:tcPr>
          <w:p w14:paraId="747D4E35"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8,3</w:t>
            </w:r>
          </w:p>
        </w:tc>
        <w:tc>
          <w:tcPr>
            <w:tcW w:w="775" w:type="dxa"/>
            <w:tcBorders>
              <w:top w:val="single" w:sz="4" w:space="0" w:color="auto"/>
              <w:left w:val="single" w:sz="4" w:space="0" w:color="auto"/>
              <w:bottom w:val="single" w:sz="4" w:space="0" w:color="auto"/>
              <w:right w:val="single" w:sz="4" w:space="0" w:color="auto"/>
            </w:tcBorders>
            <w:vAlign w:val="center"/>
          </w:tcPr>
          <w:p w14:paraId="062E4237"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3,5</w:t>
            </w:r>
          </w:p>
        </w:tc>
        <w:tc>
          <w:tcPr>
            <w:tcW w:w="775" w:type="dxa"/>
            <w:tcBorders>
              <w:top w:val="single" w:sz="4" w:space="0" w:color="auto"/>
              <w:left w:val="single" w:sz="4" w:space="0" w:color="auto"/>
              <w:bottom w:val="single" w:sz="4" w:space="0" w:color="auto"/>
              <w:right w:val="single" w:sz="4" w:space="0" w:color="auto"/>
            </w:tcBorders>
            <w:vAlign w:val="center"/>
          </w:tcPr>
          <w:p w14:paraId="37AEEE4E"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10,0</w:t>
            </w:r>
          </w:p>
        </w:tc>
        <w:tc>
          <w:tcPr>
            <w:tcW w:w="775" w:type="dxa"/>
            <w:tcBorders>
              <w:top w:val="single" w:sz="4" w:space="0" w:color="auto"/>
              <w:left w:val="single" w:sz="4" w:space="0" w:color="auto"/>
              <w:bottom w:val="single" w:sz="4" w:space="0" w:color="auto"/>
              <w:right w:val="single" w:sz="4" w:space="0" w:color="auto"/>
            </w:tcBorders>
            <w:vAlign w:val="center"/>
          </w:tcPr>
          <w:p w14:paraId="4CF8F443"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3,8</w:t>
            </w:r>
          </w:p>
        </w:tc>
      </w:tr>
      <w:tr w:rsidR="00EE1CF5" w14:paraId="20508E69" w14:textId="77777777" w:rsidTr="00263AB1">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4E2498" w14:textId="77777777" w:rsidR="00EE1CF5" w:rsidRPr="00046D62" w:rsidRDefault="00EE1CF5" w:rsidP="00263AB1">
            <w:pPr>
              <w:rPr>
                <w:rFonts w:eastAsia="Times New Roman" w:cs="Times New Roman"/>
                <w:color w:val="000000" w:themeColor="text1"/>
                <w:sz w:val="22"/>
              </w:rPr>
            </w:pPr>
            <w:r w:rsidRPr="00046D62">
              <w:rPr>
                <w:rFonts w:cs="Times New Roman"/>
                <w:i/>
                <w:iCs/>
                <w:color w:val="000000" w:themeColor="text1"/>
                <w:sz w:val="22"/>
              </w:rPr>
              <w:t>Mazās HES (līdz 5 MW)</w:t>
            </w:r>
          </w:p>
        </w:tc>
        <w:tc>
          <w:tcPr>
            <w:tcW w:w="683" w:type="dxa"/>
            <w:tcBorders>
              <w:top w:val="single" w:sz="4" w:space="0" w:color="auto"/>
              <w:left w:val="single" w:sz="4" w:space="0" w:color="auto"/>
              <w:bottom w:val="single" w:sz="4" w:space="0" w:color="auto"/>
              <w:right w:val="single" w:sz="4" w:space="0" w:color="auto"/>
            </w:tcBorders>
            <w:vAlign w:val="center"/>
          </w:tcPr>
          <w:p w14:paraId="13DE943E"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77,8</w:t>
            </w:r>
          </w:p>
        </w:tc>
        <w:tc>
          <w:tcPr>
            <w:tcW w:w="776" w:type="dxa"/>
            <w:tcBorders>
              <w:top w:val="single" w:sz="4" w:space="0" w:color="auto"/>
              <w:left w:val="single" w:sz="4" w:space="0" w:color="auto"/>
              <w:bottom w:val="single" w:sz="4" w:space="0" w:color="auto"/>
              <w:right w:val="single" w:sz="4" w:space="0" w:color="auto"/>
            </w:tcBorders>
            <w:vAlign w:val="center"/>
          </w:tcPr>
          <w:p w14:paraId="5CE9CAC4"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5,2</w:t>
            </w:r>
          </w:p>
        </w:tc>
        <w:tc>
          <w:tcPr>
            <w:tcW w:w="776" w:type="dxa"/>
            <w:tcBorders>
              <w:top w:val="single" w:sz="4" w:space="0" w:color="auto"/>
              <w:left w:val="single" w:sz="4" w:space="0" w:color="auto"/>
              <w:bottom w:val="single" w:sz="4" w:space="0" w:color="auto"/>
              <w:right w:val="single" w:sz="4" w:space="0" w:color="auto"/>
            </w:tcBorders>
            <w:vAlign w:val="center"/>
          </w:tcPr>
          <w:p w14:paraId="10149C8B"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96,3</w:t>
            </w:r>
          </w:p>
        </w:tc>
        <w:tc>
          <w:tcPr>
            <w:tcW w:w="775" w:type="dxa"/>
            <w:tcBorders>
              <w:top w:val="single" w:sz="4" w:space="0" w:color="auto"/>
              <w:left w:val="single" w:sz="4" w:space="0" w:color="auto"/>
              <w:bottom w:val="single" w:sz="4" w:space="0" w:color="auto"/>
              <w:right w:val="single" w:sz="4" w:space="0" w:color="auto"/>
            </w:tcBorders>
            <w:vAlign w:val="center"/>
          </w:tcPr>
          <w:p w14:paraId="01C64416"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6,1</w:t>
            </w:r>
          </w:p>
        </w:tc>
        <w:tc>
          <w:tcPr>
            <w:tcW w:w="775" w:type="dxa"/>
            <w:tcBorders>
              <w:top w:val="single" w:sz="4" w:space="0" w:color="auto"/>
              <w:left w:val="single" w:sz="4" w:space="0" w:color="auto"/>
              <w:bottom w:val="single" w:sz="4" w:space="0" w:color="auto"/>
              <w:right w:val="single" w:sz="4" w:space="0" w:color="auto"/>
            </w:tcBorders>
            <w:vAlign w:val="center"/>
          </w:tcPr>
          <w:p w14:paraId="2E2EAD53"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14,0</w:t>
            </w:r>
          </w:p>
        </w:tc>
        <w:tc>
          <w:tcPr>
            <w:tcW w:w="775" w:type="dxa"/>
            <w:tcBorders>
              <w:top w:val="single" w:sz="4" w:space="0" w:color="auto"/>
              <w:left w:val="single" w:sz="4" w:space="0" w:color="auto"/>
              <w:bottom w:val="single" w:sz="4" w:space="0" w:color="auto"/>
              <w:right w:val="single" w:sz="4" w:space="0" w:color="auto"/>
            </w:tcBorders>
            <w:vAlign w:val="center"/>
          </w:tcPr>
          <w:p w14:paraId="4FBC1EDF"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4,8</w:t>
            </w:r>
          </w:p>
        </w:tc>
        <w:tc>
          <w:tcPr>
            <w:tcW w:w="775" w:type="dxa"/>
            <w:tcBorders>
              <w:top w:val="single" w:sz="4" w:space="0" w:color="auto"/>
              <w:left w:val="single" w:sz="4" w:space="0" w:color="auto"/>
              <w:bottom w:val="single" w:sz="4" w:space="0" w:color="auto"/>
              <w:right w:val="single" w:sz="4" w:space="0" w:color="auto"/>
            </w:tcBorders>
            <w:vAlign w:val="center"/>
          </w:tcPr>
          <w:p w14:paraId="7EF93A0F"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16,6</w:t>
            </w:r>
          </w:p>
        </w:tc>
        <w:tc>
          <w:tcPr>
            <w:tcW w:w="775" w:type="dxa"/>
            <w:tcBorders>
              <w:top w:val="single" w:sz="4" w:space="0" w:color="auto"/>
              <w:left w:val="single" w:sz="4" w:space="0" w:color="auto"/>
              <w:bottom w:val="single" w:sz="4" w:space="0" w:color="auto"/>
              <w:right w:val="single" w:sz="4" w:space="0" w:color="auto"/>
            </w:tcBorders>
            <w:vAlign w:val="center"/>
          </w:tcPr>
          <w:p w14:paraId="3A35449D"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5,2</w:t>
            </w:r>
          </w:p>
        </w:tc>
        <w:tc>
          <w:tcPr>
            <w:tcW w:w="775" w:type="dxa"/>
            <w:tcBorders>
              <w:top w:val="single" w:sz="4" w:space="0" w:color="auto"/>
              <w:left w:val="single" w:sz="4" w:space="0" w:color="auto"/>
              <w:bottom w:val="single" w:sz="4" w:space="0" w:color="auto"/>
              <w:right w:val="single" w:sz="4" w:space="0" w:color="auto"/>
            </w:tcBorders>
            <w:vAlign w:val="center"/>
          </w:tcPr>
          <w:p w14:paraId="28961BEB"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11,3</w:t>
            </w:r>
          </w:p>
        </w:tc>
        <w:tc>
          <w:tcPr>
            <w:tcW w:w="775" w:type="dxa"/>
            <w:tcBorders>
              <w:top w:val="single" w:sz="4" w:space="0" w:color="auto"/>
              <w:left w:val="single" w:sz="4" w:space="0" w:color="auto"/>
              <w:bottom w:val="single" w:sz="4" w:space="0" w:color="auto"/>
              <w:right w:val="single" w:sz="4" w:space="0" w:color="auto"/>
            </w:tcBorders>
            <w:vAlign w:val="center"/>
          </w:tcPr>
          <w:p w14:paraId="21B9DAE4" w14:textId="77777777" w:rsidR="00EE1CF5" w:rsidRPr="00046D62" w:rsidRDefault="00EE1CF5" w:rsidP="00263AB1">
            <w:pPr>
              <w:jc w:val="center"/>
              <w:rPr>
                <w:rFonts w:eastAsia="Times New Roman" w:cs="Times New Roman"/>
                <w:i/>
                <w:iCs/>
                <w:color w:val="000000" w:themeColor="text1"/>
                <w:sz w:val="22"/>
              </w:rPr>
            </w:pPr>
            <w:r w:rsidRPr="00046D62">
              <w:rPr>
                <w:rFonts w:cs="Times New Roman"/>
                <w:i/>
                <w:iCs/>
                <w:color w:val="000000" w:themeColor="text1"/>
                <w:sz w:val="22"/>
              </w:rPr>
              <w:t>4,8</w:t>
            </w:r>
          </w:p>
        </w:tc>
        <w:tc>
          <w:tcPr>
            <w:tcW w:w="775" w:type="dxa"/>
            <w:tcBorders>
              <w:top w:val="single" w:sz="4" w:space="0" w:color="auto"/>
              <w:left w:val="single" w:sz="4" w:space="0" w:color="auto"/>
              <w:bottom w:val="single" w:sz="4" w:space="0" w:color="auto"/>
              <w:right w:val="single" w:sz="4" w:space="0" w:color="auto"/>
            </w:tcBorders>
            <w:vAlign w:val="center"/>
          </w:tcPr>
          <w:p w14:paraId="720F3278"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13,3</w:t>
            </w:r>
          </w:p>
        </w:tc>
        <w:tc>
          <w:tcPr>
            <w:tcW w:w="775" w:type="dxa"/>
            <w:tcBorders>
              <w:top w:val="single" w:sz="4" w:space="0" w:color="auto"/>
              <w:left w:val="single" w:sz="4" w:space="0" w:color="auto"/>
              <w:bottom w:val="single" w:sz="4" w:space="0" w:color="auto"/>
              <w:right w:val="single" w:sz="4" w:space="0" w:color="auto"/>
            </w:tcBorders>
            <w:vAlign w:val="center"/>
          </w:tcPr>
          <w:p w14:paraId="4C101709" w14:textId="77777777" w:rsidR="00EE1CF5" w:rsidRPr="00046D62" w:rsidRDefault="00EE1CF5" w:rsidP="00263AB1">
            <w:pPr>
              <w:jc w:val="center"/>
              <w:rPr>
                <w:rFonts w:cs="Times New Roman"/>
                <w:i/>
                <w:iCs/>
                <w:color w:val="000000" w:themeColor="text1"/>
                <w:sz w:val="22"/>
              </w:rPr>
            </w:pPr>
            <w:r w:rsidRPr="00046D62">
              <w:rPr>
                <w:rFonts w:cs="Times New Roman"/>
                <w:i/>
                <w:iCs/>
                <w:color w:val="000000" w:themeColor="text1"/>
                <w:sz w:val="22"/>
              </w:rPr>
              <w:t>5,0</w:t>
            </w:r>
          </w:p>
        </w:tc>
      </w:tr>
      <w:tr w:rsidR="00EE1CF5" w14:paraId="5CB7B9DC" w14:textId="77777777" w:rsidTr="00263AB1">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741953" w14:textId="77777777" w:rsidR="00EE1CF5" w:rsidRPr="00046D62" w:rsidRDefault="00EE1CF5" w:rsidP="00263AB1">
            <w:pPr>
              <w:rPr>
                <w:rFonts w:eastAsia="Times New Roman" w:cs="Times New Roman"/>
                <w:i/>
                <w:iCs/>
                <w:color w:val="000000" w:themeColor="text1"/>
                <w:sz w:val="22"/>
              </w:rPr>
            </w:pPr>
            <w:r w:rsidRPr="00046D62">
              <w:rPr>
                <w:rFonts w:cs="Times New Roman"/>
                <w:color w:val="000000" w:themeColor="text1"/>
                <w:sz w:val="22"/>
              </w:rPr>
              <w:t>OI no fosilajām koģenerācijas stacijām</w:t>
            </w:r>
          </w:p>
        </w:tc>
        <w:tc>
          <w:tcPr>
            <w:tcW w:w="683" w:type="dxa"/>
            <w:tcBorders>
              <w:top w:val="single" w:sz="4" w:space="0" w:color="auto"/>
              <w:left w:val="single" w:sz="4" w:space="0" w:color="auto"/>
              <w:bottom w:val="single" w:sz="4" w:space="0" w:color="auto"/>
              <w:right w:val="single" w:sz="4" w:space="0" w:color="auto"/>
            </w:tcBorders>
            <w:vAlign w:val="center"/>
          </w:tcPr>
          <w:p w14:paraId="79FC746B"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630,0</w:t>
            </w:r>
          </w:p>
        </w:tc>
        <w:tc>
          <w:tcPr>
            <w:tcW w:w="776" w:type="dxa"/>
            <w:tcBorders>
              <w:top w:val="single" w:sz="4" w:space="0" w:color="auto"/>
              <w:left w:val="single" w:sz="4" w:space="0" w:color="auto"/>
              <w:bottom w:val="single" w:sz="4" w:space="0" w:color="auto"/>
              <w:right w:val="single" w:sz="4" w:space="0" w:color="auto"/>
            </w:tcBorders>
            <w:vAlign w:val="center"/>
          </w:tcPr>
          <w:p w14:paraId="650B22F5"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41,9</w:t>
            </w:r>
          </w:p>
        </w:tc>
        <w:tc>
          <w:tcPr>
            <w:tcW w:w="776" w:type="dxa"/>
            <w:tcBorders>
              <w:top w:val="single" w:sz="4" w:space="0" w:color="auto"/>
              <w:left w:val="single" w:sz="4" w:space="0" w:color="auto"/>
              <w:bottom w:val="single" w:sz="4" w:space="0" w:color="auto"/>
              <w:right w:val="single" w:sz="4" w:space="0" w:color="auto"/>
            </w:tcBorders>
            <w:vAlign w:val="center"/>
          </w:tcPr>
          <w:p w14:paraId="7748F508"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553,8</w:t>
            </w:r>
          </w:p>
        </w:tc>
        <w:tc>
          <w:tcPr>
            <w:tcW w:w="775" w:type="dxa"/>
            <w:tcBorders>
              <w:top w:val="single" w:sz="4" w:space="0" w:color="auto"/>
              <w:left w:val="single" w:sz="4" w:space="0" w:color="auto"/>
              <w:bottom w:val="single" w:sz="4" w:space="0" w:color="auto"/>
              <w:right w:val="single" w:sz="4" w:space="0" w:color="auto"/>
            </w:tcBorders>
            <w:vAlign w:val="center"/>
          </w:tcPr>
          <w:p w14:paraId="44ED208D"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35,3</w:t>
            </w:r>
          </w:p>
        </w:tc>
        <w:tc>
          <w:tcPr>
            <w:tcW w:w="775" w:type="dxa"/>
            <w:tcBorders>
              <w:top w:val="single" w:sz="4" w:space="0" w:color="auto"/>
              <w:left w:val="single" w:sz="4" w:space="0" w:color="auto"/>
              <w:bottom w:val="single" w:sz="4" w:space="0" w:color="auto"/>
              <w:right w:val="single" w:sz="4" w:space="0" w:color="auto"/>
            </w:tcBorders>
            <w:vAlign w:val="center"/>
          </w:tcPr>
          <w:p w14:paraId="5806A9BF"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57,7</w:t>
            </w:r>
          </w:p>
        </w:tc>
        <w:tc>
          <w:tcPr>
            <w:tcW w:w="775" w:type="dxa"/>
            <w:tcBorders>
              <w:top w:val="single" w:sz="4" w:space="0" w:color="auto"/>
              <w:left w:val="single" w:sz="4" w:space="0" w:color="auto"/>
              <w:bottom w:val="single" w:sz="4" w:space="0" w:color="auto"/>
              <w:right w:val="single" w:sz="4" w:space="0" w:color="auto"/>
            </w:tcBorders>
            <w:vAlign w:val="center"/>
          </w:tcPr>
          <w:p w14:paraId="12AAED24"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19,8</w:t>
            </w:r>
          </w:p>
        </w:tc>
        <w:tc>
          <w:tcPr>
            <w:tcW w:w="775" w:type="dxa"/>
            <w:tcBorders>
              <w:top w:val="single" w:sz="4" w:space="0" w:color="auto"/>
              <w:left w:val="single" w:sz="4" w:space="0" w:color="auto"/>
              <w:bottom w:val="single" w:sz="4" w:space="0" w:color="auto"/>
              <w:right w:val="single" w:sz="4" w:space="0" w:color="auto"/>
            </w:tcBorders>
            <w:vAlign w:val="center"/>
          </w:tcPr>
          <w:p w14:paraId="42582F02"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54,1</w:t>
            </w:r>
          </w:p>
        </w:tc>
        <w:tc>
          <w:tcPr>
            <w:tcW w:w="775" w:type="dxa"/>
            <w:tcBorders>
              <w:top w:val="single" w:sz="4" w:space="0" w:color="auto"/>
              <w:left w:val="single" w:sz="4" w:space="0" w:color="auto"/>
              <w:bottom w:val="single" w:sz="4" w:space="0" w:color="auto"/>
              <w:right w:val="single" w:sz="4" w:space="0" w:color="auto"/>
            </w:tcBorders>
            <w:vAlign w:val="center"/>
          </w:tcPr>
          <w:p w14:paraId="4C102AA8"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16,9</w:t>
            </w:r>
          </w:p>
        </w:tc>
        <w:tc>
          <w:tcPr>
            <w:tcW w:w="775" w:type="dxa"/>
            <w:tcBorders>
              <w:top w:val="single" w:sz="4" w:space="0" w:color="auto"/>
              <w:left w:val="single" w:sz="4" w:space="0" w:color="auto"/>
              <w:bottom w:val="single" w:sz="4" w:space="0" w:color="auto"/>
              <w:right w:val="single" w:sz="4" w:space="0" w:color="auto"/>
            </w:tcBorders>
            <w:vAlign w:val="center"/>
          </w:tcPr>
          <w:p w14:paraId="23413B16"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34,8</w:t>
            </w:r>
          </w:p>
        </w:tc>
        <w:tc>
          <w:tcPr>
            <w:tcW w:w="775" w:type="dxa"/>
            <w:tcBorders>
              <w:top w:val="single" w:sz="4" w:space="0" w:color="auto"/>
              <w:left w:val="single" w:sz="4" w:space="0" w:color="auto"/>
              <w:bottom w:val="single" w:sz="4" w:space="0" w:color="auto"/>
              <w:right w:val="single" w:sz="4" w:space="0" w:color="auto"/>
            </w:tcBorders>
            <w:vAlign w:val="center"/>
          </w:tcPr>
          <w:p w14:paraId="18847C7B"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14,7</w:t>
            </w:r>
          </w:p>
        </w:tc>
        <w:tc>
          <w:tcPr>
            <w:tcW w:w="775" w:type="dxa"/>
            <w:tcBorders>
              <w:top w:val="single" w:sz="4" w:space="0" w:color="auto"/>
              <w:left w:val="single" w:sz="4" w:space="0" w:color="auto"/>
              <w:bottom w:val="single" w:sz="4" w:space="0" w:color="auto"/>
              <w:right w:val="single" w:sz="4" w:space="0" w:color="auto"/>
            </w:tcBorders>
            <w:vAlign w:val="center"/>
          </w:tcPr>
          <w:p w14:paraId="2DA84B15"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35,0</w:t>
            </w:r>
          </w:p>
        </w:tc>
        <w:tc>
          <w:tcPr>
            <w:tcW w:w="775" w:type="dxa"/>
            <w:tcBorders>
              <w:top w:val="single" w:sz="4" w:space="0" w:color="auto"/>
              <w:left w:val="single" w:sz="4" w:space="0" w:color="auto"/>
              <w:bottom w:val="single" w:sz="4" w:space="0" w:color="auto"/>
              <w:right w:val="single" w:sz="4" w:space="0" w:color="auto"/>
            </w:tcBorders>
            <w:vAlign w:val="center"/>
          </w:tcPr>
          <w:p w14:paraId="2C553AA6"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13,2</w:t>
            </w:r>
          </w:p>
        </w:tc>
      </w:tr>
      <w:tr w:rsidR="00EE1CF5" w14:paraId="0B0419A3" w14:textId="77777777" w:rsidTr="00263AB1">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6218AC" w14:textId="77777777" w:rsidR="00EE1CF5" w:rsidRPr="00046D62" w:rsidRDefault="00EE1CF5" w:rsidP="00263AB1">
            <w:pPr>
              <w:rPr>
                <w:rFonts w:eastAsia="Times New Roman" w:cs="Times New Roman"/>
                <w:color w:val="000000" w:themeColor="text1"/>
                <w:sz w:val="22"/>
              </w:rPr>
            </w:pPr>
            <w:r w:rsidRPr="00046D62">
              <w:rPr>
                <w:rFonts w:cs="Times New Roman"/>
                <w:color w:val="000000" w:themeColor="text1"/>
                <w:sz w:val="22"/>
              </w:rPr>
              <w:t>Jaudas maksa (AER)</w:t>
            </w:r>
          </w:p>
        </w:tc>
        <w:tc>
          <w:tcPr>
            <w:tcW w:w="683" w:type="dxa"/>
            <w:tcBorders>
              <w:top w:val="single" w:sz="4" w:space="0" w:color="auto"/>
              <w:left w:val="single" w:sz="4" w:space="0" w:color="auto"/>
              <w:bottom w:val="single" w:sz="4" w:space="0" w:color="auto"/>
              <w:right w:val="single" w:sz="4" w:space="0" w:color="auto"/>
            </w:tcBorders>
            <w:vAlign w:val="center"/>
          </w:tcPr>
          <w:p w14:paraId="4159399A"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n/a</w:t>
            </w:r>
          </w:p>
        </w:tc>
        <w:tc>
          <w:tcPr>
            <w:tcW w:w="776" w:type="dxa"/>
            <w:tcBorders>
              <w:top w:val="single" w:sz="4" w:space="0" w:color="auto"/>
              <w:left w:val="single" w:sz="4" w:space="0" w:color="auto"/>
              <w:bottom w:val="single" w:sz="4" w:space="0" w:color="auto"/>
              <w:right w:val="single" w:sz="4" w:space="0" w:color="auto"/>
            </w:tcBorders>
            <w:vAlign w:val="center"/>
          </w:tcPr>
          <w:p w14:paraId="1703AEDA"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n/a</w:t>
            </w:r>
          </w:p>
        </w:tc>
        <w:tc>
          <w:tcPr>
            <w:tcW w:w="776" w:type="dxa"/>
            <w:tcBorders>
              <w:top w:val="single" w:sz="4" w:space="0" w:color="auto"/>
              <w:left w:val="single" w:sz="4" w:space="0" w:color="auto"/>
              <w:bottom w:val="single" w:sz="4" w:space="0" w:color="auto"/>
              <w:right w:val="single" w:sz="4" w:space="0" w:color="auto"/>
            </w:tcBorders>
            <w:vAlign w:val="center"/>
          </w:tcPr>
          <w:p w14:paraId="035795E0"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n/a</w:t>
            </w:r>
          </w:p>
        </w:tc>
        <w:tc>
          <w:tcPr>
            <w:tcW w:w="775" w:type="dxa"/>
            <w:tcBorders>
              <w:top w:val="single" w:sz="4" w:space="0" w:color="auto"/>
              <w:left w:val="single" w:sz="4" w:space="0" w:color="auto"/>
              <w:bottom w:val="single" w:sz="4" w:space="0" w:color="auto"/>
              <w:right w:val="single" w:sz="4" w:space="0" w:color="auto"/>
            </w:tcBorders>
            <w:vAlign w:val="center"/>
          </w:tcPr>
          <w:p w14:paraId="521D5A16"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n/a</w:t>
            </w:r>
          </w:p>
        </w:tc>
        <w:tc>
          <w:tcPr>
            <w:tcW w:w="775" w:type="dxa"/>
            <w:tcBorders>
              <w:top w:val="single" w:sz="4" w:space="0" w:color="auto"/>
              <w:left w:val="single" w:sz="4" w:space="0" w:color="auto"/>
              <w:bottom w:val="single" w:sz="4" w:space="0" w:color="auto"/>
              <w:right w:val="single" w:sz="4" w:space="0" w:color="auto"/>
            </w:tcBorders>
            <w:vAlign w:val="center"/>
          </w:tcPr>
          <w:p w14:paraId="4B15E22C"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5,2</w:t>
            </w:r>
          </w:p>
        </w:tc>
        <w:tc>
          <w:tcPr>
            <w:tcW w:w="775" w:type="dxa"/>
            <w:tcBorders>
              <w:top w:val="single" w:sz="4" w:space="0" w:color="auto"/>
              <w:left w:val="single" w:sz="4" w:space="0" w:color="auto"/>
              <w:bottom w:val="single" w:sz="4" w:space="0" w:color="auto"/>
              <w:right w:val="single" w:sz="4" w:space="0" w:color="auto"/>
            </w:tcBorders>
            <w:vAlign w:val="center"/>
          </w:tcPr>
          <w:p w14:paraId="21928635"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1,8</w:t>
            </w:r>
          </w:p>
        </w:tc>
        <w:tc>
          <w:tcPr>
            <w:tcW w:w="775" w:type="dxa"/>
            <w:tcBorders>
              <w:top w:val="single" w:sz="4" w:space="0" w:color="auto"/>
              <w:left w:val="single" w:sz="4" w:space="0" w:color="auto"/>
              <w:bottom w:val="single" w:sz="4" w:space="0" w:color="auto"/>
              <w:right w:val="single" w:sz="4" w:space="0" w:color="auto"/>
            </w:tcBorders>
            <w:vAlign w:val="center"/>
          </w:tcPr>
          <w:p w14:paraId="0D335907"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5,2</w:t>
            </w:r>
          </w:p>
        </w:tc>
        <w:tc>
          <w:tcPr>
            <w:tcW w:w="775" w:type="dxa"/>
            <w:tcBorders>
              <w:top w:val="single" w:sz="4" w:space="0" w:color="auto"/>
              <w:left w:val="single" w:sz="4" w:space="0" w:color="auto"/>
              <w:bottom w:val="single" w:sz="4" w:space="0" w:color="auto"/>
              <w:right w:val="single" w:sz="4" w:space="0" w:color="auto"/>
            </w:tcBorders>
            <w:vAlign w:val="center"/>
          </w:tcPr>
          <w:p w14:paraId="05EB16BF"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1,6</w:t>
            </w:r>
          </w:p>
        </w:tc>
        <w:tc>
          <w:tcPr>
            <w:tcW w:w="775" w:type="dxa"/>
            <w:tcBorders>
              <w:top w:val="single" w:sz="4" w:space="0" w:color="auto"/>
              <w:left w:val="single" w:sz="4" w:space="0" w:color="auto"/>
              <w:bottom w:val="single" w:sz="4" w:space="0" w:color="auto"/>
              <w:right w:val="single" w:sz="4" w:space="0" w:color="auto"/>
            </w:tcBorders>
            <w:vAlign w:val="center"/>
          </w:tcPr>
          <w:p w14:paraId="26D44F84"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5,2</w:t>
            </w:r>
          </w:p>
        </w:tc>
        <w:tc>
          <w:tcPr>
            <w:tcW w:w="775" w:type="dxa"/>
            <w:tcBorders>
              <w:top w:val="single" w:sz="4" w:space="0" w:color="auto"/>
              <w:left w:val="single" w:sz="4" w:space="0" w:color="auto"/>
              <w:bottom w:val="single" w:sz="4" w:space="0" w:color="auto"/>
              <w:right w:val="single" w:sz="4" w:space="0" w:color="auto"/>
            </w:tcBorders>
            <w:vAlign w:val="center"/>
          </w:tcPr>
          <w:p w14:paraId="39FB4249"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2,2</w:t>
            </w:r>
          </w:p>
        </w:tc>
        <w:tc>
          <w:tcPr>
            <w:tcW w:w="775" w:type="dxa"/>
            <w:tcBorders>
              <w:top w:val="single" w:sz="4" w:space="0" w:color="auto"/>
              <w:left w:val="single" w:sz="4" w:space="0" w:color="auto"/>
              <w:bottom w:val="single" w:sz="4" w:space="0" w:color="auto"/>
              <w:right w:val="single" w:sz="4" w:space="0" w:color="auto"/>
            </w:tcBorders>
            <w:vAlign w:val="center"/>
          </w:tcPr>
          <w:p w14:paraId="772AC15C"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5,2</w:t>
            </w:r>
          </w:p>
        </w:tc>
        <w:tc>
          <w:tcPr>
            <w:tcW w:w="775" w:type="dxa"/>
            <w:tcBorders>
              <w:top w:val="single" w:sz="4" w:space="0" w:color="auto"/>
              <w:left w:val="single" w:sz="4" w:space="0" w:color="auto"/>
              <w:bottom w:val="single" w:sz="4" w:space="0" w:color="auto"/>
              <w:right w:val="single" w:sz="4" w:space="0" w:color="auto"/>
            </w:tcBorders>
            <w:vAlign w:val="center"/>
          </w:tcPr>
          <w:p w14:paraId="3E48D444"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1,9</w:t>
            </w:r>
          </w:p>
        </w:tc>
      </w:tr>
      <w:tr w:rsidR="00EE1CF5" w14:paraId="7DE5FB11" w14:textId="77777777" w:rsidTr="00263AB1">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582907" w14:textId="77777777" w:rsidR="00EE1CF5" w:rsidRPr="00046D62" w:rsidRDefault="00EE1CF5" w:rsidP="00263AB1">
            <w:pPr>
              <w:rPr>
                <w:rFonts w:eastAsia="Times New Roman" w:cs="Times New Roman"/>
                <w:color w:val="000000" w:themeColor="text1"/>
                <w:sz w:val="22"/>
              </w:rPr>
            </w:pPr>
            <w:r w:rsidRPr="00046D62">
              <w:rPr>
                <w:rFonts w:cs="Times New Roman"/>
                <w:color w:val="000000" w:themeColor="text1"/>
                <w:sz w:val="22"/>
              </w:rPr>
              <w:t>Jaudas maksa (fosilās koģenerācijas stacijas)</w:t>
            </w:r>
          </w:p>
        </w:tc>
        <w:tc>
          <w:tcPr>
            <w:tcW w:w="683" w:type="dxa"/>
            <w:tcBorders>
              <w:top w:val="single" w:sz="4" w:space="0" w:color="auto"/>
              <w:left w:val="single" w:sz="4" w:space="0" w:color="auto"/>
              <w:bottom w:val="single" w:sz="4" w:space="0" w:color="auto"/>
              <w:right w:val="single" w:sz="4" w:space="0" w:color="auto"/>
            </w:tcBorders>
            <w:vAlign w:val="center"/>
          </w:tcPr>
          <w:p w14:paraId="4C2ACED4"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n/a</w:t>
            </w:r>
          </w:p>
        </w:tc>
        <w:tc>
          <w:tcPr>
            <w:tcW w:w="776" w:type="dxa"/>
            <w:tcBorders>
              <w:top w:val="single" w:sz="4" w:space="0" w:color="auto"/>
              <w:left w:val="single" w:sz="4" w:space="0" w:color="auto"/>
              <w:bottom w:val="single" w:sz="4" w:space="0" w:color="auto"/>
              <w:right w:val="single" w:sz="4" w:space="0" w:color="auto"/>
            </w:tcBorders>
            <w:vAlign w:val="center"/>
          </w:tcPr>
          <w:p w14:paraId="214D7A54"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n/a</w:t>
            </w:r>
          </w:p>
        </w:tc>
        <w:tc>
          <w:tcPr>
            <w:tcW w:w="776" w:type="dxa"/>
            <w:tcBorders>
              <w:top w:val="single" w:sz="4" w:space="0" w:color="auto"/>
              <w:left w:val="single" w:sz="4" w:space="0" w:color="auto"/>
              <w:bottom w:val="single" w:sz="4" w:space="0" w:color="auto"/>
              <w:right w:val="single" w:sz="4" w:space="0" w:color="auto"/>
            </w:tcBorders>
            <w:vAlign w:val="center"/>
          </w:tcPr>
          <w:p w14:paraId="345A9DCA"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n/a</w:t>
            </w:r>
          </w:p>
        </w:tc>
        <w:tc>
          <w:tcPr>
            <w:tcW w:w="775" w:type="dxa"/>
            <w:tcBorders>
              <w:top w:val="single" w:sz="4" w:space="0" w:color="auto"/>
              <w:left w:val="single" w:sz="4" w:space="0" w:color="auto"/>
              <w:bottom w:val="single" w:sz="4" w:space="0" w:color="auto"/>
              <w:right w:val="single" w:sz="4" w:space="0" w:color="auto"/>
            </w:tcBorders>
            <w:vAlign w:val="center"/>
          </w:tcPr>
          <w:p w14:paraId="13642DD8"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n/a</w:t>
            </w:r>
          </w:p>
        </w:tc>
        <w:tc>
          <w:tcPr>
            <w:tcW w:w="775" w:type="dxa"/>
            <w:tcBorders>
              <w:top w:val="single" w:sz="4" w:space="0" w:color="auto"/>
              <w:left w:val="single" w:sz="4" w:space="0" w:color="auto"/>
              <w:bottom w:val="single" w:sz="4" w:space="0" w:color="auto"/>
              <w:right w:val="single" w:sz="4" w:space="0" w:color="auto"/>
            </w:tcBorders>
            <w:vAlign w:val="center"/>
          </w:tcPr>
          <w:p w14:paraId="053F7AAF"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105,3</w:t>
            </w:r>
          </w:p>
        </w:tc>
        <w:tc>
          <w:tcPr>
            <w:tcW w:w="775" w:type="dxa"/>
            <w:tcBorders>
              <w:top w:val="single" w:sz="4" w:space="0" w:color="auto"/>
              <w:left w:val="single" w:sz="4" w:space="0" w:color="auto"/>
              <w:bottom w:val="single" w:sz="4" w:space="0" w:color="auto"/>
              <w:right w:val="single" w:sz="4" w:space="0" w:color="auto"/>
            </w:tcBorders>
            <w:vAlign w:val="center"/>
          </w:tcPr>
          <w:p w14:paraId="6F523C6D"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36,2</w:t>
            </w:r>
          </w:p>
        </w:tc>
        <w:tc>
          <w:tcPr>
            <w:tcW w:w="775" w:type="dxa"/>
            <w:tcBorders>
              <w:top w:val="single" w:sz="4" w:space="0" w:color="auto"/>
              <w:left w:val="single" w:sz="4" w:space="0" w:color="auto"/>
              <w:bottom w:val="single" w:sz="4" w:space="0" w:color="auto"/>
              <w:right w:val="single" w:sz="4" w:space="0" w:color="auto"/>
            </w:tcBorders>
            <w:vAlign w:val="center"/>
          </w:tcPr>
          <w:p w14:paraId="40E50BEC"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106,7</w:t>
            </w:r>
          </w:p>
        </w:tc>
        <w:tc>
          <w:tcPr>
            <w:tcW w:w="775" w:type="dxa"/>
            <w:tcBorders>
              <w:top w:val="single" w:sz="4" w:space="0" w:color="auto"/>
              <w:left w:val="single" w:sz="4" w:space="0" w:color="auto"/>
              <w:bottom w:val="single" w:sz="4" w:space="0" w:color="auto"/>
              <w:right w:val="single" w:sz="4" w:space="0" w:color="auto"/>
            </w:tcBorders>
            <w:vAlign w:val="center"/>
          </w:tcPr>
          <w:p w14:paraId="2E072CFC"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33,3</w:t>
            </w:r>
          </w:p>
        </w:tc>
        <w:tc>
          <w:tcPr>
            <w:tcW w:w="775" w:type="dxa"/>
            <w:tcBorders>
              <w:top w:val="single" w:sz="4" w:space="0" w:color="auto"/>
              <w:left w:val="single" w:sz="4" w:space="0" w:color="auto"/>
              <w:bottom w:val="single" w:sz="4" w:space="0" w:color="auto"/>
              <w:right w:val="single" w:sz="4" w:space="0" w:color="auto"/>
            </w:tcBorders>
            <w:vAlign w:val="center"/>
          </w:tcPr>
          <w:p w14:paraId="645587A0"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105,3</w:t>
            </w:r>
          </w:p>
        </w:tc>
        <w:tc>
          <w:tcPr>
            <w:tcW w:w="775" w:type="dxa"/>
            <w:tcBorders>
              <w:top w:val="single" w:sz="4" w:space="0" w:color="auto"/>
              <w:left w:val="single" w:sz="4" w:space="0" w:color="auto"/>
              <w:bottom w:val="single" w:sz="4" w:space="0" w:color="auto"/>
              <w:right w:val="single" w:sz="4" w:space="0" w:color="auto"/>
            </w:tcBorders>
            <w:vAlign w:val="center"/>
          </w:tcPr>
          <w:p w14:paraId="4040FB4A" w14:textId="77777777" w:rsidR="00EE1CF5" w:rsidRPr="00046D62" w:rsidRDefault="00EE1CF5" w:rsidP="00263AB1">
            <w:pPr>
              <w:jc w:val="center"/>
              <w:rPr>
                <w:rFonts w:eastAsia="Times New Roman" w:cs="Times New Roman"/>
                <w:color w:val="000000" w:themeColor="text1"/>
                <w:sz w:val="22"/>
              </w:rPr>
            </w:pPr>
            <w:r w:rsidRPr="00046D62">
              <w:rPr>
                <w:rFonts w:cs="Times New Roman"/>
                <w:color w:val="000000" w:themeColor="text1"/>
                <w:sz w:val="22"/>
              </w:rPr>
              <w:t>44,4</w:t>
            </w:r>
          </w:p>
        </w:tc>
        <w:tc>
          <w:tcPr>
            <w:tcW w:w="775" w:type="dxa"/>
            <w:tcBorders>
              <w:top w:val="single" w:sz="4" w:space="0" w:color="auto"/>
              <w:left w:val="single" w:sz="4" w:space="0" w:color="auto"/>
              <w:bottom w:val="single" w:sz="4" w:space="0" w:color="auto"/>
              <w:right w:val="single" w:sz="4" w:space="0" w:color="auto"/>
            </w:tcBorders>
            <w:vAlign w:val="center"/>
          </w:tcPr>
          <w:p w14:paraId="17F50A85"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106,7</w:t>
            </w:r>
          </w:p>
        </w:tc>
        <w:tc>
          <w:tcPr>
            <w:tcW w:w="775" w:type="dxa"/>
            <w:tcBorders>
              <w:top w:val="single" w:sz="4" w:space="0" w:color="auto"/>
              <w:left w:val="single" w:sz="4" w:space="0" w:color="auto"/>
              <w:bottom w:val="single" w:sz="4" w:space="0" w:color="auto"/>
              <w:right w:val="single" w:sz="4" w:space="0" w:color="auto"/>
            </w:tcBorders>
            <w:vAlign w:val="center"/>
          </w:tcPr>
          <w:p w14:paraId="2EA1527B" w14:textId="77777777" w:rsidR="00EE1CF5" w:rsidRPr="00046D62" w:rsidRDefault="00EE1CF5" w:rsidP="00263AB1">
            <w:pPr>
              <w:jc w:val="center"/>
              <w:rPr>
                <w:rFonts w:cs="Times New Roman"/>
                <w:color w:val="000000" w:themeColor="text1"/>
                <w:sz w:val="22"/>
              </w:rPr>
            </w:pPr>
            <w:r w:rsidRPr="00046D62">
              <w:rPr>
                <w:rFonts w:cs="Times New Roman"/>
                <w:color w:val="000000" w:themeColor="text1"/>
                <w:sz w:val="22"/>
              </w:rPr>
              <w:t>40,1</w:t>
            </w:r>
          </w:p>
        </w:tc>
      </w:tr>
      <w:tr w:rsidR="00EE1CF5" w14:paraId="0F24C3D6" w14:textId="77777777" w:rsidTr="00263AB1">
        <w:trPr>
          <w:trHeight w:val="113"/>
          <w:jc w:val="center"/>
        </w:trPr>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DDB8D4"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Kopā</w:t>
            </w:r>
          </w:p>
        </w:tc>
        <w:tc>
          <w:tcPr>
            <w:tcW w:w="683" w:type="dxa"/>
            <w:tcBorders>
              <w:top w:val="single" w:sz="4" w:space="0" w:color="auto"/>
              <w:left w:val="single" w:sz="4" w:space="0" w:color="auto"/>
              <w:bottom w:val="single" w:sz="4" w:space="0" w:color="auto"/>
              <w:right w:val="single" w:sz="4" w:space="0" w:color="auto"/>
            </w:tcBorders>
          </w:tcPr>
          <w:p w14:paraId="27088E62"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1503,0</w:t>
            </w:r>
          </w:p>
        </w:tc>
        <w:tc>
          <w:tcPr>
            <w:tcW w:w="776" w:type="dxa"/>
            <w:tcBorders>
              <w:top w:val="single" w:sz="4" w:space="0" w:color="auto"/>
              <w:left w:val="single" w:sz="4" w:space="0" w:color="auto"/>
              <w:bottom w:val="single" w:sz="4" w:space="0" w:color="auto"/>
              <w:right w:val="single" w:sz="4" w:space="0" w:color="auto"/>
            </w:tcBorders>
          </w:tcPr>
          <w:p w14:paraId="0E4B18B3"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100</w:t>
            </w:r>
          </w:p>
        </w:tc>
        <w:tc>
          <w:tcPr>
            <w:tcW w:w="776" w:type="dxa"/>
            <w:tcBorders>
              <w:top w:val="single" w:sz="4" w:space="0" w:color="auto"/>
              <w:left w:val="single" w:sz="4" w:space="0" w:color="auto"/>
              <w:bottom w:val="single" w:sz="4" w:space="0" w:color="auto"/>
              <w:right w:val="single" w:sz="4" w:space="0" w:color="auto"/>
            </w:tcBorders>
          </w:tcPr>
          <w:p w14:paraId="71FF4F5C"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1567,3</w:t>
            </w:r>
          </w:p>
        </w:tc>
        <w:tc>
          <w:tcPr>
            <w:tcW w:w="775" w:type="dxa"/>
            <w:tcBorders>
              <w:top w:val="single" w:sz="4" w:space="0" w:color="auto"/>
              <w:left w:val="single" w:sz="4" w:space="0" w:color="auto"/>
              <w:bottom w:val="single" w:sz="4" w:space="0" w:color="auto"/>
              <w:right w:val="single" w:sz="4" w:space="0" w:color="auto"/>
            </w:tcBorders>
          </w:tcPr>
          <w:p w14:paraId="6A946F6F"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100</w:t>
            </w:r>
          </w:p>
        </w:tc>
        <w:tc>
          <w:tcPr>
            <w:tcW w:w="775" w:type="dxa"/>
            <w:tcBorders>
              <w:top w:val="single" w:sz="4" w:space="0" w:color="auto"/>
              <w:left w:val="single" w:sz="4" w:space="0" w:color="auto"/>
              <w:bottom w:val="single" w:sz="4" w:space="0" w:color="auto"/>
              <w:right w:val="single" w:sz="4" w:space="0" w:color="auto"/>
            </w:tcBorders>
          </w:tcPr>
          <w:p w14:paraId="5B83EEA2"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291</w:t>
            </w:r>
          </w:p>
        </w:tc>
        <w:tc>
          <w:tcPr>
            <w:tcW w:w="775" w:type="dxa"/>
            <w:tcBorders>
              <w:top w:val="single" w:sz="4" w:space="0" w:color="auto"/>
              <w:left w:val="single" w:sz="4" w:space="0" w:color="auto"/>
              <w:bottom w:val="single" w:sz="4" w:space="0" w:color="auto"/>
              <w:right w:val="single" w:sz="4" w:space="0" w:color="auto"/>
            </w:tcBorders>
          </w:tcPr>
          <w:p w14:paraId="6F66999C"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100</w:t>
            </w:r>
          </w:p>
        </w:tc>
        <w:tc>
          <w:tcPr>
            <w:tcW w:w="775" w:type="dxa"/>
            <w:tcBorders>
              <w:top w:val="single" w:sz="4" w:space="0" w:color="auto"/>
              <w:left w:val="single" w:sz="4" w:space="0" w:color="auto"/>
              <w:bottom w:val="single" w:sz="4" w:space="0" w:color="auto"/>
              <w:right w:val="single" w:sz="4" w:space="0" w:color="auto"/>
            </w:tcBorders>
          </w:tcPr>
          <w:p w14:paraId="4E1FF0EE"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320,2</w:t>
            </w:r>
          </w:p>
        </w:tc>
        <w:tc>
          <w:tcPr>
            <w:tcW w:w="775" w:type="dxa"/>
            <w:tcBorders>
              <w:top w:val="single" w:sz="4" w:space="0" w:color="auto"/>
              <w:left w:val="single" w:sz="4" w:space="0" w:color="auto"/>
              <w:bottom w:val="single" w:sz="4" w:space="0" w:color="auto"/>
              <w:right w:val="single" w:sz="4" w:space="0" w:color="auto"/>
            </w:tcBorders>
          </w:tcPr>
          <w:p w14:paraId="3A6AACA8"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100</w:t>
            </w:r>
          </w:p>
        </w:tc>
        <w:tc>
          <w:tcPr>
            <w:tcW w:w="775" w:type="dxa"/>
            <w:tcBorders>
              <w:top w:val="single" w:sz="4" w:space="0" w:color="auto"/>
              <w:left w:val="single" w:sz="4" w:space="0" w:color="auto"/>
              <w:bottom w:val="single" w:sz="4" w:space="0" w:color="auto"/>
              <w:right w:val="single" w:sz="4" w:space="0" w:color="auto"/>
            </w:tcBorders>
          </w:tcPr>
          <w:p w14:paraId="296E8CD6"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237</w:t>
            </w:r>
          </w:p>
        </w:tc>
        <w:tc>
          <w:tcPr>
            <w:tcW w:w="775" w:type="dxa"/>
            <w:tcBorders>
              <w:top w:val="single" w:sz="4" w:space="0" w:color="auto"/>
              <w:left w:val="single" w:sz="4" w:space="0" w:color="auto"/>
              <w:bottom w:val="single" w:sz="4" w:space="0" w:color="auto"/>
              <w:right w:val="single" w:sz="4" w:space="0" w:color="auto"/>
            </w:tcBorders>
          </w:tcPr>
          <w:p w14:paraId="111DC57D" w14:textId="77777777" w:rsidR="00EE1CF5" w:rsidRPr="00046D62" w:rsidRDefault="00EE1CF5" w:rsidP="00263AB1">
            <w:pPr>
              <w:jc w:val="center"/>
              <w:rPr>
                <w:rFonts w:eastAsia="Times New Roman" w:cs="Times New Roman"/>
                <w:b/>
                <w:bCs/>
                <w:color w:val="000000" w:themeColor="text1"/>
                <w:sz w:val="22"/>
              </w:rPr>
            </w:pPr>
            <w:r w:rsidRPr="00046D62">
              <w:rPr>
                <w:rFonts w:cs="Times New Roman"/>
                <w:b/>
                <w:bCs/>
                <w:color w:val="000000" w:themeColor="text1"/>
                <w:sz w:val="22"/>
              </w:rPr>
              <w:t>100</w:t>
            </w:r>
          </w:p>
        </w:tc>
        <w:tc>
          <w:tcPr>
            <w:tcW w:w="775" w:type="dxa"/>
            <w:tcBorders>
              <w:top w:val="single" w:sz="4" w:space="0" w:color="auto"/>
              <w:left w:val="single" w:sz="4" w:space="0" w:color="auto"/>
              <w:bottom w:val="single" w:sz="4" w:space="0" w:color="auto"/>
              <w:right w:val="single" w:sz="4" w:space="0" w:color="auto"/>
            </w:tcBorders>
          </w:tcPr>
          <w:p w14:paraId="3E2DF46C"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266,3</w:t>
            </w:r>
          </w:p>
        </w:tc>
        <w:tc>
          <w:tcPr>
            <w:tcW w:w="775" w:type="dxa"/>
            <w:tcBorders>
              <w:top w:val="single" w:sz="4" w:space="0" w:color="auto"/>
              <w:left w:val="single" w:sz="4" w:space="0" w:color="auto"/>
              <w:bottom w:val="single" w:sz="4" w:space="0" w:color="auto"/>
              <w:right w:val="single" w:sz="4" w:space="0" w:color="auto"/>
            </w:tcBorders>
          </w:tcPr>
          <w:p w14:paraId="0406ACED" w14:textId="77777777" w:rsidR="00EE1CF5" w:rsidRPr="00046D62" w:rsidRDefault="00EE1CF5" w:rsidP="00263AB1">
            <w:pPr>
              <w:jc w:val="center"/>
              <w:rPr>
                <w:rFonts w:cs="Times New Roman"/>
                <w:b/>
                <w:bCs/>
                <w:color w:val="000000" w:themeColor="text1"/>
                <w:sz w:val="22"/>
              </w:rPr>
            </w:pPr>
            <w:r w:rsidRPr="00046D62">
              <w:rPr>
                <w:rFonts w:cs="Times New Roman"/>
                <w:b/>
                <w:bCs/>
                <w:color w:val="000000" w:themeColor="text1"/>
                <w:sz w:val="22"/>
              </w:rPr>
              <w:t>100</w:t>
            </w:r>
          </w:p>
        </w:tc>
      </w:tr>
    </w:tbl>
    <w:p w14:paraId="1079A404" w14:textId="77777777" w:rsidR="00EE1CF5" w:rsidRPr="00046D62" w:rsidRDefault="00EE1CF5" w:rsidP="00EE1CF5">
      <w:pPr>
        <w:rPr>
          <w:rFonts w:eastAsia="Times New Roman" w:cs="Times New Roman"/>
          <w:color w:val="000000"/>
          <w:sz w:val="20"/>
          <w:szCs w:val="28"/>
          <w:lang w:eastAsia="lv-LV"/>
        </w:rPr>
      </w:pPr>
      <w:r w:rsidRPr="00046D62">
        <w:rPr>
          <w:rFonts w:eastAsia="Times New Roman" w:cs="Times New Roman"/>
          <w:color w:val="000000"/>
          <w:sz w:val="20"/>
          <w:szCs w:val="28"/>
          <w:lang w:eastAsia="lv-LV"/>
        </w:rPr>
        <w:t xml:space="preserve">Avots: </w:t>
      </w:r>
      <w:r>
        <w:rPr>
          <w:rFonts w:eastAsia="Times New Roman" w:cs="Times New Roman"/>
          <w:color w:val="000000"/>
          <w:sz w:val="20"/>
          <w:szCs w:val="28"/>
          <w:lang w:eastAsia="lv-LV"/>
        </w:rPr>
        <w:t>EM</w:t>
      </w:r>
    </w:p>
    <w:p w14:paraId="2595D491" w14:textId="77777777" w:rsidR="00EE1CF5" w:rsidRPr="00C5100B" w:rsidRDefault="00EE1CF5" w:rsidP="00EE1CF5">
      <w:pPr>
        <w:spacing w:before="240" w:after="120"/>
        <w:ind w:firstLine="851"/>
        <w:rPr>
          <w:rFonts w:eastAsia="Times New Roman" w:cs="Times New Roman"/>
          <w:color w:val="000000"/>
          <w:szCs w:val="28"/>
          <w:lang w:eastAsia="lv-LV"/>
        </w:rPr>
      </w:pPr>
      <w:r w:rsidRPr="00C5100B">
        <w:rPr>
          <w:rFonts w:eastAsia="Times New Roman" w:cs="Times New Roman"/>
          <w:color w:val="000000"/>
          <w:szCs w:val="28"/>
          <w:lang w:eastAsia="lv-LV"/>
        </w:rPr>
        <w:t xml:space="preserve">Līdz ar to ir precizēta OIK prognoze (skat. </w:t>
      </w:r>
      <w:r>
        <w:rPr>
          <w:rFonts w:eastAsia="Times New Roman" w:cs="Times New Roman"/>
          <w:color w:val="000000"/>
          <w:szCs w:val="28"/>
          <w:lang w:eastAsia="lv-LV"/>
        </w:rPr>
        <w:t>3</w:t>
      </w:r>
      <w:r w:rsidRPr="00C5100B">
        <w:rPr>
          <w:rFonts w:eastAsia="Times New Roman" w:cs="Times New Roman"/>
          <w:color w:val="000000"/>
          <w:szCs w:val="28"/>
          <w:lang w:eastAsia="lv-LV"/>
        </w:rPr>
        <w:t xml:space="preserve">.attēlu). Salīdzinot ar 2017.gada prognozēm, ir mainījušies šādi pieņēmumi: </w:t>
      </w:r>
    </w:p>
    <w:p w14:paraId="0008917A" w14:textId="77777777" w:rsidR="00EE1CF5" w:rsidRPr="00C5100B" w:rsidRDefault="00EE1CF5" w:rsidP="00EE1CF5">
      <w:pPr>
        <w:spacing w:before="120" w:after="120"/>
        <w:ind w:firstLine="567"/>
        <w:rPr>
          <w:rFonts w:eastAsia="Times New Roman" w:cs="Times New Roman"/>
          <w:color w:val="000000"/>
          <w:szCs w:val="28"/>
          <w:lang w:eastAsia="lv-LV"/>
        </w:rPr>
      </w:pPr>
      <w:r w:rsidRPr="00C5100B">
        <w:rPr>
          <w:rFonts w:eastAsia="Times New Roman" w:cs="Times New Roman"/>
          <w:color w:val="000000"/>
          <w:szCs w:val="28"/>
          <w:lang w:eastAsia="lv-LV"/>
        </w:rPr>
        <w:t xml:space="preserve">1) </w:t>
      </w:r>
      <w:r w:rsidRPr="00C5100B">
        <w:rPr>
          <w:rFonts w:eastAsia="Times New Roman" w:cs="Times New Roman"/>
          <w:i/>
          <w:color w:val="000000"/>
          <w:szCs w:val="28"/>
          <w:lang w:eastAsia="lv-LV"/>
        </w:rPr>
        <w:t>lielāks elektroenerģijas patēriņa pieaugums</w:t>
      </w:r>
      <w:r w:rsidRPr="00C5100B">
        <w:rPr>
          <w:rFonts w:eastAsia="Times New Roman" w:cs="Times New Roman"/>
          <w:color w:val="000000"/>
          <w:szCs w:val="28"/>
          <w:lang w:eastAsia="lv-LV"/>
        </w:rPr>
        <w:t>;</w:t>
      </w:r>
    </w:p>
    <w:p w14:paraId="63C19DC8" w14:textId="77777777" w:rsidR="00EE1CF5" w:rsidRPr="00C5100B" w:rsidRDefault="00EE1CF5" w:rsidP="00EE1CF5">
      <w:pPr>
        <w:spacing w:before="120" w:after="120"/>
        <w:ind w:firstLine="567"/>
        <w:rPr>
          <w:rFonts w:eastAsia="Times New Roman" w:cs="Times New Roman"/>
          <w:i/>
          <w:color w:val="000000"/>
          <w:szCs w:val="28"/>
          <w:lang w:eastAsia="lv-LV"/>
        </w:rPr>
      </w:pPr>
      <w:r w:rsidRPr="00C5100B">
        <w:rPr>
          <w:rFonts w:eastAsia="Times New Roman" w:cs="Times New Roman"/>
          <w:color w:val="000000"/>
          <w:szCs w:val="28"/>
          <w:lang w:eastAsia="lv-LV"/>
        </w:rPr>
        <w:t xml:space="preserve">Izvērtējot iepriekšējo gadu elektroenerģijas patēriņa </w:t>
      </w:r>
      <w:r>
        <w:rPr>
          <w:rFonts w:eastAsia="Times New Roman" w:cs="Times New Roman"/>
          <w:color w:val="000000"/>
          <w:szCs w:val="28"/>
          <w:lang w:eastAsia="lv-LV"/>
        </w:rPr>
        <w:t xml:space="preserve">attīstības </w:t>
      </w:r>
      <w:r w:rsidRPr="00C5100B">
        <w:rPr>
          <w:rFonts w:eastAsia="Times New Roman" w:cs="Times New Roman"/>
          <w:color w:val="000000"/>
          <w:szCs w:val="28"/>
          <w:lang w:eastAsia="lv-LV"/>
        </w:rPr>
        <w:t>tendenci, kā arī</w:t>
      </w:r>
      <w:r>
        <w:rPr>
          <w:rFonts w:eastAsia="Times New Roman" w:cs="Times New Roman"/>
          <w:color w:val="000000"/>
          <w:szCs w:val="28"/>
          <w:lang w:eastAsia="lv-LV"/>
        </w:rPr>
        <w:t>,</w:t>
      </w:r>
      <w:r w:rsidRPr="00C5100B">
        <w:rPr>
          <w:rFonts w:eastAsia="Times New Roman" w:cs="Times New Roman"/>
          <w:color w:val="000000"/>
          <w:szCs w:val="28"/>
          <w:lang w:eastAsia="lv-LV"/>
        </w:rPr>
        <w:t xml:space="preserve"> ņemot vērā Pārvades sistēmas operatora 201</w:t>
      </w:r>
      <w:r>
        <w:rPr>
          <w:rFonts w:eastAsia="Times New Roman" w:cs="Times New Roman"/>
          <w:color w:val="000000"/>
          <w:szCs w:val="28"/>
          <w:lang w:eastAsia="lv-LV"/>
        </w:rPr>
        <w:t>7</w:t>
      </w:r>
      <w:r w:rsidRPr="00C5100B">
        <w:rPr>
          <w:rFonts w:eastAsia="Times New Roman" w:cs="Times New Roman"/>
          <w:color w:val="000000"/>
          <w:szCs w:val="28"/>
          <w:lang w:eastAsia="lv-LV"/>
        </w:rPr>
        <w:t>. gada ikgadējā novērtējuma ziņojuma</w:t>
      </w:r>
      <w:r>
        <w:rPr>
          <w:rStyle w:val="FootnoteReference"/>
          <w:rFonts w:eastAsia="Times New Roman" w:cs="Times New Roman"/>
          <w:color w:val="000000"/>
          <w:szCs w:val="28"/>
          <w:lang w:eastAsia="lv-LV"/>
        </w:rPr>
        <w:footnoteReference w:id="5"/>
      </w:r>
      <w:r w:rsidRPr="00C5100B">
        <w:rPr>
          <w:rFonts w:eastAsia="Times New Roman" w:cs="Times New Roman"/>
          <w:color w:val="000000"/>
          <w:szCs w:val="28"/>
          <w:lang w:eastAsia="lv-LV"/>
        </w:rPr>
        <w:t xml:space="preserve"> elektroenerģijas patēriņa prognožu konservatīvo scenāriju, tika atjaunotas elektroenerģijas patēriņa prognozes (skat. 2.tab.). Saskaņā ar tām elektroenerģijas patēriņa vidējie ikgadējie pieauguma tempi 201</w:t>
      </w:r>
      <w:r>
        <w:rPr>
          <w:rFonts w:eastAsia="Times New Roman" w:cs="Times New Roman"/>
          <w:color w:val="000000"/>
          <w:szCs w:val="28"/>
          <w:lang w:eastAsia="lv-LV"/>
        </w:rPr>
        <w:t>8</w:t>
      </w:r>
      <w:r w:rsidRPr="00C5100B">
        <w:rPr>
          <w:rFonts w:eastAsia="Times New Roman" w:cs="Times New Roman"/>
          <w:color w:val="000000"/>
          <w:szCs w:val="28"/>
          <w:lang w:eastAsia="lv-LV"/>
        </w:rPr>
        <w:t>.-202</w:t>
      </w:r>
      <w:r>
        <w:rPr>
          <w:rFonts w:eastAsia="Times New Roman" w:cs="Times New Roman"/>
          <w:color w:val="000000"/>
          <w:szCs w:val="28"/>
          <w:lang w:eastAsia="lv-LV"/>
        </w:rPr>
        <w:t>1</w:t>
      </w:r>
      <w:r w:rsidRPr="00C5100B">
        <w:rPr>
          <w:rFonts w:eastAsia="Times New Roman" w:cs="Times New Roman"/>
          <w:color w:val="000000"/>
          <w:szCs w:val="28"/>
          <w:lang w:eastAsia="lv-LV"/>
        </w:rPr>
        <w:t>. gadā plānoti 1 % apmērā.</w:t>
      </w:r>
    </w:p>
    <w:p w14:paraId="15CEDECC" w14:textId="77777777" w:rsidR="00EE1CF5" w:rsidRPr="00C5100B" w:rsidRDefault="00EE1CF5" w:rsidP="00EE1CF5">
      <w:pPr>
        <w:spacing w:before="120" w:after="120"/>
        <w:ind w:firstLine="567"/>
        <w:rPr>
          <w:rFonts w:eastAsia="Times New Roman" w:cs="Times New Roman"/>
          <w:b/>
          <w:bCs/>
          <w:color w:val="000000"/>
          <w:sz w:val="24"/>
          <w:szCs w:val="24"/>
          <w:lang w:eastAsia="lv-LV"/>
        </w:rPr>
      </w:pPr>
      <w:r w:rsidRPr="00C5100B">
        <w:rPr>
          <w:rFonts w:eastAsia="Times New Roman" w:cs="Times New Roman"/>
          <w:szCs w:val="28"/>
          <w:lang w:eastAsia="lv-LV"/>
        </w:rPr>
        <w:t>Palielinoties</w:t>
      </w:r>
      <w:r w:rsidRPr="00C5100B">
        <w:rPr>
          <w:rFonts w:eastAsia="Times New Roman" w:cs="Times New Roman"/>
          <w:color w:val="000000"/>
          <w:szCs w:val="28"/>
          <w:lang w:eastAsia="lv-LV"/>
        </w:rPr>
        <w:t xml:space="preserve"> elektroenerģijas galapatēriņam, palielinās arī elektroenerģijas apjoms, uz kuru izmaksas tiek dalītas</w:t>
      </w:r>
      <w:r>
        <w:rPr>
          <w:rFonts w:eastAsia="Times New Roman" w:cs="Times New Roman"/>
          <w:color w:val="000000"/>
          <w:szCs w:val="28"/>
          <w:lang w:eastAsia="lv-LV"/>
        </w:rPr>
        <w:t xml:space="preserve">, samazinoties </w:t>
      </w:r>
      <w:r w:rsidRPr="00C5100B">
        <w:rPr>
          <w:rFonts w:eastAsia="Times New Roman" w:cs="Times New Roman"/>
          <w:color w:val="000000"/>
          <w:szCs w:val="28"/>
          <w:lang w:eastAsia="lv-LV"/>
        </w:rPr>
        <w:t>OIK, un otrādi – samazinoties gala patēriņam, OIK palielinās.</w:t>
      </w:r>
    </w:p>
    <w:p w14:paraId="3C45F0C1" w14:textId="77777777" w:rsidR="00EE1CF5" w:rsidRDefault="00EE1CF5" w:rsidP="00EE1CF5">
      <w:pPr>
        <w:jc w:val="left"/>
        <w:rPr>
          <w:rFonts w:eastAsia="Times New Roman" w:cs="Times New Roman"/>
          <w:bCs/>
          <w:i/>
          <w:color w:val="000000"/>
          <w:sz w:val="24"/>
          <w:szCs w:val="24"/>
        </w:rPr>
      </w:pPr>
      <w:r>
        <w:rPr>
          <w:rFonts w:eastAsia="Times New Roman" w:cs="Times New Roman"/>
          <w:bCs/>
          <w:i/>
          <w:color w:val="000000"/>
          <w:sz w:val="24"/>
          <w:szCs w:val="24"/>
        </w:rPr>
        <w:br w:type="page"/>
      </w:r>
    </w:p>
    <w:p w14:paraId="6232023D" w14:textId="77777777" w:rsidR="00EE1CF5" w:rsidRPr="00C5100B" w:rsidRDefault="00EE1CF5" w:rsidP="00EE1CF5">
      <w:pPr>
        <w:keepNext/>
        <w:widowControl w:val="0"/>
        <w:adjustRightInd w:val="0"/>
        <w:spacing w:after="120"/>
        <w:jc w:val="right"/>
        <w:textAlignment w:val="baseline"/>
        <w:rPr>
          <w:rFonts w:eastAsia="Times New Roman" w:cs="Times New Roman"/>
          <w:bCs/>
          <w:i/>
          <w:color w:val="000000"/>
          <w:sz w:val="24"/>
          <w:szCs w:val="24"/>
        </w:rPr>
      </w:pPr>
      <w:r w:rsidRPr="00C5100B">
        <w:rPr>
          <w:rFonts w:eastAsia="Times New Roman" w:cs="Times New Roman"/>
          <w:bCs/>
          <w:i/>
          <w:color w:val="000000"/>
          <w:sz w:val="24"/>
          <w:szCs w:val="24"/>
        </w:rPr>
        <w:lastRenderedPageBreak/>
        <w:t>2.tabula</w:t>
      </w:r>
    </w:p>
    <w:p w14:paraId="338CCE1B" w14:textId="77777777" w:rsidR="00EE1CF5" w:rsidRPr="00C5100B" w:rsidRDefault="00EE1CF5" w:rsidP="00EE1CF5">
      <w:pPr>
        <w:keepNext/>
        <w:widowControl w:val="0"/>
        <w:adjustRightInd w:val="0"/>
        <w:spacing w:after="120" w:line="0" w:lineRule="atLeast"/>
        <w:jc w:val="center"/>
        <w:textAlignment w:val="baseline"/>
        <w:rPr>
          <w:rFonts w:eastAsia="Times New Roman" w:cs="Times New Roman"/>
          <w:b/>
          <w:bCs/>
          <w:color w:val="000000"/>
          <w:sz w:val="24"/>
          <w:szCs w:val="24"/>
        </w:rPr>
      </w:pPr>
      <w:r w:rsidRPr="00C5100B">
        <w:rPr>
          <w:rFonts w:eastAsia="Times New Roman" w:cs="Times New Roman"/>
          <w:b/>
          <w:bCs/>
          <w:color w:val="000000"/>
          <w:sz w:val="24"/>
          <w:szCs w:val="24"/>
        </w:rPr>
        <w:t>Elektroenerģijas patēriņa prognozes</w:t>
      </w:r>
      <w:r>
        <w:rPr>
          <w:rFonts w:eastAsia="Times New Roman" w:cs="Times New Roman"/>
          <w:b/>
          <w:bCs/>
          <w:color w:val="000000"/>
          <w:sz w:val="24"/>
          <w:szCs w:val="24"/>
          <w:vertAlign w:val="superscript"/>
        </w:rPr>
        <w:footnoteReference w:id="6"/>
      </w:r>
      <w:r w:rsidRPr="00C5100B">
        <w:rPr>
          <w:rFonts w:eastAsia="Times New Roman" w:cs="Times New Roman"/>
          <w:b/>
          <w:bCs/>
          <w:color w:val="000000"/>
          <w:sz w:val="24"/>
          <w:szCs w:val="24"/>
        </w:rPr>
        <w:t xml:space="preserve"> 2018.-2021.gadam</w:t>
      </w:r>
    </w:p>
    <w:tbl>
      <w:tblPr>
        <w:tblW w:w="6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547"/>
        <w:gridCol w:w="992"/>
        <w:gridCol w:w="992"/>
        <w:gridCol w:w="993"/>
        <w:gridCol w:w="993"/>
      </w:tblGrid>
      <w:tr w:rsidR="00EE1CF5" w14:paraId="76FA6DE2" w14:textId="77777777" w:rsidTr="00263AB1">
        <w:trPr>
          <w:trHeight w:val="333"/>
          <w:jc w:val="center"/>
        </w:trPr>
        <w:tc>
          <w:tcPr>
            <w:tcW w:w="2547" w:type="dxa"/>
            <w:shd w:val="clear" w:color="auto" w:fill="auto"/>
            <w:hideMark/>
          </w:tcPr>
          <w:p w14:paraId="3BCBA385" w14:textId="77777777" w:rsidR="00EE1CF5" w:rsidRPr="00C5100B" w:rsidRDefault="00EE1CF5" w:rsidP="00263AB1">
            <w:pPr>
              <w:jc w:val="center"/>
              <w:rPr>
                <w:rFonts w:eastAsia="Times New Roman" w:cs="Times New Roman"/>
                <w:color w:val="000000"/>
                <w:sz w:val="24"/>
                <w:szCs w:val="28"/>
                <w:lang w:eastAsia="lv-LV"/>
              </w:rPr>
            </w:pPr>
          </w:p>
        </w:tc>
        <w:tc>
          <w:tcPr>
            <w:tcW w:w="992" w:type="dxa"/>
            <w:shd w:val="clear" w:color="auto" w:fill="auto"/>
            <w:vAlign w:val="center"/>
            <w:hideMark/>
          </w:tcPr>
          <w:p w14:paraId="0E4D0A9F"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2018</w:t>
            </w:r>
          </w:p>
        </w:tc>
        <w:tc>
          <w:tcPr>
            <w:tcW w:w="992" w:type="dxa"/>
            <w:shd w:val="clear" w:color="auto" w:fill="auto"/>
            <w:vAlign w:val="center"/>
            <w:hideMark/>
          </w:tcPr>
          <w:p w14:paraId="3C9D3F6B"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2019</w:t>
            </w:r>
          </w:p>
        </w:tc>
        <w:tc>
          <w:tcPr>
            <w:tcW w:w="993" w:type="dxa"/>
            <w:tcBorders>
              <w:bottom w:val="single" w:sz="4" w:space="0" w:color="auto"/>
            </w:tcBorders>
          </w:tcPr>
          <w:p w14:paraId="7796B48C"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2020</w:t>
            </w:r>
          </w:p>
        </w:tc>
        <w:tc>
          <w:tcPr>
            <w:tcW w:w="993" w:type="dxa"/>
            <w:tcBorders>
              <w:bottom w:val="single" w:sz="4" w:space="0" w:color="auto"/>
            </w:tcBorders>
          </w:tcPr>
          <w:p w14:paraId="6B996667"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2021</w:t>
            </w:r>
          </w:p>
        </w:tc>
      </w:tr>
      <w:tr w:rsidR="00EE1CF5" w14:paraId="3934C72B" w14:textId="77777777" w:rsidTr="00263AB1">
        <w:trPr>
          <w:trHeight w:val="271"/>
          <w:jc w:val="center"/>
        </w:trPr>
        <w:tc>
          <w:tcPr>
            <w:tcW w:w="2547" w:type="dxa"/>
            <w:shd w:val="clear" w:color="auto" w:fill="auto"/>
            <w:vAlign w:val="center"/>
          </w:tcPr>
          <w:p w14:paraId="005669AC"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2017.g prognoze, GWh</w:t>
            </w:r>
          </w:p>
        </w:tc>
        <w:tc>
          <w:tcPr>
            <w:tcW w:w="992" w:type="dxa"/>
            <w:shd w:val="clear" w:color="auto" w:fill="auto"/>
            <w:vAlign w:val="center"/>
          </w:tcPr>
          <w:p w14:paraId="0E2094A0"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 6904</w:t>
            </w:r>
          </w:p>
        </w:tc>
        <w:tc>
          <w:tcPr>
            <w:tcW w:w="992" w:type="dxa"/>
            <w:shd w:val="clear" w:color="auto" w:fill="auto"/>
            <w:vAlign w:val="center"/>
          </w:tcPr>
          <w:p w14:paraId="12F266E4"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 xml:space="preserve">6973 </w:t>
            </w:r>
          </w:p>
        </w:tc>
        <w:tc>
          <w:tcPr>
            <w:tcW w:w="993" w:type="dxa"/>
            <w:shd w:val="clear" w:color="auto" w:fill="auto"/>
          </w:tcPr>
          <w:p w14:paraId="7861F37A"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 xml:space="preserve">7043 </w:t>
            </w:r>
          </w:p>
        </w:tc>
        <w:tc>
          <w:tcPr>
            <w:tcW w:w="993" w:type="dxa"/>
          </w:tcPr>
          <w:p w14:paraId="60C679A0"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NA</w:t>
            </w:r>
          </w:p>
        </w:tc>
      </w:tr>
      <w:tr w:rsidR="00EE1CF5" w14:paraId="57A454A9" w14:textId="77777777" w:rsidTr="00263AB1">
        <w:trPr>
          <w:trHeight w:val="271"/>
          <w:jc w:val="center"/>
        </w:trPr>
        <w:tc>
          <w:tcPr>
            <w:tcW w:w="2547" w:type="dxa"/>
            <w:shd w:val="clear" w:color="auto" w:fill="auto"/>
            <w:vAlign w:val="center"/>
          </w:tcPr>
          <w:p w14:paraId="38C98082"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2018.g prognoze GWh</w:t>
            </w:r>
          </w:p>
        </w:tc>
        <w:tc>
          <w:tcPr>
            <w:tcW w:w="992" w:type="dxa"/>
            <w:shd w:val="clear" w:color="auto" w:fill="auto"/>
            <w:vAlign w:val="center"/>
          </w:tcPr>
          <w:p w14:paraId="2553C46F"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6764</w:t>
            </w:r>
          </w:p>
        </w:tc>
        <w:tc>
          <w:tcPr>
            <w:tcW w:w="992" w:type="dxa"/>
            <w:shd w:val="clear" w:color="auto" w:fill="auto"/>
            <w:vAlign w:val="center"/>
          </w:tcPr>
          <w:p w14:paraId="19A39B90"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6831</w:t>
            </w:r>
          </w:p>
        </w:tc>
        <w:tc>
          <w:tcPr>
            <w:tcW w:w="993" w:type="dxa"/>
            <w:shd w:val="clear" w:color="auto" w:fill="auto"/>
          </w:tcPr>
          <w:p w14:paraId="3493907F"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6900</w:t>
            </w:r>
          </w:p>
        </w:tc>
        <w:tc>
          <w:tcPr>
            <w:tcW w:w="993" w:type="dxa"/>
          </w:tcPr>
          <w:p w14:paraId="1C1B1FEC" w14:textId="77777777" w:rsidR="00EE1CF5" w:rsidRPr="00C5100B" w:rsidRDefault="00EE1CF5" w:rsidP="00263AB1">
            <w:pPr>
              <w:jc w:val="center"/>
              <w:rPr>
                <w:rFonts w:eastAsia="Times New Roman" w:cs="Times New Roman"/>
                <w:color w:val="000000"/>
                <w:sz w:val="24"/>
                <w:szCs w:val="28"/>
                <w:lang w:eastAsia="lv-LV"/>
              </w:rPr>
            </w:pPr>
            <w:r w:rsidRPr="00C5100B">
              <w:rPr>
                <w:rFonts w:eastAsia="Times New Roman" w:cs="Times New Roman"/>
                <w:color w:val="000000"/>
                <w:sz w:val="24"/>
                <w:szCs w:val="28"/>
                <w:lang w:eastAsia="lv-LV"/>
              </w:rPr>
              <w:t>6969</w:t>
            </w:r>
          </w:p>
        </w:tc>
      </w:tr>
    </w:tbl>
    <w:p w14:paraId="5650AC83" w14:textId="77777777" w:rsidR="00EE1CF5" w:rsidRPr="00C5100B" w:rsidRDefault="00EE1CF5" w:rsidP="00EE1CF5">
      <w:pPr>
        <w:ind w:left="720" w:firstLine="720"/>
        <w:rPr>
          <w:rFonts w:eastAsia="Times New Roman" w:cs="Times New Roman"/>
          <w:color w:val="000000"/>
          <w:sz w:val="20"/>
          <w:szCs w:val="28"/>
          <w:lang w:eastAsia="lv-LV"/>
        </w:rPr>
      </w:pPr>
      <w:r w:rsidRPr="00C5100B">
        <w:rPr>
          <w:rFonts w:eastAsia="Times New Roman" w:cs="Times New Roman"/>
          <w:color w:val="000000"/>
          <w:sz w:val="20"/>
          <w:szCs w:val="28"/>
          <w:lang w:eastAsia="lv-LV"/>
        </w:rPr>
        <w:t xml:space="preserve">Avots: </w:t>
      </w:r>
      <w:r>
        <w:rPr>
          <w:rFonts w:eastAsia="Times New Roman" w:cs="Times New Roman"/>
          <w:color w:val="000000"/>
          <w:sz w:val="20"/>
          <w:szCs w:val="28"/>
          <w:lang w:eastAsia="lv-LV"/>
        </w:rPr>
        <w:t>EM</w:t>
      </w:r>
      <w:r w:rsidRPr="00C5100B">
        <w:rPr>
          <w:rFonts w:eastAsia="Times New Roman" w:cs="Times New Roman"/>
          <w:color w:val="000000"/>
          <w:sz w:val="20"/>
          <w:szCs w:val="28"/>
          <w:lang w:eastAsia="lv-LV"/>
        </w:rPr>
        <w:t xml:space="preserve">, </w:t>
      </w:r>
      <w:r>
        <w:rPr>
          <w:rFonts w:eastAsia="Times New Roman" w:cs="Times New Roman"/>
          <w:color w:val="000000"/>
          <w:sz w:val="20"/>
          <w:szCs w:val="28"/>
          <w:lang w:eastAsia="lv-LV"/>
        </w:rPr>
        <w:t>EPT</w:t>
      </w:r>
    </w:p>
    <w:p w14:paraId="6FF7049D" w14:textId="77777777" w:rsidR="00EE1CF5" w:rsidRPr="00C5100B" w:rsidRDefault="00EE1CF5" w:rsidP="00EE1CF5">
      <w:pPr>
        <w:ind w:left="720" w:firstLine="720"/>
        <w:rPr>
          <w:rFonts w:eastAsia="Times New Roman" w:cs="Times New Roman"/>
          <w:color w:val="000000"/>
          <w:sz w:val="20"/>
          <w:szCs w:val="28"/>
          <w:lang w:eastAsia="lv-LV"/>
        </w:rPr>
      </w:pPr>
    </w:p>
    <w:p w14:paraId="7278F1DE" w14:textId="77777777" w:rsidR="00EE1CF5" w:rsidRPr="00C5100B" w:rsidRDefault="00EE1CF5" w:rsidP="00EE1CF5">
      <w:pPr>
        <w:spacing w:after="120"/>
        <w:ind w:firstLine="567"/>
        <w:rPr>
          <w:rFonts w:eastAsia="Times New Roman" w:cs="Times New Roman"/>
          <w:i/>
          <w:color w:val="000000"/>
          <w:szCs w:val="28"/>
          <w:lang w:eastAsia="lv-LV"/>
        </w:rPr>
      </w:pPr>
      <w:r w:rsidRPr="00C5100B">
        <w:rPr>
          <w:rFonts w:eastAsia="Times New Roman" w:cs="Times New Roman"/>
          <w:color w:val="000000"/>
          <w:szCs w:val="28"/>
          <w:lang w:eastAsia="lv-LV"/>
        </w:rPr>
        <w:t>2)</w:t>
      </w:r>
      <w:r w:rsidRPr="00C5100B">
        <w:rPr>
          <w:rFonts w:eastAsia="Times New Roman" w:cs="Times New Roman"/>
          <w:i/>
          <w:color w:val="000000"/>
          <w:szCs w:val="28"/>
          <w:lang w:eastAsia="lv-LV"/>
        </w:rPr>
        <w:t xml:space="preserve"> </w:t>
      </w:r>
      <w:r>
        <w:rPr>
          <w:rFonts w:eastAsia="Times New Roman" w:cs="Times New Roman"/>
          <w:i/>
          <w:color w:val="000000"/>
          <w:szCs w:val="28"/>
          <w:lang w:eastAsia="lv-LV"/>
        </w:rPr>
        <w:t>augstāka</w:t>
      </w:r>
      <w:r w:rsidRPr="00C5100B">
        <w:rPr>
          <w:rFonts w:eastAsia="Times New Roman" w:cs="Times New Roman"/>
          <w:i/>
          <w:color w:val="000000"/>
          <w:szCs w:val="28"/>
          <w:lang w:eastAsia="lv-LV"/>
        </w:rPr>
        <w:t xml:space="preserve"> elektroenerģijas tirgus cena </w:t>
      </w:r>
      <w:r w:rsidRPr="00C5100B">
        <w:rPr>
          <w:rFonts w:eastAsia="Times New Roman" w:cs="Times New Roman"/>
          <w:color w:val="000000"/>
          <w:szCs w:val="28"/>
          <w:lang w:eastAsia="lv-LV"/>
        </w:rPr>
        <w:t>(skat. 3.tabulu);</w:t>
      </w:r>
    </w:p>
    <w:p w14:paraId="24E3D526" w14:textId="77777777" w:rsidR="00EE1CF5" w:rsidRPr="00C5100B" w:rsidRDefault="00EE1CF5" w:rsidP="00EE1CF5">
      <w:pPr>
        <w:spacing w:after="120"/>
        <w:ind w:firstLine="567"/>
        <w:rPr>
          <w:rFonts w:eastAsia="Times New Roman" w:cs="Times New Roman"/>
          <w:szCs w:val="28"/>
          <w:lang w:eastAsia="lv-LV"/>
        </w:rPr>
      </w:pPr>
      <w:r w:rsidRPr="00C5100B">
        <w:rPr>
          <w:rFonts w:eastAsia="Times New Roman" w:cs="Times New Roman"/>
          <w:szCs w:val="28"/>
          <w:lang w:eastAsia="lv-LV"/>
        </w:rPr>
        <w:t xml:space="preserve">Elektroenerģijas tirgus cenas </w:t>
      </w:r>
      <w:r>
        <w:rPr>
          <w:rFonts w:eastAsia="Times New Roman" w:cs="Times New Roman"/>
          <w:szCs w:val="28"/>
          <w:lang w:eastAsia="lv-LV"/>
        </w:rPr>
        <w:t>paaugst</w:t>
      </w:r>
      <w:r w:rsidRPr="00C5100B">
        <w:rPr>
          <w:rFonts w:eastAsia="Times New Roman" w:cs="Times New Roman"/>
          <w:szCs w:val="28"/>
          <w:lang w:eastAsia="lv-LV"/>
        </w:rPr>
        <w:t>ināšanās reģionā salīdzinājumā ar 201</w:t>
      </w:r>
      <w:r>
        <w:rPr>
          <w:rFonts w:eastAsia="Times New Roman" w:cs="Times New Roman"/>
          <w:szCs w:val="28"/>
          <w:lang w:eastAsia="lv-LV"/>
        </w:rPr>
        <w:t>7</w:t>
      </w:r>
      <w:r w:rsidRPr="00C5100B">
        <w:rPr>
          <w:rFonts w:eastAsia="Times New Roman" w:cs="Times New Roman"/>
          <w:szCs w:val="28"/>
          <w:lang w:eastAsia="lv-LV"/>
        </w:rPr>
        <w:t xml:space="preserve">. gada prognozēm, kā rezultātā iepirktās elektroenerģijas tirgus vērtība kļūst </w:t>
      </w:r>
      <w:r>
        <w:rPr>
          <w:rFonts w:eastAsia="Times New Roman" w:cs="Times New Roman"/>
          <w:szCs w:val="28"/>
          <w:lang w:eastAsia="lv-LV"/>
        </w:rPr>
        <w:t>augstāka</w:t>
      </w:r>
      <w:r w:rsidRPr="00C5100B">
        <w:rPr>
          <w:rFonts w:eastAsia="Times New Roman" w:cs="Times New Roman"/>
          <w:szCs w:val="28"/>
          <w:lang w:eastAsia="lv-LV"/>
        </w:rPr>
        <w:t xml:space="preserve">, bet </w:t>
      </w:r>
      <w:r>
        <w:rPr>
          <w:rFonts w:eastAsia="Times New Roman" w:cs="Times New Roman"/>
          <w:szCs w:val="28"/>
          <w:lang w:eastAsia="lv-LV"/>
        </w:rPr>
        <w:t xml:space="preserve">nepieciešamais valsts </w:t>
      </w:r>
      <w:r w:rsidRPr="00C5100B">
        <w:rPr>
          <w:rFonts w:eastAsia="Times New Roman" w:cs="Times New Roman"/>
          <w:szCs w:val="28"/>
          <w:lang w:eastAsia="lv-LV"/>
        </w:rPr>
        <w:t xml:space="preserve">atbalsta apjoms attiecīgi </w:t>
      </w:r>
      <w:r>
        <w:rPr>
          <w:rFonts w:eastAsia="Times New Roman" w:cs="Times New Roman"/>
          <w:szCs w:val="28"/>
          <w:lang w:eastAsia="lv-LV"/>
        </w:rPr>
        <w:t>maz</w:t>
      </w:r>
      <w:r w:rsidRPr="00C5100B">
        <w:rPr>
          <w:rFonts w:eastAsia="Times New Roman" w:cs="Times New Roman"/>
          <w:szCs w:val="28"/>
          <w:lang w:eastAsia="lv-LV"/>
        </w:rPr>
        <w:t>āks.</w:t>
      </w:r>
    </w:p>
    <w:p w14:paraId="5374E440" w14:textId="77777777" w:rsidR="00EE1CF5" w:rsidRPr="003376B8" w:rsidRDefault="00EE1CF5" w:rsidP="00EE1CF5">
      <w:pPr>
        <w:keepNext/>
        <w:widowControl w:val="0"/>
        <w:adjustRightInd w:val="0"/>
        <w:spacing w:after="120"/>
        <w:jc w:val="right"/>
        <w:textAlignment w:val="baseline"/>
        <w:rPr>
          <w:rFonts w:eastAsia="Times New Roman" w:cs="Times New Roman"/>
          <w:bCs/>
          <w:i/>
          <w:color w:val="000000"/>
          <w:sz w:val="24"/>
          <w:szCs w:val="24"/>
        </w:rPr>
      </w:pPr>
      <w:r w:rsidRPr="00C5100B">
        <w:rPr>
          <w:rFonts w:eastAsia="Times New Roman" w:cs="Times New Roman"/>
          <w:bCs/>
          <w:i/>
          <w:color w:val="000000"/>
          <w:sz w:val="24"/>
          <w:szCs w:val="24"/>
        </w:rPr>
        <w:t>3.tabula</w:t>
      </w:r>
    </w:p>
    <w:p w14:paraId="46655619" w14:textId="77777777" w:rsidR="00EE1CF5" w:rsidRPr="00046D62" w:rsidRDefault="00EE1CF5" w:rsidP="00EE1CF5">
      <w:pPr>
        <w:keepNext/>
        <w:widowControl w:val="0"/>
        <w:adjustRightInd w:val="0"/>
        <w:spacing w:after="120" w:line="0" w:lineRule="atLeast"/>
        <w:jc w:val="center"/>
        <w:textAlignment w:val="baseline"/>
        <w:rPr>
          <w:rFonts w:eastAsia="Times New Roman" w:cs="Times New Roman"/>
          <w:b/>
          <w:bCs/>
          <w:color w:val="000000"/>
          <w:sz w:val="24"/>
          <w:szCs w:val="24"/>
        </w:rPr>
      </w:pPr>
      <w:r w:rsidRPr="00046D62">
        <w:rPr>
          <w:rFonts w:eastAsia="Times New Roman" w:cs="Times New Roman"/>
          <w:b/>
          <w:bCs/>
          <w:color w:val="000000"/>
          <w:sz w:val="24"/>
          <w:szCs w:val="24"/>
        </w:rPr>
        <w:t>Elektroenerģijas tirgus cenas prognozes 2018.-2021.gadam</w:t>
      </w:r>
    </w:p>
    <w:tbl>
      <w:tblPr>
        <w:tblW w:w="6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907"/>
        <w:gridCol w:w="930"/>
        <w:gridCol w:w="930"/>
        <w:gridCol w:w="930"/>
        <w:gridCol w:w="930"/>
      </w:tblGrid>
      <w:tr w:rsidR="00EE1CF5" w14:paraId="3032DA8E" w14:textId="77777777" w:rsidTr="00263AB1">
        <w:trPr>
          <w:trHeight w:val="333"/>
          <w:jc w:val="center"/>
        </w:trPr>
        <w:tc>
          <w:tcPr>
            <w:tcW w:w="2907" w:type="dxa"/>
            <w:shd w:val="clear" w:color="auto" w:fill="auto"/>
            <w:hideMark/>
          </w:tcPr>
          <w:p w14:paraId="38A4D7AC" w14:textId="77777777" w:rsidR="00EE1CF5" w:rsidRPr="00046D62" w:rsidRDefault="00EE1CF5" w:rsidP="00263AB1">
            <w:pPr>
              <w:jc w:val="center"/>
              <w:rPr>
                <w:rFonts w:eastAsia="Times New Roman" w:cs="Times New Roman"/>
                <w:color w:val="000000"/>
                <w:sz w:val="24"/>
                <w:szCs w:val="28"/>
                <w:lang w:eastAsia="lv-LV"/>
              </w:rPr>
            </w:pPr>
          </w:p>
        </w:tc>
        <w:tc>
          <w:tcPr>
            <w:tcW w:w="930" w:type="dxa"/>
            <w:shd w:val="clear" w:color="auto" w:fill="auto"/>
            <w:vAlign w:val="center"/>
          </w:tcPr>
          <w:p w14:paraId="26F2AC1D" w14:textId="77777777" w:rsidR="00EE1CF5" w:rsidRPr="00046D62" w:rsidRDefault="00EE1CF5" w:rsidP="00263AB1">
            <w:pPr>
              <w:jc w:val="center"/>
              <w:rPr>
                <w:rFonts w:eastAsia="Times New Roman" w:cs="Times New Roman"/>
                <w:color w:val="000000"/>
                <w:sz w:val="24"/>
                <w:szCs w:val="28"/>
                <w:lang w:eastAsia="lv-LV"/>
              </w:rPr>
            </w:pPr>
            <w:r w:rsidRPr="00046D62">
              <w:rPr>
                <w:rFonts w:eastAsia="Times New Roman" w:cs="Times New Roman"/>
                <w:color w:val="000000"/>
                <w:sz w:val="24"/>
                <w:szCs w:val="28"/>
                <w:lang w:eastAsia="lv-LV"/>
              </w:rPr>
              <w:t>2018</w:t>
            </w:r>
          </w:p>
        </w:tc>
        <w:tc>
          <w:tcPr>
            <w:tcW w:w="930" w:type="dxa"/>
            <w:tcBorders>
              <w:bottom w:val="single" w:sz="4" w:space="0" w:color="auto"/>
            </w:tcBorders>
            <w:vAlign w:val="center"/>
          </w:tcPr>
          <w:p w14:paraId="46C1AB14" w14:textId="77777777" w:rsidR="00EE1CF5" w:rsidRPr="00046D62" w:rsidRDefault="00EE1CF5" w:rsidP="00263AB1">
            <w:pPr>
              <w:jc w:val="center"/>
              <w:rPr>
                <w:rFonts w:eastAsia="Times New Roman" w:cs="Times New Roman"/>
                <w:color w:val="000000"/>
                <w:sz w:val="24"/>
                <w:szCs w:val="28"/>
                <w:lang w:eastAsia="lv-LV"/>
              </w:rPr>
            </w:pPr>
            <w:r w:rsidRPr="00046D62">
              <w:rPr>
                <w:rFonts w:eastAsia="Times New Roman" w:cs="Times New Roman"/>
                <w:color w:val="000000"/>
                <w:sz w:val="24"/>
                <w:szCs w:val="28"/>
                <w:lang w:eastAsia="lv-LV"/>
              </w:rPr>
              <w:t>2019</w:t>
            </w:r>
          </w:p>
        </w:tc>
        <w:tc>
          <w:tcPr>
            <w:tcW w:w="930" w:type="dxa"/>
            <w:tcBorders>
              <w:bottom w:val="single" w:sz="4" w:space="0" w:color="auto"/>
            </w:tcBorders>
          </w:tcPr>
          <w:p w14:paraId="0ECCF03E" w14:textId="77777777" w:rsidR="00EE1CF5" w:rsidRPr="00046D62" w:rsidRDefault="00EE1CF5" w:rsidP="00263AB1">
            <w:pPr>
              <w:jc w:val="center"/>
              <w:rPr>
                <w:rFonts w:eastAsia="Times New Roman" w:cs="Times New Roman"/>
                <w:color w:val="000000"/>
                <w:sz w:val="24"/>
                <w:szCs w:val="28"/>
                <w:lang w:eastAsia="lv-LV"/>
              </w:rPr>
            </w:pPr>
            <w:r w:rsidRPr="00046D62">
              <w:rPr>
                <w:rFonts w:eastAsia="Times New Roman" w:cs="Times New Roman"/>
                <w:color w:val="000000"/>
                <w:sz w:val="24"/>
                <w:szCs w:val="28"/>
                <w:lang w:eastAsia="lv-LV"/>
              </w:rPr>
              <w:t>2020</w:t>
            </w:r>
          </w:p>
        </w:tc>
        <w:tc>
          <w:tcPr>
            <w:tcW w:w="930" w:type="dxa"/>
            <w:tcBorders>
              <w:bottom w:val="single" w:sz="4" w:space="0" w:color="auto"/>
            </w:tcBorders>
          </w:tcPr>
          <w:p w14:paraId="6729230F" w14:textId="77777777" w:rsidR="00EE1CF5" w:rsidRPr="00046D62" w:rsidRDefault="00EE1CF5" w:rsidP="00263AB1">
            <w:pPr>
              <w:jc w:val="center"/>
              <w:rPr>
                <w:rFonts w:eastAsia="Times New Roman" w:cs="Times New Roman"/>
                <w:color w:val="000000"/>
                <w:sz w:val="24"/>
                <w:szCs w:val="28"/>
                <w:lang w:eastAsia="lv-LV"/>
              </w:rPr>
            </w:pPr>
            <w:r w:rsidRPr="00046D62">
              <w:rPr>
                <w:rFonts w:eastAsia="Times New Roman" w:cs="Times New Roman"/>
                <w:color w:val="000000"/>
                <w:sz w:val="24"/>
                <w:szCs w:val="28"/>
                <w:lang w:eastAsia="lv-LV"/>
              </w:rPr>
              <w:t>2021</w:t>
            </w:r>
          </w:p>
        </w:tc>
      </w:tr>
      <w:tr w:rsidR="00EE1CF5" w14:paraId="369254A2" w14:textId="77777777" w:rsidTr="00263AB1">
        <w:trPr>
          <w:trHeight w:val="271"/>
          <w:jc w:val="center"/>
        </w:trPr>
        <w:tc>
          <w:tcPr>
            <w:tcW w:w="2907" w:type="dxa"/>
            <w:shd w:val="clear" w:color="auto" w:fill="auto"/>
            <w:vAlign w:val="center"/>
          </w:tcPr>
          <w:p w14:paraId="29F746D7" w14:textId="77777777" w:rsidR="00EE1CF5" w:rsidRPr="00046D62" w:rsidRDefault="00EE1CF5" w:rsidP="00263AB1">
            <w:pPr>
              <w:jc w:val="center"/>
              <w:rPr>
                <w:rFonts w:eastAsia="Times New Roman" w:cs="Times New Roman"/>
                <w:color w:val="000000"/>
                <w:sz w:val="24"/>
                <w:szCs w:val="28"/>
                <w:lang w:eastAsia="lv-LV"/>
              </w:rPr>
            </w:pPr>
            <w:r w:rsidRPr="00046D62">
              <w:rPr>
                <w:rFonts w:eastAsia="Times New Roman" w:cs="Times New Roman"/>
                <w:color w:val="000000"/>
                <w:sz w:val="24"/>
                <w:szCs w:val="28"/>
                <w:lang w:eastAsia="lv-LV"/>
              </w:rPr>
              <w:t xml:space="preserve">2017.g prognoze, </w:t>
            </w:r>
            <w:r w:rsidRPr="00046D62">
              <w:rPr>
                <w:rFonts w:eastAsiaTheme="minorEastAsia"/>
                <w:sz w:val="24"/>
              </w:rPr>
              <w:t>EUR/MWh</w:t>
            </w:r>
          </w:p>
        </w:tc>
        <w:tc>
          <w:tcPr>
            <w:tcW w:w="930" w:type="dxa"/>
            <w:shd w:val="clear" w:color="auto" w:fill="auto"/>
            <w:vAlign w:val="center"/>
          </w:tcPr>
          <w:p w14:paraId="0E656400" w14:textId="77777777" w:rsidR="00EE1CF5" w:rsidRPr="00046D62" w:rsidRDefault="00EE1CF5" w:rsidP="00263AB1">
            <w:pPr>
              <w:jc w:val="center"/>
              <w:rPr>
                <w:rFonts w:eastAsiaTheme="minorEastAsia"/>
                <w:sz w:val="24"/>
              </w:rPr>
            </w:pPr>
            <w:r w:rsidRPr="00046D62">
              <w:rPr>
                <w:rFonts w:eastAsiaTheme="minorEastAsia"/>
                <w:sz w:val="24"/>
              </w:rPr>
              <w:t> 33,99</w:t>
            </w:r>
          </w:p>
        </w:tc>
        <w:tc>
          <w:tcPr>
            <w:tcW w:w="930" w:type="dxa"/>
            <w:shd w:val="clear" w:color="auto" w:fill="auto"/>
            <w:vAlign w:val="center"/>
          </w:tcPr>
          <w:p w14:paraId="62BA08D3" w14:textId="77777777" w:rsidR="00EE1CF5" w:rsidRPr="00046D62" w:rsidRDefault="00EE1CF5" w:rsidP="00263AB1">
            <w:pPr>
              <w:jc w:val="center"/>
              <w:rPr>
                <w:rFonts w:eastAsiaTheme="minorEastAsia"/>
                <w:sz w:val="24"/>
              </w:rPr>
            </w:pPr>
            <w:r w:rsidRPr="00046D62">
              <w:rPr>
                <w:rFonts w:eastAsiaTheme="minorEastAsia"/>
                <w:sz w:val="24"/>
              </w:rPr>
              <w:t> 32,46</w:t>
            </w:r>
          </w:p>
        </w:tc>
        <w:tc>
          <w:tcPr>
            <w:tcW w:w="930" w:type="dxa"/>
            <w:vAlign w:val="center"/>
          </w:tcPr>
          <w:p w14:paraId="15F162AB" w14:textId="77777777" w:rsidR="00EE1CF5" w:rsidRPr="00046D62" w:rsidRDefault="00EE1CF5" w:rsidP="00263AB1">
            <w:pPr>
              <w:jc w:val="center"/>
              <w:rPr>
                <w:rFonts w:eastAsiaTheme="minorEastAsia"/>
                <w:sz w:val="24"/>
              </w:rPr>
            </w:pPr>
            <w:r w:rsidRPr="00046D62">
              <w:rPr>
                <w:rFonts w:eastAsiaTheme="minorEastAsia"/>
                <w:sz w:val="24"/>
              </w:rPr>
              <w:t xml:space="preserve">32,28 </w:t>
            </w:r>
          </w:p>
        </w:tc>
        <w:tc>
          <w:tcPr>
            <w:tcW w:w="930" w:type="dxa"/>
            <w:vAlign w:val="center"/>
          </w:tcPr>
          <w:p w14:paraId="6862EFB1" w14:textId="77777777" w:rsidR="00EE1CF5" w:rsidRPr="00046D62" w:rsidRDefault="00EE1CF5" w:rsidP="00263AB1">
            <w:pPr>
              <w:jc w:val="center"/>
              <w:rPr>
                <w:rFonts w:eastAsiaTheme="minorEastAsia"/>
                <w:sz w:val="24"/>
              </w:rPr>
            </w:pPr>
            <w:r w:rsidRPr="00046D62">
              <w:rPr>
                <w:rFonts w:eastAsiaTheme="minorEastAsia"/>
                <w:sz w:val="24"/>
              </w:rPr>
              <w:t>NA</w:t>
            </w:r>
          </w:p>
        </w:tc>
      </w:tr>
      <w:tr w:rsidR="00EE1CF5" w14:paraId="7496CBCD" w14:textId="77777777" w:rsidTr="00263AB1">
        <w:trPr>
          <w:trHeight w:val="271"/>
          <w:jc w:val="center"/>
        </w:trPr>
        <w:tc>
          <w:tcPr>
            <w:tcW w:w="2907" w:type="dxa"/>
            <w:shd w:val="clear" w:color="auto" w:fill="auto"/>
            <w:vAlign w:val="center"/>
          </w:tcPr>
          <w:p w14:paraId="26C5A3F1" w14:textId="77777777" w:rsidR="00EE1CF5" w:rsidRPr="00046D62" w:rsidRDefault="00EE1CF5" w:rsidP="00263AB1">
            <w:pPr>
              <w:jc w:val="center"/>
              <w:rPr>
                <w:rFonts w:eastAsia="Times New Roman" w:cs="Times New Roman"/>
                <w:color w:val="000000"/>
                <w:sz w:val="24"/>
                <w:szCs w:val="28"/>
                <w:lang w:eastAsia="lv-LV"/>
              </w:rPr>
            </w:pPr>
            <w:r w:rsidRPr="00046D62">
              <w:rPr>
                <w:rFonts w:eastAsia="Times New Roman" w:cs="Times New Roman"/>
                <w:color w:val="000000"/>
                <w:sz w:val="24"/>
                <w:szCs w:val="28"/>
                <w:lang w:eastAsia="lv-LV"/>
              </w:rPr>
              <w:t xml:space="preserve">2018.g prognoze, </w:t>
            </w:r>
            <w:r w:rsidRPr="00046D62">
              <w:rPr>
                <w:rFonts w:eastAsiaTheme="minorEastAsia"/>
                <w:sz w:val="24"/>
              </w:rPr>
              <w:t>EUR/MWh</w:t>
            </w:r>
          </w:p>
        </w:tc>
        <w:tc>
          <w:tcPr>
            <w:tcW w:w="930" w:type="dxa"/>
            <w:shd w:val="clear" w:color="auto" w:fill="auto"/>
            <w:vAlign w:val="center"/>
          </w:tcPr>
          <w:p w14:paraId="072F2D45" w14:textId="77777777" w:rsidR="00EE1CF5" w:rsidRPr="00046D62" w:rsidRDefault="00EE1CF5" w:rsidP="00263AB1">
            <w:pPr>
              <w:jc w:val="center"/>
              <w:rPr>
                <w:rFonts w:eastAsiaTheme="minorEastAsia"/>
                <w:sz w:val="24"/>
              </w:rPr>
            </w:pPr>
            <w:r w:rsidRPr="00046D62">
              <w:rPr>
                <w:rFonts w:eastAsiaTheme="minorEastAsia"/>
                <w:sz w:val="24"/>
              </w:rPr>
              <w:t>47,5</w:t>
            </w:r>
          </w:p>
        </w:tc>
        <w:tc>
          <w:tcPr>
            <w:tcW w:w="930" w:type="dxa"/>
            <w:shd w:val="clear" w:color="auto" w:fill="auto"/>
            <w:vAlign w:val="center"/>
          </w:tcPr>
          <w:p w14:paraId="37E865F1" w14:textId="77777777" w:rsidR="00EE1CF5" w:rsidRPr="00046D62" w:rsidRDefault="00EE1CF5" w:rsidP="00263AB1">
            <w:pPr>
              <w:jc w:val="center"/>
              <w:rPr>
                <w:rFonts w:eastAsiaTheme="minorEastAsia"/>
                <w:sz w:val="24"/>
              </w:rPr>
            </w:pPr>
            <w:r w:rsidRPr="00046D62">
              <w:rPr>
                <w:rFonts w:eastAsiaTheme="minorEastAsia"/>
                <w:sz w:val="24"/>
              </w:rPr>
              <w:t>46,2</w:t>
            </w:r>
          </w:p>
        </w:tc>
        <w:tc>
          <w:tcPr>
            <w:tcW w:w="930" w:type="dxa"/>
            <w:vAlign w:val="center"/>
          </w:tcPr>
          <w:p w14:paraId="699B9907" w14:textId="77777777" w:rsidR="00EE1CF5" w:rsidRPr="00046D62" w:rsidRDefault="00EE1CF5" w:rsidP="00263AB1">
            <w:pPr>
              <w:jc w:val="center"/>
              <w:rPr>
                <w:rFonts w:eastAsiaTheme="minorEastAsia"/>
                <w:sz w:val="24"/>
              </w:rPr>
            </w:pPr>
            <w:r w:rsidRPr="00046D62">
              <w:rPr>
                <w:rFonts w:eastAsiaTheme="minorEastAsia"/>
                <w:sz w:val="24"/>
              </w:rPr>
              <w:t>42,8</w:t>
            </w:r>
          </w:p>
        </w:tc>
        <w:tc>
          <w:tcPr>
            <w:tcW w:w="930" w:type="dxa"/>
            <w:vAlign w:val="center"/>
          </w:tcPr>
          <w:p w14:paraId="114A9084" w14:textId="77777777" w:rsidR="00EE1CF5" w:rsidRPr="00046D62" w:rsidRDefault="00EE1CF5" w:rsidP="00263AB1">
            <w:pPr>
              <w:jc w:val="center"/>
              <w:rPr>
                <w:rFonts w:eastAsiaTheme="minorEastAsia"/>
                <w:sz w:val="24"/>
              </w:rPr>
            </w:pPr>
            <w:r w:rsidRPr="00046D62">
              <w:rPr>
                <w:rFonts w:eastAsiaTheme="minorEastAsia"/>
                <w:sz w:val="24"/>
              </w:rPr>
              <w:t>40,2</w:t>
            </w:r>
          </w:p>
        </w:tc>
      </w:tr>
    </w:tbl>
    <w:p w14:paraId="58156BFC" w14:textId="77777777" w:rsidR="00EE1CF5" w:rsidRPr="00046D62" w:rsidRDefault="00EE1CF5" w:rsidP="00EE1CF5">
      <w:pPr>
        <w:ind w:left="720" w:firstLine="720"/>
        <w:rPr>
          <w:rFonts w:eastAsia="Times New Roman" w:cs="Times New Roman"/>
          <w:color w:val="000000"/>
          <w:sz w:val="20"/>
          <w:szCs w:val="28"/>
          <w:lang w:eastAsia="lv-LV"/>
        </w:rPr>
      </w:pPr>
      <w:r w:rsidRPr="00046D62">
        <w:rPr>
          <w:rFonts w:eastAsia="Times New Roman" w:cs="Times New Roman"/>
          <w:color w:val="000000"/>
          <w:sz w:val="20"/>
          <w:szCs w:val="28"/>
          <w:lang w:eastAsia="lv-LV"/>
        </w:rPr>
        <w:t>Avots: Ekonomikas ministrija</w:t>
      </w:r>
    </w:p>
    <w:p w14:paraId="48DC8DC5" w14:textId="77777777" w:rsidR="00EE1CF5" w:rsidRDefault="00EE1CF5" w:rsidP="00EE1CF5">
      <w:pPr>
        <w:widowControl w:val="0"/>
        <w:ind w:firstLine="709"/>
        <w:rPr>
          <w:rFonts w:eastAsia="Calibri" w:cs="Times New Roman"/>
          <w:szCs w:val="28"/>
        </w:rPr>
      </w:pPr>
    </w:p>
    <w:p w14:paraId="503795A2" w14:textId="77777777" w:rsidR="00EE1CF5" w:rsidRDefault="00EE1CF5" w:rsidP="00EE1CF5">
      <w:pPr>
        <w:widowControl w:val="0"/>
        <w:spacing w:before="120"/>
        <w:ind w:firstLine="709"/>
        <w:rPr>
          <w:rFonts w:eastAsia="Calibri" w:cs="Times New Roman"/>
          <w:szCs w:val="28"/>
        </w:rPr>
      </w:pPr>
      <w:r>
        <w:rPr>
          <w:rFonts w:eastAsia="Calibri" w:cs="Times New Roman"/>
          <w:szCs w:val="28"/>
        </w:rPr>
        <w:t xml:space="preserve">Elektroenerģijas OI mehānisma izmaksas veido spēkā esošajos normatīvajos aktos esošie valsts atbalsta nosacījumi dažādām elektroenerģijas ražotāju grupām (tehnoloģijām). No 3.attēlā atspoguļotā kopsavilkuma redzams, ka vēsturiskā elektroenerģijas tirgus cena ir vairākas reizes zemāka par izmaksāto atbalstu ražotājiem. Savukārt vislielākais OI mehānismā darbojošos ražotāju atbalsts tiek sniegts biogāzes stacijām, kam seko biomasas stacijas un mazās hidroelektrostacijas. Relatīvi vismazākais atbalsts un (visīsāko laika posmu) tiek sniegts dabasgāzes koģenerācijas stacijām. Tomēr būtiski atzīmēt, ka šīs fosilā kurināmā stacijas nedod ieguldījumu 2020.gada Latvijas AER mērķa īstenošanā, kam šajā gadā jāsasniedz 40% no enerģijas galapatēriņa valstī. </w:t>
      </w:r>
    </w:p>
    <w:p w14:paraId="7F74443C" w14:textId="77777777" w:rsidR="00EE1CF5" w:rsidRPr="00046D62" w:rsidRDefault="00EE1CF5" w:rsidP="00EE1CF5">
      <w:pPr>
        <w:widowControl w:val="0"/>
        <w:spacing w:before="120"/>
        <w:ind w:firstLine="709"/>
        <w:rPr>
          <w:rFonts w:eastAsia="Calibri" w:cs="Times New Roman"/>
          <w:szCs w:val="28"/>
        </w:rPr>
      </w:pPr>
      <w:r>
        <w:rPr>
          <w:rFonts w:eastAsia="Calibri" w:cs="Times New Roman"/>
          <w:szCs w:val="28"/>
        </w:rPr>
        <w:t>Līdztekus tam piecas elektrostacijas saņem valsts atbalstu garantētās maksas veidā par uzstādīto elektrisko jaudu (4.attēls).</w:t>
      </w:r>
    </w:p>
    <w:p w14:paraId="2A6AB094" w14:textId="77777777" w:rsidR="00EE1CF5" w:rsidRPr="00C53319" w:rsidRDefault="00EE1CF5" w:rsidP="00EE1CF5">
      <w:pPr>
        <w:keepNext/>
        <w:keepLines/>
        <w:spacing w:after="160" w:line="360" w:lineRule="auto"/>
        <w:jc w:val="right"/>
        <w:rPr>
          <w:rFonts w:eastAsiaTheme="minorEastAsia" w:cs="Times New Roman"/>
          <w:color w:val="000000" w:themeColor="text1"/>
          <w:szCs w:val="26"/>
        </w:rPr>
      </w:pPr>
      <w:r>
        <w:rPr>
          <w:rFonts w:eastAsiaTheme="minorEastAsia" w:cs="Times New Roman"/>
          <w:i/>
          <w:noProof/>
          <w:szCs w:val="26"/>
          <w:lang w:eastAsia="lv-LV"/>
        </w:rPr>
        <w:lastRenderedPageBreak/>
        <w:t>3.a</w:t>
      </w:r>
      <w:r w:rsidRPr="00046D62">
        <w:rPr>
          <w:rFonts w:eastAsiaTheme="minorEastAsia" w:cs="Times New Roman"/>
          <w:i/>
          <w:noProof/>
          <w:szCs w:val="26"/>
          <w:lang w:eastAsia="lv-LV"/>
        </w:rPr>
        <w:t>ttēls</w:t>
      </w:r>
    </w:p>
    <w:p w14:paraId="5A04DE21" w14:textId="77777777" w:rsidR="00EE1CF5" w:rsidRDefault="00EE1CF5" w:rsidP="00EE1CF5">
      <w:pPr>
        <w:keepNext/>
        <w:keepLines/>
        <w:jc w:val="center"/>
        <w:rPr>
          <w:rFonts w:eastAsia="Times New Roman" w:cs="Times New Roman"/>
          <w:color w:val="000000"/>
          <w:sz w:val="20"/>
          <w:szCs w:val="28"/>
          <w:lang w:eastAsia="lv-LV"/>
        </w:rPr>
      </w:pPr>
      <w:r w:rsidRPr="001E421A">
        <w:rPr>
          <w:rFonts w:asciiTheme="majorHAnsi" w:eastAsiaTheme="majorEastAsia" w:hAnsiTheme="majorHAnsi" w:cstheme="majorBidi"/>
          <w:b/>
          <w:bCs/>
          <w:noProof/>
          <w:color w:val="000000" w:themeColor="text1"/>
          <w:sz w:val="20"/>
          <w:szCs w:val="20"/>
        </w:rPr>
        <w:drawing>
          <wp:inline distT="0" distB="0" distL="0" distR="0" wp14:anchorId="34CA5D23" wp14:editId="5263E5AD">
            <wp:extent cx="5711039" cy="2538095"/>
            <wp:effectExtent l="0" t="0" r="444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1E421A">
        <w:rPr>
          <w:rFonts w:asciiTheme="majorHAnsi" w:eastAsiaTheme="majorEastAsia" w:hAnsiTheme="majorHAnsi" w:cstheme="majorBidi"/>
          <w:b/>
          <w:bCs/>
          <w:noProof/>
          <w:color w:val="000000" w:themeColor="text1"/>
          <w:sz w:val="20"/>
          <w:szCs w:val="20"/>
        </w:rPr>
        <mc:AlternateContent>
          <mc:Choice Requires="wps">
            <w:drawing>
              <wp:anchor distT="0" distB="0" distL="114300" distR="114300" simplePos="0" relativeHeight="251663360" behindDoc="0" locked="0" layoutInCell="1" allowOverlap="1" wp14:anchorId="5D6EEF25" wp14:editId="03D93B5B">
                <wp:simplePos x="0" y="0"/>
                <wp:positionH relativeFrom="column">
                  <wp:posOffset>11597005</wp:posOffset>
                </wp:positionH>
                <wp:positionV relativeFrom="paragraph">
                  <wp:posOffset>-2279015</wp:posOffset>
                </wp:positionV>
                <wp:extent cx="1054017" cy="264560"/>
                <wp:effectExtent l="0" t="0" r="0" b="0"/>
                <wp:wrapNone/>
                <wp:docPr id="15386" name="TextBox 10"/>
                <wp:cNvGraphicFramePr/>
                <a:graphic xmlns:a="http://schemas.openxmlformats.org/drawingml/2006/main">
                  <a:graphicData uri="http://schemas.microsoft.com/office/word/2010/wordprocessingShape">
                    <wps:wsp>
                      <wps:cNvSpPr txBox="1"/>
                      <wps:spPr>
                        <a:xfrm>
                          <a:off x="0" y="0"/>
                          <a:ext cx="1054017"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B57276B" w14:textId="77777777" w:rsidR="00EE1CF5" w:rsidRDefault="00EE1CF5" w:rsidP="00EE1CF5">
                            <w:pPr>
                              <w:pStyle w:val="NormalWeb"/>
                              <w:kinsoku w:val="0"/>
                              <w:overflowPunct w:val="0"/>
                              <w:spacing w:after="0"/>
                              <w:textAlignment w:val="baseline"/>
                            </w:pPr>
                            <w:r>
                              <w:rPr>
                                <w:rFonts w:asciiTheme="minorHAnsi" w:hAnsi="Calibri" w:cstheme="minorBidi"/>
                                <w:b/>
                                <w:bCs/>
                                <w:color w:val="4A4A49"/>
                                <w:kern w:val="24"/>
                                <w:sz w:val="22"/>
                                <w:szCs w:val="22"/>
                              </w:rPr>
                              <w:t>tirgus cena</w:t>
                            </w:r>
                          </w:p>
                        </w:txbxContent>
                      </wps:txbx>
                      <wps:bodyPr wrap="square" rtlCol="0" anchor="t">
                        <a:spAutoFit/>
                      </wps:bodyPr>
                    </wps:wsp>
                  </a:graphicData>
                </a:graphic>
              </wp:anchor>
            </w:drawing>
          </mc:Choice>
          <mc:Fallback>
            <w:pict>
              <v:shapetype w14:anchorId="5D6EEF25" id="_x0000_t202" coordsize="21600,21600" o:spt="202" path="m,l,21600r21600,l21600,xe">
                <v:stroke joinstyle="miter"/>
                <v:path gradientshapeok="t" o:connecttype="rect"/>
              </v:shapetype>
              <v:shape id="TextBox 10" o:spid="_x0000_s1026" type="#_x0000_t202" style="position:absolute;left:0;text-align:left;margin-left:913.15pt;margin-top:-179.45pt;width:83pt;height:2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" filled="f" stroked="f">
                <v:textbox style="mso-fit-shape-to-text:t">
                  <w:txbxContent>
                    <w:p w14:paraId="2B57276B" w14:textId="77777777" w:rsidR="00EE1CF5" w:rsidRDefault="00EE1CF5" w:rsidP="00EE1CF5">
                      <w:pPr>
                        <w:pStyle w:val="NormalWeb"/>
                        <w:kinsoku w:val="0"/>
                        <w:overflowPunct w:val="0"/>
                        <w:spacing w:after="0"/>
                        <w:textAlignment w:val="baseline"/>
                      </w:pPr>
                      <w:r>
                        <w:rPr>
                          <w:rFonts w:asciiTheme="minorHAnsi" w:hAnsi="Calibri" w:cstheme="minorBidi"/>
                          <w:b/>
                          <w:bCs/>
                          <w:color w:val="4A4A49"/>
                          <w:kern w:val="24"/>
                          <w:sz w:val="22"/>
                          <w:szCs w:val="22"/>
                        </w:rPr>
                        <w:t>tirgus cena</w:t>
                      </w:r>
                    </w:p>
                  </w:txbxContent>
                </v:textbox>
              </v:shape>
            </w:pict>
          </mc:Fallback>
        </mc:AlternateContent>
      </w:r>
      <w:r w:rsidRPr="001E421A">
        <w:rPr>
          <w:rFonts w:asciiTheme="majorHAnsi" w:eastAsiaTheme="majorEastAsia" w:hAnsiTheme="majorHAnsi" w:cstheme="majorBidi"/>
          <w:b/>
          <w:bCs/>
          <w:noProof/>
          <w:color w:val="000000" w:themeColor="text1"/>
          <w:sz w:val="20"/>
          <w:szCs w:val="20"/>
        </w:rPr>
        <mc:AlternateContent>
          <mc:Choice Requires="wps">
            <w:drawing>
              <wp:anchor distT="0" distB="0" distL="114300" distR="114300" simplePos="0" relativeHeight="251664384" behindDoc="0" locked="0" layoutInCell="1" allowOverlap="1" wp14:anchorId="3FC6CE87" wp14:editId="48EDDAEC">
                <wp:simplePos x="0" y="0"/>
                <wp:positionH relativeFrom="column">
                  <wp:posOffset>10475595</wp:posOffset>
                </wp:positionH>
                <wp:positionV relativeFrom="paragraph">
                  <wp:posOffset>-3148965</wp:posOffset>
                </wp:positionV>
                <wp:extent cx="432048" cy="432000"/>
                <wp:effectExtent l="0" t="0" r="1270" b="6350"/>
                <wp:wrapNone/>
                <wp:docPr id="43" name="Oval 39"/>
                <wp:cNvGraphicFramePr/>
                <a:graphic xmlns:a="http://schemas.openxmlformats.org/drawingml/2006/main">
                  <a:graphicData uri="http://schemas.microsoft.com/office/word/2010/wordprocessingShape">
                    <wps:wsp>
                      <wps:cNvSpPr/>
                      <wps:spPr>
                        <a:xfrm>
                          <a:off x="0" y="0"/>
                          <a:ext cx="432048" cy="432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FF369" w14:textId="77777777" w:rsidR="00EE1CF5" w:rsidRDefault="00EE1CF5" w:rsidP="00EE1CF5">
                            <w:pPr>
                              <w:pStyle w:val="NormalWeb"/>
                              <w:kinsoku w:val="0"/>
                              <w:overflowPunct w:val="0"/>
                              <w:spacing w:after="0"/>
                              <w:jc w:val="center"/>
                              <w:textAlignment w:val="baseline"/>
                            </w:pPr>
                            <w:r>
                              <w:rPr>
                                <w:rFonts w:asciiTheme="minorHAnsi" w:hAnsi="Calibri" w:cstheme="minorBidi"/>
                                <w:b/>
                                <w:bCs/>
                                <w:color w:val="FFFFFF" w:themeColor="light1"/>
                                <w:kern w:val="24"/>
                                <w:sz w:val="20"/>
                                <w:szCs w:val="20"/>
                              </w:rPr>
                              <w:t>20 gadi</w:t>
                            </w:r>
                          </w:p>
                        </w:txbxContent>
                      </wps:txbx>
                      <wps:bodyPr wrap="none" rtlCol="0" anchor="ctr"/>
                    </wps:wsp>
                  </a:graphicData>
                </a:graphic>
              </wp:anchor>
            </w:drawing>
          </mc:Choice>
          <mc:Fallback>
            <w:pict>
              <v:oval w14:anchorId="3FC6CE87" id="Oval 39" o:spid="_x0000_s1027" style="position:absolute;left:0;text-align:left;margin-left:824.85pt;margin-top:-247.95pt;width:34pt;height:34pt;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" fillcolor="#c00000" stroked="f" strokeweight="1pt">
                <v:stroke joinstyle="miter"/>
                <v:textbox>
                  <w:txbxContent>
                    <w:p w14:paraId="498FF369" w14:textId="77777777" w:rsidR="00EE1CF5" w:rsidRDefault="00EE1CF5" w:rsidP="00EE1CF5">
                      <w:pPr>
                        <w:pStyle w:val="NormalWeb"/>
                        <w:kinsoku w:val="0"/>
                        <w:overflowPunct w:val="0"/>
                        <w:spacing w:after="0"/>
                        <w:jc w:val="center"/>
                        <w:textAlignment w:val="baseline"/>
                      </w:pPr>
                      <w:r>
                        <w:rPr>
                          <w:rFonts w:asciiTheme="minorHAnsi" w:hAnsi="Calibri" w:cstheme="minorBidi"/>
                          <w:b/>
                          <w:bCs/>
                          <w:color w:val="FFFFFF" w:themeColor="light1"/>
                          <w:kern w:val="24"/>
                          <w:sz w:val="20"/>
                          <w:szCs w:val="20"/>
                        </w:rPr>
                        <w:t>20 gadi</w:t>
                      </w:r>
                    </w:p>
                  </w:txbxContent>
                </v:textbox>
              </v:oval>
            </w:pict>
          </mc:Fallback>
        </mc:AlternateContent>
      </w:r>
      <w:r w:rsidRPr="001E421A">
        <w:rPr>
          <w:rFonts w:asciiTheme="majorHAnsi" w:eastAsiaTheme="majorEastAsia" w:hAnsiTheme="majorHAnsi" w:cstheme="majorBidi"/>
          <w:b/>
          <w:bCs/>
          <w:noProof/>
          <w:color w:val="000000" w:themeColor="text1"/>
          <w:sz w:val="20"/>
          <w:szCs w:val="20"/>
        </w:rPr>
        <mc:AlternateContent>
          <mc:Choice Requires="wps">
            <w:drawing>
              <wp:anchor distT="0" distB="0" distL="114300" distR="114300" simplePos="0" relativeHeight="251665408" behindDoc="0" locked="0" layoutInCell="1" allowOverlap="1" wp14:anchorId="67F46D51" wp14:editId="2712B79C">
                <wp:simplePos x="0" y="0"/>
                <wp:positionH relativeFrom="column">
                  <wp:posOffset>12289155</wp:posOffset>
                </wp:positionH>
                <wp:positionV relativeFrom="paragraph">
                  <wp:posOffset>-3148965</wp:posOffset>
                </wp:positionV>
                <wp:extent cx="432048" cy="432000"/>
                <wp:effectExtent l="0" t="0" r="1270" b="6350"/>
                <wp:wrapNone/>
                <wp:docPr id="44" name="Oval 40"/>
                <wp:cNvGraphicFramePr/>
                <a:graphic xmlns:a="http://schemas.openxmlformats.org/drawingml/2006/main">
                  <a:graphicData uri="http://schemas.microsoft.com/office/word/2010/wordprocessingShape">
                    <wps:wsp>
                      <wps:cNvSpPr/>
                      <wps:spPr>
                        <a:xfrm>
                          <a:off x="0" y="0"/>
                          <a:ext cx="432048" cy="432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9DE2F" w14:textId="77777777" w:rsidR="00EE1CF5" w:rsidRDefault="00EE1CF5" w:rsidP="00EE1CF5">
                            <w:pPr>
                              <w:pStyle w:val="NormalWeb"/>
                              <w:kinsoku w:val="0"/>
                              <w:overflowPunct w:val="0"/>
                              <w:spacing w:after="0"/>
                              <w:jc w:val="center"/>
                              <w:textAlignment w:val="baseline"/>
                            </w:pPr>
                            <w:r>
                              <w:rPr>
                                <w:rFonts w:asciiTheme="minorHAnsi" w:hAnsi="Calibri" w:cstheme="minorBidi"/>
                                <w:b/>
                                <w:bCs/>
                                <w:color w:val="FFFFFF" w:themeColor="light1"/>
                                <w:kern w:val="24"/>
                                <w:sz w:val="20"/>
                                <w:szCs w:val="20"/>
                              </w:rPr>
                              <w:t>10 gadi</w:t>
                            </w:r>
                          </w:p>
                        </w:txbxContent>
                      </wps:txbx>
                      <wps:bodyPr wrap="none" rtlCol="0" anchor="ctr"/>
                    </wps:wsp>
                  </a:graphicData>
                </a:graphic>
              </wp:anchor>
            </w:drawing>
          </mc:Choice>
          <mc:Fallback>
            <w:pict>
              <v:oval w14:anchorId="67F46D51" id="Oval 40" o:spid="_x0000_s1028" style="position:absolute;left:0;text-align:left;margin-left:967.65pt;margin-top:-247.95pt;width:34pt;height:34pt;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" fillcolor="#c00000" stroked="f" strokeweight="1pt">
                <v:stroke joinstyle="miter"/>
                <v:textbox>
                  <w:txbxContent>
                    <w:p w14:paraId="3279DE2F" w14:textId="77777777" w:rsidR="00EE1CF5" w:rsidRDefault="00EE1CF5" w:rsidP="00EE1CF5">
                      <w:pPr>
                        <w:pStyle w:val="NormalWeb"/>
                        <w:kinsoku w:val="0"/>
                        <w:overflowPunct w:val="0"/>
                        <w:spacing w:after="0"/>
                        <w:jc w:val="center"/>
                        <w:textAlignment w:val="baseline"/>
                      </w:pPr>
                      <w:r>
                        <w:rPr>
                          <w:rFonts w:asciiTheme="minorHAnsi" w:hAnsi="Calibri" w:cstheme="minorBidi"/>
                          <w:b/>
                          <w:bCs/>
                          <w:color w:val="FFFFFF" w:themeColor="light1"/>
                          <w:kern w:val="24"/>
                          <w:sz w:val="20"/>
                          <w:szCs w:val="20"/>
                        </w:rPr>
                        <w:t>10 gadi</w:t>
                      </w:r>
                    </w:p>
                  </w:txbxContent>
                </v:textbox>
              </v:oval>
            </w:pict>
          </mc:Fallback>
        </mc:AlternateContent>
      </w:r>
      <w:r w:rsidRPr="001E421A">
        <w:rPr>
          <w:rFonts w:asciiTheme="majorHAnsi" w:eastAsiaTheme="majorEastAsia" w:hAnsiTheme="majorHAnsi" w:cstheme="majorBidi"/>
          <w:b/>
          <w:bCs/>
          <w:noProof/>
          <w:color w:val="000000" w:themeColor="text1"/>
          <w:sz w:val="20"/>
          <w:szCs w:val="20"/>
        </w:rPr>
        <mc:AlternateContent>
          <mc:Choice Requires="wps">
            <w:drawing>
              <wp:anchor distT="0" distB="0" distL="114300" distR="114300" simplePos="0" relativeHeight="251660288" behindDoc="0" locked="0" layoutInCell="1" allowOverlap="1" wp14:anchorId="141AA6D4" wp14:editId="5D7ECD9C">
                <wp:simplePos x="0" y="0"/>
                <wp:positionH relativeFrom="column">
                  <wp:posOffset>11597005</wp:posOffset>
                </wp:positionH>
                <wp:positionV relativeFrom="paragraph">
                  <wp:posOffset>-2279015</wp:posOffset>
                </wp:positionV>
                <wp:extent cx="1054017" cy="264560"/>
                <wp:effectExtent l="0" t="0" r="0" b="0"/>
                <wp:wrapNone/>
                <wp:docPr id="33" name="TextBox 10"/>
                <wp:cNvGraphicFramePr/>
                <a:graphic xmlns:a="http://schemas.openxmlformats.org/drawingml/2006/main">
                  <a:graphicData uri="http://schemas.microsoft.com/office/word/2010/wordprocessingShape">
                    <wps:wsp>
                      <wps:cNvSpPr txBox="1"/>
                      <wps:spPr>
                        <a:xfrm>
                          <a:off x="0" y="0"/>
                          <a:ext cx="1054017"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84D7F27" w14:textId="77777777" w:rsidR="00EE1CF5" w:rsidRDefault="00EE1CF5" w:rsidP="00EE1CF5">
                            <w:pPr>
                              <w:pStyle w:val="NormalWeb"/>
                              <w:kinsoku w:val="0"/>
                              <w:overflowPunct w:val="0"/>
                              <w:spacing w:after="0"/>
                              <w:textAlignment w:val="baseline"/>
                            </w:pPr>
                            <w:r>
                              <w:rPr>
                                <w:rFonts w:asciiTheme="minorHAnsi" w:hAnsi="Calibri" w:cstheme="minorBidi"/>
                                <w:b/>
                                <w:bCs/>
                                <w:color w:val="4A4A49"/>
                                <w:kern w:val="24"/>
                                <w:sz w:val="22"/>
                                <w:szCs w:val="22"/>
                              </w:rPr>
                              <w:t>tirgus cena</w:t>
                            </w:r>
                          </w:p>
                        </w:txbxContent>
                      </wps:txbx>
                      <wps:bodyPr wrap="square" rtlCol="0" anchor="t">
                        <a:spAutoFit/>
                      </wps:bodyPr>
                    </wps:wsp>
                  </a:graphicData>
                </a:graphic>
              </wp:anchor>
            </w:drawing>
          </mc:Choice>
          <mc:Fallback>
            <w:pict>
              <v:shape w14:anchorId="141AA6D4" id="_x0000_s1029" type="#_x0000_t202" style="position:absolute;left:0;text-align:left;margin-left:913.15pt;margin-top:-179.45pt;width:83pt;height:20.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" filled="f" stroked="f">
                <v:textbox style="mso-fit-shape-to-text:t">
                  <w:txbxContent>
                    <w:p w14:paraId="084D7F27" w14:textId="77777777" w:rsidR="00EE1CF5" w:rsidRDefault="00EE1CF5" w:rsidP="00EE1CF5">
                      <w:pPr>
                        <w:pStyle w:val="NormalWeb"/>
                        <w:kinsoku w:val="0"/>
                        <w:overflowPunct w:val="0"/>
                        <w:spacing w:after="0"/>
                        <w:textAlignment w:val="baseline"/>
                      </w:pPr>
                      <w:r>
                        <w:rPr>
                          <w:rFonts w:asciiTheme="minorHAnsi" w:hAnsi="Calibri" w:cstheme="minorBidi"/>
                          <w:b/>
                          <w:bCs/>
                          <w:color w:val="4A4A49"/>
                          <w:kern w:val="24"/>
                          <w:sz w:val="22"/>
                          <w:szCs w:val="22"/>
                        </w:rPr>
                        <w:t>tirgus cena</w:t>
                      </w:r>
                    </w:p>
                  </w:txbxContent>
                </v:textbox>
              </v:shape>
            </w:pict>
          </mc:Fallback>
        </mc:AlternateContent>
      </w:r>
      <w:r w:rsidRPr="001E421A">
        <w:rPr>
          <w:rFonts w:asciiTheme="majorHAnsi" w:eastAsiaTheme="majorEastAsia" w:hAnsiTheme="majorHAnsi" w:cstheme="majorBidi"/>
          <w:b/>
          <w:bCs/>
          <w:noProof/>
          <w:color w:val="000000" w:themeColor="text1"/>
          <w:sz w:val="20"/>
          <w:szCs w:val="20"/>
        </w:rPr>
        <mc:AlternateContent>
          <mc:Choice Requires="wps">
            <w:drawing>
              <wp:anchor distT="0" distB="0" distL="114300" distR="114300" simplePos="0" relativeHeight="251661312" behindDoc="0" locked="0" layoutInCell="1" allowOverlap="1" wp14:anchorId="64A2B528" wp14:editId="510CB76A">
                <wp:simplePos x="0" y="0"/>
                <wp:positionH relativeFrom="column">
                  <wp:posOffset>10475595</wp:posOffset>
                </wp:positionH>
                <wp:positionV relativeFrom="paragraph">
                  <wp:posOffset>-3148965</wp:posOffset>
                </wp:positionV>
                <wp:extent cx="432048" cy="432000"/>
                <wp:effectExtent l="0" t="0" r="1270" b="6350"/>
                <wp:wrapNone/>
                <wp:docPr id="40" name="Oval 39"/>
                <wp:cNvGraphicFramePr/>
                <a:graphic xmlns:a="http://schemas.openxmlformats.org/drawingml/2006/main">
                  <a:graphicData uri="http://schemas.microsoft.com/office/word/2010/wordprocessingShape">
                    <wps:wsp>
                      <wps:cNvSpPr/>
                      <wps:spPr>
                        <a:xfrm>
                          <a:off x="0" y="0"/>
                          <a:ext cx="432048" cy="432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13B8FC" w14:textId="77777777" w:rsidR="00EE1CF5" w:rsidRDefault="00EE1CF5" w:rsidP="00EE1CF5">
                            <w:pPr>
                              <w:pStyle w:val="NormalWeb"/>
                              <w:kinsoku w:val="0"/>
                              <w:overflowPunct w:val="0"/>
                              <w:spacing w:after="0"/>
                              <w:jc w:val="center"/>
                              <w:textAlignment w:val="baseline"/>
                            </w:pPr>
                            <w:r>
                              <w:rPr>
                                <w:rFonts w:asciiTheme="minorHAnsi" w:hAnsi="Calibri" w:cstheme="minorBidi"/>
                                <w:b/>
                                <w:bCs/>
                                <w:color w:val="FFFFFF" w:themeColor="light1"/>
                                <w:kern w:val="24"/>
                                <w:sz w:val="20"/>
                                <w:szCs w:val="20"/>
                              </w:rPr>
                              <w:t>20 gadi</w:t>
                            </w:r>
                          </w:p>
                        </w:txbxContent>
                      </wps:txbx>
                      <wps:bodyPr wrap="none" rtlCol="0" anchor="ctr"/>
                    </wps:wsp>
                  </a:graphicData>
                </a:graphic>
              </wp:anchor>
            </w:drawing>
          </mc:Choice>
          <mc:Fallback>
            <w:pict>
              <v:oval w14:anchorId="64A2B528" id="_x0000_s1030" style="position:absolute;left:0;text-align:left;margin-left:824.85pt;margin-top:-247.95pt;width:34pt;height:34pt;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" fillcolor="#c00000" stroked="f" strokeweight="1pt">
                <v:stroke joinstyle="miter"/>
                <v:textbox>
                  <w:txbxContent>
                    <w:p w14:paraId="2013B8FC" w14:textId="77777777" w:rsidR="00EE1CF5" w:rsidRDefault="00EE1CF5" w:rsidP="00EE1CF5">
                      <w:pPr>
                        <w:pStyle w:val="NormalWeb"/>
                        <w:kinsoku w:val="0"/>
                        <w:overflowPunct w:val="0"/>
                        <w:spacing w:after="0"/>
                        <w:jc w:val="center"/>
                        <w:textAlignment w:val="baseline"/>
                      </w:pPr>
                      <w:r>
                        <w:rPr>
                          <w:rFonts w:asciiTheme="minorHAnsi" w:hAnsi="Calibri" w:cstheme="minorBidi"/>
                          <w:b/>
                          <w:bCs/>
                          <w:color w:val="FFFFFF" w:themeColor="light1"/>
                          <w:kern w:val="24"/>
                          <w:sz w:val="20"/>
                          <w:szCs w:val="20"/>
                        </w:rPr>
                        <w:t>20 gadi</w:t>
                      </w:r>
                    </w:p>
                  </w:txbxContent>
                </v:textbox>
              </v:oval>
            </w:pict>
          </mc:Fallback>
        </mc:AlternateContent>
      </w:r>
      <w:r w:rsidRPr="001E421A">
        <w:rPr>
          <w:rFonts w:asciiTheme="majorHAnsi" w:eastAsiaTheme="majorEastAsia" w:hAnsiTheme="majorHAnsi" w:cstheme="majorBidi"/>
          <w:b/>
          <w:bCs/>
          <w:noProof/>
          <w:color w:val="000000" w:themeColor="text1"/>
          <w:sz w:val="20"/>
          <w:szCs w:val="20"/>
        </w:rPr>
        <mc:AlternateContent>
          <mc:Choice Requires="wps">
            <w:drawing>
              <wp:anchor distT="0" distB="0" distL="114300" distR="114300" simplePos="0" relativeHeight="251662336" behindDoc="0" locked="0" layoutInCell="1" allowOverlap="1" wp14:anchorId="6FE54F52" wp14:editId="4B20F99F">
                <wp:simplePos x="0" y="0"/>
                <wp:positionH relativeFrom="column">
                  <wp:posOffset>12289155</wp:posOffset>
                </wp:positionH>
                <wp:positionV relativeFrom="paragraph">
                  <wp:posOffset>-3148965</wp:posOffset>
                </wp:positionV>
                <wp:extent cx="432048" cy="432000"/>
                <wp:effectExtent l="0" t="0" r="1270" b="6350"/>
                <wp:wrapNone/>
                <wp:docPr id="41" name="Oval 40"/>
                <wp:cNvGraphicFramePr/>
                <a:graphic xmlns:a="http://schemas.openxmlformats.org/drawingml/2006/main">
                  <a:graphicData uri="http://schemas.microsoft.com/office/word/2010/wordprocessingShape">
                    <wps:wsp>
                      <wps:cNvSpPr/>
                      <wps:spPr>
                        <a:xfrm>
                          <a:off x="0" y="0"/>
                          <a:ext cx="432048" cy="432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C6FC5" w14:textId="77777777" w:rsidR="00EE1CF5" w:rsidRDefault="00EE1CF5" w:rsidP="00EE1CF5">
                            <w:pPr>
                              <w:pStyle w:val="NormalWeb"/>
                              <w:kinsoku w:val="0"/>
                              <w:overflowPunct w:val="0"/>
                              <w:spacing w:after="0"/>
                              <w:jc w:val="center"/>
                              <w:textAlignment w:val="baseline"/>
                            </w:pPr>
                            <w:r>
                              <w:rPr>
                                <w:rFonts w:asciiTheme="minorHAnsi" w:hAnsi="Calibri" w:cstheme="minorBidi"/>
                                <w:b/>
                                <w:bCs/>
                                <w:color w:val="FFFFFF" w:themeColor="light1"/>
                                <w:kern w:val="24"/>
                                <w:sz w:val="20"/>
                                <w:szCs w:val="20"/>
                              </w:rPr>
                              <w:t>10 gadi</w:t>
                            </w:r>
                          </w:p>
                        </w:txbxContent>
                      </wps:txbx>
                      <wps:bodyPr wrap="none" rtlCol="0" anchor="ctr"/>
                    </wps:wsp>
                  </a:graphicData>
                </a:graphic>
              </wp:anchor>
            </w:drawing>
          </mc:Choice>
          <mc:Fallback>
            <w:pict>
              <v:oval w14:anchorId="6FE54F52" id="_x0000_s1031" style="position:absolute;left:0;text-align:left;margin-left:967.65pt;margin-top:-247.95pt;width:34pt;height:34pt;z-index:25166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" fillcolor="#c00000" stroked="f" strokeweight="1pt">
                <v:stroke joinstyle="miter"/>
                <v:textbox>
                  <w:txbxContent>
                    <w:p w14:paraId="2FAC6FC5" w14:textId="77777777" w:rsidR="00EE1CF5" w:rsidRDefault="00EE1CF5" w:rsidP="00EE1CF5">
                      <w:pPr>
                        <w:pStyle w:val="NormalWeb"/>
                        <w:kinsoku w:val="0"/>
                        <w:overflowPunct w:val="0"/>
                        <w:spacing w:after="0"/>
                        <w:jc w:val="center"/>
                        <w:textAlignment w:val="baseline"/>
                      </w:pPr>
                      <w:r>
                        <w:rPr>
                          <w:rFonts w:asciiTheme="minorHAnsi" w:hAnsi="Calibri" w:cstheme="minorBidi"/>
                          <w:b/>
                          <w:bCs/>
                          <w:color w:val="FFFFFF" w:themeColor="light1"/>
                          <w:kern w:val="24"/>
                          <w:sz w:val="20"/>
                          <w:szCs w:val="20"/>
                        </w:rPr>
                        <w:t>10 gadi</w:t>
                      </w:r>
                    </w:p>
                  </w:txbxContent>
                </v:textbox>
              </v:oval>
            </w:pict>
          </mc:Fallback>
        </mc:AlternateContent>
      </w:r>
      <w:r w:rsidRPr="001E421A">
        <w:rPr>
          <w:rFonts w:eastAsia="Times New Roman" w:cs="Times New Roman"/>
          <w:b/>
          <w:bCs/>
          <w:sz w:val="24"/>
          <w:szCs w:val="28"/>
          <w:lang w:eastAsia="lv-LV"/>
        </w:rPr>
        <w:t>Obligātā iepirkuma cenas un atbalsta termiņi dažādām tehnoloģijām</w:t>
      </w:r>
      <w:r>
        <w:rPr>
          <w:rFonts w:eastAsia="Times New Roman" w:cs="Times New Roman"/>
          <w:b/>
          <w:bCs/>
          <w:sz w:val="24"/>
          <w:szCs w:val="28"/>
          <w:lang w:eastAsia="lv-LV"/>
        </w:rPr>
        <w:br/>
      </w:r>
      <w:r w:rsidRPr="001E421A">
        <w:rPr>
          <w:rFonts w:eastAsia="Times New Roman" w:cs="Times New Roman"/>
          <w:color w:val="000000"/>
          <w:sz w:val="20"/>
          <w:szCs w:val="28"/>
          <w:lang w:eastAsia="lv-LV"/>
        </w:rPr>
        <w:t xml:space="preserve">Avots: </w:t>
      </w:r>
      <w:r>
        <w:rPr>
          <w:rFonts w:eastAsia="Times New Roman" w:cs="Times New Roman"/>
          <w:color w:val="000000"/>
          <w:sz w:val="20"/>
          <w:szCs w:val="28"/>
          <w:lang w:eastAsia="lv-LV"/>
        </w:rPr>
        <w:t>EPT</w:t>
      </w:r>
    </w:p>
    <w:p w14:paraId="07CA72F4" w14:textId="77777777" w:rsidR="00EE1CF5" w:rsidRPr="009F1712" w:rsidRDefault="00EE1CF5" w:rsidP="00EE1CF5">
      <w:pPr>
        <w:keepNext/>
        <w:keepLines/>
        <w:spacing w:after="160" w:line="360" w:lineRule="auto"/>
        <w:jc w:val="right"/>
        <w:rPr>
          <w:rFonts w:eastAsiaTheme="minorEastAsia" w:cs="Times New Roman"/>
          <w:color w:val="000000" w:themeColor="text1"/>
          <w:szCs w:val="26"/>
        </w:rPr>
      </w:pPr>
      <w:r>
        <w:rPr>
          <w:rFonts w:eastAsiaTheme="minorEastAsia" w:cs="Times New Roman"/>
          <w:i/>
          <w:noProof/>
          <w:szCs w:val="26"/>
          <w:lang w:eastAsia="lv-LV"/>
        </w:rPr>
        <w:t>4.a</w:t>
      </w:r>
      <w:r w:rsidRPr="00046D62">
        <w:rPr>
          <w:rFonts w:eastAsiaTheme="minorEastAsia" w:cs="Times New Roman"/>
          <w:i/>
          <w:noProof/>
          <w:szCs w:val="26"/>
          <w:lang w:eastAsia="lv-LV"/>
        </w:rPr>
        <w:t>ttēls</w:t>
      </w:r>
    </w:p>
    <w:p w14:paraId="7CA8C1BF" w14:textId="77777777" w:rsidR="00EE1CF5" w:rsidRPr="001E421A" w:rsidRDefault="00EE1CF5" w:rsidP="00EE1CF5">
      <w:pPr>
        <w:keepNext/>
        <w:keepLines/>
        <w:jc w:val="center"/>
        <w:rPr>
          <w:rFonts w:asciiTheme="majorHAnsi" w:eastAsiaTheme="majorEastAsia" w:hAnsiTheme="majorHAnsi" w:cstheme="majorBidi"/>
          <w:b/>
          <w:bCs/>
          <w:color w:val="000000" w:themeColor="text1"/>
          <w:sz w:val="20"/>
          <w:szCs w:val="20"/>
        </w:rPr>
      </w:pPr>
      <w:r w:rsidRPr="001E421A">
        <w:rPr>
          <w:rFonts w:asciiTheme="majorHAnsi" w:eastAsiaTheme="majorEastAsia" w:hAnsiTheme="majorHAnsi" w:cstheme="majorBidi"/>
          <w:b/>
          <w:bCs/>
          <w:noProof/>
          <w:color w:val="000000" w:themeColor="text1"/>
          <w:sz w:val="20"/>
          <w:szCs w:val="20"/>
        </w:rPr>
        <w:drawing>
          <wp:inline distT="0" distB="0" distL="0" distR="0" wp14:anchorId="4B1513EA" wp14:editId="02A9D8F8">
            <wp:extent cx="5760085" cy="1767840"/>
            <wp:effectExtent l="0" t="0" r="0" b="381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1DA4AF" w14:textId="77777777" w:rsidR="00EE1CF5" w:rsidRDefault="00EE1CF5" w:rsidP="00EE1CF5">
      <w:pPr>
        <w:spacing w:before="120" w:after="120"/>
        <w:jc w:val="center"/>
        <w:rPr>
          <w:rFonts w:eastAsia="Times New Roman" w:cs="Times New Roman"/>
          <w:color w:val="000000"/>
          <w:sz w:val="20"/>
          <w:szCs w:val="28"/>
          <w:lang w:eastAsia="lv-LV"/>
        </w:rPr>
      </w:pPr>
      <w:r w:rsidRPr="008174B8">
        <w:rPr>
          <w:rFonts w:eastAsia="Times New Roman" w:cs="Times New Roman"/>
          <w:b/>
          <w:sz w:val="24"/>
          <w:szCs w:val="28"/>
          <w:lang w:eastAsia="lv-LV"/>
        </w:rPr>
        <w:t>Jaudas maksājumi lielajām koģenerācijas stacijām</w:t>
      </w:r>
      <w:r>
        <w:rPr>
          <w:rFonts w:eastAsia="Times New Roman" w:cs="Times New Roman"/>
          <w:b/>
          <w:sz w:val="24"/>
          <w:szCs w:val="28"/>
          <w:lang w:eastAsia="lv-LV"/>
        </w:rPr>
        <w:br/>
      </w:r>
      <w:r w:rsidRPr="001E421A">
        <w:rPr>
          <w:rFonts w:eastAsia="Times New Roman" w:cs="Times New Roman"/>
          <w:color w:val="000000"/>
          <w:sz w:val="20"/>
          <w:szCs w:val="28"/>
          <w:lang w:eastAsia="lv-LV"/>
        </w:rPr>
        <w:t xml:space="preserve">Avots: </w:t>
      </w:r>
      <w:r>
        <w:rPr>
          <w:rFonts w:eastAsia="Times New Roman" w:cs="Times New Roman"/>
          <w:color w:val="000000"/>
          <w:sz w:val="20"/>
          <w:szCs w:val="28"/>
          <w:lang w:eastAsia="lv-LV"/>
        </w:rPr>
        <w:t>EPT</w:t>
      </w:r>
    </w:p>
    <w:p w14:paraId="1943C7C9" w14:textId="77777777" w:rsidR="00EE1CF5" w:rsidRPr="009F1712" w:rsidRDefault="00EE1CF5" w:rsidP="00EE1CF5">
      <w:pPr>
        <w:spacing w:before="120" w:after="120"/>
        <w:jc w:val="center"/>
        <w:rPr>
          <w:rFonts w:eastAsia="Times New Roman" w:cs="Times New Roman"/>
          <w:b/>
          <w:sz w:val="24"/>
          <w:szCs w:val="28"/>
          <w:lang w:eastAsia="lv-LV"/>
        </w:rPr>
      </w:pPr>
    </w:p>
    <w:p w14:paraId="58542762" w14:textId="77777777" w:rsidR="00EE1CF5" w:rsidRPr="00046D62" w:rsidRDefault="00EE1CF5" w:rsidP="00EE1CF5">
      <w:pPr>
        <w:spacing w:before="120"/>
        <w:ind w:firstLine="851"/>
        <w:rPr>
          <w:rFonts w:eastAsia="Times New Roman" w:cs="Times New Roman"/>
          <w:szCs w:val="28"/>
          <w:lang w:eastAsia="lv-LV"/>
        </w:rPr>
      </w:pPr>
      <w:r w:rsidRPr="00046D62">
        <w:rPr>
          <w:rFonts w:eastAsia="Times New Roman" w:cs="Times New Roman"/>
          <w:szCs w:val="28"/>
          <w:lang w:eastAsia="lv-LV"/>
        </w:rPr>
        <w:t xml:space="preserve">Vidējās OIK izmaiņas pa gadiem bez dotācijas no valsts budžeta saskaņā ar EPT prognozēm </w:t>
      </w:r>
      <w:r w:rsidRPr="003376B8">
        <w:rPr>
          <w:rFonts w:eastAsia="Times New Roman" w:cs="Times New Roman"/>
          <w:szCs w:val="28"/>
          <w:lang w:eastAsia="lv-LV"/>
        </w:rPr>
        <w:t xml:space="preserve">atspoguļotas </w:t>
      </w:r>
      <w:r>
        <w:rPr>
          <w:rFonts w:eastAsia="Times New Roman" w:cs="Times New Roman"/>
          <w:szCs w:val="28"/>
          <w:lang w:eastAsia="lv-LV"/>
        </w:rPr>
        <w:t>5</w:t>
      </w:r>
      <w:r w:rsidRPr="003376B8">
        <w:rPr>
          <w:rFonts w:eastAsia="Times New Roman" w:cs="Times New Roman"/>
          <w:szCs w:val="28"/>
          <w:lang w:eastAsia="lv-LV"/>
        </w:rPr>
        <w:t>.attēlā.</w:t>
      </w:r>
      <w:r w:rsidRPr="00046D62">
        <w:rPr>
          <w:rFonts w:eastAsia="Times New Roman" w:cs="Times New Roman"/>
          <w:szCs w:val="28"/>
          <w:lang w:eastAsia="lv-LV"/>
        </w:rPr>
        <w:t xml:space="preserve"> </w:t>
      </w:r>
    </w:p>
    <w:p w14:paraId="2F77D1BD" w14:textId="77777777" w:rsidR="00EE1CF5" w:rsidRDefault="00EE1CF5" w:rsidP="00EE1CF5">
      <w:pPr>
        <w:spacing w:before="120"/>
        <w:ind w:firstLine="851"/>
        <w:rPr>
          <w:rFonts w:eastAsia="Times New Roman" w:cs="Times New Roman"/>
          <w:b/>
          <w:sz w:val="24"/>
          <w:szCs w:val="24"/>
          <w:lang w:eastAsia="lv-LV"/>
        </w:rPr>
      </w:pPr>
      <w:r>
        <w:rPr>
          <w:rFonts w:eastAsia="Times New Roman" w:cs="Times New Roman"/>
          <w:szCs w:val="28"/>
          <w:lang w:eastAsia="lv-LV"/>
        </w:rPr>
        <w:t>Vērtējot OIK ilgtermiņa prognozes, jāņem vērā, ka</w:t>
      </w:r>
      <w:r w:rsidRPr="00046D62">
        <w:rPr>
          <w:rFonts w:eastAsia="Times New Roman" w:cs="Times New Roman"/>
          <w:szCs w:val="28"/>
          <w:lang w:eastAsia="lv-LV"/>
        </w:rPr>
        <w:t xml:space="preserve"> </w:t>
      </w:r>
      <w:r>
        <w:rPr>
          <w:rFonts w:eastAsia="Times New Roman" w:cs="Times New Roman"/>
          <w:szCs w:val="28"/>
          <w:lang w:eastAsia="lv-LV"/>
        </w:rPr>
        <w:t>četrām</w:t>
      </w:r>
      <w:r w:rsidRPr="00104FD6">
        <w:rPr>
          <w:rFonts w:eastAsia="Times New Roman" w:cs="Times New Roman"/>
          <w:szCs w:val="28"/>
          <w:lang w:eastAsia="lv-LV"/>
        </w:rPr>
        <w:t xml:space="preserve"> vēja elektrostacijām, kas vēl nav nodotas ekspluatācijā un nav uzsākušas elektroenerģijas ražošanu, ir spēkā esošas elektroenerģijas obligātā iepirkuma tiesības. No šīm elektrostacijām </w:t>
      </w:r>
      <w:r>
        <w:rPr>
          <w:rFonts w:eastAsia="Times New Roman" w:cs="Times New Roman"/>
          <w:szCs w:val="28"/>
          <w:lang w:eastAsia="lv-LV"/>
        </w:rPr>
        <w:t>vienas</w:t>
      </w:r>
      <w:r w:rsidRPr="00104FD6">
        <w:rPr>
          <w:rFonts w:eastAsia="Times New Roman" w:cs="Times New Roman"/>
          <w:szCs w:val="28"/>
          <w:lang w:eastAsia="lv-LV"/>
        </w:rPr>
        <w:t xml:space="preserve"> elektrostacija</w:t>
      </w:r>
      <w:r>
        <w:rPr>
          <w:rFonts w:eastAsia="Times New Roman" w:cs="Times New Roman"/>
          <w:szCs w:val="28"/>
          <w:lang w:eastAsia="lv-LV"/>
        </w:rPr>
        <w:t>s</w:t>
      </w:r>
      <w:r w:rsidRPr="00104FD6">
        <w:rPr>
          <w:rFonts w:eastAsia="Times New Roman" w:cs="Times New Roman"/>
          <w:szCs w:val="28"/>
          <w:lang w:eastAsia="lv-LV"/>
        </w:rPr>
        <w:t xml:space="preserve"> plānot</w:t>
      </w:r>
      <w:r>
        <w:rPr>
          <w:rFonts w:eastAsia="Times New Roman" w:cs="Times New Roman"/>
          <w:szCs w:val="28"/>
          <w:lang w:eastAsia="lv-LV"/>
        </w:rPr>
        <w:t>ā elektriskā</w:t>
      </w:r>
      <w:r w:rsidRPr="00104FD6">
        <w:rPr>
          <w:rFonts w:eastAsia="Times New Roman" w:cs="Times New Roman"/>
          <w:szCs w:val="28"/>
          <w:lang w:eastAsia="lv-LV"/>
        </w:rPr>
        <w:t xml:space="preserve"> jaud</w:t>
      </w:r>
      <w:r>
        <w:rPr>
          <w:rFonts w:eastAsia="Times New Roman" w:cs="Times New Roman"/>
          <w:szCs w:val="28"/>
          <w:lang w:eastAsia="lv-LV"/>
        </w:rPr>
        <w:t>a ir</w:t>
      </w:r>
      <w:r w:rsidRPr="00104FD6">
        <w:rPr>
          <w:rFonts w:eastAsia="Times New Roman" w:cs="Times New Roman"/>
          <w:szCs w:val="28"/>
          <w:lang w:eastAsia="lv-LV"/>
        </w:rPr>
        <w:t xml:space="preserve"> 66</w:t>
      </w:r>
      <w:r>
        <w:rPr>
          <w:rFonts w:eastAsia="Times New Roman" w:cs="Times New Roman"/>
          <w:szCs w:val="28"/>
          <w:lang w:eastAsia="lv-LV"/>
        </w:rPr>
        <w:t> </w:t>
      </w:r>
      <w:r w:rsidRPr="00104FD6">
        <w:rPr>
          <w:rFonts w:eastAsia="Times New Roman" w:cs="Times New Roman"/>
          <w:szCs w:val="28"/>
          <w:lang w:eastAsia="lv-LV"/>
        </w:rPr>
        <w:t>MW</w:t>
      </w:r>
      <w:r>
        <w:rPr>
          <w:rFonts w:eastAsia="Times New Roman" w:cs="Times New Roman"/>
          <w:szCs w:val="28"/>
          <w:lang w:eastAsia="lv-LV"/>
        </w:rPr>
        <w:t xml:space="preserve"> ar</w:t>
      </w:r>
      <w:r w:rsidRPr="00104FD6">
        <w:rPr>
          <w:rFonts w:eastAsia="Times New Roman" w:cs="Times New Roman"/>
          <w:szCs w:val="28"/>
          <w:lang w:eastAsia="lv-LV"/>
        </w:rPr>
        <w:t xml:space="preserve"> noteikto elektroenerģijas iepirkuma apjomu 165</w:t>
      </w:r>
      <w:r>
        <w:rPr>
          <w:rFonts w:eastAsia="Times New Roman" w:cs="Times New Roman"/>
          <w:szCs w:val="28"/>
          <w:lang w:eastAsia="lv-LV"/>
        </w:rPr>
        <w:t xml:space="preserve"> </w:t>
      </w:r>
      <w:r w:rsidRPr="00104FD6">
        <w:rPr>
          <w:rFonts w:eastAsia="Times New Roman" w:cs="Times New Roman"/>
          <w:szCs w:val="28"/>
          <w:lang w:eastAsia="lv-LV"/>
        </w:rPr>
        <w:t>000 MWh</w:t>
      </w:r>
      <w:r>
        <w:rPr>
          <w:rFonts w:eastAsia="Times New Roman" w:cs="Times New Roman"/>
          <w:szCs w:val="28"/>
          <w:lang w:eastAsia="lv-LV"/>
        </w:rPr>
        <w:t xml:space="preserve"> gadā</w:t>
      </w:r>
      <w:r w:rsidRPr="00104FD6">
        <w:rPr>
          <w:rFonts w:eastAsia="Times New Roman" w:cs="Times New Roman"/>
          <w:szCs w:val="28"/>
          <w:lang w:eastAsia="lv-LV"/>
        </w:rPr>
        <w:t>, kā arī 3 elektrostacijas ar plānotajām</w:t>
      </w:r>
      <w:r>
        <w:rPr>
          <w:rFonts w:eastAsia="Times New Roman" w:cs="Times New Roman"/>
          <w:szCs w:val="28"/>
          <w:lang w:eastAsia="lv-LV"/>
        </w:rPr>
        <w:t xml:space="preserve"> elektriskām</w:t>
      </w:r>
      <w:r w:rsidRPr="00104FD6">
        <w:rPr>
          <w:rFonts w:eastAsia="Times New Roman" w:cs="Times New Roman"/>
          <w:szCs w:val="28"/>
          <w:lang w:eastAsia="lv-LV"/>
        </w:rPr>
        <w:t xml:space="preserve"> jaudām 20 MW, 22,5 MW un 40 MW, kurām katrai saskaņā ar Administratīvās tiesas nolēmumu piešķirtas elektroenerģijas obligātā iepirkuma tiesības 318,309 MWh apmērā. Tiek plānots, ka ražošana tiks uzsākta </w:t>
      </w:r>
      <w:r>
        <w:rPr>
          <w:rFonts w:eastAsia="Times New Roman" w:cs="Times New Roman"/>
          <w:szCs w:val="28"/>
          <w:lang w:eastAsia="lv-LV"/>
        </w:rPr>
        <w:t>vienā</w:t>
      </w:r>
      <w:r w:rsidRPr="00104FD6">
        <w:rPr>
          <w:rFonts w:eastAsia="Times New Roman" w:cs="Times New Roman"/>
          <w:szCs w:val="28"/>
          <w:lang w:eastAsia="lv-LV"/>
        </w:rPr>
        <w:t xml:space="preserve"> vēja elektrostacijā 2019.gadā ar uzstādīto jaudu 55 MW.</w:t>
      </w:r>
      <w:r w:rsidRPr="003376B8">
        <w:rPr>
          <w:rFonts w:eastAsia="Times New Roman" w:cs="Times New Roman"/>
          <w:b/>
          <w:sz w:val="24"/>
          <w:szCs w:val="24"/>
          <w:lang w:eastAsia="lv-LV"/>
        </w:rPr>
        <w:t xml:space="preserve"> </w:t>
      </w:r>
    </w:p>
    <w:p w14:paraId="22B61229" w14:textId="77777777" w:rsidR="00EE1CF5" w:rsidRPr="0070797C" w:rsidRDefault="00EE1CF5" w:rsidP="00EE1CF5">
      <w:pPr>
        <w:spacing w:before="120"/>
        <w:ind w:firstLine="851"/>
        <w:rPr>
          <w:szCs w:val="28"/>
        </w:rPr>
      </w:pPr>
      <w:r w:rsidRPr="0070797C">
        <w:rPr>
          <w:szCs w:val="28"/>
        </w:rPr>
        <w:t>Vienlaikus 201</w:t>
      </w:r>
      <w:r>
        <w:rPr>
          <w:szCs w:val="28"/>
        </w:rPr>
        <w:t>8</w:t>
      </w:r>
      <w:r w:rsidRPr="0070797C">
        <w:rPr>
          <w:szCs w:val="28"/>
        </w:rPr>
        <w:t>.gadā elektroenerģijas OI tiesīb</w:t>
      </w:r>
      <w:r>
        <w:rPr>
          <w:szCs w:val="28"/>
        </w:rPr>
        <w:t>u termiņš</w:t>
      </w:r>
      <w:r w:rsidRPr="0070797C">
        <w:rPr>
          <w:szCs w:val="28"/>
        </w:rPr>
        <w:t xml:space="preserve"> beidzas </w:t>
      </w:r>
      <w:r>
        <w:rPr>
          <w:szCs w:val="28"/>
        </w:rPr>
        <w:t>piecām</w:t>
      </w:r>
      <w:r w:rsidRPr="0070797C">
        <w:rPr>
          <w:szCs w:val="28"/>
        </w:rPr>
        <w:t xml:space="preserve"> dabasgāzes koģenerācijas stacijām</w:t>
      </w:r>
      <w:r>
        <w:rPr>
          <w:szCs w:val="28"/>
        </w:rPr>
        <w:t>, kuru</w:t>
      </w:r>
      <w:r w:rsidRPr="0070797C">
        <w:rPr>
          <w:szCs w:val="28"/>
        </w:rPr>
        <w:t xml:space="preserve"> </w:t>
      </w:r>
      <w:r>
        <w:rPr>
          <w:szCs w:val="28"/>
        </w:rPr>
        <w:t xml:space="preserve">kopējā elektriskā </w:t>
      </w:r>
      <w:r w:rsidRPr="0070797C">
        <w:rPr>
          <w:szCs w:val="28"/>
        </w:rPr>
        <w:t>jaud</w:t>
      </w:r>
      <w:r>
        <w:rPr>
          <w:szCs w:val="28"/>
        </w:rPr>
        <w:t>a ir</w:t>
      </w:r>
      <w:r w:rsidRPr="0070797C">
        <w:rPr>
          <w:szCs w:val="28"/>
        </w:rPr>
        <w:t xml:space="preserve"> </w:t>
      </w:r>
      <w:r>
        <w:rPr>
          <w:szCs w:val="28"/>
        </w:rPr>
        <w:t>7,9</w:t>
      </w:r>
      <w:r w:rsidRPr="0070797C">
        <w:rPr>
          <w:szCs w:val="28"/>
        </w:rPr>
        <w:t xml:space="preserve"> MW</w:t>
      </w:r>
      <w:r>
        <w:rPr>
          <w:szCs w:val="28"/>
        </w:rPr>
        <w:t>, un vienai</w:t>
      </w:r>
      <w:r w:rsidRPr="0070797C">
        <w:rPr>
          <w:szCs w:val="28"/>
        </w:rPr>
        <w:t xml:space="preserve"> vēja elektrostacijai ar jaudu 0,15 MW</w:t>
      </w:r>
      <w:r>
        <w:rPr>
          <w:szCs w:val="28"/>
        </w:rPr>
        <w:t>. Savukārt</w:t>
      </w:r>
      <w:r w:rsidRPr="0070797C">
        <w:rPr>
          <w:szCs w:val="28"/>
        </w:rPr>
        <w:t xml:space="preserve"> 201</w:t>
      </w:r>
      <w:r>
        <w:rPr>
          <w:szCs w:val="28"/>
        </w:rPr>
        <w:t>9</w:t>
      </w:r>
      <w:r w:rsidRPr="0070797C">
        <w:rPr>
          <w:szCs w:val="28"/>
        </w:rPr>
        <w:t>.gadā</w:t>
      </w:r>
      <w:r w:rsidRPr="00ED7471">
        <w:t xml:space="preserve"> </w:t>
      </w:r>
      <w:r w:rsidRPr="00ED7471">
        <w:rPr>
          <w:szCs w:val="28"/>
        </w:rPr>
        <w:t xml:space="preserve">elektroenerģijas OI tiesību </w:t>
      </w:r>
      <w:r w:rsidRPr="00ED7471">
        <w:rPr>
          <w:szCs w:val="28"/>
        </w:rPr>
        <w:lastRenderedPageBreak/>
        <w:t>termiņš beidzas</w:t>
      </w:r>
      <w:r>
        <w:rPr>
          <w:szCs w:val="28"/>
        </w:rPr>
        <w:t xml:space="preserve"> 10 dabasgāzes koģenerācijas stacijām, kuru kopējā elektriskā jauda ir 18,391 MW</w:t>
      </w:r>
      <w:r w:rsidRPr="0070797C">
        <w:rPr>
          <w:szCs w:val="28"/>
        </w:rPr>
        <w:t>.</w:t>
      </w:r>
    </w:p>
    <w:p w14:paraId="3DE361D9" w14:textId="77777777" w:rsidR="00EE1CF5" w:rsidRDefault="00EE1CF5" w:rsidP="00EE1CF5">
      <w:pPr>
        <w:ind w:firstLine="851"/>
        <w:rPr>
          <w:rFonts w:eastAsia="Times New Roman" w:cs="Times New Roman"/>
          <w:b/>
          <w:sz w:val="24"/>
          <w:szCs w:val="24"/>
          <w:lang w:eastAsia="lv-LV"/>
        </w:rPr>
      </w:pPr>
    </w:p>
    <w:p w14:paraId="572D8916" w14:textId="77777777" w:rsidR="00EE1CF5" w:rsidRPr="009C7548" w:rsidRDefault="00EE1CF5" w:rsidP="00EE1CF5">
      <w:pPr>
        <w:keepNext/>
        <w:keepLines/>
        <w:ind w:firstLine="851"/>
        <w:jc w:val="right"/>
        <w:rPr>
          <w:rFonts w:eastAsia="Times New Roman" w:cs="Times New Roman"/>
          <w:i/>
          <w:szCs w:val="26"/>
          <w:lang w:eastAsia="lv-LV"/>
        </w:rPr>
      </w:pPr>
      <w:r>
        <w:rPr>
          <w:rFonts w:eastAsia="Times New Roman" w:cs="Times New Roman"/>
          <w:i/>
          <w:szCs w:val="26"/>
          <w:lang w:eastAsia="lv-LV"/>
        </w:rPr>
        <w:t>5</w:t>
      </w:r>
      <w:r w:rsidRPr="009C7548">
        <w:rPr>
          <w:rFonts w:eastAsia="Times New Roman" w:cs="Times New Roman"/>
          <w:i/>
          <w:szCs w:val="26"/>
          <w:lang w:eastAsia="lv-LV"/>
        </w:rPr>
        <w:t>.attēls</w:t>
      </w:r>
    </w:p>
    <w:p w14:paraId="08F1073C" w14:textId="77777777" w:rsidR="00EE1CF5" w:rsidRPr="00046D62" w:rsidRDefault="00EE1CF5" w:rsidP="00EE1CF5">
      <w:pPr>
        <w:keepNext/>
        <w:keepLines/>
        <w:jc w:val="center"/>
        <w:rPr>
          <w:rFonts w:eastAsia="Times New Roman" w:cs="Times New Roman"/>
          <w:szCs w:val="28"/>
          <w:lang w:eastAsia="lv-LV"/>
        </w:rPr>
      </w:pPr>
      <w:r w:rsidRPr="00E10025">
        <w:rPr>
          <w:noProof/>
        </w:rPr>
        <w:t xml:space="preserve"> </w:t>
      </w:r>
      <w:r>
        <w:rPr>
          <w:noProof/>
        </w:rPr>
        <w:drawing>
          <wp:inline distT="0" distB="0" distL="0" distR="0" wp14:anchorId="48F55738" wp14:editId="071FD0DF">
            <wp:extent cx="5760085" cy="3624580"/>
            <wp:effectExtent l="0" t="0" r="0" b="0"/>
            <wp:docPr id="1993893067" name="Chart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AF2E0A" w14:textId="77777777" w:rsidR="00EE1CF5" w:rsidRPr="00046D62" w:rsidRDefault="00EE1CF5" w:rsidP="00EE1CF5">
      <w:pPr>
        <w:keepNext/>
        <w:keepLines/>
        <w:jc w:val="center"/>
        <w:rPr>
          <w:rFonts w:eastAsia="Times New Roman" w:cs="Times New Roman"/>
          <w:b/>
          <w:sz w:val="24"/>
          <w:szCs w:val="24"/>
          <w:lang w:eastAsia="lv-LV"/>
        </w:rPr>
      </w:pPr>
      <w:r w:rsidRPr="00046D62">
        <w:rPr>
          <w:rFonts w:eastAsia="Times New Roman" w:cs="Times New Roman"/>
          <w:b/>
          <w:sz w:val="24"/>
          <w:szCs w:val="24"/>
          <w:lang w:eastAsia="lv-LV"/>
        </w:rPr>
        <w:t>Faktiskā vidējā OIK un tās prognoze (EUR/MWh)</w:t>
      </w:r>
      <w:r>
        <w:rPr>
          <w:rFonts w:eastAsia="Times New Roman" w:cs="Times New Roman"/>
          <w:b/>
          <w:sz w:val="24"/>
          <w:szCs w:val="24"/>
          <w:vertAlign w:val="superscript"/>
          <w:lang w:eastAsia="lv-LV"/>
        </w:rPr>
        <w:footnoteReference w:id="7"/>
      </w:r>
    </w:p>
    <w:p w14:paraId="5885F3AC" w14:textId="77777777" w:rsidR="00EE1CF5" w:rsidRPr="00046D62" w:rsidRDefault="00EE1CF5" w:rsidP="00EE1CF5">
      <w:pPr>
        <w:jc w:val="center"/>
        <w:rPr>
          <w:rFonts w:eastAsia="Times New Roman" w:cs="Times New Roman"/>
          <w:color w:val="000000"/>
          <w:sz w:val="20"/>
          <w:szCs w:val="28"/>
          <w:lang w:eastAsia="lv-LV"/>
        </w:rPr>
      </w:pPr>
      <w:r w:rsidRPr="00046D62">
        <w:rPr>
          <w:rFonts w:eastAsia="Times New Roman" w:cs="Times New Roman"/>
          <w:color w:val="000000"/>
          <w:sz w:val="20"/>
          <w:szCs w:val="28"/>
          <w:lang w:eastAsia="lv-LV"/>
        </w:rPr>
        <w:t xml:space="preserve">Avots: </w:t>
      </w:r>
      <w:r>
        <w:rPr>
          <w:rFonts w:eastAsia="Times New Roman" w:cs="Times New Roman"/>
          <w:color w:val="000000"/>
          <w:sz w:val="20"/>
          <w:szCs w:val="28"/>
          <w:lang w:eastAsia="lv-LV"/>
        </w:rPr>
        <w:t>EM</w:t>
      </w:r>
    </w:p>
    <w:p w14:paraId="25E1F69C" w14:textId="77777777" w:rsidR="00EE1CF5" w:rsidRDefault="00EE1CF5" w:rsidP="00EE1CF5">
      <w:pPr>
        <w:ind w:firstLine="851"/>
        <w:rPr>
          <w:rFonts w:eastAsia="Times New Roman" w:cs="Times New Roman"/>
          <w:b/>
          <w:sz w:val="24"/>
          <w:szCs w:val="24"/>
          <w:lang w:eastAsia="lv-LV"/>
        </w:rPr>
      </w:pPr>
    </w:p>
    <w:p w14:paraId="68BE9271" w14:textId="77777777" w:rsidR="00EE1CF5" w:rsidRDefault="00EE1CF5" w:rsidP="00EE1CF5">
      <w:pPr>
        <w:widowControl w:val="0"/>
        <w:ind w:firstLine="709"/>
        <w:rPr>
          <w:szCs w:val="28"/>
        </w:rPr>
      </w:pPr>
      <w:r w:rsidRPr="00046D62">
        <w:rPr>
          <w:szCs w:val="28"/>
        </w:rPr>
        <w:t xml:space="preserve">Informācija par izmaksāto atbalstu OI mehānisma ietvaros pa staciju veidiem kopš 2008.gada ir </w:t>
      </w:r>
      <w:r w:rsidRPr="003376B8">
        <w:rPr>
          <w:szCs w:val="28"/>
        </w:rPr>
        <w:t xml:space="preserve">apkopota </w:t>
      </w:r>
      <w:r>
        <w:rPr>
          <w:szCs w:val="28"/>
        </w:rPr>
        <w:t>6</w:t>
      </w:r>
      <w:r w:rsidRPr="003376B8">
        <w:rPr>
          <w:szCs w:val="28"/>
        </w:rPr>
        <w:t>.attēlā</w:t>
      </w:r>
      <w:r w:rsidRPr="00046D62">
        <w:rPr>
          <w:szCs w:val="28"/>
        </w:rPr>
        <w:t xml:space="preserve">. Laika posmā līdz 2017.gada 31. decembrim atbalsta apjoms vērtējams 1,8 </w:t>
      </w:r>
      <w:r>
        <w:rPr>
          <w:szCs w:val="28"/>
        </w:rPr>
        <w:t>mljrd.</w:t>
      </w:r>
      <w:r w:rsidRPr="00046D62">
        <w:rPr>
          <w:szCs w:val="28"/>
        </w:rPr>
        <w:t xml:space="preserve"> EUR apmērā, no kuriem 1,5 </w:t>
      </w:r>
      <w:r>
        <w:rPr>
          <w:szCs w:val="28"/>
        </w:rPr>
        <w:t>mljrd.</w:t>
      </w:r>
      <w:r w:rsidRPr="00046D62">
        <w:rPr>
          <w:szCs w:val="28"/>
        </w:rPr>
        <w:t xml:space="preserve"> EUR ir elektroenerģijas lietotāju maksājumi. Turpmākajiem gadiem attēlota atbalsta apjoma prognoze, neveicot papildu pasākumus. </w:t>
      </w:r>
    </w:p>
    <w:p w14:paraId="7204D5BC" w14:textId="77777777" w:rsidR="00EE1CF5" w:rsidRDefault="00EE1CF5" w:rsidP="00EE1CF5">
      <w:pPr>
        <w:widowControl w:val="0"/>
        <w:rPr>
          <w:i/>
          <w:szCs w:val="28"/>
        </w:rPr>
      </w:pPr>
    </w:p>
    <w:p w14:paraId="3E888196" w14:textId="77777777" w:rsidR="00EE1CF5" w:rsidRDefault="00EE1CF5" w:rsidP="00EE1CF5">
      <w:pPr>
        <w:widowControl w:val="0"/>
        <w:ind w:firstLine="709"/>
        <w:jc w:val="right"/>
        <w:rPr>
          <w:i/>
          <w:szCs w:val="28"/>
        </w:rPr>
      </w:pPr>
    </w:p>
    <w:p w14:paraId="15E02DBD" w14:textId="77777777" w:rsidR="00EE1CF5" w:rsidRPr="003376B8" w:rsidRDefault="00EE1CF5" w:rsidP="00EE1CF5">
      <w:pPr>
        <w:keepNext/>
        <w:keepLines/>
        <w:widowControl w:val="0"/>
        <w:ind w:firstLine="709"/>
        <w:jc w:val="right"/>
        <w:rPr>
          <w:i/>
          <w:szCs w:val="28"/>
        </w:rPr>
      </w:pPr>
      <w:r>
        <w:rPr>
          <w:i/>
          <w:szCs w:val="28"/>
        </w:rPr>
        <w:lastRenderedPageBreak/>
        <w:t>6.</w:t>
      </w:r>
      <w:r w:rsidRPr="003376B8">
        <w:rPr>
          <w:i/>
          <w:szCs w:val="28"/>
        </w:rPr>
        <w:t>attēls</w:t>
      </w:r>
    </w:p>
    <w:p w14:paraId="544761C2" w14:textId="77777777" w:rsidR="00EE1CF5" w:rsidRPr="00046D62" w:rsidRDefault="00EE1CF5" w:rsidP="00EE1CF5">
      <w:pPr>
        <w:keepNext/>
        <w:keepLines/>
        <w:jc w:val="center"/>
        <w:rPr>
          <w:szCs w:val="26"/>
        </w:rPr>
      </w:pPr>
      <w:r w:rsidRPr="00046D62">
        <w:rPr>
          <w:noProof/>
          <w:szCs w:val="26"/>
          <w:lang w:eastAsia="lv-LV"/>
        </w:rPr>
        <w:drawing>
          <wp:inline distT="0" distB="0" distL="0" distR="0" wp14:anchorId="6A9CB71A" wp14:editId="19295436">
            <wp:extent cx="5475605" cy="3189962"/>
            <wp:effectExtent l="0" t="0" r="0" b="0"/>
            <wp:docPr id="1536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5568722"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l="850" t="8199" r="1394" b="1197"/>
                    <a:stretch>
                      <a:fillRect/>
                    </a:stretch>
                  </pic:blipFill>
                  <pic:spPr bwMode="auto">
                    <a:xfrm>
                      <a:off x="0" y="0"/>
                      <a:ext cx="5490130" cy="319842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17E2EDC" w14:textId="77777777" w:rsidR="00EE1CF5" w:rsidRPr="009F1712" w:rsidRDefault="00EE1CF5" w:rsidP="00EE1CF5">
      <w:pPr>
        <w:keepNext/>
        <w:keepLines/>
        <w:jc w:val="center"/>
        <w:rPr>
          <w:rFonts w:eastAsia="Times New Roman" w:cs="Times New Roman"/>
          <w:b/>
          <w:color w:val="000000"/>
          <w:sz w:val="24"/>
          <w:szCs w:val="28"/>
          <w:lang w:eastAsia="lv-LV"/>
        </w:rPr>
      </w:pPr>
      <w:r w:rsidRPr="009F1712">
        <w:rPr>
          <w:rFonts w:eastAsia="Times New Roman" w:cs="Times New Roman"/>
          <w:b/>
          <w:color w:val="000000"/>
          <w:sz w:val="24"/>
          <w:szCs w:val="28"/>
          <w:lang w:eastAsia="lv-LV"/>
        </w:rPr>
        <w:t>Subsīdiju izmaksas un patērētāju maksājumi (bāzes scenārijs)</w:t>
      </w:r>
    </w:p>
    <w:p w14:paraId="70D89086" w14:textId="77777777" w:rsidR="00EE1CF5" w:rsidRPr="009F1712" w:rsidRDefault="00EE1CF5" w:rsidP="00EE1CF5">
      <w:pPr>
        <w:jc w:val="center"/>
        <w:rPr>
          <w:rFonts w:eastAsia="Times New Roman" w:cs="Times New Roman"/>
          <w:color w:val="000000"/>
          <w:sz w:val="20"/>
          <w:szCs w:val="28"/>
          <w:lang w:eastAsia="lv-LV"/>
        </w:rPr>
      </w:pPr>
      <w:r w:rsidRPr="009F1712">
        <w:rPr>
          <w:rFonts w:eastAsia="Times New Roman" w:cs="Times New Roman"/>
          <w:color w:val="000000"/>
          <w:sz w:val="20"/>
          <w:szCs w:val="28"/>
          <w:lang w:eastAsia="lv-LV"/>
        </w:rPr>
        <w:t xml:space="preserve">Datu avots: </w:t>
      </w:r>
      <w:r>
        <w:rPr>
          <w:rFonts w:eastAsia="Times New Roman" w:cs="Times New Roman"/>
          <w:color w:val="000000"/>
          <w:sz w:val="20"/>
          <w:szCs w:val="28"/>
          <w:lang w:eastAsia="lv-LV"/>
        </w:rPr>
        <w:t>EPT</w:t>
      </w:r>
    </w:p>
    <w:p w14:paraId="3F2D6662" w14:textId="77777777" w:rsidR="00EE1CF5" w:rsidRPr="00046D62" w:rsidRDefault="00EE1CF5" w:rsidP="00EE1CF5">
      <w:pPr>
        <w:ind w:firstLine="851"/>
        <w:rPr>
          <w:i/>
          <w:szCs w:val="26"/>
        </w:rPr>
      </w:pPr>
    </w:p>
    <w:p w14:paraId="4BBD8143" w14:textId="77777777" w:rsidR="00EE1CF5" w:rsidRPr="00046D62" w:rsidRDefault="00EE1CF5" w:rsidP="00EE1CF5">
      <w:pPr>
        <w:ind w:firstLine="720"/>
        <w:rPr>
          <w:color w:val="000000" w:themeColor="text1"/>
          <w:szCs w:val="28"/>
        </w:rPr>
      </w:pPr>
      <w:r>
        <w:rPr>
          <w:color w:val="000000" w:themeColor="text1"/>
          <w:szCs w:val="28"/>
        </w:rPr>
        <w:t xml:space="preserve">Vērtējot elektroenerģijas OI sistēmas ietekmi uz elektroenerģijas lietotājiem kopumā, tiek aplūkota tās izteiksme salīdzinājumā ar IKP. No 7.attēla redzams, ka </w:t>
      </w:r>
      <w:r w:rsidRPr="00046D62">
        <w:rPr>
          <w:color w:val="000000" w:themeColor="text1"/>
          <w:szCs w:val="28"/>
        </w:rPr>
        <w:t>OI</w:t>
      </w:r>
      <w:r>
        <w:rPr>
          <w:color w:val="000000" w:themeColor="text1"/>
          <w:szCs w:val="28"/>
        </w:rPr>
        <w:t xml:space="preserve"> mehānisma</w:t>
      </w:r>
      <w:r w:rsidRPr="00046D62">
        <w:rPr>
          <w:color w:val="000000" w:themeColor="text1"/>
          <w:szCs w:val="28"/>
        </w:rPr>
        <w:t xml:space="preserve"> neto izmaksas</w:t>
      </w:r>
      <w:r>
        <w:rPr>
          <w:color w:val="000000" w:themeColor="text1"/>
          <w:szCs w:val="28"/>
        </w:rPr>
        <w:t>, kas</w:t>
      </w:r>
      <w:r w:rsidRPr="00046D62">
        <w:rPr>
          <w:color w:val="000000" w:themeColor="text1"/>
          <w:szCs w:val="28"/>
        </w:rPr>
        <w:t xml:space="preserve"> pirms SEN 2017.gadā sasniedza 266,3 milj. EUR</w:t>
      </w:r>
      <w:r>
        <w:rPr>
          <w:color w:val="000000" w:themeColor="text1"/>
          <w:szCs w:val="28"/>
        </w:rPr>
        <w:t>, sastādīja</w:t>
      </w:r>
      <w:r w:rsidRPr="00046D62">
        <w:rPr>
          <w:color w:val="000000" w:themeColor="text1"/>
          <w:szCs w:val="28"/>
        </w:rPr>
        <w:t xml:space="preserve"> 1% no IKP</w:t>
      </w:r>
      <w:r>
        <w:rPr>
          <w:color w:val="000000" w:themeColor="text1"/>
          <w:szCs w:val="28"/>
        </w:rPr>
        <w:t>.</w:t>
      </w:r>
      <w:r w:rsidRPr="00046D62">
        <w:rPr>
          <w:color w:val="000000" w:themeColor="text1"/>
          <w:szCs w:val="28"/>
        </w:rPr>
        <w:t xml:space="preserve"> </w:t>
      </w:r>
      <w:r>
        <w:rPr>
          <w:color w:val="000000" w:themeColor="text1"/>
          <w:szCs w:val="28"/>
        </w:rPr>
        <w:t xml:space="preserve">Turklāt, </w:t>
      </w:r>
      <w:r w:rsidRPr="00046D62">
        <w:rPr>
          <w:color w:val="000000" w:themeColor="text1"/>
          <w:szCs w:val="28"/>
        </w:rPr>
        <w:t xml:space="preserve">0,45% no IKP </w:t>
      </w:r>
      <w:r>
        <w:rPr>
          <w:color w:val="000000" w:themeColor="text1"/>
          <w:szCs w:val="28"/>
        </w:rPr>
        <w:t xml:space="preserve">sasniedza valsts atbalsts elektroenerģijas ražošanai no </w:t>
      </w:r>
      <w:r w:rsidRPr="00046D62">
        <w:rPr>
          <w:color w:val="000000" w:themeColor="text1"/>
          <w:szCs w:val="28"/>
        </w:rPr>
        <w:t xml:space="preserve">AER, 0,13% no IKP </w:t>
      </w:r>
      <w:r>
        <w:rPr>
          <w:color w:val="000000" w:themeColor="text1"/>
          <w:szCs w:val="28"/>
        </w:rPr>
        <w:t xml:space="preserve">sasniedza valsts atbalsts elektroenerģijas ražošanai no </w:t>
      </w:r>
      <w:r w:rsidRPr="00046D62">
        <w:rPr>
          <w:color w:val="000000" w:themeColor="text1"/>
          <w:szCs w:val="28"/>
        </w:rPr>
        <w:t>dabasgāze</w:t>
      </w:r>
      <w:r>
        <w:rPr>
          <w:color w:val="000000" w:themeColor="text1"/>
          <w:szCs w:val="28"/>
        </w:rPr>
        <w:t>s</w:t>
      </w:r>
      <w:r w:rsidRPr="00046D62">
        <w:rPr>
          <w:color w:val="000000" w:themeColor="text1"/>
          <w:szCs w:val="28"/>
        </w:rPr>
        <w:t xml:space="preserve"> un </w:t>
      </w:r>
      <w:r>
        <w:rPr>
          <w:color w:val="000000" w:themeColor="text1"/>
          <w:szCs w:val="28"/>
        </w:rPr>
        <w:t xml:space="preserve">atsevišķi </w:t>
      </w:r>
      <w:r w:rsidRPr="00046D62">
        <w:rPr>
          <w:color w:val="000000" w:themeColor="text1"/>
          <w:szCs w:val="28"/>
        </w:rPr>
        <w:t xml:space="preserve">0,42% no IKP </w:t>
      </w:r>
      <w:r>
        <w:rPr>
          <w:color w:val="000000" w:themeColor="text1"/>
          <w:szCs w:val="28"/>
        </w:rPr>
        <w:t xml:space="preserve">saņēma piecas elektrostacijas </w:t>
      </w:r>
      <w:r w:rsidRPr="00046D62">
        <w:rPr>
          <w:color w:val="000000" w:themeColor="text1"/>
          <w:szCs w:val="28"/>
        </w:rPr>
        <w:t>jaudas maksājum</w:t>
      </w:r>
      <w:r>
        <w:rPr>
          <w:color w:val="000000" w:themeColor="text1"/>
          <w:szCs w:val="28"/>
        </w:rPr>
        <w:t>u veidā</w:t>
      </w:r>
      <w:r w:rsidRPr="00046D62">
        <w:rPr>
          <w:color w:val="000000" w:themeColor="text1"/>
          <w:szCs w:val="28"/>
        </w:rPr>
        <w:t>.</w:t>
      </w:r>
      <w:bookmarkStart w:id="18" w:name="_Hlk520889917"/>
    </w:p>
    <w:bookmarkEnd w:id="18"/>
    <w:p w14:paraId="4014C201" w14:textId="77777777" w:rsidR="00EE1CF5" w:rsidRPr="00046D62" w:rsidRDefault="00EE1CF5" w:rsidP="00EE1CF5">
      <w:pPr>
        <w:ind w:firstLine="720"/>
        <w:rPr>
          <w:rFonts w:eastAsia="Times New Roman" w:cs="Times New Roman"/>
          <w:color w:val="000000" w:themeColor="text1"/>
          <w:szCs w:val="28"/>
        </w:rPr>
      </w:pPr>
    </w:p>
    <w:p w14:paraId="776371F5" w14:textId="77777777" w:rsidR="00EE1CF5" w:rsidRPr="00046D62" w:rsidRDefault="00EE1CF5" w:rsidP="00EE1CF5">
      <w:pPr>
        <w:jc w:val="right"/>
        <w:rPr>
          <w:rFonts w:eastAsia="Times New Roman" w:cs="Times New Roman"/>
          <w:i/>
          <w:iCs/>
          <w:color w:val="000000" w:themeColor="text1"/>
          <w:szCs w:val="28"/>
        </w:rPr>
      </w:pPr>
      <w:r>
        <w:rPr>
          <w:i/>
          <w:iCs/>
          <w:color w:val="000000" w:themeColor="text1"/>
          <w:szCs w:val="28"/>
        </w:rPr>
        <w:t>7.a</w:t>
      </w:r>
      <w:r w:rsidRPr="00046D62">
        <w:rPr>
          <w:i/>
          <w:iCs/>
          <w:color w:val="000000" w:themeColor="text1"/>
          <w:szCs w:val="28"/>
        </w:rPr>
        <w:t>ttēls</w:t>
      </w:r>
    </w:p>
    <w:p w14:paraId="3D17BCCA" w14:textId="77777777" w:rsidR="00EE1CF5" w:rsidRPr="00046D62" w:rsidRDefault="00EE1CF5" w:rsidP="00EE1CF5">
      <w:pPr>
        <w:jc w:val="center"/>
        <w:rPr>
          <w:rFonts w:cs="Times New Roman"/>
          <w:noProof/>
          <w:szCs w:val="28"/>
          <w:lang w:eastAsia="lv-LV"/>
        </w:rPr>
      </w:pPr>
      <w:r w:rsidRPr="00046D62">
        <w:rPr>
          <w:rFonts w:cs="Times New Roman"/>
          <w:noProof/>
          <w:szCs w:val="28"/>
          <w:lang w:eastAsia="lv-LV"/>
        </w:rPr>
        <w:drawing>
          <wp:inline distT="0" distB="0" distL="0" distR="0" wp14:anchorId="61906771" wp14:editId="7BDD535B">
            <wp:extent cx="1956021" cy="2247148"/>
            <wp:effectExtent l="0" t="0" r="6350" b="1270"/>
            <wp:docPr id="9766656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49872" name=""/>
                    <pic:cNvPicPr/>
                  </pic:nvPicPr>
                  <pic:blipFill>
                    <a:blip r:embed="rId15"/>
                    <a:srcRect l="60576" t="21707" r="6452" b="9554"/>
                    <a:stretch>
                      <a:fillRect/>
                    </a:stretch>
                  </pic:blipFill>
                  <pic:spPr bwMode="auto">
                    <a:xfrm>
                      <a:off x="0" y="0"/>
                      <a:ext cx="1989355" cy="2285443"/>
                    </a:xfrm>
                    <a:prstGeom prst="rect">
                      <a:avLst/>
                    </a:prstGeom>
                    <a:ln>
                      <a:noFill/>
                    </a:ln>
                    <a:extLst>
                      <a:ext uri="{53640926-AAD7-44D8-BBD7-CCE9431645EC}">
                        <a14:shadowObscured xmlns:a14="http://schemas.microsoft.com/office/drawing/2010/main"/>
                      </a:ext>
                    </a:extLst>
                  </pic:spPr>
                </pic:pic>
              </a:graphicData>
            </a:graphic>
          </wp:inline>
        </w:drawing>
      </w:r>
    </w:p>
    <w:p w14:paraId="52B263BA" w14:textId="77777777" w:rsidR="00EE1CF5" w:rsidRPr="00046D62" w:rsidRDefault="00EE1CF5" w:rsidP="00EE1CF5">
      <w:pPr>
        <w:keepNext/>
        <w:keepLines/>
        <w:jc w:val="center"/>
        <w:rPr>
          <w:rFonts w:eastAsia="Times New Roman" w:cs="Times New Roman"/>
          <w:b/>
          <w:sz w:val="24"/>
          <w:szCs w:val="24"/>
          <w:lang w:eastAsia="lv-LV"/>
        </w:rPr>
      </w:pPr>
      <w:r>
        <w:rPr>
          <w:rFonts w:eastAsia="Times New Roman" w:cs="Times New Roman"/>
          <w:b/>
          <w:sz w:val="24"/>
          <w:szCs w:val="24"/>
          <w:lang w:eastAsia="lv-LV"/>
        </w:rPr>
        <w:t>Elektroenerģijas OI salīdzinājums ar IKP 2017. gadā</w:t>
      </w:r>
    </w:p>
    <w:p w14:paraId="20A8C850" w14:textId="77777777" w:rsidR="00EE1CF5" w:rsidRPr="00046D62" w:rsidRDefault="00EE1CF5" w:rsidP="00EE1CF5">
      <w:pPr>
        <w:jc w:val="center"/>
        <w:rPr>
          <w:rFonts w:eastAsia="Times New Roman" w:cs="Times New Roman"/>
          <w:color w:val="000000"/>
          <w:sz w:val="20"/>
          <w:szCs w:val="28"/>
          <w:lang w:eastAsia="lv-LV"/>
        </w:rPr>
      </w:pPr>
      <w:r w:rsidRPr="00046D62">
        <w:rPr>
          <w:rFonts w:eastAsia="Times New Roman" w:cs="Times New Roman"/>
          <w:color w:val="000000"/>
          <w:sz w:val="20"/>
          <w:szCs w:val="28"/>
          <w:lang w:eastAsia="lv-LV"/>
        </w:rPr>
        <w:t xml:space="preserve">Avots: </w:t>
      </w:r>
      <w:r>
        <w:rPr>
          <w:rFonts w:eastAsia="Times New Roman" w:cs="Times New Roman"/>
          <w:color w:val="000000"/>
          <w:sz w:val="20"/>
          <w:szCs w:val="28"/>
          <w:lang w:eastAsia="lv-LV"/>
        </w:rPr>
        <w:t>EM</w:t>
      </w:r>
    </w:p>
    <w:p w14:paraId="06197491" w14:textId="77777777" w:rsidR="00EE1CF5" w:rsidRPr="00046D62" w:rsidRDefault="00EE1CF5" w:rsidP="00EE1CF5">
      <w:pPr>
        <w:ind w:firstLine="720"/>
        <w:rPr>
          <w:rFonts w:asciiTheme="majorHAnsi" w:hAnsiTheme="majorHAnsi"/>
          <w:color w:val="000000" w:themeColor="text1"/>
        </w:rPr>
      </w:pPr>
    </w:p>
    <w:p w14:paraId="19998770" w14:textId="77777777" w:rsidR="00EE1CF5" w:rsidRDefault="00EE1CF5" w:rsidP="00EE1CF5">
      <w:pPr>
        <w:ind w:firstLine="720"/>
        <w:rPr>
          <w:color w:val="000000" w:themeColor="text1"/>
          <w:szCs w:val="26"/>
        </w:rPr>
      </w:pPr>
      <w:r>
        <w:rPr>
          <w:color w:val="000000" w:themeColor="text1"/>
          <w:szCs w:val="26"/>
        </w:rPr>
        <w:t>Aplūkojot OI mehānisma ietekmi uz elektroenerģijas lietotājiem kopumā, svarīgi apskatīt e</w:t>
      </w:r>
      <w:r w:rsidRPr="00046D62">
        <w:rPr>
          <w:color w:val="000000" w:themeColor="text1"/>
          <w:szCs w:val="26"/>
        </w:rPr>
        <w:t>lektroenerģijas gala patēriņa struktūr</w:t>
      </w:r>
      <w:r>
        <w:rPr>
          <w:color w:val="000000" w:themeColor="text1"/>
          <w:szCs w:val="26"/>
        </w:rPr>
        <w:t>u valstī</w:t>
      </w:r>
      <w:r w:rsidRPr="00722382">
        <w:rPr>
          <w:color w:val="000000" w:themeColor="text1"/>
          <w:szCs w:val="26"/>
        </w:rPr>
        <w:t xml:space="preserve">. No </w:t>
      </w:r>
      <w:r>
        <w:rPr>
          <w:color w:val="000000" w:themeColor="text1"/>
          <w:szCs w:val="26"/>
        </w:rPr>
        <w:t>8</w:t>
      </w:r>
      <w:r w:rsidRPr="00722382">
        <w:rPr>
          <w:color w:val="000000" w:themeColor="text1"/>
          <w:szCs w:val="26"/>
        </w:rPr>
        <w:t>.attēlā atspoguļotās</w:t>
      </w:r>
      <w:r>
        <w:rPr>
          <w:color w:val="000000" w:themeColor="text1"/>
          <w:szCs w:val="26"/>
        </w:rPr>
        <w:t xml:space="preserve"> informācijas redzams, ka </w:t>
      </w:r>
      <w:r w:rsidRPr="00046D62">
        <w:rPr>
          <w:color w:val="000000" w:themeColor="text1"/>
          <w:szCs w:val="26"/>
        </w:rPr>
        <w:t xml:space="preserve">komerciālie un sabiedriskie pakalpojumi veido 42,2%, mājsaimniecības – 27,7% un apstrādes rūpniecība 24,5% no kopējā elektroenerģijas gala </w:t>
      </w:r>
      <w:r w:rsidRPr="00046D62">
        <w:rPr>
          <w:color w:val="000000" w:themeColor="text1"/>
          <w:szCs w:val="26"/>
        </w:rPr>
        <w:lastRenderedPageBreak/>
        <w:t>patēriņa</w:t>
      </w:r>
      <w:r>
        <w:rPr>
          <w:color w:val="000000" w:themeColor="text1"/>
          <w:szCs w:val="26"/>
        </w:rPr>
        <w:t>, līdz ar to attiecīgo jomu subjekti ir tie, kurus visvairāk ietekmē elektroenerģijas OI izmaksas.</w:t>
      </w:r>
    </w:p>
    <w:p w14:paraId="31EDA656" w14:textId="77777777" w:rsidR="00EE1CF5" w:rsidRPr="00046D62" w:rsidRDefault="00EE1CF5" w:rsidP="00EE1CF5">
      <w:pPr>
        <w:ind w:firstLine="720"/>
        <w:rPr>
          <w:rFonts w:eastAsia="Times New Roman" w:cs="Times New Roman"/>
          <w:color w:val="000000" w:themeColor="text1"/>
          <w:szCs w:val="26"/>
        </w:rPr>
      </w:pPr>
    </w:p>
    <w:p w14:paraId="0512F222" w14:textId="77777777" w:rsidR="00EE1CF5" w:rsidRPr="00046D62" w:rsidRDefault="00EE1CF5" w:rsidP="00EE1CF5">
      <w:pPr>
        <w:ind w:firstLine="720"/>
        <w:jc w:val="right"/>
        <w:rPr>
          <w:rFonts w:cs="Times New Roman"/>
          <w:i/>
          <w:noProof/>
          <w:szCs w:val="26"/>
          <w:lang w:eastAsia="lv-LV"/>
        </w:rPr>
      </w:pPr>
      <w:r>
        <w:rPr>
          <w:rFonts w:cs="Times New Roman"/>
          <w:i/>
          <w:noProof/>
          <w:szCs w:val="26"/>
          <w:lang w:eastAsia="lv-LV"/>
        </w:rPr>
        <w:t>8.a</w:t>
      </w:r>
      <w:r w:rsidRPr="00046D62">
        <w:rPr>
          <w:rFonts w:cs="Times New Roman"/>
          <w:i/>
          <w:noProof/>
          <w:szCs w:val="26"/>
          <w:lang w:eastAsia="lv-LV"/>
        </w:rPr>
        <w:t>ttēls</w:t>
      </w:r>
    </w:p>
    <w:p w14:paraId="42DFC15E" w14:textId="77777777" w:rsidR="00EE1CF5" w:rsidRPr="00046D62" w:rsidRDefault="00EE1CF5" w:rsidP="00EE1CF5">
      <w:pPr>
        <w:ind w:firstLine="720"/>
        <w:jc w:val="center"/>
        <w:rPr>
          <w:rFonts w:asciiTheme="majorHAnsi" w:hAnsiTheme="majorHAnsi"/>
          <w:color w:val="000000" w:themeColor="text1"/>
        </w:rPr>
      </w:pPr>
      <w:r w:rsidRPr="00046D62">
        <w:rPr>
          <w:noProof/>
          <w:lang w:eastAsia="lv-LV"/>
        </w:rPr>
        <w:drawing>
          <wp:inline distT="0" distB="0" distL="0" distR="0" wp14:anchorId="74D3CD2E" wp14:editId="7C73591D">
            <wp:extent cx="4635610" cy="22513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4796" name=""/>
                    <pic:cNvPicPr/>
                  </pic:nvPicPr>
                  <pic:blipFill>
                    <a:blip r:embed="rId16"/>
                    <a:srcRect l="26746" t="32729" r="9081" b="10714"/>
                    <a:stretch>
                      <a:fillRect/>
                    </a:stretch>
                  </pic:blipFill>
                  <pic:spPr bwMode="auto">
                    <a:xfrm>
                      <a:off x="0" y="0"/>
                      <a:ext cx="4733321" cy="2298782"/>
                    </a:xfrm>
                    <a:prstGeom prst="rect">
                      <a:avLst/>
                    </a:prstGeom>
                    <a:ln>
                      <a:noFill/>
                    </a:ln>
                    <a:extLst>
                      <a:ext uri="{53640926-AAD7-44D8-BBD7-CCE9431645EC}">
                        <a14:shadowObscured xmlns:a14="http://schemas.microsoft.com/office/drawing/2010/main"/>
                      </a:ext>
                    </a:extLst>
                  </pic:spPr>
                </pic:pic>
              </a:graphicData>
            </a:graphic>
          </wp:inline>
        </w:drawing>
      </w:r>
    </w:p>
    <w:p w14:paraId="1D0A03C6" w14:textId="77777777" w:rsidR="00EE1CF5" w:rsidRPr="0022391F" w:rsidRDefault="00EE1CF5" w:rsidP="00EE1CF5">
      <w:pPr>
        <w:ind w:firstLine="720"/>
        <w:jc w:val="center"/>
        <w:rPr>
          <w:rFonts w:eastAsia="Times New Roman" w:cs="Times New Roman"/>
          <w:b/>
          <w:bCs/>
          <w:color w:val="000000" w:themeColor="text1"/>
          <w:sz w:val="24"/>
          <w:szCs w:val="26"/>
        </w:rPr>
      </w:pPr>
      <w:r w:rsidRPr="0022391F">
        <w:rPr>
          <w:b/>
          <w:bCs/>
          <w:color w:val="000000" w:themeColor="text1"/>
          <w:sz w:val="24"/>
          <w:szCs w:val="26"/>
        </w:rPr>
        <w:t>Elektroenerģijas gala patēriņa struktūra, % 2016.g</w:t>
      </w:r>
    </w:p>
    <w:p w14:paraId="243F877E" w14:textId="77777777" w:rsidR="00EE1CF5" w:rsidRPr="00046D62" w:rsidRDefault="00EE1CF5" w:rsidP="00EE1CF5">
      <w:pPr>
        <w:ind w:firstLine="720"/>
        <w:rPr>
          <w:color w:val="000000" w:themeColor="text1"/>
          <w:szCs w:val="26"/>
        </w:rPr>
      </w:pPr>
      <w:r w:rsidRPr="00046D62">
        <w:rPr>
          <w:rFonts w:eastAsia="Times New Roman" w:cs="Times New Roman"/>
          <w:color w:val="000000"/>
          <w:sz w:val="20"/>
          <w:szCs w:val="28"/>
          <w:lang w:eastAsia="lv-LV"/>
        </w:rPr>
        <w:t xml:space="preserve">Avots: </w:t>
      </w:r>
      <w:r>
        <w:rPr>
          <w:rFonts w:eastAsia="Times New Roman" w:cs="Times New Roman"/>
          <w:color w:val="000000"/>
          <w:sz w:val="20"/>
          <w:szCs w:val="28"/>
          <w:lang w:eastAsia="lv-LV"/>
        </w:rPr>
        <w:t>EM</w:t>
      </w:r>
    </w:p>
    <w:p w14:paraId="343DA7F8" w14:textId="77777777" w:rsidR="00EE1CF5" w:rsidRPr="00046D62" w:rsidRDefault="00EE1CF5" w:rsidP="00EE1CF5">
      <w:pPr>
        <w:ind w:firstLine="720"/>
        <w:rPr>
          <w:color w:val="000000" w:themeColor="text1"/>
          <w:szCs w:val="26"/>
        </w:rPr>
      </w:pPr>
    </w:p>
    <w:p w14:paraId="3C619B9A" w14:textId="77777777" w:rsidR="00EE1CF5" w:rsidRPr="00046D62" w:rsidRDefault="00EE1CF5" w:rsidP="00EE1CF5">
      <w:pPr>
        <w:ind w:firstLine="720"/>
        <w:rPr>
          <w:rFonts w:eastAsia="Times New Roman" w:cs="Times New Roman"/>
          <w:color w:val="000000" w:themeColor="text1"/>
          <w:szCs w:val="26"/>
        </w:rPr>
      </w:pPr>
      <w:r>
        <w:rPr>
          <w:rFonts w:eastAsiaTheme="minorEastAsia"/>
          <w:color w:val="000000" w:themeColor="text1"/>
          <w:szCs w:val="26"/>
        </w:rPr>
        <w:t xml:space="preserve">Latvija ir sasniegusi vien 65% no ES vidējā ekonomiskās attīstības līmeņa (IKP pēc pirktspējas paritātes uz 1 iedzīvotāju), vienlaikus </w:t>
      </w:r>
      <w:r w:rsidRPr="0022391F">
        <w:rPr>
          <w:rFonts w:eastAsiaTheme="minorEastAsia"/>
          <w:color w:val="000000" w:themeColor="text1"/>
          <w:szCs w:val="26"/>
        </w:rPr>
        <w:t xml:space="preserve">Latvijā ir viens no lielākajiem </w:t>
      </w:r>
      <w:r>
        <w:rPr>
          <w:rFonts w:eastAsiaTheme="minorEastAsia"/>
          <w:color w:val="000000" w:themeColor="text1"/>
          <w:szCs w:val="26"/>
        </w:rPr>
        <w:t xml:space="preserve">valsts </w:t>
      </w:r>
      <w:r w:rsidRPr="0022391F">
        <w:rPr>
          <w:rFonts w:eastAsiaTheme="minorEastAsia"/>
          <w:color w:val="000000" w:themeColor="text1"/>
          <w:szCs w:val="26"/>
        </w:rPr>
        <w:t>atbalst</w:t>
      </w:r>
      <w:r>
        <w:rPr>
          <w:rFonts w:eastAsiaTheme="minorEastAsia"/>
          <w:color w:val="000000" w:themeColor="text1"/>
          <w:szCs w:val="26"/>
        </w:rPr>
        <w:t>a līmeņiem</w:t>
      </w:r>
      <w:r w:rsidRPr="0022391F">
        <w:rPr>
          <w:rFonts w:eastAsiaTheme="minorEastAsia"/>
          <w:color w:val="000000" w:themeColor="text1"/>
          <w:szCs w:val="26"/>
        </w:rPr>
        <w:t xml:space="preserve"> enerģētikas nozarei</w:t>
      </w:r>
      <w:r w:rsidRPr="00046D62">
        <w:rPr>
          <w:rFonts w:eastAsiaTheme="minorEastAsia"/>
          <w:color w:val="000000" w:themeColor="text1"/>
          <w:szCs w:val="26"/>
        </w:rPr>
        <w:t>.</w:t>
      </w:r>
    </w:p>
    <w:p w14:paraId="079B39DE" w14:textId="77777777" w:rsidR="00EE1CF5" w:rsidRPr="00046D62" w:rsidRDefault="00EE1CF5" w:rsidP="00EE1CF5">
      <w:pPr>
        <w:ind w:firstLine="720"/>
        <w:rPr>
          <w:rFonts w:eastAsia="Times New Roman" w:cs="Times New Roman"/>
          <w:color w:val="000000" w:themeColor="text1"/>
          <w:szCs w:val="26"/>
        </w:rPr>
      </w:pPr>
      <w:r w:rsidRPr="00046D62">
        <w:rPr>
          <w:rFonts w:eastAsiaTheme="minorEastAsia"/>
          <w:color w:val="000000" w:themeColor="text1"/>
          <w:szCs w:val="26"/>
        </w:rPr>
        <w:t xml:space="preserve">Pašreizējā Latvijas ekonomikas attīstības līmenī esošais OIK maksājuma apmērs elektroenerģijas gala lietotājiem rada </w:t>
      </w:r>
      <w:r>
        <w:rPr>
          <w:rFonts w:eastAsiaTheme="minorEastAsia"/>
          <w:color w:val="000000" w:themeColor="text1"/>
          <w:szCs w:val="26"/>
        </w:rPr>
        <w:t>būtisku</w:t>
      </w:r>
      <w:r w:rsidRPr="00046D62">
        <w:rPr>
          <w:rFonts w:eastAsiaTheme="minorEastAsia"/>
          <w:color w:val="000000" w:themeColor="text1"/>
          <w:szCs w:val="26"/>
        </w:rPr>
        <w:t xml:space="preserve"> slogu, atstāj</w:t>
      </w:r>
      <w:r>
        <w:rPr>
          <w:rFonts w:eastAsiaTheme="minorEastAsia"/>
          <w:color w:val="000000" w:themeColor="text1"/>
          <w:szCs w:val="26"/>
        </w:rPr>
        <w:t>ot</w:t>
      </w:r>
      <w:r w:rsidRPr="00046D62">
        <w:rPr>
          <w:rFonts w:eastAsiaTheme="minorEastAsia"/>
          <w:color w:val="000000" w:themeColor="text1"/>
          <w:szCs w:val="26"/>
        </w:rPr>
        <w:t xml:space="preserve"> negatīvu ietekmi uz Latvijas globālo konkurētspēju ilgtermiņā.</w:t>
      </w:r>
    </w:p>
    <w:p w14:paraId="6907A1BC" w14:textId="77777777" w:rsidR="00EE1CF5" w:rsidRPr="00046D62" w:rsidRDefault="00EE1CF5" w:rsidP="00EE1CF5">
      <w:pPr>
        <w:spacing w:after="160" w:line="360" w:lineRule="auto"/>
        <w:jc w:val="right"/>
        <w:rPr>
          <w:rFonts w:eastAsiaTheme="minorEastAsia" w:cs="Times New Roman"/>
          <w:color w:val="000000" w:themeColor="text1"/>
          <w:szCs w:val="26"/>
        </w:rPr>
      </w:pPr>
      <w:r>
        <w:rPr>
          <w:rFonts w:eastAsiaTheme="minorEastAsia" w:cs="Times New Roman"/>
          <w:i/>
          <w:noProof/>
          <w:szCs w:val="26"/>
          <w:lang w:eastAsia="lv-LV"/>
        </w:rPr>
        <w:t>9.a</w:t>
      </w:r>
      <w:r w:rsidRPr="00046D62">
        <w:rPr>
          <w:rFonts w:eastAsiaTheme="minorEastAsia" w:cs="Times New Roman"/>
          <w:i/>
          <w:noProof/>
          <w:szCs w:val="26"/>
          <w:lang w:eastAsia="lv-LV"/>
        </w:rPr>
        <w:t>ttēls</w:t>
      </w:r>
    </w:p>
    <w:p w14:paraId="64D489F4" w14:textId="77777777" w:rsidR="00EE1CF5" w:rsidRPr="00046D62" w:rsidRDefault="00EE1CF5" w:rsidP="00EE1CF5">
      <w:pPr>
        <w:spacing w:after="160" w:line="360" w:lineRule="auto"/>
        <w:jc w:val="center"/>
        <w:rPr>
          <w:rFonts w:asciiTheme="majorHAnsi" w:eastAsiaTheme="minorEastAsia" w:hAnsiTheme="majorHAnsi"/>
          <w:b/>
          <w:color w:val="000000" w:themeColor="text1"/>
          <w:sz w:val="20"/>
          <w:szCs w:val="8"/>
        </w:rPr>
      </w:pPr>
      <w:r w:rsidRPr="00046D62">
        <w:rPr>
          <w:rFonts w:eastAsiaTheme="minorEastAsia"/>
          <w:noProof/>
          <w:sz w:val="18"/>
          <w:lang w:eastAsia="lv-LV"/>
        </w:rPr>
        <w:drawing>
          <wp:inline distT="0" distB="0" distL="0" distR="0" wp14:anchorId="702EB407" wp14:editId="4ABD728B">
            <wp:extent cx="4837980" cy="271589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BD3B9E" w14:textId="77777777" w:rsidR="00EE1CF5" w:rsidRPr="0022391F" w:rsidRDefault="00EE1CF5" w:rsidP="00EE1CF5">
      <w:pPr>
        <w:jc w:val="center"/>
        <w:rPr>
          <w:rFonts w:eastAsiaTheme="minorEastAsia"/>
          <w:b/>
          <w:color w:val="000000" w:themeColor="text1"/>
          <w:sz w:val="24"/>
          <w:szCs w:val="26"/>
        </w:rPr>
      </w:pPr>
      <w:r w:rsidRPr="0022391F">
        <w:rPr>
          <w:rFonts w:eastAsiaTheme="minorEastAsia"/>
          <w:b/>
          <w:color w:val="000000" w:themeColor="text1"/>
          <w:sz w:val="24"/>
          <w:szCs w:val="26"/>
        </w:rPr>
        <w:t>Gala lietotāju maksājumi par elektroenerģijas obligāto iepirkumu (EU/MWh) un IKP uz 1 iedzīvotāju pēc pirktspējas paritātes (tūkst. EUR), 2015.gads</w:t>
      </w:r>
    </w:p>
    <w:p w14:paraId="1EA4FE68" w14:textId="77777777" w:rsidR="00EE1CF5" w:rsidRDefault="00EE1CF5" w:rsidP="00EE1CF5">
      <w:pPr>
        <w:ind w:firstLine="720"/>
        <w:rPr>
          <w:rFonts w:eastAsiaTheme="minorEastAsia"/>
          <w:color w:val="000000" w:themeColor="text1"/>
          <w:szCs w:val="26"/>
        </w:rPr>
      </w:pPr>
    </w:p>
    <w:p w14:paraId="3AC0A5BC" w14:textId="77777777" w:rsidR="00EE1CF5" w:rsidRPr="0022391F" w:rsidRDefault="00EE1CF5" w:rsidP="00EE1CF5">
      <w:pPr>
        <w:ind w:firstLine="720"/>
        <w:rPr>
          <w:rFonts w:eastAsiaTheme="minorEastAsia"/>
          <w:color w:val="000000" w:themeColor="text1"/>
          <w:szCs w:val="26"/>
        </w:rPr>
      </w:pPr>
      <w:r w:rsidRPr="00046D62">
        <w:rPr>
          <w:rFonts w:eastAsiaTheme="minorEastAsia"/>
          <w:color w:val="000000" w:themeColor="text1"/>
          <w:szCs w:val="26"/>
        </w:rPr>
        <w:t xml:space="preserve">Pašreizējā situācijā </w:t>
      </w:r>
      <w:r>
        <w:rPr>
          <w:rFonts w:eastAsiaTheme="minorEastAsia"/>
          <w:color w:val="000000" w:themeColor="text1"/>
          <w:szCs w:val="26"/>
        </w:rPr>
        <w:t>noteiktais</w:t>
      </w:r>
      <w:r w:rsidRPr="00046D62">
        <w:rPr>
          <w:rFonts w:eastAsiaTheme="minorEastAsia"/>
          <w:color w:val="000000" w:themeColor="text1"/>
          <w:szCs w:val="26"/>
        </w:rPr>
        <w:t xml:space="preserve"> garais </w:t>
      </w:r>
      <w:r>
        <w:rPr>
          <w:rFonts w:eastAsiaTheme="minorEastAsia"/>
          <w:color w:val="000000" w:themeColor="text1"/>
          <w:szCs w:val="26"/>
        </w:rPr>
        <w:t xml:space="preserve">valsts </w:t>
      </w:r>
      <w:r w:rsidRPr="00046D62">
        <w:rPr>
          <w:rFonts w:eastAsiaTheme="minorEastAsia"/>
          <w:color w:val="000000" w:themeColor="text1"/>
          <w:szCs w:val="26"/>
        </w:rPr>
        <w:t>atbalsta termiņš un OI</w:t>
      </w:r>
      <w:r>
        <w:rPr>
          <w:rFonts w:eastAsiaTheme="minorEastAsia"/>
          <w:color w:val="000000" w:themeColor="text1"/>
          <w:szCs w:val="26"/>
        </w:rPr>
        <w:t>K</w:t>
      </w:r>
      <w:r w:rsidRPr="00046D62">
        <w:rPr>
          <w:rFonts w:eastAsiaTheme="minorEastAsia"/>
          <w:color w:val="000000" w:themeColor="text1"/>
          <w:szCs w:val="26"/>
        </w:rPr>
        <w:t xml:space="preserve"> </w:t>
      </w:r>
      <w:r>
        <w:rPr>
          <w:rFonts w:eastAsiaTheme="minorEastAsia"/>
          <w:color w:val="000000" w:themeColor="text1"/>
          <w:szCs w:val="26"/>
        </w:rPr>
        <w:t>apmērs</w:t>
      </w:r>
      <w:r w:rsidRPr="00046D62">
        <w:rPr>
          <w:rFonts w:eastAsiaTheme="minorEastAsia"/>
          <w:color w:val="000000" w:themeColor="text1"/>
          <w:szCs w:val="26"/>
        </w:rPr>
        <w:t>, kas vairākkārt pārsniedz tirgus cenu</w:t>
      </w:r>
      <w:r>
        <w:rPr>
          <w:rFonts w:eastAsiaTheme="minorEastAsia"/>
          <w:color w:val="000000" w:themeColor="text1"/>
          <w:szCs w:val="26"/>
        </w:rPr>
        <w:t xml:space="preserve"> kopsakarā ar to, ka pēc atbalsta perioda beigām ražotājiem faktiski nav nekāda pienākuma turpināt elektroenerģijas ražošanu</w:t>
      </w:r>
      <w:r w:rsidRPr="00046D62">
        <w:rPr>
          <w:rFonts w:eastAsiaTheme="minorEastAsia"/>
          <w:color w:val="000000" w:themeColor="text1"/>
          <w:szCs w:val="26"/>
        </w:rPr>
        <w:t xml:space="preserve">, nerada motivāciju </w:t>
      </w:r>
      <w:r>
        <w:rPr>
          <w:rFonts w:eastAsiaTheme="minorEastAsia"/>
          <w:color w:val="000000" w:themeColor="text1"/>
          <w:szCs w:val="26"/>
        </w:rPr>
        <w:t>OI saņēmējiem</w:t>
      </w:r>
      <w:r w:rsidRPr="00046D62">
        <w:rPr>
          <w:rFonts w:eastAsiaTheme="minorEastAsia"/>
          <w:color w:val="000000" w:themeColor="text1"/>
          <w:szCs w:val="26"/>
        </w:rPr>
        <w:t xml:space="preserve"> </w:t>
      </w:r>
      <w:r>
        <w:rPr>
          <w:rFonts w:eastAsiaTheme="minorEastAsia"/>
          <w:color w:val="000000" w:themeColor="text1"/>
          <w:szCs w:val="26"/>
        </w:rPr>
        <w:t>izvēlēties ilgtspējīgu darbības modeli.</w:t>
      </w:r>
    </w:p>
    <w:p w14:paraId="0BA301DB" w14:textId="77777777" w:rsidR="00EE1CF5" w:rsidRDefault="00EE1CF5" w:rsidP="00EE1CF5">
      <w:pPr>
        <w:ind w:firstLine="720"/>
        <w:rPr>
          <w:color w:val="000000" w:themeColor="text1"/>
          <w:szCs w:val="26"/>
        </w:rPr>
      </w:pPr>
      <w:r w:rsidRPr="00046D62">
        <w:rPr>
          <w:color w:val="000000" w:themeColor="text1"/>
          <w:szCs w:val="26"/>
        </w:rPr>
        <w:lastRenderedPageBreak/>
        <w:t xml:space="preserve">Mājsaimniecību izdevumu struktūrā elektroenerģija 2017.gadā veidoja 2,9% no kopējiem izdevumiem. Tas nozīmē, ka OIK maksājumi veido 0,4% no visa privātā patēriņa. Savukārt patēriņa cenu indekss OIK ietekmē ir palielinājies par 0,007 </w:t>
      </w:r>
      <w:r w:rsidRPr="00046D62">
        <w:br/>
      </w:r>
      <w:r>
        <w:rPr>
          <w:color w:val="000000" w:themeColor="text1"/>
          <w:szCs w:val="26"/>
        </w:rPr>
        <w:t>procentpunktiem.</w:t>
      </w:r>
    </w:p>
    <w:p w14:paraId="078AD8E6" w14:textId="77777777" w:rsidR="00EE1CF5" w:rsidRDefault="00EE1CF5" w:rsidP="00EE1CF5">
      <w:pPr>
        <w:ind w:firstLine="720"/>
        <w:rPr>
          <w:rFonts w:eastAsiaTheme="minorEastAsia"/>
          <w:szCs w:val="28"/>
        </w:rPr>
      </w:pPr>
      <w:r>
        <w:rPr>
          <w:rFonts w:eastAsiaTheme="minorEastAsia"/>
          <w:szCs w:val="28"/>
        </w:rPr>
        <w:t>Vērtējot jautājumu par sabiedrības izmaksām un elektroenerģijas OI ietekmi uz elektroener\gijas lietotājiem, turpmāk aplūkots elektroenerģijas izmaksu salīdzinājums Baltijas jūras reģiona ES dalībvalstīs (un Norvēģijā). Šajā kontekstā būtiski atzīmēt, ka l</w:t>
      </w:r>
      <w:r w:rsidRPr="00967846">
        <w:rPr>
          <w:rFonts w:eastAsiaTheme="minorEastAsia"/>
          <w:szCs w:val="28"/>
        </w:rPr>
        <w:t xml:space="preserve">īdz 2017.gada beigām papildu izmaksas, kas radās valsts atbalsta mehānisma īstenošanas rezultātā, sedza visi Latvijas elektroenerģijas galalietotāji proporcionāli savam elektroenerģijas patēriņam, maksājot OIK, kas papildu elektroenerģijas cenai, sadales/pārvades tarifam un </w:t>
      </w:r>
      <w:r>
        <w:rPr>
          <w:rFonts w:eastAsiaTheme="minorEastAsia"/>
          <w:szCs w:val="28"/>
        </w:rPr>
        <w:t>PVN</w:t>
      </w:r>
      <w:r w:rsidRPr="00967846">
        <w:rPr>
          <w:rFonts w:eastAsiaTheme="minorEastAsia"/>
          <w:szCs w:val="28"/>
        </w:rPr>
        <w:t xml:space="preserve"> tika iekļauta elektroenerģijas kopējā cenā</w:t>
      </w:r>
      <w:r>
        <w:rPr>
          <w:rFonts w:eastAsiaTheme="minorEastAsia"/>
          <w:szCs w:val="28"/>
        </w:rPr>
        <w:t>,</w:t>
      </w:r>
      <w:r w:rsidRPr="003B7CFA">
        <w:t xml:space="preserve"> </w:t>
      </w:r>
      <w:r w:rsidRPr="003B7CFA">
        <w:rPr>
          <w:rFonts w:eastAsiaTheme="minorEastAsia"/>
          <w:szCs w:val="28"/>
        </w:rPr>
        <w:t>no 2014.gada nodrošinot arī valsts budžeta iesaisti daļējā OI mehānisma izmaksu segšanā.</w:t>
      </w:r>
      <w:r w:rsidRPr="00967846">
        <w:rPr>
          <w:rFonts w:eastAsiaTheme="minorEastAsia"/>
          <w:szCs w:val="28"/>
        </w:rPr>
        <w:t xml:space="preserve"> Ar </w:t>
      </w:r>
      <w:r>
        <w:rPr>
          <w:rFonts w:eastAsiaTheme="minorEastAsia"/>
          <w:szCs w:val="28"/>
        </w:rPr>
        <w:t>MK</w:t>
      </w:r>
      <w:r w:rsidRPr="00967846">
        <w:rPr>
          <w:rFonts w:eastAsiaTheme="minorEastAsia"/>
          <w:szCs w:val="28"/>
        </w:rPr>
        <w:t xml:space="preserve"> 2016.gada 4.oktobra rīkojuma Nr. 572 </w:t>
      </w:r>
      <w:r w:rsidRPr="00967846">
        <w:rPr>
          <w:rFonts w:eastAsiaTheme="minorEastAsia"/>
          <w:i/>
          <w:iCs/>
          <w:szCs w:val="28"/>
        </w:rPr>
        <w:t>"Par konceptuālo ziņojumu "Kompleksi pasākumi elektroenerģijas tirgus attīstībai"</w:t>
      </w:r>
      <w:r>
        <w:rPr>
          <w:rFonts w:eastAsiaTheme="minorEastAsia"/>
          <w:i/>
          <w:iCs/>
          <w:szCs w:val="28"/>
          <w:vertAlign w:val="superscript"/>
        </w:rPr>
        <w:footnoteReference w:id="8"/>
      </w:r>
      <w:r w:rsidRPr="00967846">
        <w:rPr>
          <w:rFonts w:eastAsiaTheme="minorEastAsia"/>
          <w:szCs w:val="28"/>
        </w:rPr>
        <w:t xml:space="preserve"> 1. punktu tika atbalstīta OIK diferenciācija, nodrošinot, ka, sākot ar 2018.gada 1.janvāri visu Latvijas elektroenerģijas gala lietotāju izmaksas, kas saistītas ar atbalsta sniegšanu OI un garantētās maksas ietvaros, veido fiksētā daļa, kas atkarīga no garantētas maksas par koģenerācijas stacijās uzstādīto elektrisko jaudu, un mainīgā daļa atkarībā no izmaksām par OI ietvaros iepirkto elektroenerģiju. Līdz ar to, gala lietotāji fiksētās izmaksas se</w:t>
      </w:r>
      <w:r w:rsidRPr="00967846">
        <w:rPr>
          <w:rFonts w:eastAsiaTheme="minorEastAsia"/>
          <w:sz w:val="24"/>
          <w:szCs w:val="28"/>
        </w:rPr>
        <w:t>dz</w:t>
      </w:r>
      <w:r w:rsidRPr="00967846">
        <w:rPr>
          <w:rFonts w:eastAsiaTheme="minorEastAsia"/>
          <w:szCs w:val="28"/>
        </w:rPr>
        <w:t xml:space="preserve"> atkarībā no pieslēguma parametriem, izmaksas sadalot pa sprieguma un patēriņa līmeņa grupām proporcionāli ieņēmumu fiksētajai daļai no sistēmas pakalpojumiem, bet mainīgās – proporcionāli elektroenerģijas patēriņam.</w:t>
      </w:r>
    </w:p>
    <w:p w14:paraId="74AF94B7" w14:textId="77777777" w:rsidR="00EE1CF5" w:rsidRDefault="00EE1CF5" w:rsidP="00EE1CF5">
      <w:pPr>
        <w:ind w:firstLine="720"/>
        <w:rPr>
          <w:rFonts w:eastAsiaTheme="minorEastAsia"/>
          <w:szCs w:val="28"/>
        </w:rPr>
      </w:pPr>
      <w:r>
        <w:rPr>
          <w:rFonts w:eastAsiaTheme="minorEastAsia"/>
          <w:szCs w:val="28"/>
        </w:rPr>
        <w:t>No 10</w:t>
      </w:r>
      <w:r w:rsidRPr="00722382">
        <w:rPr>
          <w:rFonts w:eastAsiaTheme="minorEastAsia"/>
          <w:szCs w:val="28"/>
        </w:rPr>
        <w:t>.attēlā</w:t>
      </w:r>
      <w:r>
        <w:rPr>
          <w:rFonts w:eastAsiaTheme="minorEastAsia"/>
          <w:szCs w:val="28"/>
        </w:rPr>
        <w:t xml:space="preserve"> atspoguļotās informācijas redzams, ka mājsaimniecību segmentā Latvijā ir augstākās elektroenerģijas izmaksas Baltijas valstīs, bet būtiski zemākas, ja salīdzina ar Skandināvijas valstīm un Vāciju.</w:t>
      </w:r>
    </w:p>
    <w:p w14:paraId="0EE93448" w14:textId="77777777" w:rsidR="00EE1CF5" w:rsidRDefault="00EE1CF5" w:rsidP="00EE1CF5">
      <w:pPr>
        <w:jc w:val="right"/>
        <w:rPr>
          <w:rFonts w:cs="Times New Roman"/>
          <w:i/>
          <w:noProof/>
          <w:szCs w:val="26"/>
          <w:lang w:eastAsia="lv-LV"/>
        </w:rPr>
      </w:pPr>
    </w:p>
    <w:p w14:paraId="2387751E" w14:textId="77777777" w:rsidR="00EE1CF5" w:rsidRPr="00046D62" w:rsidRDefault="00EE1CF5" w:rsidP="00EE1CF5">
      <w:pPr>
        <w:jc w:val="right"/>
        <w:rPr>
          <w:rFonts w:cs="Times New Roman"/>
          <w:i/>
          <w:noProof/>
          <w:szCs w:val="26"/>
          <w:lang w:eastAsia="lv-LV"/>
        </w:rPr>
      </w:pPr>
      <w:r>
        <w:rPr>
          <w:rFonts w:cs="Times New Roman"/>
          <w:i/>
          <w:noProof/>
          <w:szCs w:val="26"/>
          <w:lang w:eastAsia="lv-LV"/>
        </w:rPr>
        <w:t>10.a</w:t>
      </w:r>
      <w:r w:rsidRPr="00046D62">
        <w:rPr>
          <w:rFonts w:cs="Times New Roman"/>
          <w:i/>
          <w:noProof/>
          <w:szCs w:val="26"/>
          <w:lang w:eastAsia="lv-LV"/>
        </w:rPr>
        <w:t>ttēls</w:t>
      </w:r>
    </w:p>
    <w:p w14:paraId="1EA4B3E7" w14:textId="77777777" w:rsidR="00EE1CF5" w:rsidRPr="00046D62" w:rsidRDefault="00EE1CF5" w:rsidP="00EE1CF5">
      <w:pPr>
        <w:ind w:firstLine="720"/>
        <w:jc w:val="center"/>
        <w:rPr>
          <w:color w:val="000000" w:themeColor="text1"/>
          <w:szCs w:val="26"/>
          <w:highlight w:val="cyan"/>
        </w:rPr>
      </w:pPr>
      <w:r w:rsidRPr="00046D62">
        <w:rPr>
          <w:noProof/>
          <w:lang w:eastAsia="lv-LV"/>
        </w:rPr>
        <w:drawing>
          <wp:inline distT="0" distB="0" distL="0" distR="0" wp14:anchorId="60E01E07" wp14:editId="10ECE317">
            <wp:extent cx="4347713" cy="262415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79095" name=""/>
                    <pic:cNvPicPr/>
                  </pic:nvPicPr>
                  <pic:blipFill>
                    <a:blip r:embed="rId18"/>
                    <a:stretch>
                      <a:fillRect/>
                    </a:stretch>
                  </pic:blipFill>
                  <pic:spPr>
                    <a:xfrm>
                      <a:off x="0" y="0"/>
                      <a:ext cx="4353551" cy="2627680"/>
                    </a:xfrm>
                    <a:prstGeom prst="rect">
                      <a:avLst/>
                    </a:prstGeom>
                  </pic:spPr>
                </pic:pic>
              </a:graphicData>
            </a:graphic>
          </wp:inline>
        </w:drawing>
      </w:r>
    </w:p>
    <w:p w14:paraId="2F965AA5" w14:textId="77777777" w:rsidR="00EE1CF5" w:rsidRPr="00571290" w:rsidRDefault="00EE1CF5" w:rsidP="00EE1CF5">
      <w:pPr>
        <w:jc w:val="center"/>
        <w:rPr>
          <w:b/>
          <w:bCs/>
          <w:color w:val="000000" w:themeColor="text1"/>
          <w:sz w:val="24"/>
          <w:szCs w:val="26"/>
        </w:rPr>
      </w:pPr>
      <w:r w:rsidRPr="00571290">
        <w:rPr>
          <w:b/>
          <w:bCs/>
          <w:color w:val="000000" w:themeColor="text1"/>
          <w:sz w:val="24"/>
          <w:szCs w:val="26"/>
        </w:rPr>
        <w:t>Elektrības cenas mājsaimniecībām (1000-2500 kWh patēriņa grupā) (2016)</w:t>
      </w:r>
    </w:p>
    <w:p w14:paraId="3620287C" w14:textId="77777777" w:rsidR="00EE1CF5" w:rsidRDefault="00EE1CF5" w:rsidP="00EE1CF5">
      <w:pPr>
        <w:jc w:val="right"/>
        <w:rPr>
          <w:rFonts w:cs="Times New Roman"/>
          <w:i/>
          <w:noProof/>
          <w:szCs w:val="26"/>
          <w:lang w:eastAsia="lv-LV"/>
        </w:rPr>
      </w:pPr>
    </w:p>
    <w:p w14:paraId="0ABDEDE6" w14:textId="77777777" w:rsidR="00EE1CF5" w:rsidRDefault="00EE1CF5" w:rsidP="00EE1CF5">
      <w:pPr>
        <w:ind w:firstLine="720"/>
        <w:rPr>
          <w:color w:val="000000" w:themeColor="text1"/>
          <w:szCs w:val="26"/>
        </w:rPr>
      </w:pPr>
      <w:r w:rsidRPr="00722382">
        <w:rPr>
          <w:color w:val="000000" w:themeColor="text1"/>
          <w:szCs w:val="26"/>
        </w:rPr>
        <w:t xml:space="preserve">Savukārt </w:t>
      </w:r>
      <w:r>
        <w:rPr>
          <w:color w:val="000000" w:themeColor="text1"/>
          <w:szCs w:val="26"/>
        </w:rPr>
        <w:t>11</w:t>
      </w:r>
      <w:r w:rsidRPr="00722382">
        <w:rPr>
          <w:color w:val="000000" w:themeColor="text1"/>
          <w:szCs w:val="26"/>
        </w:rPr>
        <w:t>.attēlā</w:t>
      </w:r>
      <w:r>
        <w:rPr>
          <w:color w:val="000000" w:themeColor="text1"/>
          <w:szCs w:val="26"/>
        </w:rPr>
        <w:t xml:space="preserve"> atspoguļotā informācija parāda, ka vidēju uzņēmumu grupā Latvijas elektroenerģijas izmaksas dārdzības ziņā </w:t>
      </w:r>
      <w:r w:rsidRPr="003B7CFA">
        <w:rPr>
          <w:color w:val="000000" w:themeColor="text1"/>
          <w:szCs w:val="26"/>
        </w:rPr>
        <w:t xml:space="preserve">2016.gadā bijušas </w:t>
      </w:r>
      <w:r>
        <w:rPr>
          <w:color w:val="000000" w:themeColor="text1"/>
          <w:szCs w:val="26"/>
        </w:rPr>
        <w:t>reģionā nekonkurētspējīgas.</w:t>
      </w:r>
    </w:p>
    <w:p w14:paraId="335C43A8" w14:textId="77777777" w:rsidR="00EE1CF5" w:rsidRPr="00571290" w:rsidRDefault="00EE1CF5" w:rsidP="00EE1CF5">
      <w:pPr>
        <w:rPr>
          <w:color w:val="000000" w:themeColor="text1"/>
          <w:szCs w:val="26"/>
        </w:rPr>
      </w:pPr>
    </w:p>
    <w:p w14:paraId="759C5939" w14:textId="77777777" w:rsidR="00EE1CF5" w:rsidRPr="00046D62" w:rsidRDefault="00EE1CF5" w:rsidP="00EE1CF5">
      <w:pPr>
        <w:keepNext/>
        <w:keepLines/>
        <w:jc w:val="right"/>
        <w:rPr>
          <w:rFonts w:cs="Times New Roman"/>
          <w:i/>
          <w:noProof/>
          <w:szCs w:val="26"/>
          <w:lang w:eastAsia="lv-LV"/>
        </w:rPr>
      </w:pPr>
      <w:r>
        <w:rPr>
          <w:rFonts w:cs="Times New Roman"/>
          <w:i/>
          <w:noProof/>
          <w:szCs w:val="26"/>
          <w:lang w:eastAsia="lv-LV"/>
        </w:rPr>
        <w:lastRenderedPageBreak/>
        <w:t>11.a</w:t>
      </w:r>
      <w:r w:rsidRPr="00046D62">
        <w:rPr>
          <w:rFonts w:cs="Times New Roman"/>
          <w:i/>
          <w:noProof/>
          <w:szCs w:val="26"/>
          <w:lang w:eastAsia="lv-LV"/>
        </w:rPr>
        <w:t>ttēls</w:t>
      </w:r>
    </w:p>
    <w:p w14:paraId="0A17CDB5" w14:textId="77777777" w:rsidR="00EE1CF5" w:rsidRPr="00046D62" w:rsidRDefault="00EE1CF5" w:rsidP="00EE1CF5">
      <w:pPr>
        <w:keepNext/>
        <w:keepLines/>
        <w:ind w:firstLine="720"/>
        <w:jc w:val="center"/>
        <w:rPr>
          <w:color w:val="000000" w:themeColor="text1"/>
          <w:szCs w:val="26"/>
          <w:highlight w:val="cyan"/>
        </w:rPr>
      </w:pPr>
      <w:r w:rsidRPr="00046D62">
        <w:rPr>
          <w:noProof/>
          <w:lang w:eastAsia="lv-LV"/>
        </w:rPr>
        <w:drawing>
          <wp:inline distT="0" distB="0" distL="0" distR="0" wp14:anchorId="6AD09616" wp14:editId="5F1AB4B0">
            <wp:extent cx="4270076" cy="2579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97747" name=""/>
                    <pic:cNvPicPr/>
                  </pic:nvPicPr>
                  <pic:blipFill>
                    <a:blip r:embed="rId19"/>
                    <a:stretch>
                      <a:fillRect/>
                    </a:stretch>
                  </pic:blipFill>
                  <pic:spPr>
                    <a:xfrm>
                      <a:off x="0" y="0"/>
                      <a:ext cx="4300942" cy="2597823"/>
                    </a:xfrm>
                    <a:prstGeom prst="rect">
                      <a:avLst/>
                    </a:prstGeom>
                  </pic:spPr>
                </pic:pic>
              </a:graphicData>
            </a:graphic>
          </wp:inline>
        </w:drawing>
      </w:r>
    </w:p>
    <w:p w14:paraId="4E3B3EBE" w14:textId="77777777" w:rsidR="00EE1CF5" w:rsidRPr="00571290" w:rsidRDefault="00EE1CF5" w:rsidP="00EE1CF5">
      <w:pPr>
        <w:jc w:val="center"/>
        <w:rPr>
          <w:b/>
          <w:bCs/>
          <w:color w:val="000000" w:themeColor="text1"/>
          <w:sz w:val="24"/>
          <w:szCs w:val="26"/>
        </w:rPr>
      </w:pPr>
      <w:r w:rsidRPr="00571290">
        <w:rPr>
          <w:b/>
          <w:bCs/>
          <w:color w:val="000000" w:themeColor="text1"/>
          <w:sz w:val="24"/>
          <w:szCs w:val="26"/>
        </w:rPr>
        <w:t>Elektrības cenas vidējam uzņēmumam (500-2000 MWh patēriņa grupā) (2016)</w:t>
      </w:r>
    </w:p>
    <w:p w14:paraId="51E2DC62" w14:textId="77777777" w:rsidR="00EE1CF5" w:rsidRPr="00046D62" w:rsidRDefault="00EE1CF5" w:rsidP="00EE1CF5">
      <w:pPr>
        <w:ind w:firstLine="720"/>
        <w:rPr>
          <w:rFonts w:eastAsia="Times New Roman" w:cs="Times New Roman"/>
          <w:color w:val="000000" w:themeColor="text1"/>
          <w:szCs w:val="26"/>
        </w:rPr>
      </w:pPr>
    </w:p>
    <w:p w14:paraId="072D81E2" w14:textId="77777777" w:rsidR="00EE1CF5" w:rsidRDefault="00EE1CF5" w:rsidP="00EE1CF5">
      <w:pPr>
        <w:ind w:firstLine="720"/>
        <w:rPr>
          <w:color w:val="000000" w:themeColor="text1"/>
          <w:szCs w:val="28"/>
        </w:rPr>
      </w:pPr>
      <w:r>
        <w:rPr>
          <w:color w:val="000000" w:themeColor="text1"/>
          <w:szCs w:val="26"/>
        </w:rPr>
        <w:t xml:space="preserve">Līdztekus minētajam </w:t>
      </w:r>
      <w:r w:rsidRPr="00FC154F">
        <w:rPr>
          <w:color w:val="000000" w:themeColor="text1"/>
          <w:szCs w:val="26"/>
        </w:rPr>
        <w:t xml:space="preserve">no </w:t>
      </w:r>
      <w:r>
        <w:rPr>
          <w:color w:val="000000" w:themeColor="text1"/>
          <w:szCs w:val="26"/>
        </w:rPr>
        <w:t>12</w:t>
      </w:r>
      <w:r w:rsidRPr="00FC154F">
        <w:rPr>
          <w:color w:val="000000" w:themeColor="text1"/>
          <w:szCs w:val="26"/>
        </w:rPr>
        <w:t>.attēla</w:t>
      </w:r>
      <w:r>
        <w:rPr>
          <w:color w:val="000000" w:themeColor="text1"/>
          <w:szCs w:val="26"/>
        </w:rPr>
        <w:t xml:space="preserve"> izriet, ka lielo uzņēmumu grupā Latvijas elektroenerģijas izmaksas reģionā ir būtiski mazinājušās, ko ir veicinājusi </w:t>
      </w:r>
      <w:r w:rsidRPr="00046D62">
        <w:rPr>
          <w:color w:val="000000" w:themeColor="text1"/>
          <w:szCs w:val="26"/>
        </w:rPr>
        <w:t xml:space="preserve">2018.gadā </w:t>
      </w:r>
      <w:r>
        <w:rPr>
          <w:color w:val="000000" w:themeColor="text1"/>
          <w:szCs w:val="26"/>
        </w:rPr>
        <w:t xml:space="preserve">spēkā stājusies </w:t>
      </w:r>
      <w:r w:rsidRPr="00046D62">
        <w:rPr>
          <w:color w:val="000000" w:themeColor="text1"/>
          <w:szCs w:val="26"/>
        </w:rPr>
        <w:t xml:space="preserve">OIK </w:t>
      </w:r>
      <w:r w:rsidRPr="00046D62">
        <w:rPr>
          <w:color w:val="000000" w:themeColor="text1"/>
          <w:szCs w:val="28"/>
        </w:rPr>
        <w:t>diferenciācij</w:t>
      </w:r>
      <w:r>
        <w:rPr>
          <w:color w:val="000000" w:themeColor="text1"/>
          <w:szCs w:val="28"/>
        </w:rPr>
        <w:t>a, kā arī noteiktām apstrādes rūpniecības uzņēmumu grupām no 2015.gada pieejamais valsts atbalsts energoietilpīgiem apstrādes rūpniecības uzņēmumiem,</w:t>
      </w:r>
      <w:r w:rsidRPr="003B7CFA">
        <w:t xml:space="preserve"> </w:t>
      </w:r>
      <w:r w:rsidRPr="003B7CFA">
        <w:rPr>
          <w:color w:val="000000" w:themeColor="text1"/>
          <w:szCs w:val="28"/>
        </w:rPr>
        <w:t>samazinot to izmaksas, ko radījis OI mehānisms</w:t>
      </w:r>
      <w:r>
        <w:rPr>
          <w:color w:val="000000" w:themeColor="text1"/>
          <w:szCs w:val="28"/>
        </w:rPr>
        <w:t>.</w:t>
      </w:r>
    </w:p>
    <w:p w14:paraId="77DC6C40" w14:textId="77777777" w:rsidR="00EE1CF5" w:rsidRDefault="00EE1CF5" w:rsidP="00EE1CF5">
      <w:pPr>
        <w:jc w:val="right"/>
        <w:rPr>
          <w:rFonts w:cs="Times New Roman"/>
          <w:i/>
          <w:noProof/>
          <w:szCs w:val="26"/>
          <w:lang w:eastAsia="lv-LV"/>
        </w:rPr>
      </w:pPr>
    </w:p>
    <w:p w14:paraId="5E31D972" w14:textId="77777777" w:rsidR="00EE1CF5" w:rsidRPr="00FC154F" w:rsidRDefault="00EE1CF5" w:rsidP="00EE1CF5">
      <w:pPr>
        <w:jc w:val="right"/>
        <w:rPr>
          <w:rFonts w:cs="Times New Roman"/>
          <w:i/>
          <w:noProof/>
          <w:szCs w:val="26"/>
          <w:lang w:eastAsia="lv-LV"/>
        </w:rPr>
      </w:pPr>
      <w:r>
        <w:rPr>
          <w:rFonts w:cs="Times New Roman"/>
          <w:i/>
          <w:noProof/>
          <w:szCs w:val="26"/>
          <w:lang w:eastAsia="lv-LV"/>
        </w:rPr>
        <w:t>12</w:t>
      </w:r>
      <w:r w:rsidRPr="00FC154F">
        <w:rPr>
          <w:rFonts w:cs="Times New Roman"/>
          <w:i/>
          <w:noProof/>
          <w:szCs w:val="26"/>
          <w:lang w:eastAsia="lv-LV"/>
        </w:rPr>
        <w:t>.attēls</w:t>
      </w:r>
    </w:p>
    <w:p w14:paraId="396FD08B" w14:textId="77777777" w:rsidR="00EE1CF5" w:rsidRPr="00FC154F" w:rsidRDefault="00EE1CF5" w:rsidP="00EE1CF5">
      <w:pPr>
        <w:jc w:val="center"/>
        <w:rPr>
          <w:rFonts w:eastAsia="Times New Roman" w:cs="Times New Roman"/>
          <w:color w:val="000000" w:themeColor="text1"/>
          <w:sz w:val="24"/>
          <w:szCs w:val="24"/>
        </w:rPr>
      </w:pPr>
      <w:r w:rsidRPr="00FC154F">
        <w:rPr>
          <w:noProof/>
          <w:lang w:eastAsia="lv-LV"/>
        </w:rPr>
        <w:drawing>
          <wp:inline distT="0" distB="0" distL="0" distR="0" wp14:anchorId="1E92B6F4" wp14:editId="7D818182">
            <wp:extent cx="4321834" cy="2662817"/>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94407" name=""/>
                    <pic:cNvPicPr/>
                  </pic:nvPicPr>
                  <pic:blipFill>
                    <a:blip r:embed="rId20"/>
                    <a:srcRect l="27831" t="30529" r="24643" b="15867"/>
                    <a:stretch>
                      <a:fillRect/>
                    </a:stretch>
                  </pic:blipFill>
                  <pic:spPr bwMode="auto">
                    <a:xfrm>
                      <a:off x="0" y="0"/>
                      <a:ext cx="4335175" cy="2671037"/>
                    </a:xfrm>
                    <a:prstGeom prst="rect">
                      <a:avLst/>
                    </a:prstGeom>
                    <a:ln>
                      <a:noFill/>
                    </a:ln>
                    <a:extLst>
                      <a:ext uri="{53640926-AAD7-44D8-BBD7-CCE9431645EC}">
                        <a14:shadowObscured xmlns:a14="http://schemas.microsoft.com/office/drawing/2010/main"/>
                      </a:ext>
                    </a:extLst>
                  </pic:spPr>
                </pic:pic>
              </a:graphicData>
            </a:graphic>
          </wp:inline>
        </w:drawing>
      </w:r>
    </w:p>
    <w:p w14:paraId="11A02E14" w14:textId="77777777" w:rsidR="00EE1CF5" w:rsidRPr="00AA2BE5" w:rsidRDefault="00EE1CF5" w:rsidP="00EE1CF5">
      <w:pPr>
        <w:jc w:val="center"/>
        <w:rPr>
          <w:rFonts w:eastAsia="Times New Roman" w:cs="Times New Roman"/>
          <w:b/>
          <w:bCs/>
          <w:color w:val="000000" w:themeColor="text1"/>
          <w:sz w:val="24"/>
          <w:szCs w:val="26"/>
        </w:rPr>
      </w:pPr>
      <w:r w:rsidRPr="00AA2BE5">
        <w:rPr>
          <w:b/>
          <w:bCs/>
          <w:color w:val="000000" w:themeColor="text1"/>
          <w:sz w:val="24"/>
          <w:szCs w:val="26"/>
        </w:rPr>
        <w:t>Elektrības cenas lielam uzņēmumam (20-70 GWH  patēriņa grupā</w:t>
      </w:r>
      <w:r w:rsidRPr="00AA2BE5">
        <w:rPr>
          <w:rFonts w:ascii="Times New Roman," w:eastAsia="Times New Roman," w:hAnsi="Times New Roman," w:cs="Times New Roman,"/>
          <w:b/>
          <w:bCs/>
          <w:color w:val="000000" w:themeColor="text1"/>
          <w:sz w:val="24"/>
          <w:szCs w:val="26"/>
        </w:rPr>
        <w:t>)</w:t>
      </w:r>
    </w:p>
    <w:p w14:paraId="491476FA" w14:textId="77777777" w:rsidR="00EE1CF5" w:rsidRPr="00AA2BE5" w:rsidRDefault="00EE1CF5" w:rsidP="00EE1CF5">
      <w:pPr>
        <w:ind w:firstLine="720"/>
        <w:rPr>
          <w:color w:val="000000" w:themeColor="text1"/>
          <w:sz w:val="24"/>
          <w:szCs w:val="26"/>
        </w:rPr>
      </w:pPr>
    </w:p>
    <w:p w14:paraId="31253A20" w14:textId="77777777" w:rsidR="00EE1CF5" w:rsidRPr="00AA2BE5" w:rsidRDefault="00EE1CF5" w:rsidP="00EE1CF5">
      <w:pPr>
        <w:spacing w:before="120"/>
        <w:ind w:firstLine="851"/>
        <w:rPr>
          <w:color w:val="000000" w:themeColor="text1"/>
          <w:szCs w:val="26"/>
        </w:rPr>
      </w:pPr>
      <w:r w:rsidRPr="00AA2BE5">
        <w:rPr>
          <w:color w:val="000000" w:themeColor="text1"/>
          <w:szCs w:val="28"/>
        </w:rPr>
        <w:t>Lai arī pēdējos gados valdības īstenotās politikas rezultātā ir izdevies mazināt elektroenerģijas izmaksu slogu noteiktām patērētāju grupām, to aplūkojot reģionālā griezumā, joprojām mazo un vidējo uzņēmumu elektroenerģijas izmaksas ir vērtējamas kā otras augstākās reģionā.</w:t>
      </w:r>
      <w:r w:rsidRPr="00AA2BE5">
        <w:rPr>
          <w:color w:val="000000" w:themeColor="text1"/>
          <w:szCs w:val="26"/>
        </w:rPr>
        <w:t xml:space="preserve"> </w:t>
      </w:r>
    </w:p>
    <w:p w14:paraId="7C33A747" w14:textId="77777777" w:rsidR="00EE1CF5" w:rsidRPr="00121A75" w:rsidRDefault="00EE1CF5" w:rsidP="00EE1CF5">
      <w:pPr>
        <w:spacing w:before="120"/>
        <w:ind w:firstLine="720"/>
        <w:rPr>
          <w:rFonts w:eastAsia="Times New Roman" w:cs="Times New Roman"/>
          <w:color w:val="000000" w:themeColor="text1"/>
          <w:szCs w:val="26"/>
        </w:rPr>
      </w:pPr>
      <w:r w:rsidRPr="00AA2BE5">
        <w:rPr>
          <w:color w:val="000000" w:themeColor="text1"/>
          <w:szCs w:val="26"/>
        </w:rPr>
        <w:t>Šis apstāklis kopumā</w:t>
      </w:r>
      <w:r>
        <w:rPr>
          <w:color w:val="000000" w:themeColor="text1"/>
          <w:szCs w:val="26"/>
        </w:rPr>
        <w:t xml:space="preserve"> </w:t>
      </w:r>
      <w:r w:rsidRPr="00046D62">
        <w:rPr>
          <w:color w:val="000000" w:themeColor="text1"/>
          <w:szCs w:val="26"/>
        </w:rPr>
        <w:t xml:space="preserve">mazina apstrādes rūpniecības attīstības </w:t>
      </w:r>
      <w:r>
        <w:rPr>
          <w:color w:val="000000" w:themeColor="text1"/>
          <w:szCs w:val="26"/>
        </w:rPr>
        <w:t xml:space="preserve">iespējas. </w:t>
      </w:r>
      <w:r w:rsidRPr="00046D62">
        <w:rPr>
          <w:color w:val="000000" w:themeColor="text1"/>
          <w:szCs w:val="26"/>
        </w:rPr>
        <w:t xml:space="preserve">Sevišķi asi augstās elektroenerģijas cenas izjūt nozares ar augstu elektroenerģijas īpatsvaru starppatēriņa izmaksās, it īpaši apstrādes rūpniecība. 2016.gadā apstrādes rūpniecībā elektroenerģijas izmaksu īpatsvars ražošanas izmaksās vidēji bija 3,6%. </w:t>
      </w:r>
      <w:r>
        <w:rPr>
          <w:color w:val="000000" w:themeColor="text1"/>
          <w:szCs w:val="26"/>
        </w:rPr>
        <w:t>Turklāt</w:t>
      </w:r>
      <w:r w:rsidRPr="00046D62">
        <w:rPr>
          <w:color w:val="000000" w:themeColor="text1"/>
          <w:szCs w:val="26"/>
        </w:rPr>
        <w:t xml:space="preserve"> </w:t>
      </w:r>
      <w:r w:rsidRPr="00046D62">
        <w:rPr>
          <w:color w:val="000000" w:themeColor="text1"/>
          <w:szCs w:val="26"/>
        </w:rPr>
        <w:lastRenderedPageBreak/>
        <w:t>atsevišķās nozarēs kā kokapstrāde, būvmateriālu ražošana elektroenerģijas izmaksu īpatsvars pārsniedza 5%.</w:t>
      </w:r>
      <w:r>
        <w:rPr>
          <w:color w:val="000000" w:themeColor="text1"/>
          <w:szCs w:val="26"/>
        </w:rPr>
        <w:t xml:space="preserve"> </w:t>
      </w:r>
    </w:p>
    <w:p w14:paraId="64A53DD6" w14:textId="77777777" w:rsidR="00EE1CF5" w:rsidRPr="00823E06" w:rsidRDefault="00EE1CF5" w:rsidP="00EE1CF5">
      <w:pPr>
        <w:spacing w:before="120"/>
        <w:ind w:firstLine="720"/>
        <w:rPr>
          <w:rFonts w:asciiTheme="majorHAnsi" w:hAnsiTheme="majorHAnsi"/>
          <w:color w:val="000000" w:themeColor="text1"/>
        </w:rPr>
      </w:pPr>
      <w:r>
        <w:rPr>
          <w:color w:val="000000" w:themeColor="text1"/>
          <w:szCs w:val="26"/>
        </w:rPr>
        <w:t>No 13.attēlā atspoguļotās informācijas cita starpā izriet, ka e</w:t>
      </w:r>
      <w:r w:rsidRPr="00046D62">
        <w:rPr>
          <w:color w:val="000000" w:themeColor="text1"/>
          <w:szCs w:val="26"/>
        </w:rPr>
        <w:t>sošā OI mehānisma ietekmē starppatēriņa izmaksas vidēji tautsaimniecībā palielinājušās par 0,61%, kā rezultātā uzņēmēju peļņa samazinājusies par 1%, ražotāju cenas palielinājušās par 0,12%</w:t>
      </w:r>
      <w:r>
        <w:rPr>
          <w:color w:val="000000" w:themeColor="text1"/>
          <w:szCs w:val="26"/>
        </w:rPr>
        <w:t xml:space="preserve"> (14.attēls)</w:t>
      </w:r>
      <w:r w:rsidRPr="00046D62">
        <w:rPr>
          <w:color w:val="000000" w:themeColor="text1"/>
          <w:szCs w:val="26"/>
        </w:rPr>
        <w:t xml:space="preserve">. </w:t>
      </w:r>
    </w:p>
    <w:p w14:paraId="32421C13" w14:textId="77777777" w:rsidR="00EE1CF5" w:rsidRPr="00046D62" w:rsidRDefault="00EE1CF5" w:rsidP="00EE1CF5">
      <w:pPr>
        <w:ind w:firstLine="720"/>
        <w:jc w:val="right"/>
        <w:rPr>
          <w:rFonts w:cs="Times New Roman"/>
          <w:i/>
          <w:noProof/>
          <w:szCs w:val="26"/>
          <w:lang w:eastAsia="lv-LV"/>
        </w:rPr>
      </w:pPr>
      <w:r>
        <w:rPr>
          <w:rFonts w:cs="Times New Roman"/>
          <w:i/>
          <w:noProof/>
          <w:szCs w:val="26"/>
          <w:lang w:eastAsia="lv-LV"/>
        </w:rPr>
        <w:t>13.a</w:t>
      </w:r>
      <w:r w:rsidRPr="00046D62">
        <w:rPr>
          <w:rFonts w:cs="Times New Roman"/>
          <w:i/>
          <w:noProof/>
          <w:szCs w:val="26"/>
          <w:lang w:eastAsia="lv-LV"/>
        </w:rPr>
        <w:t>ttēls</w:t>
      </w:r>
    </w:p>
    <w:p w14:paraId="2D3BDCDF" w14:textId="77777777" w:rsidR="00EE1CF5" w:rsidRPr="00046D62" w:rsidRDefault="00EE1CF5" w:rsidP="00EE1CF5">
      <w:pPr>
        <w:ind w:firstLine="720"/>
        <w:rPr>
          <w:rFonts w:cs="Times New Roman"/>
          <w:color w:val="000000" w:themeColor="text1"/>
          <w:sz w:val="24"/>
          <w:szCs w:val="24"/>
        </w:rPr>
      </w:pPr>
    </w:p>
    <w:p w14:paraId="6C9513ED" w14:textId="77777777" w:rsidR="00EE1CF5" w:rsidRPr="00046D62" w:rsidRDefault="00EE1CF5" w:rsidP="00EE1CF5">
      <w:pPr>
        <w:ind w:firstLine="720"/>
        <w:jc w:val="center"/>
        <w:rPr>
          <w:rFonts w:cs="Times New Roman"/>
          <w:color w:val="000000" w:themeColor="text1"/>
          <w:sz w:val="24"/>
          <w:szCs w:val="24"/>
        </w:rPr>
      </w:pPr>
      <w:r w:rsidRPr="00046D62">
        <w:rPr>
          <w:rFonts w:asciiTheme="majorHAnsi" w:hAnsiTheme="majorHAnsi"/>
          <w:noProof/>
          <w:color w:val="000000" w:themeColor="text1"/>
          <w:sz w:val="24"/>
          <w:szCs w:val="24"/>
          <w:lang w:eastAsia="lv-LV"/>
        </w:rPr>
        <w:drawing>
          <wp:inline distT="0" distB="0" distL="0" distR="0" wp14:anchorId="6C525461" wp14:editId="2D7C0CB1">
            <wp:extent cx="4246941" cy="2376454"/>
            <wp:effectExtent l="0" t="0" r="127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6170" name=""/>
                    <pic:cNvPicPr/>
                  </pic:nvPicPr>
                  <pic:blipFill>
                    <a:blip r:embed="rId21"/>
                    <a:srcRect l="22237" t="34230" r="32062" b="13729"/>
                    <a:stretch>
                      <a:fillRect/>
                    </a:stretch>
                  </pic:blipFill>
                  <pic:spPr bwMode="auto">
                    <a:xfrm>
                      <a:off x="0" y="0"/>
                      <a:ext cx="4275520" cy="2392446"/>
                    </a:xfrm>
                    <a:prstGeom prst="rect">
                      <a:avLst/>
                    </a:prstGeom>
                    <a:ln>
                      <a:noFill/>
                    </a:ln>
                    <a:extLst>
                      <a:ext uri="{53640926-AAD7-44D8-BBD7-CCE9431645EC}">
                        <a14:shadowObscured xmlns:a14="http://schemas.microsoft.com/office/drawing/2010/main"/>
                      </a:ext>
                    </a:extLst>
                  </pic:spPr>
                </pic:pic>
              </a:graphicData>
            </a:graphic>
          </wp:inline>
        </w:drawing>
      </w:r>
    </w:p>
    <w:p w14:paraId="2E2A5ECA" w14:textId="77777777" w:rsidR="00EE1CF5" w:rsidRPr="00371690" w:rsidRDefault="00EE1CF5" w:rsidP="00EE1CF5">
      <w:pPr>
        <w:ind w:firstLine="720"/>
        <w:jc w:val="center"/>
        <w:rPr>
          <w:rFonts w:eastAsia="Times New Roman" w:cs="Times New Roman"/>
          <w:b/>
          <w:bCs/>
          <w:color w:val="000000" w:themeColor="text1"/>
          <w:sz w:val="24"/>
          <w:szCs w:val="26"/>
        </w:rPr>
      </w:pPr>
      <w:r w:rsidRPr="00371690">
        <w:rPr>
          <w:b/>
          <w:bCs/>
          <w:color w:val="000000" w:themeColor="text1"/>
          <w:sz w:val="24"/>
          <w:szCs w:val="26"/>
        </w:rPr>
        <w:t>OIK ietekme uz starppatēriņa izmaksām</w:t>
      </w:r>
    </w:p>
    <w:p w14:paraId="2A83303E" w14:textId="77777777" w:rsidR="00EE1CF5" w:rsidRPr="00046D62" w:rsidRDefault="00EE1CF5" w:rsidP="00EE1CF5">
      <w:pPr>
        <w:ind w:firstLine="720"/>
        <w:rPr>
          <w:rFonts w:cs="Times New Roman"/>
          <w:color w:val="000000" w:themeColor="text1"/>
          <w:sz w:val="24"/>
          <w:szCs w:val="24"/>
        </w:rPr>
      </w:pPr>
    </w:p>
    <w:p w14:paraId="05DE9198" w14:textId="77777777" w:rsidR="00EE1CF5" w:rsidRDefault="00EE1CF5" w:rsidP="00EE1CF5">
      <w:pPr>
        <w:ind w:firstLine="720"/>
        <w:rPr>
          <w:color w:val="000000" w:themeColor="text1"/>
          <w:szCs w:val="26"/>
        </w:rPr>
      </w:pPr>
      <w:r>
        <w:rPr>
          <w:color w:val="000000" w:themeColor="text1"/>
          <w:szCs w:val="26"/>
        </w:rPr>
        <w:t>Savukārt r</w:t>
      </w:r>
      <w:r w:rsidRPr="00046D62">
        <w:rPr>
          <w:color w:val="000000" w:themeColor="text1"/>
          <w:szCs w:val="26"/>
        </w:rPr>
        <w:t xml:space="preserve">ūpniecībā peļņas samazinājums un konkurētspējas kritums ir lielāks. Eksportētāji nav cenu noteicēji, bet ir cenu ņēmēji un ir atkarīgi no pasaules tirgus </w:t>
      </w:r>
      <w:r w:rsidRPr="00046D62">
        <w:br/>
      </w:r>
      <w:r w:rsidRPr="00046D62">
        <w:rPr>
          <w:color w:val="000000" w:themeColor="text1"/>
          <w:szCs w:val="26"/>
        </w:rPr>
        <w:t>cenām – nav iespēju būtiski celt ražotāju cenas. Pakalpojumu nozarēs vietējā tirgū lielākā daļa izmaksu palielinājuma kompensējas ar pakalpojumu cenu pieaugumu.</w:t>
      </w:r>
    </w:p>
    <w:p w14:paraId="46842A3E" w14:textId="77777777" w:rsidR="00EE1CF5" w:rsidRPr="00046D62" w:rsidRDefault="00EE1CF5" w:rsidP="00EE1CF5">
      <w:pPr>
        <w:ind w:firstLine="720"/>
        <w:rPr>
          <w:rFonts w:eastAsia="Times New Roman" w:cs="Times New Roman"/>
          <w:color w:val="000000" w:themeColor="text1"/>
          <w:szCs w:val="26"/>
        </w:rPr>
      </w:pPr>
    </w:p>
    <w:p w14:paraId="575564F0" w14:textId="77777777" w:rsidR="00EE1CF5" w:rsidRPr="00823E06" w:rsidRDefault="00EE1CF5" w:rsidP="00EE1CF5">
      <w:pPr>
        <w:jc w:val="right"/>
        <w:rPr>
          <w:rFonts w:cs="Times New Roman"/>
          <w:i/>
          <w:noProof/>
          <w:szCs w:val="26"/>
          <w:lang w:eastAsia="lv-LV"/>
        </w:rPr>
      </w:pPr>
      <w:r>
        <w:rPr>
          <w:rFonts w:cs="Times New Roman"/>
          <w:i/>
          <w:noProof/>
          <w:szCs w:val="26"/>
          <w:lang w:eastAsia="lv-LV"/>
        </w:rPr>
        <w:t>14.a</w:t>
      </w:r>
      <w:r w:rsidRPr="00046D62">
        <w:rPr>
          <w:rFonts w:cs="Times New Roman"/>
          <w:i/>
          <w:noProof/>
          <w:szCs w:val="26"/>
          <w:lang w:eastAsia="lv-LV"/>
        </w:rPr>
        <w:t>ttēls</w:t>
      </w:r>
    </w:p>
    <w:p w14:paraId="020E31EB" w14:textId="77777777" w:rsidR="00EE1CF5" w:rsidRPr="00046D62" w:rsidRDefault="00EE1CF5" w:rsidP="00EE1CF5">
      <w:pPr>
        <w:ind w:firstLine="720"/>
        <w:jc w:val="center"/>
        <w:rPr>
          <w:rFonts w:cs="Times New Roman"/>
          <w:color w:val="000000" w:themeColor="text1"/>
          <w:sz w:val="24"/>
          <w:szCs w:val="24"/>
        </w:rPr>
      </w:pPr>
      <w:r w:rsidRPr="00046D62">
        <w:rPr>
          <w:rFonts w:asciiTheme="majorHAnsi" w:hAnsiTheme="majorHAnsi"/>
          <w:noProof/>
          <w:color w:val="000000" w:themeColor="text1"/>
          <w:sz w:val="24"/>
          <w:szCs w:val="24"/>
          <w:lang w:eastAsia="lv-LV"/>
        </w:rPr>
        <w:drawing>
          <wp:inline distT="0" distB="0" distL="0" distR="0" wp14:anchorId="0AFFBB18" wp14:editId="0FB94490">
            <wp:extent cx="4543425" cy="2517695"/>
            <wp:effectExtent l="0" t="0" r="0" b="0"/>
            <wp:docPr id="249249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73675" name=""/>
                    <pic:cNvPicPr/>
                  </pic:nvPicPr>
                  <pic:blipFill>
                    <a:blip r:embed="rId22"/>
                    <a:srcRect l="22237" t="38404" r="29609" b="13173"/>
                    <a:stretch>
                      <a:fillRect/>
                    </a:stretch>
                  </pic:blipFill>
                  <pic:spPr bwMode="auto">
                    <a:xfrm>
                      <a:off x="0" y="0"/>
                      <a:ext cx="4584925" cy="2540692"/>
                    </a:xfrm>
                    <a:prstGeom prst="rect">
                      <a:avLst/>
                    </a:prstGeom>
                    <a:ln>
                      <a:noFill/>
                    </a:ln>
                    <a:extLst>
                      <a:ext uri="{53640926-AAD7-44D8-BBD7-CCE9431645EC}">
                        <a14:shadowObscured xmlns:a14="http://schemas.microsoft.com/office/drawing/2010/main"/>
                      </a:ext>
                    </a:extLst>
                  </pic:spPr>
                </pic:pic>
              </a:graphicData>
            </a:graphic>
          </wp:inline>
        </w:drawing>
      </w:r>
    </w:p>
    <w:p w14:paraId="759DB8F8" w14:textId="77777777" w:rsidR="00EE1CF5" w:rsidRPr="00371690" w:rsidRDefault="00EE1CF5" w:rsidP="00EE1CF5">
      <w:pPr>
        <w:ind w:firstLine="720"/>
        <w:jc w:val="center"/>
        <w:rPr>
          <w:rFonts w:eastAsia="Times New Roman" w:cs="Times New Roman"/>
          <w:b/>
          <w:bCs/>
          <w:color w:val="000000" w:themeColor="text1"/>
          <w:sz w:val="24"/>
          <w:szCs w:val="26"/>
        </w:rPr>
      </w:pPr>
      <w:r w:rsidRPr="00371690">
        <w:rPr>
          <w:b/>
          <w:bCs/>
          <w:color w:val="000000" w:themeColor="text1"/>
          <w:sz w:val="24"/>
          <w:szCs w:val="26"/>
        </w:rPr>
        <w:t>OIK ietekme uz peļņas samazinājumu</w:t>
      </w:r>
    </w:p>
    <w:p w14:paraId="3ECDEF91" w14:textId="77777777" w:rsidR="00EE1CF5" w:rsidRPr="00726946" w:rsidRDefault="00EE1CF5" w:rsidP="00EE1CF5">
      <w:pPr>
        <w:spacing w:before="120"/>
        <w:ind w:firstLine="720"/>
        <w:rPr>
          <w:rFonts w:cs="Times New Roman"/>
          <w:noProof/>
          <w:szCs w:val="26"/>
          <w:lang w:eastAsia="lv-LV"/>
        </w:rPr>
      </w:pPr>
      <w:r>
        <w:rPr>
          <w:rFonts w:cs="Times New Roman"/>
          <w:noProof/>
          <w:szCs w:val="26"/>
          <w:lang w:eastAsia="lv-LV"/>
        </w:rPr>
        <w:t xml:space="preserve">Kontekstā ar augstāk minēto no 15.attēlā atspoguļotās informācijas redzams, ka OIK ietekme uz ražotāju cenām Latvijā ir 0,12-0,22% robežās (2017. gads) atkarībā no darbības jomas. Turklāt, bez valdības īstenotiem OIK ierobežošanas pasākumiem pasākumiem šī ietekme sasniegtu 0,16-0,29%. </w:t>
      </w:r>
    </w:p>
    <w:p w14:paraId="7D6C669D" w14:textId="77777777" w:rsidR="00EE1CF5" w:rsidRPr="00046D62" w:rsidRDefault="00EE1CF5" w:rsidP="00EE1CF5">
      <w:pPr>
        <w:ind w:firstLine="720"/>
        <w:jc w:val="right"/>
        <w:rPr>
          <w:rFonts w:cs="Times New Roman"/>
          <w:i/>
          <w:noProof/>
          <w:szCs w:val="26"/>
          <w:lang w:eastAsia="lv-LV"/>
        </w:rPr>
      </w:pPr>
      <w:r>
        <w:rPr>
          <w:rFonts w:cs="Times New Roman"/>
          <w:i/>
          <w:noProof/>
          <w:szCs w:val="26"/>
          <w:lang w:eastAsia="lv-LV"/>
        </w:rPr>
        <w:t>15.a</w:t>
      </w:r>
      <w:r w:rsidRPr="00046D62">
        <w:rPr>
          <w:rFonts w:cs="Times New Roman"/>
          <w:i/>
          <w:noProof/>
          <w:szCs w:val="26"/>
          <w:lang w:eastAsia="lv-LV"/>
        </w:rPr>
        <w:t>ttēls</w:t>
      </w:r>
    </w:p>
    <w:p w14:paraId="42A9862D" w14:textId="77777777" w:rsidR="00EE1CF5" w:rsidRPr="00046D62" w:rsidRDefault="00EE1CF5" w:rsidP="00EE1CF5">
      <w:pPr>
        <w:ind w:firstLine="720"/>
        <w:rPr>
          <w:rFonts w:cs="Times New Roman"/>
          <w:color w:val="000000" w:themeColor="text1"/>
          <w:sz w:val="24"/>
          <w:szCs w:val="24"/>
        </w:rPr>
      </w:pPr>
    </w:p>
    <w:p w14:paraId="7C8D50F9" w14:textId="77777777" w:rsidR="00EE1CF5" w:rsidRPr="00046D62" w:rsidRDefault="00EE1CF5" w:rsidP="00EE1CF5">
      <w:pPr>
        <w:ind w:firstLine="720"/>
        <w:jc w:val="center"/>
        <w:rPr>
          <w:rFonts w:cs="Times New Roman"/>
          <w:color w:val="000000" w:themeColor="text1"/>
          <w:sz w:val="24"/>
          <w:szCs w:val="24"/>
        </w:rPr>
      </w:pPr>
      <w:r w:rsidRPr="00046D62">
        <w:rPr>
          <w:rFonts w:asciiTheme="majorHAnsi" w:hAnsiTheme="majorHAnsi"/>
          <w:noProof/>
          <w:color w:val="000000" w:themeColor="text1"/>
          <w:sz w:val="24"/>
          <w:szCs w:val="24"/>
          <w:lang w:eastAsia="lv-LV"/>
        </w:rPr>
        <w:drawing>
          <wp:inline distT="0" distB="0" distL="0" distR="0" wp14:anchorId="51880EAB" wp14:editId="6BA7A576">
            <wp:extent cx="4371975" cy="258154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92218" name=""/>
                    <pic:cNvPicPr/>
                  </pic:nvPicPr>
                  <pic:blipFill>
                    <a:blip r:embed="rId23"/>
                    <a:srcRect l="21930" t="35343" r="29762" b="12894"/>
                    <a:stretch>
                      <a:fillRect/>
                    </a:stretch>
                  </pic:blipFill>
                  <pic:spPr bwMode="auto">
                    <a:xfrm>
                      <a:off x="0" y="0"/>
                      <a:ext cx="4417623" cy="2608501"/>
                    </a:xfrm>
                    <a:prstGeom prst="rect">
                      <a:avLst/>
                    </a:prstGeom>
                    <a:ln>
                      <a:noFill/>
                    </a:ln>
                    <a:extLst>
                      <a:ext uri="{53640926-AAD7-44D8-BBD7-CCE9431645EC}">
                        <a14:shadowObscured xmlns:a14="http://schemas.microsoft.com/office/drawing/2010/main"/>
                      </a:ext>
                    </a:extLst>
                  </pic:spPr>
                </pic:pic>
              </a:graphicData>
            </a:graphic>
          </wp:inline>
        </w:drawing>
      </w:r>
    </w:p>
    <w:p w14:paraId="54685E7C" w14:textId="77777777" w:rsidR="00EE1CF5" w:rsidRPr="00371690" w:rsidRDefault="00EE1CF5" w:rsidP="00EE1CF5">
      <w:pPr>
        <w:ind w:firstLine="720"/>
        <w:jc w:val="center"/>
        <w:rPr>
          <w:rFonts w:eastAsia="Times New Roman" w:cs="Times New Roman"/>
          <w:b/>
          <w:bCs/>
          <w:color w:val="000000" w:themeColor="text1"/>
          <w:sz w:val="24"/>
          <w:szCs w:val="26"/>
        </w:rPr>
      </w:pPr>
      <w:r w:rsidRPr="00371690">
        <w:rPr>
          <w:b/>
          <w:bCs/>
          <w:color w:val="000000" w:themeColor="text1"/>
          <w:sz w:val="24"/>
          <w:szCs w:val="26"/>
        </w:rPr>
        <w:t>OIK ietekme uz ražotāju cenām</w:t>
      </w:r>
    </w:p>
    <w:p w14:paraId="42FDA8F8" w14:textId="77777777" w:rsidR="00EE1CF5" w:rsidRDefault="00EE1CF5" w:rsidP="00EE1CF5">
      <w:pPr>
        <w:spacing w:before="120"/>
        <w:ind w:firstLine="720"/>
        <w:rPr>
          <w:noProof/>
          <w:lang w:eastAsia="lv-LV"/>
        </w:rPr>
      </w:pPr>
      <w:r w:rsidRPr="00D0793D">
        <w:rPr>
          <w:noProof/>
          <w:lang w:eastAsia="lv-LV"/>
        </w:rPr>
        <w:t>Līdztekus minētajam jāatzīmē, ka atsevišķās pašvaldībās, tajā skaitā Rīgā un citās lielākajās pilsētās,  OI mehānisma ietekmē ir zemāki siltumenerģijas tarifi, kas daļai mājsaimniecību mazina izdevumus par siltumenerģiju.</w:t>
      </w:r>
      <w:r>
        <w:rPr>
          <w:noProof/>
          <w:lang w:eastAsia="lv-LV"/>
        </w:rPr>
        <w:t xml:space="preserve"> Salīdzinoša informācija par Sabiedrisko pakalpojumu regulēšanas komisijas (turpmāk – SPRK) noteiktiem siltumapgādes tarifiem ir pieejama SPRK interneta tīmekļa vietnē</w:t>
      </w:r>
      <w:r>
        <w:rPr>
          <w:rStyle w:val="FootnoteReference"/>
          <w:noProof/>
          <w:lang w:eastAsia="lv-LV"/>
        </w:rPr>
        <w:footnoteReference w:id="9"/>
      </w:r>
      <w:r>
        <w:rPr>
          <w:noProof/>
          <w:lang w:eastAsia="lv-LV"/>
        </w:rPr>
        <w:t xml:space="preserve">. </w:t>
      </w:r>
    </w:p>
    <w:p w14:paraId="1847F77B" w14:textId="77777777" w:rsidR="00EE1CF5" w:rsidRDefault="00EE1CF5" w:rsidP="00EE1CF5">
      <w:pPr>
        <w:spacing w:before="120"/>
        <w:ind w:firstLine="720"/>
        <w:rPr>
          <w:b/>
          <w:sz w:val="32"/>
        </w:rPr>
      </w:pPr>
      <w:r>
        <w:rPr>
          <w:color w:val="000000" w:themeColor="text1"/>
        </w:rPr>
        <w:t>Siltumenerģijas nozarē pašlaik nav plānots ieviest aizsargātā lietotāja tirdzniecības pakalpojumu, tā kā trūkst izpētes materiāla par siltumenerģijas maksas ietekmi uz mājsaimniecību budžetu.</w:t>
      </w:r>
      <w:r>
        <w:br w:type="page"/>
      </w:r>
    </w:p>
    <w:p w14:paraId="1BEDE4CE" w14:textId="77777777" w:rsidR="00EE1CF5" w:rsidRDefault="00EE1CF5" w:rsidP="00EE1CF5">
      <w:pPr>
        <w:pStyle w:val="1nodaa"/>
        <w:widowControl w:val="0"/>
        <w:spacing w:after="120"/>
      </w:pPr>
      <w:bookmarkStart w:id="19" w:name="_Toc256000029"/>
      <w:bookmarkStart w:id="20" w:name="_Toc256000005"/>
      <w:bookmarkStart w:id="21" w:name="_Toc523492911"/>
      <w:bookmarkStart w:id="22" w:name="_Toc528585651"/>
      <w:bookmarkStart w:id="23" w:name="_Toc531798563"/>
      <w:r>
        <w:lastRenderedPageBreak/>
        <w:t>2. Atbalsts elektroenerģijas lietotājiem</w:t>
      </w:r>
      <w:bookmarkStart w:id="24" w:name="_Toc256000006"/>
      <w:bookmarkStart w:id="25" w:name="_Toc523492912"/>
      <w:bookmarkEnd w:id="19"/>
      <w:bookmarkEnd w:id="20"/>
      <w:bookmarkEnd w:id="21"/>
      <w:bookmarkEnd w:id="22"/>
      <w:bookmarkEnd w:id="23"/>
    </w:p>
    <w:p w14:paraId="106F7261" w14:textId="77777777" w:rsidR="00EE1CF5" w:rsidRPr="00D978AC" w:rsidRDefault="00EE1CF5" w:rsidP="00EE1CF5">
      <w:pPr>
        <w:pStyle w:val="1nodaa"/>
        <w:widowControl w:val="0"/>
        <w:spacing w:after="120"/>
        <w:rPr>
          <w:sz w:val="28"/>
        </w:rPr>
      </w:pPr>
      <w:bookmarkStart w:id="26" w:name="_Toc256000032"/>
      <w:bookmarkStart w:id="27" w:name="_Toc528585652"/>
      <w:bookmarkStart w:id="28" w:name="_Toc531798564"/>
      <w:r w:rsidRPr="00D978AC">
        <w:rPr>
          <w:sz w:val="28"/>
        </w:rPr>
        <w:t xml:space="preserve">2.1. </w:t>
      </w:r>
      <w:r w:rsidRPr="00D978AC">
        <w:rPr>
          <w:sz w:val="28"/>
        </w:rPr>
        <w:tab/>
        <w:t>Veiktie pasākumi OIK mazināšanai</w:t>
      </w:r>
      <w:bookmarkEnd w:id="24"/>
      <w:bookmarkEnd w:id="25"/>
      <w:bookmarkEnd w:id="26"/>
      <w:bookmarkEnd w:id="27"/>
      <w:bookmarkEnd w:id="28"/>
    </w:p>
    <w:p w14:paraId="1E83A7EA" w14:textId="77777777" w:rsidR="00EE1CF5" w:rsidRPr="00046D62" w:rsidRDefault="00EE1CF5" w:rsidP="00EE1CF5">
      <w:pPr>
        <w:spacing w:before="120"/>
        <w:ind w:firstLine="709"/>
        <w:rPr>
          <w:rFonts w:eastAsia="Calibri" w:cs="Times New Roman"/>
          <w:szCs w:val="28"/>
          <w:lang w:eastAsia="lv-LV"/>
        </w:rPr>
      </w:pPr>
      <w:r w:rsidRPr="00046D62">
        <w:rPr>
          <w:rFonts w:eastAsiaTheme="minorEastAsia"/>
          <w:szCs w:val="28"/>
        </w:rPr>
        <w:t>Ņemot vērā vēsturiski piešķirtās tiesības ražotājiem pārdot saražoto elektroenerģiju OI</w:t>
      </w:r>
      <w:r>
        <w:rPr>
          <w:rFonts w:eastAsiaTheme="minorEastAsia"/>
          <w:szCs w:val="28"/>
        </w:rPr>
        <w:t xml:space="preserve"> mehānisma</w:t>
      </w:r>
      <w:r w:rsidRPr="00046D62">
        <w:rPr>
          <w:rFonts w:eastAsiaTheme="minorEastAsia"/>
          <w:szCs w:val="28"/>
        </w:rPr>
        <w:t xml:space="preserve"> ietvaros, laika posmā no 2008. gada līdz 2016. gadam OIK pieauga no 9,30 EUR/MWh līdz 38,63 EUR/MWh. Saistībā ar ievērojamo OIK pieaugumu, un ņemot vērā vidējās OIK prognozes laika posmā līdz 2025. gadam, </w:t>
      </w:r>
      <w:r>
        <w:rPr>
          <w:rFonts w:eastAsiaTheme="minorEastAsia"/>
          <w:szCs w:val="28"/>
        </w:rPr>
        <w:t>laika posmā no</w:t>
      </w:r>
      <w:r w:rsidRPr="00046D62">
        <w:rPr>
          <w:rFonts w:eastAsiaTheme="minorEastAsia"/>
          <w:szCs w:val="28"/>
        </w:rPr>
        <w:t xml:space="preserve"> 2014. gad</w:t>
      </w:r>
      <w:r>
        <w:rPr>
          <w:rFonts w:eastAsiaTheme="minorEastAsia"/>
          <w:szCs w:val="28"/>
        </w:rPr>
        <w:t>a līdz 2017. gadam</w:t>
      </w:r>
      <w:r>
        <w:rPr>
          <w:rFonts w:eastAsiaTheme="minorEastAsia"/>
          <w:szCs w:val="28"/>
          <w:vertAlign w:val="superscript"/>
        </w:rPr>
        <w:footnoteReference w:id="10"/>
      </w:r>
      <w:r w:rsidRPr="00046D62">
        <w:rPr>
          <w:rFonts w:eastAsiaTheme="minorEastAsia"/>
          <w:szCs w:val="28"/>
        </w:rPr>
        <w:t xml:space="preserve"> OIK elektroenerģijas galalietotājiem tika saglabāta </w:t>
      </w:r>
      <w:r>
        <w:rPr>
          <w:rFonts w:eastAsia="Calibri" w:cs="Times New Roman"/>
          <w:szCs w:val="28"/>
          <w:lang w:eastAsia="lv-LV"/>
        </w:rPr>
        <w:t>26,79 EUR/MWh apmērā.</w:t>
      </w:r>
      <w:r w:rsidRPr="00046D62">
        <w:rPr>
          <w:rFonts w:eastAsia="Times New Roman" w:cs="Times New Roman"/>
          <w:spacing w:val="8"/>
          <w:szCs w:val="26"/>
          <w:lang w:eastAsia="lv-LV"/>
        </w:rPr>
        <w:t xml:space="preserve"> </w:t>
      </w:r>
    </w:p>
    <w:p w14:paraId="3BCD8A15" w14:textId="77777777" w:rsidR="00EE1CF5" w:rsidRPr="00726946" w:rsidRDefault="00EE1CF5" w:rsidP="00EE1CF5">
      <w:pPr>
        <w:spacing w:before="120"/>
        <w:ind w:firstLine="709"/>
        <w:rPr>
          <w:rFonts w:eastAsia="Calibri" w:cs="Times New Roman"/>
          <w:szCs w:val="28"/>
        </w:rPr>
      </w:pPr>
      <w:r w:rsidRPr="00046D62">
        <w:rPr>
          <w:rFonts w:eastAsiaTheme="minorEastAsia"/>
          <w:szCs w:val="28"/>
        </w:rPr>
        <w:t xml:space="preserve">Īstenojot pasākumus elektroenerģijas maksājumu pieauguma risku mazināšanai, kas ir būtiski tautsaimniecības konkurētspējas saglabāšanai un iedzīvotāju maksātspējas saglabāšanai, </w:t>
      </w:r>
      <w:r w:rsidRPr="00046D62">
        <w:rPr>
          <w:rFonts w:eastAsia="Calibri" w:cs="Times New Roman"/>
          <w:szCs w:val="28"/>
        </w:rPr>
        <w:t xml:space="preserve">ar </w:t>
      </w:r>
      <w:r>
        <w:rPr>
          <w:rFonts w:eastAsia="Calibri" w:cs="Times New Roman"/>
          <w:szCs w:val="28"/>
        </w:rPr>
        <w:t>MK rīkojumu Nr. 530</w:t>
      </w:r>
      <w:r>
        <w:rPr>
          <w:rFonts w:eastAsia="Calibri" w:cs="Times New Roman"/>
          <w:szCs w:val="28"/>
          <w:vertAlign w:val="superscript"/>
        </w:rPr>
        <w:footnoteReference w:id="11"/>
      </w:r>
      <w:r>
        <w:rPr>
          <w:rFonts w:eastAsia="Calibri" w:cs="Times New Roman"/>
          <w:szCs w:val="28"/>
        </w:rPr>
        <w:t xml:space="preserve"> </w:t>
      </w:r>
      <w:r w:rsidRPr="00046D62">
        <w:rPr>
          <w:rFonts w:eastAsia="Calibri" w:cs="Times New Roman"/>
          <w:szCs w:val="28"/>
        </w:rPr>
        <w:t>ir pieņemts konceptuāls lēmums par valsts garantētās maksas saistību samazināšanu par koģenerācijas elektrostacijās uzstādīto elektrisko jaudu. Uz tā pamata 2017. gada 3. o</w:t>
      </w:r>
      <w:r>
        <w:rPr>
          <w:rFonts w:eastAsia="Calibri" w:cs="Times New Roman"/>
          <w:szCs w:val="28"/>
        </w:rPr>
        <w:t>ktobrī tika pieņemti grozījumi MK n</w:t>
      </w:r>
      <w:r w:rsidRPr="00046D62">
        <w:rPr>
          <w:rFonts w:eastAsia="Calibri" w:cs="Times New Roman"/>
          <w:szCs w:val="28"/>
        </w:rPr>
        <w:t>oteikumos Nr.221</w:t>
      </w:r>
      <w:r>
        <w:rPr>
          <w:rFonts w:eastAsia="Calibri" w:cs="Times New Roman"/>
          <w:szCs w:val="28"/>
          <w:vertAlign w:val="superscript"/>
        </w:rPr>
        <w:footnoteReference w:id="12"/>
      </w:r>
      <w:r w:rsidRPr="00046D62">
        <w:rPr>
          <w:rFonts w:eastAsia="Calibri" w:cs="Times New Roman"/>
          <w:szCs w:val="28"/>
        </w:rPr>
        <w:t xml:space="preserve">, ar ko tika noteikta kārtība kādā komersanti var pieteikties valsts garantētās maksas saistību samazināšanai par koģenerācijas elektrostacijā uzstādīto elektrisko jaudu, saņemot vienreizēju diskontētu maksājumu. Sekojoši </w:t>
      </w:r>
      <w:r>
        <w:rPr>
          <w:rFonts w:eastAsia="Calibri" w:cs="Times New Roman"/>
          <w:szCs w:val="28"/>
        </w:rPr>
        <w:t>MK</w:t>
      </w:r>
      <w:r w:rsidRPr="00046D62">
        <w:rPr>
          <w:rFonts w:eastAsia="Calibri" w:cs="Times New Roman"/>
          <w:szCs w:val="28"/>
        </w:rPr>
        <w:t xml:space="preserve"> 2017.gada 21.novembrī (ar </w:t>
      </w:r>
      <w:r>
        <w:rPr>
          <w:rFonts w:eastAsia="Calibri" w:cs="Times New Roman"/>
          <w:szCs w:val="28"/>
        </w:rPr>
        <w:t>MK</w:t>
      </w:r>
      <w:r w:rsidRPr="00046D62">
        <w:rPr>
          <w:rFonts w:eastAsia="Calibri" w:cs="Times New Roman"/>
          <w:szCs w:val="28"/>
        </w:rPr>
        <w:t xml:space="preserve"> 2017.gada 21.novembra rīkojumu Nr.685 “Par garantētās maksas par koģenerācijas elektrostacijā uzstādīto elektrisko jaudu saistību samazināšanu akciju sabiedrībai “Latvenergo””</w:t>
      </w:r>
      <w:r>
        <w:rPr>
          <w:rFonts w:eastAsia="Calibri" w:cs="Times New Roman"/>
          <w:szCs w:val="28"/>
          <w:vertAlign w:val="superscript"/>
        </w:rPr>
        <w:footnoteReference w:id="13"/>
      </w:r>
      <w:r w:rsidRPr="00046D62">
        <w:rPr>
          <w:rFonts w:eastAsia="Calibri" w:cs="Times New Roman"/>
          <w:szCs w:val="28"/>
        </w:rPr>
        <w:t xml:space="preserve">) nolēma par 75% samazināt atbalstu AS “Latvenergo” </w:t>
      </w:r>
      <w:r w:rsidRPr="00046D62">
        <w:rPr>
          <w:rFonts w:eastAsia="Times New Roman" w:cs="Times New Roman"/>
          <w:spacing w:val="6"/>
          <w:szCs w:val="28"/>
          <w:lang w:eastAsia="lv-LV"/>
        </w:rPr>
        <w:t>Rīgas TEC-1 un Rīgas TEC-2</w:t>
      </w:r>
      <w:r w:rsidRPr="00046D62">
        <w:rPr>
          <w:rFonts w:eastAsia="Calibri" w:cs="Times New Roman"/>
          <w:szCs w:val="28"/>
        </w:rPr>
        <w:t xml:space="preserve"> stacijām</w:t>
      </w:r>
      <w:r>
        <w:rPr>
          <w:rFonts w:eastAsia="Calibri" w:cs="Times New Roman"/>
          <w:szCs w:val="28"/>
        </w:rPr>
        <w:t xml:space="preserve"> (</w:t>
      </w:r>
      <w:r w:rsidRPr="00234B71">
        <w:rPr>
          <w:rFonts w:eastAsia="Calibri" w:cs="Times New Roman"/>
          <w:szCs w:val="28"/>
        </w:rPr>
        <w:t xml:space="preserve">jau no pirmās </w:t>
      </w:r>
      <w:r>
        <w:rPr>
          <w:rFonts w:eastAsia="Calibri" w:cs="Times New Roman"/>
          <w:szCs w:val="28"/>
        </w:rPr>
        <w:t>dar</w:t>
      </w:r>
      <w:r w:rsidRPr="00234B71">
        <w:rPr>
          <w:rFonts w:eastAsia="Calibri" w:cs="Times New Roman"/>
          <w:szCs w:val="28"/>
        </w:rPr>
        <w:t>ba stundas</w:t>
      </w:r>
      <w:r>
        <w:rPr>
          <w:rFonts w:eastAsia="Calibri" w:cs="Times New Roman"/>
          <w:szCs w:val="28"/>
        </w:rPr>
        <w:t>)</w:t>
      </w:r>
      <w:r w:rsidRPr="00046D62">
        <w:rPr>
          <w:rFonts w:eastAsia="Calibri" w:cs="Times New Roman"/>
          <w:szCs w:val="28"/>
        </w:rPr>
        <w:t xml:space="preserve">, tādējādi nodrošinot OIK izmaksu samazināšanu līdz </w:t>
      </w:r>
      <w:r w:rsidRPr="00046D62">
        <w:rPr>
          <w:rFonts w:eastAsia="Times New Roman" w:cs="Times New Roman"/>
          <w:spacing w:val="8"/>
          <w:szCs w:val="28"/>
          <w:lang w:eastAsia="lv-LV"/>
        </w:rPr>
        <w:t xml:space="preserve">25,79 EUR/MWh </w:t>
      </w:r>
      <w:r w:rsidRPr="00046D62">
        <w:rPr>
          <w:rFonts w:eastAsia="Calibri" w:cs="Times New Roman"/>
          <w:szCs w:val="28"/>
        </w:rPr>
        <w:t>gan uzņēmumiem, gan mājsaimniecībām ar 2018.gada 1.janvāri</w:t>
      </w:r>
      <w:r>
        <w:rPr>
          <w:rFonts w:eastAsia="Calibri" w:cs="Times New Roman"/>
          <w:szCs w:val="28"/>
        </w:rPr>
        <w:t>.</w:t>
      </w:r>
    </w:p>
    <w:p w14:paraId="57372BCF" w14:textId="77777777" w:rsidR="00EE1CF5" w:rsidRPr="00046D62" w:rsidRDefault="00EE1CF5" w:rsidP="00EE1CF5">
      <w:pPr>
        <w:spacing w:before="120"/>
        <w:ind w:firstLine="851"/>
        <w:rPr>
          <w:rFonts w:eastAsiaTheme="minorEastAsia"/>
          <w:szCs w:val="28"/>
        </w:rPr>
      </w:pPr>
      <w:r w:rsidRPr="00046D62">
        <w:rPr>
          <w:rFonts w:eastAsiaTheme="minorEastAsia"/>
          <w:szCs w:val="28"/>
        </w:rPr>
        <w:t>Saskaņā ar ETL 28. un 30. pantu un pārejas noteikumu 53. punktu</w:t>
      </w:r>
      <w:r w:rsidRPr="00046D62">
        <w:rPr>
          <w:rFonts w:eastAsiaTheme="minorEastAsia"/>
          <w:szCs w:val="28"/>
          <w:vertAlign w:val="superscript"/>
        </w:rPr>
        <w:t xml:space="preserve"> </w:t>
      </w:r>
      <w:r w:rsidRPr="00046D62">
        <w:rPr>
          <w:rFonts w:eastAsiaTheme="minorEastAsia"/>
          <w:szCs w:val="28"/>
        </w:rPr>
        <w:t>elektroenerģijas OI</w:t>
      </w:r>
      <w:r>
        <w:rPr>
          <w:rFonts w:eastAsiaTheme="minorEastAsia"/>
          <w:szCs w:val="28"/>
        </w:rPr>
        <w:t xml:space="preserve"> mehānisma</w:t>
      </w:r>
      <w:r w:rsidRPr="00046D62">
        <w:rPr>
          <w:rFonts w:eastAsiaTheme="minorEastAsia"/>
          <w:szCs w:val="28"/>
        </w:rPr>
        <w:t xml:space="preserve"> izmaksas sedz visi Latvijas elektroenerģijas galalietotāji proporcionāli savam elektroenerģijas patēriņam, kompensējot EPT iepirkuma izdevumus. Kompensējamo izmaksu aprēķinā ņem vērā likumā par valsts budžetu kārtējam gadam noteikto valsts budžeta dotāciju OIK apmēra mazināšanai. Savukārt saskaņā ar LR Saeimas 2016. gada 23. novembrī pieņemtajiem grozījumiem</w:t>
      </w:r>
      <w:r w:rsidRPr="00046D62">
        <w:rPr>
          <w:rFonts w:eastAsiaTheme="minorEastAsia"/>
          <w:i/>
          <w:sz w:val="24"/>
        </w:rPr>
        <w:t xml:space="preserve"> </w:t>
      </w:r>
      <w:r w:rsidRPr="00046D62">
        <w:rPr>
          <w:rFonts w:eastAsiaTheme="minorEastAsia"/>
          <w:szCs w:val="28"/>
        </w:rPr>
        <w:t>ETL 28.</w:t>
      </w:r>
      <w:r w:rsidRPr="00046D62">
        <w:rPr>
          <w:rFonts w:eastAsiaTheme="minorEastAsia"/>
          <w:szCs w:val="28"/>
          <w:vertAlign w:val="superscript"/>
        </w:rPr>
        <w:t>1</w:t>
      </w:r>
      <w:r w:rsidRPr="00046D62">
        <w:rPr>
          <w:rFonts w:eastAsiaTheme="minorEastAsia"/>
          <w:szCs w:val="28"/>
        </w:rPr>
        <w:t xml:space="preserve"> pantā, izmaksas, ko veido maksājumi par koģenerācijas stacijā uzstādīto elektrisko jaudu, sedz visi Latvijas elektroenerģijas galalietotāji, un</w:t>
      </w:r>
      <w:r>
        <w:rPr>
          <w:rFonts w:eastAsiaTheme="minorEastAsia"/>
          <w:szCs w:val="28"/>
        </w:rPr>
        <w:t>,</w:t>
      </w:r>
      <w:r w:rsidRPr="00046D62">
        <w:rPr>
          <w:rFonts w:eastAsiaTheme="minorEastAsia"/>
          <w:szCs w:val="28"/>
        </w:rPr>
        <w:t xml:space="preserve"> sākot ar 2018. gada 1. janvāri tās tiek sadalītas pa sprieguma un patēriņa līmeņa grupām proporcionāli ieņēmumu fiksētajai daļai no sistēmas pakalpojumiem, kompensējot EPT iepirkuma izdevumus.</w:t>
      </w:r>
    </w:p>
    <w:p w14:paraId="7A98786A" w14:textId="77777777" w:rsidR="00EE1CF5" w:rsidRPr="00046D62" w:rsidRDefault="00EE1CF5" w:rsidP="00EE1CF5">
      <w:pPr>
        <w:spacing w:before="120"/>
        <w:ind w:firstLine="720"/>
        <w:rPr>
          <w:rFonts w:eastAsiaTheme="minorEastAsia"/>
          <w:iCs/>
          <w:szCs w:val="28"/>
        </w:rPr>
      </w:pPr>
      <w:r w:rsidRPr="00046D62">
        <w:rPr>
          <w:rFonts w:eastAsiaTheme="minorEastAsia"/>
          <w:iCs/>
          <w:szCs w:val="28"/>
        </w:rPr>
        <w:t xml:space="preserve">Ar </w:t>
      </w:r>
      <w:r>
        <w:rPr>
          <w:rFonts w:eastAsiaTheme="minorEastAsia"/>
          <w:iCs/>
          <w:szCs w:val="28"/>
        </w:rPr>
        <w:t>MK</w:t>
      </w:r>
      <w:r w:rsidRPr="00046D62">
        <w:rPr>
          <w:rFonts w:eastAsiaTheme="minorEastAsia"/>
          <w:iCs/>
          <w:szCs w:val="28"/>
        </w:rPr>
        <w:t xml:space="preserve"> 2018.gada 7.maija rīkojumu Nr.202</w:t>
      </w:r>
      <w:r>
        <w:rPr>
          <w:rFonts w:eastAsia="Times New Roman" w:cs="Times New Roman"/>
          <w:szCs w:val="28"/>
          <w:vertAlign w:val="superscript"/>
          <w:lang w:eastAsia="lv-LV"/>
        </w:rPr>
        <w:footnoteReference w:id="14"/>
      </w:r>
      <w:r w:rsidRPr="00046D62">
        <w:rPr>
          <w:rFonts w:eastAsiaTheme="minorEastAsia"/>
          <w:iCs/>
          <w:szCs w:val="28"/>
        </w:rPr>
        <w:t xml:space="preserve"> “Par elektroenerģijas kopējās obligātā iepirkuma un jaudas komponentes samazināšanu” ir atbalstīta elektroenerģijas kopējās obligātā iepirkuma un jaudas komponentes vidējās vērtības samazināšana no </w:t>
      </w:r>
      <w:r w:rsidRPr="00347EA2">
        <w:rPr>
          <w:rFonts w:eastAsiaTheme="minorEastAsia"/>
          <w:iCs/>
          <w:szCs w:val="28"/>
        </w:rPr>
        <w:t>25,79 EUR/MWh līdz 22,68 EUR/MWh,</w:t>
      </w:r>
      <w:r w:rsidRPr="00046D62">
        <w:rPr>
          <w:rFonts w:eastAsiaTheme="minorEastAsia"/>
          <w:iCs/>
          <w:szCs w:val="28"/>
        </w:rPr>
        <w:t xml:space="preserve"> sākot ar 2018.gada 1.jūliju, paredzot likumā </w:t>
      </w:r>
      <w:r w:rsidRPr="00046D62">
        <w:rPr>
          <w:rFonts w:eastAsiaTheme="minorEastAsia"/>
          <w:iCs/>
          <w:szCs w:val="28"/>
        </w:rPr>
        <w:lastRenderedPageBreak/>
        <w:t>“Par vidēja termiņa budžeta ietvaru 2018., 2019. un 2020.gadam” noteiktajam finansējumam, papildu izdevumu iekļaušanu OIK vidējā līmeņa ierobežošanai.</w:t>
      </w:r>
    </w:p>
    <w:p w14:paraId="46508101" w14:textId="77777777" w:rsidR="00EE1CF5" w:rsidRPr="00046D62" w:rsidRDefault="00EE1CF5" w:rsidP="00EE1CF5">
      <w:pPr>
        <w:spacing w:before="120"/>
        <w:ind w:firstLine="720"/>
        <w:rPr>
          <w:rFonts w:eastAsiaTheme="minorEastAsia"/>
          <w:iCs/>
          <w:szCs w:val="28"/>
        </w:rPr>
      </w:pPr>
      <w:r>
        <w:rPr>
          <w:rFonts w:eastAsiaTheme="minorEastAsia"/>
          <w:szCs w:val="28"/>
        </w:rPr>
        <w:t>Saskaņā ar EM</w:t>
      </w:r>
      <w:r w:rsidRPr="00046D62">
        <w:rPr>
          <w:rFonts w:eastAsiaTheme="minorEastAsia"/>
          <w:szCs w:val="28"/>
        </w:rPr>
        <w:t xml:space="preserve"> </w:t>
      </w:r>
      <w:r w:rsidRPr="00121A75">
        <w:rPr>
          <w:rFonts w:eastAsiaTheme="minorEastAsia"/>
          <w:szCs w:val="28"/>
        </w:rPr>
        <w:t>aplēs</w:t>
      </w:r>
      <w:r>
        <w:rPr>
          <w:rFonts w:eastAsiaTheme="minorEastAsia"/>
          <w:szCs w:val="28"/>
        </w:rPr>
        <w:t>ēm</w:t>
      </w:r>
      <w:r w:rsidRPr="00121A75">
        <w:rPr>
          <w:rFonts w:eastAsiaTheme="minorEastAsia"/>
          <w:szCs w:val="28"/>
        </w:rPr>
        <w:t xml:space="preserve"> 4.</w:t>
      </w:r>
      <w:r w:rsidRPr="00121A75">
        <w:rPr>
          <w:rFonts w:eastAsiaTheme="minorEastAsia"/>
          <w:iCs/>
          <w:szCs w:val="28"/>
        </w:rPr>
        <w:t>tabul</w:t>
      </w:r>
      <w:r>
        <w:rPr>
          <w:rFonts w:eastAsiaTheme="minorEastAsia"/>
          <w:szCs w:val="28"/>
        </w:rPr>
        <w:t>ā ir atspoguļota informācija</w:t>
      </w:r>
      <w:r w:rsidRPr="00121A75">
        <w:rPr>
          <w:rFonts w:eastAsiaTheme="minorEastAsia"/>
          <w:szCs w:val="28"/>
        </w:rPr>
        <w:t xml:space="preserve"> par</w:t>
      </w:r>
      <w:r w:rsidRPr="00046D62">
        <w:rPr>
          <w:rFonts w:eastAsiaTheme="minorEastAsia"/>
          <w:szCs w:val="28"/>
        </w:rPr>
        <w:t xml:space="preserve"> nepieciešamās valsts budžeta dotācijas apmēru</w:t>
      </w:r>
      <w:r>
        <w:rPr>
          <w:rFonts w:eastAsiaTheme="minorEastAsia"/>
          <w:szCs w:val="28"/>
        </w:rPr>
        <w:t xml:space="preserve"> OIK vidējās vērtības ierobežošanai 22,68 EUR/MWh apmērā vidēja termiņa valsts budžetā.</w:t>
      </w:r>
      <w:r w:rsidRPr="00046D62">
        <w:rPr>
          <w:rFonts w:eastAsiaTheme="minorEastAsia"/>
          <w:iCs/>
          <w:szCs w:val="28"/>
        </w:rPr>
        <w:t xml:space="preserve"> </w:t>
      </w:r>
      <w:r>
        <w:rPr>
          <w:rFonts w:eastAsiaTheme="minorEastAsia"/>
          <w:iCs/>
          <w:szCs w:val="28"/>
        </w:rPr>
        <w:t>Turklāt, 2019. gada izdevumos ir iekļauta tā OI mehānisma izmaksu daļa (9,5 milj. EUR), kas EPT nav kompensēta 2018. gadā.</w:t>
      </w:r>
    </w:p>
    <w:p w14:paraId="1971DF01" w14:textId="77777777" w:rsidR="00EE1CF5" w:rsidRPr="00121A75" w:rsidRDefault="00EE1CF5" w:rsidP="00EE1CF5">
      <w:pPr>
        <w:spacing w:before="120" w:after="60" w:line="360" w:lineRule="auto"/>
        <w:ind w:firstLine="720"/>
        <w:jc w:val="right"/>
        <w:rPr>
          <w:rFonts w:eastAsiaTheme="minorEastAsia"/>
          <w:i/>
          <w:sz w:val="24"/>
          <w:szCs w:val="24"/>
        </w:rPr>
      </w:pPr>
      <w:r>
        <w:rPr>
          <w:rFonts w:eastAsiaTheme="minorEastAsia"/>
          <w:i/>
          <w:sz w:val="24"/>
          <w:szCs w:val="24"/>
        </w:rPr>
        <w:t>4.</w:t>
      </w:r>
      <w:r w:rsidRPr="00121A75">
        <w:rPr>
          <w:rFonts w:eastAsiaTheme="minorEastAsia"/>
          <w:i/>
          <w:sz w:val="24"/>
          <w:szCs w:val="24"/>
        </w:rPr>
        <w:t>tabula</w:t>
      </w:r>
    </w:p>
    <w:p w14:paraId="4084E275" w14:textId="77777777" w:rsidR="00EE1CF5" w:rsidRPr="00046D62" w:rsidRDefault="00EE1CF5" w:rsidP="00EE1CF5">
      <w:pPr>
        <w:spacing w:after="60"/>
        <w:jc w:val="center"/>
        <w:rPr>
          <w:rFonts w:eastAsia="Times New Roman" w:cs="Times New Roman"/>
          <w:b/>
          <w:bCs/>
          <w:color w:val="000000"/>
          <w:sz w:val="24"/>
          <w:szCs w:val="24"/>
        </w:rPr>
      </w:pPr>
      <w:r w:rsidRPr="00046D62">
        <w:rPr>
          <w:rFonts w:eastAsia="Times New Roman" w:cs="Times New Roman"/>
          <w:b/>
          <w:bCs/>
          <w:color w:val="000000"/>
          <w:sz w:val="24"/>
          <w:szCs w:val="24"/>
        </w:rPr>
        <w:t xml:space="preserve">Valsts budžeta finansējuma </w:t>
      </w:r>
      <w:r>
        <w:rPr>
          <w:rFonts w:eastAsia="Times New Roman" w:cs="Times New Roman"/>
          <w:b/>
          <w:bCs/>
          <w:color w:val="000000"/>
          <w:sz w:val="24"/>
          <w:szCs w:val="24"/>
        </w:rPr>
        <w:t>apjoms OIK vidējās vērtības ierobežošanai (</w:t>
      </w:r>
      <w:r w:rsidRPr="00046D62">
        <w:rPr>
          <w:rFonts w:eastAsia="Times New Roman" w:cs="Times New Roman"/>
          <w:b/>
          <w:bCs/>
          <w:color w:val="000000"/>
          <w:sz w:val="24"/>
          <w:szCs w:val="24"/>
        </w:rPr>
        <w:t>2</w:t>
      </w:r>
      <w:r>
        <w:rPr>
          <w:rFonts w:eastAsia="Times New Roman" w:cs="Times New Roman"/>
          <w:b/>
          <w:bCs/>
          <w:color w:val="000000"/>
          <w:sz w:val="24"/>
          <w:szCs w:val="24"/>
        </w:rPr>
        <w:t>2</w:t>
      </w:r>
      <w:r w:rsidRPr="00046D62">
        <w:rPr>
          <w:rFonts w:eastAsia="Times New Roman" w:cs="Times New Roman"/>
          <w:b/>
          <w:bCs/>
          <w:color w:val="000000"/>
          <w:sz w:val="24"/>
          <w:szCs w:val="24"/>
        </w:rPr>
        <w:t>,</w:t>
      </w:r>
      <w:r>
        <w:rPr>
          <w:rFonts w:eastAsia="Times New Roman" w:cs="Times New Roman"/>
          <w:b/>
          <w:bCs/>
          <w:color w:val="000000"/>
          <w:sz w:val="24"/>
          <w:szCs w:val="24"/>
        </w:rPr>
        <w:t>68</w:t>
      </w:r>
      <w:r w:rsidRPr="00046D62">
        <w:rPr>
          <w:rFonts w:eastAsia="Times New Roman" w:cs="Times New Roman"/>
          <w:b/>
          <w:bCs/>
          <w:color w:val="000000"/>
          <w:sz w:val="24"/>
          <w:szCs w:val="24"/>
        </w:rPr>
        <w:t> EUR/MWh līmenī</w:t>
      </w:r>
      <w:r>
        <w:rPr>
          <w:rFonts w:eastAsia="Times New Roman" w:cs="Times New Roman"/>
          <w:b/>
          <w:bCs/>
          <w:color w:val="000000"/>
          <w:sz w:val="24"/>
          <w:szCs w:val="24"/>
        </w:rPr>
        <w:t xml:space="preserve"> ar 2018. gada 1.jūliju</w:t>
      </w:r>
      <w:r>
        <w:rPr>
          <w:rStyle w:val="FootnoteReference"/>
          <w:rFonts w:eastAsia="Times New Roman" w:cs="Times New Roman"/>
          <w:b/>
          <w:bCs/>
          <w:color w:val="000000"/>
          <w:sz w:val="24"/>
          <w:szCs w:val="24"/>
        </w:rPr>
        <w:footnoteReference w:id="15"/>
      </w:r>
      <w:r>
        <w:rPr>
          <w:rFonts w:eastAsia="Times New Roman" w:cs="Times New Roman"/>
          <w:b/>
          <w:bCs/>
          <w:color w:val="000000"/>
          <w:sz w:val="24"/>
          <w:szCs w:val="24"/>
        </w:rPr>
        <w:t>)</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256"/>
        <w:gridCol w:w="1275"/>
        <w:gridCol w:w="1276"/>
        <w:gridCol w:w="1276"/>
      </w:tblGrid>
      <w:tr w:rsidR="00EE1CF5" w14:paraId="11A1E62F" w14:textId="77777777" w:rsidTr="00263AB1">
        <w:trPr>
          <w:trHeight w:val="333"/>
          <w:jc w:val="center"/>
        </w:trPr>
        <w:tc>
          <w:tcPr>
            <w:tcW w:w="3256" w:type="dxa"/>
            <w:shd w:val="clear" w:color="auto" w:fill="auto"/>
            <w:hideMark/>
          </w:tcPr>
          <w:p w14:paraId="44F08C14" w14:textId="77777777" w:rsidR="00EE1CF5" w:rsidRPr="00046D62" w:rsidRDefault="00EE1CF5" w:rsidP="00263AB1">
            <w:pPr>
              <w:jc w:val="center"/>
              <w:rPr>
                <w:rFonts w:eastAsia="Times New Roman" w:cs="Times New Roman"/>
                <w:color w:val="000000"/>
                <w:sz w:val="24"/>
                <w:szCs w:val="28"/>
                <w:lang w:eastAsia="lv-LV"/>
              </w:rPr>
            </w:pPr>
          </w:p>
        </w:tc>
        <w:tc>
          <w:tcPr>
            <w:tcW w:w="1275" w:type="dxa"/>
            <w:tcBorders>
              <w:bottom w:val="single" w:sz="4" w:space="0" w:color="auto"/>
            </w:tcBorders>
            <w:vAlign w:val="center"/>
          </w:tcPr>
          <w:p w14:paraId="5B3AB27B" w14:textId="77777777" w:rsidR="00EE1CF5" w:rsidRPr="00046D62" w:rsidRDefault="00EE1CF5" w:rsidP="00263AB1">
            <w:pPr>
              <w:jc w:val="center"/>
              <w:rPr>
                <w:rFonts w:eastAsia="Times New Roman" w:cs="Times New Roman"/>
                <w:color w:val="000000"/>
                <w:sz w:val="24"/>
                <w:szCs w:val="28"/>
                <w:lang w:eastAsia="lv-LV"/>
              </w:rPr>
            </w:pPr>
            <w:r w:rsidRPr="00046D62">
              <w:rPr>
                <w:rFonts w:eastAsia="Times New Roman" w:cs="Times New Roman"/>
                <w:color w:val="000000"/>
                <w:sz w:val="24"/>
                <w:szCs w:val="28"/>
                <w:lang w:eastAsia="lv-LV"/>
              </w:rPr>
              <w:t>2019</w:t>
            </w:r>
          </w:p>
        </w:tc>
        <w:tc>
          <w:tcPr>
            <w:tcW w:w="1276" w:type="dxa"/>
            <w:tcBorders>
              <w:bottom w:val="single" w:sz="4" w:space="0" w:color="auto"/>
            </w:tcBorders>
          </w:tcPr>
          <w:p w14:paraId="75DE0301" w14:textId="77777777" w:rsidR="00EE1CF5" w:rsidRPr="00046D62" w:rsidRDefault="00EE1CF5" w:rsidP="00263AB1">
            <w:pPr>
              <w:jc w:val="center"/>
              <w:rPr>
                <w:rFonts w:eastAsia="Times New Roman" w:cs="Times New Roman"/>
                <w:color w:val="000000"/>
                <w:sz w:val="24"/>
                <w:szCs w:val="28"/>
                <w:lang w:eastAsia="lv-LV"/>
              </w:rPr>
            </w:pPr>
            <w:r w:rsidRPr="00046D62">
              <w:rPr>
                <w:rFonts w:eastAsia="Times New Roman" w:cs="Times New Roman"/>
                <w:color w:val="000000"/>
                <w:sz w:val="24"/>
                <w:szCs w:val="28"/>
                <w:lang w:eastAsia="lv-LV"/>
              </w:rPr>
              <w:t>2020</w:t>
            </w:r>
          </w:p>
        </w:tc>
        <w:tc>
          <w:tcPr>
            <w:tcW w:w="1276" w:type="dxa"/>
            <w:tcBorders>
              <w:bottom w:val="single" w:sz="4" w:space="0" w:color="auto"/>
            </w:tcBorders>
          </w:tcPr>
          <w:p w14:paraId="612633E6" w14:textId="77777777" w:rsidR="00EE1CF5" w:rsidRPr="00046D62" w:rsidRDefault="00EE1CF5" w:rsidP="00263AB1">
            <w:pPr>
              <w:jc w:val="center"/>
              <w:rPr>
                <w:rFonts w:eastAsia="Times New Roman" w:cs="Times New Roman"/>
                <w:color w:val="000000"/>
                <w:sz w:val="24"/>
                <w:szCs w:val="28"/>
                <w:lang w:eastAsia="lv-LV"/>
              </w:rPr>
            </w:pPr>
            <w:r w:rsidRPr="00046D62">
              <w:rPr>
                <w:rFonts w:eastAsia="Times New Roman" w:cs="Times New Roman"/>
                <w:color w:val="000000"/>
                <w:sz w:val="24"/>
                <w:szCs w:val="28"/>
                <w:lang w:eastAsia="lv-LV"/>
              </w:rPr>
              <w:t>2021</w:t>
            </w:r>
          </w:p>
        </w:tc>
      </w:tr>
      <w:tr w:rsidR="00EE1CF5" w14:paraId="4E418D4B" w14:textId="77777777" w:rsidTr="00263AB1">
        <w:trPr>
          <w:trHeight w:val="271"/>
          <w:jc w:val="center"/>
        </w:trPr>
        <w:tc>
          <w:tcPr>
            <w:tcW w:w="3256" w:type="dxa"/>
            <w:shd w:val="clear" w:color="auto" w:fill="auto"/>
            <w:vAlign w:val="center"/>
          </w:tcPr>
          <w:p w14:paraId="0B085492" w14:textId="77777777" w:rsidR="00EE1CF5" w:rsidRPr="00046D62" w:rsidRDefault="00EE1CF5" w:rsidP="00263AB1">
            <w:pPr>
              <w:jc w:val="center"/>
              <w:rPr>
                <w:rFonts w:eastAsia="Times New Roman" w:cs="Times New Roman"/>
                <w:color w:val="000000"/>
                <w:sz w:val="24"/>
                <w:szCs w:val="28"/>
                <w:lang w:eastAsia="lv-LV"/>
              </w:rPr>
            </w:pPr>
            <w:r w:rsidRPr="00046D62">
              <w:rPr>
                <w:rFonts w:eastAsia="Times New Roman" w:cs="Times New Roman"/>
                <w:color w:val="000000"/>
                <w:sz w:val="24"/>
                <w:szCs w:val="28"/>
                <w:lang w:eastAsia="lv-LV"/>
              </w:rPr>
              <w:t xml:space="preserve">2017.g prognoze, </w:t>
            </w:r>
            <w:r w:rsidRPr="00046D62">
              <w:rPr>
                <w:rFonts w:eastAsiaTheme="minorEastAsia"/>
                <w:sz w:val="24"/>
              </w:rPr>
              <w:t>milj. EUR</w:t>
            </w:r>
          </w:p>
        </w:tc>
        <w:tc>
          <w:tcPr>
            <w:tcW w:w="1275" w:type="dxa"/>
            <w:shd w:val="clear" w:color="auto" w:fill="auto"/>
          </w:tcPr>
          <w:p w14:paraId="59A1210E" w14:textId="77777777" w:rsidR="00EE1CF5" w:rsidRPr="00046D62" w:rsidRDefault="00EE1CF5" w:rsidP="00263AB1">
            <w:pPr>
              <w:jc w:val="center"/>
              <w:rPr>
                <w:rFonts w:eastAsiaTheme="minorEastAsia"/>
                <w:sz w:val="24"/>
              </w:rPr>
            </w:pPr>
            <w:r>
              <w:rPr>
                <w:rFonts w:eastAsiaTheme="minorEastAsia"/>
                <w:sz w:val="24"/>
              </w:rPr>
              <w:t>9,085</w:t>
            </w:r>
          </w:p>
        </w:tc>
        <w:tc>
          <w:tcPr>
            <w:tcW w:w="1276" w:type="dxa"/>
            <w:shd w:val="clear" w:color="auto" w:fill="auto"/>
          </w:tcPr>
          <w:p w14:paraId="157E02E2" w14:textId="77777777" w:rsidR="00EE1CF5" w:rsidRPr="00046D62" w:rsidRDefault="00EE1CF5" w:rsidP="00263AB1">
            <w:pPr>
              <w:jc w:val="center"/>
              <w:rPr>
                <w:rFonts w:eastAsiaTheme="minorEastAsia"/>
                <w:sz w:val="24"/>
              </w:rPr>
            </w:pPr>
            <w:r w:rsidRPr="00677A96">
              <w:rPr>
                <w:rFonts w:eastAsiaTheme="minorEastAsia"/>
                <w:sz w:val="24"/>
              </w:rPr>
              <w:t>9</w:t>
            </w:r>
            <w:r>
              <w:rPr>
                <w:rFonts w:eastAsiaTheme="minorEastAsia"/>
                <w:sz w:val="24"/>
              </w:rPr>
              <w:t>,683</w:t>
            </w:r>
          </w:p>
        </w:tc>
        <w:tc>
          <w:tcPr>
            <w:tcW w:w="1276" w:type="dxa"/>
          </w:tcPr>
          <w:p w14:paraId="1E41680D" w14:textId="77777777" w:rsidR="00EE1CF5" w:rsidRPr="00046D62" w:rsidRDefault="00EE1CF5" w:rsidP="00263AB1">
            <w:pPr>
              <w:jc w:val="center"/>
              <w:rPr>
                <w:rFonts w:eastAsiaTheme="minorEastAsia"/>
                <w:sz w:val="24"/>
              </w:rPr>
            </w:pPr>
            <w:r w:rsidRPr="00046D62">
              <w:rPr>
                <w:rFonts w:eastAsiaTheme="minorEastAsia"/>
                <w:sz w:val="24"/>
              </w:rPr>
              <w:t>NA</w:t>
            </w:r>
          </w:p>
        </w:tc>
      </w:tr>
      <w:tr w:rsidR="00EE1CF5" w14:paraId="144CE465" w14:textId="77777777" w:rsidTr="00263AB1">
        <w:trPr>
          <w:trHeight w:val="271"/>
          <w:jc w:val="center"/>
        </w:trPr>
        <w:tc>
          <w:tcPr>
            <w:tcW w:w="3256" w:type="dxa"/>
            <w:shd w:val="clear" w:color="auto" w:fill="auto"/>
            <w:vAlign w:val="center"/>
          </w:tcPr>
          <w:p w14:paraId="43D65687" w14:textId="77777777" w:rsidR="00EE1CF5" w:rsidRPr="00046D62" w:rsidRDefault="00EE1CF5" w:rsidP="00263AB1">
            <w:pPr>
              <w:jc w:val="center"/>
              <w:rPr>
                <w:rFonts w:eastAsia="Times New Roman" w:cs="Times New Roman"/>
                <w:color w:val="000000"/>
                <w:sz w:val="24"/>
                <w:szCs w:val="28"/>
                <w:lang w:eastAsia="lv-LV"/>
              </w:rPr>
            </w:pPr>
            <w:r w:rsidRPr="00046D62">
              <w:rPr>
                <w:rFonts w:eastAsia="Times New Roman" w:cs="Times New Roman"/>
                <w:color w:val="000000"/>
                <w:sz w:val="24"/>
                <w:szCs w:val="28"/>
                <w:lang w:eastAsia="lv-LV"/>
              </w:rPr>
              <w:t xml:space="preserve">2018.g prognoze, </w:t>
            </w:r>
            <w:r w:rsidRPr="00046D62">
              <w:rPr>
                <w:rFonts w:eastAsiaTheme="minorEastAsia"/>
                <w:sz w:val="24"/>
              </w:rPr>
              <w:t>milj. EUR</w:t>
            </w:r>
          </w:p>
        </w:tc>
        <w:tc>
          <w:tcPr>
            <w:tcW w:w="1275" w:type="dxa"/>
            <w:shd w:val="clear" w:color="auto" w:fill="auto"/>
            <w:vAlign w:val="center"/>
          </w:tcPr>
          <w:p w14:paraId="10C2628C" w14:textId="77777777" w:rsidR="00EE1CF5" w:rsidRPr="001256A0" w:rsidRDefault="00EE1CF5" w:rsidP="00263AB1">
            <w:pPr>
              <w:jc w:val="center"/>
              <w:rPr>
                <w:rFonts w:eastAsiaTheme="minorEastAsia"/>
                <w:sz w:val="24"/>
              </w:rPr>
            </w:pPr>
            <w:r w:rsidRPr="001256A0">
              <w:rPr>
                <w:rFonts w:eastAsiaTheme="minorEastAsia"/>
                <w:sz w:val="24"/>
              </w:rPr>
              <w:t>17,662</w:t>
            </w:r>
          </w:p>
        </w:tc>
        <w:tc>
          <w:tcPr>
            <w:tcW w:w="1276" w:type="dxa"/>
            <w:shd w:val="clear" w:color="auto" w:fill="auto"/>
            <w:vAlign w:val="center"/>
          </w:tcPr>
          <w:p w14:paraId="0C4B3EBF" w14:textId="77777777" w:rsidR="00EE1CF5" w:rsidRPr="001256A0" w:rsidRDefault="00EE1CF5" w:rsidP="00263AB1">
            <w:pPr>
              <w:jc w:val="center"/>
              <w:rPr>
                <w:rFonts w:eastAsiaTheme="minorEastAsia"/>
                <w:sz w:val="24"/>
              </w:rPr>
            </w:pPr>
            <w:r w:rsidRPr="001256A0">
              <w:rPr>
                <w:rFonts w:eastAsiaTheme="minorEastAsia"/>
                <w:sz w:val="24"/>
              </w:rPr>
              <w:t>24,663</w:t>
            </w:r>
          </w:p>
        </w:tc>
        <w:tc>
          <w:tcPr>
            <w:tcW w:w="1276" w:type="dxa"/>
            <w:vAlign w:val="center"/>
          </w:tcPr>
          <w:p w14:paraId="3DB2ED78" w14:textId="77777777" w:rsidR="00EE1CF5" w:rsidRPr="001256A0" w:rsidRDefault="00EE1CF5" w:rsidP="00263AB1">
            <w:pPr>
              <w:jc w:val="center"/>
              <w:rPr>
                <w:rFonts w:eastAsiaTheme="minorEastAsia"/>
                <w:sz w:val="24"/>
              </w:rPr>
            </w:pPr>
            <w:r w:rsidRPr="001256A0">
              <w:rPr>
                <w:rFonts w:eastAsiaTheme="minorEastAsia"/>
                <w:sz w:val="24"/>
              </w:rPr>
              <w:t>23,963</w:t>
            </w:r>
          </w:p>
        </w:tc>
      </w:tr>
    </w:tbl>
    <w:p w14:paraId="64E2BB53" w14:textId="77777777" w:rsidR="00EE1CF5" w:rsidRDefault="00EE1CF5" w:rsidP="00EE1CF5"/>
    <w:p w14:paraId="693947AD" w14:textId="77777777" w:rsidR="00EE1CF5" w:rsidRDefault="00EE1CF5" w:rsidP="00EE1CF5">
      <w:pPr>
        <w:spacing w:before="120" w:after="120"/>
        <w:ind w:firstLine="851"/>
        <w:rPr>
          <w:rFonts w:eastAsiaTheme="minorEastAsia"/>
          <w:szCs w:val="28"/>
        </w:rPr>
      </w:pPr>
      <w:r>
        <w:rPr>
          <w:rFonts w:eastAsiaTheme="minorEastAsia"/>
          <w:szCs w:val="28"/>
        </w:rPr>
        <w:t xml:space="preserve">Šajās aplēsēs ir ņemti vērā visi līdz šim īstenotie pasākumi OIK vidējās vērtības mazināšanai, t.sk. 2017. gadā pieņemtais lēmums par valsts saistību samazināšanu pret </w:t>
      </w:r>
      <w:r w:rsidRPr="00485CEF">
        <w:rPr>
          <w:rFonts w:eastAsiaTheme="minorEastAsia"/>
          <w:szCs w:val="26"/>
        </w:rPr>
        <w:t xml:space="preserve">AS “Latvenergo”, kā arī šobrīd </w:t>
      </w:r>
      <w:r>
        <w:rPr>
          <w:szCs w:val="26"/>
        </w:rPr>
        <w:t>MK 2009.gada 10.m</w:t>
      </w:r>
      <w:r w:rsidRPr="00485CEF">
        <w:rPr>
          <w:szCs w:val="26"/>
        </w:rPr>
        <w:t xml:space="preserve">arta noteikumos Nr. 221 “Noteikumi par elektroenerģijas ražošanu un cenu noteikšanu, ražojot elektroenerģiju koģenerācijā” (turpmāk - </w:t>
      </w:r>
      <w:r w:rsidRPr="00485CEF">
        <w:rPr>
          <w:rFonts w:eastAsiaTheme="minorEastAsia"/>
          <w:szCs w:val="26"/>
        </w:rPr>
        <w:t xml:space="preserve">MK noteikumi </w:t>
      </w:r>
      <w:r>
        <w:rPr>
          <w:rFonts w:eastAsiaTheme="minorEastAsia"/>
          <w:szCs w:val="26"/>
        </w:rPr>
        <w:t>Nr.</w:t>
      </w:r>
      <w:r w:rsidRPr="00485CEF">
        <w:rPr>
          <w:rFonts w:eastAsiaTheme="minorEastAsia"/>
          <w:szCs w:val="26"/>
        </w:rPr>
        <w:t xml:space="preserve">221) un </w:t>
      </w:r>
      <w:r>
        <w:rPr>
          <w:rFonts w:eastAsiaTheme="minorEastAsia"/>
          <w:szCs w:val="26"/>
        </w:rPr>
        <w:t>MK 2010.gada 16.marta noteikumos Nr.262 “</w:t>
      </w:r>
      <w:r w:rsidRPr="00485CEF">
        <w:rPr>
          <w:rFonts w:eastAsiaTheme="minorEastAsia"/>
          <w:szCs w:val="26"/>
        </w:rPr>
        <w:t>Noteikumi par elektroenerģijas ražošanu, izmantojot atjaunojamos energoresursus, un cenu noteikšanas kārtību</w:t>
      </w:r>
      <w:r>
        <w:rPr>
          <w:rFonts w:eastAsiaTheme="minorEastAsia"/>
          <w:szCs w:val="26"/>
        </w:rPr>
        <w:t xml:space="preserve">” </w:t>
      </w:r>
      <w:r w:rsidRPr="00485CEF">
        <w:rPr>
          <w:rFonts w:eastAsiaTheme="minorEastAsia"/>
          <w:szCs w:val="26"/>
        </w:rPr>
        <w:t>(turpmāk - MK noteikumi</w:t>
      </w:r>
      <w:r>
        <w:rPr>
          <w:rFonts w:eastAsiaTheme="minorEastAsia"/>
          <w:szCs w:val="26"/>
        </w:rPr>
        <w:t xml:space="preserve"> Nr.</w:t>
      </w:r>
      <w:r w:rsidRPr="00485CEF">
        <w:rPr>
          <w:rFonts w:eastAsiaTheme="minorEastAsia"/>
          <w:szCs w:val="26"/>
        </w:rPr>
        <w:t>262) spēkā</w:t>
      </w:r>
      <w:r>
        <w:rPr>
          <w:rFonts w:eastAsiaTheme="minorEastAsia"/>
          <w:szCs w:val="28"/>
        </w:rPr>
        <w:t xml:space="preserve"> esošās tiesību normas OI mehānismā strādājošo saņemošo elektrostaciju pārkompensācijas novēršanai</w:t>
      </w:r>
      <w:r w:rsidRPr="00046D62">
        <w:rPr>
          <w:rFonts w:eastAsiaTheme="minorEastAsia"/>
          <w:szCs w:val="28"/>
        </w:rPr>
        <w:t>, izmantojot IRR aprēķinu un nosakot, ka projektu IRR atbalst</w:t>
      </w:r>
      <w:r>
        <w:rPr>
          <w:rFonts w:eastAsiaTheme="minorEastAsia"/>
          <w:szCs w:val="28"/>
        </w:rPr>
        <w:t xml:space="preserve">a perioda beigās nepārsniedz 9%, kas cita starpā ir saskaņots ar EK tās </w:t>
      </w:r>
      <w:r w:rsidRPr="00046D62">
        <w:rPr>
          <w:rFonts w:eastAsiaTheme="minorEastAsia"/>
          <w:szCs w:val="28"/>
        </w:rPr>
        <w:t xml:space="preserve">2017. gada 24. aprīlī </w:t>
      </w:r>
      <w:r>
        <w:rPr>
          <w:rFonts w:eastAsiaTheme="minorEastAsia"/>
          <w:szCs w:val="28"/>
        </w:rPr>
        <w:t>pieņemtā</w:t>
      </w:r>
      <w:r w:rsidRPr="00046D62">
        <w:rPr>
          <w:rFonts w:eastAsiaTheme="minorEastAsia"/>
          <w:szCs w:val="28"/>
        </w:rPr>
        <w:t xml:space="preserve"> </w:t>
      </w:r>
      <w:r>
        <w:rPr>
          <w:rFonts w:eastAsiaTheme="minorEastAsia"/>
          <w:szCs w:val="28"/>
        </w:rPr>
        <w:t>lēmumu valsts atbalsta lietas</w:t>
      </w:r>
      <w:r w:rsidRPr="00046D62">
        <w:rPr>
          <w:rFonts w:eastAsiaTheme="minorEastAsia"/>
          <w:szCs w:val="28"/>
        </w:rPr>
        <w:t xml:space="preserve"> SA.43140 (2015/NN)</w:t>
      </w:r>
      <w:r>
        <w:rPr>
          <w:rFonts w:eastAsiaTheme="minorEastAsia"/>
          <w:szCs w:val="28"/>
        </w:rPr>
        <w:t xml:space="preserve"> </w:t>
      </w:r>
      <w:r w:rsidRPr="00046D62">
        <w:rPr>
          <w:rFonts w:eastAsiaTheme="minorEastAsia"/>
          <w:i/>
        </w:rPr>
        <w:t>„</w:t>
      </w:r>
      <w:r w:rsidRPr="00046D62">
        <w:rPr>
          <w:rFonts w:eastAsiaTheme="minorEastAsia"/>
          <w:i/>
          <w:szCs w:val="28"/>
        </w:rPr>
        <w:t>Atbalsts elektroenerģijas ražotājiem”</w:t>
      </w:r>
      <w:r>
        <w:rPr>
          <w:rFonts w:eastAsiaTheme="minorEastAsia"/>
          <w:i/>
          <w:szCs w:val="28"/>
        </w:rPr>
        <w:t xml:space="preserve"> </w:t>
      </w:r>
      <w:r>
        <w:rPr>
          <w:rFonts w:eastAsiaTheme="minorEastAsia"/>
          <w:szCs w:val="28"/>
        </w:rPr>
        <w:t>ietvaros</w:t>
      </w:r>
      <w:r>
        <w:rPr>
          <w:rStyle w:val="FootnoteReference"/>
          <w:rFonts w:eastAsiaTheme="minorEastAsia"/>
          <w:szCs w:val="28"/>
        </w:rPr>
        <w:footnoteReference w:id="16"/>
      </w:r>
      <w:r w:rsidRPr="00046D62">
        <w:rPr>
          <w:rFonts w:eastAsiaTheme="minorEastAsia"/>
          <w:szCs w:val="28"/>
        </w:rPr>
        <w:t>, atzīstot Latvijā piešķirto atbalstu elektroenerģijas ražotājiem par atbilstošu ES iekšējā tirgus nosacījumiem.</w:t>
      </w:r>
    </w:p>
    <w:p w14:paraId="557FA099" w14:textId="77777777" w:rsidR="00EE1CF5" w:rsidRDefault="00EE1CF5" w:rsidP="00EE1CF5">
      <w:pPr>
        <w:spacing w:before="120" w:after="120"/>
        <w:ind w:firstLine="851"/>
      </w:pPr>
      <w:r>
        <w:rPr>
          <w:rFonts w:eastAsiaTheme="minorEastAsia"/>
          <w:szCs w:val="28"/>
        </w:rPr>
        <w:t>Ņemot vērā OI mehānisma izmaksu pieauguma ierobežošanas centienus, 2016. gada 22. jūnijā stājās spēkā grozījumi ETL, ar ko tika svītrotas normas attiecībā uz OI tiesību piešķiršanu elektroenerģijas ražotājiem.  Līdz ar to, tika veikti attiecīgi grozījumi Ministru kabineta 2009. gada 10. marta noteikumos Nr. 221 “N</w:t>
      </w:r>
      <w:r>
        <w:t>oteikumi par elektroenerģijas ražošanu un cenu noteikšanu, ražojot elektroenerģiju koģenerācijā” un Ministru kabineta 2010. gada 16. marta noteikumos Nr. 262 “</w:t>
      </w:r>
      <w:hyperlink r:id="rId24" w:tgtFrame="_blank" w:history="1">
        <w:r w:rsidRPr="003B7CFA">
          <w:rPr>
            <w:rStyle w:val="Hyperlink"/>
            <w:color w:val="auto"/>
            <w:u w:val="none"/>
          </w:rPr>
          <w:t>Noteikumi par elektroenerģijas ražošanu, izmantojot atjaunojamos energoresursus</w:t>
        </w:r>
      </w:hyperlink>
      <w:r w:rsidRPr="003B7CFA">
        <w:t xml:space="preserve">, </w:t>
      </w:r>
      <w:r>
        <w:t>un cenu noteikšanas kārtību” tiesību normās, nodrošinot, ka jaunas OI tiesības netiek piešķirtas.</w:t>
      </w:r>
    </w:p>
    <w:p w14:paraId="1C40E4E0" w14:textId="77777777" w:rsidR="00EE1CF5" w:rsidRDefault="00EE1CF5" w:rsidP="00EE1CF5">
      <w:pPr>
        <w:spacing w:before="120" w:after="120"/>
        <w:ind w:firstLine="851"/>
      </w:pPr>
      <w:r>
        <w:t>Ņemot vērā OI problemātiku, 2018. gadā pēc Ekonomikas ministrijas pasūtījuma SIA “PricewaterhouseCoopers” veica neatkarīgu novērtējumu par lēmumiem, ar kuriem piešķirtas tiesības pārdot no atjaunojamiem un fosiliem energoresursiem saražoto elektroenerģiju obligātā iepirkuma ietvaros, pieņemšanas atbilstību ārējo normatīvo aktu prasībām, kā arī veica šo lēmumu izpildes procesa uzraudzības pietiekamības un efektivitātes novērtējumu. Minētais novērtējums ir publiski pieejams</w:t>
      </w:r>
      <w:r>
        <w:rPr>
          <w:rStyle w:val="FootnoteReference"/>
        </w:rPr>
        <w:footnoteReference w:id="17"/>
      </w:r>
      <w:r>
        <w:t>.</w:t>
      </w:r>
    </w:p>
    <w:p w14:paraId="0099304F" w14:textId="77777777" w:rsidR="00EE1CF5" w:rsidRPr="00D978AC" w:rsidRDefault="00EE1CF5" w:rsidP="00EE1CF5">
      <w:pPr>
        <w:pStyle w:val="1nodaa"/>
        <w:widowControl w:val="0"/>
        <w:spacing w:before="360" w:after="120"/>
        <w:rPr>
          <w:sz w:val="28"/>
        </w:rPr>
      </w:pPr>
      <w:bookmarkStart w:id="29" w:name="_Toc256000034"/>
      <w:bookmarkStart w:id="30" w:name="_Toc256000008"/>
      <w:bookmarkStart w:id="31" w:name="_Toc523492913"/>
      <w:bookmarkStart w:id="32" w:name="_Toc528585653"/>
      <w:bookmarkStart w:id="33" w:name="_Toc531798565"/>
      <w:r w:rsidRPr="00D978AC">
        <w:rPr>
          <w:sz w:val="28"/>
        </w:rPr>
        <w:lastRenderedPageBreak/>
        <w:t xml:space="preserve">2.2. </w:t>
      </w:r>
      <w:r w:rsidRPr="00D978AC">
        <w:rPr>
          <w:sz w:val="28"/>
        </w:rPr>
        <w:tab/>
        <w:t>Atbalsts energoietilpīgiem apstrādes rūpniecības uzņēmumiem</w:t>
      </w:r>
      <w:bookmarkEnd w:id="29"/>
      <w:bookmarkEnd w:id="30"/>
      <w:bookmarkEnd w:id="31"/>
      <w:bookmarkEnd w:id="32"/>
      <w:bookmarkEnd w:id="33"/>
    </w:p>
    <w:p w14:paraId="0FDEEC64" w14:textId="77777777" w:rsidR="00EE1CF5" w:rsidRDefault="00EE1CF5" w:rsidP="00EE1CF5">
      <w:pPr>
        <w:spacing w:before="120" w:after="120"/>
        <w:ind w:firstLine="851"/>
        <w:rPr>
          <w:rFonts w:eastAsiaTheme="minorEastAsia"/>
          <w:szCs w:val="28"/>
        </w:rPr>
      </w:pPr>
      <w:bookmarkStart w:id="34" w:name="_Toc256000039"/>
      <w:bookmarkStart w:id="35" w:name="_Toc256000010"/>
      <w:bookmarkStart w:id="36" w:name="_Toc523492914"/>
      <w:bookmarkStart w:id="37" w:name="_Toc528585654"/>
      <w:r>
        <w:rPr>
          <w:rFonts w:eastAsiaTheme="minorEastAsia"/>
          <w:szCs w:val="28"/>
        </w:rPr>
        <w:t xml:space="preserve">Valdības īstenotie pasākumi </w:t>
      </w:r>
      <w:r w:rsidRPr="00046D62">
        <w:rPr>
          <w:rFonts w:eastAsiaTheme="minorEastAsia"/>
          <w:szCs w:val="28"/>
        </w:rPr>
        <w:t>OIK</w:t>
      </w:r>
      <w:r>
        <w:rPr>
          <w:rFonts w:eastAsiaTheme="minorEastAsia"/>
          <w:szCs w:val="28"/>
        </w:rPr>
        <w:t xml:space="preserve"> vidējās</w:t>
      </w:r>
      <w:r w:rsidRPr="00046D62">
        <w:rPr>
          <w:rFonts w:eastAsiaTheme="minorEastAsia"/>
          <w:szCs w:val="28"/>
        </w:rPr>
        <w:t xml:space="preserve"> </w:t>
      </w:r>
      <w:r>
        <w:rPr>
          <w:rFonts w:eastAsiaTheme="minorEastAsia"/>
          <w:szCs w:val="28"/>
        </w:rPr>
        <w:t xml:space="preserve">vērtības ierobežošanai un OIK diferencēšana ar 2018. gada 1. janvāri kopumā ir </w:t>
      </w:r>
      <w:r w:rsidRPr="00046D62">
        <w:rPr>
          <w:rFonts w:eastAsiaTheme="minorEastAsia"/>
          <w:szCs w:val="28"/>
        </w:rPr>
        <w:t>samazināj</w:t>
      </w:r>
      <w:r>
        <w:rPr>
          <w:rFonts w:eastAsiaTheme="minorEastAsia"/>
          <w:szCs w:val="28"/>
        </w:rPr>
        <w:t>usi energoietilpīgo apstrādes rūpniecības uzņēmumu elektroenerģijas izmaksas, kas ir būtisks faktors to cenu konkurētspējas nodrošināšanai Baltijas jūras reģionā.</w:t>
      </w:r>
    </w:p>
    <w:p w14:paraId="761F79D0" w14:textId="77777777" w:rsidR="00EE1CF5" w:rsidRDefault="00EE1CF5" w:rsidP="00EE1CF5">
      <w:pPr>
        <w:spacing w:before="120" w:after="120"/>
        <w:ind w:firstLine="851"/>
        <w:rPr>
          <w:rFonts w:eastAsiaTheme="minorEastAsia"/>
          <w:bCs/>
          <w:color w:val="000000" w:themeColor="text1"/>
          <w:szCs w:val="28"/>
        </w:rPr>
      </w:pPr>
      <w:r w:rsidRPr="00046D62">
        <w:rPr>
          <w:rFonts w:eastAsiaTheme="minorEastAsia"/>
          <w:bCs/>
          <w:color w:val="000000" w:themeColor="text1"/>
          <w:szCs w:val="28"/>
        </w:rPr>
        <w:t>L</w:t>
      </w:r>
      <w:r>
        <w:rPr>
          <w:rFonts w:eastAsiaTheme="minorEastAsia"/>
          <w:bCs/>
          <w:color w:val="000000" w:themeColor="text1"/>
          <w:szCs w:val="28"/>
        </w:rPr>
        <w:t>īdztekus tam, l</w:t>
      </w:r>
      <w:r w:rsidRPr="00046D62">
        <w:rPr>
          <w:rFonts w:eastAsiaTheme="minorEastAsia"/>
          <w:bCs/>
          <w:color w:val="000000" w:themeColor="text1"/>
          <w:szCs w:val="28"/>
        </w:rPr>
        <w:t xml:space="preserve">ai mazinātu OIK </w:t>
      </w:r>
      <w:r>
        <w:rPr>
          <w:rFonts w:eastAsiaTheme="minorEastAsia"/>
          <w:bCs/>
          <w:color w:val="000000" w:themeColor="text1"/>
          <w:szCs w:val="28"/>
        </w:rPr>
        <w:t>ietekmi</w:t>
      </w:r>
      <w:r w:rsidRPr="00046D62">
        <w:rPr>
          <w:rFonts w:eastAsiaTheme="minorEastAsia"/>
          <w:bCs/>
          <w:color w:val="000000" w:themeColor="text1"/>
          <w:szCs w:val="28"/>
        </w:rPr>
        <w:t xml:space="preserve"> uz komersantiem, kas savu pamatdarbību ir izvērsuši energoietilpīgajās nozarēs, tostarp, metālrūpniecībā un būvmateriālu ražošanā, </w:t>
      </w:r>
      <w:r>
        <w:rPr>
          <w:rFonts w:eastAsiaTheme="minorEastAsia"/>
          <w:bCs/>
          <w:color w:val="000000" w:themeColor="text1"/>
          <w:szCs w:val="28"/>
        </w:rPr>
        <w:t xml:space="preserve">2015. gada 14. jūlijā </w:t>
      </w:r>
      <w:r w:rsidRPr="00046D62">
        <w:rPr>
          <w:rFonts w:eastAsiaTheme="minorEastAsia"/>
          <w:bCs/>
          <w:color w:val="000000" w:themeColor="text1"/>
          <w:szCs w:val="28"/>
        </w:rPr>
        <w:t>tika pieņemti</w:t>
      </w:r>
      <w:r w:rsidRPr="00046D62">
        <w:rPr>
          <w:rFonts w:eastAsiaTheme="minorEastAsia"/>
          <w:sz w:val="24"/>
        </w:rPr>
        <w:t xml:space="preserve"> </w:t>
      </w:r>
      <w:r w:rsidRPr="00046D62">
        <w:rPr>
          <w:rFonts w:eastAsiaTheme="minorEastAsia"/>
          <w:bCs/>
          <w:color w:val="000000" w:themeColor="text1"/>
          <w:szCs w:val="28"/>
        </w:rPr>
        <w:t>MK noteikumi Nr. 395</w:t>
      </w:r>
      <w:r>
        <w:rPr>
          <w:rFonts w:eastAsiaTheme="minorEastAsia"/>
          <w:bCs/>
          <w:color w:val="000000" w:themeColor="text1"/>
          <w:szCs w:val="28"/>
        </w:rPr>
        <w:t xml:space="preserve"> “</w:t>
      </w:r>
      <w:r w:rsidRPr="00743EE9">
        <w:rPr>
          <w:rFonts w:eastAsiaTheme="minorEastAsia"/>
          <w:bCs/>
          <w:color w:val="000000" w:themeColor="text1"/>
          <w:szCs w:val="28"/>
        </w:rPr>
        <w:t>Kārtība, kādā energoietilpīgi apstrādes rūpniecības uzņēmumi iegūst tiesības uz samazinātu līdzdalību obligātā iepirkuma komponentes maksājumam</w:t>
      </w:r>
      <w:r>
        <w:rPr>
          <w:rFonts w:eastAsiaTheme="minorEastAsia"/>
          <w:bCs/>
          <w:color w:val="000000" w:themeColor="text1"/>
          <w:szCs w:val="28"/>
        </w:rPr>
        <w:t>” (turpmāk – MK noteikumi Nr. 395)</w:t>
      </w:r>
      <w:r w:rsidRPr="00046D62">
        <w:rPr>
          <w:rFonts w:eastAsiaTheme="minorEastAsia"/>
          <w:bCs/>
          <w:color w:val="000000" w:themeColor="text1"/>
          <w:szCs w:val="28"/>
        </w:rPr>
        <w:t>, kuri apstrādes rūpniecības komersantiem paredz tiesības kvalificēties samazinātajam OIK līdzdalības maksājumam.</w:t>
      </w:r>
    </w:p>
    <w:p w14:paraId="309122D4" w14:textId="77777777" w:rsidR="00EE1CF5" w:rsidRDefault="00EE1CF5" w:rsidP="00EE1CF5">
      <w:pPr>
        <w:spacing w:before="120" w:after="120"/>
        <w:ind w:firstLine="851"/>
        <w:rPr>
          <w:bCs/>
          <w:color w:val="000000" w:themeColor="text1"/>
          <w:szCs w:val="28"/>
        </w:rPr>
      </w:pPr>
      <w:r>
        <w:rPr>
          <w:rFonts w:eastAsiaTheme="minorEastAsia"/>
          <w:bCs/>
          <w:color w:val="000000" w:themeColor="text1"/>
          <w:szCs w:val="28"/>
        </w:rPr>
        <w:t xml:space="preserve">MK noteikumi Nr. 395 stājās spēkā 2017. gada 13. jūnijā pēc to saskaņošanas ar EK </w:t>
      </w:r>
      <w:r w:rsidRPr="00046D62">
        <w:rPr>
          <w:rFonts w:eastAsiaTheme="minorEastAsia"/>
          <w:bCs/>
          <w:color w:val="000000" w:themeColor="text1"/>
          <w:szCs w:val="28"/>
        </w:rPr>
        <w:t>valsts atbalsta liet</w:t>
      </w:r>
      <w:r>
        <w:rPr>
          <w:rFonts w:eastAsiaTheme="minorEastAsia"/>
          <w:bCs/>
          <w:color w:val="000000" w:themeColor="text1"/>
          <w:szCs w:val="28"/>
        </w:rPr>
        <w:t>as</w:t>
      </w:r>
      <w:r w:rsidRPr="00046D62">
        <w:rPr>
          <w:rFonts w:eastAsiaTheme="minorEastAsia"/>
          <w:bCs/>
          <w:color w:val="000000" w:themeColor="text1"/>
          <w:szCs w:val="28"/>
        </w:rPr>
        <w:t xml:space="preserve"> SA. 42854 (2015/N)</w:t>
      </w:r>
      <w:r>
        <w:rPr>
          <w:rFonts w:eastAsiaTheme="minorEastAsia"/>
          <w:bCs/>
          <w:color w:val="000000" w:themeColor="text1"/>
          <w:szCs w:val="28"/>
        </w:rPr>
        <w:t xml:space="preserve"> </w:t>
      </w:r>
      <w:r w:rsidRPr="00046D62">
        <w:rPr>
          <w:rFonts w:eastAsiaTheme="minorEastAsia"/>
          <w:bCs/>
          <w:color w:val="000000" w:themeColor="text1"/>
          <w:szCs w:val="28"/>
        </w:rPr>
        <w:t xml:space="preserve">– </w:t>
      </w:r>
      <w:r w:rsidRPr="00046D62">
        <w:rPr>
          <w:rFonts w:eastAsiaTheme="minorEastAsia"/>
          <w:bCs/>
          <w:i/>
          <w:color w:val="000000" w:themeColor="text1"/>
          <w:szCs w:val="28"/>
        </w:rPr>
        <w:t>„Atbalsts energoietilpīgiem apstrādes rūpniecības uzņēmumiem”</w:t>
      </w:r>
      <w:r>
        <w:rPr>
          <w:rFonts w:eastAsiaTheme="minorEastAsia"/>
          <w:bCs/>
          <w:i/>
          <w:color w:val="000000" w:themeColor="text1"/>
          <w:szCs w:val="28"/>
        </w:rPr>
        <w:t xml:space="preserve"> </w:t>
      </w:r>
      <w:r>
        <w:rPr>
          <w:rFonts w:eastAsiaTheme="minorEastAsia"/>
          <w:bCs/>
          <w:color w:val="000000" w:themeColor="text1"/>
          <w:szCs w:val="28"/>
        </w:rPr>
        <w:t>ietvaros</w:t>
      </w:r>
      <w:r w:rsidRPr="00046D62">
        <w:rPr>
          <w:rFonts w:eastAsiaTheme="minorEastAsia"/>
          <w:bCs/>
          <w:color w:val="000000" w:themeColor="text1"/>
          <w:szCs w:val="28"/>
        </w:rPr>
        <w:t xml:space="preserve">. </w:t>
      </w:r>
      <w:r>
        <w:rPr>
          <w:rFonts w:eastAsiaTheme="minorEastAsia"/>
          <w:bCs/>
          <w:color w:val="000000" w:themeColor="text1"/>
          <w:szCs w:val="28"/>
        </w:rPr>
        <w:t xml:space="preserve">Tādējādi sākot ar 2017. gadu noteiktās nozarēs strādājoši energoietilpīgi apstrādes rūpniecības uzņēmumi ir tiesīgi pretendēt uz </w:t>
      </w:r>
      <w:r w:rsidRPr="006F025A">
        <w:rPr>
          <w:bCs/>
          <w:color w:val="000000" w:themeColor="text1"/>
          <w:szCs w:val="28"/>
        </w:rPr>
        <w:t>OIK līdzdalības maksājuma samazinājum</w:t>
      </w:r>
      <w:r>
        <w:rPr>
          <w:bCs/>
          <w:color w:val="000000" w:themeColor="text1"/>
          <w:szCs w:val="28"/>
        </w:rPr>
        <w:t>u</w:t>
      </w:r>
      <w:r w:rsidRPr="006F025A">
        <w:rPr>
          <w:bCs/>
          <w:color w:val="000000" w:themeColor="text1"/>
          <w:szCs w:val="28"/>
        </w:rPr>
        <w:t xml:space="preserve"> 85% apmērā no OIK daļas, ar kuru tiek segti izdevumi AER elektrostaciju atbalstam</w:t>
      </w:r>
      <w:r>
        <w:rPr>
          <w:rStyle w:val="FootnoteReference"/>
          <w:bCs/>
          <w:color w:val="000000" w:themeColor="text1"/>
          <w:szCs w:val="28"/>
        </w:rPr>
        <w:footnoteReference w:id="18"/>
      </w:r>
      <w:r w:rsidRPr="006F025A">
        <w:rPr>
          <w:bCs/>
          <w:color w:val="000000" w:themeColor="text1"/>
          <w:szCs w:val="28"/>
        </w:rPr>
        <w:t>.</w:t>
      </w:r>
      <w:r w:rsidRPr="00857D62">
        <w:rPr>
          <w:bCs/>
          <w:color w:val="000000" w:themeColor="text1"/>
          <w:szCs w:val="28"/>
        </w:rPr>
        <w:t xml:space="preserve"> 2017. gadā energoietilpīgiem uzņēmumiem bija tiesības pieteikties attiecīgo izdevumu kompensēšanai par 2015. gada otro pusi un par 2016. gadu, savukārt 2018.-2021.</w:t>
      </w:r>
      <w:r w:rsidRPr="000818EE">
        <w:rPr>
          <w:bCs/>
          <w:color w:val="000000" w:themeColor="text1"/>
          <w:szCs w:val="28"/>
        </w:rPr>
        <w:t> </w:t>
      </w:r>
      <w:r w:rsidRPr="00857D62">
        <w:rPr>
          <w:bCs/>
          <w:color w:val="000000" w:themeColor="text1"/>
          <w:szCs w:val="28"/>
        </w:rPr>
        <w:t>gadā pieteikšanās attiecīgo izmaksu segšanai paredzēta par katru iepriekšējo gadu.</w:t>
      </w:r>
    </w:p>
    <w:p w14:paraId="4AF1DD6E" w14:textId="77777777" w:rsidR="00EE1CF5" w:rsidRDefault="00EE1CF5" w:rsidP="00EE1CF5">
      <w:pPr>
        <w:ind w:firstLine="720"/>
        <w:rPr>
          <w:bCs/>
          <w:color w:val="000000" w:themeColor="text1"/>
          <w:szCs w:val="28"/>
        </w:rPr>
      </w:pPr>
      <w:r w:rsidRPr="006F025A">
        <w:rPr>
          <w:bCs/>
          <w:color w:val="000000" w:themeColor="text1"/>
          <w:szCs w:val="28"/>
        </w:rPr>
        <w:t>OIK līdzdalības maksājuma samazinājum</w:t>
      </w:r>
      <w:r>
        <w:rPr>
          <w:bCs/>
          <w:color w:val="000000" w:themeColor="text1"/>
          <w:szCs w:val="28"/>
        </w:rPr>
        <w:t xml:space="preserve">s par </w:t>
      </w:r>
      <w:r w:rsidRPr="00FB2E2F">
        <w:rPr>
          <w:bCs/>
          <w:color w:val="000000" w:themeColor="text1"/>
          <w:szCs w:val="28"/>
        </w:rPr>
        <w:t xml:space="preserve">2015.gada </w:t>
      </w:r>
      <w:r>
        <w:rPr>
          <w:bCs/>
          <w:color w:val="000000" w:themeColor="text1"/>
          <w:szCs w:val="28"/>
        </w:rPr>
        <w:t xml:space="preserve">otro </w:t>
      </w:r>
      <w:r w:rsidRPr="00FB2E2F">
        <w:rPr>
          <w:bCs/>
          <w:color w:val="000000" w:themeColor="text1"/>
          <w:szCs w:val="28"/>
        </w:rPr>
        <w:t>pusgadu ir piešķirts 1 869 495,23 EUR apjomā (izvērtēšanā – 54</w:t>
      </w:r>
      <w:r>
        <w:rPr>
          <w:bCs/>
          <w:color w:val="000000" w:themeColor="text1"/>
          <w:szCs w:val="28"/>
        </w:rPr>
        <w:t>1 469</w:t>
      </w:r>
      <w:r w:rsidRPr="00FB2E2F">
        <w:rPr>
          <w:bCs/>
          <w:color w:val="000000" w:themeColor="text1"/>
          <w:szCs w:val="28"/>
        </w:rPr>
        <w:t>,</w:t>
      </w:r>
      <w:r>
        <w:rPr>
          <w:bCs/>
          <w:color w:val="000000" w:themeColor="text1"/>
          <w:szCs w:val="28"/>
        </w:rPr>
        <w:t>24</w:t>
      </w:r>
      <w:r w:rsidRPr="00FB2E2F">
        <w:rPr>
          <w:bCs/>
          <w:color w:val="000000" w:themeColor="text1"/>
          <w:szCs w:val="28"/>
        </w:rPr>
        <w:t xml:space="preserve"> EUR a</w:t>
      </w:r>
      <w:r>
        <w:rPr>
          <w:bCs/>
          <w:color w:val="000000" w:themeColor="text1"/>
          <w:szCs w:val="28"/>
        </w:rPr>
        <w:t>p</w:t>
      </w:r>
      <w:r w:rsidRPr="00FB2E2F">
        <w:rPr>
          <w:bCs/>
          <w:color w:val="000000" w:themeColor="text1"/>
          <w:szCs w:val="28"/>
        </w:rPr>
        <w:t>jomā)</w:t>
      </w:r>
      <w:r>
        <w:rPr>
          <w:bCs/>
          <w:color w:val="000000" w:themeColor="text1"/>
          <w:szCs w:val="28"/>
        </w:rPr>
        <w:t xml:space="preserve">. Par 2016.gadu piešķirts </w:t>
      </w:r>
      <w:r w:rsidRPr="009167C7">
        <w:rPr>
          <w:bCs/>
          <w:color w:val="000000" w:themeColor="text1"/>
          <w:szCs w:val="28"/>
        </w:rPr>
        <w:t xml:space="preserve">3 </w:t>
      </w:r>
      <w:r>
        <w:rPr>
          <w:bCs/>
          <w:color w:val="000000" w:themeColor="text1"/>
          <w:szCs w:val="28"/>
        </w:rPr>
        <w:t>803</w:t>
      </w:r>
      <w:r w:rsidRPr="009167C7">
        <w:rPr>
          <w:bCs/>
          <w:color w:val="000000" w:themeColor="text1"/>
          <w:szCs w:val="28"/>
        </w:rPr>
        <w:t xml:space="preserve"> </w:t>
      </w:r>
      <w:r>
        <w:rPr>
          <w:bCs/>
          <w:color w:val="000000" w:themeColor="text1"/>
          <w:szCs w:val="28"/>
        </w:rPr>
        <w:t>5</w:t>
      </w:r>
      <w:r w:rsidRPr="009167C7">
        <w:rPr>
          <w:bCs/>
          <w:color w:val="000000" w:themeColor="text1"/>
          <w:szCs w:val="28"/>
        </w:rPr>
        <w:t>57,</w:t>
      </w:r>
      <w:r>
        <w:rPr>
          <w:bCs/>
          <w:color w:val="000000" w:themeColor="text1"/>
          <w:szCs w:val="28"/>
        </w:rPr>
        <w:t>05</w:t>
      </w:r>
      <w:r w:rsidRPr="009167C7">
        <w:rPr>
          <w:bCs/>
          <w:color w:val="000000" w:themeColor="text1"/>
          <w:szCs w:val="28"/>
        </w:rPr>
        <w:t xml:space="preserve"> </w:t>
      </w:r>
      <w:r w:rsidRPr="00FB2E2F">
        <w:rPr>
          <w:bCs/>
          <w:color w:val="000000" w:themeColor="text1"/>
          <w:szCs w:val="28"/>
        </w:rPr>
        <w:t>EUR apjomā</w:t>
      </w:r>
      <w:r>
        <w:rPr>
          <w:bCs/>
          <w:color w:val="000000" w:themeColor="text1"/>
          <w:szCs w:val="28"/>
        </w:rPr>
        <w:t xml:space="preserve"> (izvērtēšanā – 1 160 075,48 EUR apjomā). Par 2017.gadu uz 14.novembri iesniegti pieprasījumi </w:t>
      </w:r>
      <w:r w:rsidRPr="006F025A">
        <w:rPr>
          <w:bCs/>
          <w:color w:val="000000" w:themeColor="text1"/>
          <w:szCs w:val="28"/>
        </w:rPr>
        <w:t>OIK līdzdalības maksājuma samazinājum</w:t>
      </w:r>
      <w:r>
        <w:rPr>
          <w:bCs/>
          <w:color w:val="000000" w:themeColor="text1"/>
          <w:szCs w:val="28"/>
        </w:rPr>
        <w:t>am par 4 339 755,84 EUR.</w:t>
      </w:r>
      <w:r w:rsidRPr="000B6220">
        <w:t xml:space="preserve"> </w:t>
      </w:r>
      <w:r w:rsidRPr="000B6220">
        <w:rPr>
          <w:bCs/>
          <w:color w:val="000000" w:themeColor="text1"/>
          <w:szCs w:val="28"/>
        </w:rPr>
        <w:t xml:space="preserve">Saņemto pieteikumu par 2015. – 2017.gadu OIK līdzdalības maksājuma samazinājumam </w:t>
      </w:r>
      <w:r>
        <w:rPr>
          <w:bCs/>
          <w:color w:val="000000" w:themeColor="text1"/>
          <w:szCs w:val="28"/>
        </w:rPr>
        <w:t xml:space="preserve">īpatsvars </w:t>
      </w:r>
      <w:r w:rsidRPr="000B6220">
        <w:rPr>
          <w:bCs/>
          <w:color w:val="000000" w:themeColor="text1"/>
          <w:szCs w:val="28"/>
        </w:rPr>
        <w:t>pa nozarēm</w:t>
      </w:r>
      <w:r>
        <w:rPr>
          <w:bCs/>
          <w:color w:val="000000" w:themeColor="text1"/>
          <w:szCs w:val="28"/>
        </w:rPr>
        <w:t xml:space="preserve"> ir redzams 16.attēlā. </w:t>
      </w:r>
    </w:p>
    <w:p w14:paraId="3BC8AA90" w14:textId="77777777" w:rsidR="00EE1CF5" w:rsidRDefault="00EE1CF5" w:rsidP="00EE1CF5">
      <w:pPr>
        <w:jc w:val="left"/>
        <w:rPr>
          <w:bCs/>
          <w:color w:val="000000" w:themeColor="text1"/>
          <w:szCs w:val="28"/>
        </w:rPr>
      </w:pPr>
    </w:p>
    <w:p w14:paraId="1C443BD8" w14:textId="77777777" w:rsidR="00EE1CF5" w:rsidRPr="00344077" w:rsidRDefault="00EE1CF5" w:rsidP="00EE1CF5">
      <w:pPr>
        <w:keepNext/>
        <w:keepLines/>
        <w:jc w:val="right"/>
        <w:rPr>
          <w:bCs/>
          <w:color w:val="000000" w:themeColor="text1"/>
          <w:szCs w:val="28"/>
        </w:rPr>
      </w:pPr>
      <w:r>
        <w:rPr>
          <w:i/>
        </w:rPr>
        <w:lastRenderedPageBreak/>
        <w:t>16</w:t>
      </w:r>
      <w:r w:rsidRPr="000B6220">
        <w:rPr>
          <w:i/>
        </w:rPr>
        <w:t>.attēls</w:t>
      </w:r>
    </w:p>
    <w:p w14:paraId="00B885AB" w14:textId="77777777" w:rsidR="00EE1CF5" w:rsidRPr="00FB2E2F" w:rsidRDefault="00EE1CF5" w:rsidP="00EE1CF5">
      <w:pPr>
        <w:keepNext/>
        <w:keepLines/>
        <w:jc w:val="center"/>
        <w:rPr>
          <w:bCs/>
          <w:color w:val="000000" w:themeColor="text1"/>
          <w:szCs w:val="28"/>
        </w:rPr>
      </w:pPr>
      <w:r>
        <w:rPr>
          <w:noProof/>
          <w:lang w:eastAsia="lv-LV"/>
        </w:rPr>
        <w:drawing>
          <wp:inline distT="0" distB="0" distL="0" distR="0" wp14:anchorId="19839CED" wp14:editId="6927E9B7">
            <wp:extent cx="4656288" cy="2719716"/>
            <wp:effectExtent l="0" t="0" r="0" b="4445"/>
            <wp:docPr id="3" name="Chart 3">
              <a:extLst xmlns:a="http://schemas.openxmlformats.org/drawingml/2006/main">
                <a:ext uri="{FF2B5EF4-FFF2-40B4-BE49-F238E27FC236}">
                  <a16:creationId xmlns:a16="http://schemas.microsoft.com/office/drawing/2014/main" id="{F7BE0742-82F3-4979-8BA3-9E5DF4CD1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ECAD70" w14:textId="77777777" w:rsidR="00EE1CF5" w:rsidRPr="003C7B2F" w:rsidRDefault="00EE1CF5" w:rsidP="00EE1CF5">
      <w:pPr>
        <w:keepNext/>
        <w:keepLines/>
        <w:jc w:val="center"/>
        <w:rPr>
          <w:rFonts w:ascii="Calibri" w:eastAsia="Times New Roman" w:hAnsi="Calibri" w:cs="Times New Roman"/>
          <w:b/>
          <w:bCs/>
          <w:color w:val="000000"/>
          <w:sz w:val="20"/>
          <w:lang w:eastAsia="lv-LV"/>
        </w:rPr>
      </w:pPr>
      <w:r w:rsidRPr="003C7B2F">
        <w:rPr>
          <w:b/>
          <w:sz w:val="24"/>
        </w:rPr>
        <w:t xml:space="preserve">Saņemto pieteikumu </w:t>
      </w:r>
      <w:r>
        <w:rPr>
          <w:b/>
          <w:sz w:val="24"/>
        </w:rPr>
        <w:t xml:space="preserve">par 2015. – 2017.gadu </w:t>
      </w:r>
      <w:r w:rsidRPr="003C7B2F">
        <w:rPr>
          <w:b/>
          <w:sz w:val="24"/>
        </w:rPr>
        <w:t xml:space="preserve">OIK līdzdalības maksājuma samazinājumam </w:t>
      </w:r>
      <w:r>
        <w:rPr>
          <w:b/>
          <w:sz w:val="24"/>
        </w:rPr>
        <w:t xml:space="preserve">īpatsvars </w:t>
      </w:r>
      <w:r w:rsidRPr="003C7B2F">
        <w:rPr>
          <w:b/>
          <w:sz w:val="24"/>
        </w:rPr>
        <w:t>pa nozarēm</w:t>
      </w:r>
      <w:r>
        <w:rPr>
          <w:b/>
          <w:sz w:val="24"/>
        </w:rPr>
        <w:t>, %</w:t>
      </w:r>
    </w:p>
    <w:p w14:paraId="2FC683FF" w14:textId="77777777" w:rsidR="00EE1CF5" w:rsidRDefault="00EE1CF5" w:rsidP="00EE1CF5">
      <w:pPr>
        <w:keepNext/>
        <w:keepLines/>
        <w:ind w:firstLine="720"/>
        <w:rPr>
          <w:bCs/>
          <w:color w:val="000000" w:themeColor="text1"/>
          <w:szCs w:val="28"/>
        </w:rPr>
      </w:pPr>
    </w:p>
    <w:p w14:paraId="6DC29890" w14:textId="77777777" w:rsidR="00EE1CF5" w:rsidRDefault="00EE1CF5" w:rsidP="00EE1CF5">
      <w:pPr>
        <w:ind w:firstLine="720"/>
        <w:rPr>
          <w:bCs/>
          <w:color w:val="000000" w:themeColor="text1"/>
          <w:szCs w:val="28"/>
        </w:rPr>
      </w:pPr>
      <w:r>
        <w:rPr>
          <w:bCs/>
          <w:color w:val="000000" w:themeColor="text1"/>
          <w:szCs w:val="28"/>
        </w:rPr>
        <w:t xml:space="preserve">Kā redzams 16.attēlā no </w:t>
      </w:r>
      <w:r w:rsidRPr="000B6220">
        <w:rPr>
          <w:bCs/>
          <w:color w:val="000000" w:themeColor="text1"/>
          <w:szCs w:val="28"/>
        </w:rPr>
        <w:t>OIK līdzdalības maksājuma samazinājuma</w:t>
      </w:r>
      <w:r>
        <w:rPr>
          <w:bCs/>
          <w:color w:val="000000" w:themeColor="text1"/>
          <w:szCs w:val="28"/>
        </w:rPr>
        <w:t xml:space="preserve"> kopapjoma 66,7% ir pieteikti no kokapstrādes nozares, 22,8% cementa ražošanas nozares, 8,7% stikla šķiedras ražošanas nozares.</w:t>
      </w:r>
    </w:p>
    <w:p w14:paraId="5D63BEBA" w14:textId="77777777" w:rsidR="00EE1CF5" w:rsidRPr="00046D62" w:rsidRDefault="00EE1CF5" w:rsidP="00EE1CF5">
      <w:pPr>
        <w:spacing w:before="120" w:after="120"/>
        <w:ind w:firstLine="851"/>
        <w:rPr>
          <w:rFonts w:eastAsiaTheme="minorEastAsia"/>
          <w:szCs w:val="28"/>
        </w:rPr>
      </w:pPr>
      <w:r w:rsidRPr="008308B9">
        <w:rPr>
          <w:rFonts w:eastAsiaTheme="minorEastAsia"/>
          <w:bCs/>
          <w:color w:val="000000" w:themeColor="text1"/>
          <w:szCs w:val="28"/>
        </w:rPr>
        <w:t xml:space="preserve">Atbalsta mehānisma īstenošanai valsts budžetā paredzētais finansējuma apmērs atspoguļots </w:t>
      </w:r>
      <w:r>
        <w:rPr>
          <w:rFonts w:eastAsiaTheme="minorEastAsia"/>
          <w:bCs/>
          <w:color w:val="000000" w:themeColor="text1"/>
          <w:szCs w:val="28"/>
        </w:rPr>
        <w:t>5.</w:t>
      </w:r>
      <w:r w:rsidRPr="008308B9">
        <w:rPr>
          <w:rFonts w:eastAsiaTheme="minorEastAsia"/>
          <w:bCs/>
          <w:color w:val="000000" w:themeColor="text1"/>
          <w:szCs w:val="28"/>
        </w:rPr>
        <w:t>tabulā.</w:t>
      </w:r>
      <w:r w:rsidRPr="00046D62">
        <w:rPr>
          <w:rFonts w:eastAsiaTheme="minorEastAsia"/>
          <w:bCs/>
          <w:color w:val="000000" w:themeColor="text1"/>
          <w:szCs w:val="28"/>
        </w:rPr>
        <w:t xml:space="preserve"> </w:t>
      </w:r>
    </w:p>
    <w:p w14:paraId="5698CD7F" w14:textId="77777777" w:rsidR="00EE1CF5" w:rsidRPr="008308B9" w:rsidRDefault="00EE1CF5" w:rsidP="00EE1CF5">
      <w:pPr>
        <w:keepNext/>
        <w:widowControl w:val="0"/>
        <w:adjustRightInd w:val="0"/>
        <w:spacing w:after="120"/>
        <w:jc w:val="right"/>
        <w:textAlignment w:val="baseline"/>
        <w:rPr>
          <w:rFonts w:eastAsia="Times New Roman" w:cs="Times New Roman"/>
          <w:bCs/>
          <w:i/>
          <w:color w:val="000000"/>
          <w:sz w:val="24"/>
          <w:szCs w:val="24"/>
        </w:rPr>
      </w:pPr>
      <w:r>
        <w:rPr>
          <w:rFonts w:eastAsia="Times New Roman" w:cs="Times New Roman"/>
          <w:bCs/>
          <w:i/>
          <w:color w:val="000000"/>
          <w:sz w:val="24"/>
          <w:szCs w:val="24"/>
        </w:rPr>
        <w:t>5.</w:t>
      </w:r>
      <w:r w:rsidRPr="008308B9">
        <w:rPr>
          <w:rFonts w:eastAsia="Times New Roman" w:cs="Times New Roman"/>
          <w:bCs/>
          <w:i/>
          <w:color w:val="000000"/>
          <w:sz w:val="24"/>
          <w:szCs w:val="24"/>
        </w:rPr>
        <w:t>tabula</w:t>
      </w:r>
    </w:p>
    <w:p w14:paraId="3F105881" w14:textId="77777777" w:rsidR="00EE1CF5" w:rsidRPr="00046D62" w:rsidRDefault="00EE1CF5" w:rsidP="00EE1CF5">
      <w:pPr>
        <w:keepNext/>
        <w:widowControl w:val="0"/>
        <w:adjustRightInd w:val="0"/>
        <w:spacing w:after="60"/>
        <w:jc w:val="center"/>
        <w:textAlignment w:val="baseline"/>
        <w:rPr>
          <w:rFonts w:eastAsia="Times New Roman" w:cs="Times New Roman"/>
          <w:b/>
          <w:bCs/>
          <w:color w:val="000000"/>
          <w:sz w:val="24"/>
          <w:szCs w:val="24"/>
        </w:rPr>
      </w:pPr>
      <w:r w:rsidRPr="00046D62">
        <w:rPr>
          <w:rFonts w:eastAsia="Times New Roman" w:cs="Times New Roman"/>
          <w:b/>
          <w:bCs/>
          <w:color w:val="000000"/>
          <w:sz w:val="24"/>
          <w:szCs w:val="24"/>
        </w:rPr>
        <w:t>Atbalsta mehānisma ietekme uz valsts budžetu</w:t>
      </w:r>
      <w:r>
        <w:rPr>
          <w:rFonts w:eastAsia="Times New Roman" w:cs="Times New Roman"/>
          <w:b/>
          <w:bCs/>
          <w:color w:val="000000"/>
          <w:sz w:val="24"/>
          <w:szCs w:val="24"/>
        </w:rPr>
        <w:t xml:space="preserve"> pēc naudas plūsmas metodes, EUR</w:t>
      </w:r>
    </w:p>
    <w:tbl>
      <w:tblPr>
        <w:tblStyle w:val="TableGrid1"/>
        <w:tblW w:w="0" w:type="auto"/>
        <w:jc w:val="center"/>
        <w:tblLook w:val="04A0" w:firstRow="1" w:lastRow="0" w:firstColumn="1" w:lastColumn="0" w:noHBand="0" w:noVBand="1"/>
      </w:tblPr>
      <w:tblGrid>
        <w:gridCol w:w="988"/>
        <w:gridCol w:w="3902"/>
      </w:tblGrid>
      <w:tr w:rsidR="00EE1CF5" w14:paraId="1FC9FBCB" w14:textId="77777777" w:rsidTr="00263AB1">
        <w:trPr>
          <w:trHeight w:val="693"/>
          <w:jc w:val="center"/>
        </w:trPr>
        <w:tc>
          <w:tcPr>
            <w:tcW w:w="988" w:type="dxa"/>
            <w:vAlign w:val="center"/>
          </w:tcPr>
          <w:p w14:paraId="71201EC2" w14:textId="77777777" w:rsidR="00EE1CF5" w:rsidRPr="00C004A6" w:rsidRDefault="00EE1CF5" w:rsidP="00263AB1">
            <w:pPr>
              <w:jc w:val="center"/>
              <w:rPr>
                <w:rFonts w:ascii="Times New Roman" w:eastAsia="Times New Roman" w:hAnsi="Times New Roman" w:cs="Times New Roman"/>
                <w:color w:val="000000" w:themeColor="text1"/>
                <w:sz w:val="24"/>
                <w:szCs w:val="24"/>
                <w:lang w:eastAsia="lv-LV"/>
              </w:rPr>
            </w:pPr>
            <w:r w:rsidRPr="00C004A6">
              <w:rPr>
                <w:rFonts w:ascii="Times New Roman" w:eastAsia="Times New Roman" w:hAnsi="Times New Roman" w:cs="Times New Roman"/>
                <w:color w:val="000000" w:themeColor="text1"/>
                <w:sz w:val="24"/>
                <w:szCs w:val="24"/>
                <w:lang w:eastAsia="lv-LV"/>
              </w:rPr>
              <w:t>Gads</w:t>
            </w:r>
          </w:p>
        </w:tc>
        <w:tc>
          <w:tcPr>
            <w:tcW w:w="3902" w:type="dxa"/>
            <w:vAlign w:val="center"/>
          </w:tcPr>
          <w:p w14:paraId="7848E6C5" w14:textId="77777777" w:rsidR="00EE1CF5" w:rsidRPr="00C004A6" w:rsidRDefault="00EE1CF5" w:rsidP="00263AB1">
            <w:pPr>
              <w:jc w:val="center"/>
              <w:rPr>
                <w:rFonts w:ascii="Times New Roman" w:eastAsia="Times New Roman" w:hAnsi="Times New Roman" w:cs="Times New Roman"/>
                <w:color w:val="000000" w:themeColor="text1"/>
                <w:sz w:val="24"/>
                <w:szCs w:val="24"/>
                <w:lang w:eastAsia="lv-LV"/>
              </w:rPr>
            </w:pPr>
            <w:r w:rsidRPr="00C004A6">
              <w:rPr>
                <w:rFonts w:ascii="Times New Roman" w:eastAsia="Times New Roman" w:hAnsi="Times New Roman" w:cs="Times New Roman"/>
                <w:color w:val="000000" w:themeColor="text1"/>
                <w:sz w:val="24"/>
                <w:szCs w:val="24"/>
                <w:lang w:eastAsia="lv-LV"/>
              </w:rPr>
              <w:t>Prognozētā nepieciešamā atbalsta summa no valsts budžeta, EUR</w:t>
            </w:r>
          </w:p>
        </w:tc>
      </w:tr>
      <w:tr w:rsidR="00EE1CF5" w14:paraId="2AD2AF74" w14:textId="77777777" w:rsidTr="00263AB1">
        <w:trPr>
          <w:jc w:val="center"/>
        </w:trPr>
        <w:tc>
          <w:tcPr>
            <w:tcW w:w="988" w:type="dxa"/>
          </w:tcPr>
          <w:p w14:paraId="22CD67B3" w14:textId="77777777" w:rsidR="00EE1CF5" w:rsidRPr="00C004A6" w:rsidRDefault="00EE1CF5" w:rsidP="00263AB1">
            <w:pPr>
              <w:jc w:val="center"/>
              <w:rPr>
                <w:rFonts w:ascii="Times New Roman" w:eastAsia="Times New Roman" w:hAnsi="Times New Roman" w:cs="Times New Roman"/>
                <w:color w:val="000000" w:themeColor="text1"/>
                <w:sz w:val="24"/>
                <w:szCs w:val="24"/>
                <w:lang w:eastAsia="lv-LV"/>
              </w:rPr>
            </w:pPr>
            <w:r w:rsidRPr="00C004A6">
              <w:rPr>
                <w:rFonts w:ascii="Times New Roman" w:eastAsia="Times New Roman" w:hAnsi="Times New Roman" w:cs="Times New Roman"/>
                <w:color w:val="000000" w:themeColor="text1"/>
                <w:sz w:val="24"/>
                <w:szCs w:val="24"/>
                <w:lang w:eastAsia="lv-LV"/>
              </w:rPr>
              <w:t>2018</w:t>
            </w:r>
          </w:p>
        </w:tc>
        <w:tc>
          <w:tcPr>
            <w:tcW w:w="3902" w:type="dxa"/>
          </w:tcPr>
          <w:p w14:paraId="3D100669" w14:textId="77777777" w:rsidR="00EE1CF5" w:rsidRPr="00C004A6" w:rsidRDefault="00EE1CF5" w:rsidP="00263AB1">
            <w:pPr>
              <w:jc w:val="center"/>
              <w:rPr>
                <w:rFonts w:ascii="Times New Roman" w:eastAsia="Times New Roman" w:hAnsi="Times New Roman" w:cs="Times New Roman"/>
                <w:color w:val="000000" w:themeColor="text1"/>
                <w:sz w:val="24"/>
                <w:szCs w:val="24"/>
                <w:lang w:eastAsia="lv-LV"/>
              </w:rPr>
            </w:pPr>
            <w:r w:rsidRPr="00C004A6">
              <w:rPr>
                <w:rFonts w:ascii="Times New Roman" w:eastAsiaTheme="minorEastAsia" w:hAnsi="Times New Roman" w:cs="Times New Roman"/>
                <w:color w:val="000000" w:themeColor="text1"/>
                <w:sz w:val="24"/>
                <w:lang w:val="de-DE"/>
              </w:rPr>
              <w:t>3 500 000</w:t>
            </w:r>
          </w:p>
        </w:tc>
      </w:tr>
      <w:tr w:rsidR="00EE1CF5" w14:paraId="266E180A" w14:textId="77777777" w:rsidTr="00263AB1">
        <w:trPr>
          <w:jc w:val="center"/>
        </w:trPr>
        <w:tc>
          <w:tcPr>
            <w:tcW w:w="988" w:type="dxa"/>
          </w:tcPr>
          <w:p w14:paraId="6FA1CFA7" w14:textId="77777777" w:rsidR="00EE1CF5" w:rsidRPr="00C004A6" w:rsidRDefault="00EE1CF5" w:rsidP="00263AB1">
            <w:pPr>
              <w:jc w:val="center"/>
              <w:rPr>
                <w:rFonts w:ascii="Times New Roman" w:eastAsia="Times New Roman" w:hAnsi="Times New Roman" w:cs="Times New Roman"/>
                <w:color w:val="000000" w:themeColor="text1"/>
                <w:sz w:val="24"/>
                <w:szCs w:val="24"/>
                <w:lang w:eastAsia="lv-LV"/>
              </w:rPr>
            </w:pPr>
            <w:r w:rsidRPr="00C004A6">
              <w:rPr>
                <w:rFonts w:ascii="Times New Roman" w:eastAsia="Times New Roman" w:hAnsi="Times New Roman" w:cs="Times New Roman"/>
                <w:color w:val="000000" w:themeColor="text1"/>
                <w:sz w:val="24"/>
                <w:szCs w:val="24"/>
                <w:lang w:eastAsia="lv-LV"/>
              </w:rPr>
              <w:t>2019</w:t>
            </w:r>
          </w:p>
        </w:tc>
        <w:tc>
          <w:tcPr>
            <w:tcW w:w="3902" w:type="dxa"/>
          </w:tcPr>
          <w:p w14:paraId="2DA823B1" w14:textId="77777777" w:rsidR="00EE1CF5" w:rsidRPr="00C004A6" w:rsidRDefault="00EE1CF5" w:rsidP="00263AB1">
            <w:pPr>
              <w:jc w:val="center"/>
              <w:rPr>
                <w:rFonts w:ascii="Times New Roman" w:eastAsiaTheme="minorEastAsia" w:hAnsi="Times New Roman" w:cs="Times New Roman"/>
                <w:color w:val="000000" w:themeColor="text1"/>
                <w:sz w:val="24"/>
                <w:lang w:val="de-DE"/>
              </w:rPr>
            </w:pPr>
            <w:r w:rsidRPr="00C004A6">
              <w:rPr>
                <w:rFonts w:ascii="Times New Roman" w:eastAsiaTheme="minorEastAsia" w:hAnsi="Times New Roman" w:cs="Times New Roman"/>
                <w:color w:val="000000" w:themeColor="text1"/>
                <w:sz w:val="24"/>
                <w:lang w:val="de-DE"/>
              </w:rPr>
              <w:t>7 000 000</w:t>
            </w:r>
          </w:p>
        </w:tc>
      </w:tr>
      <w:tr w:rsidR="00EE1CF5" w14:paraId="02A791BE" w14:textId="77777777" w:rsidTr="00263AB1">
        <w:trPr>
          <w:jc w:val="center"/>
        </w:trPr>
        <w:tc>
          <w:tcPr>
            <w:tcW w:w="988" w:type="dxa"/>
          </w:tcPr>
          <w:p w14:paraId="689D1032" w14:textId="77777777" w:rsidR="00EE1CF5" w:rsidRPr="00C004A6" w:rsidRDefault="00EE1CF5" w:rsidP="00263AB1">
            <w:pPr>
              <w:jc w:val="center"/>
              <w:rPr>
                <w:rFonts w:ascii="Times New Roman" w:eastAsia="Times New Roman" w:hAnsi="Times New Roman" w:cs="Times New Roman"/>
                <w:color w:val="000000" w:themeColor="text1"/>
                <w:sz w:val="24"/>
                <w:szCs w:val="24"/>
                <w:lang w:eastAsia="lv-LV"/>
              </w:rPr>
            </w:pPr>
            <w:r w:rsidRPr="00C004A6">
              <w:rPr>
                <w:rFonts w:ascii="Times New Roman" w:eastAsia="Times New Roman" w:hAnsi="Times New Roman" w:cs="Times New Roman"/>
                <w:color w:val="000000" w:themeColor="text1"/>
                <w:sz w:val="24"/>
                <w:szCs w:val="24"/>
                <w:lang w:eastAsia="lv-LV"/>
              </w:rPr>
              <w:t>2020</w:t>
            </w:r>
          </w:p>
        </w:tc>
        <w:tc>
          <w:tcPr>
            <w:tcW w:w="3902" w:type="dxa"/>
          </w:tcPr>
          <w:p w14:paraId="6C8342D3" w14:textId="77777777" w:rsidR="00EE1CF5" w:rsidRPr="00C004A6" w:rsidRDefault="00EE1CF5" w:rsidP="00263AB1">
            <w:pPr>
              <w:jc w:val="center"/>
              <w:rPr>
                <w:rFonts w:ascii="Times New Roman" w:eastAsiaTheme="minorEastAsia" w:hAnsi="Times New Roman" w:cs="Times New Roman"/>
                <w:color w:val="000000" w:themeColor="text1"/>
                <w:sz w:val="24"/>
                <w:lang w:val="de-DE"/>
              </w:rPr>
            </w:pPr>
            <w:r w:rsidRPr="00C004A6">
              <w:rPr>
                <w:rFonts w:ascii="Times New Roman" w:eastAsiaTheme="minorEastAsia" w:hAnsi="Times New Roman" w:cs="Times New Roman"/>
                <w:color w:val="000000" w:themeColor="text1"/>
                <w:sz w:val="24"/>
                <w:lang w:val="de-DE"/>
              </w:rPr>
              <w:t>7 000 000</w:t>
            </w:r>
          </w:p>
        </w:tc>
      </w:tr>
      <w:tr w:rsidR="00EE1CF5" w14:paraId="5A0DA3B1" w14:textId="77777777" w:rsidTr="00263AB1">
        <w:trPr>
          <w:jc w:val="center"/>
        </w:trPr>
        <w:tc>
          <w:tcPr>
            <w:tcW w:w="988" w:type="dxa"/>
          </w:tcPr>
          <w:p w14:paraId="718EC784" w14:textId="77777777" w:rsidR="00EE1CF5" w:rsidRPr="00C004A6" w:rsidRDefault="00EE1CF5" w:rsidP="00263AB1">
            <w:pPr>
              <w:jc w:val="center"/>
              <w:rPr>
                <w:rFonts w:ascii="Times New Roman" w:eastAsia="Times New Roman" w:hAnsi="Times New Roman" w:cs="Times New Roman"/>
                <w:color w:val="000000" w:themeColor="text1"/>
                <w:sz w:val="24"/>
                <w:szCs w:val="24"/>
                <w:lang w:eastAsia="lv-LV"/>
              </w:rPr>
            </w:pPr>
            <w:r w:rsidRPr="00C004A6">
              <w:rPr>
                <w:rFonts w:ascii="Times New Roman" w:eastAsia="Times New Roman" w:hAnsi="Times New Roman" w:cs="Times New Roman"/>
                <w:color w:val="000000" w:themeColor="text1"/>
                <w:sz w:val="24"/>
                <w:szCs w:val="24"/>
                <w:lang w:eastAsia="lv-LV"/>
              </w:rPr>
              <w:t>2021</w:t>
            </w:r>
          </w:p>
        </w:tc>
        <w:tc>
          <w:tcPr>
            <w:tcW w:w="3902" w:type="dxa"/>
          </w:tcPr>
          <w:p w14:paraId="0D88F437" w14:textId="77777777" w:rsidR="00EE1CF5" w:rsidRPr="00C004A6" w:rsidRDefault="00EE1CF5" w:rsidP="00263AB1">
            <w:pPr>
              <w:jc w:val="center"/>
              <w:rPr>
                <w:rFonts w:ascii="Times New Roman" w:eastAsiaTheme="minorEastAsia" w:hAnsi="Times New Roman" w:cs="Times New Roman"/>
                <w:color w:val="000000" w:themeColor="text1"/>
                <w:sz w:val="24"/>
                <w:lang w:val="de-DE"/>
              </w:rPr>
            </w:pPr>
            <w:r w:rsidRPr="00C004A6">
              <w:rPr>
                <w:rFonts w:ascii="Times New Roman" w:eastAsiaTheme="minorEastAsia" w:hAnsi="Times New Roman" w:cs="Times New Roman"/>
                <w:color w:val="000000" w:themeColor="text1"/>
                <w:sz w:val="24"/>
                <w:lang w:val="de-DE"/>
              </w:rPr>
              <w:t>7 000 000</w:t>
            </w:r>
          </w:p>
        </w:tc>
      </w:tr>
    </w:tbl>
    <w:p w14:paraId="584DA29A" w14:textId="77777777" w:rsidR="00EE1CF5" w:rsidRDefault="00EE1CF5" w:rsidP="00EE1CF5">
      <w:pPr>
        <w:ind w:left="720" w:firstLine="720"/>
        <w:rPr>
          <w:rFonts w:eastAsia="Times New Roman" w:cs="Times New Roman"/>
          <w:color w:val="000000"/>
          <w:sz w:val="20"/>
          <w:szCs w:val="28"/>
          <w:lang w:eastAsia="lv-LV"/>
        </w:rPr>
      </w:pPr>
      <w:r w:rsidRPr="00046D62">
        <w:rPr>
          <w:rFonts w:eastAsia="Times New Roman" w:cs="Times New Roman"/>
          <w:color w:val="000000"/>
          <w:sz w:val="20"/>
          <w:szCs w:val="28"/>
          <w:lang w:eastAsia="lv-LV"/>
        </w:rPr>
        <w:t xml:space="preserve">Avots: </w:t>
      </w:r>
      <w:r>
        <w:rPr>
          <w:rFonts w:eastAsia="Times New Roman" w:cs="Times New Roman"/>
          <w:color w:val="000000"/>
          <w:sz w:val="20"/>
          <w:szCs w:val="28"/>
          <w:lang w:eastAsia="lv-LV"/>
        </w:rPr>
        <w:t>EM</w:t>
      </w:r>
    </w:p>
    <w:p w14:paraId="3563DDF7" w14:textId="77777777" w:rsidR="00EE1CF5" w:rsidRPr="00046D62" w:rsidRDefault="00EE1CF5" w:rsidP="00EE1CF5">
      <w:pPr>
        <w:ind w:left="720" w:firstLine="720"/>
        <w:rPr>
          <w:rFonts w:eastAsia="Times New Roman" w:cs="Times New Roman"/>
          <w:color w:val="000000"/>
          <w:sz w:val="20"/>
          <w:szCs w:val="28"/>
          <w:lang w:eastAsia="lv-LV"/>
        </w:rPr>
      </w:pPr>
    </w:p>
    <w:p w14:paraId="53471569" w14:textId="77777777" w:rsidR="00EE1CF5" w:rsidRDefault="00EE1CF5" w:rsidP="00EE1CF5">
      <w:pPr>
        <w:spacing w:before="120" w:after="120"/>
        <w:ind w:firstLine="851"/>
        <w:rPr>
          <w:color w:val="000000" w:themeColor="text1"/>
          <w:szCs w:val="28"/>
        </w:rPr>
      </w:pPr>
      <w:r w:rsidRPr="0070797C">
        <w:rPr>
          <w:color w:val="000000" w:themeColor="text1"/>
          <w:szCs w:val="28"/>
        </w:rPr>
        <w:t xml:space="preserve">Saskaņā ar </w:t>
      </w:r>
      <w:r>
        <w:rPr>
          <w:color w:val="000000" w:themeColor="text1"/>
          <w:szCs w:val="28"/>
        </w:rPr>
        <w:t xml:space="preserve">EM aplēsēm, t.sk. ņemot vērā vēsturiskos pieteikumus par 2015.-2016. gadu, kad energoietilpīgie apstrādes rūpniecības komersanti </w:t>
      </w:r>
      <w:r w:rsidRPr="00177B1A">
        <w:rPr>
          <w:color w:val="000000" w:themeColor="text1"/>
          <w:szCs w:val="28"/>
        </w:rPr>
        <w:t xml:space="preserve">kopumā pieprasīja </w:t>
      </w:r>
      <w:r>
        <w:rPr>
          <w:color w:val="000000" w:themeColor="text1"/>
          <w:szCs w:val="28"/>
        </w:rPr>
        <w:t>vairāk kā 7,5</w:t>
      </w:r>
      <w:r w:rsidRPr="00177B1A">
        <w:rPr>
          <w:color w:val="000000" w:themeColor="text1"/>
          <w:szCs w:val="28"/>
        </w:rPr>
        <w:t>0 milj. EUR,</w:t>
      </w:r>
      <w:r>
        <w:rPr>
          <w:color w:val="000000" w:themeColor="text1"/>
          <w:szCs w:val="28"/>
        </w:rPr>
        <w:t xml:space="preserve"> kā arī ņemot vērā rūpniecības izaugsmi, laika posmam no 2019.-2021. gadam valsts budžetā būtu paredzami 7,00 milj. EUR atbalstam energoietilpīgiem apstrādes rūpniecības uzņēmumiem (pēc naudas plūsmas metodes).</w:t>
      </w:r>
    </w:p>
    <w:p w14:paraId="690D3E53" w14:textId="77777777" w:rsidR="00EE1CF5" w:rsidRDefault="00EE1CF5" w:rsidP="00EE1CF5">
      <w:pPr>
        <w:spacing w:before="120" w:after="120"/>
        <w:ind w:firstLine="851"/>
        <w:rPr>
          <w:color w:val="000000" w:themeColor="text1"/>
          <w:szCs w:val="28"/>
        </w:rPr>
      </w:pPr>
      <w:r w:rsidRPr="002766B4">
        <w:rPr>
          <w:color w:val="000000" w:themeColor="text1"/>
          <w:szCs w:val="28"/>
        </w:rPr>
        <w:t xml:space="preserve">Jānorāda, ka 2018.gadā līdz šim brīdim iesniegti pieteikumi ar kopējo vērtību 4,3 milj. </w:t>
      </w:r>
      <w:r w:rsidRPr="002766B4">
        <w:rPr>
          <w:i/>
          <w:color w:val="000000" w:themeColor="text1"/>
          <w:szCs w:val="28"/>
        </w:rPr>
        <w:t>euro</w:t>
      </w:r>
      <w:r w:rsidRPr="002766B4">
        <w:rPr>
          <w:color w:val="000000" w:themeColor="text1"/>
          <w:szCs w:val="28"/>
        </w:rPr>
        <w:t xml:space="preserve">. Pieteikumu iesniegšanas termiņš ir gada beigas – ministrija tikusi informēta par iesniegumiem tapšanas stadijā ar kopējo vērtību ~2 milj. </w:t>
      </w:r>
      <w:r w:rsidRPr="002766B4">
        <w:rPr>
          <w:i/>
          <w:color w:val="000000" w:themeColor="text1"/>
          <w:szCs w:val="28"/>
        </w:rPr>
        <w:t>euro</w:t>
      </w:r>
      <w:r w:rsidRPr="002766B4">
        <w:rPr>
          <w:color w:val="000000" w:themeColor="text1"/>
          <w:szCs w:val="28"/>
        </w:rPr>
        <w:t>, taču to varētu būt vairāk.</w:t>
      </w:r>
    </w:p>
    <w:p w14:paraId="3C1CE68C" w14:textId="77777777" w:rsidR="00EE1CF5" w:rsidRDefault="00EE1CF5" w:rsidP="00EE1CF5">
      <w:pPr>
        <w:ind w:firstLine="720"/>
        <w:rPr>
          <w:rFonts w:eastAsiaTheme="minorEastAsia"/>
          <w:szCs w:val="28"/>
        </w:rPr>
      </w:pPr>
      <w:bookmarkStart w:id="38" w:name="_Hlk523419467"/>
      <w:r w:rsidRPr="00046D62">
        <w:rPr>
          <w:rFonts w:eastAsiaTheme="minorEastAsia"/>
          <w:szCs w:val="28"/>
        </w:rPr>
        <w:t xml:space="preserve">Nolūkā nodrošināt objektīvu un optimālu energoietilpīgo apstrādes </w:t>
      </w:r>
      <w:r w:rsidRPr="00046D62">
        <w:rPr>
          <w:rFonts w:eastAsiaTheme="minorEastAsia" w:cs="Times New Roman"/>
          <w:szCs w:val="28"/>
        </w:rPr>
        <w:t>rūpniecības</w:t>
      </w:r>
      <w:r w:rsidRPr="00046D62">
        <w:rPr>
          <w:rFonts w:eastAsiaTheme="minorEastAsia"/>
          <w:szCs w:val="28"/>
        </w:rPr>
        <w:t xml:space="preserve"> uzņēmumu</w:t>
      </w:r>
      <w:r>
        <w:rPr>
          <w:rFonts w:eastAsiaTheme="minorEastAsia"/>
          <w:szCs w:val="28"/>
        </w:rPr>
        <w:t xml:space="preserve"> valsts atbalsta administrēšanu, </w:t>
      </w:r>
      <w:r w:rsidRPr="00046D62">
        <w:rPr>
          <w:rFonts w:eastAsiaTheme="minorEastAsia"/>
          <w:szCs w:val="28"/>
        </w:rPr>
        <w:t>administrāc</w:t>
      </w:r>
      <w:r>
        <w:rPr>
          <w:rFonts w:eastAsiaTheme="minorEastAsia"/>
          <w:szCs w:val="28"/>
        </w:rPr>
        <w:t xml:space="preserve">ijas efektivitātes uzlabošanai </w:t>
      </w:r>
      <w:r w:rsidRPr="00046D62">
        <w:rPr>
          <w:rFonts w:eastAsiaTheme="minorEastAsia"/>
          <w:szCs w:val="28"/>
        </w:rPr>
        <w:t>ir nepieciešams paredzēt, 201</w:t>
      </w:r>
      <w:r>
        <w:rPr>
          <w:rFonts w:eastAsiaTheme="minorEastAsia"/>
          <w:szCs w:val="28"/>
        </w:rPr>
        <w:t>9</w:t>
      </w:r>
      <w:r w:rsidRPr="00046D62">
        <w:rPr>
          <w:rFonts w:eastAsiaTheme="minorEastAsia"/>
          <w:szCs w:val="28"/>
        </w:rPr>
        <w:t xml:space="preserve">.gadā </w:t>
      </w:r>
      <w:r>
        <w:rPr>
          <w:rFonts w:eastAsiaTheme="minorEastAsia"/>
          <w:szCs w:val="28"/>
        </w:rPr>
        <w:t xml:space="preserve">un turpmākajos gados </w:t>
      </w:r>
      <w:r w:rsidRPr="00046D62">
        <w:rPr>
          <w:rFonts w:eastAsiaTheme="minorEastAsia"/>
          <w:szCs w:val="28"/>
        </w:rPr>
        <w:t xml:space="preserve">energoietilpīgo apstrādes </w:t>
      </w:r>
      <w:r w:rsidRPr="00046D62">
        <w:rPr>
          <w:rFonts w:eastAsiaTheme="minorEastAsia" w:cs="Times New Roman"/>
          <w:szCs w:val="28"/>
        </w:rPr>
        <w:t>rūpniecības</w:t>
      </w:r>
      <w:r w:rsidRPr="00046D62">
        <w:rPr>
          <w:rFonts w:eastAsiaTheme="minorEastAsia"/>
          <w:szCs w:val="28"/>
        </w:rPr>
        <w:t xml:space="preserve"> uzņēmum</w:t>
      </w:r>
      <w:r>
        <w:rPr>
          <w:rFonts w:eastAsiaTheme="minorEastAsia"/>
          <w:szCs w:val="28"/>
        </w:rPr>
        <w:t xml:space="preserve">u </w:t>
      </w:r>
      <w:r w:rsidRPr="00046D62">
        <w:rPr>
          <w:rFonts w:eastAsiaTheme="minorEastAsia"/>
          <w:szCs w:val="28"/>
        </w:rPr>
        <w:t>administr</w:t>
      </w:r>
      <w:r>
        <w:rPr>
          <w:rFonts w:eastAsiaTheme="minorEastAsia"/>
          <w:szCs w:val="28"/>
        </w:rPr>
        <w:t>ēšanas</w:t>
      </w:r>
      <w:r w:rsidRPr="00046D62">
        <w:rPr>
          <w:rFonts w:eastAsiaTheme="minorEastAsia"/>
          <w:szCs w:val="28"/>
        </w:rPr>
        <w:t xml:space="preserve"> izdevumiem</w:t>
      </w:r>
      <w:r>
        <w:rPr>
          <w:rFonts w:eastAsiaTheme="minorEastAsia"/>
          <w:szCs w:val="28"/>
        </w:rPr>
        <w:t xml:space="preserve"> 80 000 EUR (t.sk. atlīdzībai </w:t>
      </w:r>
      <w:r>
        <w:rPr>
          <w:rFonts w:eastAsiaTheme="minorEastAsia"/>
          <w:szCs w:val="28"/>
        </w:rPr>
        <w:lastRenderedPageBreak/>
        <w:t>59 490 EUR un 2 vecāko ekspertu amata vietu izveidei, kas veiktu iesniegto finanšu datu analīzi un administratīvo aktu sagatavošanu), kas nodrošinātu funkcijas pilnvērtīgu izpildi</w:t>
      </w:r>
      <w:r w:rsidRPr="00046D62">
        <w:rPr>
          <w:rFonts w:eastAsiaTheme="minorEastAsia"/>
          <w:szCs w:val="28"/>
        </w:rPr>
        <w:t>.</w:t>
      </w:r>
      <w:r>
        <w:rPr>
          <w:rFonts w:eastAsiaTheme="minorEastAsia"/>
          <w:szCs w:val="28"/>
        </w:rPr>
        <w:t xml:space="preserve"> </w:t>
      </w:r>
      <w:r w:rsidRPr="00591AC9">
        <w:rPr>
          <w:rFonts w:eastAsiaTheme="minorEastAsia"/>
          <w:szCs w:val="28"/>
        </w:rPr>
        <w:t xml:space="preserve">Tā kā atbalsta mehānisms ir jauns, tad no tā līdzšinējās īstenošanas praksē ir secināms, ka esošo resursu ietvaros faktiski nav iespējama </w:t>
      </w:r>
      <w:r>
        <w:rPr>
          <w:rFonts w:eastAsiaTheme="minorEastAsia"/>
          <w:szCs w:val="28"/>
        </w:rPr>
        <w:t>pieteikumu</w:t>
      </w:r>
      <w:r w:rsidRPr="00591AC9">
        <w:rPr>
          <w:rFonts w:eastAsiaTheme="minorEastAsia"/>
          <w:szCs w:val="28"/>
        </w:rPr>
        <w:t xml:space="preserve"> savlaicīga </w:t>
      </w:r>
      <w:r>
        <w:rPr>
          <w:rFonts w:eastAsiaTheme="minorEastAsia"/>
          <w:szCs w:val="28"/>
        </w:rPr>
        <w:t>izvērtēšana</w:t>
      </w:r>
      <w:r w:rsidRPr="00591AC9">
        <w:rPr>
          <w:rFonts w:eastAsiaTheme="minorEastAsia"/>
          <w:szCs w:val="28"/>
        </w:rPr>
        <w:t xml:space="preserve"> un lēmumu pieņemšana</w:t>
      </w:r>
      <w:r>
        <w:rPr>
          <w:rFonts w:eastAsiaTheme="minorEastAsia"/>
          <w:szCs w:val="28"/>
        </w:rPr>
        <w:t>, kas savukārt negatīvi ietekmē energoietilpīgo apstrādes komersantu tiesības</w:t>
      </w:r>
      <w:r w:rsidRPr="00591AC9">
        <w:rPr>
          <w:rFonts w:eastAsiaTheme="minorEastAsia"/>
          <w:szCs w:val="28"/>
        </w:rPr>
        <w:t xml:space="preserve">. Līdz šā gada oktobrim ir pieņemtas apmēram ¾ no visiem lēmumiem, kas faktiski bija jāpieņem līdz šā gada maijam. Turklāt, objektīvi sagaidāms, ka komersantu iesniegumu skaits palielināsies salīdzinājumā ar iepriekšējo gadu. </w:t>
      </w:r>
      <w:r>
        <w:rPr>
          <w:rFonts w:eastAsiaTheme="minorEastAsia"/>
          <w:szCs w:val="28"/>
        </w:rPr>
        <w:t>Jānorāda, ka līdz 2018.gada novembrim jau ir pieņemti 33 lēmumi par atbalsta izmaksāšanu komersantiem par 2015.gada 2.pusgadu un 2016.gadu, kā arī attiecībā uz 11 lietām par šiem periodiem</w:t>
      </w:r>
      <w:r w:rsidRPr="008C2EFC">
        <w:t xml:space="preserve"> </w:t>
      </w:r>
      <w:r w:rsidRPr="008C2EFC">
        <w:rPr>
          <w:rFonts w:eastAsiaTheme="minorEastAsia"/>
          <w:szCs w:val="28"/>
        </w:rPr>
        <w:t>administratīvais process nav noslēgts</w:t>
      </w:r>
      <w:r>
        <w:rPr>
          <w:rFonts w:eastAsiaTheme="minorEastAsia"/>
          <w:szCs w:val="28"/>
        </w:rPr>
        <w:t>. Vienlaikus EM ir saņēmusi 16 jaunus iesniegumus par 2017.gada OIK kompensāciju.</w:t>
      </w:r>
    </w:p>
    <w:p w14:paraId="3BC54E05" w14:textId="77777777" w:rsidR="00EE1CF5" w:rsidRPr="00A80A9A" w:rsidRDefault="00EE1CF5" w:rsidP="00EE1CF5">
      <w:pPr>
        <w:ind w:firstLine="720"/>
        <w:rPr>
          <w:rFonts w:eastAsiaTheme="minorEastAsia"/>
          <w:szCs w:val="28"/>
        </w:rPr>
      </w:pPr>
    </w:p>
    <w:p w14:paraId="1B4EE265" w14:textId="77777777" w:rsidR="00EE1CF5" w:rsidRDefault="00EE1CF5" w:rsidP="00EE1CF5">
      <w:pPr>
        <w:pStyle w:val="11apaknodaa"/>
        <w:spacing w:before="360" w:after="120"/>
      </w:pPr>
      <w:bookmarkStart w:id="39" w:name="_Toc531798566"/>
      <w:bookmarkEnd w:id="38"/>
      <w:r>
        <w:t xml:space="preserve">2.3. </w:t>
      </w:r>
      <w:r w:rsidRPr="00DA78F4">
        <w:tab/>
        <w:t>Atbalsts aizsargātajiem lietotājiem</w:t>
      </w:r>
      <w:bookmarkEnd w:id="34"/>
      <w:bookmarkEnd w:id="35"/>
      <w:bookmarkEnd w:id="36"/>
      <w:bookmarkEnd w:id="37"/>
      <w:bookmarkEnd w:id="39"/>
    </w:p>
    <w:p w14:paraId="3C500898" w14:textId="77777777" w:rsidR="00EE1CF5" w:rsidRDefault="00EE1CF5" w:rsidP="00EE1CF5">
      <w:pPr>
        <w:spacing w:before="120"/>
        <w:ind w:firstLine="851"/>
        <w:rPr>
          <w:szCs w:val="26"/>
        </w:rPr>
      </w:pPr>
      <w:r>
        <w:rPr>
          <w:szCs w:val="26"/>
        </w:rPr>
        <w:t xml:space="preserve">OI mehānisma augstās izmaksas skar ne tikai dažādas tautsaimniecības nozares, bet arī mājsaimniecību lietotājus. Daļa no tiem pašreiz daļēji tiek pasargāti ar aizsargātā lietotāja mehānismu. </w:t>
      </w:r>
    </w:p>
    <w:p w14:paraId="65668921" w14:textId="77777777" w:rsidR="00EE1CF5" w:rsidRPr="00B81392" w:rsidRDefault="00EE1CF5" w:rsidP="00EE1CF5">
      <w:pPr>
        <w:spacing w:before="120"/>
        <w:ind w:firstLine="851"/>
        <w:rPr>
          <w:szCs w:val="26"/>
        </w:rPr>
      </w:pPr>
      <w:r w:rsidRPr="00B81392">
        <w:rPr>
          <w:szCs w:val="26"/>
        </w:rPr>
        <w:t>Eiropas Parlamenta un Padomes</w:t>
      </w:r>
      <w:r>
        <w:rPr>
          <w:szCs w:val="26"/>
        </w:rPr>
        <w:t xml:space="preserve"> </w:t>
      </w:r>
      <w:r w:rsidRPr="003B7CFA">
        <w:rPr>
          <w:szCs w:val="26"/>
        </w:rPr>
        <w:t>2009. gada 13. jūlija</w:t>
      </w:r>
      <w:r w:rsidRPr="00B81392">
        <w:rPr>
          <w:szCs w:val="26"/>
        </w:rPr>
        <w:t xml:space="preserve"> Direktīvā 2009/72/EK par kopīgiem noteikumiem attiecībā uz elektroenerģijas iekšējo tirgu un par Direktīvas 2003/54/EK atcelšanu norādīts, ka dalībvalstīm būtu jānodrošina neaizsargāto lietotāju energoapgāde. </w:t>
      </w:r>
    </w:p>
    <w:p w14:paraId="29A7B5FE" w14:textId="77777777" w:rsidR="00EE1CF5" w:rsidRPr="00B81392" w:rsidRDefault="00EE1CF5" w:rsidP="00EE1CF5">
      <w:pPr>
        <w:spacing w:before="120"/>
        <w:ind w:firstLine="851"/>
        <w:rPr>
          <w:szCs w:val="26"/>
        </w:rPr>
      </w:pPr>
      <w:r w:rsidRPr="00B81392">
        <w:rPr>
          <w:szCs w:val="26"/>
        </w:rPr>
        <w:t>Pateicoties aizsargātā lietotāja instrumentam, Latvijā sociāli mazaizsargātajai iedzīvotāju daļai tiek nodrošināta subsidēta elektroenerģijas kopējā cena, tādējādi samazinot enerģētiskās nabadzības riskus. Savukārt, atceļot elektroenerģijas izmaksu aizsargātā lietotāja budžeta dotāciju, Latvijas aizsargāto lietotāju risks tikt pakļautiem enerģētiskajai nabadzībai būtiski paaugstinātos. Gadījumā, ja neeksistē atbilstoša sociālā atbalsta sistēma, kas vērsta uz enerģētiskās nabadzības novēršanu, šāda izdevumu palielināšanās var radīt nopietnus sociālos riskus. Bez elektroenerģijas izmaksu kompensējošā atbalsta un aizsargātā lietotāja budžeta Latvija ievērojami pasliktinātu pašreizējo stāvokli, paaugstinot enerģētiskās nabadzības risku.</w:t>
      </w:r>
    </w:p>
    <w:p w14:paraId="21FDA68B" w14:textId="77777777" w:rsidR="00EE1CF5" w:rsidRPr="00B81392" w:rsidRDefault="00EE1CF5" w:rsidP="00EE1CF5">
      <w:pPr>
        <w:spacing w:before="120"/>
        <w:ind w:firstLine="851"/>
        <w:rPr>
          <w:szCs w:val="26"/>
        </w:rPr>
      </w:pPr>
      <w:r w:rsidRPr="00B81392">
        <w:rPr>
          <w:szCs w:val="26"/>
        </w:rPr>
        <w:t>Saskaņā ar ETL aizsargātais lietotājs ir trūcīga vai maznodrošināta ģimene (persona), daudzbērnu ģimene vai ģimene (persona), kuras aprūpē ir bērns ar invaliditāti, vai persona ar I invaliditātes grupu un izlieto elektroenerģiju savā mājsaimniecībā paša vajadzībām (galapatēriņam).</w:t>
      </w:r>
    </w:p>
    <w:p w14:paraId="1AEAF119" w14:textId="77777777" w:rsidR="00EE1CF5" w:rsidRPr="00B81392" w:rsidRDefault="00EE1CF5" w:rsidP="00EE1CF5">
      <w:pPr>
        <w:spacing w:before="120"/>
        <w:ind w:firstLine="851"/>
        <w:rPr>
          <w:szCs w:val="26"/>
        </w:rPr>
      </w:pPr>
      <w:r w:rsidRPr="00B81392">
        <w:rPr>
          <w:szCs w:val="26"/>
        </w:rPr>
        <w:t>No 2015. gada Latvijā pilnībā ir liberalizēts elektroenerģijas tirgus un pārtraukta vispārēja elektroenerģijas subsidēšana mājsaimniecībām. Lai mazinātu elektroenerģijas izmaksu pieauguma negatīvo ietekmi sociāli neaizsargātākajai sabiedrības daļai (aizsargātajiem lietotājiem) paredzēts, ka šai grupai noteikts elektroenerģijas daudzums maksās iepriekšējā regulētā „starta tarifa” līmenī. Tādējādi 2016. gada 1. janvārī stājās spēkā (spēkā līdz 2016. gada 1. augustam) tiesiskais regulējums aizsargātajiem lietotājiem - MK 2015. gada 1. decembra noteikumi Nr.681 „Kārtība, kādā sniedz aizsargātā lietotāja tirdzniecības pakalpojumu un atbildīgās institūcijas sniedz informāciju par aizsargātā lietotāja statusu”, kuri noteica aizsargātā lietotāja tirdzniecības pakalpojuma sniegšanu.</w:t>
      </w:r>
    </w:p>
    <w:p w14:paraId="42301450" w14:textId="77777777" w:rsidR="00EE1CF5" w:rsidRPr="00B81392" w:rsidRDefault="00EE1CF5" w:rsidP="00EE1CF5">
      <w:pPr>
        <w:spacing w:before="120"/>
        <w:ind w:firstLine="851"/>
        <w:rPr>
          <w:szCs w:val="26"/>
        </w:rPr>
      </w:pPr>
      <w:r w:rsidRPr="00B81392">
        <w:rPr>
          <w:szCs w:val="26"/>
        </w:rPr>
        <w:lastRenderedPageBreak/>
        <w:t xml:space="preserve">Savukārt ar 2015. gada 17. septembra grozījumiem ETL un 2015. gada 26. novembra grozījumiem Bērnu tiesību aizsardzības likumā aizsargāto lietotāju loks tika paplašināts ar personām ar invaliditāti, daudzbērnu ģimenēm, iekļaujot personas līdz 24 gadiem, kuras turpina izglītības iegūšanu izglītības iestādē. </w:t>
      </w:r>
    </w:p>
    <w:p w14:paraId="49881ECC" w14:textId="77777777" w:rsidR="00EE1CF5" w:rsidRPr="00B81392" w:rsidRDefault="00EE1CF5" w:rsidP="00EE1CF5">
      <w:pPr>
        <w:spacing w:before="120"/>
        <w:ind w:firstLine="851"/>
        <w:rPr>
          <w:szCs w:val="26"/>
        </w:rPr>
      </w:pPr>
      <w:r w:rsidRPr="00B81392">
        <w:rPr>
          <w:szCs w:val="26"/>
        </w:rPr>
        <w:t xml:space="preserve">Vērtējot nepieciešamos finansiālos līdzekļus aizsargātā lietotāja tirdzniecības pakalpojuma sniegšanai, par pamatu tiek ņemta aktuālā informācija no AS „Latvenergo”, kura atbilstoši ETL, 2015. gadā nodrošināja aizsargātā lietotāja tirdzniecības pakalpojumu sava budžeta ietvaros, bet 2016.,2017., 2018.gadā līdz brīdim, kad tiks noslēgts līgums ar </w:t>
      </w:r>
      <w:r>
        <w:rPr>
          <w:szCs w:val="26"/>
        </w:rPr>
        <w:t>EM</w:t>
      </w:r>
      <w:r w:rsidRPr="00B81392">
        <w:rPr>
          <w:szCs w:val="26"/>
        </w:rPr>
        <w:t xml:space="preserve"> izraudzīto aizsargātā lietotāja pakalpojuma sniedzēju, turpina nodrošināt aizsargātā lietotāja tirdzniecības pakalpojumu no valsts budžeta līdzekļiem. 2017. gadā AS „Latvenergo” ir sniegusi aizsargātā lietotāja tirdzniecības pakalpojumu vidēji 82123 personām (ģimenēm) mēnesī </w:t>
      </w:r>
      <w:r>
        <w:rPr>
          <w:szCs w:val="26"/>
        </w:rPr>
        <w:t>(</w:t>
      </w:r>
      <w:r w:rsidRPr="00B81392">
        <w:rPr>
          <w:szCs w:val="26"/>
        </w:rPr>
        <w:t>49651</w:t>
      </w:r>
      <w:r>
        <w:rPr>
          <w:szCs w:val="26"/>
        </w:rPr>
        <w:t xml:space="preserve"> </w:t>
      </w:r>
      <w:r w:rsidRPr="00B81392">
        <w:rPr>
          <w:szCs w:val="26"/>
        </w:rPr>
        <w:t>trūcīgajām vai maznodrošinātajām ģimenēm (personām), 9199 pe</w:t>
      </w:r>
      <w:r>
        <w:rPr>
          <w:szCs w:val="26"/>
        </w:rPr>
        <w:t>rsonām ar I invaliditātes grupu</w:t>
      </w:r>
      <w:r w:rsidRPr="00B81392">
        <w:rPr>
          <w:szCs w:val="26"/>
        </w:rPr>
        <w:t>, 2913 ģimenēm ar bērniem ar invaliditāti un 20361 daudzbērnu ģimenēm). Kopā 2017. gadā aizsargātajiem lietotājiem no valsts budžeta līdzekļiem izmaksātais kompensāciju apmērs sastādīja 4 373 083,91 EUR (bez PVN).</w:t>
      </w:r>
    </w:p>
    <w:p w14:paraId="06125ADE" w14:textId="77777777" w:rsidR="00EE1CF5" w:rsidRPr="00B81392" w:rsidRDefault="00EE1CF5" w:rsidP="00EE1CF5">
      <w:pPr>
        <w:spacing w:before="120"/>
        <w:ind w:firstLine="851"/>
        <w:rPr>
          <w:szCs w:val="26"/>
        </w:rPr>
      </w:pPr>
      <w:r w:rsidRPr="00B81392">
        <w:rPr>
          <w:rFonts w:cs="Times New Roman"/>
          <w:szCs w:val="26"/>
        </w:rPr>
        <w:t xml:space="preserve">Likumā “Par valsts budžetu 2018.gadam” un likumā “Par vidēja termiņa budžeta ietvaru 2018., 2019. un 2020.gadam” </w:t>
      </w:r>
      <w:r>
        <w:rPr>
          <w:rFonts w:cs="Times New Roman"/>
          <w:szCs w:val="26"/>
        </w:rPr>
        <w:t>EM</w:t>
      </w:r>
      <w:r w:rsidRPr="00B81392">
        <w:rPr>
          <w:rFonts w:cs="Times New Roman"/>
          <w:szCs w:val="26"/>
        </w:rPr>
        <w:t xml:space="preserve"> budžeta apakšprogrammā 29.02.00 “Elektroenerģijas lietotāju atbalsts” atbilstoši </w:t>
      </w:r>
      <w:r>
        <w:rPr>
          <w:rFonts w:cs="Times New Roman"/>
          <w:szCs w:val="26"/>
        </w:rPr>
        <w:t>MK</w:t>
      </w:r>
      <w:r w:rsidRPr="00B81392">
        <w:rPr>
          <w:rFonts w:cs="Times New Roman"/>
          <w:szCs w:val="26"/>
        </w:rPr>
        <w:t xml:space="preserve"> 2017.gada</w:t>
      </w:r>
      <w:r>
        <w:rPr>
          <w:rFonts w:cs="Times New Roman"/>
          <w:szCs w:val="26"/>
        </w:rPr>
        <w:t xml:space="preserve"> 22.septembra rīkojumam Nr.530  </w:t>
      </w:r>
      <w:r w:rsidRPr="00B81392">
        <w:rPr>
          <w:rFonts w:cs="Times New Roman"/>
          <w:szCs w:val="26"/>
        </w:rPr>
        <w:t>ir paredzēts finansējums aizsargāto lietotāju atbalstam 2018.</w:t>
      </w:r>
      <w:r>
        <w:rPr>
          <w:rFonts w:cs="Times New Roman"/>
          <w:szCs w:val="26"/>
        </w:rPr>
        <w:t xml:space="preserve"> </w:t>
      </w:r>
      <w:r w:rsidRPr="00B81392">
        <w:rPr>
          <w:rFonts w:cs="Times New Roman"/>
          <w:szCs w:val="26"/>
        </w:rPr>
        <w:t>-</w:t>
      </w:r>
      <w:r>
        <w:rPr>
          <w:rFonts w:cs="Times New Roman"/>
          <w:szCs w:val="26"/>
        </w:rPr>
        <w:t xml:space="preserve"> </w:t>
      </w:r>
      <w:r w:rsidRPr="00B81392">
        <w:rPr>
          <w:rFonts w:cs="Times New Roman"/>
          <w:szCs w:val="26"/>
        </w:rPr>
        <w:t>2020.gadam 5</w:t>
      </w:r>
      <w:r>
        <w:rPr>
          <w:rFonts w:cs="Times New Roman"/>
          <w:szCs w:val="26"/>
        </w:rPr>
        <w:t> </w:t>
      </w:r>
      <w:r w:rsidRPr="00B81392">
        <w:rPr>
          <w:rFonts w:cs="Times New Roman"/>
          <w:szCs w:val="26"/>
        </w:rPr>
        <w:t xml:space="preserve">782 117 </w:t>
      </w:r>
      <w:r w:rsidRPr="00347EA2">
        <w:rPr>
          <w:rFonts w:cs="Times New Roman"/>
          <w:szCs w:val="26"/>
        </w:rPr>
        <w:t>EUR</w:t>
      </w:r>
      <w:r w:rsidRPr="00B81392">
        <w:rPr>
          <w:rFonts w:cs="Times New Roman"/>
          <w:szCs w:val="26"/>
        </w:rPr>
        <w:t xml:space="preserve"> apmērā ik gadu.</w:t>
      </w:r>
      <w:r>
        <w:rPr>
          <w:rFonts w:cs="Times New Roman"/>
          <w:szCs w:val="26"/>
        </w:rPr>
        <w:t xml:space="preserve"> </w:t>
      </w:r>
      <w:r w:rsidRPr="00B81392">
        <w:rPr>
          <w:szCs w:val="26"/>
        </w:rPr>
        <w:t xml:space="preserve">Vienlaikus jāatzīmē, ka elektroenerģijas kopējā cena aizsargātajam lietotājam kā mājsaimniecībai tiek kompensēta ieskaitot PVN, jo arī kompensējamā daļa tiek aplikta ar PVN. </w:t>
      </w:r>
    </w:p>
    <w:p w14:paraId="0934B990" w14:textId="77777777" w:rsidR="00EE1CF5" w:rsidRPr="00B81392" w:rsidRDefault="00EE1CF5" w:rsidP="00EE1CF5">
      <w:pPr>
        <w:spacing w:before="120"/>
        <w:ind w:firstLine="851"/>
        <w:rPr>
          <w:szCs w:val="26"/>
        </w:rPr>
      </w:pPr>
      <w:r w:rsidRPr="00B81392">
        <w:rPr>
          <w:rFonts w:cs="Times New Roman"/>
          <w:szCs w:val="26"/>
        </w:rPr>
        <w:t>2017.gada 1.septembrī stājušies spēkā ETL grozījumi (ETL 28.</w:t>
      </w:r>
      <w:r w:rsidRPr="00B81392">
        <w:rPr>
          <w:rFonts w:cs="Times New Roman"/>
          <w:szCs w:val="26"/>
          <w:vertAlign w:val="superscript"/>
        </w:rPr>
        <w:t xml:space="preserve">1 </w:t>
      </w:r>
      <w:r w:rsidRPr="00B81392">
        <w:rPr>
          <w:rFonts w:cs="Times New Roman"/>
          <w:szCs w:val="26"/>
        </w:rPr>
        <w:t xml:space="preserve">panta ceturtā daļa), kas paredz diferencēt galalietotāju obligātā iepirkuma  maksājumus pēc pieslēguma parametriem. Līdz ar to pašlaik ETL paredz, ka elektroenerģijas rēķinā </w:t>
      </w:r>
      <w:r>
        <w:rPr>
          <w:rFonts w:cs="Times New Roman"/>
          <w:szCs w:val="26"/>
        </w:rPr>
        <w:t>OI</w:t>
      </w:r>
      <w:r w:rsidRPr="00B81392">
        <w:rPr>
          <w:rFonts w:cs="Times New Roman"/>
          <w:szCs w:val="26"/>
        </w:rPr>
        <w:t xml:space="preserve"> maksājumu veido </w:t>
      </w:r>
      <w:r w:rsidRPr="00B81392">
        <w:rPr>
          <w:rFonts w:cs="Times New Roman"/>
          <w:szCs w:val="26"/>
          <w:u w:val="single"/>
        </w:rPr>
        <w:t>mainīgā komponente</w:t>
      </w:r>
      <w:r w:rsidRPr="00B81392">
        <w:rPr>
          <w:rFonts w:cs="Times New Roman"/>
          <w:szCs w:val="26"/>
        </w:rPr>
        <w:t xml:space="preserve">, kas ir proporcionāla patērētājai elektrībai, un </w:t>
      </w:r>
      <w:r w:rsidRPr="00B81392">
        <w:rPr>
          <w:rFonts w:cs="Times New Roman"/>
          <w:szCs w:val="26"/>
          <w:u w:val="single"/>
        </w:rPr>
        <w:t>fiksētā komponente</w:t>
      </w:r>
      <w:r w:rsidRPr="00B81392">
        <w:rPr>
          <w:rFonts w:cs="Times New Roman"/>
          <w:szCs w:val="26"/>
        </w:rPr>
        <w:t xml:space="preserve"> jeb jaudas komponente, kas ir atkarīga no izmantotā sistēmas pakalpojuma veida. Pēc šāda paša principa visiem elektroenerģijas galalietotājiem tiek piemērots arī sadales sistēmas tarifs. </w:t>
      </w:r>
      <w:r>
        <w:rPr>
          <w:rFonts w:cs="Times New Roman"/>
          <w:szCs w:val="26"/>
        </w:rPr>
        <w:t>OI</w:t>
      </w:r>
      <w:r w:rsidRPr="00B81392">
        <w:rPr>
          <w:rFonts w:cs="Times New Roman"/>
          <w:szCs w:val="26"/>
        </w:rPr>
        <w:t xml:space="preserve"> mainīgā komponente rēķinos sastāda 1,463 eiro centus par kWh. </w:t>
      </w:r>
    </w:p>
    <w:p w14:paraId="46BF84A8" w14:textId="77777777" w:rsidR="00EE1CF5" w:rsidRPr="00B81392" w:rsidRDefault="00EE1CF5" w:rsidP="00EE1CF5">
      <w:pPr>
        <w:spacing w:before="120"/>
        <w:ind w:firstLine="851"/>
        <w:rPr>
          <w:szCs w:val="26"/>
        </w:rPr>
      </w:pPr>
      <w:r w:rsidRPr="00B81392">
        <w:rPr>
          <w:szCs w:val="26"/>
        </w:rPr>
        <w:t xml:space="preserve">MK 2017.gada 19.decembrī pieņēma grozījumus </w:t>
      </w:r>
      <w:r>
        <w:rPr>
          <w:szCs w:val="26"/>
        </w:rPr>
        <w:t>MK</w:t>
      </w:r>
      <w:r w:rsidRPr="00B81392">
        <w:rPr>
          <w:szCs w:val="26"/>
        </w:rPr>
        <w:t xml:space="preserve"> noteikumos Nr.459 “Aizsargātā lietotāja tirdzniecības pakalpojuma sniegšanas, obligātā iepirkuma komponentes un sadales sistēmas pakalpojuma kompensēšanas kārtība” (turpmāk – MK noteikumi Nr.459), kas pilnveido ietverto regulējumu, nodrošinot aizsargātā lietotāja tirdzniecības pakalpojuma saturu (cenu, apjomu, finansēšanas kārtību). MK noteikumi Nr.459 paredz kārtību, kādā aizsargātajam lietotājam tiek kompensēta obligātā iepirkuma komponentes un sadales sistēmas pakalpojuma fiksētā daļa jeb maksa par elektroenerģijas pieslēgumam nodrošinātajiem jaudas parametriem.</w:t>
      </w:r>
    </w:p>
    <w:p w14:paraId="3C50F57A" w14:textId="77777777" w:rsidR="00EE1CF5" w:rsidRPr="00B81392" w:rsidRDefault="00EE1CF5" w:rsidP="00EE1CF5">
      <w:pPr>
        <w:spacing w:before="120"/>
        <w:ind w:firstLine="851"/>
        <w:rPr>
          <w:szCs w:val="26"/>
        </w:rPr>
      </w:pPr>
      <w:r>
        <w:rPr>
          <w:rFonts w:cs="Times New Roman"/>
          <w:szCs w:val="26"/>
        </w:rPr>
        <w:t>MK</w:t>
      </w:r>
      <w:r w:rsidRPr="00B81392">
        <w:rPr>
          <w:rFonts w:cs="Times New Roman"/>
          <w:szCs w:val="26"/>
        </w:rPr>
        <w:t xml:space="preserve"> 2018.</w:t>
      </w:r>
      <w:r w:rsidRPr="000D6499">
        <w:rPr>
          <w:rFonts w:cs="Times New Roman"/>
          <w:szCs w:val="26"/>
        </w:rPr>
        <w:t xml:space="preserve">gada 7.maija rīkojums Nr.202 paredz elektroenerģijas kopējās OI un jaudas komponentes vidējās vērtības samazināšanu no 25,79 EUR/MWh līdz 22,68 </w:t>
      </w:r>
      <w:r>
        <w:rPr>
          <w:rFonts w:cs="Times New Roman"/>
          <w:szCs w:val="26"/>
        </w:rPr>
        <w:t> </w:t>
      </w:r>
      <w:r w:rsidRPr="0000639C">
        <w:rPr>
          <w:rFonts w:cs="Times New Roman"/>
          <w:szCs w:val="26"/>
        </w:rPr>
        <w:t xml:space="preserve">EUR/MWh, </w:t>
      </w:r>
      <w:r>
        <w:rPr>
          <w:rFonts w:cs="Times New Roman"/>
          <w:szCs w:val="26"/>
        </w:rPr>
        <w:t xml:space="preserve">sākot ar 2018. gada 1. jūliju, </w:t>
      </w:r>
      <w:r w:rsidRPr="000D6499">
        <w:rPr>
          <w:rFonts w:cs="Times New Roman"/>
          <w:szCs w:val="26"/>
        </w:rPr>
        <w:t xml:space="preserve">izmantojot ieņēmumus no akciju sabiedrības “Latvenergo” virsplāna dividendēm par 2017.gada pārskata gadu, </w:t>
      </w:r>
      <w:r>
        <w:rPr>
          <w:rFonts w:cs="Times New Roman"/>
          <w:szCs w:val="26"/>
        </w:rPr>
        <w:t xml:space="preserve">kā arī paredzot, ka garantētās maksas par uzstādīto elektrisko jaudu komponenšu aprēķinā tiek iekļautas četru gadu vidējās prognozētās izmaksas, ko veido maksājumi par koģenerācijas elektrostacijās uzstādīto elektrisko jaudu 2017.-2020. gadā, ņemot vērā </w:t>
      </w:r>
      <w:r w:rsidRPr="00F001EC">
        <w:rPr>
          <w:rFonts w:cs="Times New Roman"/>
          <w:szCs w:val="26"/>
        </w:rPr>
        <w:lastRenderedPageBreak/>
        <w:t>samazināto garantēto maksu AS “Latvenergo” koģenerācijas elektrostacijām TEC-1 un TEC-2 no 2018.gada 1.janvāra, kā arī uz 2018.gada pirmo pusgadu (no 2018.gada 1.janvāra līdz 2018.gada 30.jūnijam) attiecināmo jaudas maksājumu par elektrostacijās uzstādīto jaudu</w:t>
      </w:r>
      <w:r w:rsidRPr="000D6499">
        <w:rPr>
          <w:rFonts w:cs="Times New Roman"/>
          <w:szCs w:val="26"/>
        </w:rPr>
        <w:t>. Proti, elektroenerģijas galalietotājiem tiek samazināta obligātā iep</w:t>
      </w:r>
      <w:r w:rsidRPr="0000639C">
        <w:rPr>
          <w:rFonts w:cs="Times New Roman"/>
          <w:szCs w:val="26"/>
        </w:rPr>
        <w:t>irkuma jaudas komponentes fiksētā maksa.</w:t>
      </w:r>
    </w:p>
    <w:p w14:paraId="08E61800" w14:textId="77777777" w:rsidR="00EE1CF5" w:rsidRPr="00416563" w:rsidRDefault="00EE1CF5" w:rsidP="00EE1CF5">
      <w:pPr>
        <w:spacing w:before="120"/>
        <w:ind w:firstLine="851"/>
        <w:rPr>
          <w:szCs w:val="26"/>
          <w:highlight w:val="yellow"/>
        </w:rPr>
      </w:pPr>
      <w:r w:rsidRPr="00B81392">
        <w:rPr>
          <w:szCs w:val="26"/>
        </w:rPr>
        <w:t>Plānotais valsts budžeta finansējums aizsargātajiem lietotājiem atbalsta pasākumiem tur</w:t>
      </w:r>
      <w:r>
        <w:rPr>
          <w:szCs w:val="26"/>
        </w:rPr>
        <w:t>pmākajiem gadiem atspoguļots 6.</w:t>
      </w:r>
      <w:r w:rsidRPr="00B81392">
        <w:rPr>
          <w:szCs w:val="26"/>
        </w:rPr>
        <w:t xml:space="preserve">tabulā. </w:t>
      </w:r>
    </w:p>
    <w:p w14:paraId="7E3360D5" w14:textId="77777777" w:rsidR="00EE1CF5" w:rsidRPr="00416563" w:rsidRDefault="00EE1CF5" w:rsidP="00EE1CF5">
      <w:pPr>
        <w:pStyle w:val="Caption"/>
        <w:keepNext/>
        <w:keepLines/>
        <w:spacing w:after="0" w:line="240" w:lineRule="auto"/>
        <w:jc w:val="right"/>
        <w:rPr>
          <w:rFonts w:ascii="Times New Roman" w:hAnsi="Times New Roman"/>
          <w:b w:val="0"/>
          <w:i/>
          <w:sz w:val="26"/>
          <w:szCs w:val="26"/>
        </w:rPr>
      </w:pPr>
      <w:r w:rsidRPr="00416563">
        <w:rPr>
          <w:rFonts w:ascii="Times New Roman" w:hAnsi="Times New Roman"/>
          <w:b w:val="0"/>
          <w:i/>
          <w:sz w:val="26"/>
          <w:szCs w:val="26"/>
        </w:rPr>
        <w:t>6. tabula</w:t>
      </w:r>
    </w:p>
    <w:p w14:paraId="1416CB5C" w14:textId="77777777" w:rsidR="00EE1CF5" w:rsidRPr="00416563" w:rsidRDefault="00EE1CF5" w:rsidP="00EE1CF5">
      <w:pPr>
        <w:pStyle w:val="Caption"/>
        <w:keepNext/>
        <w:keepLines/>
        <w:spacing w:after="0"/>
        <w:jc w:val="center"/>
        <w:rPr>
          <w:rFonts w:ascii="Times New Roman" w:hAnsi="Times New Roman"/>
          <w:sz w:val="24"/>
          <w:szCs w:val="26"/>
        </w:rPr>
      </w:pPr>
      <w:r w:rsidRPr="00416563">
        <w:rPr>
          <w:rFonts w:ascii="Times New Roman" w:hAnsi="Times New Roman"/>
          <w:sz w:val="24"/>
          <w:szCs w:val="26"/>
        </w:rPr>
        <w:t>Finanšu līdzekļu nepieciešamība aizsargātajiem lietotājiem, EUR</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1994"/>
      </w:tblGrid>
      <w:tr w:rsidR="00EE1CF5" w14:paraId="4795ACE7" w14:textId="77777777" w:rsidTr="00263AB1">
        <w:trPr>
          <w:trHeight w:val="615"/>
          <w:jc w:val="center"/>
        </w:trPr>
        <w:tc>
          <w:tcPr>
            <w:tcW w:w="4805" w:type="dxa"/>
            <w:shd w:val="clear" w:color="auto" w:fill="auto"/>
            <w:vAlign w:val="center"/>
          </w:tcPr>
          <w:p w14:paraId="49844530" w14:textId="77777777" w:rsidR="00EE1CF5" w:rsidRPr="00416563" w:rsidRDefault="00EE1CF5" w:rsidP="00263AB1">
            <w:pPr>
              <w:keepNext/>
              <w:keepLines/>
              <w:jc w:val="center"/>
              <w:rPr>
                <w:szCs w:val="26"/>
              </w:rPr>
            </w:pPr>
          </w:p>
        </w:tc>
        <w:tc>
          <w:tcPr>
            <w:tcW w:w="1994" w:type="dxa"/>
            <w:shd w:val="clear" w:color="auto" w:fill="auto"/>
            <w:vAlign w:val="center"/>
          </w:tcPr>
          <w:p w14:paraId="725F2830" w14:textId="77777777" w:rsidR="00EE1CF5" w:rsidRPr="00416563" w:rsidRDefault="00EE1CF5" w:rsidP="00263AB1">
            <w:pPr>
              <w:keepNext/>
              <w:keepLines/>
              <w:jc w:val="center"/>
              <w:rPr>
                <w:szCs w:val="26"/>
              </w:rPr>
            </w:pPr>
            <w:r w:rsidRPr="00416563">
              <w:rPr>
                <w:szCs w:val="26"/>
              </w:rPr>
              <w:t>201</w:t>
            </w:r>
            <w:r>
              <w:rPr>
                <w:szCs w:val="26"/>
              </w:rPr>
              <w:t>9</w:t>
            </w:r>
            <w:r w:rsidRPr="00416563">
              <w:rPr>
                <w:szCs w:val="26"/>
              </w:rPr>
              <w:t>/20</w:t>
            </w:r>
            <w:r>
              <w:rPr>
                <w:szCs w:val="26"/>
              </w:rPr>
              <w:t>20</w:t>
            </w:r>
            <w:r w:rsidRPr="00416563">
              <w:rPr>
                <w:szCs w:val="26"/>
              </w:rPr>
              <w:t>/202</w:t>
            </w:r>
            <w:r>
              <w:rPr>
                <w:szCs w:val="26"/>
              </w:rPr>
              <w:t>1</w:t>
            </w:r>
          </w:p>
        </w:tc>
      </w:tr>
      <w:tr w:rsidR="00EE1CF5" w14:paraId="24E7233A" w14:textId="77777777" w:rsidTr="00263AB1">
        <w:trPr>
          <w:trHeight w:val="615"/>
          <w:jc w:val="center"/>
        </w:trPr>
        <w:tc>
          <w:tcPr>
            <w:tcW w:w="4805" w:type="dxa"/>
            <w:shd w:val="clear" w:color="auto" w:fill="auto"/>
            <w:vAlign w:val="center"/>
          </w:tcPr>
          <w:p w14:paraId="5416F04F" w14:textId="77777777" w:rsidR="00EE1CF5" w:rsidRPr="00416563" w:rsidRDefault="00EE1CF5" w:rsidP="00263AB1">
            <w:pPr>
              <w:keepNext/>
              <w:keepLines/>
              <w:jc w:val="center"/>
              <w:rPr>
                <w:szCs w:val="26"/>
              </w:rPr>
            </w:pPr>
            <w:r>
              <w:rPr>
                <w:szCs w:val="26"/>
              </w:rPr>
              <w:t>Kompensācija aizsargātajiem lietotājiem par patērēto elektroenerģiju un</w:t>
            </w:r>
            <w:r w:rsidRPr="00416563">
              <w:rPr>
                <w:szCs w:val="26"/>
              </w:rPr>
              <w:t xml:space="preserve"> </w:t>
            </w:r>
            <w:r>
              <w:rPr>
                <w:szCs w:val="26"/>
              </w:rPr>
              <w:t xml:space="preserve">mainīgo OIK maksājumu </w:t>
            </w:r>
            <w:r w:rsidRPr="00416563">
              <w:rPr>
                <w:szCs w:val="26"/>
              </w:rPr>
              <w:t>(iesk. PVN</w:t>
            </w:r>
            <w:r>
              <w:rPr>
                <w:szCs w:val="26"/>
              </w:rPr>
              <w:t>)</w:t>
            </w:r>
          </w:p>
        </w:tc>
        <w:tc>
          <w:tcPr>
            <w:tcW w:w="1994" w:type="dxa"/>
            <w:shd w:val="clear" w:color="auto" w:fill="auto"/>
            <w:vAlign w:val="center"/>
          </w:tcPr>
          <w:p w14:paraId="0F0DF11A" w14:textId="77777777" w:rsidR="00EE1CF5" w:rsidRPr="00416563" w:rsidRDefault="00EE1CF5" w:rsidP="00263AB1">
            <w:pPr>
              <w:keepNext/>
              <w:keepLines/>
              <w:jc w:val="center"/>
              <w:rPr>
                <w:szCs w:val="26"/>
              </w:rPr>
            </w:pPr>
            <w:r w:rsidRPr="00FE571F">
              <w:rPr>
                <w:szCs w:val="26"/>
              </w:rPr>
              <w:t>3 137 904</w:t>
            </w:r>
          </w:p>
        </w:tc>
      </w:tr>
      <w:tr w:rsidR="00EE1CF5" w14:paraId="7F1A11E8" w14:textId="77777777" w:rsidTr="00263AB1">
        <w:trPr>
          <w:trHeight w:val="345"/>
          <w:jc w:val="center"/>
        </w:trPr>
        <w:tc>
          <w:tcPr>
            <w:tcW w:w="4805" w:type="dxa"/>
            <w:shd w:val="clear" w:color="auto" w:fill="auto"/>
            <w:vAlign w:val="center"/>
          </w:tcPr>
          <w:p w14:paraId="523F2510" w14:textId="77777777" w:rsidR="00EE1CF5" w:rsidRPr="00416563" w:rsidRDefault="00EE1CF5" w:rsidP="00263AB1">
            <w:pPr>
              <w:jc w:val="center"/>
              <w:rPr>
                <w:szCs w:val="26"/>
              </w:rPr>
            </w:pPr>
            <w:r>
              <w:rPr>
                <w:szCs w:val="26"/>
              </w:rPr>
              <w:t xml:space="preserve">Kompensācija aizsargātajiem lietotājiem par OIK un sadales tarifa fiksēto daļu </w:t>
            </w:r>
            <w:r w:rsidRPr="00416563">
              <w:rPr>
                <w:szCs w:val="26"/>
              </w:rPr>
              <w:t>(iesk.</w:t>
            </w:r>
            <w:r>
              <w:rPr>
                <w:szCs w:val="26"/>
              </w:rPr>
              <w:t> </w:t>
            </w:r>
            <w:r w:rsidRPr="00416563">
              <w:rPr>
                <w:szCs w:val="26"/>
              </w:rPr>
              <w:t>PVN</w:t>
            </w:r>
            <w:r>
              <w:rPr>
                <w:szCs w:val="26"/>
              </w:rPr>
              <w:t>)</w:t>
            </w:r>
          </w:p>
        </w:tc>
        <w:tc>
          <w:tcPr>
            <w:tcW w:w="1994" w:type="dxa"/>
            <w:shd w:val="clear" w:color="auto" w:fill="auto"/>
            <w:vAlign w:val="center"/>
          </w:tcPr>
          <w:p w14:paraId="5B7DAB1B" w14:textId="77777777" w:rsidR="00EE1CF5" w:rsidRPr="00416563" w:rsidRDefault="00EE1CF5" w:rsidP="00263AB1">
            <w:pPr>
              <w:jc w:val="center"/>
              <w:rPr>
                <w:szCs w:val="26"/>
              </w:rPr>
            </w:pPr>
            <w:r w:rsidRPr="00FE571F">
              <w:rPr>
                <w:rFonts w:eastAsia="Times New Roman" w:cs="Times New Roman"/>
                <w:color w:val="000000"/>
                <w:szCs w:val="26"/>
                <w:lang w:eastAsia="lv-LV"/>
              </w:rPr>
              <w:t>3 543 9</w:t>
            </w:r>
            <w:r>
              <w:rPr>
                <w:rFonts w:eastAsia="Times New Roman" w:cs="Times New Roman"/>
                <w:color w:val="000000"/>
                <w:szCs w:val="26"/>
                <w:lang w:eastAsia="lv-LV"/>
              </w:rPr>
              <w:t>10</w:t>
            </w:r>
          </w:p>
        </w:tc>
      </w:tr>
      <w:tr w:rsidR="00EE1CF5" w14:paraId="09E9569B" w14:textId="77777777" w:rsidTr="00263AB1">
        <w:trPr>
          <w:trHeight w:val="690"/>
          <w:jc w:val="center"/>
        </w:trPr>
        <w:tc>
          <w:tcPr>
            <w:tcW w:w="4805" w:type="dxa"/>
            <w:shd w:val="clear" w:color="auto" w:fill="auto"/>
            <w:vAlign w:val="center"/>
          </w:tcPr>
          <w:p w14:paraId="262DEF16" w14:textId="77777777" w:rsidR="00EE1CF5" w:rsidRPr="00416563" w:rsidRDefault="00EE1CF5" w:rsidP="00263AB1">
            <w:pPr>
              <w:jc w:val="center"/>
              <w:rPr>
                <w:szCs w:val="26"/>
              </w:rPr>
            </w:pPr>
            <w:r>
              <w:rPr>
                <w:rFonts w:cs="Times New Roman"/>
                <w:szCs w:val="26"/>
              </w:rPr>
              <w:t>Vienotās aizsargāto lietotāju datu sistēmas</w:t>
            </w:r>
            <w:r>
              <w:rPr>
                <w:rFonts w:eastAsiaTheme="minorEastAsia"/>
                <w:szCs w:val="28"/>
              </w:rPr>
              <w:t xml:space="preserve"> administrēšana, uzturēšana un pilnveidošana</w:t>
            </w:r>
            <w:r w:rsidRPr="005D3AD5">
              <w:rPr>
                <w:rFonts w:eastAsiaTheme="minorEastAsia"/>
                <w:szCs w:val="28"/>
              </w:rPr>
              <w:t xml:space="preserve"> </w:t>
            </w:r>
            <w:r w:rsidRPr="007D20D8">
              <w:rPr>
                <w:rFonts w:eastAsiaTheme="minorEastAsia"/>
                <w:szCs w:val="28"/>
              </w:rPr>
              <w:t>(iesk. PVN)</w:t>
            </w:r>
          </w:p>
        </w:tc>
        <w:tc>
          <w:tcPr>
            <w:tcW w:w="1994" w:type="dxa"/>
            <w:shd w:val="clear" w:color="auto" w:fill="auto"/>
            <w:vAlign w:val="center"/>
          </w:tcPr>
          <w:p w14:paraId="4B39F7EF" w14:textId="77777777" w:rsidR="00EE1CF5" w:rsidRPr="00416563" w:rsidRDefault="00EE1CF5" w:rsidP="00263AB1">
            <w:pPr>
              <w:jc w:val="center"/>
              <w:rPr>
                <w:szCs w:val="26"/>
              </w:rPr>
            </w:pPr>
            <w:r w:rsidRPr="009C05CA">
              <w:rPr>
                <w:rFonts w:eastAsia="Times New Roman" w:cs="Times New Roman"/>
                <w:color w:val="000000"/>
                <w:szCs w:val="26"/>
                <w:lang w:eastAsia="lv-LV"/>
              </w:rPr>
              <w:t>24 200</w:t>
            </w:r>
          </w:p>
        </w:tc>
      </w:tr>
      <w:tr w:rsidR="00EE1CF5" w14:paraId="0B5C0F2B" w14:textId="77777777" w:rsidTr="00263AB1">
        <w:trPr>
          <w:trHeight w:val="435"/>
          <w:jc w:val="center"/>
        </w:trPr>
        <w:tc>
          <w:tcPr>
            <w:tcW w:w="4805" w:type="dxa"/>
            <w:shd w:val="clear" w:color="auto" w:fill="auto"/>
            <w:vAlign w:val="center"/>
          </w:tcPr>
          <w:p w14:paraId="57AC366C" w14:textId="77777777" w:rsidR="00EE1CF5" w:rsidRPr="00416563" w:rsidRDefault="00EE1CF5" w:rsidP="00263AB1">
            <w:pPr>
              <w:jc w:val="center"/>
              <w:rPr>
                <w:b/>
                <w:szCs w:val="26"/>
              </w:rPr>
            </w:pPr>
            <w:r w:rsidRPr="00416563">
              <w:rPr>
                <w:b/>
                <w:szCs w:val="26"/>
              </w:rPr>
              <w:t>Kopā, t.sk. PVN</w:t>
            </w:r>
          </w:p>
        </w:tc>
        <w:tc>
          <w:tcPr>
            <w:tcW w:w="1994" w:type="dxa"/>
            <w:shd w:val="clear" w:color="auto" w:fill="auto"/>
            <w:vAlign w:val="center"/>
          </w:tcPr>
          <w:p w14:paraId="04B0BD55" w14:textId="77777777" w:rsidR="00EE1CF5" w:rsidRPr="00416563" w:rsidRDefault="00EE1CF5" w:rsidP="00263AB1">
            <w:pPr>
              <w:jc w:val="center"/>
              <w:rPr>
                <w:b/>
                <w:szCs w:val="26"/>
              </w:rPr>
            </w:pPr>
            <w:r w:rsidRPr="007D20D8">
              <w:rPr>
                <w:b/>
                <w:szCs w:val="26"/>
              </w:rPr>
              <w:t>6 701 81</w:t>
            </w:r>
            <w:r>
              <w:rPr>
                <w:b/>
                <w:szCs w:val="26"/>
              </w:rPr>
              <w:t>4</w:t>
            </w:r>
          </w:p>
        </w:tc>
      </w:tr>
    </w:tbl>
    <w:p w14:paraId="65BE9B51" w14:textId="77777777" w:rsidR="00EE1CF5" w:rsidRPr="00FB7745" w:rsidRDefault="00EE1CF5" w:rsidP="00EE1CF5">
      <w:pPr>
        <w:pStyle w:val="BodyText"/>
        <w:ind w:left="720" w:firstLine="720"/>
        <w:rPr>
          <w:color w:val="000000"/>
          <w:sz w:val="26"/>
          <w:szCs w:val="26"/>
        </w:rPr>
      </w:pPr>
      <w:r w:rsidRPr="00416563">
        <w:rPr>
          <w:color w:val="000000"/>
          <w:sz w:val="26"/>
          <w:szCs w:val="26"/>
        </w:rPr>
        <w:t>Avots: EM</w:t>
      </w:r>
    </w:p>
    <w:p w14:paraId="5C596331" w14:textId="77777777" w:rsidR="00EE1CF5" w:rsidRDefault="00EE1CF5" w:rsidP="00EE1CF5">
      <w:pPr>
        <w:ind w:firstLine="851"/>
        <w:rPr>
          <w:rFonts w:cs="Times New Roman"/>
          <w:szCs w:val="26"/>
        </w:rPr>
      </w:pPr>
    </w:p>
    <w:p w14:paraId="6C3F36CD" w14:textId="77777777" w:rsidR="00EE1CF5" w:rsidRPr="005F4FFA" w:rsidRDefault="00EE1CF5" w:rsidP="00EE1CF5">
      <w:pPr>
        <w:spacing w:before="120"/>
        <w:ind w:firstLine="851"/>
        <w:rPr>
          <w:szCs w:val="26"/>
        </w:rPr>
      </w:pPr>
      <w:r w:rsidRPr="005F4FFA">
        <w:rPr>
          <w:szCs w:val="26"/>
        </w:rPr>
        <w:t xml:space="preserve">Ņemot vērā OIK jaudas komponenšu tarifu samazināšanu no 2018.gada 1.jūlija par 27,8% visās sprieguma un patēriņa līmeņa grupās, sākot ar 2019. gadu prognozētais kompensācijas apjoma samazinājums veidos ap 522 tūkst. EUR/gadā (iesk. PVN). Vērtējot nepieciešamos līdzekļus aizsargātajiem lietotājiem, ir jāņem vērā arī prognozētais elektroenerģijas cenu pieaugums, kā rezultātā prognozētās izmaksas aizsargāto lietotāju atbalstam, ieskaitot administrēšanas izdevumus, pieaugs līdz 6 701 814 EUR gadā. </w:t>
      </w:r>
    </w:p>
    <w:p w14:paraId="502634CF" w14:textId="77777777" w:rsidR="00EE1CF5" w:rsidRDefault="00EE1CF5" w:rsidP="00EE1CF5">
      <w:pPr>
        <w:spacing w:before="120"/>
        <w:ind w:firstLine="851"/>
        <w:rPr>
          <w:szCs w:val="26"/>
        </w:rPr>
      </w:pPr>
      <w:r w:rsidRPr="005F4FFA">
        <w:rPr>
          <w:szCs w:val="26"/>
        </w:rPr>
        <w:t>Vienlaikus, ņemot vērā līdzšinējo aizsargāto lietotāju aktivitāti, piesakoties aizsargātā lietotāja pakalpojuma izmantošanai, jāparedz, ka nepieciešamības gadījumā valdība lemj par trūkstošā finansējuma piešķiršanu no līdzekļiem neparedzētiem gadījumiem.</w:t>
      </w:r>
    </w:p>
    <w:p w14:paraId="64C4B70C" w14:textId="77777777" w:rsidR="00EE1CF5" w:rsidRPr="00B81392" w:rsidRDefault="00EE1CF5" w:rsidP="00EE1CF5">
      <w:pPr>
        <w:spacing w:before="120"/>
        <w:ind w:firstLine="851"/>
        <w:rPr>
          <w:rFonts w:cs="Times New Roman"/>
          <w:b/>
          <w:szCs w:val="26"/>
        </w:rPr>
      </w:pPr>
      <w:r>
        <w:rPr>
          <w:rFonts w:cs="Times New Roman"/>
          <w:szCs w:val="26"/>
        </w:rPr>
        <w:t>EM</w:t>
      </w:r>
      <w:r w:rsidRPr="00B81392">
        <w:rPr>
          <w:rFonts w:cs="Times New Roman"/>
          <w:szCs w:val="26"/>
        </w:rPr>
        <w:t xml:space="preserve"> aprēķini liecina, ka lielākajai daļai aizsargāto elektroenerģijas </w:t>
      </w:r>
      <w:r w:rsidRPr="00B81392">
        <w:rPr>
          <w:szCs w:val="26"/>
        </w:rPr>
        <w:t>lietotāju</w:t>
      </w:r>
      <w:r w:rsidRPr="00B81392">
        <w:rPr>
          <w:rFonts w:cs="Times New Roman"/>
          <w:szCs w:val="26"/>
        </w:rPr>
        <w:t xml:space="preserve"> – mājsaimniecībām ar elektroenerģijas vienfāzes pieslēgumu un ikmēneša patēriņu </w:t>
      </w:r>
      <w:r w:rsidRPr="00B81392">
        <w:rPr>
          <w:szCs w:val="26"/>
        </w:rPr>
        <w:t>robežās</w:t>
      </w:r>
      <w:r w:rsidRPr="00B81392">
        <w:rPr>
          <w:rFonts w:cs="Times New Roman"/>
          <w:szCs w:val="26"/>
        </w:rPr>
        <w:t xml:space="preserve"> no 50 līdz 100 kWh - faktiskais saņemtais atbalsts mēnesī veido no 2,42 EUR līdz 3,38 EUR mēnesī, jeb aptuveni 1,9-2,6% no 128,06 EUR ienākumu </w:t>
      </w:r>
      <w:r w:rsidRPr="00B81392">
        <w:rPr>
          <w:szCs w:val="26"/>
        </w:rPr>
        <w:t>līmeņa</w:t>
      </w:r>
      <w:r w:rsidRPr="00B81392">
        <w:rPr>
          <w:rFonts w:cs="Times New Roman"/>
          <w:szCs w:val="26"/>
        </w:rPr>
        <w:t xml:space="preserve"> uz vienu mājsaimniecībā mītošo iedzīvotāju, kas atbilstoši normatīviem, ļauj personu vai mājsaimniecību uzskatīt par trūcīgu. Attiecīgi var secināt, ka mājsaimniecībās ar vairāk iedzīvotājiem, vai arī </w:t>
      </w:r>
      <w:r>
        <w:rPr>
          <w:rFonts w:cs="Times New Roman"/>
          <w:szCs w:val="26"/>
        </w:rPr>
        <w:t xml:space="preserve"> mājsaimniecības ar personām (ģimenēm)</w:t>
      </w:r>
      <w:r w:rsidRPr="00B81392">
        <w:rPr>
          <w:rFonts w:cs="Times New Roman"/>
          <w:szCs w:val="26"/>
        </w:rPr>
        <w:t>, kuras, atbilstoši likumam, ir atzītas par trūcīgām</w:t>
      </w:r>
      <w:r>
        <w:rPr>
          <w:rFonts w:cs="Times New Roman"/>
          <w:szCs w:val="26"/>
        </w:rPr>
        <w:t xml:space="preserve"> vai maznodrošinātām</w:t>
      </w:r>
      <w:r w:rsidRPr="00B81392">
        <w:rPr>
          <w:rFonts w:cs="Times New Roman"/>
          <w:szCs w:val="26"/>
        </w:rPr>
        <w:t xml:space="preserve">  saņemtā atbalsta apjoms veido vēl mazāku daļu pret mājsaimniecības ieņēmumiem.</w:t>
      </w:r>
    </w:p>
    <w:p w14:paraId="69AF3CFF" w14:textId="77777777" w:rsidR="00EE1CF5" w:rsidRPr="00B81392" w:rsidRDefault="00EE1CF5" w:rsidP="00EE1CF5">
      <w:pPr>
        <w:spacing w:before="120"/>
        <w:ind w:firstLine="851"/>
        <w:rPr>
          <w:rFonts w:cs="Times New Roman"/>
          <w:szCs w:val="26"/>
        </w:rPr>
      </w:pPr>
      <w:r w:rsidRPr="00B81392">
        <w:rPr>
          <w:rFonts w:cs="Times New Roman"/>
          <w:szCs w:val="26"/>
        </w:rPr>
        <w:t xml:space="preserve">2018. gada martā aizsargātā lietotāja pakalpojumam bija pieteikušies </w:t>
      </w:r>
      <w:r w:rsidRPr="00B81392">
        <w:rPr>
          <w:szCs w:val="26"/>
        </w:rPr>
        <w:t>tikai</w:t>
      </w:r>
      <w:r w:rsidRPr="00B81392">
        <w:rPr>
          <w:rFonts w:cs="Times New Roman"/>
          <w:szCs w:val="26"/>
        </w:rPr>
        <w:t xml:space="preserve"> aptuveni puse no aizsargātā lietotāja kritērijiem atbilstošo mājsaimniecību skaita. Precīzs iespējamo aizsargāto lietotāju skaits nav prognozējams, jo tas ir mainīgs un </w:t>
      </w:r>
      <w:r w:rsidRPr="00B81392">
        <w:rPr>
          <w:rFonts w:cs="Times New Roman"/>
          <w:szCs w:val="26"/>
        </w:rPr>
        <w:lastRenderedPageBreak/>
        <w:t xml:space="preserve">saistīts ar mājsaimniecību ienākumu izmaiņām un citiem apstākļiem, piemēram, bērnu skaita ģimenē izmaiņām vai privātpersonu iegūto invaliditāti. Pēc 2017.gada datiem aptuvenais aizsargāto lietotāju skaits ir gandrīz 160 tūkstoši. Analizējot aizsargātā lietotāju kopējā skaita izmaiņas atsevišķās lietotāju grupās, secināms, ka samazinās maznodrošināto un trūcīgo iedzīvotāju skaits, bet pieaug personu ar invaliditāti skaits. </w:t>
      </w:r>
    </w:p>
    <w:p w14:paraId="02C3E339" w14:textId="77777777" w:rsidR="00EE1CF5" w:rsidRDefault="00EE1CF5" w:rsidP="00EE1CF5">
      <w:pPr>
        <w:spacing w:before="120"/>
        <w:ind w:firstLine="720"/>
        <w:rPr>
          <w:rFonts w:cs="Times New Roman"/>
          <w:szCs w:val="26"/>
        </w:rPr>
      </w:pPr>
      <w:r w:rsidRPr="003F090A">
        <w:rPr>
          <w:rFonts w:cs="Times New Roman"/>
          <w:szCs w:val="26"/>
        </w:rPr>
        <w:t xml:space="preserve">Kaut gan aizsargāto lietotāju atbalsta instruments ir nozīmīgs </w:t>
      </w:r>
      <w:bookmarkStart w:id="40" w:name="_Hlk527032298"/>
      <w:r w:rsidRPr="003F090A">
        <w:rPr>
          <w:rFonts w:cs="Times New Roman"/>
          <w:szCs w:val="26"/>
        </w:rPr>
        <w:t>nabadzības un sociālās ats</w:t>
      </w:r>
      <w:bookmarkEnd w:id="40"/>
      <w:r w:rsidRPr="003F090A">
        <w:rPr>
          <w:rFonts w:cs="Times New Roman"/>
          <w:szCs w:val="26"/>
        </w:rPr>
        <w:t xml:space="preserve">tumtības riskus mazinošs rīks, tā šī brīža izpildījums ir smagnējs. Ar atbalsta sniegšanu aizsargātajam lietotājam saistītā administratīvā sloga palielināšanās (piemēram, nepieciešamība regulāri veikt grozījumus normatīvajos aktos, un aprēķinu kārtības komplicētības pieaugums) nepārprotami norāda uz jau iepriekš identificēto - ir nelietderīgi saglabāt esošo, administratīvi smagnējo sistēmu un ir jālemj par efektīvāka aizsargāto lietotāju tirdzniecības pakalpojuma nodrošināšanas rīka ieviešanu, atbilstoši valsts budžetā paredzētajam finansējumam. </w:t>
      </w:r>
    </w:p>
    <w:p w14:paraId="2FF0BA5B" w14:textId="77777777" w:rsidR="00EE1CF5" w:rsidRDefault="00EE1CF5" w:rsidP="00EE1CF5">
      <w:pPr>
        <w:spacing w:before="120"/>
        <w:ind w:firstLine="720"/>
        <w:rPr>
          <w:rFonts w:cs="Times New Roman"/>
          <w:szCs w:val="26"/>
        </w:rPr>
      </w:pPr>
      <w:r w:rsidRPr="003F090A">
        <w:rPr>
          <w:rFonts w:cs="Times New Roman"/>
          <w:szCs w:val="26"/>
        </w:rPr>
        <w:t>Pašreizējais aizsargātā lietotāja tirdzniecības pakalpojuma kompensēšanas mehānisms ir atkarīgs no aktuālās elektroenerģijas cenas komponentēm – sadales sistēmas pakalpojuma, obligātā iepirkuma un jaudas komponentes, kuru aprēķina kārtībai mainoties, mainās arī gala tarifi, līdz ar kuriem mainās arī kompensācijas  aprēķins, kas jāparedz arī normatīvajos aktos, jo aizsargātā lietotā atbalsts tiek piemērots, ņemot vērā aktuālo elektroenerģijas pieslēguma jaudu un patēriņu.</w:t>
      </w:r>
    </w:p>
    <w:p w14:paraId="4129F4D3" w14:textId="77777777" w:rsidR="00EE1CF5" w:rsidRDefault="00EE1CF5" w:rsidP="00EE1CF5">
      <w:pPr>
        <w:spacing w:before="120"/>
        <w:ind w:firstLine="720"/>
        <w:rPr>
          <w:rFonts w:cs="Times New Roman"/>
          <w:szCs w:val="26"/>
        </w:rPr>
      </w:pPr>
      <w:r w:rsidRPr="003F090A">
        <w:rPr>
          <w:rFonts w:cs="Times New Roman"/>
          <w:szCs w:val="26"/>
        </w:rPr>
        <w:t xml:space="preserve"> Normatīvo aktu grozījumi ir papildu administratīvais slogs </w:t>
      </w:r>
      <w:r>
        <w:rPr>
          <w:rFonts w:cs="Times New Roman"/>
          <w:szCs w:val="26"/>
        </w:rPr>
        <w:t>EM</w:t>
      </w:r>
      <w:r w:rsidRPr="003F090A">
        <w:rPr>
          <w:rFonts w:cs="Times New Roman"/>
          <w:szCs w:val="26"/>
        </w:rPr>
        <w:t>, bet aizsargāt</w:t>
      </w:r>
      <w:r w:rsidRPr="003F090A">
        <w:rPr>
          <w:szCs w:val="26"/>
        </w:rPr>
        <w:t xml:space="preserve">ā </w:t>
      </w:r>
      <w:r w:rsidRPr="003F090A">
        <w:rPr>
          <w:rFonts w:cs="Times New Roman"/>
          <w:szCs w:val="26"/>
        </w:rPr>
        <w:t xml:space="preserve">lietotāja tirdzniecības pakalpojuma sniedzējam ir jāuztur un jāpielāgo kompensācijas piemērošanas aprēķina sistēma atbilstošajam tiesiskajam regulējumam. </w:t>
      </w:r>
    </w:p>
    <w:p w14:paraId="01A2233D" w14:textId="77777777" w:rsidR="00EE1CF5" w:rsidRDefault="00EE1CF5" w:rsidP="00EE1CF5">
      <w:pPr>
        <w:spacing w:before="120"/>
        <w:ind w:firstLine="720"/>
        <w:rPr>
          <w:rFonts w:cs="Times New Roman"/>
          <w:szCs w:val="26"/>
        </w:rPr>
      </w:pPr>
      <w:r w:rsidRPr="003F090A">
        <w:rPr>
          <w:rFonts w:cs="Times New Roman"/>
          <w:szCs w:val="26"/>
        </w:rPr>
        <w:t xml:space="preserve">Pašreizējā aizsargātajam lietotājam atbilstošo patērētāju datu apzināšana ir administratīvi komplicēta. Daudzbērnu ģimenēm reizi gadā pašām jāiesniedz izziņa par daudzbērnu ģimenes statusu aizsargātā lietotāja tirdzniecības pakalpojuma sniedzējam, lai saņemtu samazinātu maksu par elektroenerģiju, </w:t>
      </w:r>
      <w:r>
        <w:rPr>
          <w:rFonts w:cs="Times New Roman"/>
          <w:szCs w:val="26"/>
        </w:rPr>
        <w:t xml:space="preserve">par </w:t>
      </w:r>
      <w:r w:rsidRPr="003F090A">
        <w:rPr>
          <w:rFonts w:cs="Times New Roman"/>
          <w:szCs w:val="26"/>
        </w:rPr>
        <w:t>maznodrošinātām vai trūcīgām personām datus aizsargātā lietotāja tirdzniecības pakalpojuma sniedzējam nodot pašvaldības</w:t>
      </w:r>
      <w:r>
        <w:rPr>
          <w:rFonts w:cs="Times New Roman"/>
          <w:szCs w:val="26"/>
        </w:rPr>
        <w:t xml:space="preserve">, </w:t>
      </w:r>
      <w:r w:rsidRPr="003F090A">
        <w:rPr>
          <w:rFonts w:cs="Times New Roman"/>
          <w:szCs w:val="26"/>
        </w:rPr>
        <w:t>b</w:t>
      </w:r>
      <w:r>
        <w:rPr>
          <w:rFonts w:cs="Times New Roman"/>
          <w:szCs w:val="26"/>
        </w:rPr>
        <w:t xml:space="preserve">et par personām ar invaliditāti - </w:t>
      </w:r>
      <w:r w:rsidRPr="003F090A">
        <w:rPr>
          <w:rFonts w:cs="Times New Roman"/>
          <w:szCs w:val="26"/>
        </w:rPr>
        <w:t xml:space="preserve">  </w:t>
      </w:r>
      <w:r>
        <w:rPr>
          <w:rFonts w:cs="Times New Roman"/>
          <w:szCs w:val="26"/>
        </w:rPr>
        <w:t>Veselības un darbspēju ekspertīzes ārstu valsts komisija.</w:t>
      </w:r>
    </w:p>
    <w:p w14:paraId="442E93CE" w14:textId="77777777" w:rsidR="00EE1CF5" w:rsidRDefault="00EE1CF5" w:rsidP="00EE1CF5">
      <w:pPr>
        <w:spacing w:before="120"/>
        <w:ind w:firstLine="720"/>
        <w:rPr>
          <w:rFonts w:cs="Times New Roman"/>
          <w:szCs w:val="26"/>
        </w:rPr>
      </w:pPr>
      <w:r w:rsidRPr="003F090A">
        <w:rPr>
          <w:rFonts w:cs="Times New Roman"/>
          <w:szCs w:val="26"/>
        </w:rPr>
        <w:t xml:space="preserve">Papildus, ņemot vērā ETL pašreizējo ietvaru, ir apgrūtināta aizsargātā lietotāja kompensācijas saņemšana tiem lietotājiem, kam nav noslēgts līgums par elektroenerģiju ar aizsargātā lietotāja tirdzniecības pakalpojuma sniedzēju. </w:t>
      </w:r>
      <w:r>
        <w:rPr>
          <w:rFonts w:cs="Times New Roman"/>
          <w:szCs w:val="26"/>
        </w:rPr>
        <w:t>EM</w:t>
      </w:r>
      <w:r w:rsidRPr="003F090A">
        <w:rPr>
          <w:rFonts w:cs="Times New Roman"/>
          <w:szCs w:val="26"/>
        </w:rPr>
        <w:t xml:space="preserve"> ieskatā </w:t>
      </w:r>
      <w:r>
        <w:rPr>
          <w:rFonts w:cs="Times New Roman"/>
          <w:szCs w:val="26"/>
        </w:rPr>
        <w:t>būtu</w:t>
      </w:r>
      <w:r w:rsidRPr="003F090A">
        <w:rPr>
          <w:rFonts w:cs="Times New Roman"/>
          <w:szCs w:val="26"/>
        </w:rPr>
        <w:t xml:space="preserve"> jāveido jauns, vienkāršotāks rīks, aizsargātā lietotāja atbalsta nodrošināšanai, piemēram, atceļot nepieciešamību veikt atsevišķus aprēķinus par katram patērētājam paredzēto apjomu, un kā vienīgās sistēmas administrēšanas funkcijas saglabātu datu par atbalsta saņēmējiem apkopošanu un kompensācijas izmaksu, kas arī ļautu sasniegt vairāk lietotājus, kuriem šis atbalsts ir paredzēts.</w:t>
      </w:r>
    </w:p>
    <w:p w14:paraId="49E92BF7" w14:textId="77777777" w:rsidR="00EE1CF5" w:rsidRPr="00B81392" w:rsidRDefault="00EE1CF5" w:rsidP="00EE1CF5">
      <w:pPr>
        <w:spacing w:before="120"/>
        <w:ind w:firstLine="720"/>
        <w:rPr>
          <w:szCs w:val="26"/>
        </w:rPr>
      </w:pPr>
      <w:r w:rsidRPr="00B81392">
        <w:rPr>
          <w:szCs w:val="26"/>
        </w:rPr>
        <w:t xml:space="preserve">Vienlaikus, Latvijas pašvaldības ir paudušas bažas par iespējamo administratīvā sloga palielinājumu gadījumā, ja papildus jau šobrīd esošajiem pienākumam apkopot informāciju par aizsargātajiem lietotājiem, tām tiktu uzticētas arī atbalsta izmaksas funkcijas. </w:t>
      </w:r>
      <w:r w:rsidRPr="009C2FBD">
        <w:rPr>
          <w:rFonts w:cs="Times New Roman"/>
          <w:szCs w:val="26"/>
        </w:rPr>
        <w:t xml:space="preserve">Ņemot to vērā, kopš 2017.gada ir  uzsākta viedokļu un ideju apmaiņa starp Latvijas Pašvaldību savienību, AS “Latvenergo” un </w:t>
      </w:r>
      <w:r>
        <w:rPr>
          <w:rFonts w:cs="Times New Roman"/>
          <w:szCs w:val="26"/>
        </w:rPr>
        <w:t>EM</w:t>
      </w:r>
      <w:r w:rsidRPr="009C2FBD">
        <w:rPr>
          <w:rFonts w:cs="Times New Roman"/>
          <w:szCs w:val="26"/>
        </w:rPr>
        <w:t xml:space="preserve">, par atbalsta piešķiršanas pienākumu  iespējamo sadali. Aizsargātā lietotāja tirdzniecības pakalpojuma modeļa maiņas diskusija joprojām ir aktuāla. Paredzams, ka konkrētus modeļa maiņas aspektus </w:t>
      </w:r>
      <w:r w:rsidRPr="009C2FBD">
        <w:rPr>
          <w:rFonts w:cs="Times New Roman"/>
          <w:szCs w:val="26"/>
        </w:rPr>
        <w:lastRenderedPageBreak/>
        <w:t>būs iespējams iezīmēt, pēc Valsts pētījumu programmas “Enerģētika”</w:t>
      </w:r>
      <w:r>
        <w:rPr>
          <w:rStyle w:val="FootnoteReference"/>
          <w:rFonts w:cs="Times New Roman"/>
          <w:szCs w:val="26"/>
        </w:rPr>
        <w:footnoteReference w:id="19"/>
      </w:r>
      <w:r w:rsidRPr="009C2FBD">
        <w:rPr>
          <w:rFonts w:cs="Times New Roman"/>
          <w:szCs w:val="26"/>
        </w:rPr>
        <w:t xml:space="preserve"> atklāta projektu pieteikumu konkursa “Ilgtspējīga enerģētikas infrastruktūra un tirgus” elektroenerģijas pētniecības uzdevuma “Enerģētiskās nabadzības analīzes izklāsts” rezultātiem, kurus projekta konkursa ietvaros gaidāms saņemt līdz 2019.gada 1.decembrim.</w:t>
      </w:r>
    </w:p>
    <w:p w14:paraId="114877C7" w14:textId="77777777" w:rsidR="00EE1CF5" w:rsidRDefault="00EE1CF5" w:rsidP="00EE1CF5">
      <w:pPr>
        <w:spacing w:before="120"/>
        <w:ind w:firstLine="720"/>
        <w:rPr>
          <w:rFonts w:cs="Times New Roman"/>
          <w:szCs w:val="26"/>
        </w:rPr>
      </w:pPr>
      <w:r w:rsidRPr="00B81392">
        <w:rPr>
          <w:rFonts w:cs="Times New Roman"/>
          <w:szCs w:val="26"/>
        </w:rPr>
        <w:t>Būtisks šobrīd spēkā esošās elektroenerģijas lietotāju atbalsta sistēmas trūkums ir apstāklis, ka ir grūti izvērtēt tās sasniegto rezultātu atbilstību sistēmas darbības mērķim – enerģētiskās nabadzības ierobežošanai. Galvenokārt tas ir saistīts ar faktu, ka esošā atbalsta sistēma ir veidota, ņemot vērā aizsargātā lietotāja elektroenerģijas patēriņu, bet tā neņem vērā lietotāja izdevumu slogu par citu enerģijas resursu, piemēram, siltumenerģijas, dabasgāzes vai cita kurināmā, patēriņa – iespēja saņemt ierobežotu elektroenerģijas apjomu par cenu, kas ir zemāka par tirgus cenu, nenovērš enerģētiskās nabadzības riskus, kam par iemeslu varētu būt, piemēram, siltumenerģijas izmaksu kāpums. Līdz ar to, ilgtermiņā ir jāvērtē iespēja kompensēt aizsargātajiem lietotājiem elektroenerģijas un citu līdzīgu izmaksu kāpumu sociālā atbalsta ietvaros, jāvērtē iespēja normatīvos definēt enerģētiskās nabadzības jēdzienu, kā arī jāveic plašāka analīze par enerģētiskās nabadzības izpausmēm, to</w:t>
      </w:r>
      <w:r>
        <w:rPr>
          <w:rFonts w:cs="Times New Roman"/>
          <w:szCs w:val="26"/>
        </w:rPr>
        <w:t>,</w:t>
      </w:r>
      <w:r w:rsidRPr="00B81392">
        <w:rPr>
          <w:rFonts w:cs="Times New Roman"/>
          <w:szCs w:val="26"/>
        </w:rPr>
        <w:t xml:space="preserve"> vai aizsargātā lietotāja definīcijā ietvertās iedzīvotāju grupas atbilst enerģētiskās nabadzības mērķa grupām, un kāds būtu piemērotākais atbalsts iedzīvotāju grupām, kas saskaras enerģētisko nabadzību.</w:t>
      </w:r>
    </w:p>
    <w:p w14:paraId="2427C6FD" w14:textId="77777777" w:rsidR="00EE1CF5" w:rsidRPr="00A4791C" w:rsidRDefault="00EE1CF5" w:rsidP="00EE1CF5">
      <w:pPr>
        <w:spacing w:before="120"/>
        <w:rPr>
          <w:rFonts w:eastAsiaTheme="minorEastAsia"/>
          <w:szCs w:val="28"/>
        </w:rPr>
      </w:pPr>
      <w:r>
        <w:tab/>
      </w:r>
      <w:bookmarkStart w:id="41" w:name="_Hlk527030676"/>
      <w:r>
        <w:rPr>
          <w:szCs w:val="26"/>
        </w:rPr>
        <w:t xml:space="preserve">Enerģētiskās nabadzības kritēriju identificēšana un analīze Latvijā </w:t>
      </w:r>
      <w:bookmarkEnd w:id="41"/>
      <w:r>
        <w:rPr>
          <w:szCs w:val="26"/>
        </w:rPr>
        <w:t>iekļauta v</w:t>
      </w:r>
      <w:r w:rsidRPr="008E11CC">
        <w:rPr>
          <w:szCs w:val="26"/>
        </w:rPr>
        <w:t>alsts pētījumu programmas “Enerģētika” atklāta projektu pieteikumu konkursa “Ilgtspējīga enerģētikas in</w:t>
      </w:r>
      <w:r>
        <w:rPr>
          <w:szCs w:val="26"/>
        </w:rPr>
        <w:t xml:space="preserve">frastruktūra un tirgus” nolikumā ar šādu sagaidāmo rezultātu: </w:t>
      </w:r>
      <w:r>
        <w:t>izvērtēta aizsargātā lietotāja definīcijā ietverto iedzīvotāju grupu atbilstība enerģētiskās nabadzības kritērijiem, analizēta nepieciešamība pārskatīt aizsargāto lietotāju grupas.</w:t>
      </w:r>
      <w:r>
        <w:tab/>
      </w:r>
      <w:r>
        <w:rPr>
          <w:rFonts w:cs="Times New Roman"/>
          <w:szCs w:val="26"/>
        </w:rPr>
        <w:t>L</w:t>
      </w:r>
      <w:r w:rsidRPr="00590D66">
        <w:rPr>
          <w:rFonts w:cs="Times New Roman"/>
          <w:szCs w:val="26"/>
        </w:rPr>
        <w:t xml:space="preserve">ai risinātu </w:t>
      </w:r>
      <w:r>
        <w:rPr>
          <w:rFonts w:cs="Times New Roman"/>
          <w:szCs w:val="26"/>
        </w:rPr>
        <w:t>esošās</w:t>
      </w:r>
      <w:r w:rsidRPr="00590D66">
        <w:rPr>
          <w:rFonts w:cs="Times New Roman"/>
          <w:szCs w:val="26"/>
        </w:rPr>
        <w:t xml:space="preserve"> atbalsta sistēmas trūkumu</w:t>
      </w:r>
      <w:r>
        <w:rPr>
          <w:rFonts w:cs="Times New Roman"/>
          <w:szCs w:val="26"/>
        </w:rPr>
        <w:t>s, EM</w:t>
      </w:r>
      <w:r w:rsidRPr="00590D66">
        <w:rPr>
          <w:rFonts w:cs="Times New Roman"/>
          <w:szCs w:val="26"/>
        </w:rPr>
        <w:t xml:space="preserve"> ierosina pārveidot </w:t>
      </w:r>
      <w:r>
        <w:rPr>
          <w:rFonts w:cs="Times New Roman"/>
          <w:szCs w:val="26"/>
        </w:rPr>
        <w:t xml:space="preserve">pašreizējo </w:t>
      </w:r>
      <w:r w:rsidRPr="00590D66">
        <w:rPr>
          <w:rFonts w:cs="Times New Roman"/>
          <w:szCs w:val="26"/>
        </w:rPr>
        <w:t>aizsargāto lietotāju atbalst</w:t>
      </w:r>
      <w:r>
        <w:rPr>
          <w:rFonts w:cs="Times New Roman"/>
          <w:szCs w:val="26"/>
        </w:rPr>
        <w:t xml:space="preserve">a elektroenerģijas izmaksu kompensācijas sistēmu. Šim mērķim plānots izveidot vienotu aizsargāto lietotāju datu sistēmu, kas apkopos datus par visām aizsargāto lietotāju statusam atbilstošajām personām un aprēķinās attiecīgās kompensācijas apjomu rēķinā par elektroenerģiju. Ar šādu sistēmu tiks likvidēts ierobežojums, ka tikai viens tirgotājs var sniegt </w:t>
      </w:r>
      <w:r w:rsidRPr="003F090A">
        <w:rPr>
          <w:rFonts w:cs="Times New Roman"/>
          <w:szCs w:val="26"/>
        </w:rPr>
        <w:t>aizsargātā liet</w:t>
      </w:r>
      <w:r>
        <w:rPr>
          <w:rFonts w:cs="Times New Roman"/>
          <w:szCs w:val="26"/>
        </w:rPr>
        <w:t>otāja tirdzniecības pakalpojumu un atbalsts būs pieejams maksimāli plašam aizsargāto lietotāju lokam.</w:t>
      </w:r>
      <w:r>
        <w:rPr>
          <w:szCs w:val="26"/>
        </w:rPr>
        <w:t xml:space="preserve"> Izveidojamās s</w:t>
      </w:r>
      <w:r>
        <w:rPr>
          <w:rFonts w:eastAsiaTheme="minorEastAsia"/>
          <w:szCs w:val="28"/>
        </w:rPr>
        <w:t>istēmas administrēšanai, uzturēšanai un pilnveidošanai</w:t>
      </w:r>
      <w:r w:rsidRPr="005D3AD5">
        <w:rPr>
          <w:rFonts w:eastAsiaTheme="minorEastAsia"/>
          <w:szCs w:val="28"/>
        </w:rPr>
        <w:t xml:space="preserve"> </w:t>
      </w:r>
      <w:r>
        <w:rPr>
          <w:rFonts w:eastAsiaTheme="minorEastAsia"/>
          <w:szCs w:val="28"/>
        </w:rPr>
        <w:t xml:space="preserve">turpmākajos gados nepieciešams paredzēt </w:t>
      </w:r>
      <w:r w:rsidRPr="005D3AD5">
        <w:rPr>
          <w:rFonts w:eastAsiaTheme="minorEastAsia"/>
          <w:szCs w:val="28"/>
        </w:rPr>
        <w:t xml:space="preserve"> 20</w:t>
      </w:r>
      <w:r>
        <w:rPr>
          <w:rFonts w:eastAsiaTheme="minorEastAsia"/>
          <w:szCs w:val="28"/>
        </w:rPr>
        <w:t> </w:t>
      </w:r>
      <w:r w:rsidRPr="005D3AD5">
        <w:rPr>
          <w:rFonts w:eastAsiaTheme="minorEastAsia"/>
          <w:szCs w:val="28"/>
        </w:rPr>
        <w:t>000</w:t>
      </w:r>
      <w:r>
        <w:rPr>
          <w:rFonts w:eastAsiaTheme="minorEastAsia"/>
          <w:szCs w:val="28"/>
        </w:rPr>
        <w:t xml:space="preserve"> EUR (plus PVN).</w:t>
      </w:r>
    </w:p>
    <w:p w14:paraId="2509AC82" w14:textId="77777777" w:rsidR="00EE1CF5" w:rsidRDefault="00EE1CF5" w:rsidP="00EE1CF5">
      <w:pPr>
        <w:spacing w:before="120"/>
        <w:ind w:firstLine="720"/>
        <w:rPr>
          <w:rFonts w:cs="Times New Roman"/>
          <w:szCs w:val="26"/>
        </w:rPr>
      </w:pPr>
      <w:r w:rsidRPr="00590D66">
        <w:rPr>
          <w:szCs w:val="26"/>
        </w:rPr>
        <w:t xml:space="preserve">Lai spriestu par efektīvāka </w:t>
      </w:r>
      <w:r>
        <w:rPr>
          <w:szCs w:val="26"/>
        </w:rPr>
        <w:t xml:space="preserve">kopējo </w:t>
      </w:r>
      <w:r w:rsidRPr="00590D66">
        <w:rPr>
          <w:szCs w:val="26"/>
        </w:rPr>
        <w:t xml:space="preserve">enerģētisko nabadzību mazinoša atbalsta instrumenta izveidi, ir jāizvērtē un  jāidentificē enerģētiskās nabadzības kritēriji, ko </w:t>
      </w:r>
      <w:r>
        <w:rPr>
          <w:szCs w:val="26"/>
        </w:rPr>
        <w:t>EM</w:t>
      </w:r>
      <w:r w:rsidRPr="00590D66">
        <w:rPr>
          <w:szCs w:val="26"/>
        </w:rPr>
        <w:t xml:space="preserve"> plāno gūt no Valsts pētījumu programmas “Enerģētika” ietvaros veiktā </w:t>
      </w:r>
      <w:r w:rsidRPr="00590D66">
        <w:rPr>
          <w:rFonts w:cs="Times New Roman"/>
          <w:szCs w:val="26"/>
        </w:rPr>
        <w:t>“Enerģētis</w:t>
      </w:r>
      <w:r w:rsidRPr="00590D66">
        <w:rPr>
          <w:szCs w:val="26"/>
        </w:rPr>
        <w:t>kās nabadzības analīzes izklāsta</w:t>
      </w:r>
      <w:r w:rsidRPr="00590D66">
        <w:rPr>
          <w:rFonts w:cs="Times New Roman"/>
          <w:szCs w:val="26"/>
        </w:rPr>
        <w:t>”</w:t>
      </w:r>
      <w:r w:rsidRPr="00590D66">
        <w:rPr>
          <w:szCs w:val="26"/>
        </w:rPr>
        <w:t xml:space="preserve"> rezultātiem. </w:t>
      </w:r>
      <w:r w:rsidRPr="00590D66">
        <w:rPr>
          <w:rFonts w:cs="Times New Roman"/>
          <w:szCs w:val="26"/>
        </w:rPr>
        <w:t>Enerģētisko nabadzību mazinošajam atbalstam būtu jāietilpst sociālajā atbalsta sistēmā</w:t>
      </w:r>
      <w:r>
        <w:rPr>
          <w:rFonts w:cs="Times New Roman"/>
          <w:szCs w:val="26"/>
        </w:rPr>
        <w:t>.</w:t>
      </w:r>
    </w:p>
    <w:p w14:paraId="7F2BAD79" w14:textId="77777777" w:rsidR="00EE1CF5" w:rsidRDefault="00EE1CF5" w:rsidP="00EE1CF5">
      <w:pPr>
        <w:spacing w:before="120" w:after="240"/>
        <w:ind w:firstLine="720"/>
      </w:pPr>
      <w:r w:rsidRPr="006C5F85">
        <w:t>Mainītajam aizsargātā lietotāja tirdzniecības pakalpojuma sniegšanas modelim jābūt efektīvākam, vieglāk administrējamam, caurskatāmākam un orientētam uz pareizu mērķauditoriju. Turklāt tam jāsasniedz atbalsta instrumenta mērķis – enerģētiskās nabadzības mazināšana.</w:t>
      </w:r>
    </w:p>
    <w:p w14:paraId="49AAE847" w14:textId="77777777" w:rsidR="00EE1CF5" w:rsidRDefault="00EE1CF5" w:rsidP="00EE1CF5">
      <w:pPr>
        <w:jc w:val="left"/>
      </w:pPr>
      <w:r>
        <w:br w:type="page"/>
      </w:r>
    </w:p>
    <w:p w14:paraId="3C9DC63B" w14:textId="77777777" w:rsidR="00EE1CF5" w:rsidRPr="006C5F85" w:rsidRDefault="00EE1CF5" w:rsidP="00EE1CF5">
      <w:pPr>
        <w:pStyle w:val="1nodaa"/>
      </w:pPr>
      <w:bookmarkStart w:id="42" w:name="_Toc256000012"/>
      <w:bookmarkStart w:id="43" w:name="_Toc523492915"/>
      <w:bookmarkStart w:id="44" w:name="_Toc531798567"/>
      <w:r w:rsidRPr="006C5F85">
        <w:rPr>
          <w:rStyle w:val="1nodaaChar"/>
          <w:b/>
        </w:rPr>
        <w:lastRenderedPageBreak/>
        <w:t>3.</w:t>
      </w:r>
      <w:r w:rsidRPr="006C5F85">
        <w:rPr>
          <w:rStyle w:val="1nodaaChar"/>
          <w:b/>
        </w:rPr>
        <w:tab/>
        <w:t>Valsts pētījumu programma enerģētikā</w:t>
      </w:r>
      <w:bookmarkEnd w:id="42"/>
      <w:bookmarkEnd w:id="43"/>
      <w:bookmarkEnd w:id="44"/>
      <w:r>
        <w:rPr>
          <w:rStyle w:val="1nodaaChar"/>
          <w:b/>
        </w:rPr>
        <w:br/>
      </w:r>
    </w:p>
    <w:p w14:paraId="0BCAA87E" w14:textId="77777777" w:rsidR="00EE1CF5" w:rsidRPr="00281FC8" w:rsidRDefault="00EE1CF5" w:rsidP="00EE1CF5">
      <w:pPr>
        <w:spacing w:before="120"/>
        <w:ind w:firstLine="720"/>
        <w:rPr>
          <w:rFonts w:cs="Times New Roman"/>
          <w:szCs w:val="26"/>
        </w:rPr>
      </w:pPr>
      <w:r w:rsidRPr="00281FC8">
        <w:rPr>
          <w:rFonts w:cs="Times New Roman"/>
          <w:szCs w:val="26"/>
        </w:rPr>
        <w:t>Ar 2017. gad</w:t>
      </w:r>
      <w:r>
        <w:rPr>
          <w:rFonts w:cs="Times New Roman"/>
          <w:szCs w:val="26"/>
        </w:rPr>
        <w:t>a 22. septembra MK rīkojumu Nr.</w:t>
      </w:r>
      <w:r w:rsidRPr="00281FC8">
        <w:rPr>
          <w:rFonts w:cs="Times New Roman"/>
          <w:szCs w:val="26"/>
        </w:rPr>
        <w:t>530 tika atbalstīta valsts pētījumu programmas “Enerģētika” izveidošana, aizstājot līdzšinējo valsts pētījumu programmu enerģētikā</w:t>
      </w:r>
      <w:r>
        <w:rPr>
          <w:rStyle w:val="FootnoteReference"/>
          <w:rFonts w:cs="Times New Roman"/>
          <w:szCs w:val="26"/>
        </w:rPr>
        <w:footnoteReference w:id="20"/>
      </w:r>
      <w:r w:rsidRPr="00281FC8">
        <w:rPr>
          <w:rFonts w:cs="Times New Roman"/>
          <w:szCs w:val="26"/>
        </w:rPr>
        <w:t>, un šim mērķim 2018.-2020. gadā paredzot valsts budžeta finansējumu 2,00 milj. EUR apmērā ik gadu.</w:t>
      </w:r>
    </w:p>
    <w:p w14:paraId="78AEA231" w14:textId="77777777" w:rsidR="00EE1CF5" w:rsidRPr="00281FC8" w:rsidRDefault="00EE1CF5" w:rsidP="00EE1CF5">
      <w:pPr>
        <w:spacing w:before="120"/>
        <w:ind w:firstLine="720"/>
        <w:rPr>
          <w:rFonts w:cs="Times New Roman"/>
          <w:szCs w:val="26"/>
        </w:rPr>
      </w:pPr>
      <w:r w:rsidRPr="00281FC8">
        <w:rPr>
          <w:rFonts w:cs="Times New Roman"/>
          <w:szCs w:val="26"/>
        </w:rPr>
        <w:t xml:space="preserve">Latvijas Republikas Saeima </w:t>
      </w:r>
      <w:r w:rsidRPr="003B7CFA">
        <w:rPr>
          <w:rFonts w:cs="Times New Roman"/>
          <w:szCs w:val="26"/>
        </w:rPr>
        <w:t xml:space="preserve">2018. gada 21. jūnijā </w:t>
      </w:r>
      <w:r w:rsidRPr="00281FC8">
        <w:rPr>
          <w:rFonts w:cs="Times New Roman"/>
          <w:szCs w:val="26"/>
        </w:rPr>
        <w:t>pieņēma grozījumus “Zinātniskās darbības likumā”</w:t>
      </w:r>
      <w:r>
        <w:rPr>
          <w:rStyle w:val="FootnoteReference"/>
          <w:rFonts w:cs="Times New Roman"/>
          <w:szCs w:val="26"/>
        </w:rPr>
        <w:footnoteReference w:id="21"/>
      </w:r>
      <w:r w:rsidRPr="00281FC8">
        <w:rPr>
          <w:rFonts w:cs="Times New Roman"/>
          <w:szCs w:val="26"/>
        </w:rPr>
        <w:t xml:space="preserve"> ar mērķi nodrošināt tiesisko pamatu tam, lai nozaru ministrijas varētu patstāvīgi </w:t>
      </w:r>
      <w:r w:rsidRPr="00281FC8">
        <w:rPr>
          <w:szCs w:val="26"/>
        </w:rPr>
        <w:t xml:space="preserve">izveidot un finansēt nozaru specifiskas valsts pētījumu programmas. </w:t>
      </w:r>
      <w:r w:rsidRPr="00281FC8">
        <w:rPr>
          <w:rFonts w:cs="Times New Roman"/>
          <w:szCs w:val="26"/>
        </w:rPr>
        <w:t>Ievērojot</w:t>
      </w:r>
      <w:r w:rsidRPr="00281FC8">
        <w:rPr>
          <w:szCs w:val="26"/>
        </w:rPr>
        <w:t xml:space="preserve"> </w:t>
      </w:r>
      <w:r w:rsidRPr="00F45C09">
        <w:rPr>
          <w:szCs w:val="26"/>
        </w:rPr>
        <w:t>to, 2018.gada 4.septembrī tika</w:t>
      </w:r>
      <w:r w:rsidRPr="00281FC8">
        <w:rPr>
          <w:szCs w:val="26"/>
        </w:rPr>
        <w:t xml:space="preserve"> apstiprināti MK noteikumi </w:t>
      </w:r>
      <w:r>
        <w:rPr>
          <w:szCs w:val="26"/>
        </w:rPr>
        <w:t>Nr. 560. </w:t>
      </w:r>
      <w:r w:rsidRPr="00281FC8">
        <w:rPr>
          <w:szCs w:val="26"/>
        </w:rPr>
        <w:t>“</w:t>
      </w:r>
      <w:r w:rsidRPr="00281FC8">
        <w:rPr>
          <w:rFonts w:cs="Times New Roman"/>
          <w:szCs w:val="26"/>
        </w:rPr>
        <w:t>Valsts pētījumu programmu projektu īstenošanas kārtība”, kas kalpo par pamatu valsts pētījumu programmu izveidošanai un īstenošanai.</w:t>
      </w:r>
    </w:p>
    <w:p w14:paraId="5E912963" w14:textId="77777777" w:rsidR="00EE1CF5" w:rsidRDefault="00EE1CF5" w:rsidP="00EE1CF5">
      <w:pPr>
        <w:spacing w:before="120"/>
        <w:ind w:firstLine="720"/>
        <w:rPr>
          <w:rFonts w:cs="Times New Roman"/>
          <w:szCs w:val="26"/>
        </w:rPr>
      </w:pPr>
      <w:r w:rsidRPr="00281FC8">
        <w:rPr>
          <w:rFonts w:cs="Times New Roman"/>
          <w:szCs w:val="26"/>
        </w:rPr>
        <w:t xml:space="preserve">Ņemot vērā izveidoto tiesisko ietvaru, </w:t>
      </w:r>
      <w:r>
        <w:rPr>
          <w:rFonts w:cs="Times New Roman"/>
          <w:szCs w:val="26"/>
        </w:rPr>
        <w:t xml:space="preserve">ar </w:t>
      </w:r>
      <w:r w:rsidRPr="00281FC8">
        <w:rPr>
          <w:rFonts w:cs="Times New Roman"/>
          <w:szCs w:val="26"/>
        </w:rPr>
        <w:t xml:space="preserve">2018. gada </w:t>
      </w:r>
      <w:r>
        <w:rPr>
          <w:rFonts w:cs="Times New Roman"/>
          <w:szCs w:val="26"/>
        </w:rPr>
        <w:t>26. </w:t>
      </w:r>
      <w:r w:rsidRPr="00281FC8">
        <w:rPr>
          <w:rFonts w:cs="Times New Roman"/>
          <w:szCs w:val="26"/>
        </w:rPr>
        <w:t>septembr</w:t>
      </w:r>
      <w:r>
        <w:rPr>
          <w:rFonts w:cs="Times New Roman"/>
          <w:szCs w:val="26"/>
        </w:rPr>
        <w:t>a</w:t>
      </w:r>
      <w:r w:rsidRPr="00281FC8">
        <w:rPr>
          <w:rFonts w:cs="Times New Roman"/>
          <w:szCs w:val="26"/>
        </w:rPr>
        <w:t xml:space="preserve"> MK rīkojumu </w:t>
      </w:r>
      <w:r>
        <w:rPr>
          <w:rFonts w:cs="Times New Roman"/>
          <w:szCs w:val="26"/>
        </w:rPr>
        <w:t xml:space="preserve">Nr. 462 “Par valsts pētījumu programmu “Enerģētika”” ir </w:t>
      </w:r>
      <w:r w:rsidRPr="00281FC8">
        <w:rPr>
          <w:rFonts w:cs="Times New Roman"/>
          <w:szCs w:val="26"/>
        </w:rPr>
        <w:t>izveidot</w:t>
      </w:r>
      <w:r>
        <w:rPr>
          <w:rFonts w:cs="Times New Roman"/>
          <w:szCs w:val="26"/>
        </w:rPr>
        <w:t>a</w:t>
      </w:r>
      <w:r w:rsidRPr="00281FC8">
        <w:rPr>
          <w:rFonts w:cs="Times New Roman"/>
          <w:szCs w:val="26"/>
        </w:rPr>
        <w:t xml:space="preserve"> valsts pētījumu programmu</w:t>
      </w:r>
      <w:r>
        <w:rPr>
          <w:rFonts w:cs="Times New Roman"/>
          <w:szCs w:val="26"/>
        </w:rPr>
        <w:t xml:space="preserve"> enerģētikas jomā</w:t>
      </w:r>
      <w:r w:rsidRPr="00281FC8">
        <w:rPr>
          <w:rFonts w:cs="Times New Roman"/>
          <w:szCs w:val="26"/>
        </w:rPr>
        <w:t xml:space="preserve">, tās ietvaros nodrošinot pētniecības finansējumu ar MK rīkojumu Nr. 530 apstiprinātajā konceptuālajā ziņojumā ietvertajiem tematiskajiem jautājumiem, t.sk. izdalot vairākus pētniecības blokus attiecībā uz Latvijas Nacionālā Enerģētikas un klimata plāna 2021.-2030. gadam izstrādi un tā īstenošanas nodrošināšanu, energoefektivitāti, tirgus un infrastruktūras jautājumiem, kā arī vietējiem un atjaunojamiem resursiem.Ievērojot minēto, lai nodrošinātu efektīvu un ilgtspējīgu valsts pētījumu programmas “Enerģētika” īstenošanu, šim mērķim nepieciešams nodrošināt stabilu finansējumu 2019.-2021. gada vidēja termiņa valsts budžeta ietvarā 2,00 milj. EUR apmērā ik gadu. </w:t>
      </w:r>
      <w:r>
        <w:rPr>
          <w:rFonts w:cs="Times New Roman"/>
          <w:szCs w:val="26"/>
        </w:rPr>
        <w:t>Programma īstenojama saskaņā ar MK 2018. gada 4. septembra noteikumos Nr. 560 “Valsts pētījumu programmu īstenošanas kārtība” noteikto kārtību.</w:t>
      </w:r>
      <w:r w:rsidRPr="00281FC8">
        <w:rPr>
          <w:rFonts w:cs="Times New Roman"/>
          <w:szCs w:val="26"/>
        </w:rPr>
        <w:t xml:space="preserve"> </w:t>
      </w:r>
    </w:p>
    <w:p w14:paraId="01ED90E9" w14:textId="77777777" w:rsidR="00EE1CF5" w:rsidRDefault="00EE1CF5" w:rsidP="00EE1CF5">
      <w:pPr>
        <w:spacing w:before="120"/>
        <w:ind w:firstLine="720"/>
        <w:rPr>
          <w:rFonts w:cs="Times New Roman"/>
          <w:szCs w:val="26"/>
        </w:rPr>
      </w:pPr>
      <w:r>
        <w:rPr>
          <w:rFonts w:cs="Times New Roman"/>
          <w:szCs w:val="26"/>
        </w:rPr>
        <w:t>Valsts pētījumu programmas</w:t>
      </w:r>
      <w:r w:rsidRPr="00E66681">
        <w:rPr>
          <w:rFonts w:cs="Times New Roman"/>
          <w:szCs w:val="26"/>
        </w:rPr>
        <w:t xml:space="preserve"> </w:t>
      </w:r>
      <w:r>
        <w:rPr>
          <w:rFonts w:cs="Times New Roman"/>
          <w:szCs w:val="26"/>
        </w:rPr>
        <w:t>“E</w:t>
      </w:r>
      <w:r w:rsidRPr="00E66681">
        <w:rPr>
          <w:rFonts w:cs="Times New Roman"/>
          <w:szCs w:val="26"/>
        </w:rPr>
        <w:t>nerģētik</w:t>
      </w:r>
      <w:r>
        <w:rPr>
          <w:rFonts w:cs="Times New Roman"/>
          <w:szCs w:val="26"/>
        </w:rPr>
        <w:t>a” uzsākšanu ietekmēja normatīvās bāzes sakārtošana, t.sk. ņemot vērā augstāk minēto MK noteikumu pieņemšanu,</w:t>
      </w:r>
      <w:r w:rsidRPr="00E66681">
        <w:rPr>
          <w:rFonts w:cs="Times New Roman"/>
          <w:szCs w:val="26"/>
        </w:rPr>
        <w:t xml:space="preserve"> </w:t>
      </w:r>
      <w:r>
        <w:rPr>
          <w:rFonts w:cs="Times New Roman"/>
          <w:szCs w:val="26"/>
        </w:rPr>
        <w:t xml:space="preserve">to </w:t>
      </w:r>
      <w:r w:rsidRPr="00E66681">
        <w:rPr>
          <w:rFonts w:cs="Times New Roman"/>
          <w:szCs w:val="26"/>
        </w:rPr>
        <w:t>bija iespējams uzsākt 2018. gada oktobrī. Programmas izpildes ilgums ir trīs gadi, ieskaitot 2021. gadu. Turklāt, jāņem vērā, ka saskaņā ar ES Enerģētikas savienības Pārvaldības regulas projektu Nacionālajā Enerģētikas un klimata plānā, kas pabeigts jāiesniedz Eiropas Komisijā līdz 2019. gada 31. decembrim, ir jāparedz</w:t>
      </w:r>
      <w:r>
        <w:rPr>
          <w:rFonts w:cs="Times New Roman"/>
          <w:szCs w:val="26"/>
        </w:rPr>
        <w:t xml:space="preserve"> ilgtermiņa</w:t>
      </w:r>
      <w:r w:rsidRPr="00E66681">
        <w:rPr>
          <w:rFonts w:cs="Times New Roman"/>
          <w:szCs w:val="26"/>
        </w:rPr>
        <w:t xml:space="preserve"> finansējums</w:t>
      </w:r>
      <w:r>
        <w:rPr>
          <w:rFonts w:cs="Times New Roman"/>
          <w:szCs w:val="26"/>
        </w:rPr>
        <w:t xml:space="preserve"> </w:t>
      </w:r>
      <w:r w:rsidRPr="00BD3A1B">
        <w:rPr>
          <w:rFonts w:cs="Times New Roman"/>
          <w:szCs w:val="26"/>
        </w:rPr>
        <w:t>laika periodam no 2021. gada līdz 2030. gadam</w:t>
      </w:r>
      <w:r w:rsidRPr="00E66681">
        <w:rPr>
          <w:rFonts w:cs="Times New Roman"/>
          <w:szCs w:val="26"/>
        </w:rPr>
        <w:t xml:space="preserve"> pētniecībai un zinātnei enerģētikas jomā. </w:t>
      </w:r>
      <w:r w:rsidRPr="00BD3A1B">
        <w:rPr>
          <w:rFonts w:cs="Times New Roman"/>
          <w:szCs w:val="26"/>
        </w:rPr>
        <w:t>Turklāt, NEKP un tajā ietvertie ilgtermiņa mērķi un pasākumi to sasniegšanai visās Enerģētikas Savienības dimensijās, t.sk. attiecībā uz pētniecību, tiks ņemti par pamatu, EK vērtējot ES struktūrfondu piešķiršanu dalībvalstij turpmāko ES daudzgadu budžeta ietvaros.</w:t>
      </w:r>
    </w:p>
    <w:p w14:paraId="11DCFB3C" w14:textId="77777777" w:rsidR="00EE1CF5" w:rsidRPr="00E66681" w:rsidRDefault="00EE1CF5" w:rsidP="00EE1CF5">
      <w:pPr>
        <w:spacing w:before="120"/>
        <w:ind w:firstLine="720"/>
        <w:rPr>
          <w:rFonts w:cs="Times New Roman"/>
          <w:szCs w:val="26"/>
        </w:rPr>
      </w:pPr>
      <w:r w:rsidRPr="00976507">
        <w:rPr>
          <w:rFonts w:cs="Times New Roman"/>
          <w:szCs w:val="26"/>
        </w:rPr>
        <w:t>Latvijas valsts interesēs ir īstenot stabilu un pastāvīgu Valsts pētījuma programmu enerģētikā, kas kalpotu par pamatu pētniecības attīstībai, kā arī uz pētījumiem balstītas politikas īstenošanai, tādā veidā sekmējot ilgtermiņa politikas mērķu sasniegšanu.</w:t>
      </w:r>
    </w:p>
    <w:p w14:paraId="659EF64D" w14:textId="77777777" w:rsidR="00EE1CF5" w:rsidRPr="00E66681" w:rsidRDefault="00EE1CF5" w:rsidP="00EE1CF5">
      <w:pPr>
        <w:spacing w:before="120"/>
        <w:ind w:firstLine="720"/>
        <w:rPr>
          <w:rFonts w:cs="Times New Roman"/>
          <w:szCs w:val="26"/>
        </w:rPr>
      </w:pPr>
      <w:r>
        <w:rPr>
          <w:rFonts w:cs="Times New Roman"/>
          <w:szCs w:val="26"/>
        </w:rPr>
        <w:lastRenderedPageBreak/>
        <w:t>Ņemot vērā minēto,</w:t>
      </w:r>
      <w:r w:rsidRPr="00E66681">
        <w:rPr>
          <w:rFonts w:cs="Times New Roman"/>
          <w:szCs w:val="26"/>
        </w:rPr>
        <w:t xml:space="preserve"> minētā programma veidojama kā pastāvīgs, nevis īslaicīgs, instruments pētniecības attīstībai enerģētikā. Savukārt, vērtējot programmas rezultātus 2020. gadā aktuāls jautājums </w:t>
      </w:r>
      <w:r>
        <w:rPr>
          <w:rFonts w:cs="Times New Roman"/>
          <w:szCs w:val="26"/>
        </w:rPr>
        <w:t xml:space="preserve">būs </w:t>
      </w:r>
      <w:r w:rsidRPr="00E66681">
        <w:rPr>
          <w:rFonts w:cs="Times New Roman"/>
          <w:szCs w:val="26"/>
        </w:rPr>
        <w:t xml:space="preserve">par tās turpmākajām prioritātēm un, nepieciešamības gadījumā, darbības efektivitātes uzlabošanu. </w:t>
      </w:r>
      <w:r>
        <w:rPr>
          <w:rFonts w:cs="Times New Roman"/>
          <w:szCs w:val="26"/>
        </w:rPr>
        <w:t xml:space="preserve"> </w:t>
      </w:r>
    </w:p>
    <w:p w14:paraId="1E5BE016" w14:textId="77777777" w:rsidR="00EE1CF5" w:rsidRDefault="00EE1CF5" w:rsidP="00EE1CF5">
      <w:pPr>
        <w:jc w:val="left"/>
        <w:rPr>
          <w:b/>
          <w:sz w:val="32"/>
        </w:rPr>
      </w:pPr>
      <w:r>
        <w:br w:type="page"/>
      </w:r>
    </w:p>
    <w:p w14:paraId="45B065FD" w14:textId="77777777" w:rsidR="00EE1CF5" w:rsidRDefault="00EE1CF5" w:rsidP="00EE1CF5">
      <w:pPr>
        <w:pStyle w:val="1nodaa"/>
        <w:spacing w:before="360" w:after="240"/>
      </w:pPr>
      <w:bookmarkStart w:id="45" w:name="_Toc256000042"/>
      <w:bookmarkStart w:id="46" w:name="_Toc256000013"/>
      <w:bookmarkStart w:id="47" w:name="_Toc523492916"/>
      <w:bookmarkStart w:id="48" w:name="_Toc528585655"/>
      <w:bookmarkStart w:id="49" w:name="_Toc531798568"/>
      <w:r>
        <w:lastRenderedPageBreak/>
        <w:t>4</w:t>
      </w:r>
      <w:r w:rsidRPr="00DA78F4">
        <w:t>.</w:t>
      </w:r>
      <w:r w:rsidRPr="00DA78F4">
        <w:tab/>
      </w:r>
      <w:r>
        <w:t>Instrumenti elektroenerģijas obligātā iepirkuma sloga samazināšanai</w:t>
      </w:r>
      <w:bookmarkEnd w:id="45"/>
      <w:bookmarkEnd w:id="46"/>
      <w:bookmarkEnd w:id="47"/>
      <w:bookmarkEnd w:id="48"/>
      <w:bookmarkEnd w:id="49"/>
    </w:p>
    <w:p w14:paraId="1B456504" w14:textId="77777777" w:rsidR="00EE1CF5" w:rsidRPr="00820A32" w:rsidRDefault="00EE1CF5" w:rsidP="00EE1CF5">
      <w:pPr>
        <w:rPr>
          <w:b/>
        </w:rPr>
      </w:pPr>
      <w:r>
        <w:tab/>
      </w:r>
      <w:bookmarkStart w:id="50" w:name="_Toc256000015"/>
      <w:bookmarkStart w:id="51" w:name="_Toc523478551"/>
      <w:bookmarkStart w:id="52" w:name="_Toc523492850"/>
      <w:bookmarkStart w:id="53" w:name="_Toc523492917"/>
      <w:r>
        <w:t>OIK atcelšana ir resursu un laika ietilpīgs pasākumu kopums. Līdz tā īstenošanai, lai samazinātu OIK slogu uz elektroenerģijas lietotāju maksājumiem ir iespējams veikt virkni citu pasākumu, kas ļautu gan samazināt lietotāju maksājumus, gan arī pašu atbalstu ražotājiem kopumā, padarot to daudz atbilstošāku tirgus situācijai un faktiskajām staciju ekspluatācijas izmaksām. Tāpēc konceptuālai izvērtēšanai tiek piedāvāta virkne pasākumu esošās atbalsta sistēmas pilnveidošanai un OIK sloga samazināšanai.</w:t>
      </w:r>
      <w:bookmarkEnd w:id="50"/>
      <w:bookmarkEnd w:id="51"/>
      <w:bookmarkEnd w:id="52"/>
      <w:bookmarkEnd w:id="53"/>
    </w:p>
    <w:p w14:paraId="50411694" w14:textId="77777777" w:rsidR="00EE1CF5" w:rsidRDefault="00EE1CF5" w:rsidP="00EE1CF5">
      <w:pPr>
        <w:pStyle w:val="11apaknodaa"/>
        <w:spacing w:before="240" w:after="120"/>
      </w:pPr>
      <w:bookmarkStart w:id="54" w:name="_Toc256000044"/>
      <w:bookmarkStart w:id="55" w:name="_Toc256000017"/>
      <w:bookmarkStart w:id="56" w:name="_Toc523492918"/>
      <w:bookmarkStart w:id="57" w:name="_Toc528585656"/>
      <w:bookmarkStart w:id="58" w:name="_Toc531798569"/>
      <w:r>
        <w:t>4</w:t>
      </w:r>
      <w:r w:rsidRPr="00DA78F4">
        <w:t>.1.</w:t>
      </w:r>
      <w:r w:rsidRPr="00DA78F4">
        <w:tab/>
        <w:t>Subsidētās elektroenerģijas nodoklis</w:t>
      </w:r>
      <w:bookmarkEnd w:id="54"/>
      <w:bookmarkEnd w:id="55"/>
      <w:bookmarkEnd w:id="56"/>
      <w:bookmarkEnd w:id="57"/>
      <w:bookmarkEnd w:id="58"/>
    </w:p>
    <w:p w14:paraId="6C0C1A95" w14:textId="77777777" w:rsidR="00EE1CF5" w:rsidRPr="00E06150" w:rsidRDefault="00EE1CF5" w:rsidP="00EE1CF5">
      <w:pPr>
        <w:spacing w:before="120"/>
        <w:ind w:firstLine="851"/>
      </w:pPr>
      <w:bookmarkStart w:id="59" w:name="_Hlk522179708"/>
      <w:r w:rsidRPr="00E06150">
        <w:rPr>
          <w:szCs w:val="26"/>
        </w:rPr>
        <w:t>Subsidētās elektroenerģijas nodokļa likums stājās spēkā 2014.gada 1.janvārī</w:t>
      </w:r>
      <w:r>
        <w:rPr>
          <w:szCs w:val="26"/>
        </w:rPr>
        <w:t xml:space="preserve">. Tas paredzēja aplikt ar SEN ienākumus, kas gūti OI ietvaros pārdodot elektroenerģiju, </w:t>
      </w:r>
      <w:r w:rsidRPr="00DC6C5B">
        <w:rPr>
          <w:szCs w:val="26"/>
        </w:rPr>
        <w:t>saņem</w:t>
      </w:r>
      <w:r>
        <w:rPr>
          <w:szCs w:val="26"/>
        </w:rPr>
        <w:t>ot</w:t>
      </w:r>
      <w:r w:rsidRPr="00DC6C5B">
        <w:rPr>
          <w:szCs w:val="26"/>
        </w:rPr>
        <w:t xml:space="preserve"> garantēt</w:t>
      </w:r>
      <w:r>
        <w:rPr>
          <w:szCs w:val="26"/>
        </w:rPr>
        <w:t>o</w:t>
      </w:r>
      <w:r w:rsidRPr="00DC6C5B">
        <w:rPr>
          <w:szCs w:val="26"/>
        </w:rPr>
        <w:t xml:space="preserve"> maks</w:t>
      </w:r>
      <w:r>
        <w:rPr>
          <w:szCs w:val="26"/>
        </w:rPr>
        <w:t>u</w:t>
      </w:r>
      <w:r w:rsidRPr="00DC6C5B">
        <w:rPr>
          <w:szCs w:val="26"/>
        </w:rPr>
        <w:t xml:space="preserve"> par elektrostacijā uzstādīto elektrisko jaudu</w:t>
      </w:r>
      <w:r>
        <w:rPr>
          <w:szCs w:val="26"/>
        </w:rPr>
        <w:t xml:space="preserve"> un </w:t>
      </w:r>
      <w:bookmarkStart w:id="60" w:name="_Hlk523235519"/>
      <w:r w:rsidRPr="00DC6C5B">
        <w:rPr>
          <w:szCs w:val="26"/>
        </w:rPr>
        <w:t xml:space="preserve">saskaņā ar Enerģētikas likuma 40.panta nosacījumiem, kuri bija spēkā no 1998.gada 6.oktobra līdz 2005.gada 7.jūnijam, un attiecīgo </w:t>
      </w:r>
      <w:r>
        <w:rPr>
          <w:szCs w:val="26"/>
        </w:rPr>
        <w:t>MK</w:t>
      </w:r>
      <w:r w:rsidRPr="00DC6C5B">
        <w:rPr>
          <w:szCs w:val="26"/>
        </w:rPr>
        <w:t xml:space="preserve"> noteikto kārtību pārdot</w:t>
      </w:r>
      <w:r>
        <w:rPr>
          <w:szCs w:val="26"/>
        </w:rPr>
        <w:t>o</w:t>
      </w:r>
      <w:r w:rsidRPr="00DC6C5B">
        <w:rPr>
          <w:szCs w:val="26"/>
        </w:rPr>
        <w:t xml:space="preserve"> elektroenerģij</w:t>
      </w:r>
      <w:r>
        <w:rPr>
          <w:szCs w:val="26"/>
        </w:rPr>
        <w:t>u. Ar SEN tika aplikti ienākumi, kas gūti līdz 2017.gada 31.decembrim</w:t>
      </w:r>
      <w:bookmarkEnd w:id="60"/>
      <w:r>
        <w:rPr>
          <w:szCs w:val="26"/>
        </w:rPr>
        <w:t xml:space="preserve">. </w:t>
      </w:r>
      <w:r>
        <w:rPr>
          <w:rFonts w:cs="Times New Roman"/>
          <w:szCs w:val="26"/>
        </w:rPr>
        <w:t>SEN</w:t>
      </w:r>
      <w:r w:rsidRPr="00E06150">
        <w:rPr>
          <w:rFonts w:cs="Times New Roman"/>
          <w:szCs w:val="26"/>
        </w:rPr>
        <w:t xml:space="preserve"> mērķis 2014.gadā bija </w:t>
      </w:r>
      <w:r w:rsidRPr="00E06150">
        <w:rPr>
          <w:rFonts w:cs="Times New Roman"/>
          <w:color w:val="000000"/>
          <w:szCs w:val="26"/>
          <w:shd w:val="clear" w:color="auto" w:fill="FFFFFF"/>
        </w:rPr>
        <w:t xml:space="preserve">ierobežot elektroenerģijas kopējās cenas pieaugumu, lai tādejādi nodrošinātu tautsaimniecības konkurētspēju un nepalielinātu mājsaimniecību enerģētisko nabadzību, kā arī nodrošinātu valsts budžetu ar papildu ieņēmumiem, kas ļautu finansiāli nodrošināt elektroenerģijas lietotāju atbalsta pasākumu īstenošanu. </w:t>
      </w:r>
    </w:p>
    <w:p w14:paraId="2764B8C5" w14:textId="77777777" w:rsidR="00EE1CF5" w:rsidRDefault="00EE1CF5" w:rsidP="00EE1CF5">
      <w:pPr>
        <w:spacing w:before="120"/>
        <w:ind w:firstLine="851"/>
        <w:rPr>
          <w:szCs w:val="26"/>
        </w:rPr>
      </w:pPr>
      <w:r w:rsidRPr="00E06150">
        <w:rPr>
          <w:szCs w:val="26"/>
        </w:rPr>
        <w:t>Lai arī OI mehānism</w:t>
      </w:r>
      <w:r>
        <w:rPr>
          <w:szCs w:val="26"/>
        </w:rPr>
        <w:t>a</w:t>
      </w:r>
      <w:r w:rsidRPr="00E06150">
        <w:rPr>
          <w:szCs w:val="26"/>
        </w:rPr>
        <w:t xml:space="preserve"> saskaņošana ar EK ir sasniegusi savu mērķi sniegt elektroenerģijas ražotājiem tādu valsts atbalstu, kas ir saskanīgs ar ES iekšējo tirgu un veicina Latvijas Direktīvā 2009/28/EK noteiktā mērķa sasniegšanu</w:t>
      </w:r>
      <w:r>
        <w:rPr>
          <w:szCs w:val="26"/>
        </w:rPr>
        <w:t>, tomēr</w:t>
      </w:r>
      <w:r w:rsidRPr="00E06150">
        <w:rPr>
          <w:szCs w:val="26"/>
        </w:rPr>
        <w:t xml:space="preserve"> izveidotais atbalsta mehānisms joprojām nav ilgtspējīgs</w:t>
      </w:r>
      <w:r>
        <w:rPr>
          <w:szCs w:val="26"/>
        </w:rPr>
        <w:t xml:space="preserve"> un </w:t>
      </w:r>
      <w:r w:rsidRPr="00E06150">
        <w:rPr>
          <w:szCs w:val="26"/>
        </w:rPr>
        <w:t>n</w:t>
      </w:r>
      <w:r>
        <w:rPr>
          <w:szCs w:val="26"/>
        </w:rPr>
        <w:t xml:space="preserve">estimulē ražotājus ražot ar iespējami zemākām izmaksām, ņemot vērā, ka nav savstarpējās konkurences, neņemot vērā sabiedrības intereses. Ņemot vērā minēto, lai papildinātu </w:t>
      </w:r>
      <w:r w:rsidRPr="00E06150">
        <w:rPr>
          <w:szCs w:val="26"/>
        </w:rPr>
        <w:t>valsts budžet</w:t>
      </w:r>
      <w:r>
        <w:rPr>
          <w:szCs w:val="26"/>
        </w:rPr>
        <w:t>u</w:t>
      </w:r>
      <w:r w:rsidRPr="00E06150">
        <w:rPr>
          <w:szCs w:val="26"/>
        </w:rPr>
        <w:t xml:space="preserve"> </w:t>
      </w:r>
      <w:r>
        <w:rPr>
          <w:szCs w:val="26"/>
        </w:rPr>
        <w:t>ar</w:t>
      </w:r>
      <w:r w:rsidRPr="00E06150">
        <w:rPr>
          <w:szCs w:val="26"/>
        </w:rPr>
        <w:t xml:space="preserve"> līdzekļ</w:t>
      </w:r>
      <w:r>
        <w:rPr>
          <w:szCs w:val="26"/>
        </w:rPr>
        <w:t>iem</w:t>
      </w:r>
      <w:r w:rsidRPr="00E06150">
        <w:rPr>
          <w:szCs w:val="26"/>
        </w:rPr>
        <w:t xml:space="preserve"> valsts izdevumu segšanai, tai skaitā nodrošinātu valsts budžetā līdzekļus, lai valstij būtu līdzekļi valsts budžeta līdzmaksājuma palielināšanai OIK segšanai, </w:t>
      </w:r>
      <w:r>
        <w:rPr>
          <w:szCs w:val="26"/>
        </w:rPr>
        <w:t>iespējams</w:t>
      </w:r>
      <w:r w:rsidRPr="00E06150">
        <w:rPr>
          <w:szCs w:val="26"/>
        </w:rPr>
        <w:t xml:space="preserve"> atjaunot SEN</w:t>
      </w:r>
      <w:r>
        <w:rPr>
          <w:szCs w:val="26"/>
        </w:rPr>
        <w:t xml:space="preserve">. Ar SEN var aplikt ienākumus, kas gūti OI ietvaros pārdodot elektroenerģiju, </w:t>
      </w:r>
      <w:r w:rsidRPr="00DC6C5B">
        <w:rPr>
          <w:szCs w:val="26"/>
        </w:rPr>
        <w:t>saņem</w:t>
      </w:r>
      <w:r>
        <w:rPr>
          <w:szCs w:val="26"/>
        </w:rPr>
        <w:t>ot</w:t>
      </w:r>
      <w:r w:rsidRPr="00DC6C5B">
        <w:rPr>
          <w:szCs w:val="26"/>
        </w:rPr>
        <w:t xml:space="preserve"> garantēt</w:t>
      </w:r>
      <w:r>
        <w:rPr>
          <w:szCs w:val="26"/>
        </w:rPr>
        <w:t>o</w:t>
      </w:r>
      <w:r w:rsidRPr="00DC6C5B">
        <w:rPr>
          <w:szCs w:val="26"/>
        </w:rPr>
        <w:t xml:space="preserve"> maks</w:t>
      </w:r>
      <w:r>
        <w:rPr>
          <w:szCs w:val="26"/>
        </w:rPr>
        <w:t>u</w:t>
      </w:r>
      <w:r w:rsidRPr="00DC6C5B">
        <w:rPr>
          <w:szCs w:val="26"/>
        </w:rPr>
        <w:t xml:space="preserve"> par koģenerācijas stacijā vai elektrostacijā uzstādīto elektrisko jaudu</w:t>
      </w:r>
      <w:r>
        <w:rPr>
          <w:szCs w:val="26"/>
        </w:rPr>
        <w:t xml:space="preserve"> un </w:t>
      </w:r>
      <w:r w:rsidRPr="00DC6C5B">
        <w:rPr>
          <w:szCs w:val="26"/>
        </w:rPr>
        <w:t xml:space="preserve">saskaņā ar Enerģētikas likuma 40.panta nosacījumiem, kuri bija spēkā no 1998.gada 6.oktobra līdz 2005.gada 7.jūnijam, un attiecīgo </w:t>
      </w:r>
      <w:r>
        <w:rPr>
          <w:szCs w:val="26"/>
        </w:rPr>
        <w:t>MK</w:t>
      </w:r>
      <w:r w:rsidRPr="00DC6C5B">
        <w:rPr>
          <w:szCs w:val="26"/>
        </w:rPr>
        <w:t xml:space="preserve"> noteikto kārtību pārdot</w:t>
      </w:r>
      <w:r>
        <w:rPr>
          <w:szCs w:val="26"/>
        </w:rPr>
        <w:t>o</w:t>
      </w:r>
      <w:r w:rsidRPr="00DC6C5B">
        <w:rPr>
          <w:szCs w:val="26"/>
        </w:rPr>
        <w:t xml:space="preserve"> elektroenerģij</w:t>
      </w:r>
      <w:r>
        <w:rPr>
          <w:szCs w:val="26"/>
        </w:rPr>
        <w:t xml:space="preserve">u. </w:t>
      </w:r>
    </w:p>
    <w:p w14:paraId="5E11341B" w14:textId="77777777" w:rsidR="00EE1CF5" w:rsidRDefault="00EE1CF5" w:rsidP="00EE1CF5">
      <w:pPr>
        <w:spacing w:before="120"/>
        <w:ind w:firstLine="851"/>
        <w:rPr>
          <w:szCs w:val="26"/>
        </w:rPr>
      </w:pPr>
      <w:r>
        <w:rPr>
          <w:szCs w:val="26"/>
        </w:rPr>
        <w:t>Lai būtu iespējama SEN piemērošana praksē,</w:t>
      </w:r>
      <w:r w:rsidRPr="00E06150">
        <w:rPr>
          <w:szCs w:val="26"/>
        </w:rPr>
        <w:t xml:space="preserve"> </w:t>
      </w:r>
      <w:r>
        <w:rPr>
          <w:szCs w:val="26"/>
        </w:rPr>
        <w:t>būtu veicami</w:t>
      </w:r>
      <w:r w:rsidRPr="00E06150">
        <w:rPr>
          <w:szCs w:val="26"/>
        </w:rPr>
        <w:t xml:space="preserve"> grozījumi Subsidētās elektroenerģijas nodokļa likumā, no</w:t>
      </w:r>
      <w:r>
        <w:rPr>
          <w:szCs w:val="26"/>
        </w:rPr>
        <w:t>sakot</w:t>
      </w:r>
      <w:r w:rsidRPr="00E06150">
        <w:rPr>
          <w:szCs w:val="26"/>
        </w:rPr>
        <w:t xml:space="preserve"> </w:t>
      </w:r>
      <w:r>
        <w:rPr>
          <w:szCs w:val="26"/>
        </w:rPr>
        <w:t>tā</w:t>
      </w:r>
      <w:r w:rsidRPr="00E06150">
        <w:rPr>
          <w:szCs w:val="26"/>
        </w:rPr>
        <w:t xml:space="preserve"> piemērošanas termiņu</w:t>
      </w:r>
      <w:r>
        <w:rPr>
          <w:szCs w:val="26"/>
        </w:rPr>
        <w:t>,</w:t>
      </w:r>
      <w:r w:rsidRPr="00E06150">
        <w:rPr>
          <w:szCs w:val="26"/>
        </w:rPr>
        <w:t xml:space="preserve"> </w:t>
      </w:r>
      <w:r>
        <w:rPr>
          <w:szCs w:val="26"/>
        </w:rPr>
        <w:t xml:space="preserve">kā arī pieņemot lēmumu par </w:t>
      </w:r>
      <w:r w:rsidRPr="00E06150">
        <w:rPr>
          <w:szCs w:val="26"/>
        </w:rPr>
        <w:t xml:space="preserve">nodokļu likmi komersantiem, kas instrumenta darbības laikā saņems valsts atbalstu OI mehānisma ietvaros, neatkarīgi no tā, vai tiesības piešķirtas pirms vai pēc ETL spēkā stāšanās. </w:t>
      </w:r>
      <w:r>
        <w:rPr>
          <w:szCs w:val="26"/>
        </w:rPr>
        <w:t>Aplūkojot jautājumu par iespējamo SEN atjaunošanu tika secināts, ka vienota nodokļa likme padara nodokli vieglāk administrējamu (piemēram, nodokļa administrētājam nav jāiegūst papildu informācija no citām valsts pārvaldes iestādēm un nodokļa maksātāja), samazinot nodokļu administrēšanas izdevumus, kas rodas sagatavojot un pārbaudot iesniegto dokumentāciju samazinātas likmes piemērošanai, kā arī samazina iespējas izvairīties no SEN piemērošanas. Lai SEN varētu piemērot ar 2019.gadu,</w:t>
      </w:r>
      <w:r w:rsidRPr="00E06150">
        <w:rPr>
          <w:szCs w:val="26"/>
        </w:rPr>
        <w:t xml:space="preserve"> grozījumi Subsidētās elektroenerģijas nodokļa likumā būtu jāizstrādā un jāiesniedz </w:t>
      </w:r>
      <w:r>
        <w:rPr>
          <w:szCs w:val="26"/>
        </w:rPr>
        <w:t>MK</w:t>
      </w:r>
      <w:r w:rsidRPr="00E06150">
        <w:rPr>
          <w:szCs w:val="26"/>
        </w:rPr>
        <w:t xml:space="preserve"> jau 2018.gada rudenī kopā ar likumprojektu </w:t>
      </w:r>
      <w:r w:rsidRPr="00E06150">
        <w:rPr>
          <w:szCs w:val="26"/>
        </w:rPr>
        <w:lastRenderedPageBreak/>
        <w:t>“Par valsts budžetu 2019.gadam” pavadošo likumu paketē.</w:t>
      </w:r>
      <w:r>
        <w:rPr>
          <w:szCs w:val="26"/>
        </w:rPr>
        <w:t xml:space="preserve"> Ņemot vērā aktuālo situāciju pēc 13. Saeimas vēlēšanām, šobrīd nav pamata uzskatīt, ka SEN ieviešana ar 2019. gada 1. janvāri būtu praktiski iespējama.</w:t>
      </w:r>
    </w:p>
    <w:p w14:paraId="5508E824" w14:textId="77777777" w:rsidR="00EE1CF5" w:rsidRDefault="00EE1CF5" w:rsidP="00EE1CF5">
      <w:pPr>
        <w:spacing w:before="120"/>
        <w:ind w:firstLine="720"/>
      </w:pPr>
      <w:r>
        <w:t>Satversmes tiesa savos spriedumos ir norādījusi, ka personas interese gūt peļņu neietilpst Satversmes 105.panta tvērumā, jo šāda abstrakta iespējamība nav uzskatāma par īpašuma tiesību objektu.</w:t>
      </w:r>
      <w:r>
        <w:rPr>
          <w:rStyle w:val="FootnoteReference"/>
        </w:rPr>
        <w:footnoteReference w:id="22"/>
      </w:r>
      <w:r>
        <w:t xml:space="preserve"> Satversmes tiesa ir nošķīrusi tiesības pārdot elektroenerģiju obligātā iepirkuma ietvaros no intereses gūt iecerētā apmērā peļņu. </w:t>
      </w:r>
    </w:p>
    <w:p w14:paraId="51BEA257" w14:textId="77777777" w:rsidR="00EE1CF5" w:rsidRDefault="00EE1CF5" w:rsidP="00EE1CF5">
      <w:pPr>
        <w:spacing w:before="120"/>
        <w:ind w:firstLine="720"/>
      </w:pPr>
      <w:r>
        <w:t>Ņemot vērā minēto, ja SEN samazinātu komersanta peļņas apmēru un noteiktais SEN apmērs pēc sava rakstura nebūtu konfiscējoša rakstura, tad SEN būtu uzskatāms par atbilstošu Satversmei.</w:t>
      </w:r>
      <w:r w:rsidRPr="00926E1F">
        <w:t xml:space="preserve"> </w:t>
      </w:r>
      <w:r w:rsidRPr="004E196D">
        <w:t>Satversmes tiesa ar nodokļa maksāšanas pienākumu saistītas tiesību normas parasti vērtē kā īpašuma tiesību ierobežojumu, nevis ī</w:t>
      </w:r>
      <w:r>
        <w:t>pašuma piespiedu atsavināšanu</w:t>
      </w:r>
      <w:r w:rsidRPr="004E196D">
        <w:t>. Nodokļa maksāšanas pienākums vienmēr nozīmē īpašuma tiesību ierobežošanu, jo nodokļa piemērošanas rezultātā samazinās pieteiku</w:t>
      </w:r>
      <w:r>
        <w:t>ma iesniedzēja gūtie ienākumi</w:t>
      </w:r>
      <w:r w:rsidRPr="004E196D">
        <w:t>.</w:t>
      </w:r>
      <w:r>
        <w:rPr>
          <w:rStyle w:val="FootnoteReference"/>
        </w:rPr>
        <w:footnoteReference w:id="23"/>
      </w:r>
    </w:p>
    <w:p w14:paraId="1966C7B6" w14:textId="77777777" w:rsidR="00EE1CF5" w:rsidRPr="00EE7D23" w:rsidRDefault="00EE1CF5" w:rsidP="00EE1CF5">
      <w:pPr>
        <w:spacing w:before="120"/>
        <w:ind w:firstLine="851"/>
        <w:rPr>
          <w:rFonts w:eastAsia="Times New Roman" w:cs="Times New Roman"/>
          <w:szCs w:val="26"/>
        </w:rPr>
      </w:pPr>
      <w:r w:rsidRPr="00E06150">
        <w:rPr>
          <w:szCs w:val="26"/>
        </w:rPr>
        <w:t xml:space="preserve">Jāņem vērā, ka </w:t>
      </w:r>
      <w:r>
        <w:rPr>
          <w:szCs w:val="26"/>
        </w:rPr>
        <w:t>ar SEN</w:t>
      </w:r>
      <w:r w:rsidRPr="00E06150">
        <w:rPr>
          <w:szCs w:val="26"/>
        </w:rPr>
        <w:t xml:space="preserve"> </w:t>
      </w:r>
      <w:r>
        <w:rPr>
          <w:szCs w:val="26"/>
        </w:rPr>
        <w:t xml:space="preserve">tiktu samazināti </w:t>
      </w:r>
      <w:r w:rsidRPr="00E06150">
        <w:rPr>
          <w:szCs w:val="26"/>
        </w:rPr>
        <w:t>uzņēmuma kopējo kapitālieguldījumu IRR līmeni nodokļa piemērošanas laikā</w:t>
      </w:r>
      <w:r>
        <w:rPr>
          <w:szCs w:val="26"/>
        </w:rPr>
        <w:t>. Ņemot vērā minēto</w:t>
      </w:r>
      <w:r w:rsidRPr="00E06150">
        <w:rPr>
          <w:szCs w:val="26"/>
        </w:rPr>
        <w:t xml:space="preserve">, </w:t>
      </w:r>
      <w:r>
        <w:rPr>
          <w:szCs w:val="26"/>
        </w:rPr>
        <w:t xml:space="preserve">SEN ieviešana jāvērtē kopsakarā ar </w:t>
      </w:r>
      <w:r w:rsidRPr="00EE7D23">
        <w:rPr>
          <w:szCs w:val="26"/>
        </w:rPr>
        <w:t xml:space="preserve"> kopēj</w:t>
      </w:r>
      <w:r>
        <w:rPr>
          <w:szCs w:val="26"/>
        </w:rPr>
        <w:t>o</w:t>
      </w:r>
      <w:r w:rsidRPr="00EE7D23">
        <w:rPr>
          <w:szCs w:val="26"/>
        </w:rPr>
        <w:t xml:space="preserve"> kapitālieguldījumu IRR aprēķināšana</w:t>
      </w:r>
      <w:r>
        <w:rPr>
          <w:szCs w:val="26"/>
        </w:rPr>
        <w:t>s kārtības pilnveidi</w:t>
      </w:r>
      <w:r w:rsidRPr="00EE7D23">
        <w:rPr>
          <w:szCs w:val="26"/>
        </w:rPr>
        <w:t>. Izvērtējot SEN piemērošanu kopsakarā ar piedāvātajām izmaiņām</w:t>
      </w:r>
      <w:r>
        <w:rPr>
          <w:szCs w:val="26"/>
        </w:rPr>
        <w:t xml:space="preserve"> kopējo kapitālieguldījumu</w:t>
      </w:r>
      <w:r w:rsidRPr="00EE7D23">
        <w:rPr>
          <w:szCs w:val="26"/>
        </w:rPr>
        <w:t xml:space="preserve"> IRR aprēķināšanas kārtībā un nosacījumos, secināms, ka, </w:t>
      </w:r>
      <w:bookmarkStart w:id="61" w:name="_Hlk522707811"/>
      <w:r w:rsidRPr="00EE7D23">
        <w:rPr>
          <w:szCs w:val="26"/>
        </w:rPr>
        <w:t>piemērojot SEN ar likmi 15% 2019. un 2020.gadā, kopējo kapitālieguldījumu IRR atbalsta perioda beigās dabasgāzes koģenerācijas stacijām</w:t>
      </w:r>
      <w:r>
        <w:rPr>
          <w:szCs w:val="26"/>
        </w:rPr>
        <w:t xml:space="preserve"> </w:t>
      </w:r>
      <w:r w:rsidRPr="00EE7D23">
        <w:rPr>
          <w:szCs w:val="26"/>
        </w:rPr>
        <w:t>kapitālieguldījumu IRR samazinās vidēji par 1,5-2%, savukārt atjaunojamo energoresursu stacijām par 0,5-1,5%</w:t>
      </w:r>
      <w:bookmarkEnd w:id="61"/>
      <w:r w:rsidRPr="00EE7D23">
        <w:rPr>
          <w:szCs w:val="26"/>
        </w:rPr>
        <w:t>.</w:t>
      </w:r>
      <w:bookmarkEnd w:id="59"/>
      <w:r>
        <w:rPr>
          <w:szCs w:val="26"/>
        </w:rPr>
        <w:t xml:space="preserve"> </w:t>
      </w:r>
    </w:p>
    <w:p w14:paraId="17085E5F" w14:textId="77777777" w:rsidR="00EE1CF5" w:rsidRDefault="00EE1CF5" w:rsidP="00EE1CF5">
      <w:pPr>
        <w:spacing w:before="120"/>
        <w:ind w:firstLine="851"/>
        <w:rPr>
          <w:szCs w:val="26"/>
        </w:rPr>
      </w:pPr>
      <w:r w:rsidRPr="00EE7D23">
        <w:rPr>
          <w:szCs w:val="26"/>
        </w:rPr>
        <w:t>Visu to instrumentu izvēle, kas veicina OI mehānisma</w:t>
      </w:r>
      <w:r w:rsidRPr="00E06150">
        <w:rPr>
          <w:szCs w:val="26"/>
        </w:rPr>
        <w:t xml:space="preserve"> efektivitāti un rod papildu līdzekļus valsts budžetam, ir vērtējama pozitīvi arī no elektroenerģijas patērētāju viedokļa, risinot problēmu ar OIK maksājumiem. Ieviešot jaunu nodokli, tiek rasti papildu līdzekļi valsts budžetam tekošo izdevumu segšanai, tai skaitā valsts budžetu līdzekļu līdzfinans</w:t>
      </w:r>
      <w:r>
        <w:rPr>
          <w:szCs w:val="26"/>
        </w:rPr>
        <w:t>ējuma mazināšanai, lai segtu OI mehānisma radītās izmaksas</w:t>
      </w:r>
      <w:r w:rsidRPr="00E06150">
        <w:rPr>
          <w:szCs w:val="26"/>
        </w:rPr>
        <w:t xml:space="preserve">. </w:t>
      </w:r>
      <w:r>
        <w:rPr>
          <w:szCs w:val="26"/>
        </w:rPr>
        <w:t>Kopējie plānotie ienākumi no SEN ir aptuveni 36,6 milj. EUR 2019.gadā un 35,9 milj. EUR 2020.gadā, kuri budžeta plānošanas procesā var tikt novirzīti OIK izmaksu segšanai.</w:t>
      </w:r>
    </w:p>
    <w:p w14:paraId="37192067" w14:textId="77777777" w:rsidR="00EE1CF5" w:rsidRDefault="00EE1CF5" w:rsidP="00EE1CF5">
      <w:pPr>
        <w:spacing w:before="120"/>
        <w:ind w:firstLine="851"/>
        <w:rPr>
          <w:szCs w:val="26"/>
        </w:rPr>
      </w:pPr>
      <w:r w:rsidRPr="00D30638">
        <w:rPr>
          <w:szCs w:val="26"/>
        </w:rPr>
        <w:t>No minētā secināms, ka, piemērojot SEN ar likmi 15%, tiek sabalansētas gan sabiedrības vajadzības attiecībā uz OIK izmaksu samazinājumu, gan komersantu iespējas turpināt elektrostaciju darbu. Tāpat jāņem vērā, ka ar SEN tiek aplikta komersantiem izmaksātā summa par elektroenerģijas OI nevis peļņa, līdz ar to komersantiem lielākas peļņas nodrošināšanai ir iespējams samazināt savas darbības izmaksas.</w:t>
      </w:r>
    </w:p>
    <w:p w14:paraId="59FCEA9B" w14:textId="77777777" w:rsidR="00EE1CF5" w:rsidRDefault="00EE1CF5" w:rsidP="00EE1CF5">
      <w:pPr>
        <w:spacing w:before="120"/>
        <w:ind w:firstLine="851"/>
        <w:rPr>
          <w:szCs w:val="26"/>
        </w:rPr>
      </w:pPr>
      <w:r>
        <w:rPr>
          <w:szCs w:val="26"/>
        </w:rPr>
        <w:t xml:space="preserve">Vienlaikus jāņem vērā, ka atbilstoši FM sniegtajam viedoklim SEN varētu tikt skatīts kā izmaiņas esošajā valsts atbalsta lietā </w:t>
      </w:r>
      <w:r w:rsidRPr="00E06150">
        <w:rPr>
          <w:i/>
          <w:iCs/>
          <w:szCs w:val="26"/>
        </w:rPr>
        <w:t xml:space="preserve">SA.43140 (2015/NN) – atbalsts elektroenerģijas ražotājiem </w:t>
      </w:r>
      <w:r w:rsidRPr="00E06150">
        <w:rPr>
          <w:szCs w:val="26"/>
        </w:rPr>
        <w:t xml:space="preserve">(turpmāk – SA.43140). Gadījumā, ja SEN atjaunošana tiek uzskatīta par izmaiņu veikšanu esošajā atbalsta lietā, tad jauna nodokļa ieviešana ir saskaņojama ar </w:t>
      </w:r>
      <w:r>
        <w:rPr>
          <w:szCs w:val="26"/>
        </w:rPr>
        <w:t>EK</w:t>
      </w:r>
      <w:r w:rsidRPr="00E06150">
        <w:rPr>
          <w:szCs w:val="26"/>
        </w:rPr>
        <w:t xml:space="preserve"> kā grozījumi esošajā shēmā atbilstoši šobrīd spēkā esošajām </w:t>
      </w:r>
      <w:r w:rsidRPr="00E06150">
        <w:rPr>
          <w:color w:val="000000"/>
          <w:szCs w:val="26"/>
          <w:shd w:val="clear" w:color="auto" w:fill="FFFFFF"/>
        </w:rPr>
        <w:t xml:space="preserve">EK </w:t>
      </w:r>
      <w:r w:rsidRPr="00E06150">
        <w:rPr>
          <w:color w:val="000000"/>
          <w:szCs w:val="26"/>
          <w:shd w:val="clear" w:color="auto" w:fill="FFFFFF"/>
        </w:rPr>
        <w:lastRenderedPageBreak/>
        <w:t>2014.gada 1.jūlija pamatnostādnēm “Pamatnostādnes par valsts atbalstu vides aizsardzībai un enerģētikai 2014.–2020. gadam” (2014/C 200/01) (turpmāk – 2014.gada Pamatnostādnes par valsts atbalstu vides aizsardzībai un enerģētikai)</w:t>
      </w:r>
      <w:r>
        <w:rPr>
          <w:color w:val="000000"/>
          <w:szCs w:val="26"/>
          <w:shd w:val="clear" w:color="auto" w:fill="FFFFFF"/>
          <w:vertAlign w:val="superscript"/>
        </w:rPr>
        <w:footnoteReference w:id="24"/>
      </w:r>
      <w:r w:rsidRPr="00E06150">
        <w:rPr>
          <w:szCs w:val="26"/>
        </w:rPr>
        <w:t xml:space="preserve">. Tādā gadījumā plānotos pasākumus varēs ieviest tikai pēc tam, </w:t>
      </w:r>
      <w:r>
        <w:rPr>
          <w:szCs w:val="26"/>
        </w:rPr>
        <w:t>ja</w:t>
      </w:r>
      <w:r w:rsidRPr="00E06150">
        <w:rPr>
          <w:szCs w:val="26"/>
        </w:rPr>
        <w:t xml:space="preserve"> </w:t>
      </w:r>
      <w:r>
        <w:rPr>
          <w:szCs w:val="26"/>
        </w:rPr>
        <w:t>EK</w:t>
      </w:r>
      <w:r w:rsidRPr="00E06150">
        <w:rPr>
          <w:szCs w:val="26"/>
        </w:rPr>
        <w:t xml:space="preserve"> būs saskaņojusi Latvijas plānotās izmaiņas lietā SA.43140, tai skaitā normatīvā regulējuma projektus.</w:t>
      </w:r>
      <w:r>
        <w:rPr>
          <w:szCs w:val="26"/>
        </w:rPr>
        <w:t xml:space="preserve"> Ņemot vērā minēto, SEN ieviešana var aizkavēties saistībā ar minētā instrumenta saskaņošanu ar EK.</w:t>
      </w:r>
    </w:p>
    <w:p w14:paraId="56C11852" w14:textId="77777777" w:rsidR="00EE1CF5" w:rsidRDefault="00EE1CF5" w:rsidP="00EE1CF5">
      <w:pPr>
        <w:spacing w:before="120"/>
        <w:ind w:firstLine="851"/>
        <w:rPr>
          <w:szCs w:val="26"/>
        </w:rPr>
      </w:pPr>
      <w:r>
        <w:rPr>
          <w:szCs w:val="26"/>
        </w:rPr>
        <w:t xml:space="preserve">Vienlaikus </w:t>
      </w:r>
      <w:r w:rsidRPr="00FD3697">
        <w:rPr>
          <w:szCs w:val="26"/>
        </w:rPr>
        <w:t xml:space="preserve">Satversmes tiesa 2015 gada 3.jūlija spriedumā lietā Nr.2014-12-01 par Subsidētās elektroenerģijas nodokļa likuma 3.panta 1. un 2.punkta, 4.panta 1.punkta un 5.panta atbilstību Latvijas Republikas Satversmes 1. un 105.pantam </w:t>
      </w:r>
      <w:r>
        <w:rPr>
          <w:szCs w:val="26"/>
        </w:rPr>
        <w:t xml:space="preserve">ir vērtējusi SEN un konstatējusi tā atbilstību Satversmei. Vienlaikus ir jāņem vērā arī Satversmes tiesas spriedumā norādītie argumenti – SEN nedrīkst būt konfiscējoša rakstura. </w:t>
      </w:r>
    </w:p>
    <w:p w14:paraId="48CEDDBA" w14:textId="77777777" w:rsidR="00EE1CF5" w:rsidRPr="0065488B" w:rsidRDefault="00EE1CF5" w:rsidP="00EE1CF5">
      <w:pPr>
        <w:pStyle w:val="11apaknodaa"/>
        <w:spacing w:before="240" w:after="120"/>
      </w:pPr>
      <w:bookmarkStart w:id="62" w:name="_Toc256000050"/>
      <w:bookmarkStart w:id="63" w:name="_Toc256000018"/>
      <w:bookmarkStart w:id="64" w:name="_Toc523492919"/>
      <w:bookmarkStart w:id="65" w:name="_Toc528585657"/>
      <w:bookmarkStart w:id="66" w:name="_Toc531798570"/>
      <w:r w:rsidRPr="0065488B">
        <w:t>4.2. Elektroenerģijas iepirkuma cenu formulu pārskatīšana</w:t>
      </w:r>
      <w:bookmarkEnd w:id="62"/>
      <w:bookmarkEnd w:id="63"/>
      <w:bookmarkEnd w:id="64"/>
      <w:bookmarkEnd w:id="65"/>
      <w:bookmarkEnd w:id="66"/>
    </w:p>
    <w:p w14:paraId="431CFD8A" w14:textId="77777777" w:rsidR="00EE1CF5" w:rsidRPr="0065488B" w:rsidRDefault="00EE1CF5" w:rsidP="00EE1CF5">
      <w:pPr>
        <w:spacing w:before="120"/>
        <w:ind w:firstLine="720"/>
        <w:rPr>
          <w:szCs w:val="26"/>
        </w:rPr>
      </w:pPr>
      <w:bookmarkStart w:id="67" w:name="_Toc522614009"/>
      <w:r w:rsidRPr="0065488B">
        <w:rPr>
          <w:szCs w:val="26"/>
        </w:rPr>
        <w:t>Saskaņā ar MK noteikumu Nr.221 77.</w:t>
      </w:r>
      <w:r>
        <w:rPr>
          <w:szCs w:val="26"/>
        </w:rPr>
        <w:t> </w:t>
      </w:r>
      <w:r w:rsidRPr="0065488B">
        <w:rPr>
          <w:szCs w:val="26"/>
        </w:rPr>
        <w:t>pun</w:t>
      </w:r>
      <w:r>
        <w:rPr>
          <w:szCs w:val="26"/>
        </w:rPr>
        <w:t>ktu un MK noteikumu Nr.262 102. </w:t>
      </w:r>
      <w:r w:rsidRPr="0065488B">
        <w:rPr>
          <w:szCs w:val="26"/>
        </w:rPr>
        <w:t xml:space="preserve">punktu </w:t>
      </w:r>
      <w:r>
        <w:rPr>
          <w:szCs w:val="26"/>
        </w:rPr>
        <w:t>EM</w:t>
      </w:r>
      <w:r w:rsidRPr="0065488B">
        <w:rPr>
          <w:szCs w:val="26"/>
        </w:rPr>
        <w:t xml:space="preserve"> var ierosināt pārskatīt minētajos noteikumos iekļauto formulu pamatotību un atbilstību elektroenerģijas tirgus situācijai.</w:t>
      </w:r>
      <w:bookmarkEnd w:id="67"/>
    </w:p>
    <w:p w14:paraId="4A377039" w14:textId="77777777" w:rsidR="00EE1CF5" w:rsidRPr="002B0403" w:rsidRDefault="00EE1CF5" w:rsidP="00EE1CF5">
      <w:pPr>
        <w:spacing w:before="120"/>
        <w:ind w:firstLine="720"/>
        <w:rPr>
          <w:szCs w:val="26"/>
        </w:rPr>
      </w:pPr>
      <w:bookmarkStart w:id="68" w:name="_Toc522614010"/>
      <w:r w:rsidRPr="0065488B">
        <w:rPr>
          <w:szCs w:val="26"/>
        </w:rPr>
        <w:t xml:space="preserve">Informatīvajā ziņojumā par OIK atcelšanu secināts, ka, </w:t>
      </w:r>
      <w:r w:rsidRPr="0065488B">
        <w:rPr>
          <w:color w:val="000000"/>
          <w:szCs w:val="26"/>
        </w:rPr>
        <w:t>sekojot tehnoloģiju attīstības tendencēm un globālajiem izaicinājumiem, Latvijai ir jāpārskata atbalsta mehānisma efektivitāte atjaunojamās elektroenerģijas ražošanai, nolūkā padarīt to ekonomiski pamatotāku.</w:t>
      </w:r>
      <w:r w:rsidRPr="0065488B">
        <w:rPr>
          <w:szCs w:val="26"/>
        </w:rPr>
        <w:t xml:space="preserve"> Līdz šim ieviestie atbalsta mehānismi ir bijuši motivējoši, lai ražotāji uzsāktu projekta plānošanu un investētu elektroenerģijas</w:t>
      </w:r>
      <w:r w:rsidRPr="002B0403">
        <w:rPr>
          <w:szCs w:val="26"/>
        </w:rPr>
        <w:t xml:space="preserve"> ražošanā, izmantojot AER, tomēr pašreizējā Latvijas ekonomikas attīstības līmenī esošais OIK maksājuma apmērs elektroenerģijas gala lietotājiem rada slogu, kas atstāj negatīvu ietekmi uz Latvijas globālo konkurētspēju ilgtermiņā.</w:t>
      </w:r>
      <w:bookmarkEnd w:id="68"/>
    </w:p>
    <w:p w14:paraId="4BD9136C" w14:textId="77777777" w:rsidR="00EE1CF5" w:rsidRPr="002B0403" w:rsidRDefault="00EE1CF5" w:rsidP="00EE1CF5">
      <w:pPr>
        <w:spacing w:before="120"/>
        <w:ind w:firstLine="720"/>
        <w:rPr>
          <w:szCs w:val="26"/>
        </w:rPr>
      </w:pPr>
      <w:r w:rsidRPr="002B0403">
        <w:rPr>
          <w:szCs w:val="26"/>
        </w:rPr>
        <w:t xml:space="preserve">Lai noteiktu samērīgu un investīcijas neapdraudošu risinājumu formulu pārskatīšanai, </w:t>
      </w:r>
      <w:r>
        <w:rPr>
          <w:szCs w:val="26"/>
        </w:rPr>
        <w:t>EK</w:t>
      </w:r>
      <w:r w:rsidRPr="002B0403">
        <w:rPr>
          <w:szCs w:val="26"/>
        </w:rPr>
        <w:t xml:space="preserve"> ir izvērtējusi starptautiski respektablu pētniecisko centru un institūciju veiktos pētījumus attiecībā uz izlīdzinātajām elektroenerģijas ražošanas izmaksām (</w:t>
      </w:r>
      <w:r w:rsidRPr="002B0403">
        <w:rPr>
          <w:i/>
          <w:szCs w:val="26"/>
        </w:rPr>
        <w:t>LCOE</w:t>
      </w:r>
      <w:r w:rsidRPr="002B0403">
        <w:rPr>
          <w:szCs w:val="26"/>
        </w:rPr>
        <w:t>) periodā no 2007.gada līdz 2017.gadam. Atsaucoties uz EurObserv’ER 2017.gadā publicēto ziņojumu, kura izstrādātāji cit</w:t>
      </w:r>
      <w:r>
        <w:rPr>
          <w:szCs w:val="26"/>
        </w:rPr>
        <w:t>a s</w:t>
      </w:r>
      <w:r w:rsidRPr="002B0403">
        <w:rPr>
          <w:szCs w:val="26"/>
        </w:rPr>
        <w:t>tarp</w:t>
      </w:r>
      <w:r>
        <w:rPr>
          <w:szCs w:val="26"/>
        </w:rPr>
        <w:t>ā</w:t>
      </w:r>
      <w:r w:rsidRPr="002B0403">
        <w:rPr>
          <w:szCs w:val="26"/>
        </w:rPr>
        <w:t xml:space="preserve"> ir arī </w:t>
      </w:r>
      <w:r w:rsidRPr="002B0403">
        <w:rPr>
          <w:i/>
          <w:szCs w:val="26"/>
        </w:rPr>
        <w:t xml:space="preserve">Fraunhofer </w:t>
      </w:r>
      <w:r w:rsidRPr="002B0403">
        <w:rPr>
          <w:szCs w:val="26"/>
        </w:rPr>
        <w:t>(</w:t>
      </w:r>
      <w:r w:rsidRPr="002B0403">
        <w:rPr>
          <w:i/>
          <w:szCs w:val="26"/>
        </w:rPr>
        <w:t>The Fraunhofer Institute for Systems and Innovation Research ISI</w:t>
      </w:r>
      <w:r w:rsidRPr="002B0403">
        <w:rPr>
          <w:szCs w:val="26"/>
        </w:rPr>
        <w:t xml:space="preserve">) pētniecības centrs, ir secināts, ka </w:t>
      </w:r>
      <w:r>
        <w:rPr>
          <w:szCs w:val="26"/>
        </w:rPr>
        <w:t xml:space="preserve">liela daļa no AER tehnoloģijām ir </w:t>
      </w:r>
      <w:r w:rsidRPr="002B0403">
        <w:rPr>
          <w:szCs w:val="26"/>
        </w:rPr>
        <w:t xml:space="preserve">kļuvušas konkurētspējīgas ar konvencionāliem enerģijas ražošanas veidiem, samazinoties enerģijas ražošanas izmaksām. Lai arī elektroenerģijas ražošanas izmaksas var atšķirties vienas tehnoloģijas ietvaros, ņemot vērā, ka pastāv tādi papildu ietekmējošie faktori kā vietas un darbības aspekti, kvalitāte un finansēšanas raksturs, </w:t>
      </w:r>
      <w:r w:rsidRPr="002B0403">
        <w:rPr>
          <w:i/>
          <w:szCs w:val="26"/>
        </w:rPr>
        <w:t>LCOE</w:t>
      </w:r>
      <w:r w:rsidRPr="002B0403">
        <w:rPr>
          <w:szCs w:val="26"/>
        </w:rPr>
        <w:t xml:space="preserve"> analīze  iekļauj nozīmīgu datu un pieņēmumu apjomu, tai skaitā kapitāla izdevumus, darbības izmaksas, degvielas izmaksas dzīves ciklu, ikgadējās enerģijas ražošanas prasības, degvielas pārveides koeficientu u.c. faktorus.</w:t>
      </w:r>
      <w:r>
        <w:rPr>
          <w:rStyle w:val="FootnoteReference"/>
          <w:szCs w:val="26"/>
        </w:rPr>
        <w:footnoteReference w:id="25"/>
      </w:r>
      <w:r w:rsidRPr="002B0403">
        <w:rPr>
          <w:szCs w:val="26"/>
        </w:rPr>
        <w:t xml:space="preserve"> Minētajā ziņojumā secināts, ka </w:t>
      </w:r>
      <w:r w:rsidRPr="002B0403">
        <w:rPr>
          <w:i/>
          <w:szCs w:val="26"/>
        </w:rPr>
        <w:t>LCOE</w:t>
      </w:r>
      <w:r w:rsidRPr="002B0403">
        <w:rPr>
          <w:szCs w:val="26"/>
        </w:rPr>
        <w:t xml:space="preserve"> periodā no 2005. līdz 2016.gadam bioenerģijas un HES tehnoloģijām ir stabilas. Savukārt ģeotermālā enerģija, saules un vēja enerģijai </w:t>
      </w:r>
      <w:r w:rsidRPr="002B0403">
        <w:rPr>
          <w:i/>
          <w:szCs w:val="26"/>
        </w:rPr>
        <w:t>LCOE</w:t>
      </w:r>
      <w:r w:rsidRPr="002B0403">
        <w:rPr>
          <w:szCs w:val="26"/>
        </w:rPr>
        <w:t xml:space="preserve"> nozīmīgi samazinājušās. Saskaņā ar Starptautiskās atjaunojamās enerģijas asociācijas (</w:t>
      </w:r>
      <w:r w:rsidRPr="002B0403">
        <w:rPr>
          <w:i/>
          <w:szCs w:val="26"/>
        </w:rPr>
        <w:t>the International Renewable Energy Agency)</w:t>
      </w:r>
      <w:r w:rsidRPr="002B0403">
        <w:rPr>
          <w:szCs w:val="26"/>
        </w:rPr>
        <w:t xml:space="preserve"> (turpmāk -IRENA) 2018.gadā veiktu pētījumu novērtēts, ka 2017.gadā </w:t>
      </w:r>
      <w:r w:rsidRPr="002B0403">
        <w:rPr>
          <w:szCs w:val="26"/>
        </w:rPr>
        <w:lastRenderedPageBreak/>
        <w:t xml:space="preserve">uzstādītajās elektrostacijās pasaulē elektroenerģijas ražošana sauszemes vēja elektrostacijās izmaksājusi 0,06 USD/kWh (~0,05 EUR/kWh), savukārt saule 0,10 USD/kWh (~0,086 EUR/kWh), saules iekārtās ražotas elektroenerģijas ražošanas izmaksām samazinoties par 73%, </w:t>
      </w:r>
      <w:r w:rsidRPr="002B0403">
        <w:rPr>
          <w:rFonts w:cs="Times New Roman"/>
          <w:szCs w:val="26"/>
        </w:rPr>
        <w:t>salīdzinot ar 2010.gadu. Turklāt nesenie konkursi sauszemes vēja elektrostaciju īstenošanai Brazīlijā, Kanādā, Vācijā, Indijā, Meksikā un Marokā noslēgušies ar LCOE 0,03 USD/kWh (~0,026 EUR/kWh) apmērā.</w:t>
      </w:r>
      <w:r>
        <w:rPr>
          <w:rStyle w:val="FootnoteReference"/>
          <w:rFonts w:cs="Times New Roman"/>
          <w:szCs w:val="26"/>
        </w:rPr>
        <w:footnoteReference w:id="26"/>
      </w:r>
      <w:r w:rsidRPr="002B0403">
        <w:rPr>
          <w:szCs w:val="26"/>
        </w:rPr>
        <w:t xml:space="preserve"> Arī ASV bāzētā pētniecības institūta </w:t>
      </w:r>
      <w:r w:rsidRPr="002B0403">
        <w:rPr>
          <w:i/>
          <w:szCs w:val="26"/>
        </w:rPr>
        <w:t>Lizard</w:t>
      </w:r>
      <w:r w:rsidRPr="002B0403">
        <w:rPr>
          <w:szCs w:val="26"/>
        </w:rPr>
        <w:t xml:space="preserve"> 2017. gada nogalē veiktajā novērtējumā secināts, ka attiecībā uz sauszemes vēja stacijām elektroenerģijas ražošana</w:t>
      </w:r>
      <w:r>
        <w:rPr>
          <w:szCs w:val="26"/>
        </w:rPr>
        <w:t>s izmaksas</w:t>
      </w:r>
      <w:r w:rsidRPr="002B0403">
        <w:rPr>
          <w:szCs w:val="26"/>
        </w:rPr>
        <w:t xml:space="preserve"> astoņu gadu periodā no 2009.gada līdz 2017.gadam samazināju</w:t>
      </w:r>
      <w:r>
        <w:rPr>
          <w:szCs w:val="26"/>
        </w:rPr>
        <w:t>šās</w:t>
      </w:r>
      <w:r w:rsidRPr="002B0403">
        <w:rPr>
          <w:szCs w:val="26"/>
        </w:rPr>
        <w:t xml:space="preserve"> par </w:t>
      </w:r>
      <w:r w:rsidRPr="002B0403">
        <w:rPr>
          <w:b/>
          <w:szCs w:val="26"/>
        </w:rPr>
        <w:t>67%</w:t>
      </w:r>
      <w:r w:rsidRPr="002B0403">
        <w:rPr>
          <w:szCs w:val="26"/>
        </w:rPr>
        <w:t xml:space="preserve">, saulei par </w:t>
      </w:r>
      <w:r w:rsidRPr="002B0403">
        <w:rPr>
          <w:b/>
          <w:szCs w:val="26"/>
        </w:rPr>
        <w:t>86%</w:t>
      </w:r>
      <w:r w:rsidRPr="002B0403">
        <w:rPr>
          <w:szCs w:val="26"/>
        </w:rPr>
        <w:t>.</w:t>
      </w:r>
      <w:r>
        <w:rPr>
          <w:rStyle w:val="FootnoteReference"/>
          <w:szCs w:val="26"/>
        </w:rPr>
        <w:footnoteReference w:id="27"/>
      </w:r>
    </w:p>
    <w:p w14:paraId="61CAF278" w14:textId="77777777" w:rsidR="00EE1CF5" w:rsidRPr="002B0403" w:rsidRDefault="00EE1CF5" w:rsidP="00EE1CF5">
      <w:pPr>
        <w:spacing w:before="120"/>
        <w:ind w:firstLine="720"/>
        <w:rPr>
          <w:szCs w:val="26"/>
        </w:rPr>
      </w:pPr>
      <w:r w:rsidRPr="002B0403">
        <w:rPr>
          <w:szCs w:val="26"/>
        </w:rPr>
        <w:t xml:space="preserve">Saskaņā ar MK noteikumiem Nr.262 un MK noteikumiem Nr.221 elektroenerģijas obligātā iepirkuma cenas ir noteiktas atkarībā no tehnoloģijas veida un resursa, piemērojot koeficientu, kas ir apgriezti proporcionāls uzstādītajai jaudai, kā arī, piemērojot papildu cenu samazinošu koeficientu 10 gadus pēc atbalsta saņemšanas. Ņemot vērā, ka kapitālieguldījumi vienādas jaudas un tehnoloģijas stacijām, kas nodotas ekspluatācijā ar lielu gadu starpību, ievērojami atšķiras, noteiktā formula ir pārskatāma, samazinot garantēto elektroenerģijas iepirkuma cenas apmēru tām stacijām, kas ekspluatācijā nodotas vēlākos gados. </w:t>
      </w:r>
    </w:p>
    <w:p w14:paraId="41C4D670" w14:textId="77777777" w:rsidR="00EE1CF5" w:rsidRPr="002B0403" w:rsidRDefault="00EE1CF5" w:rsidP="00EE1CF5">
      <w:pPr>
        <w:spacing w:before="120"/>
        <w:ind w:firstLine="720"/>
        <w:rPr>
          <w:szCs w:val="26"/>
        </w:rPr>
      </w:pPr>
      <w:r w:rsidRPr="002B0403">
        <w:rPr>
          <w:szCs w:val="26"/>
        </w:rPr>
        <w:t xml:space="preserve">Ņemot vērā iepriekš apskatītos pētījumus, jāsecina, ka attiecībā uz vēja elektrostacijām, kas vēl nav nodotas ekspluatācijā, 2009.gadā MK noteikumos Nr.262 noteiktās formulas ir jāpārskata, samazinot atbalsta apmēru. </w:t>
      </w:r>
      <w:r>
        <w:rPr>
          <w:szCs w:val="26"/>
        </w:rPr>
        <w:t>EM</w:t>
      </w:r>
      <w:r w:rsidRPr="002B0403">
        <w:rPr>
          <w:szCs w:val="26"/>
        </w:rPr>
        <w:t xml:space="preserve"> ieskatā būtiski ir salīdzināt atbalsta līmeņus reģionā, jo īpaši Baltijas valstīs, ņemot vērā tirgus specifiku, pēc iespējas pietuvinot tos Igaunijas un Lietuvas apmēriem. Lietuva pēdējās izsoles tika īstenotas 2015.gadā un elektroenerģijas iepirkuma cena 7,5MW lielajai vēja stacijai, kas pieslēgta pie pārvades sistēmas, ko īstenoja uzņēmums UAB “Renerga-1”, tika noteikta 56 EUR/MWh.</w:t>
      </w:r>
      <w:r>
        <w:rPr>
          <w:rStyle w:val="FootnoteReference"/>
          <w:szCs w:val="26"/>
        </w:rPr>
        <w:footnoteReference w:id="28"/>
      </w:r>
      <w:r w:rsidRPr="002B0403">
        <w:rPr>
          <w:szCs w:val="26"/>
        </w:rPr>
        <w:t xml:space="preserve"> </w:t>
      </w:r>
      <w:r w:rsidRPr="002B0403">
        <w:rPr>
          <w:rFonts w:cs="Times New Roman"/>
          <w:szCs w:val="26"/>
        </w:rPr>
        <w:t>Savukārt uzņēmums UAB “RELIT” Lietuvā īsteno vēja parka projektu, kas sastāv no divām vēja turbīnām, kam elektroenerģijas iepirkuma cena 2015.gadā notikušajā izsolē noteikta 52,1</w:t>
      </w:r>
      <w:r w:rsidRPr="002B0403">
        <w:rPr>
          <w:szCs w:val="26"/>
        </w:rPr>
        <w:t xml:space="preserve"> EUR /MWh. Ievērojot Lietuvas parlamentā apstiprinātajā Nacionālajā enerģētikas stratēģijā minēto, nākamās izsoles plānotas jau 2019.gadā, izsolot 250 MW vēja jaudas, ieviešot </w:t>
      </w:r>
      <w:r w:rsidRPr="002B0403">
        <w:rPr>
          <w:i/>
          <w:szCs w:val="26"/>
        </w:rPr>
        <w:t xml:space="preserve">feed-in </w:t>
      </w:r>
      <w:r w:rsidRPr="002B0403">
        <w:rPr>
          <w:szCs w:val="26"/>
        </w:rPr>
        <w:t>prēmijas maksājumu.</w:t>
      </w:r>
      <w:r>
        <w:rPr>
          <w:rStyle w:val="FootnoteReference"/>
          <w:szCs w:val="26"/>
        </w:rPr>
        <w:footnoteReference w:id="29"/>
      </w:r>
    </w:p>
    <w:p w14:paraId="37634F4B" w14:textId="77777777" w:rsidR="00EE1CF5" w:rsidRPr="002B0403" w:rsidRDefault="00EE1CF5" w:rsidP="00EE1CF5">
      <w:pPr>
        <w:spacing w:before="120"/>
        <w:ind w:firstLine="720"/>
        <w:rPr>
          <w:rFonts w:cs="Times New Roman"/>
          <w:szCs w:val="26"/>
        </w:rPr>
      </w:pPr>
      <w:r w:rsidRPr="002B0403">
        <w:rPr>
          <w:rFonts w:cs="Times New Roman"/>
          <w:szCs w:val="26"/>
        </w:rPr>
        <w:t xml:space="preserve">Arī Igaunijā ilgstoši darbojas </w:t>
      </w:r>
      <w:r w:rsidRPr="002B0403">
        <w:rPr>
          <w:rFonts w:cs="Times New Roman"/>
          <w:i/>
          <w:szCs w:val="26"/>
        </w:rPr>
        <w:t>feed-in premium</w:t>
      </w:r>
      <w:r w:rsidRPr="002B0403">
        <w:rPr>
          <w:rFonts w:cs="Times New Roman"/>
          <w:szCs w:val="26"/>
        </w:rPr>
        <w:t xml:space="preserve"> sistēma un Igaunija 2017.gada 2.decembrī saskaņoja 2014.gadā izveidoto atbalsta mehānismu elektroenerģijas ražošanai no atjaunojamiem energoresursiem un augsti efektīvā koģenerācijā valsts atbalsta </w:t>
      </w:r>
      <w:r w:rsidRPr="002B0403">
        <w:rPr>
          <w:rFonts w:cs="Times New Roman"/>
          <w:i/>
          <w:szCs w:val="26"/>
        </w:rPr>
        <w:t>Lietas SA.47354 (2017/NN) – Grozījumi AER un CHP atbalsta mehānismā</w:t>
      </w:r>
      <w:r>
        <w:rPr>
          <w:rStyle w:val="FootnoteReference"/>
          <w:rFonts w:cs="Times New Roman"/>
          <w:i/>
          <w:szCs w:val="26"/>
        </w:rPr>
        <w:footnoteReference w:id="30"/>
      </w:r>
      <w:r w:rsidRPr="002B0403">
        <w:rPr>
          <w:rFonts w:cs="Times New Roman"/>
          <w:i/>
          <w:szCs w:val="26"/>
        </w:rPr>
        <w:t xml:space="preserve"> </w:t>
      </w:r>
      <w:r w:rsidRPr="002B0403">
        <w:rPr>
          <w:rFonts w:cs="Times New Roman"/>
          <w:szCs w:val="26"/>
        </w:rPr>
        <w:t>ietvaros</w:t>
      </w:r>
      <w:r w:rsidRPr="002B0403">
        <w:rPr>
          <w:rFonts w:cs="Times New Roman"/>
          <w:i/>
          <w:szCs w:val="26"/>
        </w:rPr>
        <w:t xml:space="preserve">. </w:t>
      </w:r>
      <w:r w:rsidRPr="002B0403">
        <w:rPr>
          <w:rFonts w:cs="Times New Roman"/>
          <w:szCs w:val="26"/>
        </w:rPr>
        <w:t>Igaunijas atbalsta tarifs 12 gadu periodā papildus elektroenerģijas tirgus cenai ar minēto lēmumu noteikts 53,7 EUR/MWh.</w:t>
      </w:r>
    </w:p>
    <w:p w14:paraId="77E5CA75" w14:textId="77777777" w:rsidR="00EE1CF5" w:rsidRPr="002B0403" w:rsidRDefault="00EE1CF5" w:rsidP="00EE1CF5">
      <w:pPr>
        <w:spacing w:before="120"/>
        <w:ind w:firstLine="720"/>
        <w:rPr>
          <w:szCs w:val="26"/>
        </w:rPr>
      </w:pPr>
      <w:r w:rsidRPr="002B0403">
        <w:rPr>
          <w:szCs w:val="26"/>
        </w:rPr>
        <w:t xml:space="preserve">Līdz ar to </w:t>
      </w:r>
      <w:r>
        <w:rPr>
          <w:szCs w:val="26"/>
        </w:rPr>
        <w:t>EM</w:t>
      </w:r>
      <w:r w:rsidRPr="002B0403">
        <w:rPr>
          <w:szCs w:val="26"/>
        </w:rPr>
        <w:t xml:space="preserve"> novērtē, ka vēl neuzbūvētas vēja elektrostacijas atbalsts elektroenerģijas ražošanai Latvijā stacijai, kas ir sākotnējā projekta īstenošanas stadijā, </w:t>
      </w:r>
      <w:r w:rsidRPr="002B0403">
        <w:rPr>
          <w:szCs w:val="26"/>
        </w:rPr>
        <w:lastRenderedPageBreak/>
        <w:t>nevar būt būtiski augstāks kā kaimiņvalstu projektiem, kuru īstenošana ir noslēgusies un elektroenerģijas ražošana ir uzsākta.</w:t>
      </w:r>
    </w:p>
    <w:p w14:paraId="4594DF04" w14:textId="77777777" w:rsidR="00EE1CF5" w:rsidRDefault="00EE1CF5" w:rsidP="00EE1CF5">
      <w:pPr>
        <w:spacing w:before="120"/>
        <w:ind w:firstLine="720"/>
        <w:rPr>
          <w:szCs w:val="26"/>
        </w:rPr>
      </w:pPr>
      <w:r w:rsidRPr="002B0403">
        <w:rPr>
          <w:szCs w:val="26"/>
        </w:rPr>
        <w:t xml:space="preserve">Latvijā vēl ir neīstenoti vēja elektrostaciju projekti, kas saņēmuši tiesības pārdot elektroenerģiju obligātā iepirkuma ietvaros, kam saskaņā ar šobrīd spēkā esošo regulējumu </w:t>
      </w:r>
      <w:r w:rsidRPr="002B0403">
        <w:rPr>
          <w:i/>
          <w:szCs w:val="26"/>
        </w:rPr>
        <w:t xml:space="preserve">feed-in </w:t>
      </w:r>
      <w:r w:rsidRPr="002B0403">
        <w:rPr>
          <w:szCs w:val="26"/>
        </w:rPr>
        <w:t xml:space="preserve">tarifs 20 gadu periodā vidēji noteikts 85,44 EUR/MWh apmērā (uzstādot 50 MW jaudu). Ievērojot kaimiņvalstu nesenajos konkursos īstenoto atbalsta apmēru, </w:t>
      </w:r>
      <w:r>
        <w:rPr>
          <w:szCs w:val="26"/>
        </w:rPr>
        <w:t>EM</w:t>
      </w:r>
      <w:r w:rsidRPr="002B0403">
        <w:rPr>
          <w:szCs w:val="26"/>
        </w:rPr>
        <w:t xml:space="preserve"> ieskatā Latvijā periodā pirms pārejas uz </w:t>
      </w:r>
      <w:r w:rsidRPr="00FB7745">
        <w:rPr>
          <w:szCs w:val="26"/>
        </w:rPr>
        <w:t>tirgus principiem balstītu</w:t>
      </w:r>
      <w:r w:rsidRPr="00381B0E">
        <w:rPr>
          <w:szCs w:val="26"/>
        </w:rPr>
        <w:t xml:space="preserve"> atbalsta</w:t>
      </w:r>
      <w:r>
        <w:rPr>
          <w:szCs w:val="26"/>
        </w:rPr>
        <w:t xml:space="preserve"> mehānismu</w:t>
      </w:r>
      <w:r w:rsidRPr="002B0403">
        <w:rPr>
          <w:szCs w:val="26"/>
        </w:rPr>
        <w:t xml:space="preserve"> </w:t>
      </w:r>
      <w:r w:rsidRPr="002B0403">
        <w:rPr>
          <w:b/>
          <w:szCs w:val="26"/>
        </w:rPr>
        <w:t xml:space="preserve">jāveic grozījumi MK noteikumos Nr.262, samazinot atbalsta apmēru </w:t>
      </w:r>
      <w:r>
        <w:rPr>
          <w:b/>
          <w:szCs w:val="26"/>
        </w:rPr>
        <w:t xml:space="preserve">vēja elektrostaciju </w:t>
      </w:r>
      <w:r w:rsidRPr="002B0403">
        <w:rPr>
          <w:b/>
          <w:szCs w:val="26"/>
        </w:rPr>
        <w:t>projektiem, kas ekspluatāciju uzsākuši no 2018.gada</w:t>
      </w:r>
      <w:r>
        <w:rPr>
          <w:b/>
          <w:szCs w:val="26"/>
        </w:rPr>
        <w:t xml:space="preserve">. </w:t>
      </w:r>
      <w:r w:rsidRPr="009947E1">
        <w:rPr>
          <w:szCs w:val="26"/>
        </w:rPr>
        <w:t>EM sākotnējais piedāvājums paredzēja elektroenerģijas iepirkuma cenai piemērot koeficientu 0,7</w:t>
      </w:r>
      <w:r w:rsidRPr="00014F6E">
        <w:rPr>
          <w:szCs w:val="26"/>
        </w:rPr>
        <w:t>.</w:t>
      </w:r>
      <w:r>
        <w:rPr>
          <w:szCs w:val="26"/>
        </w:rPr>
        <w:t xml:space="preserve"> Atbilstoši komersanta, kuru skar minētie grozījumi, sniegtajai informācijai, faktiskais attiecīgo parametru tehnoloģiju izmaksu samazinājums ir ievērojami mazāks kā EM piedāvātais elektroenerģijas iepirkuma cenas samazinājums un šajā sakarā jāņem vērā fakts, ka normatīvais regulējums ierobežo efektīvāku tehnoloģiju uzstādīšanu uzsākto administratīvo procesu ietvaros. Sekojoši komersants ir izteicis piekrišanu elektroenerģijas iepirkuma cenas koeficienta piemērošanai 0,85. Ņemot vērā, ka Satversme neaizsargā komersanta tiesības uz peļņu, tad EM ieskatā ir lietderīgi noteikt </w:t>
      </w:r>
      <w:r>
        <w:rPr>
          <w:b/>
          <w:szCs w:val="26"/>
        </w:rPr>
        <w:t xml:space="preserve">vēja elektrostaciju </w:t>
      </w:r>
      <w:r w:rsidRPr="002B0403">
        <w:rPr>
          <w:b/>
          <w:szCs w:val="26"/>
        </w:rPr>
        <w:t>projektiem, kas ekspluatāciju uzsākuši no 2018.gada</w:t>
      </w:r>
      <w:r>
        <w:rPr>
          <w:b/>
          <w:szCs w:val="26"/>
        </w:rPr>
        <w:t>, koeficienta 0,85 piemērošanu elektroenerģijas iepirkuma cenai.</w:t>
      </w:r>
      <w:r w:rsidRPr="00265E84">
        <w:rPr>
          <w:szCs w:val="26"/>
        </w:rPr>
        <w:t xml:space="preserve"> Tādējādi tiek </w:t>
      </w:r>
      <w:r>
        <w:rPr>
          <w:szCs w:val="26"/>
        </w:rPr>
        <w:t>novērsti</w:t>
      </w:r>
      <w:r w:rsidRPr="00265E84">
        <w:rPr>
          <w:szCs w:val="26"/>
        </w:rPr>
        <w:t xml:space="preserve"> iespējamie tiesvedības riski.</w:t>
      </w:r>
    </w:p>
    <w:p w14:paraId="7B3C87AC" w14:textId="77777777" w:rsidR="00EE1CF5" w:rsidRDefault="00EE1CF5" w:rsidP="00EE1CF5">
      <w:pPr>
        <w:spacing w:before="120"/>
        <w:ind w:firstLine="720"/>
        <w:rPr>
          <w:szCs w:val="26"/>
        </w:rPr>
      </w:pPr>
      <w:r w:rsidRPr="004F02AB">
        <w:rPr>
          <w:szCs w:val="26"/>
        </w:rPr>
        <w:t>Ņemot vērā, ka iepirkuma cenas pārskatīšana</w:t>
      </w:r>
      <w:r>
        <w:rPr>
          <w:szCs w:val="26"/>
        </w:rPr>
        <w:t xml:space="preserve"> ietekmē līdzšinējos valsts atbalsta nosacījumus, attiecīgās izmaiņas pirms to piemērošanas praksē paziņojamas EK. </w:t>
      </w:r>
    </w:p>
    <w:p w14:paraId="5C2DCEEA" w14:textId="77777777" w:rsidR="00EE1CF5" w:rsidRPr="009E768D" w:rsidRDefault="00EE1CF5" w:rsidP="00EE1CF5">
      <w:pPr>
        <w:spacing w:before="120"/>
        <w:ind w:firstLine="720"/>
        <w:rPr>
          <w:szCs w:val="26"/>
        </w:rPr>
      </w:pPr>
    </w:p>
    <w:p w14:paraId="6467C38B" w14:textId="77777777" w:rsidR="00EE1CF5" w:rsidRDefault="00EE1CF5" w:rsidP="00EE1CF5">
      <w:pPr>
        <w:pStyle w:val="11apaknodaa"/>
        <w:spacing w:before="240" w:after="120"/>
      </w:pPr>
      <w:bookmarkStart w:id="69" w:name="_Toc256000053"/>
      <w:bookmarkStart w:id="70" w:name="_Toc256000020"/>
      <w:bookmarkStart w:id="71" w:name="_Toc523492920"/>
      <w:bookmarkStart w:id="72" w:name="_Toc528585658"/>
      <w:bookmarkStart w:id="73" w:name="_Toc531798571"/>
      <w:r>
        <w:t>4.3</w:t>
      </w:r>
      <w:r w:rsidRPr="00DA78F4">
        <w:t>.</w:t>
      </w:r>
      <w:r w:rsidRPr="00DA78F4">
        <w:tab/>
      </w:r>
      <w:r>
        <w:t>Kopējo kapitālieguldījumu iekšējās peļņas norma</w:t>
      </w:r>
      <w:bookmarkEnd w:id="69"/>
      <w:bookmarkEnd w:id="70"/>
      <w:bookmarkEnd w:id="71"/>
      <w:bookmarkEnd w:id="72"/>
      <w:bookmarkEnd w:id="73"/>
    </w:p>
    <w:p w14:paraId="7BC591D8" w14:textId="77777777" w:rsidR="00EE1CF5" w:rsidRPr="001A2447" w:rsidRDefault="00EE1CF5" w:rsidP="00EE1CF5">
      <w:pPr>
        <w:ind w:firstLine="720"/>
        <w:rPr>
          <w:szCs w:val="26"/>
        </w:rPr>
      </w:pPr>
      <w:r w:rsidRPr="001A2447">
        <w:rPr>
          <w:szCs w:val="26"/>
        </w:rPr>
        <w:t xml:space="preserve">Risinājums paredz pilnveidot OI mehānismā ietverto elektrostaciju kopējo kapitālieguldījumu iekšējās peļņas normas aprēķināšanas metodiku un piemērošanas kārtību. Izmaiņas paredzētas, lai pilnveidotu mehānismu un novērstu elektrostaciju, kas pārdod elektroenerģiju </w:t>
      </w:r>
      <w:r>
        <w:rPr>
          <w:szCs w:val="26"/>
        </w:rPr>
        <w:t>OI</w:t>
      </w:r>
      <w:r w:rsidRPr="001A2447">
        <w:rPr>
          <w:szCs w:val="26"/>
        </w:rPr>
        <w:t xml:space="preserve"> ietvaros vai saņem garantētu maksu par elektrostacijā uzstādīto elektrisko jaudu, pārkompensāciju.</w:t>
      </w:r>
    </w:p>
    <w:p w14:paraId="65791051" w14:textId="77777777" w:rsidR="00EE1CF5" w:rsidRPr="0065488B" w:rsidRDefault="00EE1CF5" w:rsidP="00EE1CF5">
      <w:pPr>
        <w:ind w:firstLine="720"/>
        <w:rPr>
          <w:szCs w:val="26"/>
        </w:rPr>
      </w:pPr>
      <w:r w:rsidRPr="001A2447">
        <w:rPr>
          <w:szCs w:val="26"/>
        </w:rPr>
        <w:t xml:space="preserve">Instruments </w:t>
      </w:r>
      <w:r>
        <w:rPr>
          <w:szCs w:val="26"/>
        </w:rPr>
        <w:t xml:space="preserve">ar 2019.gada otro pusi </w:t>
      </w:r>
      <w:r w:rsidRPr="001A2447">
        <w:rPr>
          <w:szCs w:val="26"/>
        </w:rPr>
        <w:t xml:space="preserve">tiktu piemērots visām OI mehānismā ietvertajām elektrostacijām </w:t>
      </w:r>
      <w:r w:rsidRPr="001A2447">
        <w:rPr>
          <w:color w:val="000000"/>
          <w:szCs w:val="26"/>
          <w:shd w:val="clear" w:color="auto" w:fill="FFFFFF"/>
        </w:rPr>
        <w:t>–</w:t>
      </w:r>
      <w:r w:rsidRPr="001A2447">
        <w:rPr>
          <w:szCs w:val="26"/>
        </w:rPr>
        <w:t xml:space="preserve"> gan tām, kas saņēmušas jebkāda veida atbalstu pirms esošā OI mehānisma spēkā stāšanās un elektroenerģiju pārdod OI mehānisma ietvaros, t.sk. tām, kurām kopējo </w:t>
      </w:r>
      <w:r w:rsidRPr="0065488B">
        <w:rPr>
          <w:szCs w:val="26"/>
        </w:rPr>
        <w:t xml:space="preserve">kapitālieguldījumu IRR ir novērtēta jau 2017. un 2018.gadā, gan tām, uz kurām kopējo kapitālieguldījumu IRR novērtēšana līdz šim nav bijusi attiecināma. </w:t>
      </w:r>
    </w:p>
    <w:p w14:paraId="7073CF36" w14:textId="77777777" w:rsidR="00EE1CF5" w:rsidRPr="0065488B" w:rsidRDefault="00EE1CF5" w:rsidP="00EE1CF5">
      <w:pPr>
        <w:ind w:firstLine="720"/>
        <w:rPr>
          <w:rFonts w:eastAsia="Times New Roman" w:cs="Times New Roman"/>
          <w:szCs w:val="26"/>
        </w:rPr>
      </w:pPr>
      <w:r w:rsidRPr="0065488B">
        <w:rPr>
          <w:szCs w:val="26"/>
        </w:rPr>
        <w:t xml:space="preserve">Attiecībā uz kopējo kapitālieguldījumu IRR līmeņa pārskatīšanu norādāms, ka pašlaik </w:t>
      </w:r>
      <w:r>
        <w:rPr>
          <w:szCs w:val="26"/>
        </w:rPr>
        <w:t>EM</w:t>
      </w:r>
      <w:r w:rsidRPr="0065488B">
        <w:rPr>
          <w:szCs w:val="26"/>
        </w:rPr>
        <w:t xml:space="preserve"> rīcībā nav pētījuma, kas apliecinātu, ka staciju, kas darbojas </w:t>
      </w:r>
      <w:r>
        <w:rPr>
          <w:szCs w:val="26"/>
        </w:rPr>
        <w:t>OI</w:t>
      </w:r>
      <w:r w:rsidRPr="0065488B">
        <w:rPr>
          <w:szCs w:val="26"/>
        </w:rPr>
        <w:t xml:space="preserve"> ietvaros vai saņem garantēto maksu par elektrostacijā uzstādīto jaudu, pārkompensācijas novēršanai būtu piemērojama zemāka kopējo kapitālieguldījumu IRR likme kā pašlaik noteikts normatīvajos aktos un saskaņots ar </w:t>
      </w:r>
      <w:r>
        <w:rPr>
          <w:szCs w:val="26"/>
        </w:rPr>
        <w:t>EK</w:t>
      </w:r>
      <w:r w:rsidRPr="0065488B">
        <w:rPr>
          <w:szCs w:val="26"/>
        </w:rPr>
        <w:t>. Attiecīgi, ņemot vērā minēto un laika grafiku šī konceptuālā ziņojuma izstrādei, nav iespējams veikt pamatotu izvērtējumu kopējo kapitālieguldījumu IRR likmes samazināšanai.</w:t>
      </w:r>
    </w:p>
    <w:p w14:paraId="25E13804" w14:textId="77777777" w:rsidR="00EE1CF5" w:rsidRPr="001A2447" w:rsidRDefault="00EE1CF5" w:rsidP="00EE1CF5">
      <w:pPr>
        <w:ind w:firstLine="720"/>
        <w:rPr>
          <w:szCs w:val="26"/>
        </w:rPr>
      </w:pPr>
      <w:r w:rsidRPr="0065488B">
        <w:rPr>
          <w:szCs w:val="26"/>
        </w:rPr>
        <w:t>Valstij un likumdevējam</w:t>
      </w:r>
      <w:r w:rsidRPr="00FB5653">
        <w:rPr>
          <w:szCs w:val="26"/>
        </w:rPr>
        <w:t xml:space="preserve"> ir tiesības izskatīt saprātīgu un pietiekoši stimulējošu</w:t>
      </w:r>
      <w:r w:rsidRPr="001A2447">
        <w:rPr>
          <w:szCs w:val="26"/>
        </w:rPr>
        <w:t xml:space="preserve"> atbalstu, pieņemot normatīvo tiesību aktu, kā arī veikt atbalsta korekciju, ja apstākļi ir izmainījušies. Tas būtu makroekonomisko iespēju un mikroekonomikas klimata sabalansēšanas process.</w:t>
      </w:r>
    </w:p>
    <w:p w14:paraId="4C2EAC6C" w14:textId="77777777" w:rsidR="00EE1CF5" w:rsidRPr="001A2447" w:rsidRDefault="00EE1CF5" w:rsidP="00EE1CF5">
      <w:pPr>
        <w:ind w:firstLine="720"/>
        <w:rPr>
          <w:szCs w:val="26"/>
        </w:rPr>
      </w:pPr>
      <w:r w:rsidRPr="001A2447">
        <w:rPr>
          <w:szCs w:val="26"/>
        </w:rPr>
        <w:lastRenderedPageBreak/>
        <w:t>Satversmes tiesa savos spriedumos ir norādījusi, ka personas interese gūt peļņu neietilpst Satversmes 105.panta tvērumā, jo šāda abstrakta iespējamība nav uzskatāma par īpašuma tiesību objektu</w:t>
      </w:r>
      <w:r>
        <w:rPr>
          <w:szCs w:val="26"/>
          <w:vertAlign w:val="superscript"/>
        </w:rPr>
        <w:footnoteReference w:id="31"/>
      </w:r>
      <w:r w:rsidRPr="001A2447">
        <w:rPr>
          <w:szCs w:val="26"/>
        </w:rPr>
        <w:t xml:space="preserve">. Satversmes tiesa ir nošķīrusi tiesības pārdot elektroenerģiju </w:t>
      </w:r>
      <w:r>
        <w:rPr>
          <w:szCs w:val="26"/>
        </w:rPr>
        <w:t>OI</w:t>
      </w:r>
      <w:r w:rsidRPr="001A2447">
        <w:rPr>
          <w:szCs w:val="26"/>
        </w:rPr>
        <w:t xml:space="preserve"> ietvaros no intereses gūt peļņu iecerētā apmērā.</w:t>
      </w:r>
    </w:p>
    <w:p w14:paraId="35998333" w14:textId="77777777" w:rsidR="00EE1CF5" w:rsidRPr="004C3606" w:rsidRDefault="00EE1CF5" w:rsidP="00EE1CF5">
      <w:pPr>
        <w:ind w:firstLine="720"/>
        <w:rPr>
          <w:szCs w:val="26"/>
        </w:rPr>
      </w:pPr>
      <w:r w:rsidRPr="001A2447">
        <w:rPr>
          <w:szCs w:val="26"/>
        </w:rPr>
        <w:t>Ņemot vērā minēto, ja kopējo kapitālieguldījumu IRR pārvērtēšanas rezultātā tiks ierobežota komersantu iespēja OI mehānisma  ietvaros gūt peļņu un noteiktie ierobežojumi pēc sava rakstura nebūs konfiscējoši (piemēram, komersants pēc to ieviešanas kļūst maksātnespējīgs), tad pirmšķietami tie tiks atzīti par atbilstošiem Satversmei.</w:t>
      </w:r>
      <w:r>
        <w:rPr>
          <w:szCs w:val="26"/>
        </w:rPr>
        <w:t xml:space="preserve"> </w:t>
      </w:r>
    </w:p>
    <w:p w14:paraId="5D4B1ECE" w14:textId="77777777" w:rsidR="00EE1CF5" w:rsidRPr="001A2447" w:rsidRDefault="00EE1CF5" w:rsidP="00EE1CF5">
      <w:pPr>
        <w:rPr>
          <w:b/>
          <w:bCs/>
          <w:szCs w:val="26"/>
        </w:rPr>
      </w:pPr>
    </w:p>
    <w:p w14:paraId="25E9B887" w14:textId="77777777" w:rsidR="00EE1CF5" w:rsidRDefault="00EE1CF5" w:rsidP="00EE1CF5">
      <w:pPr>
        <w:pStyle w:val="111apaknodaa"/>
        <w:spacing w:before="240" w:after="120"/>
        <w:jc w:val="center"/>
      </w:pPr>
      <w:bookmarkStart w:id="74" w:name="_Toc256000054"/>
      <w:bookmarkStart w:id="75" w:name="_Toc256000021"/>
      <w:bookmarkStart w:id="76" w:name="_Toc523492921"/>
      <w:bookmarkStart w:id="77" w:name="_Toc528585659"/>
      <w:bookmarkStart w:id="78" w:name="_Toc531798572"/>
      <w:r>
        <w:t>4.3.1.</w:t>
      </w:r>
      <w:r w:rsidRPr="001A2447">
        <w:t xml:space="preserve"> Aprēķinā iekļauts vēsturiskais atbalsts</w:t>
      </w:r>
      <w:bookmarkEnd w:id="74"/>
      <w:bookmarkEnd w:id="75"/>
      <w:bookmarkEnd w:id="76"/>
      <w:bookmarkEnd w:id="77"/>
      <w:bookmarkEnd w:id="78"/>
    </w:p>
    <w:p w14:paraId="1258D7E8" w14:textId="77777777" w:rsidR="00EE1CF5" w:rsidRPr="001A2447" w:rsidRDefault="00EE1CF5" w:rsidP="00EE1CF5">
      <w:pPr>
        <w:spacing w:before="120"/>
        <w:ind w:firstLine="720"/>
        <w:rPr>
          <w:rFonts w:eastAsia="Times New Roman" w:cs="Times New Roman"/>
          <w:szCs w:val="26"/>
        </w:rPr>
      </w:pPr>
      <w:r w:rsidRPr="001A2447">
        <w:rPr>
          <w:szCs w:val="26"/>
        </w:rPr>
        <w:t xml:space="preserve">Lai nodrošinātu objektīvu kopējo kapitālieguldījumu IRR novērtējumu stacijām, kas darbojas OI mehānisma ietvaros, </w:t>
      </w:r>
      <w:r w:rsidRPr="00F47835">
        <w:rPr>
          <w:b/>
          <w:szCs w:val="26"/>
        </w:rPr>
        <w:t xml:space="preserve">paredzēts paplašināt kopējo kapitālieguldījumu IRR novērtējumu, iekļaujot arī to atbalstu, kas sniegts pirms </w:t>
      </w:r>
      <w:bookmarkStart w:id="79" w:name="_Hlk523391560"/>
      <w:r w:rsidRPr="00F47835">
        <w:rPr>
          <w:b/>
          <w:szCs w:val="26"/>
        </w:rPr>
        <w:t>uzsākts i</w:t>
      </w:r>
      <w:r>
        <w:rPr>
          <w:b/>
          <w:szCs w:val="26"/>
        </w:rPr>
        <w:t>zmantot saskaņā ar ETL piešķirtās tiesības</w:t>
      </w:r>
      <w:bookmarkEnd w:id="79"/>
      <w:r w:rsidRPr="001A2447">
        <w:rPr>
          <w:szCs w:val="26"/>
        </w:rPr>
        <w:t xml:space="preserve">, nereti no 1995.gada atsevišķām </w:t>
      </w:r>
      <w:r>
        <w:rPr>
          <w:szCs w:val="26"/>
        </w:rPr>
        <w:t xml:space="preserve">biokoģenerācijas un </w:t>
      </w:r>
      <w:r w:rsidRPr="001A2447">
        <w:rPr>
          <w:szCs w:val="26"/>
        </w:rPr>
        <w:t>dabasgāzes koģenerācijas stacijām, vēja elektroenerģijas ražošanas iekārtām, un hidroelektrostacijām, ja atbalsts sniegts tai pašai elektrostacijai.</w:t>
      </w:r>
      <w:r>
        <w:rPr>
          <w:szCs w:val="26"/>
        </w:rPr>
        <w:t xml:space="preserve"> Atkarībā no plānoto izmaiņu ietekmes uz stacijām tās var skart gan komersantu īpašumtiesības, gan tiesiskā paļāvība. Īpašumtiesības var tikt skartas gadījumos, ja ar plānotajām izmaiņām var tikt apdraudēta tādu stacijas ienākumu nodrošināšana, lai tās turpinātu pastāvēt. Savukārt tiesiskā paļāvība var tikt skarta gadījumos, ja netiek nodrošināts saprātīgs pārejas periods jaunā regulējuma ieviešanai, sniedzot iespēju komersantiem pārkārtot saimniecisko darbību.</w:t>
      </w:r>
    </w:p>
    <w:p w14:paraId="755F8FFB" w14:textId="77777777" w:rsidR="00EE1CF5" w:rsidRPr="001A2447" w:rsidRDefault="00EE1CF5" w:rsidP="00EE1CF5">
      <w:pPr>
        <w:spacing w:before="120"/>
        <w:ind w:firstLine="720"/>
        <w:rPr>
          <w:rFonts w:eastAsia="Times New Roman" w:cs="Times New Roman"/>
          <w:szCs w:val="26"/>
        </w:rPr>
      </w:pPr>
      <w:r w:rsidRPr="001A2447">
        <w:rPr>
          <w:szCs w:val="26"/>
        </w:rPr>
        <w:t>Jāņem vērā, ka pēc komersanta pāriešanas uz esošo OI mehānismu</w:t>
      </w:r>
      <w:r w:rsidRPr="001A2447">
        <w:rPr>
          <w:rFonts w:eastAsia="Times New Roman" w:cs="Times New Roman"/>
          <w:szCs w:val="26"/>
        </w:rPr>
        <w:t>,</w:t>
      </w:r>
      <w:r w:rsidRPr="001A2447">
        <w:rPr>
          <w:szCs w:val="26"/>
        </w:rPr>
        <w:t xml:space="preserve"> apstāklis, ka komersants ilgstoši ir saņēmis atbalstu pēc vēsturiskajiem atbalsta noteikumiem nekādā veidā netiek ņemts vērā, piešķirot atbalstu pēc jaunajiem noteikumiem. Kopējais atbalsta periods šādā gadījumā var būt būtiski pieaudzis, ja komersants nav veicis iekārtu būtisku modernizāciju vai aizstājis ar jaunu iekārtu, jo tiesību normas nenoteica nosacījumus iekārtām, kas jau darbojās, samazināt atbalsta piešķiršanas periodu, kas tiek piešķirts saskaņā ar MK noteikumiem Nr.221 un MK noteikumiem Nr.262 par to laika posmu, kurā komersants ir saņēmis atbalstu saskaņā ar vēsturiskajiem atbalsta noteikumiem. Ņemot vērā minēto, valsts atbalsts vienai un tai pašai iekārtai var būt pārsniedzis 20 gadu periodu. Piemēram, ja komersants ir uzsācis darbību 1995.gadā, bet 2010.gadā pārgājis uz esošo OI mehānismu, kas paredz 20 gadus ilgu valsts atbalstu, tad kopumā valsts atbalsta ilgums būs 35 gadi. Ņemot vērā, ka atbalsts var tikt sniegts līdz iekārtu amortizācijai,</w:t>
      </w:r>
      <w:r w:rsidRPr="003B7CFA">
        <w:rPr>
          <w:szCs w:val="26"/>
        </w:rPr>
        <w:t xml:space="preserve"> </w:t>
      </w:r>
      <w:r w:rsidRPr="00DB7CCF">
        <w:rPr>
          <w:szCs w:val="26"/>
        </w:rPr>
        <w:t>saskaņā ar parastajiem grāmatvedības noteikumiem</w:t>
      </w:r>
      <w:r>
        <w:rPr>
          <w:szCs w:val="26"/>
        </w:rPr>
        <w:t>,</w:t>
      </w:r>
      <w:r w:rsidRPr="00DB7CCF">
        <w:rPr>
          <w:szCs w:val="26"/>
        </w:rPr>
        <w:t xml:space="preserve"> kā tas iz</w:t>
      </w:r>
      <w:r>
        <w:rPr>
          <w:szCs w:val="26"/>
        </w:rPr>
        <w:t>r</w:t>
      </w:r>
      <w:r w:rsidRPr="00DB7CCF">
        <w:rPr>
          <w:szCs w:val="26"/>
        </w:rPr>
        <w:t xml:space="preserve">iet gan no </w:t>
      </w:r>
      <w:r w:rsidRPr="00264E4F">
        <w:rPr>
          <w:rFonts w:eastAsia="Times New Roman" w:cs="Times New Roman"/>
          <w:szCs w:val="26"/>
        </w:rPr>
        <w:t>2008. gadā publicētajām Eiropas Kopienas pamatnostādnes par valsts atbalstu vides aizsardzībai (2008/C 82/01)</w:t>
      </w:r>
      <w:r>
        <w:rPr>
          <w:rFonts w:eastAsia="Times New Roman" w:cs="Times New Roman"/>
          <w:szCs w:val="26"/>
          <w:vertAlign w:val="superscript"/>
        </w:rPr>
        <w:footnoteReference w:id="32"/>
      </w:r>
      <w:r>
        <w:rPr>
          <w:rFonts w:eastAsia="Times New Roman" w:cs="Times New Roman"/>
          <w:szCs w:val="26"/>
        </w:rPr>
        <w:t xml:space="preserve"> (skatīt </w:t>
      </w:r>
      <w:r>
        <w:rPr>
          <w:szCs w:val="26"/>
        </w:rPr>
        <w:t>109.punkta a) apakšpunktu)</w:t>
      </w:r>
      <w:r w:rsidRPr="00DB7CCF">
        <w:rPr>
          <w:rFonts w:eastAsia="Times New Roman" w:cs="Times New Roman"/>
          <w:szCs w:val="26"/>
        </w:rPr>
        <w:t>, gan</w:t>
      </w:r>
      <w:r w:rsidRPr="00264E4F">
        <w:rPr>
          <w:rFonts w:eastAsia="Times New Roman" w:cs="Times New Roman"/>
          <w:color w:val="000000"/>
          <w:szCs w:val="26"/>
        </w:rPr>
        <w:t xml:space="preserve"> </w:t>
      </w:r>
      <w:r>
        <w:rPr>
          <w:rFonts w:eastAsia="Times New Roman" w:cs="Times New Roman"/>
          <w:color w:val="000000"/>
          <w:szCs w:val="26"/>
        </w:rPr>
        <w:t xml:space="preserve">no </w:t>
      </w:r>
      <w:r w:rsidRPr="00264E4F">
        <w:rPr>
          <w:rFonts w:eastAsia="Times New Roman" w:cs="Times New Roman"/>
          <w:color w:val="000000"/>
          <w:szCs w:val="26"/>
        </w:rPr>
        <w:t>2014. </w:t>
      </w:r>
      <w:r w:rsidRPr="00264E4F">
        <w:rPr>
          <w:rFonts w:eastAsia="Times New Roman" w:cs="Times New Roman"/>
          <w:szCs w:val="26"/>
        </w:rPr>
        <w:t>gada 1. jūlija Komisijas paziņojum</w:t>
      </w:r>
      <w:r>
        <w:rPr>
          <w:rFonts w:eastAsia="Times New Roman" w:cs="Times New Roman"/>
          <w:szCs w:val="26"/>
        </w:rPr>
        <w:t>a</w:t>
      </w:r>
      <w:r w:rsidRPr="00264E4F">
        <w:rPr>
          <w:rFonts w:eastAsia="Times New Roman" w:cs="Times New Roman"/>
          <w:szCs w:val="26"/>
        </w:rPr>
        <w:t xml:space="preserve"> “Pamatnostādnes par valsts atbalstu vides aizsardzībai un enerģētikai 2014.–2020. gadam” (2014/C 200/01)</w:t>
      </w:r>
      <w:r>
        <w:rPr>
          <w:rFonts w:eastAsia="Times New Roman" w:cs="Times New Roman"/>
          <w:szCs w:val="26"/>
          <w:vertAlign w:val="superscript"/>
        </w:rPr>
        <w:footnoteReference w:id="33"/>
      </w:r>
      <w:r>
        <w:rPr>
          <w:rFonts w:eastAsia="Times New Roman" w:cs="Times New Roman"/>
          <w:szCs w:val="26"/>
        </w:rPr>
        <w:t xml:space="preserve"> (skatīt 129.punktu)</w:t>
      </w:r>
      <w:r>
        <w:rPr>
          <w:szCs w:val="26"/>
        </w:rPr>
        <w:t>,</w:t>
      </w:r>
      <w:r w:rsidRPr="001A2447">
        <w:rPr>
          <w:szCs w:val="26"/>
        </w:rPr>
        <w:t xml:space="preserve"> </w:t>
      </w:r>
      <w:r w:rsidRPr="001A2447">
        <w:rPr>
          <w:szCs w:val="26"/>
        </w:rPr>
        <w:lastRenderedPageBreak/>
        <w:t xml:space="preserve">piešķirot jaunu atbalstu, normatīvajos aktos būtu bijis jāparedz pārbaudes un atšķirīgi nosacījumi ekspluatācijā jau nodotām iekārtām. </w:t>
      </w:r>
      <w:r w:rsidRPr="001A2447">
        <w:rPr>
          <w:rFonts w:eastAsia="Times New Roman" w:cs="Times New Roman"/>
          <w:szCs w:val="26"/>
        </w:rPr>
        <w:t xml:space="preserve"> </w:t>
      </w:r>
    </w:p>
    <w:p w14:paraId="6E2392EE" w14:textId="77777777" w:rsidR="00EE1CF5" w:rsidRDefault="00EE1CF5" w:rsidP="00EE1CF5">
      <w:pPr>
        <w:pStyle w:val="Heading4"/>
        <w:ind w:firstLine="0"/>
        <w:jc w:val="left"/>
        <w:rPr>
          <w:rFonts w:ascii="Times New Roman" w:hAnsi="Times New Roman"/>
          <w:b/>
          <w:color w:val="auto"/>
        </w:rPr>
      </w:pPr>
    </w:p>
    <w:p w14:paraId="65C8B350" w14:textId="77777777" w:rsidR="00EE1CF5" w:rsidRPr="006B33E9" w:rsidRDefault="00EE1CF5" w:rsidP="00EE1CF5">
      <w:pPr>
        <w:pStyle w:val="Heading4"/>
        <w:ind w:firstLine="0"/>
        <w:jc w:val="left"/>
        <w:rPr>
          <w:rFonts w:ascii="Times New Roman" w:hAnsi="Times New Roman"/>
          <w:b/>
          <w:color w:val="auto"/>
        </w:rPr>
      </w:pPr>
      <w:r w:rsidRPr="00A11128">
        <w:rPr>
          <w:rFonts w:ascii="Times New Roman" w:hAnsi="Times New Roman"/>
          <w:b/>
          <w:color w:val="auto"/>
        </w:rPr>
        <w:t>Atbalsts mazajām HES</w:t>
      </w:r>
      <w:r w:rsidRPr="006B33E9">
        <w:rPr>
          <w:rFonts w:ascii="Times New Roman" w:hAnsi="Times New Roman"/>
          <w:b/>
          <w:color w:val="auto"/>
        </w:rPr>
        <w:t>, VES un dabasgāzes koģenerācijas stacijām</w:t>
      </w:r>
    </w:p>
    <w:p w14:paraId="5F93F1D5" w14:textId="77777777" w:rsidR="00EE1CF5" w:rsidRPr="006B33E9" w:rsidRDefault="00EE1CF5" w:rsidP="00EE1CF5">
      <w:pPr>
        <w:ind w:firstLine="720"/>
      </w:pPr>
    </w:p>
    <w:p w14:paraId="49B15630" w14:textId="77777777" w:rsidR="00EE1CF5" w:rsidRDefault="00EE1CF5" w:rsidP="00EE1CF5">
      <w:pPr>
        <w:ind w:firstLine="720"/>
        <w:rPr>
          <w:szCs w:val="26"/>
        </w:rPr>
      </w:pPr>
      <w:r w:rsidRPr="006B33E9">
        <w:rPr>
          <w:szCs w:val="26"/>
        </w:rPr>
        <w:t xml:space="preserve">2017.gadā kopumā atbalstu saņēma 144 mazās hidroelektrostacijas ar jaudu līdz 5 MW, kuru kopējā uzstādītā jauda bija 28,3182 MW, 53 vēja elektrostacijas, kuru kopējā uzstādītā jauda bija 64,215 MW un 98 dabasgāzes koģenerācijas stacijas ar kopējo uzstādīto elektrisko jaudu 1142,01 MW. No tām darbu pirms esošā atbalsta perioda 2007.gada 1.jūlija uzsāka 134 hidroelektrostacijas, 16 vēja elektrostacijas un 27 dabasgāzes koģenerācijas stacijas. Pirmās esošajā atbalsta sistēmā strādājošās stacijas savu darbību sāka 1993.gadā. Ņemot vērā to, ka līdz tiesību saņemšanai darboties OI mehānisma ietvaros lielākā daļa HES jau iepriekš saņēma darbības atbalstu, ir pamats izvērtēt to, vai šīs stacijas nav pārkompensētas, proti, atbalsts nav ticis sniegts tām pašām iekārtām, kas tika atbalstītas iepriekšēja atbalsta darbības laikā un tā rezultātā staciju kopējo kapitālieguldījumu IRR nepārsniedz 9%. </w:t>
      </w:r>
    </w:p>
    <w:p w14:paraId="3344592A" w14:textId="77777777" w:rsidR="00EE1CF5" w:rsidRDefault="00EE1CF5" w:rsidP="00EE1CF5">
      <w:pPr>
        <w:jc w:val="left"/>
        <w:rPr>
          <w:szCs w:val="26"/>
        </w:rPr>
      </w:pPr>
    </w:p>
    <w:p w14:paraId="601D5F0C" w14:textId="77777777" w:rsidR="00EE1CF5" w:rsidRPr="00031EDD" w:rsidRDefault="00EE1CF5" w:rsidP="00EE1CF5">
      <w:pPr>
        <w:jc w:val="right"/>
        <w:rPr>
          <w:szCs w:val="26"/>
        </w:rPr>
      </w:pPr>
      <w:r>
        <w:rPr>
          <w:rFonts w:eastAsia="Times New Roman" w:cs="Times New Roman"/>
          <w:i/>
          <w:iCs/>
          <w:color w:val="000000"/>
          <w:szCs w:val="26"/>
        </w:rPr>
        <w:t>7.t</w:t>
      </w:r>
      <w:r w:rsidRPr="006B33E9">
        <w:rPr>
          <w:rFonts w:eastAsia="Times New Roman" w:cs="Times New Roman"/>
          <w:i/>
          <w:iCs/>
          <w:color w:val="000000"/>
          <w:szCs w:val="26"/>
        </w:rPr>
        <w:t>abula</w:t>
      </w:r>
    </w:p>
    <w:p w14:paraId="61D43170" w14:textId="77777777" w:rsidR="00EE1CF5" w:rsidRPr="006B33E9" w:rsidRDefault="00EE1CF5" w:rsidP="00EE1CF5">
      <w:pPr>
        <w:spacing w:before="120" w:after="120"/>
        <w:jc w:val="center"/>
        <w:rPr>
          <w:b/>
          <w:szCs w:val="26"/>
        </w:rPr>
      </w:pPr>
      <w:r w:rsidRPr="006B33E9">
        <w:rPr>
          <w:b/>
          <w:szCs w:val="26"/>
        </w:rPr>
        <w:t>Ekspluatāciju uzsākušo HES, VES un dabasgāzes koģenerācijas staciju skaits no 199</w:t>
      </w:r>
      <w:r>
        <w:rPr>
          <w:b/>
          <w:szCs w:val="26"/>
        </w:rPr>
        <w:t>7</w:t>
      </w:r>
      <w:r w:rsidRPr="006B33E9">
        <w:rPr>
          <w:b/>
          <w:szCs w:val="26"/>
        </w:rPr>
        <w:t>.gada līdz 2016.gadam</w:t>
      </w:r>
      <w:r>
        <w:rPr>
          <w:rStyle w:val="CommentTextChar"/>
          <w:b/>
          <w:szCs w:val="26"/>
          <w:vertAlign w:val="superscript"/>
        </w:rPr>
        <w:footnoteReference w:id="34"/>
      </w:r>
    </w:p>
    <w:tbl>
      <w:tblPr>
        <w:tblStyle w:val="GridTable1Light-Accent1"/>
        <w:tblW w:w="7620" w:type="dxa"/>
        <w:jc w:val="center"/>
        <w:tblLayout w:type="fixed"/>
        <w:tblLook w:val="06A0" w:firstRow="1" w:lastRow="0" w:firstColumn="1" w:lastColumn="0" w:noHBand="1" w:noVBand="1"/>
      </w:tblPr>
      <w:tblGrid>
        <w:gridCol w:w="1860"/>
        <w:gridCol w:w="1920"/>
        <w:gridCol w:w="1920"/>
        <w:gridCol w:w="1920"/>
      </w:tblGrid>
      <w:tr w:rsidR="00EE1CF5" w14:paraId="4CA24CED" w14:textId="77777777" w:rsidTr="00263A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vAlign w:val="center"/>
          </w:tcPr>
          <w:p w14:paraId="24798CFA" w14:textId="77777777" w:rsidR="00EE1CF5" w:rsidRPr="006B33E9" w:rsidRDefault="00EE1CF5" w:rsidP="00263AB1">
            <w:pPr>
              <w:jc w:val="center"/>
              <w:rPr>
                <w:rFonts w:eastAsia="Times New Roman" w:cs="Times New Roman"/>
                <w:szCs w:val="26"/>
              </w:rPr>
            </w:pPr>
            <w:r w:rsidRPr="006B33E9">
              <w:rPr>
                <w:szCs w:val="26"/>
              </w:rPr>
              <w:t>Gads</w:t>
            </w:r>
          </w:p>
        </w:tc>
        <w:tc>
          <w:tcPr>
            <w:tcW w:w="1920" w:type="dxa"/>
            <w:tcBorders>
              <w:top w:val="single" w:sz="4" w:space="0" w:color="auto"/>
              <w:left w:val="single" w:sz="4" w:space="0" w:color="auto"/>
              <w:bottom w:val="single" w:sz="4" w:space="0" w:color="auto"/>
              <w:right w:val="single" w:sz="4" w:space="0" w:color="auto"/>
            </w:tcBorders>
            <w:vAlign w:val="center"/>
          </w:tcPr>
          <w:p w14:paraId="66220CE3" w14:textId="77777777" w:rsidR="00EE1CF5" w:rsidRPr="006B33E9"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6B33E9">
              <w:rPr>
                <w:szCs w:val="26"/>
              </w:rPr>
              <w:t>Ekspluatāciju uzsākušo HES skaits</w:t>
            </w:r>
          </w:p>
        </w:tc>
        <w:tc>
          <w:tcPr>
            <w:tcW w:w="1920" w:type="dxa"/>
            <w:tcBorders>
              <w:top w:val="single" w:sz="4" w:space="0" w:color="auto"/>
              <w:left w:val="single" w:sz="4" w:space="0" w:color="auto"/>
              <w:bottom w:val="single" w:sz="4" w:space="0" w:color="auto"/>
              <w:right w:val="single" w:sz="4" w:space="0" w:color="auto"/>
            </w:tcBorders>
          </w:tcPr>
          <w:p w14:paraId="435557E7" w14:textId="77777777" w:rsidR="00EE1CF5" w:rsidRPr="006B33E9" w:rsidRDefault="00EE1CF5" w:rsidP="00263AB1">
            <w:pPr>
              <w:jc w:val="center"/>
              <w:cnfStyle w:val="100000000000" w:firstRow="1" w:lastRow="0" w:firstColumn="0" w:lastColumn="0" w:oddVBand="0" w:evenVBand="0" w:oddHBand="0" w:evenHBand="0" w:firstRowFirstColumn="0" w:firstRowLastColumn="0" w:lastRowFirstColumn="0" w:lastRowLastColumn="0"/>
              <w:rPr>
                <w:szCs w:val="26"/>
              </w:rPr>
            </w:pPr>
            <w:r w:rsidRPr="006B33E9">
              <w:rPr>
                <w:szCs w:val="26"/>
              </w:rPr>
              <w:t>Ekspluatāciju uzsākušo VES skaits</w:t>
            </w:r>
          </w:p>
        </w:tc>
        <w:tc>
          <w:tcPr>
            <w:tcW w:w="1920" w:type="dxa"/>
            <w:tcBorders>
              <w:top w:val="single" w:sz="4" w:space="0" w:color="auto"/>
              <w:left w:val="single" w:sz="4" w:space="0" w:color="auto"/>
              <w:bottom w:val="single" w:sz="4" w:space="0" w:color="auto"/>
              <w:right w:val="single" w:sz="4" w:space="0" w:color="auto"/>
            </w:tcBorders>
          </w:tcPr>
          <w:p w14:paraId="3C1A00ED" w14:textId="77777777" w:rsidR="00EE1CF5" w:rsidRPr="006B33E9" w:rsidRDefault="00EE1CF5" w:rsidP="00263AB1">
            <w:pPr>
              <w:jc w:val="center"/>
              <w:cnfStyle w:val="100000000000" w:firstRow="1" w:lastRow="0" w:firstColumn="0" w:lastColumn="0" w:oddVBand="0" w:evenVBand="0" w:oddHBand="0" w:evenHBand="0" w:firstRowFirstColumn="0" w:firstRowLastColumn="0" w:lastRowFirstColumn="0" w:lastRowLastColumn="0"/>
              <w:rPr>
                <w:szCs w:val="26"/>
              </w:rPr>
            </w:pPr>
            <w:r w:rsidRPr="006B33E9">
              <w:rPr>
                <w:szCs w:val="26"/>
              </w:rPr>
              <w:t>Ekspluatāciju uzsākušo dabasgāzes koģenerācijas staciju skaits</w:t>
            </w:r>
          </w:p>
        </w:tc>
      </w:tr>
      <w:tr w:rsidR="00EE1CF5" w14:paraId="231BD86F" w14:textId="77777777" w:rsidTr="00263AB1">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tcPr>
          <w:p w14:paraId="096E0F38" w14:textId="77777777" w:rsidR="00EE1CF5" w:rsidRPr="006B33E9" w:rsidRDefault="00EE1CF5" w:rsidP="00263AB1">
            <w:pPr>
              <w:jc w:val="center"/>
              <w:rPr>
                <w:rFonts w:eastAsia="Times New Roman" w:cs="Times New Roman"/>
                <w:szCs w:val="26"/>
              </w:rPr>
            </w:pPr>
            <w:r w:rsidRPr="006B33E9">
              <w:rPr>
                <w:szCs w:val="26"/>
              </w:rPr>
              <w:t>1997</w:t>
            </w:r>
          </w:p>
        </w:tc>
        <w:tc>
          <w:tcPr>
            <w:tcW w:w="1920" w:type="dxa"/>
            <w:tcBorders>
              <w:top w:val="single" w:sz="4" w:space="0" w:color="auto"/>
              <w:left w:val="single" w:sz="4" w:space="0" w:color="auto"/>
              <w:bottom w:val="single" w:sz="4" w:space="0" w:color="auto"/>
              <w:right w:val="single" w:sz="4" w:space="0" w:color="auto"/>
            </w:tcBorders>
          </w:tcPr>
          <w:p w14:paraId="5E4A9921"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6B33E9">
              <w:rPr>
                <w:szCs w:val="26"/>
              </w:rPr>
              <w:t>3</w:t>
            </w:r>
          </w:p>
        </w:tc>
        <w:tc>
          <w:tcPr>
            <w:tcW w:w="1920" w:type="dxa"/>
            <w:tcBorders>
              <w:top w:val="single" w:sz="4" w:space="0" w:color="auto"/>
              <w:left w:val="single" w:sz="4" w:space="0" w:color="auto"/>
              <w:bottom w:val="single" w:sz="4" w:space="0" w:color="auto"/>
              <w:right w:val="single" w:sz="4" w:space="0" w:color="auto"/>
            </w:tcBorders>
          </w:tcPr>
          <w:p w14:paraId="6EE17342"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5A0F96DF"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2</w:t>
            </w:r>
          </w:p>
        </w:tc>
      </w:tr>
      <w:tr w:rsidR="00EE1CF5" w14:paraId="6CA51FC5" w14:textId="77777777" w:rsidTr="00263AB1">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tcPr>
          <w:p w14:paraId="7E4AD19E" w14:textId="77777777" w:rsidR="00EE1CF5" w:rsidRPr="006B33E9" w:rsidRDefault="00EE1CF5" w:rsidP="00263AB1">
            <w:pPr>
              <w:jc w:val="center"/>
              <w:rPr>
                <w:rFonts w:eastAsia="Times New Roman" w:cs="Times New Roman"/>
                <w:szCs w:val="26"/>
              </w:rPr>
            </w:pPr>
            <w:r w:rsidRPr="006B33E9">
              <w:rPr>
                <w:szCs w:val="26"/>
              </w:rPr>
              <w:t>1998</w:t>
            </w:r>
          </w:p>
        </w:tc>
        <w:tc>
          <w:tcPr>
            <w:tcW w:w="1920" w:type="dxa"/>
            <w:tcBorders>
              <w:top w:val="single" w:sz="4" w:space="0" w:color="auto"/>
              <w:left w:val="single" w:sz="4" w:space="0" w:color="auto"/>
              <w:bottom w:val="single" w:sz="4" w:space="0" w:color="auto"/>
              <w:right w:val="single" w:sz="4" w:space="0" w:color="auto"/>
            </w:tcBorders>
          </w:tcPr>
          <w:p w14:paraId="17589C8D"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6B33E9">
              <w:rPr>
                <w:szCs w:val="26"/>
              </w:rPr>
              <w:t>13</w:t>
            </w:r>
          </w:p>
        </w:tc>
        <w:tc>
          <w:tcPr>
            <w:tcW w:w="1920" w:type="dxa"/>
            <w:tcBorders>
              <w:top w:val="single" w:sz="4" w:space="0" w:color="auto"/>
              <w:left w:val="single" w:sz="4" w:space="0" w:color="auto"/>
              <w:bottom w:val="single" w:sz="4" w:space="0" w:color="auto"/>
              <w:right w:val="single" w:sz="4" w:space="0" w:color="auto"/>
            </w:tcBorders>
          </w:tcPr>
          <w:p w14:paraId="3D7A9455"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1</w:t>
            </w:r>
          </w:p>
        </w:tc>
        <w:tc>
          <w:tcPr>
            <w:tcW w:w="1920" w:type="dxa"/>
            <w:tcBorders>
              <w:top w:val="single" w:sz="4" w:space="0" w:color="auto"/>
              <w:left w:val="single" w:sz="4" w:space="0" w:color="auto"/>
              <w:bottom w:val="single" w:sz="4" w:space="0" w:color="auto"/>
              <w:right w:val="single" w:sz="4" w:space="0" w:color="auto"/>
            </w:tcBorders>
          </w:tcPr>
          <w:p w14:paraId="229942D1"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r>
      <w:tr w:rsidR="00EE1CF5" w14:paraId="0FD7935A" w14:textId="77777777" w:rsidTr="00263AB1">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tcPr>
          <w:p w14:paraId="15C0AC39" w14:textId="77777777" w:rsidR="00EE1CF5" w:rsidRPr="006B33E9" w:rsidRDefault="00EE1CF5" w:rsidP="00263AB1">
            <w:pPr>
              <w:jc w:val="center"/>
              <w:rPr>
                <w:rFonts w:eastAsia="Times New Roman" w:cs="Times New Roman"/>
                <w:szCs w:val="26"/>
              </w:rPr>
            </w:pPr>
            <w:r w:rsidRPr="006B33E9">
              <w:rPr>
                <w:szCs w:val="26"/>
              </w:rPr>
              <w:t>1999</w:t>
            </w:r>
          </w:p>
        </w:tc>
        <w:tc>
          <w:tcPr>
            <w:tcW w:w="1920" w:type="dxa"/>
            <w:tcBorders>
              <w:top w:val="single" w:sz="4" w:space="0" w:color="auto"/>
              <w:left w:val="single" w:sz="4" w:space="0" w:color="auto"/>
              <w:bottom w:val="single" w:sz="4" w:space="0" w:color="auto"/>
              <w:right w:val="single" w:sz="4" w:space="0" w:color="auto"/>
            </w:tcBorders>
          </w:tcPr>
          <w:p w14:paraId="1B9BD0AA"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6B33E9">
              <w:rPr>
                <w:szCs w:val="26"/>
              </w:rPr>
              <w:t>18</w:t>
            </w:r>
          </w:p>
        </w:tc>
        <w:tc>
          <w:tcPr>
            <w:tcW w:w="1920" w:type="dxa"/>
            <w:tcBorders>
              <w:top w:val="single" w:sz="4" w:space="0" w:color="auto"/>
              <w:left w:val="single" w:sz="4" w:space="0" w:color="auto"/>
              <w:bottom w:val="single" w:sz="4" w:space="0" w:color="auto"/>
              <w:right w:val="single" w:sz="4" w:space="0" w:color="auto"/>
            </w:tcBorders>
          </w:tcPr>
          <w:p w14:paraId="43A0C7F3"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0A2385FB"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1</w:t>
            </w:r>
          </w:p>
        </w:tc>
      </w:tr>
      <w:tr w:rsidR="00EE1CF5" w14:paraId="2846CF55" w14:textId="77777777" w:rsidTr="00263AB1">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tcPr>
          <w:p w14:paraId="5C3C9AC4" w14:textId="77777777" w:rsidR="00EE1CF5" w:rsidRPr="006B33E9" w:rsidRDefault="00EE1CF5" w:rsidP="00263AB1">
            <w:pPr>
              <w:jc w:val="center"/>
              <w:rPr>
                <w:rFonts w:eastAsia="Times New Roman" w:cs="Times New Roman"/>
                <w:szCs w:val="26"/>
              </w:rPr>
            </w:pPr>
            <w:r w:rsidRPr="006B33E9">
              <w:rPr>
                <w:szCs w:val="26"/>
              </w:rPr>
              <w:t>2000</w:t>
            </w:r>
          </w:p>
        </w:tc>
        <w:tc>
          <w:tcPr>
            <w:tcW w:w="1920" w:type="dxa"/>
            <w:tcBorders>
              <w:top w:val="single" w:sz="4" w:space="0" w:color="auto"/>
              <w:left w:val="single" w:sz="4" w:space="0" w:color="auto"/>
              <w:bottom w:val="single" w:sz="4" w:space="0" w:color="auto"/>
              <w:right w:val="single" w:sz="4" w:space="0" w:color="auto"/>
            </w:tcBorders>
          </w:tcPr>
          <w:p w14:paraId="1C0A3E73"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6B33E9">
              <w:rPr>
                <w:szCs w:val="26"/>
              </w:rPr>
              <w:t>15</w:t>
            </w:r>
          </w:p>
        </w:tc>
        <w:tc>
          <w:tcPr>
            <w:tcW w:w="1920" w:type="dxa"/>
            <w:tcBorders>
              <w:top w:val="single" w:sz="4" w:space="0" w:color="auto"/>
              <w:left w:val="single" w:sz="4" w:space="0" w:color="auto"/>
              <w:bottom w:val="single" w:sz="4" w:space="0" w:color="auto"/>
              <w:right w:val="single" w:sz="4" w:space="0" w:color="auto"/>
            </w:tcBorders>
          </w:tcPr>
          <w:p w14:paraId="500A952C"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1</w:t>
            </w:r>
          </w:p>
        </w:tc>
        <w:tc>
          <w:tcPr>
            <w:tcW w:w="1920" w:type="dxa"/>
            <w:tcBorders>
              <w:top w:val="single" w:sz="4" w:space="0" w:color="auto"/>
              <w:left w:val="single" w:sz="4" w:space="0" w:color="auto"/>
              <w:bottom w:val="single" w:sz="4" w:space="0" w:color="auto"/>
              <w:right w:val="single" w:sz="4" w:space="0" w:color="auto"/>
            </w:tcBorders>
          </w:tcPr>
          <w:p w14:paraId="41099931"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2</w:t>
            </w:r>
          </w:p>
        </w:tc>
      </w:tr>
      <w:tr w:rsidR="00EE1CF5" w14:paraId="16909BFC" w14:textId="77777777" w:rsidTr="00263AB1">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tcPr>
          <w:p w14:paraId="3F8CC440" w14:textId="77777777" w:rsidR="00EE1CF5" w:rsidRPr="006B33E9" w:rsidRDefault="00EE1CF5" w:rsidP="00263AB1">
            <w:pPr>
              <w:jc w:val="center"/>
              <w:rPr>
                <w:rFonts w:eastAsia="Times New Roman" w:cs="Times New Roman"/>
                <w:szCs w:val="26"/>
              </w:rPr>
            </w:pPr>
            <w:r w:rsidRPr="006B33E9">
              <w:rPr>
                <w:szCs w:val="26"/>
              </w:rPr>
              <w:t>2001</w:t>
            </w:r>
          </w:p>
        </w:tc>
        <w:tc>
          <w:tcPr>
            <w:tcW w:w="1920" w:type="dxa"/>
            <w:tcBorders>
              <w:top w:val="single" w:sz="4" w:space="0" w:color="auto"/>
              <w:left w:val="single" w:sz="4" w:space="0" w:color="auto"/>
              <w:bottom w:val="single" w:sz="4" w:space="0" w:color="auto"/>
              <w:right w:val="single" w:sz="4" w:space="0" w:color="auto"/>
            </w:tcBorders>
          </w:tcPr>
          <w:p w14:paraId="165192F6"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6B33E9">
              <w:rPr>
                <w:szCs w:val="26"/>
              </w:rPr>
              <w:t>26</w:t>
            </w:r>
          </w:p>
        </w:tc>
        <w:tc>
          <w:tcPr>
            <w:tcW w:w="1920" w:type="dxa"/>
            <w:tcBorders>
              <w:top w:val="single" w:sz="4" w:space="0" w:color="auto"/>
              <w:left w:val="single" w:sz="4" w:space="0" w:color="auto"/>
              <w:bottom w:val="single" w:sz="4" w:space="0" w:color="auto"/>
              <w:right w:val="single" w:sz="4" w:space="0" w:color="auto"/>
            </w:tcBorders>
          </w:tcPr>
          <w:p w14:paraId="527F9453"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036A0D65"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3</w:t>
            </w:r>
          </w:p>
        </w:tc>
      </w:tr>
      <w:tr w:rsidR="00EE1CF5" w14:paraId="00DCC4F8" w14:textId="77777777" w:rsidTr="00263AB1">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tcPr>
          <w:p w14:paraId="44BCC02E" w14:textId="77777777" w:rsidR="00EE1CF5" w:rsidRPr="006B33E9" w:rsidRDefault="00EE1CF5" w:rsidP="00263AB1">
            <w:pPr>
              <w:jc w:val="center"/>
              <w:rPr>
                <w:rFonts w:eastAsia="Times New Roman" w:cs="Times New Roman"/>
                <w:szCs w:val="26"/>
              </w:rPr>
            </w:pPr>
            <w:r w:rsidRPr="006B33E9">
              <w:rPr>
                <w:szCs w:val="26"/>
              </w:rPr>
              <w:t>2002</w:t>
            </w:r>
          </w:p>
        </w:tc>
        <w:tc>
          <w:tcPr>
            <w:tcW w:w="1920" w:type="dxa"/>
            <w:tcBorders>
              <w:top w:val="single" w:sz="4" w:space="0" w:color="auto"/>
              <w:left w:val="single" w:sz="4" w:space="0" w:color="auto"/>
              <w:bottom w:val="single" w:sz="4" w:space="0" w:color="auto"/>
              <w:right w:val="single" w:sz="4" w:space="0" w:color="auto"/>
            </w:tcBorders>
          </w:tcPr>
          <w:p w14:paraId="18256FF1"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6B33E9">
              <w:rPr>
                <w:szCs w:val="26"/>
              </w:rPr>
              <w:t>45</w:t>
            </w:r>
          </w:p>
        </w:tc>
        <w:tc>
          <w:tcPr>
            <w:tcW w:w="1920" w:type="dxa"/>
            <w:tcBorders>
              <w:top w:val="single" w:sz="4" w:space="0" w:color="auto"/>
              <w:left w:val="single" w:sz="4" w:space="0" w:color="auto"/>
              <w:bottom w:val="single" w:sz="4" w:space="0" w:color="auto"/>
              <w:right w:val="single" w:sz="4" w:space="0" w:color="auto"/>
            </w:tcBorders>
          </w:tcPr>
          <w:p w14:paraId="6F44321C"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14</w:t>
            </w:r>
          </w:p>
        </w:tc>
        <w:tc>
          <w:tcPr>
            <w:tcW w:w="1920" w:type="dxa"/>
            <w:tcBorders>
              <w:top w:val="single" w:sz="4" w:space="0" w:color="auto"/>
              <w:left w:val="single" w:sz="4" w:space="0" w:color="auto"/>
              <w:bottom w:val="single" w:sz="4" w:space="0" w:color="auto"/>
              <w:right w:val="single" w:sz="4" w:space="0" w:color="auto"/>
            </w:tcBorders>
          </w:tcPr>
          <w:p w14:paraId="264359E7"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3</w:t>
            </w:r>
          </w:p>
        </w:tc>
      </w:tr>
      <w:tr w:rsidR="00EE1CF5" w14:paraId="73ABDC9D" w14:textId="77777777" w:rsidTr="00263AB1">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tcPr>
          <w:p w14:paraId="307D0D99" w14:textId="77777777" w:rsidR="00EE1CF5" w:rsidRPr="006B33E9" w:rsidRDefault="00EE1CF5" w:rsidP="00263AB1">
            <w:pPr>
              <w:jc w:val="center"/>
              <w:rPr>
                <w:szCs w:val="26"/>
              </w:rPr>
            </w:pPr>
            <w:r w:rsidRPr="006B33E9">
              <w:rPr>
                <w:szCs w:val="26"/>
              </w:rPr>
              <w:t>2003</w:t>
            </w:r>
          </w:p>
        </w:tc>
        <w:tc>
          <w:tcPr>
            <w:tcW w:w="1920" w:type="dxa"/>
            <w:tcBorders>
              <w:top w:val="single" w:sz="4" w:space="0" w:color="auto"/>
              <w:left w:val="single" w:sz="4" w:space="0" w:color="auto"/>
              <w:bottom w:val="single" w:sz="4" w:space="0" w:color="auto"/>
              <w:right w:val="single" w:sz="4" w:space="0" w:color="auto"/>
            </w:tcBorders>
          </w:tcPr>
          <w:p w14:paraId="487F8691"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5F5A41CD"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249B44D1"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6</w:t>
            </w:r>
          </w:p>
        </w:tc>
      </w:tr>
      <w:tr w:rsidR="00EE1CF5" w14:paraId="263F1377" w14:textId="77777777" w:rsidTr="00263AB1">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tcPr>
          <w:p w14:paraId="233B794F" w14:textId="77777777" w:rsidR="00EE1CF5" w:rsidRPr="006B33E9" w:rsidRDefault="00EE1CF5" w:rsidP="00263AB1">
            <w:pPr>
              <w:jc w:val="center"/>
              <w:rPr>
                <w:rFonts w:eastAsia="Times New Roman" w:cs="Times New Roman"/>
                <w:szCs w:val="26"/>
              </w:rPr>
            </w:pPr>
            <w:r w:rsidRPr="006B33E9">
              <w:rPr>
                <w:szCs w:val="26"/>
              </w:rPr>
              <w:t>2004</w:t>
            </w:r>
          </w:p>
        </w:tc>
        <w:tc>
          <w:tcPr>
            <w:tcW w:w="1920" w:type="dxa"/>
            <w:tcBorders>
              <w:top w:val="single" w:sz="4" w:space="0" w:color="auto"/>
              <w:left w:val="single" w:sz="4" w:space="0" w:color="auto"/>
              <w:bottom w:val="single" w:sz="4" w:space="0" w:color="auto"/>
              <w:right w:val="single" w:sz="4" w:space="0" w:color="auto"/>
            </w:tcBorders>
          </w:tcPr>
          <w:p w14:paraId="3BA9925B"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6B33E9">
              <w:rPr>
                <w:szCs w:val="26"/>
              </w:rPr>
              <w:t>1</w:t>
            </w:r>
          </w:p>
        </w:tc>
        <w:tc>
          <w:tcPr>
            <w:tcW w:w="1920" w:type="dxa"/>
            <w:tcBorders>
              <w:top w:val="single" w:sz="4" w:space="0" w:color="auto"/>
              <w:left w:val="single" w:sz="4" w:space="0" w:color="auto"/>
              <w:bottom w:val="single" w:sz="4" w:space="0" w:color="auto"/>
              <w:right w:val="single" w:sz="4" w:space="0" w:color="auto"/>
            </w:tcBorders>
          </w:tcPr>
          <w:p w14:paraId="736091E9"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5ACA8437"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4</w:t>
            </w:r>
          </w:p>
        </w:tc>
      </w:tr>
      <w:tr w:rsidR="00EE1CF5" w14:paraId="45E2C6E0" w14:textId="77777777" w:rsidTr="00263AB1">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tcPr>
          <w:p w14:paraId="5CDA7BC5" w14:textId="77777777" w:rsidR="00EE1CF5" w:rsidRPr="006B33E9" w:rsidRDefault="00EE1CF5" w:rsidP="00263AB1">
            <w:pPr>
              <w:jc w:val="center"/>
              <w:rPr>
                <w:szCs w:val="26"/>
              </w:rPr>
            </w:pPr>
            <w:r w:rsidRPr="006B33E9">
              <w:rPr>
                <w:szCs w:val="26"/>
              </w:rPr>
              <w:t>2005</w:t>
            </w:r>
          </w:p>
        </w:tc>
        <w:tc>
          <w:tcPr>
            <w:tcW w:w="1920" w:type="dxa"/>
            <w:tcBorders>
              <w:top w:val="single" w:sz="4" w:space="0" w:color="auto"/>
              <w:left w:val="single" w:sz="4" w:space="0" w:color="auto"/>
              <w:bottom w:val="single" w:sz="4" w:space="0" w:color="auto"/>
              <w:right w:val="single" w:sz="4" w:space="0" w:color="auto"/>
            </w:tcBorders>
          </w:tcPr>
          <w:p w14:paraId="44CB0F9B"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3D227B62"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6EE442C7"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2</w:t>
            </w:r>
          </w:p>
        </w:tc>
      </w:tr>
      <w:tr w:rsidR="00EE1CF5" w14:paraId="25DCF099" w14:textId="77777777" w:rsidTr="00263AB1">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tcPr>
          <w:p w14:paraId="27F45F83" w14:textId="77777777" w:rsidR="00EE1CF5" w:rsidRPr="006B33E9" w:rsidRDefault="00EE1CF5" w:rsidP="00263AB1">
            <w:pPr>
              <w:jc w:val="center"/>
              <w:rPr>
                <w:szCs w:val="26"/>
              </w:rPr>
            </w:pPr>
            <w:r w:rsidRPr="006B33E9">
              <w:rPr>
                <w:szCs w:val="26"/>
              </w:rPr>
              <w:t>2006</w:t>
            </w:r>
          </w:p>
        </w:tc>
        <w:tc>
          <w:tcPr>
            <w:tcW w:w="1920" w:type="dxa"/>
            <w:tcBorders>
              <w:top w:val="single" w:sz="4" w:space="0" w:color="auto"/>
              <w:left w:val="single" w:sz="4" w:space="0" w:color="auto"/>
              <w:bottom w:val="single" w:sz="4" w:space="0" w:color="auto"/>
              <w:right w:val="single" w:sz="4" w:space="0" w:color="auto"/>
            </w:tcBorders>
          </w:tcPr>
          <w:p w14:paraId="6500D9C9"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6CAFF2DF"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350542B5"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1</w:t>
            </w:r>
          </w:p>
        </w:tc>
      </w:tr>
      <w:tr w:rsidR="00EE1CF5" w14:paraId="0722A478" w14:textId="77777777" w:rsidTr="00263AB1">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left w:val="single" w:sz="4" w:space="0" w:color="auto"/>
              <w:bottom w:val="single" w:sz="4" w:space="0" w:color="auto"/>
              <w:right w:val="single" w:sz="4" w:space="0" w:color="auto"/>
            </w:tcBorders>
          </w:tcPr>
          <w:p w14:paraId="2806E511" w14:textId="77777777" w:rsidR="00EE1CF5" w:rsidRPr="006B33E9" w:rsidRDefault="00EE1CF5" w:rsidP="00263AB1">
            <w:pPr>
              <w:jc w:val="center"/>
              <w:rPr>
                <w:szCs w:val="26"/>
              </w:rPr>
            </w:pPr>
            <w:r w:rsidRPr="006B33E9">
              <w:rPr>
                <w:szCs w:val="26"/>
              </w:rPr>
              <w:t>2007</w:t>
            </w:r>
          </w:p>
        </w:tc>
        <w:tc>
          <w:tcPr>
            <w:tcW w:w="1920" w:type="dxa"/>
            <w:tcBorders>
              <w:top w:val="single" w:sz="4" w:space="0" w:color="auto"/>
              <w:left w:val="single" w:sz="4" w:space="0" w:color="auto"/>
              <w:bottom w:val="single" w:sz="4" w:space="0" w:color="auto"/>
              <w:right w:val="single" w:sz="4" w:space="0" w:color="auto"/>
            </w:tcBorders>
          </w:tcPr>
          <w:p w14:paraId="2B8E7B98"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14283576"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0</w:t>
            </w:r>
          </w:p>
        </w:tc>
        <w:tc>
          <w:tcPr>
            <w:tcW w:w="1920" w:type="dxa"/>
            <w:tcBorders>
              <w:top w:val="single" w:sz="4" w:space="0" w:color="auto"/>
              <w:left w:val="single" w:sz="4" w:space="0" w:color="auto"/>
              <w:bottom w:val="single" w:sz="4" w:space="0" w:color="auto"/>
              <w:right w:val="single" w:sz="4" w:space="0" w:color="auto"/>
            </w:tcBorders>
          </w:tcPr>
          <w:p w14:paraId="6597AF08" w14:textId="77777777" w:rsidR="00EE1CF5" w:rsidRPr="006B33E9"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sidRPr="006B33E9">
              <w:rPr>
                <w:szCs w:val="26"/>
              </w:rPr>
              <w:t>4</w:t>
            </w:r>
          </w:p>
        </w:tc>
      </w:tr>
    </w:tbl>
    <w:p w14:paraId="570C4BE9" w14:textId="77777777" w:rsidR="00EE1CF5" w:rsidRPr="001A2447" w:rsidRDefault="00EE1CF5" w:rsidP="00EE1CF5">
      <w:pPr>
        <w:ind w:firstLine="720"/>
        <w:rPr>
          <w:szCs w:val="26"/>
        </w:rPr>
      </w:pPr>
    </w:p>
    <w:p w14:paraId="0DC90BF4" w14:textId="77777777" w:rsidR="00EE1CF5" w:rsidRPr="001A2447" w:rsidRDefault="00EE1CF5" w:rsidP="00EE1CF5">
      <w:pPr>
        <w:ind w:firstLine="720"/>
        <w:rPr>
          <w:szCs w:val="26"/>
        </w:rPr>
      </w:pPr>
      <w:r w:rsidRPr="001A2447">
        <w:rPr>
          <w:szCs w:val="26"/>
        </w:rPr>
        <w:t xml:space="preserve">Līdz esošā atbalsta perioda sākumam izmaksātais atbalsts būtu ierēķināms kā atbalsts pirms tiek uzsākts izmantot elektroenerģijas </w:t>
      </w:r>
      <w:r>
        <w:rPr>
          <w:szCs w:val="26"/>
        </w:rPr>
        <w:t>OI</w:t>
      </w:r>
      <w:r w:rsidRPr="001A2447">
        <w:rPr>
          <w:szCs w:val="26"/>
        </w:rPr>
        <w:t xml:space="preserve"> tiesības, kas piešķirtas saskaņā ar </w:t>
      </w:r>
      <w:r>
        <w:rPr>
          <w:szCs w:val="26"/>
        </w:rPr>
        <w:t>ETL</w:t>
      </w:r>
      <w:r w:rsidRPr="001A2447">
        <w:rPr>
          <w:szCs w:val="26"/>
        </w:rPr>
        <w:t xml:space="preserve"> normām, pēc analoģijas, kā tas pašlaik tiek vērtēts attiecībā uz publiskā finansējuma atbalstu staciju kapitāla investīcijām. Ņemot vērā to, ka 93% atbalsta sistēmā esošo HES darbība uzsākta pirms atbalsta perioda, pastāv ievērojams risks, ka šīs stacijas ir pārkompensētas un līdz ar to neatbilst valsts atbalsta nosacījumiem. </w:t>
      </w:r>
    </w:p>
    <w:p w14:paraId="74DC4F1A" w14:textId="77777777" w:rsidR="00EE1CF5" w:rsidRPr="001A2447" w:rsidRDefault="00EE1CF5" w:rsidP="00EE1CF5">
      <w:pPr>
        <w:rPr>
          <w:rFonts w:eastAsia="Times New Roman" w:cs="Times New Roman"/>
          <w:szCs w:val="26"/>
        </w:rPr>
      </w:pPr>
    </w:p>
    <w:p w14:paraId="42D392E1" w14:textId="77777777" w:rsidR="00EE1CF5" w:rsidRPr="001A2447" w:rsidRDefault="00EE1CF5" w:rsidP="00EE1CF5">
      <w:pPr>
        <w:keepNext/>
        <w:widowControl w:val="0"/>
        <w:adjustRightInd w:val="0"/>
        <w:spacing w:before="120" w:after="60"/>
        <w:ind w:firstLine="720"/>
        <w:jc w:val="right"/>
        <w:textAlignment w:val="baseline"/>
        <w:rPr>
          <w:rFonts w:eastAsia="Times New Roman" w:cs="Times New Roman"/>
          <w:i/>
          <w:iCs/>
          <w:color w:val="000000"/>
          <w:szCs w:val="26"/>
        </w:rPr>
      </w:pPr>
      <w:r>
        <w:rPr>
          <w:rFonts w:eastAsia="Times New Roman" w:cs="Times New Roman"/>
          <w:i/>
          <w:iCs/>
          <w:color w:val="000000"/>
          <w:szCs w:val="26"/>
        </w:rPr>
        <w:lastRenderedPageBreak/>
        <w:t>8.t</w:t>
      </w:r>
      <w:r w:rsidRPr="001A2447">
        <w:rPr>
          <w:rFonts w:eastAsia="Times New Roman" w:cs="Times New Roman"/>
          <w:i/>
          <w:iCs/>
          <w:color w:val="000000"/>
          <w:szCs w:val="26"/>
        </w:rPr>
        <w:t>abula</w:t>
      </w:r>
    </w:p>
    <w:p w14:paraId="49B69416" w14:textId="77777777" w:rsidR="00EE1CF5" w:rsidRPr="001A2447" w:rsidRDefault="00EE1CF5" w:rsidP="00EE1CF5">
      <w:pPr>
        <w:jc w:val="center"/>
        <w:rPr>
          <w:b/>
          <w:szCs w:val="26"/>
        </w:rPr>
      </w:pPr>
      <w:r w:rsidRPr="001A2447">
        <w:rPr>
          <w:b/>
          <w:szCs w:val="26"/>
        </w:rPr>
        <w:t>V</w:t>
      </w:r>
      <w:r>
        <w:rPr>
          <w:b/>
          <w:szCs w:val="26"/>
        </w:rPr>
        <w:t xml:space="preserve">ēsturiski izmaksātās summas </w:t>
      </w:r>
      <w:r w:rsidRPr="001A2447">
        <w:rPr>
          <w:b/>
          <w:szCs w:val="26"/>
        </w:rPr>
        <w:t>HES pirms OI mehānisma</w:t>
      </w:r>
      <w:r>
        <w:rPr>
          <w:rStyle w:val="CommentTextChar"/>
          <w:b/>
          <w:szCs w:val="26"/>
          <w:vertAlign w:val="superscript"/>
        </w:rPr>
        <w:footnoteReference w:id="35"/>
      </w:r>
    </w:p>
    <w:p w14:paraId="7C5BDB5E" w14:textId="77777777" w:rsidR="00EE1CF5" w:rsidRPr="001A2447" w:rsidRDefault="00EE1CF5" w:rsidP="00EE1CF5">
      <w:pPr>
        <w:ind w:firstLine="720"/>
      </w:pPr>
    </w:p>
    <w:tbl>
      <w:tblPr>
        <w:tblStyle w:val="GridTable1Ligh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37"/>
        <w:gridCol w:w="1052"/>
        <w:gridCol w:w="1842"/>
        <w:gridCol w:w="1418"/>
        <w:gridCol w:w="1843"/>
      </w:tblGrid>
      <w:tr w:rsidR="00EE1CF5" w14:paraId="7AC0449F" w14:textId="77777777" w:rsidTr="00263A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6AFB9B02" w14:textId="77777777" w:rsidR="00EE1CF5" w:rsidRPr="001A2447" w:rsidRDefault="00EE1CF5" w:rsidP="00263AB1">
            <w:pPr>
              <w:jc w:val="center"/>
              <w:rPr>
                <w:rFonts w:eastAsia="Times New Roman" w:cs="Times New Roman"/>
                <w:szCs w:val="26"/>
              </w:rPr>
            </w:pPr>
            <w:r w:rsidRPr="001A2447">
              <w:rPr>
                <w:szCs w:val="26"/>
              </w:rPr>
              <w:t>Periods</w:t>
            </w:r>
          </w:p>
        </w:tc>
        <w:tc>
          <w:tcPr>
            <w:tcW w:w="1052" w:type="dxa"/>
            <w:vAlign w:val="center"/>
          </w:tcPr>
          <w:p w14:paraId="5176914A"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Skaits gab.</w:t>
            </w:r>
          </w:p>
        </w:tc>
        <w:tc>
          <w:tcPr>
            <w:tcW w:w="1842" w:type="dxa"/>
            <w:vAlign w:val="center"/>
          </w:tcPr>
          <w:p w14:paraId="4CB09D92"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Vidējais</w:t>
            </w:r>
            <w:r w:rsidRPr="001A2447">
              <w:rPr>
                <w:rFonts w:eastAsia="Times New Roman" w:cs="Times New Roman"/>
                <w:szCs w:val="26"/>
              </w:rPr>
              <w:t xml:space="preserve"> </w:t>
            </w:r>
            <w:r w:rsidRPr="001A2447">
              <w:rPr>
                <w:szCs w:val="26"/>
              </w:rPr>
              <w:t>svērtais</w:t>
            </w:r>
          </w:p>
          <w:p w14:paraId="2E99D424"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tarifs</w:t>
            </w:r>
          </w:p>
          <w:p w14:paraId="5E6C2458"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(Ls/kWh)</w:t>
            </w:r>
          </w:p>
        </w:tc>
        <w:tc>
          <w:tcPr>
            <w:tcW w:w="1418" w:type="dxa"/>
            <w:vAlign w:val="center"/>
          </w:tcPr>
          <w:p w14:paraId="75BB37CE"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Nodotais apjoms (MWh)</w:t>
            </w:r>
          </w:p>
        </w:tc>
        <w:tc>
          <w:tcPr>
            <w:tcW w:w="1843" w:type="dxa"/>
            <w:vAlign w:val="center"/>
          </w:tcPr>
          <w:p w14:paraId="2A58D2FF"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Summa</w:t>
            </w:r>
          </w:p>
          <w:p w14:paraId="2CA34F8A"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(bez PVN Ls)</w:t>
            </w:r>
          </w:p>
          <w:p w14:paraId="102F1EE1"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cs="Times New Roman"/>
                <w:szCs w:val="26"/>
              </w:rPr>
            </w:pPr>
          </w:p>
        </w:tc>
      </w:tr>
      <w:tr w:rsidR="00EE1CF5" w14:paraId="145B0F31"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D159261" w14:textId="77777777" w:rsidR="00EE1CF5" w:rsidRPr="001A2447" w:rsidRDefault="00EE1CF5" w:rsidP="00263AB1">
            <w:pPr>
              <w:rPr>
                <w:rFonts w:eastAsia="Times New Roman" w:cs="Times New Roman"/>
                <w:szCs w:val="26"/>
              </w:rPr>
            </w:pPr>
            <w:r w:rsidRPr="001A2447">
              <w:rPr>
                <w:szCs w:val="26"/>
              </w:rPr>
              <w:t>1997</w:t>
            </w:r>
          </w:p>
        </w:tc>
        <w:tc>
          <w:tcPr>
            <w:tcW w:w="1052" w:type="dxa"/>
            <w:vAlign w:val="center"/>
          </w:tcPr>
          <w:p w14:paraId="7F9D6E93"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20</w:t>
            </w:r>
          </w:p>
        </w:tc>
        <w:tc>
          <w:tcPr>
            <w:tcW w:w="1842" w:type="dxa"/>
            <w:vAlign w:val="center"/>
          </w:tcPr>
          <w:p w14:paraId="55A7E75A"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0,05508</w:t>
            </w:r>
          </w:p>
        </w:tc>
        <w:tc>
          <w:tcPr>
            <w:tcW w:w="1418" w:type="dxa"/>
            <w:vAlign w:val="center"/>
          </w:tcPr>
          <w:p w14:paraId="25633B8B"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7 281,0</w:t>
            </w:r>
          </w:p>
        </w:tc>
        <w:tc>
          <w:tcPr>
            <w:tcW w:w="1843" w:type="dxa"/>
            <w:vAlign w:val="center"/>
          </w:tcPr>
          <w:p w14:paraId="6AF000C9"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401 040</w:t>
            </w:r>
          </w:p>
        </w:tc>
      </w:tr>
      <w:tr w:rsidR="00EE1CF5" w14:paraId="3BC21221"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04627B22" w14:textId="77777777" w:rsidR="00EE1CF5" w:rsidRPr="001A2447" w:rsidRDefault="00EE1CF5" w:rsidP="00263AB1">
            <w:pPr>
              <w:rPr>
                <w:rFonts w:eastAsia="Times New Roman" w:cs="Times New Roman"/>
                <w:szCs w:val="26"/>
              </w:rPr>
            </w:pPr>
            <w:r w:rsidRPr="001A2447">
              <w:rPr>
                <w:szCs w:val="26"/>
              </w:rPr>
              <w:t>1998</w:t>
            </w:r>
          </w:p>
        </w:tc>
        <w:tc>
          <w:tcPr>
            <w:tcW w:w="1052" w:type="dxa"/>
            <w:vAlign w:val="center"/>
          </w:tcPr>
          <w:p w14:paraId="511A80E5"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34</w:t>
            </w:r>
          </w:p>
        </w:tc>
        <w:tc>
          <w:tcPr>
            <w:tcW w:w="1842" w:type="dxa"/>
            <w:vAlign w:val="center"/>
          </w:tcPr>
          <w:p w14:paraId="00CFBE37"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0,06056</w:t>
            </w:r>
          </w:p>
        </w:tc>
        <w:tc>
          <w:tcPr>
            <w:tcW w:w="1418" w:type="dxa"/>
            <w:vAlign w:val="center"/>
          </w:tcPr>
          <w:p w14:paraId="3CC10279"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13 946,0</w:t>
            </w:r>
          </w:p>
        </w:tc>
        <w:tc>
          <w:tcPr>
            <w:tcW w:w="1843" w:type="dxa"/>
            <w:vAlign w:val="center"/>
          </w:tcPr>
          <w:p w14:paraId="5388A22A"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844 569</w:t>
            </w:r>
          </w:p>
        </w:tc>
      </w:tr>
      <w:tr w:rsidR="00EE1CF5" w14:paraId="339CE8EC"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1F3E52E8" w14:textId="77777777" w:rsidR="00EE1CF5" w:rsidRPr="001A2447" w:rsidRDefault="00EE1CF5" w:rsidP="00263AB1">
            <w:pPr>
              <w:rPr>
                <w:rFonts w:eastAsia="Times New Roman" w:cs="Times New Roman"/>
                <w:szCs w:val="26"/>
              </w:rPr>
            </w:pPr>
            <w:r w:rsidRPr="001A2447">
              <w:rPr>
                <w:szCs w:val="26"/>
              </w:rPr>
              <w:t>1999</w:t>
            </w:r>
          </w:p>
        </w:tc>
        <w:tc>
          <w:tcPr>
            <w:tcW w:w="1052" w:type="dxa"/>
            <w:vAlign w:val="center"/>
          </w:tcPr>
          <w:p w14:paraId="34FF5CBB"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54</w:t>
            </w:r>
          </w:p>
        </w:tc>
        <w:tc>
          <w:tcPr>
            <w:tcW w:w="1842" w:type="dxa"/>
            <w:vAlign w:val="center"/>
          </w:tcPr>
          <w:p w14:paraId="43955297"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0,06056</w:t>
            </w:r>
          </w:p>
        </w:tc>
        <w:tc>
          <w:tcPr>
            <w:tcW w:w="1418" w:type="dxa"/>
            <w:vAlign w:val="center"/>
          </w:tcPr>
          <w:p w14:paraId="528E50D5"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13 272,7</w:t>
            </w:r>
          </w:p>
        </w:tc>
        <w:tc>
          <w:tcPr>
            <w:tcW w:w="1843" w:type="dxa"/>
            <w:vAlign w:val="center"/>
          </w:tcPr>
          <w:p w14:paraId="38BFDD63"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803 794</w:t>
            </w:r>
          </w:p>
        </w:tc>
      </w:tr>
      <w:tr w:rsidR="00EE1CF5" w14:paraId="3E28737D"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5A063ED" w14:textId="77777777" w:rsidR="00EE1CF5" w:rsidRPr="001A2447" w:rsidRDefault="00EE1CF5" w:rsidP="00263AB1">
            <w:pPr>
              <w:rPr>
                <w:rFonts w:eastAsia="Times New Roman" w:cs="Times New Roman"/>
                <w:szCs w:val="26"/>
              </w:rPr>
            </w:pPr>
            <w:r w:rsidRPr="001A2447">
              <w:rPr>
                <w:szCs w:val="26"/>
              </w:rPr>
              <w:t>2000</w:t>
            </w:r>
          </w:p>
        </w:tc>
        <w:tc>
          <w:tcPr>
            <w:tcW w:w="1052" w:type="dxa"/>
            <w:vAlign w:val="center"/>
          </w:tcPr>
          <w:p w14:paraId="15264BCC"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72</w:t>
            </w:r>
          </w:p>
        </w:tc>
        <w:tc>
          <w:tcPr>
            <w:tcW w:w="1842" w:type="dxa"/>
            <w:vAlign w:val="center"/>
          </w:tcPr>
          <w:p w14:paraId="79369CA2"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0,06056</w:t>
            </w:r>
          </w:p>
        </w:tc>
        <w:tc>
          <w:tcPr>
            <w:tcW w:w="1418" w:type="dxa"/>
            <w:vAlign w:val="center"/>
          </w:tcPr>
          <w:p w14:paraId="3F23F6A7"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19 677,9</w:t>
            </w:r>
          </w:p>
        </w:tc>
        <w:tc>
          <w:tcPr>
            <w:tcW w:w="1843" w:type="dxa"/>
            <w:vAlign w:val="center"/>
          </w:tcPr>
          <w:p w14:paraId="61BA2BA0"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1 191 694</w:t>
            </w:r>
          </w:p>
        </w:tc>
      </w:tr>
      <w:tr w:rsidR="00EE1CF5" w14:paraId="07133374"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0E35E80" w14:textId="77777777" w:rsidR="00EE1CF5" w:rsidRPr="001A2447" w:rsidRDefault="00EE1CF5" w:rsidP="00263AB1">
            <w:pPr>
              <w:rPr>
                <w:rFonts w:eastAsia="Times New Roman" w:cs="Times New Roman"/>
                <w:szCs w:val="26"/>
              </w:rPr>
            </w:pPr>
            <w:r w:rsidRPr="001A2447">
              <w:rPr>
                <w:szCs w:val="26"/>
              </w:rPr>
              <w:t>2001</w:t>
            </w:r>
          </w:p>
        </w:tc>
        <w:tc>
          <w:tcPr>
            <w:tcW w:w="1052" w:type="dxa"/>
            <w:vAlign w:val="center"/>
          </w:tcPr>
          <w:p w14:paraId="1DAD110B"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100</w:t>
            </w:r>
          </w:p>
        </w:tc>
        <w:tc>
          <w:tcPr>
            <w:tcW w:w="1842" w:type="dxa"/>
            <w:vAlign w:val="center"/>
          </w:tcPr>
          <w:p w14:paraId="1373A3D9"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0,06026</w:t>
            </w:r>
          </w:p>
        </w:tc>
        <w:tc>
          <w:tcPr>
            <w:tcW w:w="1418" w:type="dxa"/>
            <w:vAlign w:val="center"/>
          </w:tcPr>
          <w:p w14:paraId="56616EEF"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31 811,3</w:t>
            </w:r>
          </w:p>
        </w:tc>
        <w:tc>
          <w:tcPr>
            <w:tcW w:w="1843" w:type="dxa"/>
            <w:vAlign w:val="center"/>
          </w:tcPr>
          <w:p w14:paraId="72E99C04"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1 916 972</w:t>
            </w:r>
          </w:p>
        </w:tc>
      </w:tr>
      <w:tr w:rsidR="00EE1CF5" w14:paraId="40E2F01E"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06A98F22" w14:textId="77777777" w:rsidR="00EE1CF5" w:rsidRPr="001A2447" w:rsidRDefault="00EE1CF5" w:rsidP="00263AB1">
            <w:pPr>
              <w:rPr>
                <w:rFonts w:eastAsia="Times New Roman" w:cs="Times New Roman"/>
                <w:szCs w:val="26"/>
              </w:rPr>
            </w:pPr>
            <w:r w:rsidRPr="001A2447">
              <w:rPr>
                <w:szCs w:val="26"/>
              </w:rPr>
              <w:t>2002</w:t>
            </w:r>
          </w:p>
        </w:tc>
        <w:tc>
          <w:tcPr>
            <w:tcW w:w="1052" w:type="dxa"/>
            <w:vAlign w:val="center"/>
          </w:tcPr>
          <w:p w14:paraId="31E4C25A"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135</w:t>
            </w:r>
          </w:p>
        </w:tc>
        <w:tc>
          <w:tcPr>
            <w:tcW w:w="1842" w:type="dxa"/>
            <w:vAlign w:val="center"/>
          </w:tcPr>
          <w:p w14:paraId="3000B69C"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0,05862</w:t>
            </w:r>
          </w:p>
        </w:tc>
        <w:tc>
          <w:tcPr>
            <w:tcW w:w="1418" w:type="dxa"/>
            <w:vAlign w:val="center"/>
          </w:tcPr>
          <w:p w14:paraId="266A5631"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29 807,4</w:t>
            </w:r>
          </w:p>
        </w:tc>
        <w:tc>
          <w:tcPr>
            <w:tcW w:w="1843" w:type="dxa"/>
            <w:vAlign w:val="center"/>
          </w:tcPr>
          <w:p w14:paraId="58794F45"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1 747 404</w:t>
            </w:r>
          </w:p>
        </w:tc>
      </w:tr>
      <w:tr w:rsidR="00EE1CF5" w14:paraId="00E62315"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D2297DF" w14:textId="77777777" w:rsidR="00EE1CF5" w:rsidRPr="001A2447" w:rsidRDefault="00EE1CF5" w:rsidP="00263AB1">
            <w:pPr>
              <w:rPr>
                <w:rFonts w:eastAsia="Times New Roman" w:cs="Times New Roman"/>
                <w:szCs w:val="26"/>
              </w:rPr>
            </w:pPr>
            <w:r w:rsidRPr="001A2447">
              <w:rPr>
                <w:szCs w:val="26"/>
              </w:rPr>
              <w:t>2003</w:t>
            </w:r>
          </w:p>
        </w:tc>
        <w:tc>
          <w:tcPr>
            <w:tcW w:w="1052" w:type="dxa"/>
            <w:vAlign w:val="center"/>
          </w:tcPr>
          <w:p w14:paraId="13293236"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148</w:t>
            </w:r>
          </w:p>
        </w:tc>
        <w:tc>
          <w:tcPr>
            <w:tcW w:w="1842" w:type="dxa"/>
            <w:vAlign w:val="center"/>
          </w:tcPr>
          <w:p w14:paraId="2E78002F"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0,05916</w:t>
            </w:r>
          </w:p>
        </w:tc>
        <w:tc>
          <w:tcPr>
            <w:tcW w:w="1418" w:type="dxa"/>
            <w:vAlign w:val="center"/>
          </w:tcPr>
          <w:p w14:paraId="4CABD840"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49 310,7</w:t>
            </w:r>
          </w:p>
        </w:tc>
        <w:tc>
          <w:tcPr>
            <w:tcW w:w="1843" w:type="dxa"/>
            <w:vAlign w:val="center"/>
          </w:tcPr>
          <w:p w14:paraId="7793EC88"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2 917 023</w:t>
            </w:r>
          </w:p>
        </w:tc>
      </w:tr>
      <w:tr w:rsidR="00EE1CF5" w14:paraId="3F921EF2"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17DC91E8" w14:textId="77777777" w:rsidR="00EE1CF5" w:rsidRPr="001A2447" w:rsidRDefault="00EE1CF5" w:rsidP="00263AB1">
            <w:pPr>
              <w:rPr>
                <w:rFonts w:eastAsia="Times New Roman" w:cs="Times New Roman"/>
                <w:szCs w:val="26"/>
              </w:rPr>
            </w:pPr>
            <w:r w:rsidRPr="001A2447">
              <w:rPr>
                <w:szCs w:val="26"/>
              </w:rPr>
              <w:t>2004</w:t>
            </w:r>
          </w:p>
        </w:tc>
        <w:tc>
          <w:tcPr>
            <w:tcW w:w="1052" w:type="dxa"/>
            <w:vAlign w:val="center"/>
          </w:tcPr>
          <w:p w14:paraId="03D62A62"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148</w:t>
            </w:r>
          </w:p>
        </w:tc>
        <w:tc>
          <w:tcPr>
            <w:tcW w:w="1842" w:type="dxa"/>
            <w:vAlign w:val="center"/>
          </w:tcPr>
          <w:p w14:paraId="4A2499F3"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0,06360</w:t>
            </w:r>
          </w:p>
        </w:tc>
        <w:tc>
          <w:tcPr>
            <w:tcW w:w="1418" w:type="dxa"/>
            <w:vAlign w:val="center"/>
          </w:tcPr>
          <w:p w14:paraId="7932E524"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63 738,5</w:t>
            </w:r>
          </w:p>
        </w:tc>
        <w:tc>
          <w:tcPr>
            <w:tcW w:w="1843" w:type="dxa"/>
            <w:vAlign w:val="center"/>
          </w:tcPr>
          <w:p w14:paraId="308D80C7"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4 053 592</w:t>
            </w:r>
          </w:p>
        </w:tc>
      </w:tr>
      <w:tr w:rsidR="00EE1CF5" w14:paraId="0C5DBC41"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63B9FCC8" w14:textId="77777777" w:rsidR="00EE1CF5" w:rsidRPr="001A2447" w:rsidRDefault="00EE1CF5" w:rsidP="00263AB1">
            <w:pPr>
              <w:rPr>
                <w:rFonts w:eastAsia="Times New Roman" w:cs="Times New Roman"/>
                <w:szCs w:val="26"/>
              </w:rPr>
            </w:pPr>
            <w:r w:rsidRPr="001A2447">
              <w:rPr>
                <w:szCs w:val="26"/>
              </w:rPr>
              <w:t>2005</w:t>
            </w:r>
          </w:p>
        </w:tc>
        <w:tc>
          <w:tcPr>
            <w:tcW w:w="1052" w:type="dxa"/>
            <w:vAlign w:val="center"/>
          </w:tcPr>
          <w:p w14:paraId="712380CF"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148</w:t>
            </w:r>
          </w:p>
        </w:tc>
        <w:tc>
          <w:tcPr>
            <w:tcW w:w="1842" w:type="dxa"/>
            <w:vAlign w:val="center"/>
          </w:tcPr>
          <w:p w14:paraId="7A118493"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0,06413</w:t>
            </w:r>
          </w:p>
        </w:tc>
        <w:tc>
          <w:tcPr>
            <w:tcW w:w="1418" w:type="dxa"/>
            <w:vAlign w:val="center"/>
          </w:tcPr>
          <w:p w14:paraId="0D17F384"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56 702,5</w:t>
            </w:r>
          </w:p>
        </w:tc>
        <w:tc>
          <w:tcPr>
            <w:tcW w:w="1843" w:type="dxa"/>
            <w:vAlign w:val="center"/>
          </w:tcPr>
          <w:p w14:paraId="6AE5C905"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3 636 483</w:t>
            </w:r>
          </w:p>
        </w:tc>
      </w:tr>
      <w:tr w:rsidR="00EE1CF5" w14:paraId="776A05E8"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030BD1C6" w14:textId="77777777" w:rsidR="00EE1CF5" w:rsidRPr="001A2447" w:rsidRDefault="00EE1CF5" w:rsidP="00263AB1">
            <w:pPr>
              <w:rPr>
                <w:rFonts w:eastAsia="Times New Roman" w:cs="Times New Roman"/>
                <w:szCs w:val="26"/>
              </w:rPr>
            </w:pPr>
            <w:r w:rsidRPr="001A2447">
              <w:rPr>
                <w:szCs w:val="26"/>
              </w:rPr>
              <w:t>2006</w:t>
            </w:r>
          </w:p>
        </w:tc>
        <w:tc>
          <w:tcPr>
            <w:tcW w:w="1052" w:type="dxa"/>
            <w:vAlign w:val="center"/>
          </w:tcPr>
          <w:p w14:paraId="777B4955"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138</w:t>
            </w:r>
          </w:p>
        </w:tc>
        <w:tc>
          <w:tcPr>
            <w:tcW w:w="1842" w:type="dxa"/>
            <w:vAlign w:val="center"/>
          </w:tcPr>
          <w:p w14:paraId="4FB928C2"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0,06275</w:t>
            </w:r>
          </w:p>
        </w:tc>
        <w:tc>
          <w:tcPr>
            <w:tcW w:w="1418" w:type="dxa"/>
            <w:vAlign w:val="center"/>
          </w:tcPr>
          <w:p w14:paraId="0D5D7405"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37 240,3</w:t>
            </w:r>
          </w:p>
        </w:tc>
        <w:tc>
          <w:tcPr>
            <w:tcW w:w="1843" w:type="dxa"/>
            <w:vAlign w:val="center"/>
          </w:tcPr>
          <w:p w14:paraId="5538999D"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2 336 700</w:t>
            </w:r>
          </w:p>
        </w:tc>
      </w:tr>
    </w:tbl>
    <w:p w14:paraId="3971885F" w14:textId="77777777" w:rsidR="00EE1CF5" w:rsidRDefault="00EE1CF5" w:rsidP="00EE1CF5">
      <w:pPr>
        <w:ind w:firstLine="720"/>
        <w:rPr>
          <w:i/>
          <w:iCs/>
          <w:szCs w:val="26"/>
        </w:rPr>
      </w:pPr>
      <w:r w:rsidRPr="001A2447">
        <w:rPr>
          <w:i/>
          <w:iCs/>
          <w:szCs w:val="26"/>
        </w:rPr>
        <w:t>Avots:</w:t>
      </w:r>
      <w:r w:rsidRPr="001A2447">
        <w:rPr>
          <w:rFonts w:eastAsia="Times New Roman" w:cs="Times New Roman"/>
          <w:i/>
          <w:iCs/>
          <w:szCs w:val="26"/>
        </w:rPr>
        <w:t xml:space="preserve"> </w:t>
      </w:r>
      <w:r w:rsidRPr="001A2447">
        <w:rPr>
          <w:i/>
          <w:iCs/>
          <w:szCs w:val="26"/>
        </w:rPr>
        <w:t>AS “Latvenergo”</w:t>
      </w:r>
    </w:p>
    <w:p w14:paraId="53897E5A" w14:textId="77777777" w:rsidR="00EE1CF5" w:rsidRPr="001A2447" w:rsidRDefault="00EE1CF5" w:rsidP="00EE1CF5">
      <w:pPr>
        <w:ind w:firstLine="720"/>
        <w:rPr>
          <w:rFonts w:eastAsia="Times New Roman" w:cs="Times New Roman"/>
          <w:i/>
          <w:iCs/>
          <w:szCs w:val="26"/>
        </w:rPr>
      </w:pPr>
    </w:p>
    <w:p w14:paraId="5CC1145E" w14:textId="77777777" w:rsidR="00EE1CF5" w:rsidRPr="001A2447" w:rsidRDefault="00EE1CF5" w:rsidP="00EE1CF5">
      <w:pPr>
        <w:keepNext/>
        <w:widowControl w:val="0"/>
        <w:adjustRightInd w:val="0"/>
        <w:spacing w:before="120" w:after="60"/>
        <w:ind w:firstLine="720"/>
        <w:jc w:val="right"/>
        <w:textAlignment w:val="baseline"/>
        <w:rPr>
          <w:rFonts w:eastAsia="Times New Roman" w:cs="Times New Roman"/>
          <w:i/>
          <w:iCs/>
          <w:color w:val="000000"/>
          <w:szCs w:val="26"/>
        </w:rPr>
      </w:pPr>
      <w:r>
        <w:rPr>
          <w:rFonts w:eastAsia="Times New Roman" w:cs="Times New Roman"/>
          <w:i/>
          <w:iCs/>
          <w:color w:val="000000"/>
          <w:szCs w:val="26"/>
        </w:rPr>
        <w:t>9.t</w:t>
      </w:r>
      <w:r w:rsidRPr="001A2447">
        <w:rPr>
          <w:rFonts w:eastAsia="Times New Roman" w:cs="Times New Roman"/>
          <w:i/>
          <w:iCs/>
          <w:color w:val="000000"/>
          <w:szCs w:val="26"/>
        </w:rPr>
        <w:t>abula</w:t>
      </w:r>
    </w:p>
    <w:p w14:paraId="76373389" w14:textId="77777777" w:rsidR="00EE1CF5" w:rsidRPr="001A2447" w:rsidRDefault="00EE1CF5" w:rsidP="00EE1CF5">
      <w:pPr>
        <w:jc w:val="center"/>
        <w:rPr>
          <w:b/>
          <w:szCs w:val="26"/>
        </w:rPr>
      </w:pPr>
      <w:r w:rsidRPr="001A2447">
        <w:rPr>
          <w:b/>
          <w:szCs w:val="26"/>
        </w:rPr>
        <w:t>V</w:t>
      </w:r>
      <w:r>
        <w:rPr>
          <w:b/>
          <w:szCs w:val="26"/>
        </w:rPr>
        <w:t>ēsturiski izmaksātās summas vēja elektrostacijām</w:t>
      </w:r>
      <w:r w:rsidRPr="001A2447">
        <w:rPr>
          <w:b/>
          <w:szCs w:val="26"/>
        </w:rPr>
        <w:t xml:space="preserve"> pirms OI mehānisma</w:t>
      </w:r>
      <w:r>
        <w:rPr>
          <w:rStyle w:val="CommentTextChar"/>
          <w:vertAlign w:val="superscript"/>
        </w:rPr>
        <w:t>28</w:t>
      </w:r>
    </w:p>
    <w:p w14:paraId="3EC1035C" w14:textId="77777777" w:rsidR="00EE1CF5" w:rsidRDefault="00EE1CF5" w:rsidP="00EE1CF5">
      <w:pPr>
        <w:ind w:firstLine="720"/>
        <w:rPr>
          <w:rFonts w:eastAsia="Times New Roman" w:cs="Times New Roman"/>
          <w:szCs w:val="26"/>
        </w:rPr>
      </w:pPr>
    </w:p>
    <w:tbl>
      <w:tblPr>
        <w:tblStyle w:val="GridTable1Ligh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37"/>
        <w:gridCol w:w="1052"/>
        <w:gridCol w:w="1842"/>
        <w:gridCol w:w="1418"/>
        <w:gridCol w:w="1843"/>
      </w:tblGrid>
      <w:tr w:rsidR="00EE1CF5" w14:paraId="01C9E605" w14:textId="77777777" w:rsidTr="00263A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0DAAAC2E" w14:textId="77777777" w:rsidR="00EE1CF5" w:rsidRPr="001A2447" w:rsidRDefault="00EE1CF5" w:rsidP="00263AB1">
            <w:pPr>
              <w:jc w:val="center"/>
              <w:rPr>
                <w:rFonts w:eastAsia="Times New Roman" w:cs="Times New Roman"/>
                <w:szCs w:val="26"/>
              </w:rPr>
            </w:pPr>
            <w:r w:rsidRPr="001A2447">
              <w:rPr>
                <w:szCs w:val="26"/>
              </w:rPr>
              <w:t>Periods</w:t>
            </w:r>
          </w:p>
        </w:tc>
        <w:tc>
          <w:tcPr>
            <w:tcW w:w="1052" w:type="dxa"/>
            <w:vAlign w:val="center"/>
          </w:tcPr>
          <w:p w14:paraId="679C0653"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Skaits gab.</w:t>
            </w:r>
          </w:p>
        </w:tc>
        <w:tc>
          <w:tcPr>
            <w:tcW w:w="1842" w:type="dxa"/>
            <w:vAlign w:val="center"/>
          </w:tcPr>
          <w:p w14:paraId="67AB7F08"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Vidējais</w:t>
            </w:r>
            <w:r w:rsidRPr="001A2447">
              <w:rPr>
                <w:rFonts w:eastAsia="Times New Roman" w:cs="Times New Roman"/>
                <w:szCs w:val="26"/>
              </w:rPr>
              <w:t xml:space="preserve"> </w:t>
            </w:r>
            <w:r w:rsidRPr="001A2447">
              <w:rPr>
                <w:szCs w:val="26"/>
              </w:rPr>
              <w:t>svērtais</w:t>
            </w:r>
          </w:p>
          <w:p w14:paraId="393550CA"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tarifs</w:t>
            </w:r>
          </w:p>
          <w:p w14:paraId="4D692B06"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(Ls/kWh)</w:t>
            </w:r>
          </w:p>
        </w:tc>
        <w:tc>
          <w:tcPr>
            <w:tcW w:w="1418" w:type="dxa"/>
            <w:vAlign w:val="center"/>
          </w:tcPr>
          <w:p w14:paraId="56A4769F"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Nodotais apjoms (MWh)</w:t>
            </w:r>
          </w:p>
        </w:tc>
        <w:tc>
          <w:tcPr>
            <w:tcW w:w="1843" w:type="dxa"/>
            <w:vAlign w:val="center"/>
          </w:tcPr>
          <w:p w14:paraId="7E678BBF"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Summa</w:t>
            </w:r>
          </w:p>
          <w:p w14:paraId="6569245B"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(bez PVN Ls)</w:t>
            </w:r>
          </w:p>
          <w:p w14:paraId="0DA4AE93"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cs="Times New Roman"/>
                <w:szCs w:val="26"/>
              </w:rPr>
            </w:pPr>
          </w:p>
        </w:tc>
      </w:tr>
      <w:tr w:rsidR="00EE1CF5" w14:paraId="777789D9"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989EC2A" w14:textId="77777777" w:rsidR="00EE1CF5" w:rsidRPr="001A2447" w:rsidRDefault="00EE1CF5" w:rsidP="00263AB1">
            <w:pPr>
              <w:rPr>
                <w:szCs w:val="26"/>
              </w:rPr>
            </w:pPr>
            <w:r w:rsidRPr="001A2447">
              <w:rPr>
                <w:szCs w:val="26"/>
              </w:rPr>
              <w:t>1997</w:t>
            </w:r>
          </w:p>
        </w:tc>
        <w:tc>
          <w:tcPr>
            <w:tcW w:w="1052" w:type="dxa"/>
            <w:vAlign w:val="center"/>
          </w:tcPr>
          <w:p w14:paraId="7B35D063"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szCs w:val="26"/>
              </w:rPr>
              <w:t>0</w:t>
            </w:r>
          </w:p>
        </w:tc>
        <w:tc>
          <w:tcPr>
            <w:tcW w:w="1842" w:type="dxa"/>
            <w:vAlign w:val="bottom"/>
          </w:tcPr>
          <w:p w14:paraId="5A886198"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rFonts w:eastAsia="Times New Roman" w:cs="Times New Roman"/>
                <w:sz w:val="24"/>
                <w:szCs w:val="26"/>
              </w:rPr>
              <w:t>-</w:t>
            </w:r>
          </w:p>
        </w:tc>
        <w:tc>
          <w:tcPr>
            <w:tcW w:w="1418" w:type="dxa"/>
            <w:vAlign w:val="bottom"/>
          </w:tcPr>
          <w:p w14:paraId="3D14F955"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rFonts w:eastAsia="Times New Roman" w:cs="Times New Roman"/>
                <w:sz w:val="24"/>
                <w:szCs w:val="26"/>
              </w:rPr>
              <w:t>-</w:t>
            </w:r>
          </w:p>
        </w:tc>
        <w:tc>
          <w:tcPr>
            <w:tcW w:w="1843" w:type="dxa"/>
            <w:vAlign w:val="bottom"/>
          </w:tcPr>
          <w:p w14:paraId="68AE080B"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rFonts w:eastAsia="Times New Roman" w:cs="Times New Roman"/>
                <w:sz w:val="24"/>
                <w:szCs w:val="26"/>
              </w:rPr>
              <w:t>-</w:t>
            </w:r>
          </w:p>
        </w:tc>
      </w:tr>
      <w:tr w:rsidR="00EE1CF5" w14:paraId="1F474A91"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FF053B3" w14:textId="77777777" w:rsidR="00EE1CF5" w:rsidRPr="001A2447" w:rsidRDefault="00EE1CF5" w:rsidP="00263AB1">
            <w:pPr>
              <w:rPr>
                <w:szCs w:val="26"/>
              </w:rPr>
            </w:pPr>
            <w:r w:rsidRPr="001A2447">
              <w:rPr>
                <w:szCs w:val="26"/>
              </w:rPr>
              <w:t>1998</w:t>
            </w:r>
          </w:p>
        </w:tc>
        <w:tc>
          <w:tcPr>
            <w:tcW w:w="1052" w:type="dxa"/>
            <w:vAlign w:val="center"/>
          </w:tcPr>
          <w:p w14:paraId="01C7DC43"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szCs w:val="26"/>
              </w:rPr>
              <w:t>0</w:t>
            </w:r>
          </w:p>
        </w:tc>
        <w:tc>
          <w:tcPr>
            <w:tcW w:w="1842" w:type="dxa"/>
            <w:vAlign w:val="bottom"/>
          </w:tcPr>
          <w:p w14:paraId="6B59AED5"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rFonts w:eastAsia="Times New Roman" w:cs="Times New Roman"/>
                <w:sz w:val="24"/>
                <w:szCs w:val="26"/>
              </w:rPr>
              <w:t>-</w:t>
            </w:r>
          </w:p>
        </w:tc>
        <w:tc>
          <w:tcPr>
            <w:tcW w:w="1418" w:type="dxa"/>
            <w:vAlign w:val="bottom"/>
          </w:tcPr>
          <w:p w14:paraId="6A951FEF"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rFonts w:eastAsia="Times New Roman" w:cs="Times New Roman"/>
                <w:sz w:val="24"/>
                <w:szCs w:val="26"/>
              </w:rPr>
              <w:t>-</w:t>
            </w:r>
          </w:p>
        </w:tc>
        <w:tc>
          <w:tcPr>
            <w:tcW w:w="1843" w:type="dxa"/>
            <w:vAlign w:val="bottom"/>
          </w:tcPr>
          <w:p w14:paraId="75F6FCA5"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rFonts w:eastAsia="Times New Roman" w:cs="Times New Roman"/>
                <w:sz w:val="24"/>
                <w:szCs w:val="26"/>
              </w:rPr>
              <w:t>-</w:t>
            </w:r>
          </w:p>
        </w:tc>
      </w:tr>
      <w:tr w:rsidR="00EE1CF5" w14:paraId="6CDB2AAC"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0D0463A3" w14:textId="77777777" w:rsidR="00EE1CF5" w:rsidRPr="001A2447" w:rsidRDefault="00EE1CF5" w:rsidP="00263AB1">
            <w:pPr>
              <w:rPr>
                <w:szCs w:val="26"/>
              </w:rPr>
            </w:pPr>
            <w:r w:rsidRPr="001A2447">
              <w:rPr>
                <w:szCs w:val="26"/>
              </w:rPr>
              <w:t>1999</w:t>
            </w:r>
          </w:p>
        </w:tc>
        <w:tc>
          <w:tcPr>
            <w:tcW w:w="1052" w:type="dxa"/>
            <w:vAlign w:val="center"/>
          </w:tcPr>
          <w:p w14:paraId="7C6F1836"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szCs w:val="26"/>
              </w:rPr>
              <w:t>0</w:t>
            </w:r>
          </w:p>
        </w:tc>
        <w:tc>
          <w:tcPr>
            <w:tcW w:w="1842" w:type="dxa"/>
            <w:vAlign w:val="bottom"/>
          </w:tcPr>
          <w:p w14:paraId="4D00D211"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rFonts w:eastAsia="Times New Roman" w:cs="Times New Roman"/>
                <w:sz w:val="24"/>
                <w:szCs w:val="26"/>
              </w:rPr>
              <w:t>-</w:t>
            </w:r>
          </w:p>
        </w:tc>
        <w:tc>
          <w:tcPr>
            <w:tcW w:w="1418" w:type="dxa"/>
            <w:vAlign w:val="bottom"/>
          </w:tcPr>
          <w:p w14:paraId="3387B928"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rFonts w:eastAsia="Times New Roman" w:cs="Times New Roman"/>
                <w:sz w:val="24"/>
                <w:szCs w:val="26"/>
              </w:rPr>
              <w:t>-</w:t>
            </w:r>
          </w:p>
        </w:tc>
        <w:tc>
          <w:tcPr>
            <w:tcW w:w="1843" w:type="dxa"/>
            <w:vAlign w:val="bottom"/>
          </w:tcPr>
          <w:p w14:paraId="78D70B58" w14:textId="77777777" w:rsidR="00EE1CF5" w:rsidRPr="001A2447" w:rsidRDefault="00EE1CF5" w:rsidP="00263AB1">
            <w:pPr>
              <w:jc w:val="center"/>
              <w:cnfStyle w:val="000000000000" w:firstRow="0" w:lastRow="0" w:firstColumn="0" w:lastColumn="0" w:oddVBand="0" w:evenVBand="0" w:oddHBand="0" w:evenHBand="0" w:firstRowFirstColumn="0" w:firstRowLastColumn="0" w:lastRowFirstColumn="0" w:lastRowLastColumn="0"/>
              <w:rPr>
                <w:szCs w:val="26"/>
              </w:rPr>
            </w:pPr>
            <w:r>
              <w:rPr>
                <w:rFonts w:eastAsia="Times New Roman" w:cs="Times New Roman"/>
                <w:sz w:val="24"/>
                <w:szCs w:val="26"/>
              </w:rPr>
              <w:t>-</w:t>
            </w:r>
          </w:p>
        </w:tc>
      </w:tr>
      <w:tr w:rsidR="00EE1CF5" w14:paraId="6B94748C"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F01047E" w14:textId="77777777" w:rsidR="00EE1CF5" w:rsidRPr="001A2447" w:rsidRDefault="00EE1CF5" w:rsidP="00263AB1">
            <w:pPr>
              <w:rPr>
                <w:rFonts w:eastAsia="Times New Roman" w:cs="Times New Roman"/>
                <w:szCs w:val="26"/>
              </w:rPr>
            </w:pPr>
            <w:r w:rsidRPr="001A2447">
              <w:rPr>
                <w:szCs w:val="26"/>
              </w:rPr>
              <w:t>2000</w:t>
            </w:r>
          </w:p>
        </w:tc>
        <w:tc>
          <w:tcPr>
            <w:tcW w:w="1052" w:type="dxa"/>
            <w:tcBorders>
              <w:top w:val="single" w:sz="4" w:space="0" w:color="auto"/>
              <w:left w:val="nil"/>
              <w:bottom w:val="single" w:sz="4" w:space="0" w:color="auto"/>
              <w:right w:val="nil"/>
            </w:tcBorders>
            <w:shd w:val="clear" w:color="auto" w:fill="auto"/>
            <w:vAlign w:val="bottom"/>
          </w:tcPr>
          <w:p w14:paraId="551620ED"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CFA050E"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0,06056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EA0C593"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2 059,6</w:t>
            </w:r>
          </w:p>
        </w:tc>
        <w:tc>
          <w:tcPr>
            <w:tcW w:w="1843" w:type="dxa"/>
            <w:tcBorders>
              <w:top w:val="single" w:sz="4" w:space="0" w:color="auto"/>
              <w:left w:val="nil"/>
              <w:bottom w:val="single" w:sz="4" w:space="0" w:color="auto"/>
              <w:right w:val="single" w:sz="4" w:space="0" w:color="auto"/>
            </w:tcBorders>
            <w:shd w:val="clear" w:color="auto" w:fill="auto"/>
            <w:vAlign w:val="bottom"/>
          </w:tcPr>
          <w:p w14:paraId="68C869EC"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124 730</w:t>
            </w:r>
          </w:p>
        </w:tc>
      </w:tr>
      <w:tr w:rsidR="00EE1CF5" w14:paraId="5C1862C4"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9481BB1" w14:textId="77777777" w:rsidR="00EE1CF5" w:rsidRPr="001A2447" w:rsidRDefault="00EE1CF5" w:rsidP="00263AB1">
            <w:pPr>
              <w:rPr>
                <w:rFonts w:eastAsia="Times New Roman" w:cs="Times New Roman"/>
                <w:szCs w:val="26"/>
              </w:rPr>
            </w:pPr>
            <w:r w:rsidRPr="001A2447">
              <w:rPr>
                <w:szCs w:val="26"/>
              </w:rPr>
              <w:t>2001</w:t>
            </w:r>
          </w:p>
        </w:tc>
        <w:tc>
          <w:tcPr>
            <w:tcW w:w="1052" w:type="dxa"/>
            <w:tcBorders>
              <w:top w:val="single" w:sz="4" w:space="0" w:color="auto"/>
              <w:left w:val="nil"/>
              <w:bottom w:val="single" w:sz="4" w:space="0" w:color="auto"/>
              <w:right w:val="nil"/>
            </w:tcBorders>
            <w:shd w:val="clear" w:color="auto" w:fill="auto"/>
            <w:vAlign w:val="bottom"/>
          </w:tcPr>
          <w:p w14:paraId="1E5B2075"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8F8E319"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0,06056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F2D1191"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1 751,1</w:t>
            </w:r>
          </w:p>
        </w:tc>
        <w:tc>
          <w:tcPr>
            <w:tcW w:w="1843" w:type="dxa"/>
            <w:tcBorders>
              <w:top w:val="single" w:sz="4" w:space="0" w:color="auto"/>
              <w:left w:val="nil"/>
              <w:bottom w:val="single" w:sz="4" w:space="0" w:color="auto"/>
              <w:right w:val="single" w:sz="4" w:space="0" w:color="auto"/>
            </w:tcBorders>
            <w:shd w:val="clear" w:color="auto" w:fill="auto"/>
            <w:vAlign w:val="bottom"/>
          </w:tcPr>
          <w:p w14:paraId="2F07DF90"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106 044</w:t>
            </w:r>
          </w:p>
        </w:tc>
      </w:tr>
      <w:tr w:rsidR="00EE1CF5" w14:paraId="13D8A767"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E91CFAC" w14:textId="77777777" w:rsidR="00EE1CF5" w:rsidRPr="001A2447" w:rsidRDefault="00EE1CF5" w:rsidP="00263AB1">
            <w:pPr>
              <w:rPr>
                <w:rFonts w:eastAsia="Times New Roman" w:cs="Times New Roman"/>
                <w:szCs w:val="26"/>
              </w:rPr>
            </w:pPr>
            <w:r w:rsidRPr="001A2447">
              <w:rPr>
                <w:szCs w:val="26"/>
              </w:rPr>
              <w:t>2002</w:t>
            </w:r>
          </w:p>
        </w:tc>
        <w:tc>
          <w:tcPr>
            <w:tcW w:w="1052" w:type="dxa"/>
            <w:tcBorders>
              <w:top w:val="single" w:sz="4" w:space="0" w:color="auto"/>
              <w:left w:val="nil"/>
              <w:bottom w:val="single" w:sz="4" w:space="0" w:color="auto"/>
              <w:right w:val="nil"/>
            </w:tcBorders>
            <w:shd w:val="clear" w:color="auto" w:fill="auto"/>
            <w:vAlign w:val="bottom"/>
          </w:tcPr>
          <w:p w14:paraId="2AD8C47D"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8F6C26E"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0,06056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D8DD9B2"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9 737,6</w:t>
            </w:r>
          </w:p>
        </w:tc>
        <w:tc>
          <w:tcPr>
            <w:tcW w:w="1843" w:type="dxa"/>
            <w:tcBorders>
              <w:top w:val="single" w:sz="4" w:space="0" w:color="auto"/>
              <w:left w:val="nil"/>
              <w:bottom w:val="single" w:sz="4" w:space="0" w:color="auto"/>
              <w:right w:val="single" w:sz="4" w:space="0" w:color="auto"/>
            </w:tcBorders>
            <w:shd w:val="clear" w:color="auto" w:fill="auto"/>
            <w:vAlign w:val="bottom"/>
          </w:tcPr>
          <w:p w14:paraId="15E52C14"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589 709</w:t>
            </w:r>
          </w:p>
        </w:tc>
      </w:tr>
      <w:tr w:rsidR="00EE1CF5" w14:paraId="400739F1"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799ACD5E" w14:textId="77777777" w:rsidR="00EE1CF5" w:rsidRPr="001A2447" w:rsidRDefault="00EE1CF5" w:rsidP="00263AB1">
            <w:pPr>
              <w:rPr>
                <w:rFonts w:eastAsia="Times New Roman" w:cs="Times New Roman"/>
                <w:szCs w:val="26"/>
              </w:rPr>
            </w:pPr>
            <w:r w:rsidRPr="001A2447">
              <w:rPr>
                <w:szCs w:val="26"/>
              </w:rPr>
              <w:t>2003</w:t>
            </w:r>
          </w:p>
        </w:tc>
        <w:tc>
          <w:tcPr>
            <w:tcW w:w="1052" w:type="dxa"/>
            <w:tcBorders>
              <w:top w:val="single" w:sz="4" w:space="0" w:color="auto"/>
              <w:left w:val="nil"/>
              <w:bottom w:val="single" w:sz="4" w:space="0" w:color="auto"/>
              <w:right w:val="nil"/>
            </w:tcBorders>
            <w:shd w:val="clear" w:color="auto" w:fill="auto"/>
            <w:vAlign w:val="bottom"/>
          </w:tcPr>
          <w:p w14:paraId="42C57CC5"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D506184"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0,06056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FB9D785"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46 170,1</w:t>
            </w:r>
          </w:p>
        </w:tc>
        <w:tc>
          <w:tcPr>
            <w:tcW w:w="1843" w:type="dxa"/>
            <w:tcBorders>
              <w:top w:val="single" w:sz="4" w:space="0" w:color="auto"/>
              <w:left w:val="nil"/>
              <w:bottom w:val="single" w:sz="4" w:space="0" w:color="auto"/>
              <w:right w:val="single" w:sz="4" w:space="0" w:color="auto"/>
            </w:tcBorders>
            <w:shd w:val="clear" w:color="auto" w:fill="auto"/>
            <w:vAlign w:val="bottom"/>
          </w:tcPr>
          <w:p w14:paraId="178E0FF7"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2 796 063</w:t>
            </w:r>
          </w:p>
        </w:tc>
      </w:tr>
      <w:tr w:rsidR="00EE1CF5" w14:paraId="62AC280F"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7046A9C4" w14:textId="77777777" w:rsidR="00EE1CF5" w:rsidRPr="001A2447" w:rsidRDefault="00EE1CF5" w:rsidP="00263AB1">
            <w:pPr>
              <w:rPr>
                <w:rFonts w:eastAsia="Times New Roman" w:cs="Times New Roman"/>
                <w:szCs w:val="26"/>
              </w:rPr>
            </w:pPr>
            <w:r w:rsidRPr="001A2447">
              <w:rPr>
                <w:szCs w:val="26"/>
              </w:rPr>
              <w:t>2004</w:t>
            </w:r>
          </w:p>
        </w:tc>
        <w:tc>
          <w:tcPr>
            <w:tcW w:w="1052" w:type="dxa"/>
            <w:tcBorders>
              <w:top w:val="single" w:sz="4" w:space="0" w:color="auto"/>
              <w:left w:val="nil"/>
              <w:bottom w:val="single" w:sz="4" w:space="0" w:color="auto"/>
              <w:right w:val="nil"/>
            </w:tcBorders>
            <w:shd w:val="clear" w:color="auto" w:fill="auto"/>
            <w:vAlign w:val="bottom"/>
          </w:tcPr>
          <w:p w14:paraId="61EBAE86"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993414B"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0,06672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13CA255"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46 687,8</w:t>
            </w:r>
          </w:p>
        </w:tc>
        <w:tc>
          <w:tcPr>
            <w:tcW w:w="1843" w:type="dxa"/>
            <w:tcBorders>
              <w:top w:val="single" w:sz="4" w:space="0" w:color="auto"/>
              <w:left w:val="nil"/>
              <w:bottom w:val="single" w:sz="4" w:space="0" w:color="auto"/>
              <w:right w:val="single" w:sz="4" w:space="0" w:color="auto"/>
            </w:tcBorders>
            <w:shd w:val="clear" w:color="auto" w:fill="auto"/>
            <w:vAlign w:val="bottom"/>
          </w:tcPr>
          <w:p w14:paraId="5E2C4050"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3 115 022</w:t>
            </w:r>
          </w:p>
        </w:tc>
      </w:tr>
      <w:tr w:rsidR="00EE1CF5" w14:paraId="5406E675"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0189AFFA" w14:textId="77777777" w:rsidR="00EE1CF5" w:rsidRPr="001A2447" w:rsidRDefault="00EE1CF5" w:rsidP="00263AB1">
            <w:pPr>
              <w:rPr>
                <w:rFonts w:eastAsia="Times New Roman" w:cs="Times New Roman"/>
                <w:szCs w:val="26"/>
              </w:rPr>
            </w:pPr>
            <w:r w:rsidRPr="001A2447">
              <w:rPr>
                <w:szCs w:val="26"/>
              </w:rPr>
              <w:t>2005</w:t>
            </w:r>
          </w:p>
        </w:tc>
        <w:tc>
          <w:tcPr>
            <w:tcW w:w="1052" w:type="dxa"/>
            <w:tcBorders>
              <w:top w:val="single" w:sz="4" w:space="0" w:color="auto"/>
              <w:left w:val="nil"/>
              <w:bottom w:val="single" w:sz="4" w:space="0" w:color="auto"/>
              <w:right w:val="nil"/>
            </w:tcBorders>
            <w:shd w:val="clear" w:color="auto" w:fill="auto"/>
            <w:vAlign w:val="bottom"/>
          </w:tcPr>
          <w:p w14:paraId="1A30CC36"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D16E48C"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0,06870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24AA54A"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44 577,3</w:t>
            </w:r>
          </w:p>
        </w:tc>
        <w:tc>
          <w:tcPr>
            <w:tcW w:w="1843" w:type="dxa"/>
            <w:tcBorders>
              <w:top w:val="single" w:sz="4" w:space="0" w:color="auto"/>
              <w:left w:val="nil"/>
              <w:bottom w:val="single" w:sz="4" w:space="0" w:color="auto"/>
              <w:right w:val="single" w:sz="4" w:space="0" w:color="auto"/>
            </w:tcBorders>
            <w:shd w:val="clear" w:color="auto" w:fill="auto"/>
            <w:vAlign w:val="bottom"/>
          </w:tcPr>
          <w:p w14:paraId="14B3E28D"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3 062 460</w:t>
            </w:r>
          </w:p>
        </w:tc>
      </w:tr>
      <w:tr w:rsidR="00EE1CF5" w14:paraId="468636BC"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7C3E8ED" w14:textId="77777777" w:rsidR="00EE1CF5" w:rsidRPr="001A2447" w:rsidRDefault="00EE1CF5" w:rsidP="00263AB1">
            <w:pPr>
              <w:rPr>
                <w:rFonts w:eastAsia="Times New Roman" w:cs="Times New Roman"/>
                <w:szCs w:val="26"/>
              </w:rPr>
            </w:pPr>
            <w:r w:rsidRPr="001A2447">
              <w:rPr>
                <w:szCs w:val="26"/>
              </w:rPr>
              <w:t>2006</w:t>
            </w:r>
          </w:p>
        </w:tc>
        <w:tc>
          <w:tcPr>
            <w:tcW w:w="1052" w:type="dxa"/>
            <w:tcBorders>
              <w:top w:val="single" w:sz="4" w:space="0" w:color="auto"/>
              <w:left w:val="nil"/>
              <w:bottom w:val="single" w:sz="4" w:space="0" w:color="auto"/>
              <w:right w:val="nil"/>
            </w:tcBorders>
            <w:shd w:val="clear" w:color="auto" w:fill="auto"/>
            <w:vAlign w:val="bottom"/>
          </w:tcPr>
          <w:p w14:paraId="21CB9E72"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1B8A46CB"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0,06870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2CAA93F"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44 313,4</w:t>
            </w:r>
          </w:p>
        </w:tc>
        <w:tc>
          <w:tcPr>
            <w:tcW w:w="1843" w:type="dxa"/>
            <w:tcBorders>
              <w:top w:val="single" w:sz="4" w:space="0" w:color="auto"/>
              <w:left w:val="nil"/>
              <w:bottom w:val="single" w:sz="4" w:space="0" w:color="auto"/>
              <w:right w:val="single" w:sz="4" w:space="0" w:color="auto"/>
            </w:tcBorders>
            <w:shd w:val="clear" w:color="auto" w:fill="auto"/>
            <w:vAlign w:val="bottom"/>
          </w:tcPr>
          <w:p w14:paraId="53CBA503"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3 044 331</w:t>
            </w:r>
          </w:p>
        </w:tc>
      </w:tr>
    </w:tbl>
    <w:p w14:paraId="25EEB18D" w14:textId="77777777" w:rsidR="00EE1CF5" w:rsidRDefault="00EE1CF5" w:rsidP="00EE1CF5">
      <w:pPr>
        <w:ind w:firstLine="720"/>
        <w:rPr>
          <w:i/>
          <w:iCs/>
          <w:szCs w:val="26"/>
        </w:rPr>
      </w:pPr>
      <w:r w:rsidRPr="001A2447">
        <w:rPr>
          <w:i/>
          <w:iCs/>
          <w:szCs w:val="26"/>
        </w:rPr>
        <w:t>Avots:</w:t>
      </w:r>
      <w:r w:rsidRPr="001A2447">
        <w:rPr>
          <w:rFonts w:eastAsia="Times New Roman" w:cs="Times New Roman"/>
          <w:i/>
          <w:iCs/>
          <w:szCs w:val="26"/>
        </w:rPr>
        <w:t xml:space="preserve"> </w:t>
      </w:r>
      <w:r w:rsidRPr="001A2447">
        <w:rPr>
          <w:i/>
          <w:iCs/>
          <w:szCs w:val="26"/>
        </w:rPr>
        <w:t>AS “Latvenergo”</w:t>
      </w:r>
    </w:p>
    <w:p w14:paraId="511E2D3D" w14:textId="77777777" w:rsidR="00EE1CF5" w:rsidRDefault="00EE1CF5" w:rsidP="00EE1CF5">
      <w:pPr>
        <w:ind w:firstLine="720"/>
        <w:rPr>
          <w:rFonts w:eastAsia="Times New Roman" w:cs="Times New Roman"/>
          <w:i/>
          <w:iCs/>
          <w:szCs w:val="26"/>
        </w:rPr>
      </w:pPr>
    </w:p>
    <w:p w14:paraId="0DBA4DC9" w14:textId="77777777" w:rsidR="00EE1CF5" w:rsidRDefault="00EE1CF5" w:rsidP="00EE1CF5">
      <w:pPr>
        <w:jc w:val="left"/>
        <w:rPr>
          <w:rFonts w:eastAsia="Times New Roman" w:cs="Times New Roman"/>
          <w:i/>
          <w:iCs/>
          <w:color w:val="000000"/>
          <w:szCs w:val="26"/>
        </w:rPr>
      </w:pPr>
      <w:r>
        <w:rPr>
          <w:rFonts w:eastAsia="Times New Roman" w:cs="Times New Roman"/>
          <w:i/>
          <w:iCs/>
          <w:color w:val="000000"/>
          <w:szCs w:val="26"/>
        </w:rPr>
        <w:br w:type="page"/>
      </w:r>
    </w:p>
    <w:p w14:paraId="3F46DC94" w14:textId="77777777" w:rsidR="00EE1CF5" w:rsidRPr="00163319" w:rsidRDefault="00EE1CF5" w:rsidP="00EE1CF5">
      <w:pPr>
        <w:keepNext/>
        <w:widowControl w:val="0"/>
        <w:adjustRightInd w:val="0"/>
        <w:spacing w:before="120" w:after="60"/>
        <w:ind w:firstLine="720"/>
        <w:jc w:val="right"/>
        <w:textAlignment w:val="baseline"/>
        <w:rPr>
          <w:rFonts w:eastAsia="Times New Roman" w:cs="Times New Roman"/>
          <w:i/>
          <w:iCs/>
          <w:color w:val="000000"/>
          <w:szCs w:val="26"/>
          <w:vertAlign w:val="superscript"/>
        </w:rPr>
      </w:pPr>
      <w:r>
        <w:rPr>
          <w:rFonts w:eastAsia="Times New Roman" w:cs="Times New Roman"/>
          <w:i/>
          <w:iCs/>
          <w:color w:val="000000"/>
          <w:szCs w:val="26"/>
        </w:rPr>
        <w:lastRenderedPageBreak/>
        <w:t>10.t</w:t>
      </w:r>
      <w:r w:rsidRPr="001A2447">
        <w:rPr>
          <w:rFonts w:eastAsia="Times New Roman" w:cs="Times New Roman"/>
          <w:i/>
          <w:iCs/>
          <w:color w:val="000000"/>
          <w:szCs w:val="26"/>
        </w:rPr>
        <w:t>abula</w:t>
      </w:r>
    </w:p>
    <w:p w14:paraId="1C88FB53" w14:textId="77777777" w:rsidR="00EE1CF5" w:rsidRPr="00163319" w:rsidRDefault="00EE1CF5" w:rsidP="00EE1CF5">
      <w:pPr>
        <w:jc w:val="center"/>
        <w:rPr>
          <w:b/>
          <w:szCs w:val="26"/>
          <w:vertAlign w:val="superscript"/>
        </w:rPr>
      </w:pPr>
      <w:r w:rsidRPr="001A2447">
        <w:rPr>
          <w:b/>
          <w:szCs w:val="26"/>
        </w:rPr>
        <w:t>V</w:t>
      </w:r>
      <w:r>
        <w:rPr>
          <w:b/>
          <w:szCs w:val="26"/>
        </w:rPr>
        <w:t>ēsturiski izmaksātās summas dabasgāzes koģenerācijas stacijām</w:t>
      </w:r>
      <w:r w:rsidRPr="001A2447">
        <w:rPr>
          <w:b/>
          <w:szCs w:val="26"/>
        </w:rPr>
        <w:t xml:space="preserve"> pirms OI mehānisma</w:t>
      </w:r>
      <w:r>
        <w:rPr>
          <w:b/>
          <w:szCs w:val="26"/>
          <w:vertAlign w:val="superscript"/>
        </w:rPr>
        <w:t>23</w:t>
      </w:r>
    </w:p>
    <w:p w14:paraId="4E1E65A9" w14:textId="77777777" w:rsidR="00EE1CF5" w:rsidRDefault="00EE1CF5" w:rsidP="00EE1CF5">
      <w:pPr>
        <w:ind w:firstLine="720"/>
        <w:rPr>
          <w:rFonts w:eastAsia="Times New Roman" w:cs="Times New Roman"/>
          <w:szCs w:val="26"/>
        </w:rPr>
      </w:pPr>
    </w:p>
    <w:tbl>
      <w:tblPr>
        <w:tblStyle w:val="GridTable1Ligh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37"/>
        <w:gridCol w:w="1052"/>
        <w:gridCol w:w="1842"/>
        <w:gridCol w:w="1418"/>
        <w:gridCol w:w="1843"/>
      </w:tblGrid>
      <w:tr w:rsidR="00EE1CF5" w14:paraId="16E8842C" w14:textId="77777777" w:rsidTr="00263A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7F2EDB4F" w14:textId="77777777" w:rsidR="00EE1CF5" w:rsidRPr="001A2447" w:rsidRDefault="00EE1CF5" w:rsidP="00263AB1">
            <w:pPr>
              <w:jc w:val="center"/>
              <w:rPr>
                <w:rFonts w:eastAsia="Times New Roman" w:cs="Times New Roman"/>
                <w:szCs w:val="26"/>
              </w:rPr>
            </w:pPr>
            <w:r w:rsidRPr="001A2447">
              <w:rPr>
                <w:szCs w:val="26"/>
              </w:rPr>
              <w:t>Periods</w:t>
            </w:r>
          </w:p>
        </w:tc>
        <w:tc>
          <w:tcPr>
            <w:tcW w:w="1052" w:type="dxa"/>
            <w:tcBorders>
              <w:bottom w:val="single" w:sz="4" w:space="0" w:color="auto"/>
            </w:tcBorders>
            <w:vAlign w:val="center"/>
          </w:tcPr>
          <w:p w14:paraId="43A05A83"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Skaits gab.</w:t>
            </w:r>
          </w:p>
        </w:tc>
        <w:tc>
          <w:tcPr>
            <w:tcW w:w="1842" w:type="dxa"/>
            <w:tcBorders>
              <w:bottom w:val="single" w:sz="4" w:space="0" w:color="auto"/>
            </w:tcBorders>
            <w:vAlign w:val="center"/>
          </w:tcPr>
          <w:p w14:paraId="79BD3452"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Vidējais</w:t>
            </w:r>
            <w:r w:rsidRPr="001A2447">
              <w:rPr>
                <w:rFonts w:eastAsia="Times New Roman" w:cs="Times New Roman"/>
                <w:szCs w:val="26"/>
              </w:rPr>
              <w:t xml:space="preserve"> </w:t>
            </w:r>
            <w:r w:rsidRPr="001A2447">
              <w:rPr>
                <w:szCs w:val="26"/>
              </w:rPr>
              <w:t>svērtais</w:t>
            </w:r>
          </w:p>
          <w:p w14:paraId="6A8D1ABC"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tarifs</w:t>
            </w:r>
          </w:p>
          <w:p w14:paraId="42477C55"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(Ls/kWh)</w:t>
            </w:r>
          </w:p>
        </w:tc>
        <w:tc>
          <w:tcPr>
            <w:tcW w:w="1418" w:type="dxa"/>
            <w:tcBorders>
              <w:bottom w:val="single" w:sz="4" w:space="0" w:color="auto"/>
            </w:tcBorders>
            <w:vAlign w:val="center"/>
          </w:tcPr>
          <w:p w14:paraId="4B79A125"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Nodotais apjoms (MWh)</w:t>
            </w:r>
          </w:p>
        </w:tc>
        <w:tc>
          <w:tcPr>
            <w:tcW w:w="1843" w:type="dxa"/>
            <w:tcBorders>
              <w:bottom w:val="single" w:sz="4" w:space="0" w:color="auto"/>
            </w:tcBorders>
            <w:vAlign w:val="center"/>
          </w:tcPr>
          <w:p w14:paraId="1427E13C"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Summa</w:t>
            </w:r>
          </w:p>
          <w:p w14:paraId="58F877A3"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(bez PVN Ls)</w:t>
            </w:r>
          </w:p>
          <w:p w14:paraId="4F1294EF"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cs="Times New Roman"/>
                <w:szCs w:val="26"/>
              </w:rPr>
            </w:pPr>
          </w:p>
        </w:tc>
      </w:tr>
      <w:tr w:rsidR="00EE1CF5" w14:paraId="234BCD12"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71233C4F" w14:textId="77777777" w:rsidR="00EE1CF5" w:rsidRPr="001A2447" w:rsidRDefault="00EE1CF5" w:rsidP="00263AB1">
            <w:pPr>
              <w:rPr>
                <w:rFonts w:eastAsia="Times New Roman" w:cs="Times New Roman"/>
                <w:szCs w:val="26"/>
              </w:rPr>
            </w:pPr>
            <w:r w:rsidRPr="001A2447">
              <w:rPr>
                <w:szCs w:val="26"/>
              </w:rPr>
              <w:t>1997</w:t>
            </w:r>
          </w:p>
        </w:tc>
        <w:tc>
          <w:tcPr>
            <w:tcW w:w="1052" w:type="dxa"/>
            <w:tcBorders>
              <w:top w:val="single" w:sz="4" w:space="0" w:color="auto"/>
              <w:left w:val="nil"/>
              <w:bottom w:val="single" w:sz="4" w:space="0" w:color="auto"/>
              <w:right w:val="nil"/>
            </w:tcBorders>
            <w:shd w:val="clear" w:color="auto" w:fill="auto"/>
            <w:vAlign w:val="bottom"/>
          </w:tcPr>
          <w:p w14:paraId="6FCDA8F8"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FD81F1D"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0,04426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12E8076"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35 896,3</w:t>
            </w:r>
          </w:p>
        </w:tc>
        <w:tc>
          <w:tcPr>
            <w:tcW w:w="1843" w:type="dxa"/>
            <w:tcBorders>
              <w:top w:val="single" w:sz="4" w:space="0" w:color="auto"/>
              <w:left w:val="nil"/>
              <w:bottom w:val="single" w:sz="4" w:space="0" w:color="auto"/>
              <w:right w:val="single" w:sz="4" w:space="0" w:color="auto"/>
            </w:tcBorders>
            <w:shd w:val="clear" w:color="auto" w:fill="auto"/>
            <w:vAlign w:val="bottom"/>
          </w:tcPr>
          <w:p w14:paraId="50032268"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1 588 899</w:t>
            </w:r>
          </w:p>
        </w:tc>
      </w:tr>
      <w:tr w:rsidR="00EE1CF5" w14:paraId="43634FC0"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E06E47C" w14:textId="77777777" w:rsidR="00EE1CF5" w:rsidRPr="001A2447" w:rsidRDefault="00EE1CF5" w:rsidP="00263AB1">
            <w:pPr>
              <w:rPr>
                <w:rFonts w:eastAsia="Times New Roman" w:cs="Times New Roman"/>
                <w:szCs w:val="26"/>
              </w:rPr>
            </w:pPr>
            <w:r w:rsidRPr="001A2447">
              <w:rPr>
                <w:szCs w:val="26"/>
              </w:rPr>
              <w:t>1998</w:t>
            </w:r>
          </w:p>
        </w:tc>
        <w:tc>
          <w:tcPr>
            <w:tcW w:w="1052" w:type="dxa"/>
            <w:tcBorders>
              <w:top w:val="single" w:sz="4" w:space="0" w:color="auto"/>
              <w:left w:val="nil"/>
              <w:bottom w:val="single" w:sz="4" w:space="0" w:color="auto"/>
              <w:right w:val="nil"/>
            </w:tcBorders>
            <w:shd w:val="clear" w:color="auto" w:fill="auto"/>
            <w:vAlign w:val="bottom"/>
          </w:tcPr>
          <w:p w14:paraId="597844AF"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75EFCD08"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0,05379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B99957C"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50 729,9</w:t>
            </w:r>
          </w:p>
        </w:tc>
        <w:tc>
          <w:tcPr>
            <w:tcW w:w="1843" w:type="dxa"/>
            <w:tcBorders>
              <w:top w:val="single" w:sz="4" w:space="0" w:color="auto"/>
              <w:left w:val="nil"/>
              <w:bottom w:val="single" w:sz="4" w:space="0" w:color="auto"/>
              <w:right w:val="single" w:sz="4" w:space="0" w:color="auto"/>
            </w:tcBorders>
            <w:shd w:val="clear" w:color="auto" w:fill="auto"/>
            <w:vAlign w:val="bottom"/>
          </w:tcPr>
          <w:p w14:paraId="1E0866FA"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2 728 798</w:t>
            </w:r>
          </w:p>
        </w:tc>
      </w:tr>
      <w:tr w:rsidR="00EE1CF5" w14:paraId="2A1C3817"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3F744CD" w14:textId="77777777" w:rsidR="00EE1CF5" w:rsidRPr="001A2447" w:rsidRDefault="00EE1CF5" w:rsidP="00263AB1">
            <w:pPr>
              <w:rPr>
                <w:rFonts w:eastAsia="Times New Roman" w:cs="Times New Roman"/>
                <w:szCs w:val="26"/>
              </w:rPr>
            </w:pPr>
            <w:r w:rsidRPr="001A2447">
              <w:rPr>
                <w:szCs w:val="26"/>
              </w:rPr>
              <w:t>1999</w:t>
            </w:r>
          </w:p>
        </w:tc>
        <w:tc>
          <w:tcPr>
            <w:tcW w:w="1052" w:type="dxa"/>
            <w:tcBorders>
              <w:top w:val="single" w:sz="4" w:space="0" w:color="auto"/>
              <w:left w:val="nil"/>
              <w:bottom w:val="single" w:sz="4" w:space="0" w:color="auto"/>
              <w:right w:val="nil"/>
            </w:tcBorders>
            <w:shd w:val="clear" w:color="auto" w:fill="auto"/>
            <w:vAlign w:val="bottom"/>
          </w:tcPr>
          <w:p w14:paraId="50175453"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A0AC48D"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0,04800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A232B3D"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63 296,8</w:t>
            </w:r>
          </w:p>
        </w:tc>
        <w:tc>
          <w:tcPr>
            <w:tcW w:w="1843" w:type="dxa"/>
            <w:tcBorders>
              <w:top w:val="single" w:sz="4" w:space="0" w:color="auto"/>
              <w:left w:val="nil"/>
              <w:bottom w:val="single" w:sz="4" w:space="0" w:color="auto"/>
              <w:right w:val="single" w:sz="4" w:space="0" w:color="auto"/>
            </w:tcBorders>
            <w:shd w:val="clear" w:color="auto" w:fill="auto"/>
            <w:vAlign w:val="bottom"/>
          </w:tcPr>
          <w:p w14:paraId="323EB115"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3 038 269</w:t>
            </w:r>
          </w:p>
        </w:tc>
      </w:tr>
      <w:tr w:rsidR="00EE1CF5" w14:paraId="5B03D5F3"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17A08C72" w14:textId="77777777" w:rsidR="00EE1CF5" w:rsidRPr="001A2447" w:rsidRDefault="00EE1CF5" w:rsidP="00263AB1">
            <w:pPr>
              <w:rPr>
                <w:rFonts w:eastAsia="Times New Roman" w:cs="Times New Roman"/>
                <w:szCs w:val="26"/>
              </w:rPr>
            </w:pPr>
            <w:r w:rsidRPr="001A2447">
              <w:rPr>
                <w:szCs w:val="26"/>
              </w:rPr>
              <w:t>2000</w:t>
            </w:r>
          </w:p>
        </w:tc>
        <w:tc>
          <w:tcPr>
            <w:tcW w:w="1052" w:type="dxa"/>
            <w:tcBorders>
              <w:top w:val="single" w:sz="4" w:space="0" w:color="auto"/>
              <w:left w:val="nil"/>
              <w:bottom w:val="single" w:sz="4" w:space="0" w:color="auto"/>
              <w:right w:val="nil"/>
            </w:tcBorders>
            <w:shd w:val="clear" w:color="auto" w:fill="auto"/>
            <w:vAlign w:val="bottom"/>
          </w:tcPr>
          <w:p w14:paraId="0538ACD6"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A4B42CA"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0,04293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44E304C"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100 435,7</w:t>
            </w:r>
          </w:p>
        </w:tc>
        <w:tc>
          <w:tcPr>
            <w:tcW w:w="1843" w:type="dxa"/>
            <w:tcBorders>
              <w:top w:val="single" w:sz="4" w:space="0" w:color="auto"/>
              <w:left w:val="nil"/>
              <w:bottom w:val="single" w:sz="4" w:space="0" w:color="auto"/>
              <w:right w:val="single" w:sz="4" w:space="0" w:color="auto"/>
            </w:tcBorders>
            <w:shd w:val="clear" w:color="auto" w:fill="auto"/>
            <w:vAlign w:val="bottom"/>
          </w:tcPr>
          <w:p w14:paraId="269FC98C"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4 311 236</w:t>
            </w:r>
          </w:p>
        </w:tc>
      </w:tr>
      <w:tr w:rsidR="00EE1CF5" w14:paraId="64063300"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D33C02A" w14:textId="77777777" w:rsidR="00EE1CF5" w:rsidRPr="001A2447" w:rsidRDefault="00EE1CF5" w:rsidP="00263AB1">
            <w:pPr>
              <w:rPr>
                <w:rFonts w:eastAsia="Times New Roman" w:cs="Times New Roman"/>
                <w:szCs w:val="26"/>
              </w:rPr>
            </w:pPr>
            <w:r w:rsidRPr="001A2447">
              <w:rPr>
                <w:szCs w:val="26"/>
              </w:rPr>
              <w:t>2001</w:t>
            </w:r>
          </w:p>
        </w:tc>
        <w:tc>
          <w:tcPr>
            <w:tcW w:w="1052" w:type="dxa"/>
            <w:tcBorders>
              <w:top w:val="single" w:sz="4" w:space="0" w:color="auto"/>
              <w:left w:val="nil"/>
              <w:bottom w:val="single" w:sz="4" w:space="0" w:color="auto"/>
              <w:right w:val="nil"/>
            </w:tcBorders>
            <w:shd w:val="clear" w:color="auto" w:fill="auto"/>
            <w:vAlign w:val="bottom"/>
          </w:tcPr>
          <w:p w14:paraId="055FF2E3"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CF5A9F5"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0,04528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785FE63"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128 703,7</w:t>
            </w:r>
          </w:p>
        </w:tc>
        <w:tc>
          <w:tcPr>
            <w:tcW w:w="1843" w:type="dxa"/>
            <w:tcBorders>
              <w:top w:val="single" w:sz="4" w:space="0" w:color="auto"/>
              <w:left w:val="nil"/>
              <w:bottom w:val="single" w:sz="4" w:space="0" w:color="auto"/>
              <w:right w:val="single" w:sz="4" w:space="0" w:color="auto"/>
            </w:tcBorders>
            <w:shd w:val="clear" w:color="auto" w:fill="auto"/>
            <w:vAlign w:val="bottom"/>
          </w:tcPr>
          <w:p w14:paraId="3A7CE266"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5 827 802</w:t>
            </w:r>
          </w:p>
        </w:tc>
      </w:tr>
      <w:tr w:rsidR="00EE1CF5" w14:paraId="2A2EF639"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CDF7FEF" w14:textId="77777777" w:rsidR="00EE1CF5" w:rsidRPr="001A2447" w:rsidRDefault="00EE1CF5" w:rsidP="00263AB1">
            <w:pPr>
              <w:rPr>
                <w:rFonts w:eastAsia="Times New Roman" w:cs="Times New Roman"/>
                <w:szCs w:val="26"/>
              </w:rPr>
            </w:pPr>
            <w:r w:rsidRPr="001A2447">
              <w:rPr>
                <w:szCs w:val="26"/>
              </w:rPr>
              <w:t>2002</w:t>
            </w:r>
          </w:p>
        </w:tc>
        <w:tc>
          <w:tcPr>
            <w:tcW w:w="1052" w:type="dxa"/>
            <w:tcBorders>
              <w:top w:val="single" w:sz="4" w:space="0" w:color="auto"/>
              <w:left w:val="nil"/>
              <w:bottom w:val="single" w:sz="4" w:space="0" w:color="auto"/>
              <w:right w:val="nil"/>
            </w:tcBorders>
            <w:shd w:val="clear" w:color="auto" w:fill="auto"/>
            <w:vAlign w:val="bottom"/>
          </w:tcPr>
          <w:p w14:paraId="053BD41C"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25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344F94E"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0,04456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81D1BF2"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185 255,3</w:t>
            </w:r>
          </w:p>
        </w:tc>
        <w:tc>
          <w:tcPr>
            <w:tcW w:w="1843" w:type="dxa"/>
            <w:tcBorders>
              <w:top w:val="single" w:sz="4" w:space="0" w:color="auto"/>
              <w:left w:val="nil"/>
              <w:bottom w:val="single" w:sz="4" w:space="0" w:color="auto"/>
              <w:right w:val="single" w:sz="4" w:space="0" w:color="auto"/>
            </w:tcBorders>
            <w:shd w:val="clear" w:color="auto" w:fill="auto"/>
            <w:vAlign w:val="bottom"/>
          </w:tcPr>
          <w:p w14:paraId="3FC6015C"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8 254 576</w:t>
            </w:r>
          </w:p>
        </w:tc>
      </w:tr>
      <w:tr w:rsidR="00EE1CF5" w14:paraId="711FD4F3"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66A8AD57" w14:textId="77777777" w:rsidR="00EE1CF5" w:rsidRPr="001A2447" w:rsidRDefault="00EE1CF5" w:rsidP="00263AB1">
            <w:pPr>
              <w:rPr>
                <w:rFonts w:eastAsia="Times New Roman" w:cs="Times New Roman"/>
                <w:szCs w:val="26"/>
              </w:rPr>
            </w:pPr>
            <w:r w:rsidRPr="001A2447">
              <w:rPr>
                <w:szCs w:val="26"/>
              </w:rPr>
              <w:t>2003</w:t>
            </w:r>
          </w:p>
        </w:tc>
        <w:tc>
          <w:tcPr>
            <w:tcW w:w="1052" w:type="dxa"/>
            <w:tcBorders>
              <w:top w:val="single" w:sz="4" w:space="0" w:color="auto"/>
              <w:left w:val="nil"/>
              <w:bottom w:val="single" w:sz="4" w:space="0" w:color="auto"/>
              <w:right w:val="nil"/>
            </w:tcBorders>
            <w:shd w:val="clear" w:color="auto" w:fill="auto"/>
            <w:vAlign w:val="bottom"/>
          </w:tcPr>
          <w:p w14:paraId="700ECB21"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38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29399BE"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0,02455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37DBF19"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1 293 773,1</w:t>
            </w:r>
          </w:p>
        </w:tc>
        <w:tc>
          <w:tcPr>
            <w:tcW w:w="1843" w:type="dxa"/>
            <w:tcBorders>
              <w:top w:val="single" w:sz="4" w:space="0" w:color="auto"/>
              <w:left w:val="nil"/>
              <w:bottom w:val="single" w:sz="4" w:space="0" w:color="auto"/>
              <w:right w:val="single" w:sz="4" w:space="0" w:color="auto"/>
            </w:tcBorders>
            <w:shd w:val="clear" w:color="auto" w:fill="auto"/>
            <w:vAlign w:val="bottom"/>
          </w:tcPr>
          <w:p w14:paraId="3A192150"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31 766 527</w:t>
            </w:r>
          </w:p>
        </w:tc>
      </w:tr>
      <w:tr w:rsidR="00EE1CF5" w14:paraId="7D8C3C2A"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6D3954C7" w14:textId="77777777" w:rsidR="00EE1CF5" w:rsidRPr="001A2447" w:rsidRDefault="00EE1CF5" w:rsidP="00263AB1">
            <w:pPr>
              <w:rPr>
                <w:rFonts w:eastAsia="Times New Roman" w:cs="Times New Roman"/>
                <w:szCs w:val="26"/>
              </w:rPr>
            </w:pPr>
            <w:r w:rsidRPr="001A2447">
              <w:rPr>
                <w:szCs w:val="26"/>
              </w:rPr>
              <w:t>2004</w:t>
            </w:r>
          </w:p>
        </w:tc>
        <w:tc>
          <w:tcPr>
            <w:tcW w:w="1052" w:type="dxa"/>
            <w:tcBorders>
              <w:top w:val="single" w:sz="4" w:space="0" w:color="auto"/>
              <w:left w:val="nil"/>
              <w:bottom w:val="single" w:sz="4" w:space="0" w:color="auto"/>
              <w:right w:val="nil"/>
            </w:tcBorders>
            <w:shd w:val="clear" w:color="auto" w:fill="auto"/>
            <w:vAlign w:val="bottom"/>
          </w:tcPr>
          <w:p w14:paraId="4B7642B7"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38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12EA3A07"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0,02568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EC0E653"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1 292 421,3</w:t>
            </w:r>
          </w:p>
        </w:tc>
        <w:tc>
          <w:tcPr>
            <w:tcW w:w="1843" w:type="dxa"/>
            <w:tcBorders>
              <w:top w:val="single" w:sz="4" w:space="0" w:color="auto"/>
              <w:left w:val="nil"/>
              <w:bottom w:val="single" w:sz="4" w:space="0" w:color="auto"/>
              <w:right w:val="single" w:sz="4" w:space="0" w:color="auto"/>
            </w:tcBorders>
            <w:shd w:val="clear" w:color="auto" w:fill="auto"/>
            <w:vAlign w:val="bottom"/>
          </w:tcPr>
          <w:p w14:paraId="0950D872"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33 190 625</w:t>
            </w:r>
          </w:p>
        </w:tc>
      </w:tr>
      <w:tr w:rsidR="00EE1CF5" w14:paraId="06382C27"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07ED24A7" w14:textId="77777777" w:rsidR="00EE1CF5" w:rsidRPr="001A2447" w:rsidRDefault="00EE1CF5" w:rsidP="00263AB1">
            <w:pPr>
              <w:rPr>
                <w:rFonts w:eastAsia="Times New Roman" w:cs="Times New Roman"/>
                <w:szCs w:val="26"/>
              </w:rPr>
            </w:pPr>
            <w:r w:rsidRPr="001A2447">
              <w:rPr>
                <w:szCs w:val="26"/>
              </w:rPr>
              <w:t>2005</w:t>
            </w:r>
          </w:p>
        </w:tc>
        <w:tc>
          <w:tcPr>
            <w:tcW w:w="1052" w:type="dxa"/>
            <w:tcBorders>
              <w:top w:val="single" w:sz="4" w:space="0" w:color="auto"/>
              <w:left w:val="nil"/>
              <w:bottom w:val="single" w:sz="4" w:space="0" w:color="auto"/>
              <w:right w:val="nil"/>
            </w:tcBorders>
            <w:shd w:val="clear" w:color="auto" w:fill="auto"/>
            <w:vAlign w:val="bottom"/>
          </w:tcPr>
          <w:p w14:paraId="2FA3C4DB"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n/d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8C3C327"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0,02760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9226E7B"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1 886 232,0</w:t>
            </w:r>
          </w:p>
        </w:tc>
        <w:tc>
          <w:tcPr>
            <w:tcW w:w="1843" w:type="dxa"/>
            <w:tcBorders>
              <w:top w:val="single" w:sz="4" w:space="0" w:color="auto"/>
              <w:left w:val="nil"/>
              <w:bottom w:val="single" w:sz="4" w:space="0" w:color="auto"/>
              <w:right w:val="single" w:sz="4" w:space="0" w:color="auto"/>
            </w:tcBorders>
            <w:shd w:val="clear" w:color="auto" w:fill="auto"/>
            <w:vAlign w:val="bottom"/>
          </w:tcPr>
          <w:p w14:paraId="48F5512E"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52 062 200</w:t>
            </w:r>
          </w:p>
        </w:tc>
      </w:tr>
      <w:tr w:rsidR="00EE1CF5" w14:paraId="3F9BBA32"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40290DC" w14:textId="77777777" w:rsidR="00EE1CF5" w:rsidRPr="001A2447" w:rsidRDefault="00EE1CF5" w:rsidP="00263AB1">
            <w:pPr>
              <w:rPr>
                <w:rFonts w:eastAsia="Times New Roman" w:cs="Times New Roman"/>
                <w:szCs w:val="26"/>
              </w:rPr>
            </w:pPr>
            <w:r w:rsidRPr="001A2447">
              <w:rPr>
                <w:szCs w:val="26"/>
              </w:rPr>
              <w:t>2006</w:t>
            </w:r>
          </w:p>
        </w:tc>
        <w:tc>
          <w:tcPr>
            <w:tcW w:w="1052" w:type="dxa"/>
            <w:tcBorders>
              <w:top w:val="single" w:sz="4" w:space="0" w:color="auto"/>
              <w:left w:val="nil"/>
              <w:bottom w:val="single" w:sz="4" w:space="0" w:color="auto"/>
              <w:right w:val="nil"/>
            </w:tcBorders>
            <w:shd w:val="clear" w:color="auto" w:fill="auto"/>
            <w:vAlign w:val="bottom"/>
          </w:tcPr>
          <w:p w14:paraId="617C26B4"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34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72E5BEF9"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0,03709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2DC52C3"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1 749 065,4</w:t>
            </w:r>
          </w:p>
        </w:tc>
        <w:tc>
          <w:tcPr>
            <w:tcW w:w="1843" w:type="dxa"/>
            <w:tcBorders>
              <w:top w:val="single" w:sz="4" w:space="0" w:color="auto"/>
              <w:left w:val="nil"/>
              <w:bottom w:val="single" w:sz="4" w:space="0" w:color="auto"/>
              <w:right w:val="single" w:sz="4" w:space="0" w:color="auto"/>
            </w:tcBorders>
            <w:shd w:val="clear" w:color="auto" w:fill="auto"/>
            <w:vAlign w:val="bottom"/>
          </w:tcPr>
          <w:p w14:paraId="095FE9DF"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031E64">
              <w:rPr>
                <w:sz w:val="24"/>
                <w:szCs w:val="20"/>
              </w:rPr>
              <w:t>64 875 361</w:t>
            </w:r>
          </w:p>
        </w:tc>
      </w:tr>
    </w:tbl>
    <w:p w14:paraId="5442F41E" w14:textId="77777777" w:rsidR="00EE1CF5" w:rsidRDefault="00EE1CF5" w:rsidP="00EE1CF5">
      <w:pPr>
        <w:ind w:firstLine="720"/>
        <w:rPr>
          <w:i/>
          <w:iCs/>
          <w:szCs w:val="26"/>
        </w:rPr>
      </w:pPr>
      <w:r w:rsidRPr="001A2447">
        <w:rPr>
          <w:i/>
          <w:iCs/>
          <w:szCs w:val="26"/>
        </w:rPr>
        <w:t>Avots:</w:t>
      </w:r>
      <w:r w:rsidRPr="001A2447">
        <w:rPr>
          <w:rFonts w:eastAsia="Times New Roman" w:cs="Times New Roman"/>
          <w:i/>
          <w:iCs/>
          <w:szCs w:val="26"/>
        </w:rPr>
        <w:t xml:space="preserve"> </w:t>
      </w:r>
      <w:r w:rsidRPr="001A2447">
        <w:rPr>
          <w:i/>
          <w:iCs/>
          <w:szCs w:val="26"/>
        </w:rPr>
        <w:t>AS “Latvenergo”</w:t>
      </w:r>
    </w:p>
    <w:p w14:paraId="279C0894" w14:textId="77777777" w:rsidR="00EE1CF5" w:rsidRDefault="00EE1CF5" w:rsidP="00EE1CF5">
      <w:pPr>
        <w:ind w:firstLine="720"/>
      </w:pPr>
      <w:r>
        <w:fldChar w:fldCharType="begin"/>
      </w:r>
      <w:r>
        <w:instrText xml:space="preserve"> LINK Excel.Sheet.8 "\\\\fls5\\Energetika\\Ilgtspējīgas enerģētikas politikas departaments\\Līga\\OIK\\OIK darba grupa\\KZ\\Info pieprasījumi\\OI (1997-2006)_no Kristapa.xls" "NER pa gadiem!R5C2:R18C7" \a \f 4 \h  \* MERGEFORMAT </w:instrText>
      </w:r>
      <w:r>
        <w:fldChar w:fldCharType="separate"/>
      </w:r>
    </w:p>
    <w:p w14:paraId="2801DBE6" w14:textId="77777777" w:rsidR="00EE1CF5" w:rsidRPr="001A2447" w:rsidRDefault="00EE1CF5" w:rsidP="00EE1CF5">
      <w:pPr>
        <w:keepNext/>
        <w:widowControl w:val="0"/>
        <w:adjustRightInd w:val="0"/>
        <w:spacing w:before="120" w:after="60"/>
        <w:ind w:firstLine="720"/>
        <w:jc w:val="right"/>
        <w:textAlignment w:val="baseline"/>
        <w:rPr>
          <w:rFonts w:eastAsia="Times New Roman" w:cs="Times New Roman"/>
          <w:i/>
          <w:iCs/>
          <w:color w:val="000000"/>
          <w:szCs w:val="26"/>
        </w:rPr>
      </w:pPr>
      <w:r>
        <w:rPr>
          <w:rFonts w:eastAsia="Times New Roman" w:cs="Times New Roman"/>
          <w:szCs w:val="26"/>
        </w:rPr>
        <w:fldChar w:fldCharType="end"/>
      </w:r>
      <w:r>
        <w:rPr>
          <w:rFonts w:eastAsia="Times New Roman" w:cs="Times New Roman"/>
          <w:i/>
          <w:iCs/>
          <w:color w:val="000000"/>
          <w:szCs w:val="26"/>
        </w:rPr>
        <w:t>11.t</w:t>
      </w:r>
      <w:r w:rsidRPr="001A2447">
        <w:rPr>
          <w:rFonts w:eastAsia="Times New Roman" w:cs="Times New Roman"/>
          <w:i/>
          <w:iCs/>
          <w:color w:val="000000"/>
          <w:szCs w:val="26"/>
        </w:rPr>
        <w:t>abula</w:t>
      </w:r>
    </w:p>
    <w:p w14:paraId="6A5DE0FE" w14:textId="77777777" w:rsidR="00EE1CF5" w:rsidRPr="00163319" w:rsidRDefault="00EE1CF5" w:rsidP="00EE1CF5">
      <w:pPr>
        <w:jc w:val="center"/>
        <w:rPr>
          <w:b/>
          <w:szCs w:val="26"/>
          <w:vertAlign w:val="superscript"/>
        </w:rPr>
      </w:pPr>
      <w:r w:rsidRPr="001A2447">
        <w:rPr>
          <w:b/>
          <w:szCs w:val="26"/>
        </w:rPr>
        <w:t>V</w:t>
      </w:r>
      <w:r>
        <w:rPr>
          <w:b/>
          <w:szCs w:val="26"/>
        </w:rPr>
        <w:t>ēsturiski izmaksātās summas biokoģenerācijas stacijām</w:t>
      </w:r>
      <w:r w:rsidRPr="001A2447">
        <w:rPr>
          <w:b/>
          <w:szCs w:val="26"/>
        </w:rPr>
        <w:t xml:space="preserve"> pirms OI mehānisma</w:t>
      </w:r>
      <w:r>
        <w:rPr>
          <w:b/>
          <w:szCs w:val="26"/>
          <w:vertAlign w:val="superscript"/>
        </w:rPr>
        <w:t>23</w:t>
      </w:r>
    </w:p>
    <w:p w14:paraId="2E8D5354" w14:textId="77777777" w:rsidR="00EE1CF5" w:rsidRDefault="00EE1CF5" w:rsidP="00EE1CF5">
      <w:pPr>
        <w:ind w:firstLine="720"/>
        <w:rPr>
          <w:rFonts w:eastAsia="Times New Roman" w:cs="Times New Roman"/>
          <w:szCs w:val="26"/>
        </w:rPr>
      </w:pPr>
    </w:p>
    <w:tbl>
      <w:tblPr>
        <w:tblStyle w:val="GridTable1Ligh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37"/>
        <w:gridCol w:w="1052"/>
        <w:gridCol w:w="1842"/>
        <w:gridCol w:w="1418"/>
        <w:gridCol w:w="1843"/>
      </w:tblGrid>
      <w:tr w:rsidR="00EE1CF5" w14:paraId="23D3FB7D" w14:textId="77777777" w:rsidTr="00263A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7EC29C4C" w14:textId="77777777" w:rsidR="00EE1CF5" w:rsidRPr="001A2447" w:rsidRDefault="00EE1CF5" w:rsidP="00263AB1">
            <w:pPr>
              <w:jc w:val="center"/>
              <w:rPr>
                <w:rFonts w:eastAsia="Times New Roman" w:cs="Times New Roman"/>
                <w:szCs w:val="26"/>
              </w:rPr>
            </w:pPr>
            <w:r w:rsidRPr="001A2447">
              <w:rPr>
                <w:szCs w:val="26"/>
              </w:rPr>
              <w:t>Periods</w:t>
            </w:r>
          </w:p>
        </w:tc>
        <w:tc>
          <w:tcPr>
            <w:tcW w:w="1052" w:type="dxa"/>
            <w:tcBorders>
              <w:bottom w:val="single" w:sz="4" w:space="0" w:color="auto"/>
            </w:tcBorders>
            <w:vAlign w:val="center"/>
          </w:tcPr>
          <w:p w14:paraId="0AF30733"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Skaits gab.</w:t>
            </w:r>
          </w:p>
        </w:tc>
        <w:tc>
          <w:tcPr>
            <w:tcW w:w="1842" w:type="dxa"/>
            <w:tcBorders>
              <w:bottom w:val="single" w:sz="4" w:space="0" w:color="auto"/>
            </w:tcBorders>
            <w:vAlign w:val="center"/>
          </w:tcPr>
          <w:p w14:paraId="2867DF1C"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Vidējais</w:t>
            </w:r>
            <w:r w:rsidRPr="001A2447">
              <w:rPr>
                <w:rFonts w:eastAsia="Times New Roman" w:cs="Times New Roman"/>
                <w:szCs w:val="26"/>
              </w:rPr>
              <w:t xml:space="preserve"> </w:t>
            </w:r>
            <w:r w:rsidRPr="001A2447">
              <w:rPr>
                <w:szCs w:val="26"/>
              </w:rPr>
              <w:t>svērtais</w:t>
            </w:r>
          </w:p>
          <w:p w14:paraId="33E6F5C3"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tarifs</w:t>
            </w:r>
          </w:p>
          <w:p w14:paraId="3E6F0358"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(Ls/kWh)</w:t>
            </w:r>
          </w:p>
        </w:tc>
        <w:tc>
          <w:tcPr>
            <w:tcW w:w="1418" w:type="dxa"/>
            <w:tcBorders>
              <w:bottom w:val="single" w:sz="4" w:space="0" w:color="auto"/>
            </w:tcBorders>
            <w:vAlign w:val="center"/>
          </w:tcPr>
          <w:p w14:paraId="43E02813"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Nodotais apjoms (MWh)</w:t>
            </w:r>
          </w:p>
        </w:tc>
        <w:tc>
          <w:tcPr>
            <w:tcW w:w="1843" w:type="dxa"/>
            <w:tcBorders>
              <w:bottom w:val="single" w:sz="4" w:space="0" w:color="auto"/>
            </w:tcBorders>
            <w:vAlign w:val="center"/>
          </w:tcPr>
          <w:p w14:paraId="096E4A55"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Summa</w:t>
            </w:r>
          </w:p>
          <w:p w14:paraId="672641CB"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6"/>
              </w:rPr>
            </w:pPr>
            <w:r w:rsidRPr="001A2447">
              <w:rPr>
                <w:szCs w:val="26"/>
              </w:rPr>
              <w:t>(bez PVN Ls)</w:t>
            </w:r>
          </w:p>
          <w:p w14:paraId="41B6FB50" w14:textId="77777777" w:rsidR="00EE1CF5" w:rsidRPr="001A2447" w:rsidRDefault="00EE1CF5" w:rsidP="00263AB1">
            <w:pPr>
              <w:jc w:val="center"/>
              <w:cnfStyle w:val="100000000000" w:firstRow="1" w:lastRow="0" w:firstColumn="0" w:lastColumn="0" w:oddVBand="0" w:evenVBand="0" w:oddHBand="0" w:evenHBand="0" w:firstRowFirstColumn="0" w:firstRowLastColumn="0" w:lastRowFirstColumn="0" w:lastRowLastColumn="0"/>
              <w:rPr>
                <w:rFonts w:cs="Times New Roman"/>
                <w:szCs w:val="26"/>
              </w:rPr>
            </w:pPr>
          </w:p>
        </w:tc>
      </w:tr>
      <w:tr w:rsidR="00EE1CF5" w14:paraId="4111F669"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1663B292" w14:textId="77777777" w:rsidR="00EE1CF5" w:rsidRPr="001A2447" w:rsidRDefault="00EE1CF5" w:rsidP="00263AB1">
            <w:pPr>
              <w:rPr>
                <w:rFonts w:eastAsia="Times New Roman" w:cs="Times New Roman"/>
                <w:szCs w:val="26"/>
              </w:rPr>
            </w:pPr>
            <w:r w:rsidRPr="001A2447">
              <w:rPr>
                <w:szCs w:val="26"/>
              </w:rPr>
              <w:t>1997</w:t>
            </w:r>
          </w:p>
        </w:tc>
        <w:tc>
          <w:tcPr>
            <w:tcW w:w="1052" w:type="dxa"/>
            <w:tcBorders>
              <w:top w:val="single" w:sz="4" w:space="0" w:color="auto"/>
              <w:left w:val="nil"/>
              <w:bottom w:val="single" w:sz="4" w:space="0" w:color="auto"/>
              <w:right w:val="nil"/>
            </w:tcBorders>
            <w:shd w:val="clear" w:color="auto" w:fill="auto"/>
            <w:vAlign w:val="bottom"/>
          </w:tcPr>
          <w:p w14:paraId="09C63B72"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14E344EE"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DD820FF"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843" w:type="dxa"/>
            <w:tcBorders>
              <w:top w:val="single" w:sz="4" w:space="0" w:color="auto"/>
              <w:left w:val="nil"/>
              <w:bottom w:val="single" w:sz="4" w:space="0" w:color="auto"/>
              <w:right w:val="single" w:sz="4" w:space="0" w:color="auto"/>
            </w:tcBorders>
            <w:shd w:val="clear" w:color="auto" w:fill="auto"/>
            <w:vAlign w:val="bottom"/>
          </w:tcPr>
          <w:p w14:paraId="1776BBDE"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r>
      <w:tr w:rsidR="00EE1CF5" w14:paraId="3A85B9E1"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6926EDEA" w14:textId="77777777" w:rsidR="00EE1CF5" w:rsidRPr="001A2447" w:rsidRDefault="00EE1CF5" w:rsidP="00263AB1">
            <w:pPr>
              <w:rPr>
                <w:rFonts w:eastAsia="Times New Roman" w:cs="Times New Roman"/>
                <w:szCs w:val="26"/>
              </w:rPr>
            </w:pPr>
            <w:r w:rsidRPr="001A2447">
              <w:rPr>
                <w:szCs w:val="26"/>
              </w:rPr>
              <w:t>1998</w:t>
            </w:r>
          </w:p>
        </w:tc>
        <w:tc>
          <w:tcPr>
            <w:tcW w:w="1052" w:type="dxa"/>
            <w:tcBorders>
              <w:top w:val="single" w:sz="4" w:space="0" w:color="auto"/>
              <w:left w:val="nil"/>
              <w:bottom w:val="single" w:sz="4" w:space="0" w:color="auto"/>
              <w:right w:val="nil"/>
            </w:tcBorders>
            <w:shd w:val="clear" w:color="auto" w:fill="auto"/>
            <w:vAlign w:val="bottom"/>
          </w:tcPr>
          <w:p w14:paraId="158206B2"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847A897"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01B7F19"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843" w:type="dxa"/>
            <w:tcBorders>
              <w:top w:val="single" w:sz="4" w:space="0" w:color="auto"/>
              <w:left w:val="nil"/>
              <w:bottom w:val="single" w:sz="4" w:space="0" w:color="auto"/>
              <w:right w:val="single" w:sz="4" w:space="0" w:color="auto"/>
            </w:tcBorders>
            <w:shd w:val="clear" w:color="auto" w:fill="auto"/>
            <w:vAlign w:val="bottom"/>
          </w:tcPr>
          <w:p w14:paraId="29E7BE8C"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r>
      <w:tr w:rsidR="00EE1CF5" w14:paraId="52151013"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738CF58" w14:textId="77777777" w:rsidR="00EE1CF5" w:rsidRPr="001A2447" w:rsidRDefault="00EE1CF5" w:rsidP="00263AB1">
            <w:pPr>
              <w:rPr>
                <w:rFonts w:eastAsia="Times New Roman" w:cs="Times New Roman"/>
                <w:szCs w:val="26"/>
              </w:rPr>
            </w:pPr>
            <w:r w:rsidRPr="001A2447">
              <w:rPr>
                <w:szCs w:val="26"/>
              </w:rPr>
              <w:t>1999</w:t>
            </w:r>
          </w:p>
        </w:tc>
        <w:tc>
          <w:tcPr>
            <w:tcW w:w="1052" w:type="dxa"/>
            <w:tcBorders>
              <w:top w:val="single" w:sz="4" w:space="0" w:color="auto"/>
              <w:left w:val="nil"/>
              <w:bottom w:val="single" w:sz="4" w:space="0" w:color="auto"/>
              <w:right w:val="nil"/>
            </w:tcBorders>
            <w:shd w:val="clear" w:color="auto" w:fill="auto"/>
            <w:vAlign w:val="bottom"/>
          </w:tcPr>
          <w:p w14:paraId="19773E4F"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E9E204A"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3496436"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843" w:type="dxa"/>
            <w:tcBorders>
              <w:top w:val="single" w:sz="4" w:space="0" w:color="auto"/>
              <w:left w:val="nil"/>
              <w:bottom w:val="single" w:sz="4" w:space="0" w:color="auto"/>
              <w:right w:val="single" w:sz="4" w:space="0" w:color="auto"/>
            </w:tcBorders>
            <w:shd w:val="clear" w:color="auto" w:fill="auto"/>
            <w:vAlign w:val="bottom"/>
          </w:tcPr>
          <w:p w14:paraId="119667B4"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r>
      <w:tr w:rsidR="00EE1CF5" w14:paraId="212EACDD"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0D167EC6" w14:textId="77777777" w:rsidR="00EE1CF5" w:rsidRPr="001A2447" w:rsidRDefault="00EE1CF5" w:rsidP="00263AB1">
            <w:pPr>
              <w:rPr>
                <w:rFonts w:eastAsia="Times New Roman" w:cs="Times New Roman"/>
                <w:szCs w:val="26"/>
              </w:rPr>
            </w:pPr>
            <w:r w:rsidRPr="001A2447">
              <w:rPr>
                <w:szCs w:val="26"/>
              </w:rPr>
              <w:t>2000</w:t>
            </w:r>
          </w:p>
        </w:tc>
        <w:tc>
          <w:tcPr>
            <w:tcW w:w="1052" w:type="dxa"/>
            <w:tcBorders>
              <w:top w:val="single" w:sz="4" w:space="0" w:color="auto"/>
              <w:left w:val="nil"/>
              <w:bottom w:val="single" w:sz="4" w:space="0" w:color="auto"/>
              <w:right w:val="nil"/>
            </w:tcBorders>
            <w:shd w:val="clear" w:color="auto" w:fill="auto"/>
            <w:vAlign w:val="bottom"/>
          </w:tcPr>
          <w:p w14:paraId="330A2B8D"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8358DDA"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98F9E91"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843" w:type="dxa"/>
            <w:tcBorders>
              <w:top w:val="single" w:sz="4" w:space="0" w:color="auto"/>
              <w:left w:val="nil"/>
              <w:bottom w:val="single" w:sz="4" w:space="0" w:color="auto"/>
              <w:right w:val="single" w:sz="4" w:space="0" w:color="auto"/>
            </w:tcBorders>
            <w:shd w:val="clear" w:color="auto" w:fill="auto"/>
            <w:vAlign w:val="bottom"/>
          </w:tcPr>
          <w:p w14:paraId="05C2E743"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r>
      <w:tr w:rsidR="00EE1CF5" w14:paraId="0980DD00"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16AA649E" w14:textId="77777777" w:rsidR="00EE1CF5" w:rsidRPr="001A2447" w:rsidRDefault="00EE1CF5" w:rsidP="00263AB1">
            <w:pPr>
              <w:rPr>
                <w:rFonts w:eastAsia="Times New Roman" w:cs="Times New Roman"/>
                <w:szCs w:val="26"/>
              </w:rPr>
            </w:pPr>
            <w:r w:rsidRPr="001A2447">
              <w:rPr>
                <w:szCs w:val="26"/>
              </w:rPr>
              <w:t>2001</w:t>
            </w:r>
          </w:p>
        </w:tc>
        <w:tc>
          <w:tcPr>
            <w:tcW w:w="1052" w:type="dxa"/>
            <w:tcBorders>
              <w:top w:val="single" w:sz="4" w:space="0" w:color="auto"/>
              <w:left w:val="nil"/>
              <w:bottom w:val="single" w:sz="4" w:space="0" w:color="auto"/>
              <w:right w:val="nil"/>
            </w:tcBorders>
            <w:shd w:val="clear" w:color="auto" w:fill="auto"/>
            <w:vAlign w:val="bottom"/>
          </w:tcPr>
          <w:p w14:paraId="21E2BC12"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1255BAA2"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DE5A640"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843" w:type="dxa"/>
            <w:tcBorders>
              <w:top w:val="single" w:sz="4" w:space="0" w:color="auto"/>
              <w:left w:val="nil"/>
              <w:bottom w:val="single" w:sz="4" w:space="0" w:color="auto"/>
              <w:right w:val="single" w:sz="4" w:space="0" w:color="auto"/>
            </w:tcBorders>
            <w:shd w:val="clear" w:color="auto" w:fill="auto"/>
            <w:vAlign w:val="bottom"/>
          </w:tcPr>
          <w:p w14:paraId="6E27D770"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r>
      <w:tr w:rsidR="00EE1CF5" w14:paraId="74F7BE34"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FAAFF79" w14:textId="77777777" w:rsidR="00EE1CF5" w:rsidRPr="001A2447" w:rsidRDefault="00EE1CF5" w:rsidP="00263AB1">
            <w:pPr>
              <w:rPr>
                <w:rFonts w:eastAsia="Times New Roman" w:cs="Times New Roman"/>
                <w:szCs w:val="26"/>
              </w:rPr>
            </w:pPr>
            <w:r w:rsidRPr="001A2447">
              <w:rPr>
                <w:szCs w:val="26"/>
              </w:rPr>
              <w:t>2002</w:t>
            </w:r>
          </w:p>
        </w:tc>
        <w:tc>
          <w:tcPr>
            <w:tcW w:w="1052" w:type="dxa"/>
            <w:tcBorders>
              <w:top w:val="single" w:sz="4" w:space="0" w:color="auto"/>
              <w:left w:val="nil"/>
              <w:bottom w:val="single" w:sz="4" w:space="0" w:color="auto"/>
              <w:right w:val="nil"/>
            </w:tcBorders>
            <w:shd w:val="clear" w:color="auto" w:fill="auto"/>
            <w:vAlign w:val="bottom"/>
          </w:tcPr>
          <w:p w14:paraId="4E17A0D2"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7B816649"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E3E0218"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843" w:type="dxa"/>
            <w:tcBorders>
              <w:top w:val="single" w:sz="4" w:space="0" w:color="auto"/>
              <w:left w:val="nil"/>
              <w:bottom w:val="single" w:sz="4" w:space="0" w:color="auto"/>
              <w:right w:val="single" w:sz="4" w:space="0" w:color="auto"/>
            </w:tcBorders>
            <w:shd w:val="clear" w:color="auto" w:fill="auto"/>
            <w:vAlign w:val="bottom"/>
          </w:tcPr>
          <w:p w14:paraId="1BE32B10"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r>
      <w:tr w:rsidR="00EE1CF5" w14:paraId="163A4B0C"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F48D656" w14:textId="77777777" w:rsidR="00EE1CF5" w:rsidRPr="001A2447" w:rsidRDefault="00EE1CF5" w:rsidP="00263AB1">
            <w:pPr>
              <w:rPr>
                <w:rFonts w:eastAsia="Times New Roman" w:cs="Times New Roman"/>
                <w:szCs w:val="26"/>
              </w:rPr>
            </w:pPr>
            <w:r w:rsidRPr="001A2447">
              <w:rPr>
                <w:szCs w:val="26"/>
              </w:rPr>
              <w:t>2003</w:t>
            </w:r>
          </w:p>
        </w:tc>
        <w:tc>
          <w:tcPr>
            <w:tcW w:w="1052" w:type="dxa"/>
            <w:tcBorders>
              <w:top w:val="single" w:sz="4" w:space="0" w:color="auto"/>
              <w:left w:val="nil"/>
              <w:bottom w:val="single" w:sz="4" w:space="0" w:color="auto"/>
              <w:right w:val="nil"/>
            </w:tcBorders>
            <w:shd w:val="clear" w:color="auto" w:fill="auto"/>
            <w:vAlign w:val="bottom"/>
          </w:tcPr>
          <w:p w14:paraId="08538E6B"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88B44F0"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1E06927"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843" w:type="dxa"/>
            <w:tcBorders>
              <w:top w:val="single" w:sz="4" w:space="0" w:color="auto"/>
              <w:left w:val="nil"/>
              <w:bottom w:val="single" w:sz="4" w:space="0" w:color="auto"/>
              <w:right w:val="single" w:sz="4" w:space="0" w:color="auto"/>
            </w:tcBorders>
            <w:shd w:val="clear" w:color="auto" w:fill="auto"/>
            <w:vAlign w:val="bottom"/>
          </w:tcPr>
          <w:p w14:paraId="792EDF52"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r>
      <w:tr w:rsidR="00EE1CF5" w14:paraId="6653ABF1"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555DC162" w14:textId="77777777" w:rsidR="00EE1CF5" w:rsidRPr="001A2447" w:rsidRDefault="00EE1CF5" w:rsidP="00263AB1">
            <w:pPr>
              <w:rPr>
                <w:rFonts w:eastAsia="Times New Roman" w:cs="Times New Roman"/>
                <w:szCs w:val="26"/>
              </w:rPr>
            </w:pPr>
            <w:r w:rsidRPr="001A2447">
              <w:rPr>
                <w:szCs w:val="26"/>
              </w:rPr>
              <w:t>2004</w:t>
            </w:r>
          </w:p>
        </w:tc>
        <w:tc>
          <w:tcPr>
            <w:tcW w:w="1052" w:type="dxa"/>
            <w:tcBorders>
              <w:top w:val="single" w:sz="4" w:space="0" w:color="auto"/>
              <w:left w:val="nil"/>
              <w:bottom w:val="single" w:sz="4" w:space="0" w:color="auto"/>
              <w:right w:val="nil"/>
            </w:tcBorders>
            <w:shd w:val="clear" w:color="auto" w:fill="auto"/>
            <w:vAlign w:val="bottom"/>
          </w:tcPr>
          <w:p w14:paraId="08D0A505"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757712E"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09DCCAE"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843" w:type="dxa"/>
            <w:tcBorders>
              <w:top w:val="single" w:sz="4" w:space="0" w:color="auto"/>
              <w:left w:val="nil"/>
              <w:bottom w:val="single" w:sz="4" w:space="0" w:color="auto"/>
              <w:right w:val="single" w:sz="4" w:space="0" w:color="auto"/>
            </w:tcBorders>
            <w:shd w:val="clear" w:color="auto" w:fill="auto"/>
            <w:vAlign w:val="bottom"/>
          </w:tcPr>
          <w:p w14:paraId="40C1CFF4"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r>
      <w:tr w:rsidR="00EE1CF5" w14:paraId="5B280788"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32F81BDC" w14:textId="77777777" w:rsidR="00EE1CF5" w:rsidRPr="001A2447" w:rsidRDefault="00EE1CF5" w:rsidP="00263AB1">
            <w:pPr>
              <w:rPr>
                <w:rFonts w:eastAsia="Times New Roman" w:cs="Times New Roman"/>
                <w:szCs w:val="26"/>
              </w:rPr>
            </w:pPr>
            <w:r w:rsidRPr="001A2447">
              <w:rPr>
                <w:szCs w:val="26"/>
              </w:rPr>
              <w:t>2005</w:t>
            </w:r>
          </w:p>
        </w:tc>
        <w:tc>
          <w:tcPr>
            <w:tcW w:w="1052" w:type="dxa"/>
            <w:tcBorders>
              <w:top w:val="single" w:sz="4" w:space="0" w:color="auto"/>
              <w:left w:val="nil"/>
              <w:bottom w:val="single" w:sz="4" w:space="0" w:color="auto"/>
              <w:right w:val="nil"/>
            </w:tcBorders>
            <w:shd w:val="clear" w:color="auto" w:fill="auto"/>
            <w:vAlign w:val="bottom"/>
          </w:tcPr>
          <w:p w14:paraId="7351A28E"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1DD62769"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BB2AA81"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c>
          <w:tcPr>
            <w:tcW w:w="1843" w:type="dxa"/>
            <w:tcBorders>
              <w:top w:val="single" w:sz="4" w:space="0" w:color="auto"/>
              <w:left w:val="nil"/>
              <w:bottom w:val="single" w:sz="4" w:space="0" w:color="auto"/>
              <w:right w:val="single" w:sz="4" w:space="0" w:color="auto"/>
            </w:tcBorders>
            <w:shd w:val="clear" w:color="auto" w:fill="auto"/>
            <w:vAlign w:val="bottom"/>
          </w:tcPr>
          <w:p w14:paraId="5043FC04" w14:textId="77777777" w:rsidR="00EE1CF5" w:rsidRPr="00031E64"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Pr>
                <w:rFonts w:eastAsia="Times New Roman" w:cs="Times New Roman"/>
                <w:sz w:val="24"/>
                <w:szCs w:val="26"/>
              </w:rPr>
              <w:t>-</w:t>
            </w:r>
          </w:p>
        </w:tc>
      </w:tr>
      <w:tr w:rsidR="00EE1CF5" w14:paraId="5B09778F" w14:textId="77777777" w:rsidTr="00263AB1">
        <w:trPr>
          <w:trHeight w:val="255"/>
          <w:jc w:val="center"/>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9B5E3B2" w14:textId="77777777" w:rsidR="00EE1CF5" w:rsidRPr="001A2447" w:rsidRDefault="00EE1CF5" w:rsidP="00263AB1">
            <w:pPr>
              <w:rPr>
                <w:rFonts w:eastAsia="Times New Roman" w:cs="Times New Roman"/>
                <w:szCs w:val="26"/>
              </w:rPr>
            </w:pPr>
            <w:r w:rsidRPr="001A2447">
              <w:rPr>
                <w:szCs w:val="26"/>
              </w:rPr>
              <w:t>2006</w:t>
            </w:r>
          </w:p>
        </w:tc>
        <w:tc>
          <w:tcPr>
            <w:tcW w:w="1052" w:type="dxa"/>
            <w:tcBorders>
              <w:top w:val="single" w:sz="4" w:space="0" w:color="auto"/>
              <w:left w:val="nil"/>
              <w:bottom w:val="single" w:sz="4" w:space="0" w:color="auto"/>
              <w:right w:val="nil"/>
            </w:tcBorders>
            <w:shd w:val="clear" w:color="auto" w:fill="auto"/>
            <w:vAlign w:val="bottom"/>
          </w:tcPr>
          <w:p w14:paraId="41ECDDBC" w14:textId="77777777" w:rsidR="00EE1CF5" w:rsidRPr="007417EE"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7417EE">
              <w:rPr>
                <w:sz w:val="24"/>
                <w:szCs w:val="20"/>
              </w:rPr>
              <w:t>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703465F" w14:textId="77777777" w:rsidR="00EE1CF5" w:rsidRPr="007417EE"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7417EE">
              <w:rPr>
                <w:sz w:val="24"/>
                <w:szCs w:val="20"/>
              </w:rPr>
              <w:t>0,03433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3AF7285" w14:textId="77777777" w:rsidR="00EE1CF5" w:rsidRPr="007417EE"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7417EE">
              <w:rPr>
                <w:sz w:val="24"/>
                <w:szCs w:val="20"/>
              </w:rPr>
              <w:t>27 534,0</w:t>
            </w:r>
          </w:p>
        </w:tc>
        <w:tc>
          <w:tcPr>
            <w:tcW w:w="1843" w:type="dxa"/>
            <w:tcBorders>
              <w:top w:val="single" w:sz="4" w:space="0" w:color="auto"/>
              <w:left w:val="nil"/>
              <w:bottom w:val="single" w:sz="4" w:space="0" w:color="auto"/>
              <w:right w:val="single" w:sz="4" w:space="0" w:color="auto"/>
            </w:tcBorders>
            <w:shd w:val="clear" w:color="auto" w:fill="auto"/>
            <w:vAlign w:val="bottom"/>
          </w:tcPr>
          <w:p w14:paraId="4CC92125" w14:textId="77777777" w:rsidR="00EE1CF5" w:rsidRPr="007417EE" w:rsidRDefault="00EE1CF5" w:rsidP="00263A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6"/>
              </w:rPr>
            </w:pPr>
            <w:r w:rsidRPr="007417EE">
              <w:rPr>
                <w:sz w:val="24"/>
                <w:szCs w:val="20"/>
              </w:rPr>
              <w:t>945 200</w:t>
            </w:r>
          </w:p>
        </w:tc>
      </w:tr>
    </w:tbl>
    <w:p w14:paraId="153C911A" w14:textId="77777777" w:rsidR="00EE1CF5" w:rsidRDefault="00EE1CF5" w:rsidP="00EE1CF5">
      <w:pPr>
        <w:ind w:firstLine="720"/>
        <w:rPr>
          <w:i/>
          <w:iCs/>
          <w:szCs w:val="26"/>
        </w:rPr>
      </w:pPr>
      <w:r w:rsidRPr="001A2447">
        <w:rPr>
          <w:i/>
          <w:iCs/>
          <w:szCs w:val="26"/>
        </w:rPr>
        <w:t>Avots:</w:t>
      </w:r>
      <w:r w:rsidRPr="001A2447">
        <w:rPr>
          <w:rFonts w:eastAsia="Times New Roman" w:cs="Times New Roman"/>
          <w:i/>
          <w:iCs/>
          <w:szCs w:val="26"/>
        </w:rPr>
        <w:t xml:space="preserve"> </w:t>
      </w:r>
      <w:r w:rsidRPr="001A2447">
        <w:rPr>
          <w:i/>
          <w:iCs/>
          <w:szCs w:val="26"/>
        </w:rPr>
        <w:t>AS “Latvenergo”</w:t>
      </w:r>
    </w:p>
    <w:p w14:paraId="4F97585A" w14:textId="77777777" w:rsidR="00EE1CF5" w:rsidRPr="001A2447" w:rsidRDefault="00EE1CF5" w:rsidP="00EE1CF5">
      <w:pPr>
        <w:ind w:firstLine="720"/>
        <w:rPr>
          <w:rFonts w:eastAsia="Times New Roman" w:cs="Times New Roman"/>
          <w:szCs w:val="26"/>
        </w:rPr>
      </w:pPr>
    </w:p>
    <w:p w14:paraId="7C256097" w14:textId="77777777" w:rsidR="00EE1CF5" w:rsidRPr="001A2447" w:rsidRDefault="00EE1CF5" w:rsidP="00EE1CF5">
      <w:pPr>
        <w:spacing w:before="120"/>
        <w:ind w:firstLine="720"/>
        <w:rPr>
          <w:rFonts w:eastAsia="Times New Roman" w:cs="Times New Roman"/>
          <w:szCs w:val="26"/>
        </w:rPr>
      </w:pPr>
      <w:r w:rsidRPr="001A2447">
        <w:rPr>
          <w:szCs w:val="26"/>
        </w:rPr>
        <w:t>MHEA savā 2018.gada 13.jūlija vēstulē Nr.1/07/2018, kas adresēta Darba grupai, norāda uz virkni problēmu, kas saistītas ar kopējo kapitālieguldījumu IRR piemērošanu stacijām, kuras jau pirms 2007.gada saņēmušas atbalstu.  Kā būtiskākos iebildumus MHEA norāda:</w:t>
      </w:r>
    </w:p>
    <w:p w14:paraId="40F77046" w14:textId="77777777" w:rsidR="00EE1CF5" w:rsidRPr="001A2447" w:rsidRDefault="00EE1CF5" w:rsidP="00EE1CF5">
      <w:pPr>
        <w:numPr>
          <w:ilvl w:val="1"/>
          <w:numId w:val="2"/>
        </w:numPr>
        <w:spacing w:before="120"/>
        <w:rPr>
          <w:rFonts w:eastAsia="Times New Roman" w:cs="Times New Roman"/>
          <w:szCs w:val="26"/>
        </w:rPr>
      </w:pPr>
      <w:r w:rsidRPr="001A2447">
        <w:rPr>
          <w:szCs w:val="26"/>
        </w:rPr>
        <w:t>Vēsturiski ir bijis atšķirīgs dubultā tarifa un OI sistēmas mērķis;</w:t>
      </w:r>
    </w:p>
    <w:p w14:paraId="6F9B0B2A" w14:textId="77777777" w:rsidR="00EE1CF5" w:rsidRPr="001A2447" w:rsidRDefault="00EE1CF5" w:rsidP="00EE1CF5">
      <w:pPr>
        <w:numPr>
          <w:ilvl w:val="1"/>
          <w:numId w:val="2"/>
        </w:numPr>
        <w:spacing w:before="120"/>
        <w:rPr>
          <w:rFonts w:eastAsia="Times New Roman" w:cs="Times New Roman"/>
          <w:szCs w:val="26"/>
        </w:rPr>
      </w:pPr>
      <w:r w:rsidRPr="001A2447">
        <w:rPr>
          <w:szCs w:val="26"/>
        </w:rPr>
        <w:t>HES ir veikuši investīcijas, uzsākoties šim atbalsta periodam;</w:t>
      </w:r>
    </w:p>
    <w:p w14:paraId="2A082D04" w14:textId="77777777" w:rsidR="00EE1CF5" w:rsidRPr="001A2447" w:rsidRDefault="00EE1CF5" w:rsidP="00EE1CF5">
      <w:pPr>
        <w:numPr>
          <w:ilvl w:val="1"/>
          <w:numId w:val="2"/>
        </w:numPr>
        <w:spacing w:before="120"/>
        <w:rPr>
          <w:rFonts w:eastAsia="Times New Roman" w:cs="Times New Roman"/>
          <w:szCs w:val="26"/>
        </w:rPr>
      </w:pPr>
      <w:r w:rsidRPr="001A2447">
        <w:rPr>
          <w:szCs w:val="26"/>
        </w:rPr>
        <w:lastRenderedPageBreak/>
        <w:t>HES ir tiesiskā paļāvība uz noteiktu atbalsta termiņu.</w:t>
      </w:r>
    </w:p>
    <w:p w14:paraId="16B3B584" w14:textId="77777777" w:rsidR="00EE1CF5" w:rsidRPr="001A2447" w:rsidRDefault="00EE1CF5" w:rsidP="00EE1CF5">
      <w:pPr>
        <w:spacing w:before="120"/>
        <w:ind w:firstLine="720"/>
        <w:rPr>
          <w:rFonts w:eastAsia="Times New Roman" w:cs="Times New Roman"/>
          <w:szCs w:val="26"/>
        </w:rPr>
      </w:pPr>
      <w:r w:rsidRPr="001A2447">
        <w:rPr>
          <w:szCs w:val="26"/>
        </w:rPr>
        <w:t xml:space="preserve">Vērtējot MHEA iebildumus, jānorāda, ka tie nav pamatoti šādu apsvērumu dēļ. Kvalificējoties tiesību iegūšanai OI mehānisma ietvaros, ievērojams skaits HES darbību ir uzsākušas jau ar iepriekš veiktām investīcijām un iepriekš saņemtu atbalstu. Šis atbalsts būtu jāņem vērā, aprēķinot nepieciešamo jauno atbalstu, novēršot iespēju, ka atbalsts tiek sniegts tām pašām iekārtām. Kā MHEA norāda savā vēstulē, HES netiktu celti, ja jau iepriekš nebūtu sniegts atbalsts to būvniecībai. Līdz ar to faktiski MHEA atzīst atbalsta saņemšanas faktu. </w:t>
      </w:r>
    </w:p>
    <w:p w14:paraId="0747523D" w14:textId="77777777" w:rsidR="00EE1CF5" w:rsidRPr="001A2447" w:rsidRDefault="00EE1CF5" w:rsidP="00EE1CF5">
      <w:pPr>
        <w:spacing w:before="120"/>
        <w:ind w:firstLine="720"/>
        <w:rPr>
          <w:rFonts w:eastAsia="Times New Roman" w:cs="Times New Roman"/>
          <w:szCs w:val="26"/>
        </w:rPr>
      </w:pPr>
      <w:r w:rsidRPr="001A2447">
        <w:rPr>
          <w:szCs w:val="26"/>
        </w:rPr>
        <w:t>Atbalstam konkrētajiem AER ražošanas veidiem jābūt samērīgiem ar kopējām tautsaimniecības interesēm, t.sk. jāņem vērā konkurences apsvērumi elektroenerģijas tirgū. Kaut gan OI mehānisma ietvaros atbalsts HES ir garantēts uz 20 gadiem, vienlaicīgi jāvērtē, vai kopējo kapitālieguldījumu IRR nepārsniedz noteiktos apmērus. Līdz ar to ir pamats ņemt vērā atbalstu, kas izmaksāts konkrētām stacijām pirms šī atbalsta perioda, jo šis atbalsts, kā jau MHEA konstatē, ir bijis par pamatu staciju izveidošanai, tātad vismaz sedzis to kapitālinvestīcijas un uzturēšanas izmaksas. Tāpēc vēsturiskā atbalsta iekļaušana kopējo kapitālieguldījumu IRR aprēķinā uzskatāma par pamatotu un nepieciešamu taisnīga atbalsta līmeņa noteikšanai.</w:t>
      </w:r>
    </w:p>
    <w:p w14:paraId="562A93FF" w14:textId="77777777" w:rsidR="00EE1CF5" w:rsidRDefault="00EE1CF5" w:rsidP="00EE1CF5">
      <w:pPr>
        <w:spacing w:before="120"/>
        <w:ind w:firstLine="720"/>
        <w:rPr>
          <w:szCs w:val="26"/>
        </w:rPr>
      </w:pPr>
      <w:r w:rsidRPr="001A2447">
        <w:rPr>
          <w:szCs w:val="26"/>
        </w:rPr>
        <w:t>Attiecībā uz izmaiņām HES investīciju apjomā jānorāda, ka jau pašlaik MK noteikumi Nr.262 ņem vērā jaudas izmaiņas, rēķinot kopējo kapitālieguldījumu IRR. MK noteikumu Nr.262 10.pielikuma 6.punkts paredz aprēķina kārtību, kādā jāņem vērā jaudas izmaiņas elektrostacijā, līdz ar to tiek ņemtas vērā papildu investīcijas, kuras ir veiktas, uzsākoties šim atbalsta periodam. Attiecīgi MK noteikumu Nr.262 10.pielikuma 4.punktā norādīts, kā tiek aprēķināta elektrostacijas tīrā naudas plūsma, ņemot vērā investīciju korekciju.</w:t>
      </w:r>
    </w:p>
    <w:p w14:paraId="3A7C936D" w14:textId="77777777" w:rsidR="00EE1CF5" w:rsidRPr="001A2447" w:rsidRDefault="00EE1CF5" w:rsidP="00EE1CF5">
      <w:pPr>
        <w:spacing w:before="120"/>
        <w:ind w:firstLine="720"/>
        <w:rPr>
          <w:rFonts w:eastAsia="Times New Roman" w:cs="Times New Roman"/>
          <w:szCs w:val="26"/>
        </w:rPr>
      </w:pPr>
    </w:p>
    <w:p w14:paraId="583084C1" w14:textId="77777777" w:rsidR="00EE1CF5" w:rsidRPr="001A2447" w:rsidRDefault="00EE1CF5" w:rsidP="00EE1CF5">
      <w:pPr>
        <w:pStyle w:val="111apaknodaa"/>
        <w:spacing w:before="240" w:after="120"/>
        <w:jc w:val="center"/>
      </w:pPr>
      <w:bookmarkStart w:id="80" w:name="_Toc256000055"/>
      <w:bookmarkStart w:id="81" w:name="_Toc256000023"/>
      <w:bookmarkStart w:id="82" w:name="_Toc523492922"/>
      <w:bookmarkStart w:id="83" w:name="_Toc528585660"/>
      <w:bookmarkStart w:id="84" w:name="_Toc531798573"/>
      <w:r>
        <w:t>4.3.2.</w:t>
      </w:r>
      <w:r w:rsidRPr="001A2447">
        <w:t xml:space="preserve"> Aprēķina veikšana tām stacijām, kurām tas pašlaik netiek veikts</w:t>
      </w:r>
      <w:bookmarkEnd w:id="80"/>
      <w:bookmarkEnd w:id="81"/>
      <w:bookmarkEnd w:id="82"/>
      <w:bookmarkEnd w:id="83"/>
      <w:bookmarkEnd w:id="84"/>
    </w:p>
    <w:p w14:paraId="5861B6E1" w14:textId="77777777" w:rsidR="00EE1CF5" w:rsidRPr="001A2447" w:rsidRDefault="00EE1CF5" w:rsidP="00EE1CF5">
      <w:pPr>
        <w:spacing w:before="120"/>
        <w:ind w:firstLine="720"/>
        <w:rPr>
          <w:rFonts w:eastAsia="Times New Roman" w:cs="Times New Roman"/>
          <w:szCs w:val="26"/>
        </w:rPr>
      </w:pPr>
      <w:r w:rsidRPr="001A2447">
        <w:rPr>
          <w:szCs w:val="26"/>
        </w:rPr>
        <w:t xml:space="preserve">Lai novērstu šķērsubsidāciju, ja ar atbalstu elektroenerģijas ražošanai vai jaudas nodrošināšanai tiek mazināts siltumenerģijas tarifs, paredzēts </w:t>
      </w:r>
      <w:bookmarkStart w:id="85" w:name="_Hlk523391633"/>
      <w:r w:rsidRPr="00F7731F">
        <w:rPr>
          <w:b/>
          <w:szCs w:val="26"/>
        </w:rPr>
        <w:t>atcelt saskaņā ar MK noteikumu Nr.221 56.</w:t>
      </w:r>
      <w:r w:rsidRPr="00F7731F">
        <w:rPr>
          <w:b/>
          <w:szCs w:val="26"/>
          <w:vertAlign w:val="superscript"/>
        </w:rPr>
        <w:t>16</w:t>
      </w:r>
      <w:r w:rsidRPr="00F7731F">
        <w:rPr>
          <w:b/>
          <w:szCs w:val="26"/>
        </w:rPr>
        <w:t xml:space="preserve"> un MK noteikumu Nr. 262 63.</w:t>
      </w:r>
      <w:r w:rsidRPr="00F7731F">
        <w:rPr>
          <w:b/>
          <w:szCs w:val="26"/>
          <w:vertAlign w:val="superscript"/>
        </w:rPr>
        <w:t>9</w:t>
      </w:r>
      <w:r w:rsidRPr="00F7731F">
        <w:rPr>
          <w:b/>
          <w:szCs w:val="26"/>
        </w:rPr>
        <w:t xml:space="preserve"> punktu noteikto atbrīvojumu no kopējo kapitālieguldījumu IRR aprēķina veikšanas</w:t>
      </w:r>
      <w:r w:rsidRPr="001A2447">
        <w:rPr>
          <w:szCs w:val="26"/>
        </w:rPr>
        <w:t xml:space="preserve"> </w:t>
      </w:r>
      <w:bookmarkEnd w:id="85"/>
      <w:r w:rsidRPr="001A2447">
        <w:rPr>
          <w:szCs w:val="26"/>
        </w:rPr>
        <w:t xml:space="preserve">tām koģenerācijas elektrostacijām, kurām triju gadu laikā no datuma, kurā tās ir uzsākušas izmantot tiesības pārdot elektroenerģiju OI ietvaros vai saņemt garantētu maksu par elektrostacijā uzstādīto jaudu, saražotās siltumenerģijas tarifu ir apstiprinājusi </w:t>
      </w:r>
      <w:r>
        <w:rPr>
          <w:szCs w:val="26"/>
        </w:rPr>
        <w:t>SPRK</w:t>
      </w:r>
      <w:r w:rsidRPr="001A2447">
        <w:rPr>
          <w:szCs w:val="26"/>
        </w:rPr>
        <w:t>.</w:t>
      </w:r>
      <w:r w:rsidRPr="00200F97">
        <w:rPr>
          <w:szCs w:val="26"/>
        </w:rPr>
        <w:t xml:space="preserve"> </w:t>
      </w:r>
      <w:r>
        <w:rPr>
          <w:szCs w:val="26"/>
        </w:rPr>
        <w:t>Pirmšķietami ar plānoto ierobežojumu tiek novērsta pārkompensācija, neskarot Satversmē aizsargātās tiesības.</w:t>
      </w:r>
    </w:p>
    <w:p w14:paraId="37B1BC9E" w14:textId="77777777" w:rsidR="00EE1CF5" w:rsidRPr="001A2447" w:rsidRDefault="00EE1CF5" w:rsidP="00EE1CF5">
      <w:pPr>
        <w:spacing w:before="120"/>
        <w:ind w:firstLine="720"/>
        <w:rPr>
          <w:szCs w:val="26"/>
        </w:rPr>
      </w:pPr>
      <w:r w:rsidRPr="001A2447">
        <w:rPr>
          <w:szCs w:val="26"/>
        </w:rPr>
        <w:t>Šādu staciju skaits, kam 2017. un 2018.gadā netika piemērots MK noteikumos Nr.221 un MK noteikumos Nr.262 iekļautais pārkompensācijas izvērtēšanas mehānisms, ir 6.</w:t>
      </w:r>
    </w:p>
    <w:p w14:paraId="389DBBEF" w14:textId="77777777" w:rsidR="00EE1CF5" w:rsidRPr="001A2447" w:rsidRDefault="00EE1CF5" w:rsidP="00EE1CF5">
      <w:pPr>
        <w:spacing w:before="120"/>
        <w:ind w:firstLine="720"/>
        <w:rPr>
          <w:szCs w:val="26"/>
        </w:rPr>
      </w:pPr>
      <w:r w:rsidRPr="001A2447">
        <w:rPr>
          <w:szCs w:val="26"/>
        </w:rPr>
        <w:t>Esošais pārkompensācijas izvērtēšanas un novēršanas mehānisms ir attiecināms tikai uz tām stacijām, kuras izmanto ETL 28., 28.</w:t>
      </w:r>
      <w:r w:rsidRPr="001A2447">
        <w:rPr>
          <w:szCs w:val="26"/>
          <w:vertAlign w:val="superscript"/>
        </w:rPr>
        <w:t>1</w:t>
      </w:r>
      <w:r w:rsidRPr="001A2447">
        <w:rPr>
          <w:szCs w:val="26"/>
        </w:rPr>
        <w:t xml:space="preserve">,  un 29. pantā minētās tiesības, proti, atbalstu saņem saskaņā ar MK noteikumiem Nr.221 vai MK noteikumiem Nr.262. Taču OI mehānismā atbalstu joprojām saņem arī 14 </w:t>
      </w:r>
      <w:bookmarkStart w:id="86" w:name="_Hlk523391826"/>
      <w:r>
        <w:rPr>
          <w:b/>
          <w:szCs w:val="26"/>
        </w:rPr>
        <w:t>VES</w:t>
      </w:r>
      <w:r w:rsidRPr="00F7731F">
        <w:rPr>
          <w:b/>
          <w:szCs w:val="26"/>
        </w:rPr>
        <w:t>, kurām atbalsts ir piešķirts saskaņā ar Enerģētikas likuma</w:t>
      </w:r>
      <w:r>
        <w:rPr>
          <w:rFonts w:eastAsia="Times New Roman" w:cs="Times New Roman"/>
          <w:szCs w:val="26"/>
          <w:vertAlign w:val="superscript"/>
        </w:rPr>
        <w:footnoteReference w:id="36"/>
      </w:r>
      <w:r w:rsidRPr="001A2447">
        <w:rPr>
          <w:szCs w:val="26"/>
        </w:rPr>
        <w:t xml:space="preserve"> 40.pantu  un kuru atbalsta apmēru un termiņu nosaka </w:t>
      </w:r>
      <w:r w:rsidRPr="001A2447">
        <w:rPr>
          <w:szCs w:val="26"/>
        </w:rPr>
        <w:lastRenderedPageBreak/>
        <w:t>saskaņā ar ETL Pārejas noteikumu 52.punktu</w:t>
      </w:r>
      <w:bookmarkEnd w:id="86"/>
      <w:r w:rsidRPr="001A2447">
        <w:rPr>
          <w:szCs w:val="26"/>
        </w:rPr>
        <w:t xml:space="preserve">. Saskaņā ar šo punktu elektroenerģija no šīm elektrostacijām tiek iepirkta par  fiksētu cenu 111,20 EUR/MWh, kā atbalsta termiņu nosakot 20 gadus no ekspluatācijas uzsākšanas dienas. Līdz ar to uz šīm elektrostacijām netiek attiecināts MK noteikumos Nr.262 un MK noteikumos Nr.221 ietvertais pārkompensācijas novēršanas mehānisms. </w:t>
      </w:r>
    </w:p>
    <w:p w14:paraId="163FA50E" w14:textId="77777777" w:rsidR="00EE1CF5" w:rsidRDefault="00EE1CF5" w:rsidP="00EE1CF5">
      <w:pPr>
        <w:spacing w:before="120"/>
        <w:ind w:firstLine="720"/>
        <w:rPr>
          <w:szCs w:val="26"/>
          <w:vertAlign w:val="superscript"/>
        </w:rPr>
      </w:pPr>
      <w:r w:rsidRPr="001A2447">
        <w:rPr>
          <w:szCs w:val="26"/>
        </w:rPr>
        <w:t xml:space="preserve">Līdz ar to, lai tiktu izvērtēta un pārkompensācijas konstatēšanas gadījumā tiktu novērsta šo elektrostaciju pārkompensācija, ir nepieciešams veikt </w:t>
      </w:r>
      <w:bookmarkStart w:id="87" w:name="_Hlk523391780"/>
      <w:r w:rsidRPr="001A2447">
        <w:rPr>
          <w:szCs w:val="26"/>
        </w:rPr>
        <w:t xml:space="preserve">grozījumus ETL, dodot deleģējumu </w:t>
      </w:r>
      <w:r>
        <w:rPr>
          <w:szCs w:val="26"/>
        </w:rPr>
        <w:t>MK</w:t>
      </w:r>
      <w:r w:rsidRPr="001A2447">
        <w:rPr>
          <w:szCs w:val="26"/>
        </w:rPr>
        <w:t xml:space="preserve"> veikt šo elektrostaciju pārkompensācijas izvērtējumu atbilstoši </w:t>
      </w:r>
      <w:r>
        <w:rPr>
          <w:szCs w:val="26"/>
        </w:rPr>
        <w:t>MK</w:t>
      </w:r>
      <w:r w:rsidRPr="001A2447">
        <w:rPr>
          <w:szCs w:val="26"/>
        </w:rPr>
        <w:t xml:space="preserve"> noteiktajai kārtībai.</w:t>
      </w:r>
      <w:r w:rsidRPr="001A2447">
        <w:rPr>
          <w:szCs w:val="26"/>
          <w:vertAlign w:val="superscript"/>
        </w:rPr>
        <w:t xml:space="preserve"> </w:t>
      </w:r>
      <w:bookmarkEnd w:id="87"/>
    </w:p>
    <w:p w14:paraId="22ABCCC6" w14:textId="77777777" w:rsidR="00EE1CF5" w:rsidRDefault="00EE1CF5" w:rsidP="00EE1CF5">
      <w:pPr>
        <w:spacing w:before="120"/>
        <w:ind w:firstLine="720"/>
        <w:rPr>
          <w:szCs w:val="26"/>
        </w:rPr>
      </w:pPr>
    </w:p>
    <w:p w14:paraId="33DB94BB" w14:textId="77777777" w:rsidR="00EE1CF5" w:rsidRPr="001A2447" w:rsidRDefault="00EE1CF5" w:rsidP="00EE1CF5">
      <w:pPr>
        <w:pStyle w:val="111apaknodaa"/>
        <w:spacing w:before="240" w:after="120"/>
        <w:jc w:val="center"/>
      </w:pPr>
      <w:bookmarkStart w:id="88" w:name="_Toc256000056"/>
      <w:bookmarkStart w:id="89" w:name="_Toc256000024"/>
      <w:bookmarkStart w:id="90" w:name="_Toc523492923"/>
      <w:bookmarkStart w:id="91" w:name="_Toc528585661"/>
      <w:bookmarkStart w:id="92" w:name="_Toc531798574"/>
      <w:r>
        <w:t>4.3</w:t>
      </w:r>
      <w:r w:rsidRPr="07C15958">
        <w:t>.3. Atceltas tiesības iesniegt zvērināta revidenta apstiprinātu aprēķinu</w:t>
      </w:r>
      <w:bookmarkEnd w:id="88"/>
      <w:bookmarkEnd w:id="89"/>
      <w:bookmarkEnd w:id="90"/>
      <w:bookmarkEnd w:id="91"/>
      <w:bookmarkEnd w:id="92"/>
    </w:p>
    <w:p w14:paraId="09E5AABF" w14:textId="77777777" w:rsidR="00EE1CF5" w:rsidRPr="001A2447" w:rsidRDefault="00EE1CF5" w:rsidP="00EE1CF5">
      <w:pPr>
        <w:spacing w:before="120"/>
        <w:ind w:firstLine="720"/>
        <w:rPr>
          <w:rFonts w:eastAsia="Times New Roman" w:cs="Times New Roman"/>
          <w:szCs w:val="26"/>
        </w:rPr>
      </w:pPr>
      <w:r w:rsidRPr="001A2447">
        <w:rPr>
          <w:szCs w:val="26"/>
        </w:rPr>
        <w:t xml:space="preserve">Lai nodrošinātu instrumenta universālu pielietošanu un efektivitāti salīdzinājumā ar līdzšinējo kārtību, turpmāk </w:t>
      </w:r>
      <w:r w:rsidRPr="00F7731F">
        <w:rPr>
          <w:b/>
          <w:szCs w:val="26"/>
        </w:rPr>
        <w:t>netiek paredzēta iespēja tiesību subjektiem iesniegt atbildīgajā iestādē savus kopējo kapitālieguldījumu IRR aprēķinus</w:t>
      </w:r>
      <w:r w:rsidRPr="001A2447">
        <w:rPr>
          <w:szCs w:val="26"/>
        </w:rPr>
        <w:t>, kurus apstiprinājis zvērināts revidents.</w:t>
      </w:r>
      <w:r w:rsidRPr="00200F97">
        <w:rPr>
          <w:szCs w:val="26"/>
        </w:rPr>
        <w:t xml:space="preserve"> </w:t>
      </w:r>
      <w:r>
        <w:rPr>
          <w:szCs w:val="26"/>
        </w:rPr>
        <w:t>Netiek skartas Satversmē aizsargātās tiesības, ja līmeņatzīmes ir pietuvinātas faktiskajai situācijai.</w:t>
      </w:r>
    </w:p>
    <w:p w14:paraId="4AD40893" w14:textId="77777777" w:rsidR="00EE1CF5" w:rsidRPr="001A2447" w:rsidRDefault="00EE1CF5" w:rsidP="00EE1CF5">
      <w:pPr>
        <w:spacing w:before="120"/>
        <w:ind w:firstLine="720"/>
        <w:rPr>
          <w:szCs w:val="26"/>
        </w:rPr>
      </w:pPr>
      <w:r w:rsidRPr="001A2447">
        <w:rPr>
          <w:szCs w:val="26"/>
        </w:rPr>
        <w:t>Uz 2018.gada 20.jūliju 31 komersants iesniedzis zvērinātu revidentu apstiprinātus aprēķinus, no kuriem 25 komersantiem apstiprināts, ka kopējo kapitālieguldījumu IRR ir zemāks par 9%, savukārt pārējos 6 gadījumos pēc zvērināta revidenta apstiprinātā aprēķina turpmāk piemērojams cenas diferencēšanas koeficients, kas elektroenerģijas iepirkuma cenu samazina par aptuveni 10%. Piemērošanas laikā konstatētas šādas problēmas:</w:t>
      </w:r>
    </w:p>
    <w:p w14:paraId="4359C92B" w14:textId="77777777" w:rsidR="00EE1CF5" w:rsidRPr="001A2447" w:rsidRDefault="00EE1CF5" w:rsidP="00EE1CF5">
      <w:pPr>
        <w:numPr>
          <w:ilvl w:val="0"/>
          <w:numId w:val="1"/>
        </w:numPr>
        <w:spacing w:before="120"/>
        <w:rPr>
          <w:rFonts w:eastAsia="Times New Roman" w:cs="Times New Roman"/>
          <w:szCs w:val="26"/>
        </w:rPr>
      </w:pPr>
      <w:r w:rsidRPr="001A2447">
        <w:rPr>
          <w:szCs w:val="26"/>
        </w:rPr>
        <w:t>Kopējo kapitālieguldījumu IRR aprēķinu faktiski sagatavo pats komersants, bet zvērināts revidents to tikai apstiprina, veicot ierobežotu sagatavotās informācijas pārbaudi;</w:t>
      </w:r>
    </w:p>
    <w:p w14:paraId="66874153" w14:textId="77777777" w:rsidR="00EE1CF5" w:rsidRPr="001A2447" w:rsidRDefault="00EE1CF5" w:rsidP="00EE1CF5">
      <w:pPr>
        <w:numPr>
          <w:ilvl w:val="0"/>
          <w:numId w:val="1"/>
        </w:numPr>
        <w:spacing w:before="120"/>
        <w:rPr>
          <w:rFonts w:eastAsia="Times New Roman" w:cs="Times New Roman"/>
          <w:szCs w:val="26"/>
        </w:rPr>
      </w:pPr>
      <w:r w:rsidRPr="001A2447">
        <w:rPr>
          <w:szCs w:val="26"/>
        </w:rPr>
        <w:t>Zvērināts revidents savā ziņojumā iekļauj atsauci, ka neuzņemas atbildību par iekļauto datu pilnību un precizitāti, jo ir balstījies uz tam nodoto vai citādā veidā iegūto informāciju no komersanta vai publiskiem avotiem. Tāpat zvērināta revidenta ziņojumā tiek iekļauta atsauce, ka zvērināts revidents nav veicis šīs informācijas auditu un negalvo par šīs informācijas patiesīgumu un precizitāti.</w:t>
      </w:r>
    </w:p>
    <w:p w14:paraId="6DE1EAA9" w14:textId="77777777" w:rsidR="00EE1CF5" w:rsidRPr="001A2447" w:rsidRDefault="00EE1CF5" w:rsidP="00EE1CF5">
      <w:pPr>
        <w:numPr>
          <w:ilvl w:val="0"/>
          <w:numId w:val="1"/>
        </w:numPr>
        <w:spacing w:before="120"/>
        <w:rPr>
          <w:rFonts w:eastAsia="Times New Roman" w:cs="Times New Roman"/>
          <w:szCs w:val="26"/>
        </w:rPr>
      </w:pPr>
      <w:r w:rsidRPr="001A2447">
        <w:rPr>
          <w:szCs w:val="26"/>
        </w:rPr>
        <w:t xml:space="preserve">Iesniegtajos aprēķinos </w:t>
      </w:r>
      <w:r>
        <w:rPr>
          <w:szCs w:val="26"/>
        </w:rPr>
        <w:t>EM</w:t>
      </w:r>
      <w:r w:rsidRPr="001A2447">
        <w:rPr>
          <w:szCs w:val="26"/>
        </w:rPr>
        <w:t xml:space="preserve"> vairākkārt ir konstatējusi kļūdas attiecībā jau uz vēsturiskajiem un faktiskajiem elektrostacijas darbības rādītājiem, kas ir </w:t>
      </w:r>
      <w:r>
        <w:rPr>
          <w:szCs w:val="26"/>
        </w:rPr>
        <w:t>EM</w:t>
      </w:r>
      <w:r w:rsidRPr="001A2447">
        <w:rPr>
          <w:szCs w:val="26"/>
        </w:rPr>
        <w:t xml:space="preserve"> rīcībā, kā arī konstatēts, ka nav pareizi ievēroti MK noteikumos Nr.262 un MK noteikumos Nr.221 iekļautie nosacījumi par aprēķina veikšanu nākotnes periodam.</w:t>
      </w:r>
    </w:p>
    <w:p w14:paraId="0EF4499D" w14:textId="77777777" w:rsidR="00EE1CF5" w:rsidRPr="001A2447" w:rsidRDefault="00EE1CF5" w:rsidP="00EE1CF5">
      <w:pPr>
        <w:numPr>
          <w:ilvl w:val="0"/>
          <w:numId w:val="1"/>
        </w:numPr>
        <w:spacing w:before="120"/>
        <w:rPr>
          <w:rFonts w:eastAsia="Times New Roman" w:cs="Times New Roman"/>
          <w:szCs w:val="26"/>
        </w:rPr>
      </w:pPr>
      <w:r w:rsidRPr="001A2447">
        <w:rPr>
          <w:szCs w:val="26"/>
        </w:rPr>
        <w:t>Ņemot vērā, ka zvērināts revidents veic tikai ierobežotu informācijas un datu, ko tam iesniedzis komersants, pārbaudi, elektrostacijas izmaksu pozīcijās var tikt iekļauti izdevumi, kas patiesībā neattiecas uz elektrostaciju un tās kapitālieguldījumiem vai darbības nodrošināšanu, piemēram, gadījumos, kad komersantam ir arī citi darbības veidi bez elektroenerģijas ražošanas attiecīgajā elektrostacijā.</w:t>
      </w:r>
    </w:p>
    <w:p w14:paraId="4CB8B505" w14:textId="77777777" w:rsidR="00EE1CF5" w:rsidRDefault="00EE1CF5" w:rsidP="00EE1CF5">
      <w:pPr>
        <w:spacing w:before="120"/>
        <w:ind w:firstLine="720"/>
        <w:rPr>
          <w:szCs w:val="26"/>
        </w:rPr>
      </w:pPr>
      <w:r w:rsidRPr="001A2447">
        <w:rPr>
          <w:szCs w:val="26"/>
        </w:rPr>
        <w:t xml:space="preserve">Ņemot vērā minētos konstatējumus, secināms, ka zvērināti revidenti neveic pietiekamu komersantu iesniegto elektrostaciju kopējo kapitālieguldījumu IRR aprēķinu </w:t>
      </w:r>
      <w:r w:rsidRPr="001A2447">
        <w:rPr>
          <w:szCs w:val="26"/>
        </w:rPr>
        <w:lastRenderedPageBreak/>
        <w:t xml:space="preserve">pārbaudi </w:t>
      </w:r>
      <w:r w:rsidRPr="00662151">
        <w:rPr>
          <w:szCs w:val="26"/>
        </w:rPr>
        <w:t>un attiecīgi pastāv risks, ka aprēķins neatspoguļo patieso elektrostacijas kopējo kapitālieguldījumu IRR līmeni.</w:t>
      </w:r>
    </w:p>
    <w:p w14:paraId="6505685E" w14:textId="77777777" w:rsidR="00EE1CF5" w:rsidRPr="00662151" w:rsidRDefault="00EE1CF5" w:rsidP="00EE1CF5">
      <w:pPr>
        <w:spacing w:before="120"/>
        <w:ind w:firstLine="720"/>
        <w:rPr>
          <w:szCs w:val="26"/>
        </w:rPr>
      </w:pPr>
      <w:r>
        <w:rPr>
          <w:szCs w:val="26"/>
        </w:rPr>
        <w:t>Ņemot vērā minēto, paredzot komersantiem vienotas prasības un izslēdzot tiesības iesniegt zvērināta revidenta pārbaudi tiks panākta vienāda attieksme un vienāda pārkompensācijas novēršanas mehānisma piemērošana visiem komersantiem, kas pārdod elektroenerģiju OI ietvaros. Šādi ierobežojumi varētu skart komersantu tiesisko paļāvību plānojot savu saimniecisko darbību atbilstoši iepriekš aprēķinātajam IRR, un tās aizsardzībai nosakāms pārejas periods, lai komersanti varētu pārkārtot savu saimniecisko darbību.</w:t>
      </w:r>
    </w:p>
    <w:p w14:paraId="1B81B90A" w14:textId="77777777" w:rsidR="00EE1CF5" w:rsidRDefault="00EE1CF5" w:rsidP="00EE1CF5">
      <w:pPr>
        <w:spacing w:before="120"/>
        <w:ind w:firstLine="720"/>
        <w:rPr>
          <w:szCs w:val="26"/>
        </w:rPr>
      </w:pPr>
      <w:r w:rsidRPr="00662151">
        <w:rPr>
          <w:szCs w:val="26"/>
        </w:rPr>
        <w:t>Attiecībā uz koģenerācijas stacijām ar elektrisko jaudu virs 4MW šobrīd normatīvajos aktos nav noteiktas līmeņatzīmes kopējo kapitālieguldījumu IRR aprēķinam un tās nav paredzēts izstrādāt, ņemot vērā nelielo šādu staciju skaitu valstī un attiecīgi iespējamos datu ieguves avotus, kurus izmantot līmeņatzīmju izstrādei, attiecīgajām stacijām paredzēts saglabāt zvērināta revidenta apstiprināta aprēķina iesniegšanu.</w:t>
      </w:r>
      <w:r>
        <w:rPr>
          <w:szCs w:val="26"/>
        </w:rPr>
        <w:t xml:space="preserve"> </w:t>
      </w:r>
    </w:p>
    <w:p w14:paraId="5AA474C5" w14:textId="77777777" w:rsidR="00EE1CF5" w:rsidRPr="001A2447" w:rsidRDefault="00EE1CF5" w:rsidP="00EE1CF5">
      <w:pPr>
        <w:pStyle w:val="111apaknodaa"/>
        <w:spacing w:before="240" w:after="120"/>
        <w:jc w:val="center"/>
      </w:pPr>
      <w:bookmarkStart w:id="93" w:name="_Toc256000057"/>
      <w:bookmarkStart w:id="94" w:name="_Toc256000025"/>
      <w:bookmarkStart w:id="95" w:name="_Toc523492924"/>
      <w:bookmarkStart w:id="96" w:name="_Toc528585662"/>
      <w:bookmarkStart w:id="97" w:name="_Toc531798575"/>
      <w:r>
        <w:t>4.3.4.</w:t>
      </w:r>
      <w:r w:rsidRPr="001A2447">
        <w:t xml:space="preserve"> Līmeņatzīmju pārskatīšana</w:t>
      </w:r>
      <w:bookmarkEnd w:id="93"/>
      <w:bookmarkEnd w:id="94"/>
      <w:bookmarkEnd w:id="95"/>
      <w:bookmarkEnd w:id="96"/>
      <w:bookmarkEnd w:id="97"/>
    </w:p>
    <w:p w14:paraId="722095FC" w14:textId="77777777" w:rsidR="00EE1CF5" w:rsidRPr="001A2447" w:rsidRDefault="00EE1CF5" w:rsidP="00EE1CF5">
      <w:pPr>
        <w:spacing w:before="120"/>
        <w:ind w:firstLine="720"/>
        <w:rPr>
          <w:rFonts w:eastAsia="Times New Roman" w:cs="Times New Roman"/>
          <w:szCs w:val="26"/>
        </w:rPr>
      </w:pPr>
      <w:r w:rsidRPr="001A2447">
        <w:rPr>
          <w:szCs w:val="26"/>
        </w:rPr>
        <w:t xml:space="preserve">Gan </w:t>
      </w:r>
      <w:r>
        <w:rPr>
          <w:szCs w:val="26"/>
        </w:rPr>
        <w:t xml:space="preserve">saskaņā ar MK noteikumu Nr.262 </w:t>
      </w:r>
      <w:r w:rsidRPr="00260172">
        <w:rPr>
          <w:szCs w:val="26"/>
        </w:rPr>
        <w:t>63.</w:t>
      </w:r>
      <w:r w:rsidRPr="00260172">
        <w:rPr>
          <w:szCs w:val="26"/>
          <w:vertAlign w:val="superscript"/>
        </w:rPr>
        <w:t>14</w:t>
      </w:r>
      <w:r>
        <w:rPr>
          <w:szCs w:val="26"/>
          <w:vertAlign w:val="superscript"/>
        </w:rPr>
        <w:t xml:space="preserve"> </w:t>
      </w:r>
      <w:r>
        <w:rPr>
          <w:szCs w:val="26"/>
        </w:rPr>
        <w:t>punktu, gan MK noteikumu</w:t>
      </w:r>
      <w:r w:rsidRPr="001A2447">
        <w:rPr>
          <w:szCs w:val="26"/>
        </w:rPr>
        <w:t xml:space="preserve"> Nr.221 </w:t>
      </w:r>
      <w:r w:rsidRPr="001B0DD3">
        <w:rPr>
          <w:szCs w:val="26"/>
        </w:rPr>
        <w:t>56.</w:t>
      </w:r>
      <w:r w:rsidRPr="001B0DD3">
        <w:rPr>
          <w:szCs w:val="26"/>
          <w:vertAlign w:val="superscript"/>
        </w:rPr>
        <w:t>17</w:t>
      </w:r>
      <w:r>
        <w:rPr>
          <w:szCs w:val="26"/>
        </w:rPr>
        <w:t xml:space="preserve"> punktu EM var ierosināt </w:t>
      </w:r>
      <w:r w:rsidRPr="00234B3F">
        <w:rPr>
          <w:szCs w:val="26"/>
        </w:rPr>
        <w:t>pārskatīt noteikumos iekļauto līmeņatzīmju attiecībā uz inflāciju, personāla izmaksām, kurināmā cenu un dabasgāzes tirdzniecības cenas prognozēm vērtību pamatotību un atbilstību faktiskajai situācijai.</w:t>
      </w:r>
      <w:r w:rsidRPr="00200F97">
        <w:rPr>
          <w:szCs w:val="26"/>
        </w:rPr>
        <w:t xml:space="preserve"> </w:t>
      </w:r>
      <w:r>
        <w:rPr>
          <w:szCs w:val="26"/>
        </w:rPr>
        <w:t>Atkarībā no plānoto izmaiņu ietekmes uz stacijām tās var skart gan komersantu īpašumtiesības, gan tiesiskā paļāvība. Īpašumtiesības var tikt skartas gadījumos, ja ar plānotajām izmaiņām var tikt apdraudēta tādu stacijas ienākumu nodrošināšana, lai tās turpinātu pastāvēt. Savukārt tiesiskā paļāvība var tikt skarta gadījumos, ja netiek nodrošināts saprātīgs pārejas periods jaunā regulējuma ieviešanai, sniedzot iespēju komersantiem pārkārtot saimniecisko darbību.</w:t>
      </w:r>
    </w:p>
    <w:p w14:paraId="6726DE61" w14:textId="77777777" w:rsidR="00EE1CF5" w:rsidRPr="001A2447" w:rsidRDefault="00EE1CF5" w:rsidP="00EE1CF5">
      <w:pPr>
        <w:spacing w:before="120"/>
        <w:ind w:firstLine="720"/>
        <w:rPr>
          <w:rFonts w:eastAsia="Times New Roman" w:cs="Times New Roman"/>
          <w:szCs w:val="26"/>
        </w:rPr>
      </w:pPr>
      <w:r w:rsidRPr="001A2447">
        <w:rPr>
          <w:szCs w:val="26"/>
        </w:rPr>
        <w:t xml:space="preserve">Ņemot vērā minēto, tiek piedāvāts </w:t>
      </w:r>
      <w:r w:rsidRPr="00234B3F">
        <w:rPr>
          <w:b/>
          <w:szCs w:val="26"/>
        </w:rPr>
        <w:t>inflācijas līmeņatzīmes</w:t>
      </w:r>
      <w:r w:rsidRPr="001A2447">
        <w:rPr>
          <w:szCs w:val="26"/>
        </w:rPr>
        <w:t xml:space="preserve"> 2016. un 2017.gadā aizstāt ar faktiskajām vērtībām, kā tas ir iekļauts pašreizējās līmeņatzīmēs līdz 2015.gadam. Tā rezultātā 2016.gada inflācijas līmeņatzīme 0,4% tiktu aizstāta ar faktisko vērtību 0,1%, bet 2017.gada līmeņatzīme 2% ar faktisko vērtību 2,9%. </w:t>
      </w:r>
    </w:p>
    <w:p w14:paraId="592E1690" w14:textId="77777777" w:rsidR="00EE1CF5" w:rsidRDefault="00EE1CF5" w:rsidP="00EE1CF5">
      <w:pPr>
        <w:spacing w:before="120"/>
        <w:ind w:firstLine="720"/>
        <w:rPr>
          <w:szCs w:val="26"/>
        </w:rPr>
      </w:pPr>
      <w:r w:rsidRPr="001A2447">
        <w:rPr>
          <w:szCs w:val="26"/>
        </w:rPr>
        <w:t xml:space="preserve"> Ņemot vērā izmaiņas situācijā dabasgāzes tirgū, ir </w:t>
      </w:r>
      <w:r w:rsidRPr="00234B3F">
        <w:rPr>
          <w:b/>
          <w:szCs w:val="26"/>
        </w:rPr>
        <w:t>pārskatāmas MK noteikumos Nr.221 iekļautās dabasgāzes tirdzniecības cenas prognozes</w:t>
      </w:r>
      <w:r w:rsidRPr="001A2447">
        <w:rPr>
          <w:szCs w:val="26"/>
        </w:rPr>
        <w:t>, kā rezultātā 2017.gadā un 2018.gadā aprēķinos ir izmantojamas faktiskās dabasgāzes cenā saistītajiem lietotājiem iekļautās dabasgāzes tirdzniecības cenas – 2017.gada 2.pusgadā: 18,23 EUR/MWh; 2018.gada 1.pusgadā: 17,55 EUR/MWh; 2018.gada 2.pusgadā 22,95 EUR/MWh, savukārt MK noteikumu Nr.221 8.pielikuma 9.tabula ir aktualizējama ar dabasgāzes tirdzniecības cenu atbilstoši dabasgāzes biržas “Gaspool” pēdējā mēneša nākotnes cenu prognozēm, ņemot vērā samērīgu tirdzniecības uzcenojumu 1 EUR/MWh:</w:t>
      </w:r>
      <w:r w:rsidRPr="00865ADC">
        <w:rPr>
          <w:szCs w:val="26"/>
        </w:rPr>
        <w:t xml:space="preserve"> </w:t>
      </w:r>
      <w:r w:rsidRPr="0038552F">
        <w:rPr>
          <w:szCs w:val="26"/>
        </w:rPr>
        <w:t>2019.gadā 25,67 EUR/MWh; 2020.gadā 22,94 EUR/MWh, 2021.gadā 21,76 EUR/MWh, 2022.gadā un turpmāk 20,58 EUR/MWh.</w:t>
      </w:r>
      <w:r w:rsidRPr="001A2447">
        <w:rPr>
          <w:szCs w:val="26"/>
        </w:rPr>
        <w:t xml:space="preserve"> “Gaspool” ir viena no likvīdākajām dabasgāzes tirdzniecības platformām, kas atspoguļo dabasgāzes pieprasījumu un piedāvājumu ar Baltijas valstīm būtiski saistītajos Rietumeiropas un Centrāleiropas tirgos, tāpēc tā tiek izmantota arī vairāku Latvijas enerģētikas nozares uzņēmumu aprēķinos un saimnieciskās darbības prognozēs.</w:t>
      </w:r>
    </w:p>
    <w:p w14:paraId="58247EA8" w14:textId="77777777" w:rsidR="00EE1CF5" w:rsidRPr="001A2447" w:rsidRDefault="00EE1CF5" w:rsidP="00EE1CF5">
      <w:pPr>
        <w:spacing w:before="120"/>
        <w:ind w:firstLine="720"/>
        <w:rPr>
          <w:szCs w:val="26"/>
        </w:rPr>
      </w:pPr>
      <w:r>
        <w:rPr>
          <w:szCs w:val="26"/>
        </w:rPr>
        <w:lastRenderedPageBreak/>
        <w:t xml:space="preserve">No 2020.gada pārskatāmas biogāzes kā kurināmā izmaksas, ievērojot </w:t>
      </w:r>
      <w:r w:rsidRPr="001A2447">
        <w:rPr>
          <w:szCs w:val="26"/>
        </w:rPr>
        <w:t xml:space="preserve">atlikumproduktu izmantošanas </w:t>
      </w:r>
      <w:r>
        <w:rPr>
          <w:szCs w:val="26"/>
        </w:rPr>
        <w:t xml:space="preserve">sliekšņus, kurus paredzēts noteikt ar grozījumiem regulējošos normatīvajos aktos. </w:t>
      </w:r>
    </w:p>
    <w:p w14:paraId="0B1BE5E6" w14:textId="77777777" w:rsidR="00EE1CF5" w:rsidRPr="001A2447" w:rsidRDefault="00EE1CF5" w:rsidP="00EE1CF5">
      <w:pPr>
        <w:spacing w:before="120"/>
        <w:ind w:firstLine="720"/>
        <w:rPr>
          <w:rFonts w:eastAsia="Times New Roman" w:cs="Times New Roman"/>
          <w:szCs w:val="26"/>
        </w:rPr>
      </w:pPr>
      <w:r w:rsidRPr="001A2447">
        <w:rPr>
          <w:szCs w:val="26"/>
        </w:rPr>
        <w:t xml:space="preserve">Tāpat, ņemot vērā izmaiņas biomasas tirgū, </w:t>
      </w:r>
      <w:r w:rsidRPr="00234B3F">
        <w:rPr>
          <w:b/>
          <w:szCs w:val="26"/>
        </w:rPr>
        <w:t>pārskatāmas arī MK noteikumos Nr.221 un MK noteikumos Nr.262 iekļautās biomasas cenas līmeņatzīmes</w:t>
      </w:r>
      <w:r w:rsidRPr="001A2447">
        <w:rPr>
          <w:szCs w:val="26"/>
        </w:rPr>
        <w:t>.</w:t>
      </w:r>
    </w:p>
    <w:p w14:paraId="484F6D7D" w14:textId="77777777" w:rsidR="00EE1CF5" w:rsidRDefault="00EE1CF5" w:rsidP="00EE1CF5">
      <w:pPr>
        <w:spacing w:before="120"/>
        <w:ind w:firstLine="720"/>
        <w:rPr>
          <w:szCs w:val="26"/>
        </w:rPr>
      </w:pPr>
      <w:r w:rsidRPr="00FB5387">
        <w:rPr>
          <w:szCs w:val="26"/>
        </w:rPr>
        <w:t xml:space="preserve">Ņemot vērā, ka elektrostacijām piešķirtais elektroenerģijas obligātā iepirkuma apjoms ir aprēķināts saskaņā ar lielāku darba stundu skaitu, nekā tas pašlaik noteikts MK noteikumu Nr.221 un MK noteikumu Nr.262 līmeņatzīmēs, </w:t>
      </w:r>
      <w:r w:rsidRPr="00405BCC">
        <w:rPr>
          <w:b/>
          <w:szCs w:val="26"/>
        </w:rPr>
        <w:t>aprēķinā izmantojams darba stundu skaits, kas iegūstams aprēķina brīdī elektrostacijai noteikto obligātā iepirkuma apjomu gadā dalot ar elektrostacijas faktisko uzstādīto elektrisko jaudu</w:t>
      </w:r>
      <w:r w:rsidRPr="00405BCC">
        <w:rPr>
          <w:szCs w:val="26"/>
        </w:rPr>
        <w:t>.</w:t>
      </w:r>
      <w:r w:rsidRPr="00FB5387">
        <w:rPr>
          <w:szCs w:val="26"/>
        </w:rPr>
        <w:t xml:space="preserve"> Jāņem vērā, ka atbilstoši 2018.gada 10.aprīlī pieņemtajiem grozījumiem MK noteikumos Nr.262 un MK noteikumos Nr.221 līdz 2019.gada 1.aprīlim tiks pārskatīti visi noteiktie elektroenerģijas iepirkuma apjomi obligātā iepirkuma ietvaros atbilstoši elektrostacijā faktiski uzstādītajai elektriskajai jaudai, pamatojoties uz elektroenerģijas obligātā iepirkuma tiesību kvalificēšanās brīdī plānoto elektrostacijas darba stundu skaitu. Līdz ar to ir tikai pamatoti turpmākajos gados elektrostacijām, aprēķinot ieņēmumus no elektroenerģijas un siltumenerģijas pārdošanas, pieņemt, ka katra elektrostacija nostrādās tikpat darba stundas, cik tā ir plānojusi, kvalificējoties </w:t>
      </w:r>
      <w:r w:rsidRPr="00662151">
        <w:rPr>
          <w:szCs w:val="26"/>
        </w:rPr>
        <w:t xml:space="preserve">elektroenerģijas obligātā iepirkuma tiesību iegūšanai, izmantojot visu tai noteikto elektroenerģijas obligātā iepirkuma apjomu, uz ko tā ir pretendējusi, kvalificējoties elektroenerģijas obligātā iepirkuma tiesību iegūšanai. </w:t>
      </w:r>
    </w:p>
    <w:p w14:paraId="2A283272" w14:textId="77777777" w:rsidR="00EE1CF5" w:rsidRPr="00FB5387" w:rsidRDefault="00EE1CF5" w:rsidP="00EE1CF5">
      <w:pPr>
        <w:spacing w:before="120"/>
        <w:ind w:firstLine="720"/>
      </w:pPr>
      <w:r w:rsidRPr="00662151">
        <w:rPr>
          <w:szCs w:val="26"/>
        </w:rPr>
        <w:t xml:space="preserve">Taču jāņem vērā, ka lielākajai daļai no dabasgāzes, biogāzes un biomasas elektrostacijām šis plānotais darba stundu skaits ir tuvu 8000 stundām, bet vēja un hidroelektrostacijām tuvojas MK noteikumos Nr.262 noteiktajam maksimālajam darba stundu skaitam – attiecīgi 3500 un 5000 stundas. Tāpēc </w:t>
      </w:r>
      <w:r w:rsidRPr="00662151">
        <w:rPr>
          <w:b/>
          <w:szCs w:val="26"/>
        </w:rPr>
        <w:t>vienlaikus paredzēts komersantiem dot iespēju samazināt obligātā iepirkuma maksimālo apjomu</w:t>
      </w:r>
      <w:r w:rsidRPr="00662151">
        <w:rPr>
          <w:szCs w:val="26"/>
        </w:rPr>
        <w:t>, ko sekojoši ņemtu vērā kopējo kapitālieguldījumu IRR aprēķinā. Tas savukārt garantētu obligātā iepirkuma ietvaros iepirktās elektroenerģijas apjoma un sekojoši atbalsta apmēra samazināšanos turpmākos gados.</w:t>
      </w:r>
      <w:r>
        <w:rPr>
          <w:szCs w:val="26"/>
        </w:rPr>
        <w:t xml:space="preserve"> </w:t>
      </w:r>
    </w:p>
    <w:p w14:paraId="632417AE" w14:textId="77777777" w:rsidR="00EE1CF5" w:rsidRDefault="00EE1CF5" w:rsidP="00EE1CF5">
      <w:pPr>
        <w:spacing w:before="120"/>
        <w:ind w:firstLine="720"/>
      </w:pPr>
      <w:r w:rsidRPr="001A2447">
        <w:rPr>
          <w:szCs w:val="26"/>
        </w:rPr>
        <w:t xml:space="preserve">Attiecībā uz pašreizējā kopējo kapitālieguldījumu IRR aprēķinā iekļauto siltumenerģijas pārdošanas cenas līmeņatzīmes aprēķinu biomasas stacijām, secināms, ka tā neatspoguļo vidējo statistisko siltumenerģijas pārdošanas cenu valstī, jo saskaņā ar pašreizējo </w:t>
      </w:r>
      <w:r w:rsidRPr="001A2447">
        <w:rPr>
          <w:rFonts w:eastAsia="Times New Roman" w:cs="Times New Roman"/>
          <w:szCs w:val="26"/>
        </w:rPr>
        <w:tab/>
      </w:r>
      <w:r w:rsidRPr="001A2447">
        <w:rPr>
          <w:szCs w:val="26"/>
        </w:rPr>
        <w:t xml:space="preserve">aprēķina metodiku nepārsniedz 20 EUR/MWh, piemēram, pie šķeldas cenas 12 EUR/MWh atbilstoši spēkā esošajam siltumenerģijas pārdošanas cenas līmeņatzīmes aprēķinam tā ir 15 EUR/MWh. Līdz ar to ir </w:t>
      </w:r>
      <w:r w:rsidRPr="00234B3F">
        <w:rPr>
          <w:b/>
          <w:szCs w:val="26"/>
        </w:rPr>
        <w:t xml:space="preserve">pārskatāms kopējo kapitālieguldījumu IRR aprēķinā biomasas </w:t>
      </w:r>
      <w:r>
        <w:rPr>
          <w:b/>
          <w:szCs w:val="26"/>
        </w:rPr>
        <w:t xml:space="preserve">un biogāzes </w:t>
      </w:r>
      <w:r w:rsidRPr="00234B3F">
        <w:rPr>
          <w:b/>
          <w:szCs w:val="26"/>
        </w:rPr>
        <w:t>stacijām iekļautā siltumenerģijas pārdošanas cenas noteikšanas princips</w:t>
      </w:r>
      <w:r w:rsidRPr="001A2447">
        <w:rPr>
          <w:szCs w:val="26"/>
        </w:rPr>
        <w:t xml:space="preserve">, </w:t>
      </w:r>
      <w:r>
        <w:rPr>
          <w:szCs w:val="26"/>
        </w:rPr>
        <w:t xml:space="preserve">atsakoties no principa, ka siltumenerģijas pārdošanas cena tiek noteikta atkarībā no kurināmā izmaksām, un pietuvinot </w:t>
      </w:r>
      <w:r w:rsidRPr="00076396">
        <w:rPr>
          <w:szCs w:val="26"/>
        </w:rPr>
        <w:t>siltumenerģijas pārdošanas cen</w:t>
      </w:r>
      <w:r>
        <w:rPr>
          <w:szCs w:val="26"/>
        </w:rPr>
        <w:t>u</w:t>
      </w:r>
      <w:r w:rsidRPr="00076396">
        <w:rPr>
          <w:szCs w:val="26"/>
        </w:rPr>
        <w:t xml:space="preserve"> tirgus situācijai.</w:t>
      </w:r>
    </w:p>
    <w:p w14:paraId="7AAD46FF" w14:textId="77777777" w:rsidR="00EE1CF5" w:rsidRDefault="00EE1CF5" w:rsidP="00EE1CF5">
      <w:pPr>
        <w:spacing w:before="120"/>
        <w:ind w:firstLine="720"/>
        <w:rPr>
          <w:b/>
        </w:rPr>
      </w:pPr>
      <w:r>
        <w:rPr>
          <w:rFonts w:eastAsia="Times New Roman" w:cs="Times New Roman"/>
          <w:szCs w:val="26"/>
        </w:rPr>
        <w:t xml:space="preserve">Attiecībā uz biogāzes stacijām </w:t>
      </w:r>
      <w:r>
        <w:t>š</w:t>
      </w:r>
      <w:r w:rsidRPr="0038552F">
        <w:t>obrīd aprēķinā, rēķinot ieņēmumus no siltumenerģijas pārdošanas, 35% no saražotās siltumenerģijas netiek ieskaitīta pie pārdotās, bet ieskaitīta kā patērēta biogāzes ražošanai</w:t>
      </w:r>
      <w:r>
        <w:t>, savukārt kurināmā izmaksas tiek aprēķinātas par visu saražoto siltumenerģiju</w:t>
      </w:r>
      <w:r w:rsidRPr="0038552F">
        <w:t xml:space="preserve">. </w:t>
      </w:r>
      <w:r>
        <w:t>Ņ</w:t>
      </w:r>
      <w:r w:rsidRPr="0038552F">
        <w:t xml:space="preserve">emot vērā, ka arī </w:t>
      </w:r>
      <w:r>
        <w:t>biogāzes ražošanai izmantotajai</w:t>
      </w:r>
      <w:r w:rsidRPr="0038552F">
        <w:t xml:space="preserve"> siltumenerģijai ir vērtība, kā arī</w:t>
      </w:r>
      <w:r>
        <w:t>,</w:t>
      </w:r>
      <w:r w:rsidRPr="0038552F">
        <w:t xml:space="preserve"> lai motivētu to izmantot iespējami efektīvi, tiek piedāvāts atteikties no šī </w:t>
      </w:r>
      <w:r>
        <w:t>principa</w:t>
      </w:r>
      <w:r w:rsidRPr="0038552F">
        <w:t xml:space="preserve"> un uzskatīt, ka </w:t>
      </w:r>
      <w:r w:rsidRPr="00CB7BE1">
        <w:rPr>
          <w:b/>
        </w:rPr>
        <w:t>visa</w:t>
      </w:r>
      <w:r w:rsidRPr="0038552F">
        <w:rPr>
          <w:b/>
        </w:rPr>
        <w:t xml:space="preserve"> saražotā siltumenerģija no 2019.gada tiek pārdota par </w:t>
      </w:r>
      <w:r>
        <w:rPr>
          <w:b/>
        </w:rPr>
        <w:t>noteiktu cenu</w:t>
      </w:r>
      <w:r w:rsidRPr="0038552F">
        <w:rPr>
          <w:b/>
        </w:rPr>
        <w:t>.</w:t>
      </w:r>
    </w:p>
    <w:p w14:paraId="6489AE34" w14:textId="77777777" w:rsidR="00EE1CF5" w:rsidRPr="001A2447" w:rsidRDefault="00EE1CF5" w:rsidP="00EE1CF5">
      <w:pPr>
        <w:pStyle w:val="111apaknodaa"/>
        <w:spacing w:before="240" w:after="120"/>
        <w:jc w:val="center"/>
      </w:pPr>
      <w:bookmarkStart w:id="98" w:name="_Toc256000058"/>
      <w:bookmarkStart w:id="99" w:name="_Toc256000026"/>
      <w:bookmarkStart w:id="100" w:name="_Toc523492925"/>
      <w:bookmarkStart w:id="101" w:name="_Toc528585663"/>
      <w:bookmarkStart w:id="102" w:name="_Toc531798576"/>
      <w:r>
        <w:lastRenderedPageBreak/>
        <w:t>4.3.5</w:t>
      </w:r>
      <w:r w:rsidRPr="001A2447">
        <w:t>. Instrumenta ieviešana</w:t>
      </w:r>
      <w:bookmarkEnd w:id="98"/>
      <w:bookmarkEnd w:id="99"/>
      <w:bookmarkEnd w:id="100"/>
      <w:bookmarkEnd w:id="101"/>
      <w:bookmarkEnd w:id="102"/>
    </w:p>
    <w:p w14:paraId="10ECED9D" w14:textId="77777777" w:rsidR="00EE1CF5" w:rsidRPr="001A2447" w:rsidRDefault="00EE1CF5" w:rsidP="00EE1CF5">
      <w:pPr>
        <w:spacing w:before="120"/>
        <w:ind w:firstLine="720"/>
        <w:rPr>
          <w:rFonts w:eastAsia="Times New Roman" w:cs="Times New Roman"/>
          <w:szCs w:val="26"/>
        </w:rPr>
      </w:pPr>
      <w:r w:rsidRPr="001A2447">
        <w:rPr>
          <w:rFonts w:eastAsia="Times New Roman" w:cs="Times New Roman"/>
          <w:szCs w:val="26"/>
        </w:rPr>
        <w:t xml:space="preserve">Īstenojot instrumentu un pilnveidojot OI mehānismā ietverto elektrostaciju kopējo kapitālieguldījumu IRR aprēķināšanas metodiku un piemērošanas kārtību, jārēķinās ar iespējamiem tiesvedību riskiem, kas atkarīgi no risinājuma īstenošanas veida un formas. Ja paredzētais instruments nav konfiscējoša rakstura, tad instruments atbilst Satversmei. Tiesības uz peļņu Satversmē netiek aizsargātas. </w:t>
      </w:r>
    </w:p>
    <w:p w14:paraId="6C646903" w14:textId="77777777" w:rsidR="00EE1CF5" w:rsidRPr="001A2447" w:rsidRDefault="00EE1CF5" w:rsidP="00EE1CF5">
      <w:pPr>
        <w:spacing w:before="120"/>
        <w:ind w:firstLine="720"/>
        <w:rPr>
          <w:rFonts w:eastAsia="Times New Roman" w:cs="Times New Roman"/>
          <w:szCs w:val="26"/>
        </w:rPr>
      </w:pPr>
      <w:r w:rsidRPr="001A2447">
        <w:rPr>
          <w:szCs w:val="26"/>
        </w:rPr>
        <w:t xml:space="preserve">Instrumenta īstenošana dos ieguldījumu sistēmas sakārtošanā un atbalsta mehānisma efektivitātes uzlabošanā, vienlaikus samazinot sabiedrības izmaksas par OIK, tomēr, tas ir salīdzinoši sarežģīts mehānisms, kas rada pietiekami lielu administratīvo slogu. IRR aprēķina metodika saistīta ar kārtības noteikšanu, kā tiks ņemti vērā nākotnes naudas plūsmu ietekmējošie faktori. </w:t>
      </w:r>
    </w:p>
    <w:p w14:paraId="631D9525" w14:textId="77777777" w:rsidR="00EE1CF5" w:rsidRDefault="00EE1CF5" w:rsidP="00EE1CF5">
      <w:pPr>
        <w:spacing w:before="120"/>
        <w:ind w:left="45" w:firstLine="675"/>
        <w:rPr>
          <w:szCs w:val="26"/>
        </w:rPr>
      </w:pPr>
      <w:r w:rsidRPr="004F094D">
        <w:rPr>
          <w:szCs w:val="26"/>
        </w:rPr>
        <w:t>Instrumentu paredzēts ieviest,</w:t>
      </w:r>
      <w:r w:rsidRPr="004F094D">
        <w:rPr>
          <w:bCs/>
          <w:szCs w:val="26"/>
        </w:rPr>
        <w:t xml:space="preserve"> izstrādājot </w:t>
      </w:r>
      <w:r w:rsidRPr="004F094D">
        <w:rPr>
          <w:szCs w:val="26"/>
        </w:rPr>
        <w:t xml:space="preserve">grozījumus MK noteikumos Nr.221 un MK noteikumos Nr.262 – kopējo kapitālieguldījumu IRR aprēķināšanas metodikā un piemērošanas kārtībā. </w:t>
      </w:r>
      <w:r>
        <w:rPr>
          <w:szCs w:val="26"/>
        </w:rPr>
        <w:t xml:space="preserve">Iepriekš aprakstītā </w:t>
      </w:r>
      <w:r w:rsidRPr="001A2447">
        <w:rPr>
          <w:szCs w:val="26"/>
        </w:rPr>
        <w:t xml:space="preserve">kopējo kapitālieguldījumu </w:t>
      </w:r>
      <w:r>
        <w:rPr>
          <w:szCs w:val="26"/>
        </w:rPr>
        <w:t>IRR</w:t>
      </w:r>
      <w:r w:rsidRPr="001A2447">
        <w:rPr>
          <w:szCs w:val="26"/>
        </w:rPr>
        <w:t xml:space="preserve"> aprēķināšanas metodik</w:t>
      </w:r>
      <w:r>
        <w:rPr>
          <w:szCs w:val="26"/>
        </w:rPr>
        <w:t>as</w:t>
      </w:r>
      <w:r w:rsidRPr="001A2447">
        <w:rPr>
          <w:szCs w:val="26"/>
        </w:rPr>
        <w:t xml:space="preserve"> un piemērošanas kārtīb</w:t>
      </w:r>
      <w:r>
        <w:rPr>
          <w:szCs w:val="26"/>
        </w:rPr>
        <w:t>as pilnveidošana kā instruments</w:t>
      </w:r>
      <w:r w:rsidRPr="00DC6EE3">
        <w:rPr>
          <w:szCs w:val="26"/>
        </w:rPr>
        <w:t xml:space="preserve"> ir </w:t>
      </w:r>
      <w:r>
        <w:rPr>
          <w:szCs w:val="26"/>
        </w:rPr>
        <w:t>saskaņojama ar</w:t>
      </w:r>
      <w:r w:rsidRPr="00DC6EE3">
        <w:rPr>
          <w:szCs w:val="26"/>
        </w:rPr>
        <w:t xml:space="preserve"> EK kā grozījumi esošajā</w:t>
      </w:r>
      <w:r>
        <w:rPr>
          <w:szCs w:val="26"/>
        </w:rPr>
        <w:t xml:space="preserve"> atbalsta</w:t>
      </w:r>
      <w:r w:rsidRPr="00DC6EE3">
        <w:rPr>
          <w:szCs w:val="26"/>
        </w:rPr>
        <w:t xml:space="preserve"> shēmā, </w:t>
      </w:r>
      <w:r>
        <w:rPr>
          <w:szCs w:val="26"/>
        </w:rPr>
        <w:t>instrument</w:t>
      </w:r>
      <w:r w:rsidRPr="00DC6EE3">
        <w:rPr>
          <w:szCs w:val="26"/>
        </w:rPr>
        <w:t xml:space="preserve">a saderīgumu vērtējot atbilstoši Komisijas paziņojumam – Pamatnostādnes par valsts atbalstu vides aizsardzībai un enerģētikai 2014. -2020.gadam (2014/C 200/01). </w:t>
      </w:r>
      <w:r w:rsidRPr="00A9178A">
        <w:rPr>
          <w:bCs/>
          <w:szCs w:val="26"/>
        </w:rPr>
        <w:t xml:space="preserve">Plānoto instrumentu </w:t>
      </w:r>
      <w:r>
        <w:rPr>
          <w:bCs/>
          <w:szCs w:val="26"/>
        </w:rPr>
        <w:t xml:space="preserve">pilnībā </w:t>
      </w:r>
      <w:r w:rsidRPr="00A9178A">
        <w:rPr>
          <w:bCs/>
          <w:szCs w:val="26"/>
        </w:rPr>
        <w:t>varēs ieviest tikai pēc EK saskaņojuma par saderīgumu ar iekšējo tirgu saņemšanas</w:t>
      </w:r>
      <w:r>
        <w:rPr>
          <w:szCs w:val="26"/>
        </w:rPr>
        <w:t xml:space="preserve"> un </w:t>
      </w:r>
      <w:r w:rsidRPr="00DC6EE3">
        <w:rPr>
          <w:szCs w:val="26"/>
        </w:rPr>
        <w:t>plānotie grozījumi ir jāsaskaņo ar EK attiecīgo MK noteikumu projekta izstrādes laikā pirms to spēkā stāšanās</w:t>
      </w:r>
      <w:r>
        <w:rPr>
          <w:szCs w:val="26"/>
        </w:rPr>
        <w:t xml:space="preserve"> vai pēc </w:t>
      </w:r>
      <w:r w:rsidRPr="00DC6EE3">
        <w:rPr>
          <w:szCs w:val="26"/>
        </w:rPr>
        <w:t>MK noteikumu pieņemšanas ar atrunu, ka MK noteikumi stājas spēkā pēc EK lēmuma saņemšanas.</w:t>
      </w:r>
    </w:p>
    <w:p w14:paraId="00EF8C6E" w14:textId="77777777" w:rsidR="00EE1CF5" w:rsidRPr="004F094D" w:rsidRDefault="00EE1CF5" w:rsidP="00EE1CF5">
      <w:pPr>
        <w:spacing w:before="120"/>
        <w:ind w:left="45" w:firstLine="675"/>
        <w:rPr>
          <w:szCs w:val="26"/>
        </w:rPr>
      </w:pPr>
      <w:r w:rsidRPr="00DC6EE3">
        <w:rPr>
          <w:szCs w:val="26"/>
        </w:rPr>
        <w:t>Ņemot vērā grozījumu raksturu, nepastāv risks, ka grozījumi varētu netikt saskaņoti</w:t>
      </w:r>
      <w:r>
        <w:rPr>
          <w:szCs w:val="26"/>
        </w:rPr>
        <w:t xml:space="preserve">. </w:t>
      </w:r>
      <w:r w:rsidRPr="00DC6EE3">
        <w:rPr>
          <w:szCs w:val="26"/>
        </w:rPr>
        <w:t>MK noteikumu grozījumiem stājoties spēkā, EM</w:t>
      </w:r>
      <w:r>
        <w:rPr>
          <w:szCs w:val="26"/>
        </w:rPr>
        <w:t xml:space="preserve"> </w:t>
      </w:r>
      <w:r w:rsidRPr="004F094D">
        <w:rPr>
          <w:szCs w:val="26"/>
        </w:rPr>
        <w:t xml:space="preserve">būs </w:t>
      </w:r>
      <w:r>
        <w:rPr>
          <w:szCs w:val="26"/>
        </w:rPr>
        <w:t xml:space="preserve">visām elektrostacijām </w:t>
      </w:r>
      <w:r w:rsidRPr="004F094D">
        <w:rPr>
          <w:szCs w:val="26"/>
        </w:rPr>
        <w:t>jāveic kopējo kapitālieguldījumu IRR aprēķinus un elektroenerģijas iepirkuma cenas diferencēšanas koeficienta piemērošanu, tai skaitā veicot pārrēķinu jau iepriekš veiktajiem kopējo kapitālieguldījumu IRR aprēķiniem.</w:t>
      </w:r>
    </w:p>
    <w:p w14:paraId="00EAFF3A" w14:textId="77777777" w:rsidR="00EE1CF5" w:rsidRDefault="00EE1CF5" w:rsidP="00EE1CF5"/>
    <w:p w14:paraId="524E0E71" w14:textId="77777777" w:rsidR="00EE1CF5" w:rsidRPr="006C4580" w:rsidRDefault="00EE1CF5" w:rsidP="00EE1CF5">
      <w:pPr>
        <w:pStyle w:val="11apaknodaa"/>
        <w:keepNext/>
        <w:keepLines/>
        <w:spacing w:before="240"/>
      </w:pPr>
      <w:bookmarkStart w:id="103" w:name="_Toc256000059"/>
      <w:bookmarkStart w:id="104" w:name="_Toc256000027"/>
      <w:bookmarkStart w:id="105" w:name="_Toc523492926"/>
      <w:bookmarkStart w:id="106" w:name="_Toc528585664"/>
      <w:bookmarkStart w:id="107" w:name="_Toc531798577"/>
      <w:r>
        <w:t>4</w:t>
      </w:r>
      <w:r w:rsidRPr="006C4580">
        <w:t>.4.</w:t>
      </w:r>
      <w:r w:rsidRPr="006C4580">
        <w:tab/>
        <w:t>Prasības izejvielu kvalitātes kritērijiem biogāzes stacijām</w:t>
      </w:r>
      <w:bookmarkEnd w:id="103"/>
      <w:bookmarkEnd w:id="104"/>
      <w:bookmarkEnd w:id="105"/>
      <w:bookmarkEnd w:id="106"/>
      <w:bookmarkEnd w:id="107"/>
    </w:p>
    <w:p w14:paraId="178CD723" w14:textId="77777777" w:rsidR="00EE1CF5" w:rsidRPr="001A2447" w:rsidRDefault="00EE1CF5" w:rsidP="00EE1CF5">
      <w:pPr>
        <w:keepNext/>
        <w:keepLines/>
        <w:spacing w:before="120"/>
        <w:ind w:firstLine="720"/>
        <w:rPr>
          <w:szCs w:val="26"/>
        </w:rPr>
      </w:pPr>
      <w:r w:rsidRPr="001A2447">
        <w:rPr>
          <w:szCs w:val="26"/>
        </w:rPr>
        <w:t xml:space="preserve">Instruments paredz </w:t>
      </w:r>
      <w:bookmarkStart w:id="108" w:name="_Hlk523396139"/>
      <w:r w:rsidRPr="00BE2DDC">
        <w:rPr>
          <w:b/>
          <w:szCs w:val="26"/>
        </w:rPr>
        <w:t>noteikt pienākumu komersantam biogāzes ražošanas iekārtā kā pamatizejvielu biogāzes ražošanai izmantot noteiktu apjomu</w:t>
      </w:r>
      <w:r w:rsidRPr="00BE2DDC">
        <w:rPr>
          <w:rFonts w:eastAsia="Times New Roman" w:cs="Times New Roman"/>
          <w:b/>
          <w:szCs w:val="26"/>
        </w:rPr>
        <w:t xml:space="preserve"> </w:t>
      </w:r>
      <w:r w:rsidRPr="00BE2DDC">
        <w:rPr>
          <w:b/>
          <w:szCs w:val="26"/>
        </w:rPr>
        <w:t xml:space="preserve">pārtikas atkritumu un citu organiskas izcelsmes atkritumu un ražošanas atlikumproduktus, lopkopības un putnkopības atlikumproduktus, kā arī </w:t>
      </w:r>
      <w:r>
        <w:rPr>
          <w:b/>
          <w:szCs w:val="26"/>
        </w:rPr>
        <w:t xml:space="preserve">sadzīves, komunālos un </w:t>
      </w:r>
      <w:r w:rsidRPr="00BE2DDC">
        <w:rPr>
          <w:b/>
          <w:szCs w:val="26"/>
        </w:rPr>
        <w:t xml:space="preserve">pārtikas rūpniecības uzņēmumu notekūdeņus </w:t>
      </w:r>
      <w:r>
        <w:rPr>
          <w:b/>
          <w:szCs w:val="26"/>
        </w:rPr>
        <w:t xml:space="preserve">un to dūņas </w:t>
      </w:r>
      <w:r w:rsidRPr="00BE2DDC">
        <w:rPr>
          <w:b/>
          <w:szCs w:val="26"/>
        </w:rPr>
        <w:t>un ražošanas atlikumproduktus</w:t>
      </w:r>
      <w:bookmarkEnd w:id="108"/>
      <w:r w:rsidRPr="001A2447">
        <w:rPr>
          <w:szCs w:val="26"/>
        </w:rPr>
        <w:t>. Pasākums paredz atbalsta pārtraukšanu tām biogāzes stacijām, kuras darbojas OI mehānisma ietvaros un kurās kā pamatizejvielu elektroenerģijas ražošanai neizmanto minētos atlikumproduktus.</w:t>
      </w:r>
      <w:r w:rsidRPr="001A2447">
        <w:rPr>
          <w:rFonts w:eastAsia="Times New Roman" w:cs="Times New Roman"/>
          <w:szCs w:val="26"/>
        </w:rPr>
        <w:t xml:space="preserve"> </w:t>
      </w:r>
      <w:r>
        <w:rPr>
          <w:szCs w:val="26"/>
        </w:rPr>
        <w:t>Atkarībā no plānoto izmaiņu ietekmes uz stacijām tās var skart gan komersantu īpašumtiesības, gan tiesiskā paļāvība. Īpašumtiesības var tikt skartas gadījumos, ja ar plānotajām izmaiņām var tikt apdraudēta tādu stacijas ienākumu nodrošināšana, lai tās turpinātu pastāvēt. Savukārt tiesiskā paļāvība var tikt skarta gadījumos, ja netiek nodrošināts saprātīgs pārejas periods jaunā regulējuma ieviešanai, sniedzot iespēju komersantiem pārkārtot saimniecisko darbību.</w:t>
      </w:r>
    </w:p>
    <w:p w14:paraId="112608EC" w14:textId="77777777" w:rsidR="00EE1CF5" w:rsidRPr="001A2447" w:rsidRDefault="00EE1CF5" w:rsidP="00EE1CF5">
      <w:pPr>
        <w:spacing w:before="120"/>
        <w:ind w:firstLine="720"/>
        <w:rPr>
          <w:rFonts w:eastAsia="Times New Roman" w:cs="Times New Roman"/>
          <w:szCs w:val="26"/>
        </w:rPr>
      </w:pPr>
      <w:r w:rsidRPr="001A2447">
        <w:rPr>
          <w:szCs w:val="26"/>
        </w:rPr>
        <w:t xml:space="preserve">Piešķirot tiesības pārdot biogāzes elektrostacijā saražoto elektroenerģiju OI ietvaros saskaņā ar MK noteikumiem Nr.262, komersantu iesniegumi ir vērtēti atbilstoši </w:t>
      </w:r>
      <w:r w:rsidRPr="001A2447">
        <w:rPr>
          <w:szCs w:val="26"/>
        </w:rPr>
        <w:lastRenderedPageBreak/>
        <w:t>MK noteikumu Nr.262 5.pielikumā noteiktajiem kvalitātes vērtēšanas kritērijiem. Atbilstoši MK noteikumu Nr.262 5.pielikuma 8.kritērijam vairāk punktus konkursa ietvaros varēja iegūt, ja komersants biogāzes ražošanas iekārtā kā pamatizejvielu biogāzes ražošanai plānoja lietot vai lieto šādus materiālus: pārtikas atkritumu un citu organiskas izcelsmes atkritumu un ražošanas atlikumproduktus vai lopkopības un putnkopības atlikumproduktus (mēslus), kā arī pārtikas rūpniecības uzņēmumu notekūdeņus un ražošanas atlikumproduktus (masas procenti pret kopējo lietoto izejvielu daudzumu). Komersants par attiecīgu deklarēto masas procentu saņēma atbilstošu skaitu punktu.</w:t>
      </w:r>
    </w:p>
    <w:p w14:paraId="7B3109D7" w14:textId="77777777" w:rsidR="00EE1CF5" w:rsidRPr="001A2447" w:rsidRDefault="00EE1CF5" w:rsidP="00EE1CF5">
      <w:pPr>
        <w:spacing w:before="120"/>
        <w:ind w:firstLine="709"/>
        <w:rPr>
          <w:rFonts w:eastAsia="Times New Roman" w:cs="Times New Roman"/>
          <w:szCs w:val="26"/>
        </w:rPr>
      </w:pPr>
      <w:r w:rsidRPr="001A2447">
        <w:rPr>
          <w:szCs w:val="26"/>
        </w:rPr>
        <w:t xml:space="preserve">MK noteikumu Nr.262 OI tiesību konkursā punktus par lauksaimniecības vai pārtikas ražošanas atlikumproduktu izmantošanu biogāzes ražošanā saņēma 11 stacijas, kas pašlaik vēl darbojas. No tām 2 stacijām attiecīgo izejvielu apjoms nodrošināms </w:t>
      </w:r>
      <w:r w:rsidRPr="001A2447">
        <w:br/>
      </w:r>
      <w:r w:rsidRPr="001A2447">
        <w:rPr>
          <w:szCs w:val="26"/>
        </w:rPr>
        <w:t xml:space="preserve">81-100% apmērā, 3 stacijām 41-60% apmērā, 5 stacijām 21-40% apmērā un 1 stacijai 1-20% apmērā. </w:t>
      </w:r>
    </w:p>
    <w:p w14:paraId="23538195" w14:textId="77777777" w:rsidR="00EE1CF5" w:rsidRPr="001A2447" w:rsidRDefault="00EE1CF5" w:rsidP="00EE1CF5">
      <w:pPr>
        <w:spacing w:before="120"/>
        <w:ind w:firstLine="709"/>
        <w:rPr>
          <w:rFonts w:eastAsia="Times New Roman" w:cs="Times New Roman"/>
          <w:szCs w:val="26"/>
        </w:rPr>
      </w:pPr>
      <w:r w:rsidRPr="001A2447">
        <w:rPr>
          <w:szCs w:val="26"/>
        </w:rPr>
        <w:t>Pašlaik biogāzes ražošanas iekārtā lietoto pamatizejvielu biogāzes ražošanai komersants norāda gada pārskatā par elektrostacijas darbību iepriekšējā kalendārajā gadā, ko apstiprina neatkarīgs akreditēts auditors. EM atbilstību kontrolē, izvērtējot komersanta gada pārskatā sniegto informāciju vai dodoties klātienes pārbaudēs un pārkāpumu gadījumā izsakot brīdinājumu ar novēršanas termiņu. Ja ministrija pēc novēršanas termiņa beigām atkārtoti konstatē pārkāpumu, tā par to informē publisko tirgotāju, kurš piemēro MK noteikumos Nr.262 minēto elektroenerģijas iepirkuma cenas samazinājumu.</w:t>
      </w:r>
    </w:p>
    <w:p w14:paraId="559EEA00" w14:textId="77777777" w:rsidR="00EE1CF5" w:rsidRPr="001A2447" w:rsidRDefault="00EE1CF5" w:rsidP="00EE1CF5">
      <w:pPr>
        <w:spacing w:before="120"/>
        <w:ind w:firstLine="709"/>
        <w:rPr>
          <w:szCs w:val="26"/>
        </w:rPr>
      </w:pPr>
      <w:r w:rsidRPr="001A2447">
        <w:rPr>
          <w:szCs w:val="26"/>
        </w:rPr>
        <w:t>Jāņem vērā, ka attiecīgā prasība šobrīd netiek attiecināta uz tām biogāzes stacijām, kas tiesības pārdot elektroenerģiju OI mehānisma ietvaros ieguvušas saskaņā ar tiem Ministru kabineta noteikumiem, kurus aizstāj MK noteikumi Nr.262</w:t>
      </w:r>
      <w:r w:rsidRPr="001A2447">
        <w:rPr>
          <w:rFonts w:eastAsia="Times New Roman" w:cs="Times New Roman"/>
          <w:szCs w:val="26"/>
        </w:rPr>
        <w:t xml:space="preserve"> (</w:t>
      </w:r>
      <w:r w:rsidRPr="001A2447">
        <w:rPr>
          <w:szCs w:val="26"/>
        </w:rPr>
        <w:t>skatīt 2.Tabulu</w:t>
      </w:r>
      <w:r w:rsidRPr="001A2447">
        <w:rPr>
          <w:rFonts w:eastAsia="Times New Roman" w:cs="Times New Roman"/>
          <w:szCs w:val="26"/>
        </w:rPr>
        <w:t xml:space="preserve">). </w:t>
      </w:r>
    </w:p>
    <w:p w14:paraId="4C83D6AB" w14:textId="77777777" w:rsidR="00EE1CF5" w:rsidRPr="00DE209D" w:rsidRDefault="00EE1CF5" w:rsidP="00EE1CF5">
      <w:pPr>
        <w:spacing w:before="120"/>
        <w:ind w:firstLine="720"/>
        <w:rPr>
          <w:rFonts w:eastAsia="Times New Roman" w:cs="Times New Roman"/>
          <w:szCs w:val="26"/>
        </w:rPr>
      </w:pPr>
      <w:r w:rsidRPr="001A2447">
        <w:rPr>
          <w:szCs w:val="26"/>
        </w:rPr>
        <w:t>Pasākuma ieviešanai</w:t>
      </w:r>
      <w:r>
        <w:rPr>
          <w:szCs w:val="26"/>
        </w:rPr>
        <w:t>, ievērojot ETL noteikto,</w:t>
      </w:r>
      <w:r w:rsidRPr="001A2447">
        <w:rPr>
          <w:szCs w:val="26"/>
        </w:rPr>
        <w:t xml:space="preserve"> nepieciešams veikt grozījumus MK noteikumos Nr.262, nosakot nepieciešamos pārejas periodus</w:t>
      </w:r>
      <w:r>
        <w:rPr>
          <w:szCs w:val="26"/>
        </w:rPr>
        <w:t xml:space="preserve"> un uzraudzības pasākumus, kas cita starpā ietekmē turpmāk rosināto pasākumu ieviešanas laiku</w:t>
      </w:r>
      <w:r w:rsidRPr="00DE209D">
        <w:rPr>
          <w:szCs w:val="26"/>
        </w:rPr>
        <w:t>.</w:t>
      </w:r>
      <w:r w:rsidRPr="00DE209D">
        <w:rPr>
          <w:rFonts w:eastAsia="Times New Roman" w:cs="Times New Roman"/>
          <w:szCs w:val="26"/>
        </w:rPr>
        <w:t xml:space="preserve"> </w:t>
      </w:r>
      <w:r>
        <w:rPr>
          <w:rFonts w:eastAsia="Times New Roman" w:cs="Times New Roman"/>
          <w:szCs w:val="26"/>
        </w:rPr>
        <w:t>Prasība attiecināma uz</w:t>
      </w:r>
      <w:r w:rsidRPr="00DE209D">
        <w:rPr>
          <w:szCs w:val="26"/>
        </w:rPr>
        <w:t xml:space="preserve"> pilnu ražošanas ciklu arī tādām biogāzes stacijām, kuras biogāzi iepērk no cita komersanta, kurš</w:t>
      </w:r>
      <w:r>
        <w:rPr>
          <w:szCs w:val="26"/>
        </w:rPr>
        <w:t>,</w:t>
      </w:r>
      <w:r w:rsidRPr="00DE209D">
        <w:rPr>
          <w:szCs w:val="26"/>
        </w:rPr>
        <w:t xml:space="preserve"> savukārt</w:t>
      </w:r>
      <w:r>
        <w:rPr>
          <w:szCs w:val="26"/>
        </w:rPr>
        <w:t>,</w:t>
      </w:r>
      <w:r w:rsidRPr="00DE209D">
        <w:rPr>
          <w:szCs w:val="26"/>
        </w:rPr>
        <w:t xml:space="preserve"> veic biogāzes ražošanu biogāzes ražošanas iekārtā, respektīvi, </w:t>
      </w:r>
      <w:r>
        <w:rPr>
          <w:szCs w:val="26"/>
        </w:rPr>
        <w:t>tā attiecas</w:t>
      </w:r>
      <w:r w:rsidRPr="00DE209D">
        <w:rPr>
          <w:szCs w:val="26"/>
        </w:rPr>
        <w:t xml:space="preserve"> arī uz biogāzes ražošanas iekārtas īpašnieku vai operatoru, ja tas un biogāzes stacija, kas saņem OI atbalstu, nav viena juridiska persona.</w:t>
      </w:r>
    </w:p>
    <w:p w14:paraId="78CF41B3" w14:textId="77777777" w:rsidR="00EE1CF5" w:rsidRDefault="00EE1CF5" w:rsidP="00EE1CF5">
      <w:pPr>
        <w:spacing w:before="120"/>
        <w:ind w:firstLine="720"/>
        <w:rPr>
          <w:szCs w:val="26"/>
        </w:rPr>
      </w:pPr>
      <w:r w:rsidRPr="001A2447">
        <w:rPr>
          <w:szCs w:val="26"/>
        </w:rPr>
        <w:t xml:space="preserve">2018.gada 26.jūlija Darba grupas sēdē tika piedāvāts noteikt šādas atlikumproduktu izmantošanas zemākās pieļaujamās robežas: 2020.gadā – 30%; 2025.gadā – 50%, 2030.gadā – 70%, kā arī maksimālo robežu – 90%. Papildus tam instruments paredz arī elektroenerģijas OI tarifa diferencēšanas principu atbilstoši izmantotajam atlikumproduktu daudzumam, tādējādi stimulējot noteikto atlikumproduktu līmeņatzīmju izpildi. </w:t>
      </w:r>
      <w:bookmarkStart w:id="109" w:name="_Hlk520461058"/>
      <w:r w:rsidRPr="001A2447">
        <w:rPr>
          <w:szCs w:val="26"/>
        </w:rPr>
        <w:t>OI tarifu diferenciācijas sliekšņi nosakāmi šādās robežās: 2020.gadā – 60%; 2025.gadā – 40%, 2030.gadā – 20%. Komersanti, kuru elektrostacijās netiek izmantots tāds atlikumproduktu īpatsvars, kāds noteikts attiecīgā laika posma minimālajā līmeņatzīmē, zaudē</w:t>
      </w:r>
      <w:r>
        <w:rPr>
          <w:szCs w:val="26"/>
        </w:rPr>
        <w:t>tu</w:t>
      </w:r>
      <w:r w:rsidRPr="001A2447">
        <w:rPr>
          <w:szCs w:val="26"/>
        </w:rPr>
        <w:t xml:space="preserve"> tiesības pārdot elektroenerģiju OI ietvaros. </w:t>
      </w:r>
      <w:bookmarkEnd w:id="109"/>
      <w:r w:rsidRPr="001A2447">
        <w:rPr>
          <w:szCs w:val="26"/>
        </w:rPr>
        <w:t xml:space="preserve">Komersanti, kuru elektrostacijās atlikumprodukti tiek izmantoti vismaz 90% apmērā, pārdod elektroenerģiju OI ietvaros par līdzšinējo tarifu. Komersanti, kuru izmantotais atlikumproduktu īpatsvars ir robežās starp abām līmeņatzīmēm, par OI </w:t>
      </w:r>
      <w:r w:rsidRPr="001A2447">
        <w:rPr>
          <w:szCs w:val="26"/>
        </w:rPr>
        <w:lastRenderedPageBreak/>
        <w:t>ietvaros pārdoto elektroenerģiju saņem atbilstoši diferencētu tarifu, kam piemēro proporcionālu samazinājumu atbilstoši atlikumproduktu izmantošanas īpatsvaram.</w:t>
      </w:r>
    </w:p>
    <w:p w14:paraId="4218593A" w14:textId="77777777" w:rsidR="00EE1CF5" w:rsidRPr="001A2447" w:rsidRDefault="00EE1CF5" w:rsidP="00EE1CF5">
      <w:pPr>
        <w:spacing w:before="120"/>
        <w:ind w:firstLine="720"/>
        <w:rPr>
          <w:szCs w:val="26"/>
        </w:rPr>
      </w:pPr>
      <w:r>
        <w:rPr>
          <w:szCs w:val="26"/>
        </w:rPr>
        <w:t xml:space="preserve">Ņemot vērā pretēja rakstura iebildumus par minētā priekšlikuma ieviešanas gaitu un apmēru, Ministrija piedāvā kompromisu, daļēji ņemot vērā abas puses – gan attiecībā uz to, ka pietiekama atbilstošu izejvielu nodrošināšana var būt sākotnēji apgrūtinoša, gan arī attiecībā uz to, ka kopumā būtu sasniedzams augstāks atlikumu īpatsvara līmenis un tas būtu sasniedzams ātrāk. Attiecīgi kompromiss paredz sākotnējā piedāvājumā noteikto prasības ieviešanas gadu pārcelt no 2020.gada uz 2022.gadu un 2025.gadā noteikto atlikumu īpatsvaru 50% sasniegt jau 2022.gadā, savukārt 2030.gadā atlikumu </w:t>
      </w:r>
      <w:r w:rsidRPr="00B07E51">
        <w:rPr>
          <w:szCs w:val="26"/>
        </w:rPr>
        <w:t>īpatsvar</w:t>
      </w:r>
      <w:r>
        <w:rPr>
          <w:szCs w:val="26"/>
        </w:rPr>
        <w:t>u noteikt 90% apmērā. Tādējādi 50% sliekšņa sasniegšanai atlikumu izmantošanā tiek dots sagatavošanās periods līdz 2022.gadam, dodot vairāk laika ražotājiem pielāgoties.</w:t>
      </w:r>
    </w:p>
    <w:p w14:paraId="3B23E0CF" w14:textId="77777777" w:rsidR="00EE1CF5" w:rsidRPr="001A2447" w:rsidRDefault="00EE1CF5" w:rsidP="00EE1CF5">
      <w:pPr>
        <w:ind w:firstLine="720"/>
        <w:rPr>
          <w:szCs w:val="26"/>
        </w:rPr>
      </w:pPr>
    </w:p>
    <w:p w14:paraId="6A743DC3" w14:textId="77777777" w:rsidR="00EE1CF5" w:rsidRPr="001A2447" w:rsidRDefault="00EE1CF5" w:rsidP="00EE1CF5">
      <w:pPr>
        <w:ind w:firstLine="720"/>
        <w:jc w:val="right"/>
        <w:rPr>
          <w:i/>
          <w:szCs w:val="26"/>
        </w:rPr>
      </w:pPr>
      <w:r>
        <w:rPr>
          <w:i/>
          <w:szCs w:val="26"/>
        </w:rPr>
        <w:t>12.t</w:t>
      </w:r>
      <w:r w:rsidRPr="001A2447">
        <w:rPr>
          <w:i/>
          <w:szCs w:val="26"/>
        </w:rPr>
        <w:t>abula</w:t>
      </w:r>
    </w:p>
    <w:p w14:paraId="08725682" w14:textId="77777777" w:rsidR="00EE1CF5" w:rsidRDefault="00EE1CF5" w:rsidP="00EE1CF5">
      <w:pPr>
        <w:rPr>
          <w:szCs w:val="26"/>
        </w:rPr>
      </w:pPr>
    </w:p>
    <w:tbl>
      <w:tblPr>
        <w:tblStyle w:val="TableGrid"/>
        <w:tblW w:w="0" w:type="auto"/>
        <w:jc w:val="center"/>
        <w:tblLook w:val="04A0" w:firstRow="1" w:lastRow="0" w:firstColumn="1" w:lastColumn="0" w:noHBand="0" w:noVBand="1"/>
      </w:tblPr>
      <w:tblGrid>
        <w:gridCol w:w="1477"/>
        <w:gridCol w:w="1475"/>
        <w:gridCol w:w="1666"/>
        <w:gridCol w:w="1524"/>
        <w:gridCol w:w="1444"/>
        <w:gridCol w:w="1475"/>
      </w:tblGrid>
      <w:tr w:rsidR="00EE1CF5" w14:paraId="5D473800" w14:textId="77777777" w:rsidTr="00263AB1">
        <w:trPr>
          <w:jc w:val="center"/>
        </w:trPr>
        <w:tc>
          <w:tcPr>
            <w:tcW w:w="2952" w:type="dxa"/>
            <w:gridSpan w:val="2"/>
            <w:shd w:val="clear" w:color="auto" w:fill="DBDBDB" w:themeFill="accent3" w:themeFillTint="66"/>
          </w:tcPr>
          <w:p w14:paraId="256D6596" w14:textId="77777777" w:rsidR="00EE1CF5" w:rsidRPr="001B62BB" w:rsidRDefault="00EE1CF5" w:rsidP="00263AB1">
            <w:pPr>
              <w:ind w:firstLine="720"/>
              <w:jc w:val="center"/>
              <w:rPr>
                <w:rFonts w:ascii="Times" w:hAnsi="Times" w:cs="Times New Roman"/>
                <w:b/>
                <w:sz w:val="20"/>
              </w:rPr>
            </w:pPr>
            <w:r w:rsidRPr="001B62BB">
              <w:rPr>
                <w:rFonts w:ascii="Times" w:hAnsi="Times" w:cs="Times New Roman"/>
                <w:b/>
                <w:sz w:val="20"/>
              </w:rPr>
              <w:t>202</w:t>
            </w:r>
            <w:r>
              <w:rPr>
                <w:rFonts w:ascii="Times" w:hAnsi="Times" w:cs="Times New Roman"/>
                <w:b/>
                <w:sz w:val="20"/>
              </w:rPr>
              <w:t>2</w:t>
            </w:r>
            <w:r w:rsidRPr="001B62BB">
              <w:rPr>
                <w:rFonts w:ascii="Times" w:hAnsi="Times" w:cs="Times New Roman"/>
                <w:b/>
                <w:sz w:val="20"/>
              </w:rPr>
              <w:t>.gads</w:t>
            </w:r>
          </w:p>
        </w:tc>
        <w:tc>
          <w:tcPr>
            <w:tcW w:w="3190" w:type="dxa"/>
            <w:gridSpan w:val="2"/>
            <w:shd w:val="clear" w:color="auto" w:fill="DBDBDB" w:themeFill="accent3" w:themeFillTint="66"/>
          </w:tcPr>
          <w:p w14:paraId="70DEF359" w14:textId="77777777" w:rsidR="00EE1CF5" w:rsidRPr="001B62BB" w:rsidRDefault="00EE1CF5" w:rsidP="00263AB1">
            <w:pPr>
              <w:ind w:firstLine="720"/>
              <w:jc w:val="center"/>
              <w:rPr>
                <w:rFonts w:ascii="Times" w:hAnsi="Times" w:cs="Times New Roman"/>
                <w:b/>
                <w:sz w:val="20"/>
              </w:rPr>
            </w:pPr>
            <w:r w:rsidRPr="001B62BB">
              <w:rPr>
                <w:rFonts w:ascii="Times" w:hAnsi="Times" w:cs="Times New Roman"/>
                <w:b/>
                <w:sz w:val="20"/>
              </w:rPr>
              <w:t>202</w:t>
            </w:r>
            <w:r>
              <w:rPr>
                <w:rFonts w:ascii="Times" w:hAnsi="Times" w:cs="Times New Roman"/>
                <w:b/>
                <w:sz w:val="20"/>
              </w:rPr>
              <w:t>6</w:t>
            </w:r>
            <w:r w:rsidRPr="001B62BB">
              <w:rPr>
                <w:rFonts w:ascii="Times" w:hAnsi="Times" w:cs="Times New Roman"/>
                <w:b/>
                <w:sz w:val="20"/>
              </w:rPr>
              <w:t>.gads</w:t>
            </w:r>
          </w:p>
        </w:tc>
        <w:tc>
          <w:tcPr>
            <w:tcW w:w="2919" w:type="dxa"/>
            <w:gridSpan w:val="2"/>
            <w:shd w:val="clear" w:color="auto" w:fill="DBDBDB" w:themeFill="accent3" w:themeFillTint="66"/>
          </w:tcPr>
          <w:p w14:paraId="342A7E97" w14:textId="77777777" w:rsidR="00EE1CF5" w:rsidRPr="001B62BB" w:rsidRDefault="00EE1CF5" w:rsidP="00263AB1">
            <w:pPr>
              <w:ind w:firstLine="720"/>
              <w:jc w:val="center"/>
              <w:rPr>
                <w:rFonts w:ascii="Times" w:hAnsi="Times" w:cs="Times New Roman"/>
                <w:b/>
                <w:sz w:val="20"/>
              </w:rPr>
            </w:pPr>
            <w:r w:rsidRPr="001B62BB">
              <w:rPr>
                <w:rFonts w:ascii="Times" w:hAnsi="Times" w:cs="Times New Roman"/>
                <w:b/>
                <w:sz w:val="20"/>
              </w:rPr>
              <w:t>2030.gads</w:t>
            </w:r>
          </w:p>
        </w:tc>
      </w:tr>
      <w:tr w:rsidR="00EE1CF5" w14:paraId="10E62738" w14:textId="77777777" w:rsidTr="00263AB1">
        <w:trPr>
          <w:jc w:val="center"/>
        </w:trPr>
        <w:tc>
          <w:tcPr>
            <w:tcW w:w="2952" w:type="dxa"/>
            <w:gridSpan w:val="2"/>
            <w:shd w:val="clear" w:color="auto" w:fill="DBDBDB" w:themeFill="accent3" w:themeFillTint="66"/>
          </w:tcPr>
          <w:p w14:paraId="103C4D57" w14:textId="77777777" w:rsidR="00EE1CF5" w:rsidRPr="001B62BB" w:rsidRDefault="00EE1CF5" w:rsidP="00263AB1">
            <w:pPr>
              <w:jc w:val="center"/>
              <w:rPr>
                <w:rFonts w:ascii="Times" w:hAnsi="Times" w:cs="Times New Roman"/>
                <w:b/>
                <w:sz w:val="20"/>
              </w:rPr>
            </w:pPr>
            <w:r>
              <w:rPr>
                <w:rFonts w:ascii="Times" w:hAnsi="Times" w:cs="Times New Roman"/>
                <w:b/>
                <w:sz w:val="20"/>
              </w:rPr>
              <w:t>50%</w:t>
            </w:r>
          </w:p>
        </w:tc>
        <w:tc>
          <w:tcPr>
            <w:tcW w:w="3190" w:type="dxa"/>
            <w:gridSpan w:val="2"/>
            <w:shd w:val="clear" w:color="auto" w:fill="DBDBDB" w:themeFill="accent3" w:themeFillTint="66"/>
          </w:tcPr>
          <w:p w14:paraId="746FC750" w14:textId="77777777" w:rsidR="00EE1CF5" w:rsidRPr="001B62BB" w:rsidRDefault="00EE1CF5" w:rsidP="00263AB1">
            <w:pPr>
              <w:jc w:val="center"/>
              <w:rPr>
                <w:rFonts w:ascii="Times" w:hAnsi="Times" w:cs="Times New Roman"/>
                <w:b/>
                <w:sz w:val="20"/>
              </w:rPr>
            </w:pPr>
            <w:r>
              <w:rPr>
                <w:rFonts w:ascii="Times" w:hAnsi="Times" w:cs="Times New Roman"/>
                <w:b/>
                <w:sz w:val="20"/>
              </w:rPr>
              <w:t>70%</w:t>
            </w:r>
          </w:p>
        </w:tc>
        <w:tc>
          <w:tcPr>
            <w:tcW w:w="2919" w:type="dxa"/>
            <w:gridSpan w:val="2"/>
            <w:shd w:val="clear" w:color="auto" w:fill="DBDBDB" w:themeFill="accent3" w:themeFillTint="66"/>
          </w:tcPr>
          <w:p w14:paraId="7F3E378D" w14:textId="77777777" w:rsidR="00EE1CF5" w:rsidRPr="001B62BB" w:rsidRDefault="00EE1CF5" w:rsidP="00263AB1">
            <w:pPr>
              <w:jc w:val="center"/>
              <w:rPr>
                <w:rFonts w:ascii="Times" w:hAnsi="Times" w:cs="Times New Roman"/>
                <w:b/>
                <w:sz w:val="20"/>
              </w:rPr>
            </w:pPr>
            <w:r>
              <w:rPr>
                <w:rFonts w:ascii="Times" w:hAnsi="Times" w:cs="Times New Roman"/>
                <w:b/>
                <w:sz w:val="20"/>
              </w:rPr>
              <w:t>90%</w:t>
            </w:r>
          </w:p>
        </w:tc>
      </w:tr>
      <w:tr w:rsidR="00EE1CF5" w14:paraId="22BCB1CC" w14:textId="77777777" w:rsidTr="00263AB1">
        <w:trPr>
          <w:jc w:val="center"/>
        </w:trPr>
        <w:tc>
          <w:tcPr>
            <w:tcW w:w="1477" w:type="dxa"/>
            <w:shd w:val="clear" w:color="auto" w:fill="DBDBDB" w:themeFill="accent3" w:themeFillTint="66"/>
            <w:vAlign w:val="center"/>
          </w:tcPr>
          <w:p w14:paraId="687B40B8" w14:textId="77777777" w:rsidR="00EE1CF5" w:rsidRPr="001B62BB" w:rsidRDefault="00EE1CF5" w:rsidP="00263AB1">
            <w:pPr>
              <w:rPr>
                <w:rFonts w:ascii="Times" w:hAnsi="Times" w:cs="Times New Roman"/>
                <w:b/>
                <w:sz w:val="20"/>
                <w:szCs w:val="20"/>
              </w:rPr>
            </w:pPr>
            <w:r w:rsidRPr="001B62BB">
              <w:rPr>
                <w:rFonts w:ascii="Times" w:hAnsi="Times" w:cs="Times New Roman"/>
                <w:b/>
                <w:sz w:val="20"/>
              </w:rPr>
              <w:t>Izmantoto atlikumu</w:t>
            </w:r>
          </w:p>
          <w:p w14:paraId="5B6EC795" w14:textId="77777777" w:rsidR="00EE1CF5" w:rsidRPr="001B62BB" w:rsidRDefault="00EE1CF5" w:rsidP="00263AB1">
            <w:pPr>
              <w:rPr>
                <w:rFonts w:ascii="Times" w:hAnsi="Times" w:cs="Times New Roman"/>
                <w:b/>
                <w:sz w:val="20"/>
              </w:rPr>
            </w:pPr>
            <w:r w:rsidRPr="001B62BB">
              <w:rPr>
                <w:rFonts w:ascii="Times" w:hAnsi="Times" w:cs="Times New Roman"/>
                <w:b/>
                <w:sz w:val="20"/>
                <w:szCs w:val="20"/>
              </w:rPr>
              <w:t xml:space="preserve"> </w:t>
            </w:r>
            <w:r>
              <w:rPr>
                <w:rFonts w:ascii="Times" w:hAnsi="Times" w:cs="Times New Roman"/>
                <w:b/>
                <w:sz w:val="20"/>
              </w:rPr>
              <w:t>īpatsvars</w:t>
            </w:r>
          </w:p>
        </w:tc>
        <w:tc>
          <w:tcPr>
            <w:tcW w:w="1475" w:type="dxa"/>
            <w:shd w:val="clear" w:color="auto" w:fill="DBDBDB" w:themeFill="accent3" w:themeFillTint="66"/>
            <w:vAlign w:val="center"/>
          </w:tcPr>
          <w:p w14:paraId="43EB78D1" w14:textId="77777777" w:rsidR="00EE1CF5" w:rsidRPr="001B62BB" w:rsidRDefault="00EE1CF5" w:rsidP="00263AB1">
            <w:pPr>
              <w:rPr>
                <w:rFonts w:ascii="Times" w:hAnsi="Times" w:cs="Times New Roman"/>
                <w:b/>
                <w:sz w:val="20"/>
              </w:rPr>
            </w:pPr>
            <w:r w:rsidRPr="001B62BB">
              <w:rPr>
                <w:rFonts w:ascii="Times" w:hAnsi="Times" w:cs="Times New Roman"/>
                <w:b/>
                <w:sz w:val="20"/>
              </w:rPr>
              <w:t xml:space="preserve">OI tarifa </w:t>
            </w:r>
            <w:r>
              <w:rPr>
                <w:rFonts w:ascii="Times" w:hAnsi="Times" w:cs="Times New Roman"/>
                <w:b/>
                <w:sz w:val="20"/>
              </w:rPr>
              <w:t>samazinājums</w:t>
            </w:r>
          </w:p>
        </w:tc>
        <w:tc>
          <w:tcPr>
            <w:tcW w:w="1666" w:type="dxa"/>
            <w:shd w:val="clear" w:color="auto" w:fill="DBDBDB" w:themeFill="accent3" w:themeFillTint="66"/>
            <w:vAlign w:val="center"/>
          </w:tcPr>
          <w:p w14:paraId="3B86D406" w14:textId="77777777" w:rsidR="00EE1CF5" w:rsidRPr="001B62BB" w:rsidRDefault="00EE1CF5" w:rsidP="00263AB1">
            <w:pPr>
              <w:rPr>
                <w:rFonts w:ascii="Times" w:hAnsi="Times" w:cs="Times New Roman"/>
                <w:b/>
                <w:sz w:val="20"/>
                <w:szCs w:val="20"/>
              </w:rPr>
            </w:pPr>
            <w:r w:rsidRPr="001B62BB">
              <w:rPr>
                <w:rFonts w:ascii="Times" w:hAnsi="Times" w:cs="Times New Roman"/>
                <w:b/>
                <w:sz w:val="20"/>
              </w:rPr>
              <w:t>Izmantoto atlikumu</w:t>
            </w:r>
          </w:p>
          <w:p w14:paraId="3E80CBD0" w14:textId="77777777" w:rsidR="00EE1CF5" w:rsidRPr="001B62BB" w:rsidRDefault="00EE1CF5" w:rsidP="00263AB1">
            <w:pPr>
              <w:rPr>
                <w:rFonts w:ascii="Times" w:hAnsi="Times" w:cs="Times New Roman"/>
                <w:b/>
                <w:sz w:val="20"/>
              </w:rPr>
            </w:pPr>
            <w:r w:rsidRPr="001B62BB">
              <w:rPr>
                <w:rFonts w:ascii="Times" w:hAnsi="Times" w:cs="Times New Roman"/>
                <w:b/>
                <w:sz w:val="20"/>
                <w:szCs w:val="20"/>
              </w:rPr>
              <w:t xml:space="preserve"> </w:t>
            </w:r>
            <w:r>
              <w:rPr>
                <w:rFonts w:ascii="Times" w:hAnsi="Times" w:cs="Times New Roman"/>
                <w:b/>
                <w:sz w:val="20"/>
              </w:rPr>
              <w:t>īpatsvars</w:t>
            </w:r>
          </w:p>
        </w:tc>
        <w:tc>
          <w:tcPr>
            <w:tcW w:w="1524" w:type="dxa"/>
            <w:shd w:val="clear" w:color="auto" w:fill="DBDBDB" w:themeFill="accent3" w:themeFillTint="66"/>
            <w:vAlign w:val="center"/>
          </w:tcPr>
          <w:p w14:paraId="6E17B809" w14:textId="77777777" w:rsidR="00EE1CF5" w:rsidRPr="001B62BB" w:rsidRDefault="00EE1CF5" w:rsidP="00263AB1">
            <w:pPr>
              <w:rPr>
                <w:rFonts w:ascii="Times" w:hAnsi="Times" w:cs="Times New Roman"/>
                <w:b/>
                <w:sz w:val="20"/>
              </w:rPr>
            </w:pPr>
            <w:r w:rsidRPr="001B62BB">
              <w:rPr>
                <w:rFonts w:ascii="Times" w:hAnsi="Times" w:cs="Times New Roman"/>
                <w:b/>
                <w:sz w:val="20"/>
              </w:rPr>
              <w:t xml:space="preserve">OI tarifa </w:t>
            </w:r>
            <w:r>
              <w:rPr>
                <w:rFonts w:ascii="Times" w:hAnsi="Times" w:cs="Times New Roman"/>
                <w:b/>
                <w:sz w:val="20"/>
              </w:rPr>
              <w:t>samazinājums</w:t>
            </w:r>
          </w:p>
        </w:tc>
        <w:tc>
          <w:tcPr>
            <w:tcW w:w="1444" w:type="dxa"/>
            <w:shd w:val="clear" w:color="auto" w:fill="DBDBDB" w:themeFill="accent3" w:themeFillTint="66"/>
            <w:vAlign w:val="center"/>
          </w:tcPr>
          <w:p w14:paraId="1EFC2A6E" w14:textId="77777777" w:rsidR="00EE1CF5" w:rsidRPr="001B62BB" w:rsidRDefault="00EE1CF5" w:rsidP="00263AB1">
            <w:pPr>
              <w:rPr>
                <w:rFonts w:ascii="Times" w:hAnsi="Times" w:cs="Times New Roman"/>
                <w:b/>
                <w:sz w:val="20"/>
                <w:szCs w:val="20"/>
              </w:rPr>
            </w:pPr>
            <w:r w:rsidRPr="001B62BB">
              <w:rPr>
                <w:rFonts w:ascii="Times" w:hAnsi="Times" w:cs="Times New Roman"/>
                <w:b/>
                <w:sz w:val="20"/>
              </w:rPr>
              <w:t>Izmantoto atlikumu</w:t>
            </w:r>
          </w:p>
          <w:p w14:paraId="4AF48CDC" w14:textId="77777777" w:rsidR="00EE1CF5" w:rsidRPr="001B62BB" w:rsidRDefault="00EE1CF5" w:rsidP="00263AB1">
            <w:pPr>
              <w:rPr>
                <w:rFonts w:ascii="Times" w:hAnsi="Times" w:cs="Times New Roman"/>
                <w:b/>
                <w:sz w:val="20"/>
              </w:rPr>
            </w:pPr>
            <w:r w:rsidRPr="001B62BB">
              <w:rPr>
                <w:rFonts w:ascii="Times" w:hAnsi="Times" w:cs="Times New Roman"/>
                <w:b/>
                <w:sz w:val="20"/>
                <w:szCs w:val="20"/>
              </w:rPr>
              <w:t xml:space="preserve"> </w:t>
            </w:r>
            <w:r>
              <w:rPr>
                <w:rFonts w:ascii="Times" w:hAnsi="Times" w:cs="Times New Roman"/>
                <w:b/>
                <w:sz w:val="20"/>
              </w:rPr>
              <w:t>īpatsvars</w:t>
            </w:r>
          </w:p>
        </w:tc>
        <w:tc>
          <w:tcPr>
            <w:tcW w:w="1475" w:type="dxa"/>
            <w:shd w:val="clear" w:color="auto" w:fill="DBDBDB" w:themeFill="accent3" w:themeFillTint="66"/>
            <w:vAlign w:val="center"/>
          </w:tcPr>
          <w:p w14:paraId="22CCB807" w14:textId="77777777" w:rsidR="00EE1CF5" w:rsidRPr="001B62BB" w:rsidRDefault="00EE1CF5" w:rsidP="00263AB1">
            <w:pPr>
              <w:rPr>
                <w:rFonts w:ascii="Times" w:hAnsi="Times" w:cs="Times New Roman"/>
                <w:b/>
                <w:sz w:val="20"/>
              </w:rPr>
            </w:pPr>
            <w:r w:rsidRPr="001B62BB">
              <w:rPr>
                <w:rFonts w:ascii="Times" w:hAnsi="Times" w:cs="Times New Roman"/>
                <w:b/>
                <w:sz w:val="20"/>
              </w:rPr>
              <w:t xml:space="preserve">OI tarifa </w:t>
            </w:r>
            <w:r>
              <w:rPr>
                <w:rFonts w:ascii="Times" w:hAnsi="Times" w:cs="Times New Roman"/>
                <w:b/>
                <w:sz w:val="20"/>
              </w:rPr>
              <w:t>samazinājums</w:t>
            </w:r>
          </w:p>
        </w:tc>
      </w:tr>
      <w:tr w:rsidR="00EE1CF5" w:rsidRPr="003B639C" w14:paraId="12E28E5E" w14:textId="77777777" w:rsidTr="00263AB1">
        <w:trPr>
          <w:jc w:val="center"/>
        </w:trPr>
        <w:tc>
          <w:tcPr>
            <w:tcW w:w="1477" w:type="dxa"/>
          </w:tcPr>
          <w:p w14:paraId="3BFD9D00" w14:textId="77777777" w:rsidR="00EE1CF5" w:rsidRPr="003B639C" w:rsidRDefault="00EE1CF5" w:rsidP="00263AB1">
            <w:pPr>
              <w:rPr>
                <w:rFonts w:ascii="Times New Roman" w:hAnsi="Times New Roman" w:cs="Times New Roman"/>
                <w:sz w:val="22"/>
                <w:szCs w:val="24"/>
              </w:rPr>
            </w:pPr>
            <w:r w:rsidRPr="00D15D04">
              <w:rPr>
                <w:rFonts w:ascii="Times New Roman" w:hAnsi="Times New Roman" w:cs="Times New Roman"/>
                <w:b/>
                <w:sz w:val="22"/>
                <w:szCs w:val="24"/>
              </w:rPr>
              <w:t>&lt;50</w:t>
            </w:r>
            <w:r w:rsidRPr="003B639C">
              <w:rPr>
                <w:rFonts w:ascii="Times New Roman" w:hAnsi="Times New Roman" w:cs="Times New Roman"/>
                <w:sz w:val="22"/>
                <w:szCs w:val="24"/>
              </w:rPr>
              <w:t>-47%</w:t>
            </w:r>
          </w:p>
        </w:tc>
        <w:tc>
          <w:tcPr>
            <w:tcW w:w="1475" w:type="dxa"/>
          </w:tcPr>
          <w:p w14:paraId="0B7CE431"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15 %</w:t>
            </w:r>
          </w:p>
        </w:tc>
        <w:tc>
          <w:tcPr>
            <w:tcW w:w="1666" w:type="dxa"/>
          </w:tcPr>
          <w:p w14:paraId="514AE173" w14:textId="77777777" w:rsidR="00EE1CF5" w:rsidRPr="003B639C" w:rsidRDefault="00EE1CF5" w:rsidP="00263AB1">
            <w:pPr>
              <w:rPr>
                <w:rFonts w:ascii="Times New Roman" w:hAnsi="Times New Roman" w:cs="Times New Roman"/>
                <w:sz w:val="22"/>
                <w:szCs w:val="24"/>
              </w:rPr>
            </w:pPr>
            <w:r w:rsidRPr="00D15D04">
              <w:rPr>
                <w:rFonts w:ascii="Times New Roman" w:hAnsi="Times New Roman" w:cs="Times New Roman"/>
                <w:b/>
                <w:sz w:val="22"/>
                <w:szCs w:val="24"/>
              </w:rPr>
              <w:t>&lt;70</w:t>
            </w:r>
            <w:r w:rsidRPr="003B639C">
              <w:rPr>
                <w:rFonts w:ascii="Times New Roman" w:hAnsi="Times New Roman" w:cs="Times New Roman"/>
                <w:sz w:val="22"/>
                <w:szCs w:val="24"/>
              </w:rPr>
              <w:t>-67%</w:t>
            </w:r>
          </w:p>
        </w:tc>
        <w:tc>
          <w:tcPr>
            <w:tcW w:w="1524" w:type="dxa"/>
          </w:tcPr>
          <w:p w14:paraId="40B7D4B7"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10 %</w:t>
            </w:r>
          </w:p>
        </w:tc>
        <w:tc>
          <w:tcPr>
            <w:tcW w:w="1444" w:type="dxa"/>
          </w:tcPr>
          <w:p w14:paraId="67684572" w14:textId="77777777" w:rsidR="00EE1CF5" w:rsidRPr="003B639C" w:rsidRDefault="00EE1CF5" w:rsidP="00263AB1">
            <w:pPr>
              <w:rPr>
                <w:rFonts w:ascii="Times New Roman" w:hAnsi="Times New Roman" w:cs="Times New Roman"/>
                <w:sz w:val="22"/>
                <w:szCs w:val="24"/>
              </w:rPr>
            </w:pPr>
            <w:r w:rsidRPr="00D15D04">
              <w:rPr>
                <w:rFonts w:ascii="Times New Roman" w:hAnsi="Times New Roman" w:cs="Times New Roman"/>
                <w:b/>
                <w:sz w:val="22"/>
                <w:szCs w:val="24"/>
              </w:rPr>
              <w:t>&lt;90</w:t>
            </w:r>
            <w:r w:rsidRPr="003B639C">
              <w:rPr>
                <w:rFonts w:ascii="Times New Roman" w:hAnsi="Times New Roman" w:cs="Times New Roman"/>
                <w:sz w:val="22"/>
                <w:szCs w:val="24"/>
              </w:rPr>
              <w:t>-87%</w:t>
            </w:r>
          </w:p>
        </w:tc>
        <w:tc>
          <w:tcPr>
            <w:tcW w:w="1475" w:type="dxa"/>
          </w:tcPr>
          <w:p w14:paraId="263D25DE"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5 %</w:t>
            </w:r>
          </w:p>
        </w:tc>
      </w:tr>
      <w:tr w:rsidR="00EE1CF5" w:rsidRPr="003B639C" w14:paraId="31AEB404" w14:textId="77777777" w:rsidTr="00263AB1">
        <w:trPr>
          <w:jc w:val="center"/>
        </w:trPr>
        <w:tc>
          <w:tcPr>
            <w:tcW w:w="1477" w:type="dxa"/>
          </w:tcPr>
          <w:p w14:paraId="187C6206"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&lt;47-44%</w:t>
            </w:r>
          </w:p>
        </w:tc>
        <w:tc>
          <w:tcPr>
            <w:tcW w:w="1475" w:type="dxa"/>
          </w:tcPr>
          <w:p w14:paraId="76C94AA8"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30%</w:t>
            </w:r>
          </w:p>
        </w:tc>
        <w:tc>
          <w:tcPr>
            <w:tcW w:w="1666" w:type="dxa"/>
          </w:tcPr>
          <w:p w14:paraId="2341FE01"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&lt;67-64%</w:t>
            </w:r>
          </w:p>
        </w:tc>
        <w:tc>
          <w:tcPr>
            <w:tcW w:w="1524" w:type="dxa"/>
          </w:tcPr>
          <w:p w14:paraId="35BA204A"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20%</w:t>
            </w:r>
          </w:p>
        </w:tc>
        <w:tc>
          <w:tcPr>
            <w:tcW w:w="1444" w:type="dxa"/>
          </w:tcPr>
          <w:p w14:paraId="40758C00"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&lt;87-84%</w:t>
            </w:r>
          </w:p>
        </w:tc>
        <w:tc>
          <w:tcPr>
            <w:tcW w:w="1475" w:type="dxa"/>
          </w:tcPr>
          <w:p w14:paraId="7888C306"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15%</w:t>
            </w:r>
          </w:p>
        </w:tc>
      </w:tr>
      <w:tr w:rsidR="00EE1CF5" w:rsidRPr="003B639C" w14:paraId="0C390585" w14:textId="77777777" w:rsidTr="00263AB1">
        <w:trPr>
          <w:jc w:val="center"/>
        </w:trPr>
        <w:tc>
          <w:tcPr>
            <w:tcW w:w="1477" w:type="dxa"/>
          </w:tcPr>
          <w:p w14:paraId="163CDA98"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&lt;44-40%</w:t>
            </w:r>
          </w:p>
        </w:tc>
        <w:tc>
          <w:tcPr>
            <w:tcW w:w="1475" w:type="dxa"/>
          </w:tcPr>
          <w:p w14:paraId="379AA43A"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50%</w:t>
            </w:r>
          </w:p>
        </w:tc>
        <w:tc>
          <w:tcPr>
            <w:tcW w:w="1666" w:type="dxa"/>
          </w:tcPr>
          <w:p w14:paraId="429B28F3"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&lt;64-60%</w:t>
            </w:r>
          </w:p>
        </w:tc>
        <w:tc>
          <w:tcPr>
            <w:tcW w:w="1524" w:type="dxa"/>
          </w:tcPr>
          <w:p w14:paraId="557ED0FC"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40%</w:t>
            </w:r>
          </w:p>
        </w:tc>
        <w:tc>
          <w:tcPr>
            <w:tcW w:w="1444" w:type="dxa"/>
          </w:tcPr>
          <w:p w14:paraId="7D244429"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&lt;84-80%</w:t>
            </w:r>
          </w:p>
        </w:tc>
        <w:tc>
          <w:tcPr>
            <w:tcW w:w="1475" w:type="dxa"/>
          </w:tcPr>
          <w:p w14:paraId="7357D952"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30%</w:t>
            </w:r>
          </w:p>
        </w:tc>
      </w:tr>
      <w:tr w:rsidR="00EE1CF5" w:rsidRPr="003B639C" w14:paraId="66FD1E88" w14:textId="77777777" w:rsidTr="00263AB1">
        <w:trPr>
          <w:trHeight w:val="161"/>
          <w:jc w:val="center"/>
        </w:trPr>
        <w:tc>
          <w:tcPr>
            <w:tcW w:w="1477" w:type="dxa"/>
          </w:tcPr>
          <w:p w14:paraId="029573FF"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&lt;40%</w:t>
            </w:r>
          </w:p>
        </w:tc>
        <w:tc>
          <w:tcPr>
            <w:tcW w:w="1475" w:type="dxa"/>
          </w:tcPr>
          <w:p w14:paraId="3A8FA559"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OI tiek atcelts</w:t>
            </w:r>
          </w:p>
        </w:tc>
        <w:tc>
          <w:tcPr>
            <w:tcW w:w="1666" w:type="dxa"/>
          </w:tcPr>
          <w:p w14:paraId="33C72B84"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&lt;60%</w:t>
            </w:r>
          </w:p>
        </w:tc>
        <w:tc>
          <w:tcPr>
            <w:tcW w:w="1524" w:type="dxa"/>
          </w:tcPr>
          <w:p w14:paraId="7ADD2BCF"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OI tiek atcelts</w:t>
            </w:r>
          </w:p>
        </w:tc>
        <w:tc>
          <w:tcPr>
            <w:tcW w:w="1444" w:type="dxa"/>
          </w:tcPr>
          <w:p w14:paraId="11E6A1A2"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&lt;80%</w:t>
            </w:r>
          </w:p>
        </w:tc>
        <w:tc>
          <w:tcPr>
            <w:tcW w:w="1475" w:type="dxa"/>
          </w:tcPr>
          <w:p w14:paraId="57D37A06" w14:textId="77777777" w:rsidR="00EE1CF5" w:rsidRPr="003B639C" w:rsidRDefault="00EE1CF5" w:rsidP="00263AB1">
            <w:pPr>
              <w:rPr>
                <w:rFonts w:ascii="Times New Roman" w:hAnsi="Times New Roman" w:cs="Times New Roman"/>
                <w:sz w:val="22"/>
                <w:szCs w:val="24"/>
              </w:rPr>
            </w:pPr>
            <w:r w:rsidRPr="003B639C">
              <w:rPr>
                <w:rFonts w:ascii="Times New Roman" w:hAnsi="Times New Roman" w:cs="Times New Roman"/>
                <w:sz w:val="22"/>
                <w:szCs w:val="24"/>
              </w:rPr>
              <w:t>OI tiek atcelts</w:t>
            </w:r>
          </w:p>
        </w:tc>
      </w:tr>
    </w:tbl>
    <w:p w14:paraId="178925E5" w14:textId="77777777" w:rsidR="00EE1CF5" w:rsidRPr="001A2447" w:rsidRDefault="00EE1CF5" w:rsidP="00EE1CF5">
      <w:pPr>
        <w:rPr>
          <w:szCs w:val="26"/>
        </w:rPr>
      </w:pPr>
    </w:p>
    <w:p w14:paraId="037F778B" w14:textId="77777777" w:rsidR="00EE1CF5" w:rsidRPr="001A2447" w:rsidRDefault="00EE1CF5" w:rsidP="00EE1CF5">
      <w:pPr>
        <w:spacing w:before="120"/>
        <w:ind w:firstLine="720"/>
        <w:rPr>
          <w:rFonts w:cs="Times New Roman"/>
          <w:szCs w:val="26"/>
        </w:rPr>
      </w:pPr>
      <w:r w:rsidRPr="001A2447">
        <w:rPr>
          <w:szCs w:val="26"/>
        </w:rPr>
        <w:t xml:space="preserve">Saskaņā ar </w:t>
      </w:r>
      <w:r>
        <w:rPr>
          <w:szCs w:val="26"/>
        </w:rPr>
        <w:t>ZM</w:t>
      </w:r>
      <w:r w:rsidRPr="001A2447">
        <w:rPr>
          <w:szCs w:val="26"/>
        </w:rPr>
        <w:t xml:space="preserve"> prognozēm</w:t>
      </w:r>
      <w:r>
        <w:rPr>
          <w:szCs w:val="26"/>
        </w:rPr>
        <w:t xml:space="preserve"> attiecībā uz Darba grupā piedāvāto scenāriju</w:t>
      </w:r>
      <w:r w:rsidRPr="001A2447">
        <w:rPr>
          <w:szCs w:val="26"/>
        </w:rPr>
        <w:t xml:space="preserve">, piemērojot atbilstoši atlikumproduktu izmantošanas īpatsvaram diferencētu OI tarifu, sagaidāms, ka par 35% </w:t>
      </w:r>
      <w:r w:rsidRPr="001A2447">
        <w:rPr>
          <w:rFonts w:cs="Times New Roman"/>
          <w:szCs w:val="26"/>
        </w:rPr>
        <w:t>palielināsies utilizēto atlikumproduktu  apjoms visā atbalsta periodā, sasniedzot 9930 tūks.t.</w:t>
      </w:r>
      <w:r w:rsidRPr="001A2447">
        <w:rPr>
          <w:rFonts w:cs="Times New Roman"/>
          <w:szCs w:val="26"/>
          <w:shd w:val="clear" w:color="auto" w:fill="FFFFFF"/>
        </w:rPr>
        <w:t>, kā dēļ šādu atlikumproduktu izmantošanas līmeņatzīmju noteikšanai ir vērā ņemams lauksaimniecības nozares radīto siltumnīcefekta gāzu un gaisa piesārņojošo vielu emisiju samazināšanas potenciāls.</w:t>
      </w:r>
      <w:r>
        <w:rPr>
          <w:rFonts w:cs="Times New Roman"/>
          <w:szCs w:val="26"/>
          <w:shd w:val="clear" w:color="auto" w:fill="FFFFFF"/>
        </w:rPr>
        <w:t xml:space="preserve"> Ministrijas ieskatā kompromisa piedāvājumam nevajadzētu būtiski ietekmēt šo rādītāju.</w:t>
      </w:r>
    </w:p>
    <w:p w14:paraId="4C19CF8F" w14:textId="77777777" w:rsidR="00EE1CF5" w:rsidRPr="001A2447" w:rsidRDefault="00EE1CF5" w:rsidP="00EE1CF5">
      <w:pPr>
        <w:spacing w:before="120"/>
        <w:ind w:firstLine="720"/>
        <w:rPr>
          <w:rFonts w:eastAsia="Times New Roman" w:cs="Times New Roman"/>
          <w:szCs w:val="26"/>
        </w:rPr>
      </w:pPr>
      <w:r w:rsidRPr="001A2447">
        <w:rPr>
          <w:rFonts w:cs="Times New Roman"/>
          <w:szCs w:val="26"/>
        </w:rPr>
        <w:t>Instrumenta ieviešanas radītās izmaiņas negatīvi ietekmēs tikai tās biogāzes elektrostacijas, kas nosacījumu par minimālo atlikumproduktu izmantošanas</w:t>
      </w:r>
      <w:r w:rsidRPr="001A2447">
        <w:rPr>
          <w:szCs w:val="26"/>
        </w:rPr>
        <w:t xml:space="preserve"> īpatsvaru neizpilda. Biogāzes elektrostacijām, kurās elektroenerģijas ražošanai izmanto speciāli audzētas biomasas kultūras, piemēram, kukurūzu, vai neizmanto atlikumproduktus noteiktajā apmērā, lai saglabātu tiesības pārdot saražoto elektroenerģiju OI mehānisma ietvaros, būs jāpiemērojas normatīvā regulējuma izmaiņām, vai turpmāk tām atbalsts OI mehānisma ietvaros netiks sniegts. Ņemot vērā, ka instruments paredz atcelt piešķirtās OI tiesības atsevišķiem ražotājiem, tā rezultātā samazināsies atbalsta saņēmēju loks. </w:t>
      </w:r>
    </w:p>
    <w:p w14:paraId="153C8668" w14:textId="77777777" w:rsidR="00EE1CF5" w:rsidRPr="001A2447" w:rsidRDefault="00EE1CF5" w:rsidP="00EE1CF5">
      <w:pPr>
        <w:spacing w:before="120"/>
        <w:ind w:firstLine="720"/>
        <w:rPr>
          <w:rFonts w:eastAsia="Times New Roman" w:cs="Times New Roman"/>
          <w:szCs w:val="26"/>
        </w:rPr>
      </w:pPr>
      <w:r w:rsidRPr="001A2447">
        <w:rPr>
          <w:szCs w:val="26"/>
        </w:rPr>
        <w:t xml:space="preserve">Saskaņā ar </w:t>
      </w:r>
      <w:r>
        <w:rPr>
          <w:szCs w:val="26"/>
        </w:rPr>
        <w:t>biedrības “</w:t>
      </w:r>
      <w:r w:rsidRPr="001A2447">
        <w:rPr>
          <w:szCs w:val="26"/>
        </w:rPr>
        <w:t>Lauksaimnieku organizāciju sadarbības padome</w:t>
      </w:r>
      <w:r>
        <w:rPr>
          <w:szCs w:val="26"/>
        </w:rPr>
        <w:t>”</w:t>
      </w:r>
      <w:r w:rsidRPr="001A2447">
        <w:rPr>
          <w:szCs w:val="26"/>
        </w:rPr>
        <w:t xml:space="preserve"> apkopoto informāciju</w:t>
      </w:r>
      <w:r>
        <w:rPr>
          <w:rFonts w:eastAsia="Times New Roman" w:cs="Times New Roman"/>
          <w:szCs w:val="26"/>
          <w:vertAlign w:val="superscript"/>
        </w:rPr>
        <w:footnoteReference w:id="37"/>
      </w:r>
      <w:r w:rsidRPr="001A2447">
        <w:rPr>
          <w:szCs w:val="26"/>
        </w:rPr>
        <w:t xml:space="preserve"> Lauku atbalsta dienesta un Vides pārraudzības valsts biroja informāciju no </w:t>
      </w:r>
      <w:r w:rsidRPr="001A2447">
        <w:rPr>
          <w:bCs/>
          <w:szCs w:val="26"/>
        </w:rPr>
        <w:t xml:space="preserve">54 </w:t>
      </w:r>
      <w:r w:rsidRPr="001A2447">
        <w:rPr>
          <w:szCs w:val="26"/>
        </w:rPr>
        <w:t xml:space="preserve">biogāzes stacijām 2017.gadā </w:t>
      </w:r>
      <w:r w:rsidRPr="001A2447">
        <w:rPr>
          <w:bCs/>
          <w:szCs w:val="26"/>
        </w:rPr>
        <w:t>27</w:t>
      </w:r>
      <w:r w:rsidRPr="001A2447">
        <w:rPr>
          <w:szCs w:val="26"/>
        </w:rPr>
        <w:t xml:space="preserve"> stacijām atlikumu produktu izmantošanas intensitāte bija līdz 50%, 13 stacijām atlikumu produktu izmantošanas intensitāte bija līdz 25%, no kurām 7 stacijām līdz 10%.</w:t>
      </w:r>
    </w:p>
    <w:p w14:paraId="4DFCF502" w14:textId="77777777" w:rsidR="00EE1CF5" w:rsidRPr="001A2447" w:rsidRDefault="00EE1CF5" w:rsidP="00EE1CF5">
      <w:pPr>
        <w:spacing w:before="120"/>
        <w:ind w:firstLine="720"/>
        <w:rPr>
          <w:rFonts w:eastAsia="Times New Roman" w:cs="Times New Roman"/>
          <w:szCs w:val="26"/>
        </w:rPr>
      </w:pPr>
      <w:r w:rsidRPr="001A2447">
        <w:rPr>
          <w:szCs w:val="26"/>
        </w:rPr>
        <w:lastRenderedPageBreak/>
        <w:t xml:space="preserve">Īstenojot instrumentu, netiek apdraudēta AER mērķa sasniegšana, vienlaikus nodrošinot sabiedrības līdzekļu ekonomiju. Atlikumproduktu izmantošanas slieksnis kā kvalitātes prasība ir salāgojama ar OI mehānisma pārstrukturēšanu uz citu atbalsta mehānismu. </w:t>
      </w:r>
    </w:p>
    <w:p w14:paraId="7C503486" w14:textId="77777777" w:rsidR="00EE1CF5" w:rsidRPr="001A2447" w:rsidRDefault="00EE1CF5" w:rsidP="00EE1CF5">
      <w:pPr>
        <w:spacing w:before="120"/>
        <w:ind w:firstLine="720"/>
        <w:rPr>
          <w:szCs w:val="26"/>
        </w:rPr>
      </w:pPr>
      <w:r w:rsidRPr="001A2447">
        <w:rPr>
          <w:szCs w:val="26"/>
        </w:rPr>
        <w:t>AER Direktīvas pārskata priekšlikums, cita starpā, nosaka, ka dalībvalstis, izstrādājot valsts atbalsta shēmas atjaunojamās enerģijas izmantošanas veicināšanai, ņem vērā ilgtspējīgas biomasas piedāvājumu un ar Direktīvu 2008/98/EK</w:t>
      </w:r>
      <w:r>
        <w:rPr>
          <w:rFonts w:eastAsia="Times New Roman" w:cs="Times New Roman"/>
          <w:szCs w:val="26"/>
          <w:vertAlign w:val="superscript"/>
        </w:rPr>
        <w:footnoteReference w:id="38"/>
      </w:r>
      <w:r w:rsidRPr="001A2447">
        <w:rPr>
          <w:szCs w:val="26"/>
        </w:rPr>
        <w:t xml:space="preserve"> iedibinātās atkritumu apsaimniekošanas hierarhijas principus, lai izvairītos no nevajadzīgas izejmateriālu tirgus kropļošanas. Atkritumu novēršana un atkritumu otrreizēja pārstrāde ir prioritāte. Dalībvalstīm būtu jāizvairās no atbalsta shēmu izveides, kas būtu pretrunā ar atkritumu apstrādes mērķiem un novestu pie neefektīvas pārstrādājamo atkritumu izmantošanas. </w:t>
      </w:r>
    </w:p>
    <w:p w14:paraId="2BFC00FA" w14:textId="77777777" w:rsidR="00EE1CF5" w:rsidRDefault="00EE1CF5" w:rsidP="00EE1CF5">
      <w:pPr>
        <w:spacing w:before="120"/>
        <w:ind w:firstLine="720"/>
      </w:pPr>
      <w:bookmarkStart w:id="110" w:name="_Toc522614023"/>
      <w:bookmarkStart w:id="111" w:name="_Toc522781229"/>
      <w:bookmarkStart w:id="112" w:name="_Toc522810299"/>
      <w:r w:rsidRPr="001A2447">
        <w:t>Instrumenta ieviešanas iespējamie riski ir atkarīgi no tā, vai noteiktais termiņš ir samērīgs, lai elektroenerģijas ražotāji spētu pārkārtot savu saimniecisko darbību tādā veidā, lai atbilstu izvirzītajām kvalitātes prasībām.</w:t>
      </w:r>
      <w:bookmarkEnd w:id="110"/>
      <w:bookmarkEnd w:id="111"/>
      <w:bookmarkEnd w:id="112"/>
    </w:p>
    <w:p w14:paraId="7DBE39E1" w14:textId="77777777" w:rsidR="00EE1CF5" w:rsidRDefault="00EE1CF5" w:rsidP="00EE1CF5">
      <w:pPr>
        <w:spacing w:before="120"/>
        <w:ind w:firstLine="720"/>
      </w:pPr>
    </w:p>
    <w:p w14:paraId="05BF5C63" w14:textId="77777777" w:rsidR="00EE1CF5" w:rsidRDefault="00EE1CF5" w:rsidP="00EE1CF5">
      <w:pPr>
        <w:pStyle w:val="11apaknodaa"/>
        <w:spacing w:before="240" w:after="120"/>
      </w:pPr>
      <w:bookmarkStart w:id="113" w:name="_Toc256000060"/>
      <w:bookmarkStart w:id="114" w:name="_Toc528585665"/>
      <w:bookmarkStart w:id="115" w:name="_Toc531798578"/>
      <w:r w:rsidRPr="009F09D1">
        <w:t>4.5. Rīcība attiecībā uz dabasgāzes stacijām sniegto atbalstu</w:t>
      </w:r>
      <w:bookmarkEnd w:id="113"/>
      <w:bookmarkEnd w:id="114"/>
      <w:bookmarkEnd w:id="115"/>
    </w:p>
    <w:p w14:paraId="1947E7F5" w14:textId="77777777" w:rsidR="00EE1CF5" w:rsidRPr="00193B91" w:rsidRDefault="00EE1CF5" w:rsidP="00EE1CF5">
      <w:pPr>
        <w:spacing w:before="120"/>
        <w:rPr>
          <w:b/>
        </w:rPr>
      </w:pPr>
      <w:r>
        <w:tab/>
        <w:t xml:space="preserve">OIK sloga samazināšanas kontekstā svarīgi apskatīt arī iespējamos risinājumus attiecībā uz dabasgāzes koģenerācijas stacijām. Ņemot vērā, ka dabasgāzes koģenerācijas stacijām sniegtais atbalsts neveicina to mērķu sasniegšanu, kas vērsti uz plašāku tādas enerģijas izmantošanu, kas iegūta no AER, no juridiskā viedokļa ir vērtēta atbalsta koģenerācijas stacijām atcelšana. Vienlaikus visa atbalsta atcelšana rada risku, ka koģenerācijas stacijas darbu nespēs turpināt, un līdz ar ko atbalsta atcelšana var tikt uzskatīta par īpašuma konfiskāciju, līdz ar to tiks aizskartas Satversmē nostiprinātās īpašumtiesības un tiesiskā paļāvība. Ņemot vērā, ka stacijām paredzēto izmaiņu rezultātā būs jāpārtrauc sava darbība, pirmšķietami šādi grozījumi normatīvajos aktos var tikt atzīti par neatbilstošiem Satversmei. Ņemot vērā minēto, šāds risinājums šī Konceptuālā ziņojuma ietvaros netika vērtēts kā iespējams. Vienlaikus </w:t>
      </w:r>
      <w:r w:rsidRPr="00193B91">
        <w:rPr>
          <w:b/>
        </w:rPr>
        <w:t xml:space="preserve">nepieciešama tālāka šāda risinājuma izvērtēšana. </w:t>
      </w:r>
    </w:p>
    <w:p w14:paraId="769A5900" w14:textId="77777777" w:rsidR="00EE1CF5" w:rsidRDefault="00EE1CF5" w:rsidP="00EE1CF5">
      <w:pPr>
        <w:spacing w:before="120"/>
        <w:ind w:firstLine="720"/>
        <w:rPr>
          <w:szCs w:val="26"/>
        </w:rPr>
      </w:pPr>
      <w:r>
        <w:t>Šī ziņojuma 4.2. sadaļā ir apskatīts r</w:t>
      </w:r>
      <w:r w:rsidRPr="001C5786">
        <w:t xml:space="preserve">isinājums </w:t>
      </w:r>
      <w:r>
        <w:t xml:space="preserve">attiecībā uz </w:t>
      </w:r>
      <w:r w:rsidRPr="001C5786">
        <w:t xml:space="preserve"> OI mehānism</w:t>
      </w:r>
      <w:r>
        <w:t>ā</w:t>
      </w:r>
      <w:r w:rsidRPr="001C5786">
        <w:t xml:space="preserve"> ietverto elektrostaciju kopējo kapitālieguldījumu </w:t>
      </w:r>
      <w:r>
        <w:t>IRR</w:t>
      </w:r>
      <w:r w:rsidRPr="001C5786">
        <w:t xml:space="preserve"> aprēķināšanas metodik</w:t>
      </w:r>
      <w:r>
        <w:t>as</w:t>
      </w:r>
      <w:r w:rsidRPr="001C5786">
        <w:t xml:space="preserve"> un piemērošanas kārtīb</w:t>
      </w:r>
      <w:r>
        <w:t xml:space="preserve">as pilnveidošanu. Tas paredz gan vēsturiskā atbalsta iekļaušanu aprēķinā, gan aprēķinā izmantojamo MK noteikumos noteikto līmeņatzīmju pārskatīšanu. </w:t>
      </w:r>
      <w:r w:rsidRPr="000B4796">
        <w:t xml:space="preserve">Tāpat plānots atcelt </w:t>
      </w:r>
      <w:r w:rsidRPr="000B4796">
        <w:rPr>
          <w:szCs w:val="26"/>
        </w:rPr>
        <w:t>saskaņā ar MK noteikumu Nr.221 56.</w:t>
      </w:r>
      <w:r w:rsidRPr="000B4796">
        <w:rPr>
          <w:szCs w:val="26"/>
          <w:vertAlign w:val="superscript"/>
        </w:rPr>
        <w:t>16</w:t>
      </w:r>
      <w:r w:rsidRPr="000B4796">
        <w:rPr>
          <w:szCs w:val="26"/>
        </w:rPr>
        <w:t xml:space="preserve"> un MK noteikumu Nr. 262 63.</w:t>
      </w:r>
      <w:r w:rsidRPr="000B4796">
        <w:rPr>
          <w:szCs w:val="26"/>
          <w:vertAlign w:val="superscript"/>
        </w:rPr>
        <w:t>9</w:t>
      </w:r>
      <w:r w:rsidRPr="000B4796">
        <w:rPr>
          <w:szCs w:val="26"/>
        </w:rPr>
        <w:t xml:space="preserve"> punktu noteikto atbrīvojumu no kopējo kapitālieguldījumu IRR aprēķina veikšanas tām koģenerācijas elektrostacijām, kurām triju gadu laikā no datuma, kurā tās ir uzsākušas izmantot tiesības pārdot elektroenerģiju OI ietvaros vai saņemt garantētu maksu par elektrostacijā uzstādīto jaudu, saražotās siltumenerģijas tarifu ir apstiprinājis </w:t>
      </w:r>
      <w:r>
        <w:rPr>
          <w:szCs w:val="26"/>
        </w:rPr>
        <w:t>SPRK</w:t>
      </w:r>
      <w:r w:rsidRPr="000B4796">
        <w:rPr>
          <w:szCs w:val="26"/>
        </w:rPr>
        <w:t>.</w:t>
      </w:r>
      <w:r>
        <w:rPr>
          <w:szCs w:val="26"/>
        </w:rPr>
        <w:t xml:space="preserve"> Šādu staciju vidū pamatā ir dabasgāzes koģenerācija stacijas. </w:t>
      </w:r>
      <w:r w:rsidRPr="00064EA9">
        <w:rPr>
          <w:b/>
          <w:szCs w:val="26"/>
        </w:rPr>
        <w:t>Attiecīgi, īstenojot šo risinājumu, paredzams, ka lielai daļai dabasgāzes koģenerācijas staciju tiks samazināts izmaksātais atbalsts, samazinot elektroenerģijas iepirkuma cenu.</w:t>
      </w:r>
    </w:p>
    <w:p w14:paraId="1A553B48" w14:textId="77777777" w:rsidR="00EE1CF5" w:rsidRPr="009F09D1" w:rsidRDefault="00EE1CF5" w:rsidP="00EE1CF5">
      <w:pPr>
        <w:spacing w:before="120"/>
        <w:ind w:firstLine="720"/>
      </w:pPr>
      <w:r>
        <w:rPr>
          <w:rFonts w:eastAsia="Times New Roman" w:cs="Times New Roman"/>
          <w:szCs w:val="26"/>
        </w:rPr>
        <w:lastRenderedPageBreak/>
        <w:t xml:space="preserve">Vienlaikus, lai mazinātu OIK slogu sabiedrībai un elektroenerģijas lietotājiem nebūtu jāturpina segt </w:t>
      </w:r>
      <w:r w:rsidRPr="00064EA9">
        <w:rPr>
          <w:rFonts w:eastAsia="Times New Roman" w:cs="Times New Roman"/>
          <w:b/>
          <w:szCs w:val="26"/>
        </w:rPr>
        <w:t>izmaksas, kas radušās par atbalsta sniegšanu elektroenerģijas ražošanai no fosilajiem un importētajiem energoresursiem, tiek piedāvāts attiecīgās izmaksas ar 2022.</w:t>
      </w:r>
      <w:r>
        <w:rPr>
          <w:rFonts w:eastAsia="Times New Roman" w:cs="Times New Roman"/>
          <w:b/>
          <w:szCs w:val="26"/>
        </w:rPr>
        <w:t> </w:t>
      </w:r>
      <w:r w:rsidRPr="00064EA9">
        <w:rPr>
          <w:rFonts w:eastAsia="Times New Roman" w:cs="Times New Roman"/>
          <w:b/>
          <w:szCs w:val="26"/>
        </w:rPr>
        <w:t>gadu segt no valsts budžeta līdzekļiem</w:t>
      </w:r>
      <w:r>
        <w:rPr>
          <w:rFonts w:eastAsia="Times New Roman" w:cs="Times New Roman"/>
          <w:szCs w:val="26"/>
        </w:rPr>
        <w:t xml:space="preserve">. Ņemot vērā piedāvātās izmaiņas attiecībā uz dabasgāzes stacijām sniegtā atbalsta izmaksu segšanas avotu, nepieciešams izvērtēt risinājuma ietekmi uz vispārējās valdības sektoru un mazināt ar to saistītos riskus. Turklāt šis risinājums vērtējams kontekstā ar 5.2.nodaļā piedāvāto risinājumu attiecībā uz sistēmiski svarīgām stacijām. Tāpat jānorāda, ka </w:t>
      </w:r>
      <w:r w:rsidRPr="00064EA9">
        <w:rPr>
          <w:rFonts w:eastAsia="Times New Roman" w:cs="Times New Roman"/>
          <w:szCs w:val="26"/>
        </w:rPr>
        <w:t>2022.gadā šīs izmaksas nebūs lielākas kā</w:t>
      </w:r>
      <w:r>
        <w:rPr>
          <w:rFonts w:eastAsia="Times New Roman" w:cs="Times New Roman"/>
          <w:szCs w:val="26"/>
        </w:rPr>
        <w:t xml:space="preserve"> 14,5 milj. EUR, 2023.gadā – 7,78 milj. EUR, 2024.gadā – 4,1 milj. EUR,  turpmākajos gados 2,3 milj. EUR un 2027.gadā 0,89 milj. EUR, un paredzams, ka, īstenojot piedāvātos instrumentus attiecībā uz pārkompensācijas mehānisma pilnveidošanu, visdrīzāk būtiski samazināsies.  </w:t>
      </w:r>
    </w:p>
    <w:p w14:paraId="52CFEA62" w14:textId="77777777" w:rsidR="00EE1CF5" w:rsidRDefault="00EE1CF5" w:rsidP="00EE1CF5">
      <w:pPr>
        <w:jc w:val="left"/>
      </w:pPr>
      <w:bookmarkStart w:id="116" w:name="_Toc256000061"/>
      <w:bookmarkStart w:id="117" w:name="_Toc528585666"/>
    </w:p>
    <w:p w14:paraId="0D5F9868" w14:textId="77777777" w:rsidR="00EE1CF5" w:rsidRPr="0089139C" w:rsidRDefault="00EE1CF5" w:rsidP="00EE1CF5">
      <w:pPr>
        <w:pStyle w:val="11apaknodaa"/>
      </w:pPr>
      <w:bookmarkStart w:id="118" w:name="_Toc531798579"/>
      <w:r>
        <w:t>4.6. Brīvprātīga iziešana no OI sistēmas un staciju darbība pēc atbalsta perioda beigām</w:t>
      </w:r>
      <w:bookmarkEnd w:id="116"/>
      <w:bookmarkEnd w:id="117"/>
      <w:bookmarkEnd w:id="118"/>
    </w:p>
    <w:p w14:paraId="2766895A" w14:textId="77777777" w:rsidR="00EE1CF5" w:rsidRDefault="00EE1CF5" w:rsidP="00EE1CF5">
      <w:pPr>
        <w:spacing w:before="120"/>
        <w:ind w:firstLine="720"/>
      </w:pPr>
      <w:r>
        <w:t>AER nozari pārstāvošās institūcijas ir izteikušas interesi par iziešanu no OI mehānisma, piemēram, ja tām tiek izmaksāts diskontēts nākotnes atbalsts daļējā apmērā. Tomēr šajā sakarā norādāms, ka svarīgi nodrošināt staciju nākotnes darbu vismaz līdz atbalsta perioda beigām, ko apgrūtina fakts, ka stacijām, kas atbalstu saņem OI ietvaros, faktiski nav saistību pret valsti, ar kurām garantēt nākotnes darbību pēc minētā darījuma veikšanas. Tāpat šāda risinājuma īstenošanai būtu nepieciešams izmantot valsts budžeta līdzekļus, vienlaikus nav konstatējami šī instrumenta riski par neatbilstību Satversmei. Ņemot vērā minētos apsvērumus, EM nepiedāvā īstenot šādu risinājumu.</w:t>
      </w:r>
    </w:p>
    <w:p w14:paraId="23B004AF" w14:textId="77777777" w:rsidR="00EE1CF5" w:rsidRDefault="00EE1CF5" w:rsidP="00EE1CF5">
      <w:pPr>
        <w:spacing w:before="120"/>
        <w:ind w:firstLine="720"/>
      </w:pPr>
      <w:r>
        <w:t xml:space="preserve">EM varētu piedāvāt </w:t>
      </w:r>
      <w:r w:rsidRPr="00192CD8">
        <w:rPr>
          <w:b/>
        </w:rPr>
        <w:t>brīvprātīgu atteikšanos no elektroenerģijas OI vai garantētās maksas trīs gadu laikā</w:t>
      </w:r>
      <w:r>
        <w:t>, sākot ar gadu, kad saskaņā ar šajā ziņojumā iekļauto risinājumu</w:t>
      </w:r>
      <w:r w:rsidRPr="00990A44">
        <w:t xml:space="preserve"> </w:t>
      </w:r>
      <w:r>
        <w:t xml:space="preserve">tiks veikts kopējo kapitālieguldījumu iekšējās peļņas normas aprēķins. Attiecīgi stacijām, kurām tiktu konstatēta pārkompensācija un kuras izvēlētos šādu risinājumu, tiktu veikts kopējo kapitālieguldījumu IRR pārrēķins, pieņemot, ka atbalsta periods beidzas 3 gadu laikā, sākot ar pārrēķina veikšanas gadu. Daļai staciju, kurām sākotnēji tiktu konstatēta pārkompensācija, pēc pārrēķina veikšanas piemērojamais elektroenerģijas iepirkuma cenas samazinājums būtu mazāks vai tāds nebūtu. Tādējādi elektrostacijām būtu iespēja šajā 3 gadu periodā nodrošināt pozitīvāku ikgadējo naudas plūsmu nekā tā būtu situācijā, ja stacija darbotos līdz plānotajām atbalsta perioda beigām ar lielāku elektroenerģijas iepirkuma cenas samazinājumu. Vienlaikus tiktu nodrošināta projekta investīciju atmaksāšanās ar kopējo kapitālieguldījumu IRR 9% apmērā. Šāda iespēja varētu būt saistoša stacijām, kurām OI tiesības vai tiesības saņemt garantēto maksu ir spēkā vēl vismaz četrus gadus. </w:t>
      </w:r>
    </w:p>
    <w:p w14:paraId="32B06FE3" w14:textId="77777777" w:rsidR="00EE1CF5" w:rsidRDefault="00EE1CF5" w:rsidP="00EE1CF5">
      <w:pPr>
        <w:spacing w:before="120"/>
        <w:ind w:firstLine="720"/>
      </w:pPr>
      <w:bookmarkStart w:id="119" w:name="_Hlk527625463"/>
      <w:r>
        <w:t xml:space="preserve">Vienlaikus biogāzes nozari pārstāvošās institūcijas ir izteikušas interesi </w:t>
      </w:r>
      <w:r w:rsidRPr="00495E6F">
        <w:rPr>
          <w:b/>
        </w:rPr>
        <w:t>pāriešanai no elektroenerģijas ražošanas OI mehānisma ietvaros uz biometāna ražošanu</w:t>
      </w:r>
      <w:r>
        <w:t xml:space="preserve"> ar sekojošu tā ievadīšanu dabasgāzes tīklā vai izmantošanu transportā. Šāda risinājuma īstenošanai nepieciešams piesaistīt ES līdzekļus sākotnējo investīciju segšanai nepieciešamajām papildu iekārtām biogāzes stacijās (pamatā biogāzes attīrīšanai līdz biometāna kvalitātei). Īstenojot šo risinājumu, tiktu nodrošināta esošo biogāzes staciju iespēja tālākai darbībai pēc OI atbalsta perioda beigām, tādējādi sniedzot ieguldījumu Latvijai noteikto 2030.gada AER, tostarp transporta sektora, mērķu sasniegšanā un vienlaikus nodrošinot, ka par staciju saražoto gala produktu </w:t>
      </w:r>
      <w:r>
        <w:lastRenderedPageBreak/>
        <w:t>izmaksas nesedz elektroenerģijas gala patērētāji. Attiecīgi šāds risinājums izstrādājams EM sadarbojoties ar ZM un VARAM.</w:t>
      </w:r>
      <w:bookmarkEnd w:id="119"/>
    </w:p>
    <w:p w14:paraId="35C127CA" w14:textId="77777777" w:rsidR="00EE1CF5" w:rsidRDefault="00EE1CF5" w:rsidP="00EE1CF5">
      <w:pPr>
        <w:spacing w:before="120"/>
        <w:ind w:firstLine="720"/>
        <w:rPr>
          <w:b/>
        </w:rPr>
      </w:pPr>
      <w:r>
        <w:t xml:space="preserve">Tāpat hidroelektroenerģijas ražošanas nozari pārstāvošās institūcijas ir norādījušas, ka pašreiz hidroelektrostacijām piemērojamais DRN ir nesamērīgs, īpaši attiecībā uz mazajām HES un atsevišķos gadījumos var sasniegt pat 80% no to apgrozījuma. Tāpēc, lai nodrošinātu mazo hidroelektrostaciju iespējas darboties elektroenerģijas tirgū bez valsts atbalsta, EM ieskatā ir </w:t>
      </w:r>
      <w:r w:rsidRPr="00E336A9">
        <w:rPr>
          <w:b/>
        </w:rPr>
        <w:t>pārskatām</w:t>
      </w:r>
      <w:r>
        <w:rPr>
          <w:b/>
        </w:rPr>
        <w:t>s</w:t>
      </w:r>
      <w:r w:rsidRPr="00E336A9">
        <w:rPr>
          <w:b/>
        </w:rPr>
        <w:t xml:space="preserve"> </w:t>
      </w:r>
      <w:r>
        <w:rPr>
          <w:b/>
        </w:rPr>
        <w:t>tām piemērojamais DRN.</w:t>
      </w:r>
    </w:p>
    <w:p w14:paraId="4E203F6E" w14:textId="77777777" w:rsidR="00EE1CF5" w:rsidRDefault="00EE1CF5" w:rsidP="00EE1CF5">
      <w:pPr>
        <w:spacing w:before="120"/>
        <w:ind w:firstLine="720"/>
      </w:pPr>
      <w:r w:rsidRPr="00585C7B">
        <w:t xml:space="preserve">Līdztekus </w:t>
      </w:r>
      <w:r>
        <w:t xml:space="preserve">minētajam aktuāls ir jautājums par teritorijas plānošanas nosacījumu iespējamu pārskatīšanu attiecībā uz vēja turbīnu izvietošanu. Saistībā ar to ir jāizvērtē iespējamās </w:t>
      </w:r>
      <w:r w:rsidRPr="007113EB">
        <w:rPr>
          <w:b/>
        </w:rPr>
        <w:t>izmaiņas teritorijas plānošanas nosacījumos nolūkā sekmēt tālāku vēja enerģijas attīstību</w:t>
      </w:r>
      <w:r w:rsidRPr="00882EDD">
        <w:t xml:space="preserve"> Latvijā</w:t>
      </w:r>
      <w:r>
        <w:t>.</w:t>
      </w:r>
    </w:p>
    <w:p w14:paraId="462E5100" w14:textId="77777777" w:rsidR="00EE1CF5" w:rsidRDefault="00EE1CF5" w:rsidP="00EE1CF5">
      <w:pPr>
        <w:pStyle w:val="11apaknodaa"/>
        <w:spacing w:before="240" w:after="120"/>
      </w:pPr>
      <w:bookmarkStart w:id="120" w:name="_Toc256000062"/>
      <w:bookmarkStart w:id="121" w:name="_Toc256000028"/>
      <w:bookmarkStart w:id="122" w:name="_Toc523492927"/>
      <w:bookmarkStart w:id="123" w:name="_Toc528585667"/>
      <w:bookmarkStart w:id="124" w:name="_Toc531798580"/>
      <w:r>
        <w:t>4.7. “Zaļo sertifikātu” mehānisms</w:t>
      </w:r>
      <w:bookmarkEnd w:id="120"/>
      <w:bookmarkEnd w:id="121"/>
      <w:bookmarkEnd w:id="122"/>
      <w:bookmarkEnd w:id="123"/>
      <w:bookmarkEnd w:id="124"/>
    </w:p>
    <w:p w14:paraId="79E6585E" w14:textId="77777777" w:rsidR="00EE1CF5" w:rsidRDefault="00EE1CF5" w:rsidP="00EE1CF5">
      <w:pPr>
        <w:ind w:firstLine="709"/>
        <w:rPr>
          <w:color w:val="000000"/>
          <w:szCs w:val="26"/>
          <w:shd w:val="clear" w:color="auto" w:fill="FFFFFF"/>
        </w:rPr>
      </w:pPr>
      <w:r>
        <w:t xml:space="preserve">Vienīgais politikas pasākums, ar kuru būtu iespējams pilnībā atcelt OIK patērētājiem, vienlaikus pēc iespējas ņemot vērā uzņemtās valsts saistības pret ražotājiem, ir </w:t>
      </w:r>
      <w:r>
        <w:rPr>
          <w:b/>
          <w:bCs/>
        </w:rPr>
        <w:t>pāreja uz tā saucamo “zaļo sertifikātu”</w:t>
      </w:r>
      <w:r>
        <w:rPr>
          <w:b/>
          <w:bCs/>
          <w:color w:val="000000"/>
          <w:shd w:val="clear" w:color="auto" w:fill="FFFFFF"/>
        </w:rPr>
        <w:t xml:space="preserve"> (</w:t>
      </w:r>
      <w:r>
        <w:rPr>
          <w:b/>
          <w:bCs/>
          <w:i/>
          <w:iCs/>
          <w:color w:val="000000"/>
          <w:shd w:val="clear" w:color="auto" w:fill="FFFFFF"/>
        </w:rPr>
        <w:t>green certificate</w:t>
      </w:r>
      <w:r>
        <w:rPr>
          <w:b/>
          <w:bCs/>
          <w:color w:val="000000"/>
          <w:shd w:val="clear" w:color="auto" w:fill="FFFFFF"/>
        </w:rPr>
        <w:t>)</w:t>
      </w:r>
      <w:r>
        <w:rPr>
          <w:b/>
          <w:bCs/>
        </w:rPr>
        <w:t xml:space="preserve"> mehānismu jeb pienākumu elektroenerģijas tirgus dalībniekiem, galvenokārt elektroenerģijas tirgotājiem, iepirkt noteiktu atjaunojamās elektroenerģijas apjomu no elektroenerģijas, kura pašlaik tiek ražota OI ietvaros</w:t>
      </w:r>
      <w:r>
        <w:t xml:space="preserve">. Tādējādi arī būtu iespējams nodrošināt, ka tiek sasniegti valstij </w:t>
      </w:r>
      <w:r>
        <w:rPr>
          <w:color w:val="000000"/>
          <w:shd w:val="clear" w:color="auto" w:fill="FFFFFF"/>
        </w:rPr>
        <w:t>izvirzītie mērķi elektroenerģijas sektorā.</w:t>
      </w:r>
      <w:r w:rsidRPr="00C149C8">
        <w:rPr>
          <w:szCs w:val="26"/>
        </w:rPr>
        <w:t xml:space="preserve"> </w:t>
      </w:r>
      <w:r>
        <w:rPr>
          <w:szCs w:val="26"/>
        </w:rPr>
        <w:t>Atkarībā no plānoto izmaiņu ietekmes uz stacijām tās var skart gan komersantu īpašumtiesības, gan tiesiskā paļāvība. Īpašumtiesības var tikt skartas gadījumos, ja ar plānotajām izmaiņām var tikt apdraudēta tādu stacijas ienākumu nodrošināšana, lai tās turpinātu pastāvēt. Savukārt tiesiskā paļāvība var tikt skarta gadījumos, ja netiek nodrošināts saprātīgs pārejas periods jaunā regulējuma ieviešanai, sniedzot iespēju komersantiem pārkārtot saimniecisko darbību.</w:t>
      </w:r>
    </w:p>
    <w:p w14:paraId="14D91985" w14:textId="77777777" w:rsidR="00EE1CF5" w:rsidRDefault="00EE1CF5" w:rsidP="00EE1CF5">
      <w:pPr>
        <w:pStyle w:val="111apaknodaa"/>
        <w:spacing w:before="240"/>
        <w:jc w:val="center"/>
      </w:pPr>
      <w:bookmarkStart w:id="125" w:name="_Toc256000063"/>
      <w:bookmarkStart w:id="126" w:name="_Toc256000030"/>
      <w:bookmarkStart w:id="127" w:name="_Toc523492928"/>
      <w:bookmarkStart w:id="128" w:name="_Toc528585668"/>
      <w:bookmarkStart w:id="129" w:name="_Toc531798581"/>
      <w:r>
        <w:rPr>
          <w:shd w:val="clear" w:color="auto" w:fill="FFFFFF"/>
        </w:rPr>
        <w:t xml:space="preserve">4.7.1. </w:t>
      </w:r>
      <w:r>
        <w:t>Pāreja uz “zaļo sertifikātu” mehānismu</w:t>
      </w:r>
      <w:bookmarkEnd w:id="125"/>
      <w:bookmarkEnd w:id="126"/>
      <w:bookmarkEnd w:id="127"/>
      <w:bookmarkEnd w:id="128"/>
      <w:bookmarkEnd w:id="129"/>
    </w:p>
    <w:p w14:paraId="67B4B118" w14:textId="77777777" w:rsidR="00EE1CF5" w:rsidRPr="005B5C0C" w:rsidRDefault="00EE1CF5" w:rsidP="00EE1CF5">
      <w:pPr>
        <w:spacing w:before="120"/>
        <w:ind w:firstLine="709"/>
        <w:rPr>
          <w:color w:val="000000" w:themeColor="text1"/>
          <w:szCs w:val="26"/>
        </w:rPr>
      </w:pPr>
      <w:r>
        <w:rPr>
          <w:color w:val="000000"/>
          <w:szCs w:val="26"/>
          <w:shd w:val="clear" w:color="auto" w:fill="FFFFFF"/>
        </w:rPr>
        <w:t>Vērtējot jautājumu par iespējamo pāreju uz šo risinājumu būtu</w:t>
      </w:r>
      <w:r w:rsidRPr="00C729E7">
        <w:rPr>
          <w:color w:val="000000"/>
          <w:szCs w:val="26"/>
          <w:shd w:val="clear" w:color="auto" w:fill="FFFFFF"/>
        </w:rPr>
        <w:t xml:space="preserve"> jāņem vērā 2014.gada Pamatnostādnes par valsts atbalstu vides aizsardzībai un enerģētikai, kas tika izstrādātas, ievērojot klimata pārmaiņu un enerģētikas mērķus atbilstoši </w:t>
      </w:r>
      <w:r w:rsidRPr="00C729E7">
        <w:rPr>
          <w:i/>
          <w:iCs/>
          <w:color w:val="000000"/>
          <w:szCs w:val="26"/>
          <w:shd w:val="clear" w:color="auto" w:fill="FFFFFF"/>
        </w:rPr>
        <w:t>„Eiropa 2020”</w:t>
      </w:r>
      <w:r w:rsidRPr="00C729E7">
        <w:rPr>
          <w:color w:val="000000"/>
          <w:szCs w:val="26"/>
          <w:shd w:val="clear" w:color="auto" w:fill="FFFFFF"/>
        </w:rPr>
        <w:t xml:space="preserve"> stratēģijai un atbalstot dalībvalstis to centienos sasniegt šos mērķus. 2014.gada Pamatnostādnes par valsts atbalstu vides aizsardzībai un enerģētikai nosaka pārejas periodu 2015.-2016.gadam. Taču joprojām jāatzīst, ka nav tāda atbalsta mehānisma, kas derētu vienādi labi visās dalībvalstīs un atbalsta mehānismi joprojām ir ievērojami atšķirīgi. Atbilstoši 2014.gada Pamatnostādnēm par valsts atbalstu vides </w:t>
      </w:r>
      <w:r w:rsidRPr="005B5C0C">
        <w:rPr>
          <w:color w:val="000000"/>
          <w:szCs w:val="26"/>
          <w:shd w:val="clear" w:color="auto" w:fill="FFFFFF"/>
        </w:rPr>
        <w:t>aizsardzībai un enerģētikai ir svarīgi ņemt vērā šādus vispārīgos aspektus:</w:t>
      </w:r>
    </w:p>
    <w:p w14:paraId="19FAE540" w14:textId="77777777" w:rsidR="00EE1CF5" w:rsidRPr="0040070A" w:rsidRDefault="00EE1CF5" w:rsidP="00EE1CF5">
      <w:pPr>
        <w:numPr>
          <w:ilvl w:val="0"/>
          <w:numId w:val="4"/>
        </w:numPr>
        <w:spacing w:before="120"/>
        <w:rPr>
          <w:szCs w:val="26"/>
        </w:rPr>
      </w:pPr>
      <w:r w:rsidRPr="00960BC5">
        <w:rPr>
          <w:szCs w:val="26"/>
        </w:rPr>
        <w:t>atbalsts var tikt sniegts kā investīciju atbalsts vai darbības atbalsts;</w:t>
      </w:r>
    </w:p>
    <w:p w14:paraId="49398192" w14:textId="77777777" w:rsidR="00EE1CF5" w:rsidRPr="005B5C0C" w:rsidRDefault="00EE1CF5" w:rsidP="00EE1CF5">
      <w:pPr>
        <w:numPr>
          <w:ilvl w:val="0"/>
          <w:numId w:val="4"/>
        </w:numPr>
        <w:spacing w:before="120"/>
        <w:rPr>
          <w:szCs w:val="26"/>
        </w:rPr>
      </w:pPr>
      <w:r w:rsidRPr="005B5C0C">
        <w:rPr>
          <w:szCs w:val="26"/>
        </w:rPr>
        <w:t>tirgus mehānismi, tādi kā zaļie sertifikāti, pieļaujami, ja cenu nosaka tirgus;</w:t>
      </w:r>
    </w:p>
    <w:p w14:paraId="3E2C9628" w14:textId="77777777" w:rsidR="00EE1CF5" w:rsidRPr="00960BC5" w:rsidRDefault="00EE1CF5" w:rsidP="00EE1CF5">
      <w:pPr>
        <w:numPr>
          <w:ilvl w:val="0"/>
          <w:numId w:val="4"/>
        </w:numPr>
        <w:spacing w:before="120"/>
        <w:rPr>
          <w:szCs w:val="26"/>
        </w:rPr>
      </w:pPr>
      <w:r w:rsidRPr="005B5C0C">
        <w:rPr>
          <w:szCs w:val="26"/>
        </w:rPr>
        <w:t>ja, ieviešot atbalstu</w:t>
      </w:r>
      <w:r>
        <w:rPr>
          <w:szCs w:val="26"/>
        </w:rPr>
        <w:t>,</w:t>
      </w:r>
      <w:r w:rsidRPr="005B5C0C">
        <w:rPr>
          <w:szCs w:val="26"/>
        </w:rPr>
        <w:t xml:space="preserve"> tiks ievēroti visi EK Pamatnostādnēs ietvertie nosacījumi,</w:t>
      </w:r>
      <w:r w:rsidRPr="005B5C0C">
        <w:rPr>
          <w:b/>
          <w:szCs w:val="26"/>
        </w:rPr>
        <w:t xml:space="preserve"> </w:t>
      </w:r>
      <w:r w:rsidRPr="005B5C0C">
        <w:rPr>
          <w:szCs w:val="26"/>
        </w:rPr>
        <w:t>Eiropas Komisija provizoriski atbalstu saskaņos 10 gadu periodam, nepieciešamības gadījumā pieļaujot iespēju tā atkārtotai notifikācijai.</w:t>
      </w:r>
    </w:p>
    <w:p w14:paraId="4F894762" w14:textId="77777777" w:rsidR="00EE1CF5" w:rsidRPr="00C729E7" w:rsidRDefault="00EE1CF5" w:rsidP="00EE1CF5">
      <w:pPr>
        <w:numPr>
          <w:ilvl w:val="0"/>
          <w:numId w:val="4"/>
        </w:numPr>
        <w:spacing w:before="120"/>
        <w:rPr>
          <w:szCs w:val="26"/>
        </w:rPr>
      </w:pPr>
      <w:r w:rsidRPr="005B5C0C">
        <w:rPr>
          <w:szCs w:val="26"/>
        </w:rPr>
        <w:t>konkursa procedūras no 2017.gada kā galvenais atbalsta instruments AER</w:t>
      </w:r>
      <w:r w:rsidRPr="00C729E7">
        <w:rPr>
          <w:szCs w:val="26"/>
        </w:rPr>
        <w:t xml:space="preserve"> veicināšanai ar tehnoloģiski neitrālu atbalsta līmeni.  </w:t>
      </w:r>
    </w:p>
    <w:p w14:paraId="6084660C" w14:textId="77777777" w:rsidR="00EE1CF5" w:rsidRPr="00C729E7" w:rsidRDefault="00EE1CF5" w:rsidP="00EE1CF5">
      <w:pPr>
        <w:spacing w:before="120"/>
        <w:ind w:firstLine="709"/>
        <w:rPr>
          <w:szCs w:val="26"/>
        </w:rPr>
      </w:pPr>
      <w:r>
        <w:rPr>
          <w:color w:val="000000"/>
          <w:szCs w:val="26"/>
          <w:shd w:val="clear" w:color="auto" w:fill="FFFFFF"/>
        </w:rPr>
        <w:lastRenderedPageBreak/>
        <w:t>Turklāt</w:t>
      </w:r>
      <w:r w:rsidRPr="00C729E7">
        <w:rPr>
          <w:color w:val="000000"/>
          <w:szCs w:val="26"/>
          <w:shd w:val="clear" w:color="auto" w:fill="FFFFFF"/>
        </w:rPr>
        <w:t xml:space="preserve"> jāņem vērā, ka EK ir atzinusi </w:t>
      </w:r>
      <w:r w:rsidRPr="00C729E7">
        <w:rPr>
          <w:szCs w:val="26"/>
        </w:rPr>
        <w:t>OI mehānisma atbilstību ES iekšējam tirgum. Taču vienlaikus ir radusies nepieciešamība OI mehānisma ietvaros strādājušos komersantus virzīt tuvāk tirgus principiem, stimulējot to spēju prast atbildēt uz tirgus signāliem, piemēram, uzņemoties balansēšanas pienākumus.</w:t>
      </w:r>
    </w:p>
    <w:p w14:paraId="524BC655" w14:textId="77777777" w:rsidR="00EE1CF5" w:rsidRPr="00C729E7" w:rsidRDefault="00EE1CF5" w:rsidP="00EE1CF5">
      <w:pPr>
        <w:spacing w:before="120"/>
        <w:ind w:firstLine="709"/>
        <w:rPr>
          <w:color w:val="000000" w:themeColor="text1"/>
          <w:szCs w:val="26"/>
        </w:rPr>
      </w:pPr>
      <w:r w:rsidRPr="00C729E7">
        <w:rPr>
          <w:color w:val="000000"/>
          <w:szCs w:val="26"/>
          <w:shd w:val="clear" w:color="auto" w:fill="FFFFFF"/>
        </w:rPr>
        <w:t xml:space="preserve">No 2017. gada 1. janvāra visu jauno atbalsta mehānismu pamatā būtu jābūt konkursa procedūrām, kā izņēmumu paredzot iespēju konkursa procedūru nepiemērot atjaunojamās enerģijas iekārtām ar jaudu, kas mazāka par 1 MW, vai attiecībā uz vēja stacijām, ja to elektriskā jauda ir mazāka par 6 MW vai tā sastāv no mazāk par 6 enerģijas ražošanas iekārtām (vēja ģeneratoriem). Tāpat konkursa procedūru piemērošanu var neizvēlēties kā atbalsta pasākumu, ja dalībvalsts spēj pierādīt, ka tikai viens vai ļoti neliels skaits projektu vai iekārtu būtu piemēroti vai ja konkursa procedūra veicinātu atbalsta mehānisma izmaksu pieaugumu, kā arī gadījumos, kad konkursa procedūra radītu cenu dempinga risku. Ieviešot konkursa procedūras, vairums dalībvalstu spējušas uzlabot atbalsta mehānismu tirgus integritāti un izmaksu kontroli. Taču nereti konkursa procedūru ieviešana izmaksas palielinājusi, ņemot vērā konkurences trūkumu vai arī konkursa uzvarētāja nespēju projektu īstenot. </w:t>
      </w:r>
    </w:p>
    <w:p w14:paraId="40047AE7" w14:textId="77777777" w:rsidR="00EE1CF5" w:rsidRPr="00C729E7" w:rsidRDefault="00EE1CF5" w:rsidP="00EE1CF5">
      <w:pPr>
        <w:spacing w:before="120"/>
        <w:ind w:firstLine="709"/>
        <w:rPr>
          <w:color w:val="000000" w:themeColor="text1"/>
          <w:szCs w:val="26"/>
        </w:rPr>
      </w:pPr>
      <w:r w:rsidRPr="00C729E7">
        <w:rPr>
          <w:color w:val="000000"/>
          <w:szCs w:val="26"/>
          <w:shd w:val="clear" w:color="auto" w:fill="FFFFFF"/>
        </w:rPr>
        <w:t>Tehnoloģiskās neitralitātes princips var būt nepiemērots, ņemot vērā atšķirības dažādajās līmeņotajās elektroenerģijas izmaksās (</w:t>
      </w:r>
      <w:r w:rsidRPr="00C729E7">
        <w:rPr>
          <w:i/>
          <w:iCs/>
          <w:color w:val="000000"/>
          <w:szCs w:val="26"/>
          <w:shd w:val="clear" w:color="auto" w:fill="FFFFFF"/>
        </w:rPr>
        <w:t>Levelised Cost of Electricity - LCOE</w:t>
      </w:r>
      <w:r w:rsidRPr="00C729E7">
        <w:rPr>
          <w:color w:val="000000"/>
          <w:szCs w:val="26"/>
          <w:shd w:val="clear" w:color="auto" w:fill="FFFFFF"/>
        </w:rPr>
        <w:t xml:space="preserve">) dažādām tehnoloģijām. Savukārt no tehnoloģiskās neitralitātes dalībvalstis var tikt atbrīvotas, ja tās var pierādīt, ka tehnoloģiskās neitralitātes ievērošana neradītu optimālu rezultātu, apsverot jaunām un inovatīvām tehnoloģijām garāku atbalsta termiņu, lai sasniegtu diversifikāciju, nodrošinātu tīkla stabilitāti, sistēmas izmaksas, kā arī, lai izvairītos no izejvielu tirgus izkropļojumiem.   </w:t>
      </w:r>
    </w:p>
    <w:p w14:paraId="06EBC976" w14:textId="77777777" w:rsidR="00EE1CF5" w:rsidRPr="00C729E7" w:rsidRDefault="00EE1CF5" w:rsidP="00EE1CF5">
      <w:pPr>
        <w:spacing w:before="120"/>
        <w:ind w:firstLine="709"/>
        <w:rPr>
          <w:color w:val="000000" w:themeColor="text1"/>
          <w:szCs w:val="26"/>
        </w:rPr>
      </w:pPr>
      <w:r w:rsidRPr="00C729E7">
        <w:rPr>
          <w:szCs w:val="26"/>
        </w:rPr>
        <w:t xml:space="preserve">Jāņem vērā, ka </w:t>
      </w:r>
      <w:r w:rsidRPr="00C729E7">
        <w:rPr>
          <w:color w:val="000000"/>
          <w:szCs w:val="26"/>
          <w:shd w:val="clear" w:color="auto" w:fill="FFFFFF"/>
        </w:rPr>
        <w:t xml:space="preserve">2014.gada Pamatnostādnes par valsts atbalstu vides aizsardzībai un enerģētikai piemērojamas tiem atbalsta mehānismiem, kas uzsākti to darbības laikā. Nozīmīgi, ka tie principi, kas ietverti 2014.gada Pamatnostādnēs par valsts atbalstu vides aizsardzībai un enerģētikai, lielā mērā jau kā saistošas normas noteikti AER Direktīvas pārskata priekšlikumā. </w:t>
      </w:r>
    </w:p>
    <w:p w14:paraId="1E9C69AB" w14:textId="77777777" w:rsidR="00EE1CF5" w:rsidRPr="00C729E7" w:rsidRDefault="00EE1CF5" w:rsidP="00EE1CF5">
      <w:pPr>
        <w:spacing w:before="120"/>
        <w:ind w:firstLine="709"/>
        <w:rPr>
          <w:color w:val="000000" w:themeColor="text1"/>
          <w:szCs w:val="26"/>
        </w:rPr>
      </w:pPr>
      <w:r w:rsidRPr="00C729E7">
        <w:rPr>
          <w:szCs w:val="26"/>
        </w:rPr>
        <w:t>„Zaļo sertifikātu” sistēma ir pastāvējusi vai pastāv Zviedrijā, Apvienotajā Karalistē, Itālijā, Beļģijā</w:t>
      </w:r>
      <w:r>
        <w:rPr>
          <w:rFonts w:eastAsia="Times New Roman" w:cs="Times New Roman"/>
          <w:szCs w:val="26"/>
          <w:vertAlign w:val="superscript"/>
        </w:rPr>
        <w:footnoteReference w:id="39"/>
      </w:r>
      <w:r w:rsidRPr="00C729E7">
        <w:rPr>
          <w:szCs w:val="26"/>
        </w:rPr>
        <w:t xml:space="preserve"> un Polijā</w:t>
      </w:r>
      <w:r>
        <w:rPr>
          <w:rFonts w:eastAsia="Times New Roman" w:cs="Times New Roman"/>
          <w:szCs w:val="26"/>
          <w:vertAlign w:val="superscript"/>
        </w:rPr>
        <w:footnoteReference w:id="40"/>
      </w:r>
      <w:r w:rsidRPr="00C729E7">
        <w:rPr>
          <w:szCs w:val="26"/>
        </w:rPr>
        <w:t>. Zviedrijā kopš 2003.gada un Lielbritānijā kā galvenais atbalsta instruments elektroenerģijai, kas ražota no AER, darbojas tirgošanai paredzēti „zaļie” sertifikāti, kas kombinēti ar pienākumu tirgus dalībniekam attiecīgā gadā sasniegt noteiktu „zaļās” elektroenerģijas apjomu. Kopš 2012. gada 1. janvāra Zviedrijas un Norvēģija ir vienojušās ieviest kopīgu sertifikātu mehānismu.</w:t>
      </w:r>
      <w:r>
        <w:rPr>
          <w:rFonts w:eastAsia="Times New Roman" w:cs="Times New Roman"/>
          <w:szCs w:val="26"/>
          <w:vertAlign w:val="superscript"/>
        </w:rPr>
        <w:footnoteReference w:id="41"/>
      </w:r>
      <w:r w:rsidRPr="00C729E7">
        <w:rPr>
          <w:rFonts w:eastAsia="Times New Roman" w:cs="Times New Roman"/>
          <w:szCs w:val="26"/>
        </w:rPr>
        <w:t xml:space="preserve"> </w:t>
      </w:r>
      <w:r w:rsidRPr="00C729E7">
        <w:rPr>
          <w:szCs w:val="26"/>
        </w:rPr>
        <w:t xml:space="preserve">Savukārt, Beļģija 2018.gadā ar EK saskaņoja jaunu “zaļo sertifikātu” atbalsta mehānismu, precizējot līdzšinējos atbalsta mehānismus, apvienojot 2001.gadā saskaņoto atbalstu AER un 2005.gadā saskaņoto atbalstu koģenerācijai, galvenokārt, lai veicinātu elektroenerģijas ražošanu no AER un veicinātu Beļģijas Direktīvas 2009/28/ES mērķa sasniegšanu 2020.gadā. Beļģijā zaļo sertifikātu izmaksas, ņemot vērā darījumu izmaksas </w:t>
      </w:r>
      <w:r w:rsidRPr="00C729E7">
        <w:rPr>
          <w:szCs w:val="26"/>
        </w:rPr>
        <w:lastRenderedPageBreak/>
        <w:t>starp AER ražotājiem un sistēmas īpašniekiem, bija 900 milj. EUR un starp augstas efektivitātes koģenerācijas stacijām</w:t>
      </w:r>
      <w:r w:rsidRPr="00C729E7">
        <w:t xml:space="preserve"> </w:t>
      </w:r>
      <w:r w:rsidRPr="00C729E7">
        <w:rPr>
          <w:szCs w:val="26"/>
        </w:rPr>
        <w:t xml:space="preserve">un  sistēmas īpašniekiem – 200 milj. EUR. </w:t>
      </w:r>
    </w:p>
    <w:p w14:paraId="718E88A1" w14:textId="77777777" w:rsidR="00EE1CF5" w:rsidRPr="00C729E7" w:rsidRDefault="00EE1CF5" w:rsidP="00EE1CF5">
      <w:pPr>
        <w:spacing w:before="120"/>
        <w:ind w:firstLine="709"/>
        <w:rPr>
          <w:rFonts w:eastAsia="Times New Roman" w:cs="Times New Roman"/>
          <w:szCs w:val="26"/>
        </w:rPr>
      </w:pPr>
      <w:r w:rsidRPr="00C729E7">
        <w:rPr>
          <w:szCs w:val="26"/>
        </w:rPr>
        <w:t>ES dalībvalstis nereti izvēlas dažādus atbalsta mehānismus, kombinējot tos. Ja Zviedrija, Rumānija (15 gadi, minimālā cena 27 EUR/MWh; maksimālā cena 55 EUR/MWh) un Itālija savus 2020.gada mērķus ir izpildījušas vai pat pārsniedz, tad Polija, Lielbritānija un Beļģija juridiski saistošajiem mērķiem tuvojas pakāpeniski.</w:t>
      </w:r>
    </w:p>
    <w:p w14:paraId="041C7B95" w14:textId="77777777" w:rsidR="00EE1CF5" w:rsidRPr="00C729E7" w:rsidRDefault="00EE1CF5" w:rsidP="00EE1CF5">
      <w:pPr>
        <w:spacing w:before="120"/>
        <w:ind w:firstLine="709"/>
        <w:rPr>
          <w:rFonts w:eastAsia="Times New Roman" w:cs="Times New Roman"/>
          <w:color w:val="000000" w:themeColor="text1"/>
          <w:szCs w:val="26"/>
        </w:rPr>
      </w:pPr>
      <w:r w:rsidRPr="00C729E7">
        <w:rPr>
          <w:color w:val="000000"/>
          <w:szCs w:val="26"/>
          <w:shd w:val="clear" w:color="auto" w:fill="FFFFFF"/>
        </w:rPr>
        <w:t>Izpētot citu ES dalībvalstu pieredzi, secināms, ka zaļie sertifikāti tiek izsniegti ražotājam visbiežāk par katru elektroenerģijas vienību megavatstundās (MWh), kas saražota no AER, taču pieprasījumu pēc tiem veido valsts noteikts pienākums atbildīgajām pusēm ik gadu iepirkt noteiktu apjomu zaļo sertifikātu no ražotājiem. Zaļo sertifikātu cenu nosaka tirgus, taču, tā kā var veidoties arī zaļo sertifikātu pārpalikums, var noteikt zemāko zaļo sertifikātu cenu, par kuru zaļos sertifikātus no elektroenerģijas ražotājiem iegādājas neatkarīgais elektroenerģijas tirgus regulators (piemēram, Beļģijā).  Pienākuma neizpildes gadījumā dalībvalstis nosaka maksājumus par katru iztrūkstošo zaļo sertifikātu.</w:t>
      </w:r>
    </w:p>
    <w:p w14:paraId="53BDB69B" w14:textId="77777777" w:rsidR="00EE1CF5" w:rsidRDefault="00EE1CF5" w:rsidP="00EE1CF5">
      <w:pPr>
        <w:spacing w:before="120"/>
        <w:ind w:firstLine="709"/>
        <w:rPr>
          <w:color w:val="000000"/>
          <w:szCs w:val="26"/>
          <w:shd w:val="clear" w:color="auto" w:fill="FFFFFF"/>
        </w:rPr>
      </w:pPr>
      <w:r w:rsidRPr="00C729E7">
        <w:rPr>
          <w:color w:val="000000"/>
          <w:szCs w:val="26"/>
          <w:shd w:val="clear" w:color="auto" w:fill="FFFFFF"/>
        </w:rPr>
        <w:t>Ņemot vērā iepriekš minēto, ka Latvijai, veicot OI mehānisma reformas, būtu jāvienojas par tādu risinājumu, kas pēc iespējas atbilst tirgus principiem, kā arī, lai iespēju robežās apmierinātu visas iesaistītās puses, tai skaitā arī elektroenerģijas patērētājus un ražotājus, un izpētot citu ES dalībvalstu pieredzi un aktuālo informāciju par atbalsta mehānismu atbilstību ES iekšējā tirgum un efektivitāti enerģētikas mērķu sasniegšanā, secināms, ka  “zaļo sertifikātu” mehānisms varētu tikt pielāgots arī Latvijas apstākļiem.</w:t>
      </w:r>
    </w:p>
    <w:p w14:paraId="301329FB" w14:textId="77777777" w:rsidR="00EE1CF5" w:rsidRDefault="00EE1CF5" w:rsidP="00EE1CF5">
      <w:pPr>
        <w:pStyle w:val="111apaknodaa"/>
        <w:spacing w:before="240"/>
        <w:jc w:val="center"/>
        <w:rPr>
          <w:rFonts w:eastAsiaTheme="majorEastAsia"/>
        </w:rPr>
      </w:pPr>
      <w:bookmarkStart w:id="130" w:name="_Toc256000064"/>
      <w:bookmarkStart w:id="131" w:name="_Toc256000031"/>
      <w:bookmarkStart w:id="132" w:name="_Toc519849070"/>
      <w:bookmarkStart w:id="133" w:name="_Toc520463770"/>
      <w:bookmarkStart w:id="134" w:name="_Toc520658517"/>
      <w:bookmarkStart w:id="135" w:name="_Toc520657627"/>
      <w:bookmarkStart w:id="136" w:name="_Toc520707000"/>
      <w:bookmarkStart w:id="137" w:name="_Toc520964340"/>
      <w:bookmarkStart w:id="138" w:name="_Toc523492929"/>
      <w:bookmarkStart w:id="139" w:name="_Toc528585669"/>
      <w:bookmarkStart w:id="140" w:name="_Toc531798582"/>
      <w:r>
        <w:rPr>
          <w:rFonts w:eastAsiaTheme="majorEastAsia"/>
        </w:rPr>
        <w:t xml:space="preserve">4.7.2. </w:t>
      </w:r>
      <w:r w:rsidRPr="00C729E7">
        <w:rPr>
          <w:rFonts w:eastAsiaTheme="majorEastAsia"/>
        </w:rPr>
        <w:t>Priekšlikums “zaļo sertifikātu” mehānisma izveidei Latvijā</w:t>
      </w:r>
      <w:bookmarkEnd w:id="130"/>
      <w:bookmarkEnd w:id="131"/>
      <w:bookmarkEnd w:id="132"/>
      <w:bookmarkEnd w:id="133"/>
      <w:bookmarkEnd w:id="134"/>
      <w:bookmarkEnd w:id="135"/>
      <w:bookmarkEnd w:id="136"/>
      <w:bookmarkEnd w:id="137"/>
      <w:bookmarkEnd w:id="138"/>
      <w:bookmarkEnd w:id="139"/>
      <w:bookmarkEnd w:id="140"/>
    </w:p>
    <w:p w14:paraId="6A3E5B92" w14:textId="77777777" w:rsidR="00EE1CF5" w:rsidRPr="00C729E7" w:rsidRDefault="00EE1CF5" w:rsidP="00EE1CF5">
      <w:pPr>
        <w:spacing w:before="120"/>
        <w:ind w:firstLine="709"/>
        <w:rPr>
          <w:color w:val="000000" w:themeColor="text1"/>
          <w:szCs w:val="26"/>
        </w:rPr>
      </w:pPr>
      <w:r w:rsidRPr="00C729E7">
        <w:rPr>
          <w:color w:val="000000"/>
          <w:szCs w:val="26"/>
          <w:shd w:val="clear" w:color="auto" w:fill="FFFFFF"/>
        </w:rPr>
        <w:t>Kopš elektroenerģijas tirgus atvēršanas uzsākšanas 2007.gadā, elektroenerģijas tirgus ir attīstījies, tajā ienākot jauniem tirgus dalībniekiem.  Tā kā elektroenerģijas tirgū darbojas vairāki elektroenerģijas tirgotāji, savstarpēji konkurējot, kā arī elektroenerģija tiek ražota lielā skaitā jaunu elektroenerģijas ražošanas staciju, kas elektroenerģiju ražo, izmantojot biomasu un biogāzi, vēja un saules radītu enerģiju, kā arī hidroelektrostacijās, stimulējot to darbību attīstību tirgus virzienā, Latvijā var</w:t>
      </w:r>
      <w:r>
        <w:rPr>
          <w:color w:val="000000"/>
          <w:szCs w:val="26"/>
          <w:shd w:val="clear" w:color="auto" w:fill="FFFFFF"/>
        </w:rPr>
        <w:t>ētu</w:t>
      </w:r>
      <w:r w:rsidRPr="00C729E7">
        <w:rPr>
          <w:color w:val="000000"/>
          <w:szCs w:val="26"/>
          <w:shd w:val="clear" w:color="auto" w:fill="FFFFFF"/>
        </w:rPr>
        <w:t xml:space="preserve"> īstenot esošā OI mehānisma transformāciju, ieviešot Zviedrijā, Beļģijā, Polijā un citās dalībvalstīs raksturīgo “zaļo sertifikātu” sistēmu. Tuvināšanās Skandināvijas valstu atbalsta sistēmām, kā arī, ņemot vērā jaunākos ES dalībvalstu īstenotos atbalsta mehānismu saskaņojumus ar EK par atbalsta mehānismu saderību ar iekšējo tirgu, var</w:t>
      </w:r>
      <w:r>
        <w:rPr>
          <w:color w:val="000000"/>
          <w:szCs w:val="26"/>
          <w:shd w:val="clear" w:color="auto" w:fill="FFFFFF"/>
        </w:rPr>
        <w:t>ētu</w:t>
      </w:r>
      <w:r w:rsidRPr="00C729E7">
        <w:rPr>
          <w:color w:val="000000"/>
          <w:szCs w:val="26"/>
          <w:shd w:val="clear" w:color="auto" w:fill="FFFFFF"/>
        </w:rPr>
        <w:t xml:space="preserve"> sniegt priekšrocības nākotnē. Turklāt jau šobrīd Latvijas tirgus dalībnieki darbojas vienotā elektroenerģijas cenu apgabalā ar Skandināvijas valstīm.</w:t>
      </w:r>
    </w:p>
    <w:p w14:paraId="754BE4A0" w14:textId="77777777" w:rsidR="00EE1CF5" w:rsidRPr="00C729E7" w:rsidRDefault="00EE1CF5" w:rsidP="00EE1CF5">
      <w:pPr>
        <w:spacing w:before="120"/>
        <w:ind w:firstLine="709"/>
        <w:rPr>
          <w:color w:val="000000" w:themeColor="text1"/>
          <w:szCs w:val="26"/>
        </w:rPr>
      </w:pPr>
      <w:r w:rsidRPr="00C729E7">
        <w:rPr>
          <w:color w:val="000000"/>
          <w:szCs w:val="26"/>
          <w:shd w:val="clear" w:color="auto" w:fill="FFFFFF"/>
        </w:rPr>
        <w:t xml:space="preserve">Pārejot no OI mehānisma uz </w:t>
      </w:r>
      <w:r w:rsidRPr="00C729E7">
        <w:rPr>
          <w:i/>
          <w:iCs/>
          <w:color w:val="000000"/>
          <w:szCs w:val="26"/>
          <w:shd w:val="clear" w:color="auto" w:fill="FFFFFF"/>
        </w:rPr>
        <w:t>“zaļo sertifikātu”</w:t>
      </w:r>
      <w:r w:rsidRPr="00C729E7">
        <w:rPr>
          <w:color w:val="000000"/>
          <w:szCs w:val="26"/>
          <w:shd w:val="clear" w:color="auto" w:fill="FFFFFF"/>
        </w:rPr>
        <w:t xml:space="preserve"> mehānismu, </w:t>
      </w:r>
      <w:r>
        <w:rPr>
          <w:color w:val="000000"/>
          <w:szCs w:val="26"/>
          <w:shd w:val="clear" w:color="auto" w:fill="FFFFFF"/>
        </w:rPr>
        <w:t>būtu</w:t>
      </w:r>
      <w:r w:rsidRPr="00C729E7">
        <w:rPr>
          <w:color w:val="000000"/>
          <w:szCs w:val="26"/>
          <w:shd w:val="clear" w:color="auto" w:fill="FFFFFF"/>
        </w:rPr>
        <w:t xml:space="preserve"> jāņem vērā šādi pamatprincipi, kas izriet no 2014.gada Pamatnostādnēm par valsts atbalstu vides aizsardzībai un enerģētikai: </w:t>
      </w:r>
    </w:p>
    <w:p w14:paraId="7B8EC03D" w14:textId="77777777" w:rsidR="00EE1CF5" w:rsidRPr="00C729E7" w:rsidRDefault="00EE1CF5" w:rsidP="00EE1CF5">
      <w:pPr>
        <w:numPr>
          <w:ilvl w:val="0"/>
          <w:numId w:val="5"/>
        </w:numPr>
        <w:spacing w:before="120"/>
        <w:rPr>
          <w:color w:val="000000" w:themeColor="text1"/>
          <w:szCs w:val="26"/>
        </w:rPr>
      </w:pPr>
      <w:r w:rsidRPr="00C729E7">
        <w:rPr>
          <w:color w:val="000000"/>
          <w:szCs w:val="26"/>
          <w:shd w:val="clear" w:color="auto" w:fill="FFFFFF"/>
        </w:rPr>
        <w:t>Atbalsts pieļaujams vienīgi iekārtu amortizēšanās laikā, nepārsniedzot nepieciešamo atbalsta lielumu.</w:t>
      </w:r>
    </w:p>
    <w:p w14:paraId="2E71D694" w14:textId="77777777" w:rsidR="00EE1CF5" w:rsidRPr="00C729E7" w:rsidRDefault="00EE1CF5" w:rsidP="00EE1CF5">
      <w:pPr>
        <w:numPr>
          <w:ilvl w:val="0"/>
          <w:numId w:val="5"/>
        </w:numPr>
        <w:spacing w:before="120"/>
        <w:rPr>
          <w:color w:val="000000" w:themeColor="text1"/>
          <w:szCs w:val="26"/>
        </w:rPr>
      </w:pPr>
      <w:r w:rsidRPr="00C729E7">
        <w:rPr>
          <w:color w:val="000000"/>
          <w:szCs w:val="26"/>
          <w:shd w:val="clear" w:color="auto" w:fill="FFFFFF"/>
        </w:rPr>
        <w:t xml:space="preserve">Atbalstu </w:t>
      </w:r>
      <w:r>
        <w:rPr>
          <w:color w:val="000000"/>
          <w:szCs w:val="26"/>
          <w:shd w:val="clear" w:color="auto" w:fill="FFFFFF"/>
        </w:rPr>
        <w:t>EK</w:t>
      </w:r>
      <w:r w:rsidRPr="00C729E7">
        <w:rPr>
          <w:color w:val="000000"/>
          <w:szCs w:val="26"/>
          <w:shd w:val="clear" w:color="auto" w:fill="FFFFFF"/>
        </w:rPr>
        <w:t xml:space="preserve"> saskaņos ne ilgākam periodam kā 10 gadiem.</w:t>
      </w:r>
    </w:p>
    <w:p w14:paraId="6041AD54" w14:textId="77777777" w:rsidR="00EE1CF5" w:rsidRPr="00C729E7" w:rsidRDefault="00EE1CF5" w:rsidP="00EE1CF5">
      <w:pPr>
        <w:numPr>
          <w:ilvl w:val="0"/>
          <w:numId w:val="5"/>
        </w:numPr>
        <w:spacing w:before="120"/>
        <w:rPr>
          <w:color w:val="000000" w:themeColor="text1"/>
          <w:szCs w:val="26"/>
        </w:rPr>
      </w:pPr>
      <w:r w:rsidRPr="00C729E7">
        <w:rPr>
          <w:color w:val="000000"/>
          <w:szCs w:val="26"/>
          <w:shd w:val="clear" w:color="auto" w:fill="FFFFFF"/>
        </w:rPr>
        <w:t>Atbalsts netiek pieļauts fosilajiem energoresursiem.</w:t>
      </w:r>
    </w:p>
    <w:p w14:paraId="52A346E2" w14:textId="77777777" w:rsidR="00EE1CF5" w:rsidRPr="00C729E7" w:rsidRDefault="00EE1CF5" w:rsidP="00EE1CF5">
      <w:pPr>
        <w:numPr>
          <w:ilvl w:val="0"/>
          <w:numId w:val="5"/>
        </w:numPr>
        <w:spacing w:before="120"/>
        <w:rPr>
          <w:color w:val="000000" w:themeColor="text1"/>
          <w:szCs w:val="26"/>
        </w:rPr>
      </w:pPr>
      <w:r w:rsidRPr="00C729E7">
        <w:rPr>
          <w:color w:val="000000"/>
          <w:szCs w:val="26"/>
          <w:shd w:val="clear" w:color="auto" w:fill="FFFFFF"/>
        </w:rPr>
        <w:t>Atbalsta mehānismam jāparedz periodiska pārskatīšana.</w:t>
      </w:r>
    </w:p>
    <w:p w14:paraId="5CE31DFF" w14:textId="77777777" w:rsidR="00EE1CF5" w:rsidRPr="00D7348C" w:rsidRDefault="00EE1CF5" w:rsidP="00EE1CF5">
      <w:pPr>
        <w:numPr>
          <w:ilvl w:val="0"/>
          <w:numId w:val="5"/>
        </w:numPr>
        <w:spacing w:before="120"/>
        <w:rPr>
          <w:color w:val="000000" w:themeColor="text1"/>
          <w:szCs w:val="26"/>
        </w:rPr>
      </w:pPr>
      <w:r w:rsidRPr="00C729E7">
        <w:rPr>
          <w:color w:val="000000"/>
          <w:szCs w:val="26"/>
          <w:shd w:val="clear" w:color="auto" w:fill="FFFFFF"/>
        </w:rPr>
        <w:lastRenderedPageBreak/>
        <w:t>Atbalsts pieļauts tikai augstas efektivitātes  koģenerācijas elektrostacijai</w:t>
      </w:r>
      <w:r>
        <w:rPr>
          <w:b/>
          <w:sz w:val="20"/>
          <w:szCs w:val="20"/>
        </w:rPr>
        <w:t xml:space="preserve"> </w:t>
      </w:r>
      <w:r w:rsidRPr="00D7348C">
        <w:rPr>
          <w:szCs w:val="26"/>
        </w:rPr>
        <w:t>(iekārtām, kas ražo enerģiju no atjaunojamajiem energoresursiem)</w:t>
      </w:r>
      <w:r w:rsidRPr="00D7348C">
        <w:rPr>
          <w:color w:val="000000"/>
          <w:szCs w:val="26"/>
          <w:shd w:val="clear" w:color="auto" w:fill="FFFFFF"/>
        </w:rPr>
        <w:t xml:space="preserve">. </w:t>
      </w:r>
    </w:p>
    <w:p w14:paraId="1002ADEF" w14:textId="77777777" w:rsidR="00EE1CF5" w:rsidRPr="00C729E7" w:rsidRDefault="00EE1CF5" w:rsidP="00EE1CF5">
      <w:pPr>
        <w:spacing w:before="120"/>
        <w:ind w:firstLine="709"/>
        <w:rPr>
          <w:color w:val="000000" w:themeColor="text1"/>
          <w:szCs w:val="26"/>
        </w:rPr>
      </w:pPr>
      <w:r w:rsidRPr="00C729E7">
        <w:rPr>
          <w:color w:val="000000"/>
          <w:szCs w:val="26"/>
          <w:shd w:val="clear" w:color="auto" w:fill="FFFFFF"/>
        </w:rPr>
        <w:t xml:space="preserve">Pārejot no OI mehānisma  uz </w:t>
      </w:r>
      <w:bookmarkStart w:id="141" w:name="_Hlk519543385"/>
      <w:r w:rsidRPr="00C729E7">
        <w:rPr>
          <w:i/>
          <w:iCs/>
          <w:color w:val="000000"/>
          <w:szCs w:val="26"/>
          <w:shd w:val="clear" w:color="auto" w:fill="FFFFFF"/>
        </w:rPr>
        <w:t>“zaļo sertifikātu”</w:t>
      </w:r>
      <w:r w:rsidRPr="00C729E7">
        <w:rPr>
          <w:color w:val="000000"/>
          <w:szCs w:val="26"/>
          <w:shd w:val="clear" w:color="auto" w:fill="FFFFFF"/>
        </w:rPr>
        <w:t xml:space="preserve"> mehānismu,</w:t>
      </w:r>
      <w:bookmarkEnd w:id="141"/>
      <w:r w:rsidRPr="00C729E7">
        <w:rPr>
          <w:color w:val="000000"/>
          <w:szCs w:val="26"/>
          <w:shd w:val="clear" w:color="auto" w:fill="FFFFFF"/>
        </w:rPr>
        <w:t xml:space="preserve"> </w:t>
      </w:r>
      <w:r>
        <w:rPr>
          <w:color w:val="000000"/>
          <w:szCs w:val="26"/>
          <w:shd w:val="clear" w:color="auto" w:fill="FFFFFF"/>
        </w:rPr>
        <w:t>būtu</w:t>
      </w:r>
      <w:r w:rsidRPr="00C729E7">
        <w:rPr>
          <w:color w:val="000000"/>
          <w:szCs w:val="26"/>
          <w:shd w:val="clear" w:color="auto" w:fill="FFFFFF"/>
        </w:rPr>
        <w:t xml:space="preserve"> jāņem vērā šādi pamatprincipi:</w:t>
      </w:r>
    </w:p>
    <w:p w14:paraId="51D76BAF" w14:textId="77777777" w:rsidR="00EE1CF5" w:rsidRPr="00C729E7" w:rsidRDefault="00EE1CF5" w:rsidP="00EE1CF5">
      <w:pPr>
        <w:numPr>
          <w:ilvl w:val="0"/>
          <w:numId w:val="6"/>
        </w:numPr>
        <w:spacing w:before="120"/>
        <w:rPr>
          <w:color w:val="000000" w:themeColor="text1"/>
          <w:szCs w:val="26"/>
        </w:rPr>
      </w:pPr>
      <w:r w:rsidRPr="00C729E7">
        <w:rPr>
          <w:color w:val="000000"/>
          <w:szCs w:val="26"/>
          <w:shd w:val="clear" w:color="auto" w:fill="FFFFFF"/>
        </w:rPr>
        <w:t xml:space="preserve">Pēc iespējas </w:t>
      </w:r>
      <w:r>
        <w:rPr>
          <w:color w:val="000000"/>
          <w:szCs w:val="26"/>
          <w:shd w:val="clear" w:color="auto" w:fill="FFFFFF"/>
        </w:rPr>
        <w:t xml:space="preserve">būtu </w:t>
      </w:r>
      <w:r w:rsidRPr="00C729E7">
        <w:rPr>
          <w:color w:val="000000"/>
          <w:szCs w:val="26"/>
          <w:shd w:val="clear" w:color="auto" w:fill="FFFFFF"/>
        </w:rPr>
        <w:t xml:space="preserve">jānovērš Latvijā ieviesto elektroenerģijas ražošanas iekārtu darbības izbeigšanos, lai mazinātu risku nesasniegt Latvijai Direktīvā 2009/28/EK noteikto AER mērķi 2020.gadam. Tā īstenošanai attiecībā uz ražotājiem, kas darbojas OI mehānismā un iekārtas jau ir ieviesuši pilnā apjomā, to darbībai </w:t>
      </w:r>
      <w:r w:rsidRPr="00C729E7">
        <w:rPr>
          <w:iCs/>
          <w:color w:val="000000"/>
          <w:szCs w:val="26"/>
          <w:shd w:val="clear" w:color="auto" w:fill="FFFFFF"/>
        </w:rPr>
        <w:t>“zaļo sertifikātu”</w:t>
      </w:r>
      <w:r w:rsidRPr="00C729E7">
        <w:rPr>
          <w:color w:val="000000"/>
          <w:szCs w:val="26"/>
          <w:shd w:val="clear" w:color="auto" w:fill="FFFFFF"/>
        </w:rPr>
        <w:t xml:space="preserve"> mehānismā būtu nosakāms pārejas periods, piemēram, rezervējot tiem noteiktu daļu zaļo sertifikātu.</w:t>
      </w:r>
    </w:p>
    <w:p w14:paraId="504B0BD0" w14:textId="77777777" w:rsidR="00EE1CF5" w:rsidRPr="00C729E7" w:rsidRDefault="00EE1CF5" w:rsidP="00EE1CF5">
      <w:pPr>
        <w:numPr>
          <w:ilvl w:val="0"/>
          <w:numId w:val="6"/>
        </w:numPr>
        <w:spacing w:before="120"/>
        <w:rPr>
          <w:color w:val="000000" w:themeColor="text1"/>
          <w:szCs w:val="26"/>
        </w:rPr>
      </w:pPr>
      <w:r>
        <w:rPr>
          <w:color w:val="000000"/>
          <w:szCs w:val="26"/>
          <w:shd w:val="clear" w:color="auto" w:fill="FFFFFF"/>
        </w:rPr>
        <w:t>Būtu n</w:t>
      </w:r>
      <w:r w:rsidRPr="00C729E7">
        <w:rPr>
          <w:color w:val="000000"/>
          <w:szCs w:val="26"/>
          <w:shd w:val="clear" w:color="auto" w:fill="FFFFFF"/>
        </w:rPr>
        <w:t>osakāms pienākums visiem Latvijas elektroenerģijas tirgotājiem ik gadu 10 gadu periodā iegādāties un elektroenerģijas galapatērētājiem nodot noteiktu “zaļo sertifikātu” apjomu.</w:t>
      </w:r>
    </w:p>
    <w:p w14:paraId="6A111256" w14:textId="77777777" w:rsidR="00EE1CF5" w:rsidRPr="00C729E7" w:rsidRDefault="00EE1CF5" w:rsidP="00EE1CF5">
      <w:pPr>
        <w:numPr>
          <w:ilvl w:val="0"/>
          <w:numId w:val="6"/>
        </w:numPr>
        <w:spacing w:before="120"/>
        <w:rPr>
          <w:color w:val="000000" w:themeColor="text1"/>
          <w:szCs w:val="26"/>
        </w:rPr>
      </w:pPr>
      <w:r w:rsidRPr="00C729E7">
        <w:rPr>
          <w:color w:val="000000"/>
          <w:szCs w:val="26"/>
          <w:shd w:val="clear" w:color="auto" w:fill="FFFFFF"/>
        </w:rPr>
        <w:t>Ņemot vērā jau sasniegto primārās enerģijas ietaupījumu Latvijā un pamatojoties uz lietderīgu siltumenerģijas pieprasījumu, pēc iespējas jāsamazina risks, ka samazinās Latvijā saražotās elektroenerģijas ražošanas efektivitāte. Pamatoti ir apsvērt nepieciešamību turpināt to prasību piemērošanu elektroenerģijas ražošanai no AER augstas efektivitātes koģenerācijā, ievērojot augstas efektivitātes koģenerācijas definīciju, kas izriet no Eiropas Parlamenta un Padomes 2012. gada 25.oktobra Direktīvas 2012/27/ES par energoefektivitāti, ar ko groza Direktīvas 2009/125/EK un 2010/30/ES un atceļ Direktīvas 2004/8/EK un 2006/32/EK (turpmāk – Direktīva 2012/27/ES)</w:t>
      </w:r>
      <w:r>
        <w:rPr>
          <w:color w:val="000000"/>
          <w:szCs w:val="26"/>
          <w:shd w:val="clear" w:color="auto" w:fill="FFFFFF"/>
          <w:vertAlign w:val="superscript"/>
        </w:rPr>
        <w:footnoteReference w:id="42"/>
      </w:r>
      <w:r w:rsidRPr="00C729E7">
        <w:rPr>
          <w:color w:val="000000"/>
          <w:szCs w:val="26"/>
          <w:shd w:val="clear" w:color="auto" w:fill="FFFFFF"/>
        </w:rPr>
        <w:t xml:space="preserve"> 2.panta 34.punkta un II pielikuma, kas nosaka koģenerācijas procesa efektivitātes noteikšanas metodoloģiju un kas šobrīd ietverta tajās prasībās, ko nosaka komersantu elektrostacijām, kas darbojas saskaņā ar MK noteikumiem Nr.221. </w:t>
      </w:r>
    </w:p>
    <w:p w14:paraId="2BF95D09" w14:textId="77777777" w:rsidR="00EE1CF5" w:rsidRPr="00C729E7" w:rsidRDefault="00EE1CF5" w:rsidP="00EE1CF5">
      <w:pPr>
        <w:spacing w:before="120"/>
        <w:ind w:firstLine="851"/>
        <w:rPr>
          <w:rFonts w:eastAsia="Times New Roman" w:cs="Times New Roman"/>
          <w:color w:val="000000" w:themeColor="text1"/>
          <w:szCs w:val="26"/>
        </w:rPr>
      </w:pPr>
      <w:r w:rsidRPr="00C729E7">
        <w:rPr>
          <w:color w:val="000000"/>
          <w:szCs w:val="26"/>
          <w:shd w:val="clear" w:color="auto" w:fill="FFFFFF"/>
        </w:rPr>
        <w:t xml:space="preserve">Priekšlikums noteikt pienākumu Latvijas elektroenerģijas tirgotājiem katru gadu iegādāties noteiktu apjomu </w:t>
      </w:r>
      <w:r w:rsidRPr="00C729E7">
        <w:rPr>
          <w:iCs/>
          <w:color w:val="000000"/>
          <w:szCs w:val="26"/>
          <w:shd w:val="clear" w:color="auto" w:fill="FFFFFF"/>
        </w:rPr>
        <w:t>“zaļo sertifikātu”</w:t>
      </w:r>
      <w:r w:rsidRPr="00C729E7">
        <w:rPr>
          <w:color w:val="000000"/>
          <w:szCs w:val="26"/>
          <w:shd w:val="clear" w:color="auto" w:fill="FFFFFF"/>
        </w:rPr>
        <w:t xml:space="preserve"> no Latvijas elektroenerģijas ražotājiem. “Zaļo sertifikātu” mehānisma izveidē </w:t>
      </w:r>
      <w:r>
        <w:rPr>
          <w:color w:val="000000"/>
          <w:szCs w:val="26"/>
          <w:shd w:val="clear" w:color="auto" w:fill="FFFFFF"/>
        </w:rPr>
        <w:t xml:space="preserve">būtu </w:t>
      </w:r>
      <w:r w:rsidRPr="00C729E7">
        <w:rPr>
          <w:color w:val="000000"/>
          <w:szCs w:val="26"/>
          <w:shd w:val="clear" w:color="auto" w:fill="FFFFFF"/>
        </w:rPr>
        <w:t>nepieciešams noteikt ne tikai atbildīgās puses pienākuma izpildei, bet arī institūciju, kas uzturētu “zaļo sertifikātu” sistēmu, tai skaitā kvalificētu ražotājus dalībai sistēmā, izsniegtu un anulētu sertifikātus, noteiktu pienākuma apjomu atbildīgajām pusēm un veiktu citus administrēšanas pienākumus.</w:t>
      </w:r>
    </w:p>
    <w:p w14:paraId="1872FC69" w14:textId="77777777" w:rsidR="00EE1CF5" w:rsidRPr="00C729E7" w:rsidRDefault="00EE1CF5" w:rsidP="00EE1CF5">
      <w:pPr>
        <w:spacing w:before="120"/>
        <w:ind w:firstLine="851"/>
        <w:rPr>
          <w:rFonts w:eastAsia="Times New Roman" w:cs="Times New Roman"/>
          <w:szCs w:val="26"/>
        </w:rPr>
      </w:pPr>
      <w:r w:rsidRPr="00C729E7">
        <w:rPr>
          <w:color w:val="000000"/>
          <w:szCs w:val="26"/>
          <w:shd w:val="clear" w:color="auto" w:fill="FFFFFF"/>
        </w:rPr>
        <w:t>Kopējo iepērkamās elektroenerģijas apjomu būtu iespējams noteikt atbilstoši saistībām, kādas ir pret atsevišķiem elektroenerģijas ražotājiem, kas darbojas OI mehānisma ietvaros, ņemot vērā to elektroenerģijas ražošanai izmantoto resursu un tiem piešķirto elektroenerģijas apjomu pārdošanai obligātā iepirkuma ietvaros, katram no tehnoloģiju tipiem nosakot iepērkamo sertifikātu kvotu. Līdz ar to e</w:t>
      </w:r>
      <w:r w:rsidRPr="00C729E7">
        <w:rPr>
          <w:szCs w:val="26"/>
        </w:rPr>
        <w:t>lektroenerģijas tirgotājiem atbalsta mehānisma darbības laikā 10 gadu periodam tiktu noteikta iepērkamās AER elektroenerģijas struktūra, ņemot vērā OI mehānisma ietvaros esošās saistības</w:t>
      </w:r>
      <w:r w:rsidRPr="00C729E7">
        <w:rPr>
          <w:rFonts w:eastAsia="Times New Roman" w:cs="Times New Roman"/>
          <w:szCs w:val="26"/>
        </w:rPr>
        <w:t xml:space="preserve"> </w:t>
      </w:r>
      <w:r w:rsidRPr="00C729E7">
        <w:rPr>
          <w:szCs w:val="26"/>
        </w:rPr>
        <w:t>pret atsevišķiem AER ražotājiem</w:t>
      </w:r>
      <w:r w:rsidRPr="00C729E7">
        <w:rPr>
          <w:rFonts w:eastAsia="Times New Roman" w:cs="Times New Roman"/>
          <w:szCs w:val="26"/>
        </w:rPr>
        <w:t>.</w:t>
      </w:r>
    </w:p>
    <w:p w14:paraId="0E4A0F54" w14:textId="77777777" w:rsidR="00EE1CF5" w:rsidRPr="00C729E7" w:rsidRDefault="00EE1CF5" w:rsidP="00EE1CF5">
      <w:pPr>
        <w:spacing w:before="120"/>
        <w:ind w:firstLine="851"/>
        <w:rPr>
          <w:rFonts w:eastAsia="Times New Roman" w:cs="Times New Roman"/>
          <w:szCs w:val="26"/>
        </w:rPr>
      </w:pPr>
      <w:r w:rsidRPr="00C729E7">
        <w:rPr>
          <w:szCs w:val="26"/>
        </w:rPr>
        <w:lastRenderedPageBreak/>
        <w:t xml:space="preserve">Jāņem vērā, ka bez lielajām Latvijas </w:t>
      </w:r>
      <w:r>
        <w:rPr>
          <w:szCs w:val="26"/>
        </w:rPr>
        <w:t>HES</w:t>
      </w:r>
      <w:r w:rsidRPr="00C729E7">
        <w:rPr>
          <w:szCs w:val="26"/>
        </w:rPr>
        <w:t xml:space="preserve"> Latvijā gandrīz nav ražotāji, kas elektroenerģiju ražo no AER un šobrīd strādātu ārpus OI mehānisma. Tāpat, pamatojoties uz </w:t>
      </w:r>
      <w:r w:rsidRPr="00C729E7">
        <w:rPr>
          <w:iCs/>
          <w:szCs w:val="26"/>
        </w:rPr>
        <w:t>Fizikālās Enerģētikas institūta</w:t>
      </w:r>
      <w:r w:rsidRPr="00C729E7">
        <w:rPr>
          <w:i/>
          <w:iCs/>
          <w:szCs w:val="26"/>
        </w:rPr>
        <w:t xml:space="preserve"> </w:t>
      </w:r>
      <w:r w:rsidRPr="00C729E7">
        <w:rPr>
          <w:iCs/>
          <w:szCs w:val="26"/>
        </w:rPr>
        <w:t>pētnieku</w:t>
      </w:r>
      <w:r w:rsidRPr="00C729E7">
        <w:rPr>
          <w:szCs w:val="26"/>
        </w:rPr>
        <w:t xml:space="preserve"> secināto atbilstoši enerģētikas un vides sistēmas optimizācijas modelim “MARKAL-Latvija”, kā arī BENTE ziņojumam, iespējams secināt, ka Latvijā turpmākais atbalsts būtu pamatots tādā apmērā, lai “enerģētikas kopējās sistēmas izmaksas nesadārdzinātos vairāk kā 0,3% no IKP”. </w:t>
      </w:r>
    </w:p>
    <w:p w14:paraId="4A3AD26C" w14:textId="77777777" w:rsidR="00EE1CF5" w:rsidRPr="00C729E7" w:rsidRDefault="00EE1CF5" w:rsidP="00EE1CF5">
      <w:pPr>
        <w:spacing w:before="120"/>
        <w:ind w:firstLine="851"/>
        <w:contextualSpacing/>
        <w:rPr>
          <w:rFonts w:eastAsia="Times New Roman" w:cs="Times New Roman"/>
          <w:szCs w:val="26"/>
        </w:rPr>
      </w:pPr>
    </w:p>
    <w:p w14:paraId="4DA748F5" w14:textId="77777777" w:rsidR="00EE1CF5" w:rsidRPr="0089139C" w:rsidRDefault="00EE1CF5" w:rsidP="00EE1CF5">
      <w:pPr>
        <w:pStyle w:val="111apaknodaa"/>
        <w:spacing w:before="240"/>
        <w:jc w:val="center"/>
        <w:rPr>
          <w:shd w:val="clear" w:color="auto" w:fill="FFFFFF"/>
        </w:rPr>
      </w:pPr>
      <w:bookmarkStart w:id="142" w:name="_Toc256000065"/>
      <w:bookmarkStart w:id="143" w:name="_Toc256000033"/>
      <w:bookmarkStart w:id="144" w:name="_Toc523492930"/>
      <w:bookmarkStart w:id="145" w:name="_Toc528585670"/>
      <w:bookmarkStart w:id="146" w:name="_Toc531798583"/>
      <w:r>
        <w:rPr>
          <w:shd w:val="clear" w:color="auto" w:fill="FFFFFF"/>
        </w:rPr>
        <w:t xml:space="preserve">4.7.3. </w:t>
      </w:r>
      <w:r w:rsidRPr="00C729E7">
        <w:rPr>
          <w:shd w:val="clear" w:color="auto" w:fill="FFFFFF"/>
        </w:rPr>
        <w:t>“Zaļo sertifikātu” mehānisma apraksts</w:t>
      </w:r>
      <w:bookmarkEnd w:id="142"/>
      <w:bookmarkEnd w:id="143"/>
      <w:bookmarkEnd w:id="144"/>
      <w:bookmarkEnd w:id="145"/>
      <w:bookmarkEnd w:id="146"/>
      <w:r>
        <w:rPr>
          <w:shd w:val="clear" w:color="auto" w:fill="FFFFFF"/>
        </w:rPr>
        <w:br/>
      </w:r>
    </w:p>
    <w:p w14:paraId="25A6C309" w14:textId="77777777" w:rsidR="00EE1CF5" w:rsidRPr="00C729E7" w:rsidRDefault="00EE1CF5" w:rsidP="00EE1CF5">
      <w:pPr>
        <w:spacing w:before="120"/>
        <w:contextualSpacing/>
        <w:rPr>
          <w:rFonts w:eastAsia="Times New Roman" w:cs="Times New Roman"/>
          <w:b/>
          <w:bCs/>
          <w:szCs w:val="26"/>
        </w:rPr>
      </w:pPr>
      <w:r w:rsidRPr="00C729E7">
        <w:rPr>
          <w:b/>
          <w:bCs/>
          <w:szCs w:val="26"/>
        </w:rPr>
        <w:t>1) Dalības nosacījumi zaļo sertifikātu shēmā</w:t>
      </w:r>
    </w:p>
    <w:p w14:paraId="0994F68E" w14:textId="77777777" w:rsidR="00EE1CF5" w:rsidRPr="00C729E7" w:rsidRDefault="00EE1CF5" w:rsidP="00EE1CF5">
      <w:pPr>
        <w:numPr>
          <w:ilvl w:val="1"/>
          <w:numId w:val="7"/>
        </w:numPr>
        <w:spacing w:before="120"/>
        <w:contextualSpacing/>
        <w:rPr>
          <w:rFonts w:eastAsia="Times New Roman" w:cs="Times New Roman"/>
          <w:b/>
          <w:bCs/>
          <w:szCs w:val="26"/>
        </w:rPr>
      </w:pPr>
      <w:r>
        <w:rPr>
          <w:szCs w:val="26"/>
        </w:rPr>
        <w:t>Sākotnēji OI AER stacijas;</w:t>
      </w:r>
    </w:p>
    <w:p w14:paraId="32C36799" w14:textId="77777777" w:rsidR="00EE1CF5" w:rsidRPr="00C729E7" w:rsidRDefault="00EE1CF5" w:rsidP="00EE1CF5">
      <w:pPr>
        <w:numPr>
          <w:ilvl w:val="1"/>
          <w:numId w:val="7"/>
        </w:numPr>
        <w:spacing w:before="120"/>
        <w:contextualSpacing/>
        <w:rPr>
          <w:rFonts w:eastAsia="Times New Roman" w:cs="Times New Roman"/>
          <w:szCs w:val="26"/>
        </w:rPr>
      </w:pPr>
      <w:r w:rsidRPr="00C729E7">
        <w:rPr>
          <w:szCs w:val="26"/>
        </w:rPr>
        <w:t>Tiesības piedalīties shēmā iegūst uz noteiktu laiku (10 gadu periodam), tām atsevišķi kvalificējoties. Stacijām izvirzāmi nosacījumi dalībai shēmā.</w:t>
      </w:r>
    </w:p>
    <w:p w14:paraId="0D6A3366" w14:textId="77777777" w:rsidR="00EE1CF5" w:rsidRPr="00C729E7" w:rsidRDefault="00EE1CF5" w:rsidP="00EE1CF5">
      <w:pPr>
        <w:spacing w:before="120"/>
        <w:contextualSpacing/>
        <w:rPr>
          <w:rFonts w:eastAsia="Times New Roman" w:cs="Times New Roman"/>
          <w:b/>
          <w:bCs/>
          <w:szCs w:val="26"/>
        </w:rPr>
      </w:pPr>
      <w:r w:rsidRPr="00C729E7">
        <w:rPr>
          <w:b/>
          <w:szCs w:val="26"/>
        </w:rPr>
        <w:t xml:space="preserve">2) </w:t>
      </w:r>
      <w:r w:rsidRPr="00C729E7">
        <w:rPr>
          <w:b/>
          <w:bCs/>
          <w:szCs w:val="26"/>
        </w:rPr>
        <w:t>Pienākuma puse:</w:t>
      </w:r>
      <w:r w:rsidRPr="00C729E7">
        <w:rPr>
          <w:rFonts w:eastAsia="Times New Roman" w:cs="Times New Roman"/>
          <w:b/>
          <w:bCs/>
          <w:szCs w:val="26"/>
        </w:rPr>
        <w:t xml:space="preserve"> </w:t>
      </w:r>
    </w:p>
    <w:p w14:paraId="3E42893A" w14:textId="77777777" w:rsidR="00EE1CF5" w:rsidRPr="00C729E7" w:rsidRDefault="00EE1CF5" w:rsidP="00EE1CF5">
      <w:pPr>
        <w:numPr>
          <w:ilvl w:val="1"/>
          <w:numId w:val="3"/>
        </w:numPr>
        <w:spacing w:before="120"/>
        <w:contextualSpacing/>
        <w:rPr>
          <w:rFonts w:eastAsia="Times New Roman" w:cs="Times New Roman"/>
          <w:szCs w:val="26"/>
        </w:rPr>
      </w:pPr>
      <w:r w:rsidRPr="00C729E7">
        <w:rPr>
          <w:szCs w:val="26"/>
        </w:rPr>
        <w:t>Visi Latvijā reģistrētie elektroenerģijas tirgotāji</w:t>
      </w:r>
    </w:p>
    <w:p w14:paraId="19974041" w14:textId="77777777" w:rsidR="00EE1CF5" w:rsidRPr="00C729E7" w:rsidRDefault="00EE1CF5" w:rsidP="00EE1CF5">
      <w:pPr>
        <w:spacing w:before="120"/>
        <w:contextualSpacing/>
        <w:rPr>
          <w:rFonts w:eastAsia="Times New Roman" w:cs="Times New Roman"/>
          <w:szCs w:val="26"/>
        </w:rPr>
      </w:pPr>
      <w:r w:rsidRPr="00C729E7">
        <w:rPr>
          <w:b/>
          <w:bCs/>
          <w:szCs w:val="26"/>
        </w:rPr>
        <w:t>3) Kvotas apjoma noteikšana tirgotājiem</w:t>
      </w:r>
    </w:p>
    <w:p w14:paraId="5A88AA58" w14:textId="77777777" w:rsidR="00EE1CF5" w:rsidRPr="00C729E7" w:rsidRDefault="00EE1CF5" w:rsidP="00EE1CF5">
      <w:pPr>
        <w:numPr>
          <w:ilvl w:val="1"/>
          <w:numId w:val="3"/>
        </w:numPr>
        <w:spacing w:before="120"/>
        <w:contextualSpacing/>
        <w:rPr>
          <w:rFonts w:eastAsia="Times New Roman" w:cs="Times New Roman"/>
          <w:b/>
          <w:bCs/>
          <w:szCs w:val="26"/>
        </w:rPr>
      </w:pPr>
      <w:r w:rsidRPr="00C729E7">
        <w:rPr>
          <w:szCs w:val="26"/>
        </w:rPr>
        <w:t>Sākuma periodā - ņemot vērā kopējās OI mehānisma ietvaros</w:t>
      </w:r>
      <w:r w:rsidRPr="00C729E7">
        <w:rPr>
          <w:rFonts w:eastAsia="Times New Roman" w:cs="Times New Roman"/>
          <w:szCs w:val="26"/>
        </w:rPr>
        <w:t xml:space="preserve"> </w:t>
      </w:r>
      <w:r w:rsidRPr="00C729E7">
        <w:rPr>
          <w:szCs w:val="26"/>
        </w:rPr>
        <w:t>noteiktās AER saistības.</w:t>
      </w:r>
    </w:p>
    <w:p w14:paraId="47FBDCAB" w14:textId="77777777" w:rsidR="00EE1CF5" w:rsidRPr="00C729E7" w:rsidRDefault="00EE1CF5" w:rsidP="00EE1CF5">
      <w:pPr>
        <w:numPr>
          <w:ilvl w:val="1"/>
          <w:numId w:val="3"/>
        </w:numPr>
        <w:spacing w:before="120"/>
        <w:contextualSpacing/>
        <w:rPr>
          <w:rFonts w:eastAsia="Times New Roman" w:cs="Times New Roman"/>
          <w:b/>
          <w:bCs/>
          <w:szCs w:val="26"/>
        </w:rPr>
      </w:pPr>
      <w:r w:rsidRPr="00C729E7">
        <w:rPr>
          <w:szCs w:val="26"/>
        </w:rPr>
        <w:t>Kvotas īpatsvars tirgotājam nosakāms atbilstoši attiecīgā tirgotāja iepriekšējā gadā lietotājiem nodotajam elektroenerģijas apjomam</w:t>
      </w:r>
      <w:r w:rsidRPr="00C729E7">
        <w:rPr>
          <w:rFonts w:eastAsia="Times New Roman" w:cs="Times New Roman"/>
          <w:szCs w:val="26"/>
        </w:rPr>
        <w:t>.</w:t>
      </w:r>
    </w:p>
    <w:p w14:paraId="244D58C6" w14:textId="77777777" w:rsidR="00EE1CF5" w:rsidRPr="00756ABB" w:rsidRDefault="00EE1CF5" w:rsidP="00EE1CF5">
      <w:pPr>
        <w:numPr>
          <w:ilvl w:val="1"/>
          <w:numId w:val="3"/>
        </w:numPr>
        <w:spacing w:before="120"/>
        <w:contextualSpacing/>
        <w:rPr>
          <w:rFonts w:eastAsia="Times New Roman" w:cs="Times New Roman"/>
          <w:b/>
          <w:bCs/>
          <w:szCs w:val="26"/>
        </w:rPr>
      </w:pPr>
      <w:r w:rsidRPr="00C729E7">
        <w:rPr>
          <w:szCs w:val="26"/>
        </w:rPr>
        <w:t>Kvotas kopējais ietvars tiek definēts likumā, kura piemērošanu veic izpildinstitūcija</w:t>
      </w:r>
    </w:p>
    <w:p w14:paraId="465376CD" w14:textId="77777777" w:rsidR="00EE1CF5" w:rsidRPr="00C729E7" w:rsidRDefault="00EE1CF5" w:rsidP="00EE1CF5">
      <w:pPr>
        <w:spacing w:before="120"/>
        <w:contextualSpacing/>
        <w:rPr>
          <w:rFonts w:eastAsia="Times New Roman" w:cs="Times New Roman"/>
          <w:b/>
          <w:bCs/>
          <w:szCs w:val="26"/>
        </w:rPr>
      </w:pPr>
      <w:r w:rsidRPr="00C729E7">
        <w:rPr>
          <w:b/>
          <w:bCs/>
          <w:szCs w:val="26"/>
        </w:rPr>
        <w:t>4) Maksājums par kvotas neizpildi</w:t>
      </w:r>
    </w:p>
    <w:p w14:paraId="0B016C45" w14:textId="77777777" w:rsidR="00EE1CF5" w:rsidRPr="00C729E7" w:rsidRDefault="00EE1CF5" w:rsidP="00EE1CF5">
      <w:pPr>
        <w:numPr>
          <w:ilvl w:val="1"/>
          <w:numId w:val="3"/>
        </w:numPr>
        <w:spacing w:before="120"/>
        <w:contextualSpacing/>
        <w:rPr>
          <w:rFonts w:eastAsia="Times New Roman" w:cs="Times New Roman"/>
          <w:b/>
          <w:bCs/>
          <w:szCs w:val="26"/>
        </w:rPr>
      </w:pPr>
      <w:r w:rsidRPr="00C729E7">
        <w:rPr>
          <w:szCs w:val="26"/>
        </w:rPr>
        <w:t>Maksa EUR par katru neiepirkto zaļo sertifikātu.</w:t>
      </w:r>
    </w:p>
    <w:p w14:paraId="50A345B8" w14:textId="77777777" w:rsidR="00EE1CF5" w:rsidRPr="00C729E7" w:rsidRDefault="00EE1CF5" w:rsidP="00EE1CF5">
      <w:pPr>
        <w:numPr>
          <w:ilvl w:val="1"/>
          <w:numId w:val="3"/>
        </w:numPr>
        <w:spacing w:before="120"/>
        <w:contextualSpacing/>
        <w:rPr>
          <w:rFonts w:eastAsia="Times New Roman" w:cs="Times New Roman"/>
          <w:b/>
          <w:bCs/>
          <w:szCs w:val="26"/>
        </w:rPr>
      </w:pPr>
      <w:r w:rsidRPr="00C729E7">
        <w:rPr>
          <w:szCs w:val="26"/>
        </w:rPr>
        <w:t>Maksājums novirzāms enerģētikas nozares attīstībai.</w:t>
      </w:r>
    </w:p>
    <w:p w14:paraId="22B67598" w14:textId="77777777" w:rsidR="00EE1CF5" w:rsidRPr="00C729E7" w:rsidRDefault="00EE1CF5" w:rsidP="00EE1CF5">
      <w:pPr>
        <w:spacing w:before="120"/>
        <w:contextualSpacing/>
        <w:rPr>
          <w:rFonts w:eastAsia="Times New Roman" w:cs="Times New Roman"/>
          <w:b/>
          <w:bCs/>
          <w:szCs w:val="26"/>
        </w:rPr>
      </w:pPr>
      <w:r w:rsidRPr="00C729E7">
        <w:rPr>
          <w:b/>
          <w:bCs/>
          <w:szCs w:val="26"/>
        </w:rPr>
        <w:t>5) Sertifikātu cenas veidošanās</w:t>
      </w:r>
    </w:p>
    <w:p w14:paraId="4CCA0236" w14:textId="77777777" w:rsidR="00EE1CF5" w:rsidRPr="00C729E7" w:rsidRDefault="00EE1CF5" w:rsidP="00EE1CF5">
      <w:pPr>
        <w:numPr>
          <w:ilvl w:val="1"/>
          <w:numId w:val="3"/>
        </w:numPr>
        <w:spacing w:before="120"/>
        <w:contextualSpacing/>
        <w:rPr>
          <w:rFonts w:eastAsia="Times New Roman" w:cs="Times New Roman"/>
          <w:szCs w:val="26"/>
        </w:rPr>
      </w:pPr>
      <w:r w:rsidRPr="00C729E7">
        <w:rPr>
          <w:szCs w:val="26"/>
        </w:rPr>
        <w:t>Tirgus noteikta cena.</w:t>
      </w:r>
    </w:p>
    <w:p w14:paraId="7CC3C215" w14:textId="77777777" w:rsidR="00EE1CF5" w:rsidRPr="00C729E7" w:rsidRDefault="00EE1CF5" w:rsidP="00EE1CF5">
      <w:pPr>
        <w:numPr>
          <w:ilvl w:val="1"/>
          <w:numId w:val="3"/>
        </w:numPr>
        <w:spacing w:before="120"/>
        <w:contextualSpacing/>
        <w:rPr>
          <w:rFonts w:eastAsia="Times New Roman" w:cs="Times New Roman"/>
          <w:szCs w:val="26"/>
        </w:rPr>
      </w:pPr>
      <w:r w:rsidRPr="00C729E7">
        <w:rPr>
          <w:szCs w:val="26"/>
        </w:rPr>
        <w:t>Maksimālā</w:t>
      </w:r>
      <w:r w:rsidRPr="00C729E7">
        <w:rPr>
          <w:rFonts w:eastAsia="Times New Roman" w:cs="Times New Roman"/>
          <w:szCs w:val="26"/>
        </w:rPr>
        <w:t xml:space="preserve"> </w:t>
      </w:r>
      <w:r w:rsidRPr="00C729E7">
        <w:rPr>
          <w:szCs w:val="26"/>
        </w:rPr>
        <w:t>elektroenerģijas iepirkuma cena var būt vienāda ar maksājumu, kas noteikts tirgotājiem par tam noteiktā pienākuma neizpildi.</w:t>
      </w:r>
    </w:p>
    <w:p w14:paraId="7CF9921E" w14:textId="77777777" w:rsidR="00EE1CF5" w:rsidRPr="00C729E7" w:rsidRDefault="00EE1CF5" w:rsidP="00EE1CF5">
      <w:pPr>
        <w:numPr>
          <w:ilvl w:val="1"/>
          <w:numId w:val="3"/>
        </w:numPr>
        <w:spacing w:before="120"/>
        <w:contextualSpacing/>
        <w:rPr>
          <w:rFonts w:eastAsia="Times New Roman" w:cs="Times New Roman"/>
          <w:szCs w:val="26"/>
        </w:rPr>
      </w:pPr>
      <w:r w:rsidRPr="00C729E7">
        <w:rPr>
          <w:szCs w:val="26"/>
        </w:rPr>
        <w:t>Lai diversificētu AER tehnoloģijas, iespējams atsevišķām tehnoloģijām par 1 MWh izsniegt vairāk kā 1 sertifikātu</w:t>
      </w:r>
      <w:r w:rsidRPr="00C729E7">
        <w:rPr>
          <w:rFonts w:eastAsia="Times New Roman" w:cs="Times New Roman"/>
          <w:szCs w:val="26"/>
        </w:rPr>
        <w:t>.</w:t>
      </w:r>
    </w:p>
    <w:p w14:paraId="0D6777B9" w14:textId="77777777" w:rsidR="00EE1CF5" w:rsidRPr="00C729E7" w:rsidRDefault="00EE1CF5" w:rsidP="00EE1CF5">
      <w:pPr>
        <w:numPr>
          <w:ilvl w:val="1"/>
          <w:numId w:val="3"/>
        </w:numPr>
        <w:spacing w:before="120"/>
        <w:contextualSpacing/>
        <w:rPr>
          <w:rFonts w:eastAsia="Times New Roman" w:cs="Times New Roman"/>
          <w:szCs w:val="26"/>
        </w:rPr>
      </w:pPr>
      <w:r w:rsidRPr="00C729E7">
        <w:rPr>
          <w:szCs w:val="26"/>
        </w:rPr>
        <w:t>AER ražotāji un tirgotāji var tirgoties ar sertifikātiem savā starpā</w:t>
      </w:r>
      <w:r w:rsidRPr="00C729E7">
        <w:rPr>
          <w:rFonts w:eastAsia="Times New Roman" w:cs="Times New Roman"/>
          <w:szCs w:val="26"/>
        </w:rPr>
        <w:t>.</w:t>
      </w:r>
    </w:p>
    <w:p w14:paraId="55689A32" w14:textId="77777777" w:rsidR="00EE1CF5" w:rsidRPr="00C729E7" w:rsidRDefault="00EE1CF5" w:rsidP="00EE1CF5">
      <w:pPr>
        <w:spacing w:before="120"/>
        <w:contextualSpacing/>
        <w:rPr>
          <w:rFonts w:eastAsia="Times New Roman" w:cs="Times New Roman"/>
          <w:b/>
          <w:bCs/>
          <w:szCs w:val="26"/>
        </w:rPr>
      </w:pPr>
      <w:r w:rsidRPr="00C729E7">
        <w:rPr>
          <w:b/>
          <w:bCs/>
          <w:szCs w:val="26"/>
        </w:rPr>
        <w:t>6) Derīguma termiņš sertifikātiem</w:t>
      </w:r>
    </w:p>
    <w:p w14:paraId="28F04D87" w14:textId="77777777" w:rsidR="00EE1CF5" w:rsidRPr="00C729E7" w:rsidRDefault="00EE1CF5" w:rsidP="00EE1CF5">
      <w:pPr>
        <w:numPr>
          <w:ilvl w:val="1"/>
          <w:numId w:val="3"/>
        </w:numPr>
        <w:spacing w:before="120"/>
        <w:contextualSpacing/>
        <w:rPr>
          <w:rFonts w:eastAsia="Times New Roman" w:cs="Times New Roman"/>
          <w:szCs w:val="26"/>
        </w:rPr>
      </w:pPr>
      <w:r w:rsidRPr="00C729E7">
        <w:rPr>
          <w:szCs w:val="26"/>
        </w:rPr>
        <w:t>1 gads vai cits noteikts termiņš, kas nepārsniedz 10 gadus.</w:t>
      </w:r>
    </w:p>
    <w:p w14:paraId="25DAF3F5" w14:textId="77777777" w:rsidR="00EE1CF5" w:rsidRPr="00C729E7" w:rsidRDefault="00EE1CF5" w:rsidP="00EE1CF5">
      <w:pPr>
        <w:spacing w:before="120"/>
        <w:contextualSpacing/>
        <w:rPr>
          <w:rFonts w:eastAsia="Times New Roman" w:cs="Times New Roman"/>
          <w:szCs w:val="26"/>
        </w:rPr>
      </w:pPr>
      <w:r w:rsidRPr="00C729E7">
        <w:rPr>
          <w:b/>
          <w:bCs/>
          <w:szCs w:val="26"/>
        </w:rPr>
        <w:t>7) Izmaksu segšanas kārtība</w:t>
      </w:r>
    </w:p>
    <w:p w14:paraId="5BCDD585" w14:textId="77777777" w:rsidR="00EE1CF5" w:rsidRPr="00C729E7" w:rsidRDefault="00EE1CF5" w:rsidP="00EE1CF5">
      <w:pPr>
        <w:numPr>
          <w:ilvl w:val="1"/>
          <w:numId w:val="3"/>
        </w:numPr>
        <w:spacing w:before="120"/>
        <w:contextualSpacing/>
        <w:rPr>
          <w:rFonts w:eastAsia="Times New Roman" w:cs="Times New Roman"/>
          <w:szCs w:val="26"/>
        </w:rPr>
      </w:pPr>
      <w:r w:rsidRPr="00C729E7">
        <w:rPr>
          <w:szCs w:val="26"/>
        </w:rPr>
        <w:t>Izmaksas, lai kompensētu tirgotājiem noteikto pienākumu, tas ir, izmaksas, kas radīsies tirgotājiem iepērkot noteikto apjomu zaļo sertifikātu, noteiktu saskaņā ar tarifu metodika. Tā ka zaļo sertifikātu ieviešana paredz palielināt konkurenci starp elektroenerģijas ražotājiem, kā arī starp tirgotājiem, prognozējama izmaksu samazināšanās patērētājiem.</w:t>
      </w:r>
      <w:r w:rsidRPr="00C729E7">
        <w:t xml:space="preserve"> </w:t>
      </w:r>
      <w:r w:rsidRPr="00C729E7">
        <w:rPr>
          <w:szCs w:val="26"/>
        </w:rPr>
        <w:t>Visā atlikušajā OI atbalsta periodā šī risinājuma pozitīvā ietekme būtu vērtējama līdz 20 milj. EUR gadā apmērā.</w:t>
      </w:r>
    </w:p>
    <w:p w14:paraId="02852F27" w14:textId="77777777" w:rsidR="00EE1CF5" w:rsidRPr="00C729E7" w:rsidRDefault="00EE1CF5" w:rsidP="00EE1CF5">
      <w:pPr>
        <w:spacing w:before="120"/>
        <w:ind w:firstLine="709"/>
        <w:rPr>
          <w:rFonts w:eastAsia="Times New Roman" w:cs="Times New Roman"/>
          <w:szCs w:val="26"/>
        </w:rPr>
      </w:pPr>
      <w:r w:rsidRPr="00C729E7">
        <w:rPr>
          <w:szCs w:val="26"/>
        </w:rPr>
        <w:t xml:space="preserve">Vērtējot “Zaļo sertifikātu” mehānisma risinājuma </w:t>
      </w:r>
      <w:r>
        <w:rPr>
          <w:szCs w:val="26"/>
        </w:rPr>
        <w:t xml:space="preserve">iespējamo </w:t>
      </w:r>
      <w:r w:rsidRPr="00C729E7">
        <w:rPr>
          <w:szCs w:val="26"/>
        </w:rPr>
        <w:t>ietekmi uz elektroenerģijas ražotājiem,</w:t>
      </w:r>
      <w:r w:rsidRPr="00C729E7">
        <w:rPr>
          <w:rFonts w:eastAsia="Times New Roman" w:cs="Times New Roman"/>
          <w:szCs w:val="26"/>
        </w:rPr>
        <w:t xml:space="preserve"> </w:t>
      </w:r>
      <w:r w:rsidRPr="00C729E7">
        <w:rPr>
          <w:szCs w:val="26"/>
        </w:rPr>
        <w:t>paredzams, ka kopumā tas veicinās konkurenci starp ražotājiem, attīstot nozares spēju darboties tirgus apstākļos. Šis risinājums nodrošin</w:t>
      </w:r>
      <w:r>
        <w:rPr>
          <w:szCs w:val="26"/>
        </w:rPr>
        <w:t>ātu</w:t>
      </w:r>
      <w:r w:rsidRPr="00C729E7">
        <w:rPr>
          <w:szCs w:val="26"/>
        </w:rPr>
        <w:t xml:space="preserve"> OI mehānisma atcelšanu, vienlaikus dodot iespēju OI mehānisma ietvaros strādājošām </w:t>
      </w:r>
      <w:r w:rsidRPr="00C729E7">
        <w:rPr>
          <w:szCs w:val="26"/>
        </w:rPr>
        <w:lastRenderedPageBreak/>
        <w:t xml:space="preserve">AER stacijām turpināt darbu un realizēt elektroenerģiju tādā apmērā, kādā tām piešķirtas OI tiesības, pakāpeniski atverot sistēmu jaunām iekārtām, pirms tam izvērtējot sistēmas darbību tās sākuma posmā. Vienlaikus </w:t>
      </w:r>
      <w:r>
        <w:rPr>
          <w:szCs w:val="26"/>
        </w:rPr>
        <w:t xml:space="preserve">šādā gadījumā būtu </w:t>
      </w:r>
      <w:r w:rsidRPr="00C729E7">
        <w:rPr>
          <w:szCs w:val="26"/>
        </w:rPr>
        <w:t>nosakāms pakāpenisks tirgotāju pienākuma samazinājums attiecībā uz noteikto kvotu elektroenerģijas iepirkumam no iepriekš OI mehānismā strādājošām stacijām, ievērojot to OI tiesību termiņu pakāpenisku beigšanos. Risinājums veicinātu konkurenci gan vienas AER tehnoloģiju grupas ietvaros, gan starp dažādām tehnoloģiju grupām, īpaši ja par vienu 1 MWh visām tehnoloģijām tiek noteikts vienāds skaits zaļo sertifikātu</w:t>
      </w:r>
      <w:r w:rsidRPr="00C729E7">
        <w:rPr>
          <w:rFonts w:eastAsia="Times New Roman" w:cs="Times New Roman"/>
          <w:szCs w:val="26"/>
        </w:rPr>
        <w:t>.</w:t>
      </w:r>
      <w:r w:rsidRPr="00C729E7">
        <w:rPr>
          <w:szCs w:val="26"/>
        </w:rPr>
        <w:t xml:space="preserve"> Tāpat instrumentam </w:t>
      </w:r>
      <w:r>
        <w:rPr>
          <w:szCs w:val="26"/>
        </w:rPr>
        <w:t xml:space="preserve">būtu </w:t>
      </w:r>
      <w:r w:rsidRPr="00C729E7">
        <w:rPr>
          <w:szCs w:val="26"/>
        </w:rPr>
        <w:t xml:space="preserve">pozitīva ietekme uz valsts budžetu, ņemot vērā, ka tiktu likvidēts OIK maksājums un attiecīgi </w:t>
      </w:r>
      <w:r>
        <w:rPr>
          <w:szCs w:val="26"/>
        </w:rPr>
        <w:t>pārtraukts</w:t>
      </w:r>
      <w:r w:rsidRPr="00C729E7">
        <w:rPr>
          <w:szCs w:val="26"/>
        </w:rPr>
        <w:t xml:space="preserve"> valsts budžeta līdzfinansējums OIK. “Zaļo sertifikātu” izmaksas nosegtu lietotāju maksājumi, kas nepalielinātos, ņemot vēra, ka tiktu noteikts maksimālais atbalsta slieksnis, salīdzinājumā ar OI mehānisma radītajām izmaksām. Instrumenta ieviešana stimulētu arī elektroenerģijas tirgotājus veidot jaunus produktus elektroenerģijas lietotājiem.  </w:t>
      </w:r>
    </w:p>
    <w:p w14:paraId="4A6EAADB" w14:textId="77777777" w:rsidR="00EE1CF5" w:rsidRDefault="00EE1CF5" w:rsidP="00EE1CF5">
      <w:pPr>
        <w:spacing w:before="120"/>
        <w:ind w:firstLine="851"/>
        <w:rPr>
          <w:szCs w:val="26"/>
        </w:rPr>
      </w:pPr>
      <w:r w:rsidRPr="00C729E7">
        <w:rPr>
          <w:szCs w:val="26"/>
        </w:rPr>
        <w:t xml:space="preserve">Taču, vērtējot izmaiņas, jāapzinās, ka šim risinājumam ir arī vājās puses, piemēram, pāreja uz jaunu atbalsta instrumentu var nesasniegt gaidīto maksimālo finansiālo efektu, jo darbība zaļo sertifikātu sistēmā ražotājiem saistās ar lielākiem riskiem, ja netiek noteikta minimālā cena, un attiecīgi šie riski tiek ierēķināti “zaļo sertifikātu” cenā. Tāpat jāņem vērā, ka sistēma ir mazāk piemērota tehnoloģiju diversificēšanai, mazāk veicina investīcijas dārgākās AER tehnoloģijās, bet risinājums var būt kvotu noteikšana pa tehnoloģijām. Tāpat izmaksas, kas </w:t>
      </w:r>
      <w:r>
        <w:rPr>
          <w:szCs w:val="26"/>
        </w:rPr>
        <w:t>rastos</w:t>
      </w:r>
      <w:r w:rsidRPr="00C729E7">
        <w:rPr>
          <w:szCs w:val="26"/>
        </w:rPr>
        <w:t xml:space="preserve"> tirgotājiem iepērkot noteikto apjomu zaļo sertifikātu, tik</w:t>
      </w:r>
      <w:r>
        <w:rPr>
          <w:szCs w:val="26"/>
        </w:rPr>
        <w:t>tu</w:t>
      </w:r>
      <w:r w:rsidRPr="00C729E7">
        <w:rPr>
          <w:szCs w:val="26"/>
        </w:rPr>
        <w:t xml:space="preserve"> joprojām segtas no elektroenerģijas lietotāju maksājumiem to </w:t>
      </w:r>
      <w:r w:rsidRPr="00662151">
        <w:rPr>
          <w:szCs w:val="26"/>
        </w:rPr>
        <w:t xml:space="preserve">rēķinos. Latvijas elektroenerģijas tirgotāji ir norādījuši, ka, ieviešot “zaļo sertifikātu” sistēmu, elektroenerģijas gala cenā tiktu ierēķināti riski, kas saistās ar šīs sistēmas darbību, tostarp soda naudas apmērs, ko tirgotājs maksātu gadījumā, ja netiktu nodrošināts tam noteiktas sertifikātu iepirkums. </w:t>
      </w:r>
    </w:p>
    <w:p w14:paraId="129D7C8A" w14:textId="77777777" w:rsidR="00EE1CF5" w:rsidRPr="00C729E7" w:rsidRDefault="00EE1CF5" w:rsidP="00EE1CF5">
      <w:pPr>
        <w:spacing w:before="120"/>
        <w:ind w:firstLine="851"/>
        <w:rPr>
          <w:rFonts w:eastAsia="Times New Roman" w:cs="Times New Roman"/>
          <w:szCs w:val="26"/>
        </w:rPr>
      </w:pPr>
      <w:r w:rsidRPr="00662151">
        <w:rPr>
          <w:szCs w:val="26"/>
        </w:rPr>
        <w:t>Instruments ir vērtējams kā jauns atbalsta mehānisms, veicot izmaiņas arī esošajā valsts atbalsta lietā</w:t>
      </w:r>
      <w:r w:rsidRPr="00662151">
        <w:rPr>
          <w:i/>
          <w:iCs/>
          <w:szCs w:val="26"/>
        </w:rPr>
        <w:t xml:space="preserve"> SA.43140 (2015/NN) – atbalsts elektroenerģijas ražotājiem </w:t>
      </w:r>
      <w:r w:rsidRPr="00662151">
        <w:rPr>
          <w:szCs w:val="26"/>
        </w:rPr>
        <w:t xml:space="preserve">(turpmāk – SA.43140). Līdz ar to jauna valsts atbalsta ieviešana </w:t>
      </w:r>
      <w:r>
        <w:rPr>
          <w:szCs w:val="26"/>
        </w:rPr>
        <w:t>būtu saskaņojama</w:t>
      </w:r>
      <w:r w:rsidRPr="00C729E7">
        <w:rPr>
          <w:szCs w:val="26"/>
        </w:rPr>
        <w:t xml:space="preserve"> ar Eiropas Komisiju atbilstoši šobrīd spēkā esošajām 2014.gada Pamatnostādnēm par valsts atbalstu vides aizsardzībai un enerģētikai, mehānisma ieviešanai paredzot pietiekami ilgu ieviešanas periodu, lai gaidītais efekts būtu tūlītējs. Atkarībā no instrumenta ieviešanas veida var būt vidēji riski saistībā ar neatbilstību Satversmei. </w:t>
      </w:r>
    </w:p>
    <w:p w14:paraId="3EBF709B" w14:textId="77777777" w:rsidR="00EE1CF5" w:rsidRPr="00C729E7" w:rsidRDefault="00EE1CF5" w:rsidP="00EE1CF5">
      <w:pPr>
        <w:spacing w:before="120"/>
        <w:ind w:firstLine="851"/>
        <w:rPr>
          <w:szCs w:val="26"/>
        </w:rPr>
      </w:pPr>
      <w:r w:rsidRPr="00C729E7">
        <w:rPr>
          <w:szCs w:val="26"/>
        </w:rPr>
        <w:t xml:space="preserve">Instrumenta ieviešanai </w:t>
      </w:r>
      <w:r>
        <w:rPr>
          <w:szCs w:val="26"/>
        </w:rPr>
        <w:t xml:space="preserve">būtu </w:t>
      </w:r>
      <w:r w:rsidRPr="00C729E7">
        <w:rPr>
          <w:szCs w:val="26"/>
        </w:rPr>
        <w:t xml:space="preserve">veicami grozījumi </w:t>
      </w:r>
      <w:r>
        <w:rPr>
          <w:szCs w:val="26"/>
        </w:rPr>
        <w:t>ETL</w:t>
      </w:r>
      <w:r w:rsidRPr="00C729E7">
        <w:rPr>
          <w:szCs w:val="26"/>
        </w:rPr>
        <w:t xml:space="preserve"> vai izstrādājams jauns likums, nosakot “zaļo sertifikātu” mehānisma pamatprincipus, tai skaitā tirgotājiem nosakāmo pienākumu un to apjomu, administrēšanas institūciju un citas atbildīgās puses, mehānisma izmaksu segšanas kārtību</w:t>
      </w:r>
      <w:r>
        <w:rPr>
          <w:szCs w:val="26"/>
        </w:rPr>
        <w:t xml:space="preserve"> un</w:t>
      </w:r>
      <w:r w:rsidRPr="00C729E7">
        <w:rPr>
          <w:szCs w:val="26"/>
        </w:rPr>
        <w:t xml:space="preserve"> iesaistīto personu tiesības un pienākumus. Sekojoši mehānisma ieviešanai </w:t>
      </w:r>
      <w:r>
        <w:rPr>
          <w:szCs w:val="26"/>
        </w:rPr>
        <w:t xml:space="preserve">būtu </w:t>
      </w:r>
      <w:r w:rsidRPr="00C729E7">
        <w:rPr>
          <w:szCs w:val="26"/>
        </w:rPr>
        <w:t xml:space="preserve">izstrādājami </w:t>
      </w:r>
      <w:r>
        <w:rPr>
          <w:szCs w:val="26"/>
        </w:rPr>
        <w:t>MK</w:t>
      </w:r>
      <w:r w:rsidRPr="00C729E7">
        <w:rPr>
          <w:szCs w:val="26"/>
        </w:rPr>
        <w:t xml:space="preserve"> noteikumi, kas citastarp detalizēti noteiktu kārtību, kādā īstenojams zaļo sertifikātu atbalsta mehānisms.</w:t>
      </w:r>
    </w:p>
    <w:p w14:paraId="514FC62C" w14:textId="77777777" w:rsidR="00EE1CF5" w:rsidRPr="00C729E7" w:rsidRDefault="00EE1CF5" w:rsidP="00EE1CF5">
      <w:pPr>
        <w:spacing w:before="120"/>
        <w:ind w:firstLine="720"/>
        <w:rPr>
          <w:szCs w:val="26"/>
        </w:rPr>
      </w:pPr>
      <w:r w:rsidRPr="00C729E7">
        <w:rPr>
          <w:szCs w:val="26"/>
        </w:rPr>
        <w:t>Ja tik</w:t>
      </w:r>
      <w:r>
        <w:rPr>
          <w:szCs w:val="26"/>
        </w:rPr>
        <w:t>tu</w:t>
      </w:r>
      <w:r w:rsidRPr="00C729E7">
        <w:rPr>
          <w:szCs w:val="26"/>
        </w:rPr>
        <w:t xml:space="preserve"> saglabātas esošās tiesības pārdot elektroenerģiju obligātā iepirkuma ietvaros, kā arī elektroenerģijas iepirkuma cena nerad</w:t>
      </w:r>
      <w:r>
        <w:rPr>
          <w:szCs w:val="26"/>
        </w:rPr>
        <w:t>ītu</w:t>
      </w:r>
      <w:r w:rsidRPr="00C729E7">
        <w:rPr>
          <w:szCs w:val="26"/>
        </w:rPr>
        <w:t xml:space="preserve"> riskus, ka ražotājs kļūs maksātnespējīgs, tad n</w:t>
      </w:r>
      <w:r>
        <w:rPr>
          <w:szCs w:val="26"/>
        </w:rPr>
        <w:t>ebūtu</w:t>
      </w:r>
      <w:r w:rsidRPr="00C729E7">
        <w:rPr>
          <w:szCs w:val="26"/>
        </w:rPr>
        <w:t xml:space="preserve"> konstatējami paaugstināti tiesvedību riski. Vienlaikus minētais </w:t>
      </w:r>
      <w:r>
        <w:rPr>
          <w:szCs w:val="26"/>
        </w:rPr>
        <w:t>būtu</w:t>
      </w:r>
      <w:r w:rsidRPr="00C729E7">
        <w:rPr>
          <w:szCs w:val="26"/>
        </w:rPr>
        <w:t xml:space="preserve"> atkarīgs no </w:t>
      </w:r>
      <w:r>
        <w:rPr>
          <w:szCs w:val="26"/>
        </w:rPr>
        <w:t>šī</w:t>
      </w:r>
      <w:r w:rsidRPr="00C729E7">
        <w:rPr>
          <w:szCs w:val="26"/>
        </w:rPr>
        <w:t xml:space="preserve"> instrumenta ieviešanas veida. </w:t>
      </w:r>
    </w:p>
    <w:p w14:paraId="7C7253FB" w14:textId="77777777" w:rsidR="00EE1CF5" w:rsidRDefault="00EE1CF5" w:rsidP="00EE1CF5">
      <w:pPr>
        <w:spacing w:before="120"/>
        <w:ind w:firstLine="851"/>
        <w:rPr>
          <w:rFonts w:eastAsia="Times New Roman" w:cs="Times New Roman"/>
          <w:szCs w:val="26"/>
        </w:rPr>
      </w:pPr>
      <w:r w:rsidRPr="00C729E7">
        <w:rPr>
          <w:szCs w:val="26"/>
        </w:rPr>
        <w:t>Rodot risinājumu, lai OI mehānismā strādājošie ražotāji var</w:t>
      </w:r>
      <w:r>
        <w:rPr>
          <w:szCs w:val="26"/>
        </w:rPr>
        <w:t>ētu</w:t>
      </w:r>
      <w:r w:rsidRPr="00C729E7">
        <w:rPr>
          <w:szCs w:val="26"/>
        </w:rPr>
        <w:t xml:space="preserve"> turpināt strādāt elektroenerģijas ražošanas jomā, tik</w:t>
      </w:r>
      <w:r>
        <w:rPr>
          <w:szCs w:val="26"/>
        </w:rPr>
        <w:t>tu</w:t>
      </w:r>
      <w:r w:rsidRPr="00C729E7">
        <w:rPr>
          <w:szCs w:val="26"/>
        </w:rPr>
        <w:t xml:space="preserve"> samazināts risks nesasniegt Latvijai juridiski saistošā AER 40% mērķa izpildi</w:t>
      </w:r>
      <w:r w:rsidRPr="00C729E7">
        <w:rPr>
          <w:rFonts w:eastAsia="Times New Roman" w:cs="Times New Roman"/>
          <w:szCs w:val="26"/>
        </w:rPr>
        <w:t>.</w:t>
      </w:r>
    </w:p>
    <w:p w14:paraId="490CC7C2" w14:textId="77777777" w:rsidR="00EE1CF5" w:rsidRDefault="00EE1CF5" w:rsidP="00EE1CF5">
      <w:pPr>
        <w:spacing w:before="120"/>
        <w:ind w:firstLine="851"/>
      </w:pPr>
      <w:r>
        <w:lastRenderedPageBreak/>
        <w:t>Attiecībā uz dabasgāzes koģenerācijas staciju turpmāko atbalstu pēc zaļo sertifikātu sistēmas ieviešanas, jānorāda, ka pašlaik pilnībā nav iespējams prognozēt atlikušo saistību apjomu iepretim dabasgāzes koģenerācijas stacijām, līdz ar to par attiecībā uz šo valsts saistību izpildi lēmums par piemērotāko risinājumu būtu nepieciešams pieņemt pēc citu šajā konceptuālajā ziņojumā minēto pasākumu īstenošanas. Pašreizējās prognozes liecina, ka šim staciju tipam paredzams ievērojams atbalsta intensitātes samazinājums.</w:t>
      </w:r>
    </w:p>
    <w:p w14:paraId="0A5835D2" w14:textId="77777777" w:rsidR="00EE1CF5" w:rsidRDefault="00EE1CF5" w:rsidP="00EE1CF5">
      <w:pPr>
        <w:spacing w:before="120"/>
        <w:ind w:firstLine="851"/>
      </w:pPr>
    </w:p>
    <w:p w14:paraId="751572AE" w14:textId="77777777" w:rsidR="00EE1CF5" w:rsidRDefault="00EE1CF5" w:rsidP="00EE1CF5">
      <w:pPr>
        <w:pStyle w:val="11apaknodaa"/>
        <w:spacing w:before="240" w:after="120"/>
        <w:rPr>
          <w:i/>
        </w:rPr>
      </w:pPr>
      <w:bookmarkStart w:id="147" w:name="_Toc256000066"/>
      <w:bookmarkStart w:id="148" w:name="_Toc528585671"/>
      <w:bookmarkStart w:id="149" w:name="_Toc531798584"/>
      <w:bookmarkStart w:id="150" w:name="_Toc256000035"/>
      <w:bookmarkStart w:id="151" w:name="_Toc523492931"/>
      <w:r>
        <w:t>4.8.</w:t>
      </w:r>
      <w:r>
        <w:tab/>
        <w:t xml:space="preserve">Pāreja uz </w:t>
      </w:r>
      <w:r w:rsidRPr="0019491E">
        <w:t>piemaksas noteikšanu virs elektroenerģijas tirgus cenas</w:t>
      </w:r>
      <w:bookmarkEnd w:id="147"/>
      <w:bookmarkEnd w:id="148"/>
      <w:bookmarkEnd w:id="149"/>
      <w:r w:rsidRPr="0019491E">
        <w:rPr>
          <w:i/>
        </w:rPr>
        <w:t xml:space="preserve"> </w:t>
      </w:r>
      <w:bookmarkEnd w:id="150"/>
      <w:bookmarkEnd w:id="151"/>
      <w:r>
        <w:rPr>
          <w:i/>
        </w:rPr>
        <w:br/>
      </w:r>
    </w:p>
    <w:p w14:paraId="52DD82A8" w14:textId="77777777" w:rsidR="00EE1CF5" w:rsidRPr="0019491E" w:rsidRDefault="00EE1CF5" w:rsidP="00EE1CF5">
      <w:pPr>
        <w:spacing w:before="120"/>
        <w:ind w:firstLine="720"/>
        <w:rPr>
          <w:szCs w:val="26"/>
        </w:rPr>
      </w:pPr>
      <w:r w:rsidRPr="0019491E">
        <w:rPr>
          <w:szCs w:val="26"/>
        </w:rPr>
        <w:t>Cits uz tirgus principiem, lielākā mērā nekā OI</w:t>
      </w:r>
      <w:r>
        <w:rPr>
          <w:szCs w:val="26"/>
        </w:rPr>
        <w:t xml:space="preserve"> mehānisms</w:t>
      </w:r>
      <w:r w:rsidRPr="0019491E">
        <w:rPr>
          <w:szCs w:val="26"/>
        </w:rPr>
        <w:t xml:space="preserve">, balstīts atbalsta mehānisms, lai veicinātu elektroenerģijas ražošanu no atjaunojamiem energoresursiem, ir piemaksa virs elektroenerģijas tirgus cenas, kas pasaulē zināms kā </w:t>
      </w:r>
      <w:r w:rsidRPr="0019491E">
        <w:rPr>
          <w:i/>
          <w:szCs w:val="26"/>
        </w:rPr>
        <w:t>feed-in premium</w:t>
      </w:r>
      <w:r w:rsidRPr="0019491E">
        <w:rPr>
          <w:szCs w:val="26"/>
        </w:rPr>
        <w:t xml:space="preserve"> mehānisms.</w:t>
      </w:r>
      <w:r w:rsidRPr="00C149C8">
        <w:rPr>
          <w:szCs w:val="26"/>
        </w:rPr>
        <w:t xml:space="preserve"> </w:t>
      </w:r>
      <w:r>
        <w:rPr>
          <w:szCs w:val="26"/>
        </w:rPr>
        <w:t>Atkarībā no plānoto izmaiņu ietekmes uz stacijām tās var skart gan komersantu īpašumtiesības, gan tiesiskā paļāvība. Īpašumtiesības var tikt skartas gadījumos, ja ar plānotajām izmaiņām var tikt apdraudēta tādu stacijas ienākumu nodrošināšana, lai tās turpinātu pastāvēt. Savukārt tiesiskā paļāvība var tikt skarta gadījumos, ja netiek nodrošināts saprātīgs pārejas periods jaunā regulējuma ieviešanai, sniedzot iespēju komersantiem pārkārtot saimniecisko darbību.</w:t>
      </w:r>
    </w:p>
    <w:p w14:paraId="16EA5434" w14:textId="77777777" w:rsidR="00EE1CF5" w:rsidRPr="0019491E" w:rsidRDefault="00EE1CF5" w:rsidP="00EE1CF5">
      <w:pPr>
        <w:spacing w:before="120"/>
        <w:ind w:firstLine="720"/>
        <w:rPr>
          <w:szCs w:val="26"/>
        </w:rPr>
      </w:pPr>
      <w:r w:rsidRPr="0019491E">
        <w:rPr>
          <w:szCs w:val="26"/>
        </w:rPr>
        <w:t>FIP atbalsta mehānismā izmaksājamais atbalsts var būt gan fiksēts, gan mainīgs</w:t>
      </w:r>
      <w:r>
        <w:rPr>
          <w:szCs w:val="26"/>
        </w:rPr>
        <w:t xml:space="preserve"> </w:t>
      </w:r>
      <w:r w:rsidRPr="0019491E">
        <w:rPr>
          <w:szCs w:val="26"/>
        </w:rPr>
        <w:t xml:space="preserve">un šo atbalstu piemaksā par katru elektroenerģijas brīvajā tirgū pārdoto elektroenerģijas vienību. Lai labāk atspoguļotu faktiskās projekta izmaksas, piemaksas līmeni virs tirgus cenas var diferencēt pēc tehnoloģiju un resursu veida, jaudas, elektrostacijas atrašanās vietas un citiem faktoriem. Pārejot uz FIP atbalsta mehānismu, ražotājs būtu tiesīgs pārdot elektroenerģiju vairumtirgū, nezaudējot tiesības uz valsts atbalstu. </w:t>
      </w:r>
      <w:r>
        <w:rPr>
          <w:szCs w:val="26"/>
        </w:rPr>
        <w:t xml:space="preserve">Tādējādi nebūtu nepieciešama arī atsevišķa institūcija, kas nodrošinātu elektroenerģijas tirgošanu (publiskais tirgotājs). </w:t>
      </w:r>
    </w:p>
    <w:p w14:paraId="36AD1B52" w14:textId="77777777" w:rsidR="00EE1CF5" w:rsidRDefault="00EE1CF5" w:rsidP="00EE1CF5">
      <w:pPr>
        <w:spacing w:before="120"/>
        <w:ind w:firstLine="720"/>
        <w:rPr>
          <w:szCs w:val="26"/>
        </w:rPr>
      </w:pPr>
      <w:r w:rsidRPr="000F50BD">
        <w:rPr>
          <w:szCs w:val="26"/>
        </w:rPr>
        <w:t>Nosakot fiksētu piemaksu (</w:t>
      </w:r>
      <w:r>
        <w:rPr>
          <w:szCs w:val="26"/>
        </w:rPr>
        <w:t>17</w:t>
      </w:r>
      <w:r w:rsidRPr="000F50BD">
        <w:rPr>
          <w:szCs w:val="26"/>
        </w:rPr>
        <w:t>.attēls), var uzskatīt, ka šāda veida politika stimulē elektroenerģijas ražošanu brīžos, kad tā visvairāk ir nepieciešama, respektīvi, kad elektroenerģijas tirgus cenas ir augstākas. Tādējādi tiek nodrošināti augstāki ieņēmumi tiem ražotājiem, kuru ražošanas grafiks visvairāk atbilst elektroenerģijas pieprasījumam, vai kuri spēj tam pielāgoties.</w:t>
      </w:r>
    </w:p>
    <w:p w14:paraId="29FDD6C2" w14:textId="77777777" w:rsidR="00EE1CF5" w:rsidRPr="000F50BD" w:rsidRDefault="00EE1CF5" w:rsidP="00EE1CF5">
      <w:pPr>
        <w:spacing w:before="120"/>
        <w:jc w:val="right"/>
        <w:rPr>
          <w:i/>
          <w:szCs w:val="26"/>
        </w:rPr>
      </w:pPr>
      <w:r>
        <w:rPr>
          <w:i/>
          <w:sz w:val="24"/>
          <w:szCs w:val="26"/>
        </w:rPr>
        <w:t>17</w:t>
      </w:r>
      <w:r w:rsidRPr="000F50BD">
        <w:rPr>
          <w:i/>
          <w:sz w:val="24"/>
          <w:szCs w:val="26"/>
        </w:rPr>
        <w:t>.attēls</w:t>
      </w:r>
    </w:p>
    <w:p w14:paraId="0A248C46" w14:textId="77777777" w:rsidR="00EE1CF5" w:rsidRDefault="00EE1CF5" w:rsidP="00EE1CF5">
      <w:pPr>
        <w:spacing w:before="120"/>
        <w:ind w:firstLine="720"/>
        <w:jc w:val="center"/>
        <w:rPr>
          <w:szCs w:val="26"/>
        </w:rPr>
      </w:pPr>
      <w:r w:rsidRPr="00743EA0">
        <w:rPr>
          <w:noProof/>
          <w:szCs w:val="26"/>
        </w:rPr>
        <w:drawing>
          <wp:inline distT="0" distB="0" distL="0" distR="0" wp14:anchorId="3B3E0578" wp14:editId="5564AD53">
            <wp:extent cx="3551289" cy="1430397"/>
            <wp:effectExtent l="0" t="0" r="0" b="0"/>
            <wp:docPr id="836125039" name="Chart 1">
              <a:extLst xmlns:a="http://schemas.openxmlformats.org/drawingml/2006/main">
                <a:ext uri="{FF2B5EF4-FFF2-40B4-BE49-F238E27FC236}">
                  <a16:creationId xmlns:a16="http://schemas.microsoft.com/office/drawing/2014/main" id="{EF1057B0-1AD2-4575-B943-9BD6E9330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260AF5" w14:textId="77777777" w:rsidR="00EE1CF5" w:rsidRPr="00743EA0" w:rsidRDefault="00EE1CF5" w:rsidP="00EE1CF5">
      <w:pPr>
        <w:spacing w:before="120"/>
        <w:ind w:firstLine="720"/>
        <w:jc w:val="center"/>
        <w:rPr>
          <w:b/>
          <w:sz w:val="24"/>
          <w:szCs w:val="26"/>
        </w:rPr>
      </w:pPr>
      <w:r w:rsidRPr="00743EA0">
        <w:rPr>
          <w:b/>
          <w:sz w:val="24"/>
          <w:szCs w:val="26"/>
        </w:rPr>
        <w:t>Fiksētas piemaksas modelis</w:t>
      </w:r>
    </w:p>
    <w:p w14:paraId="497F3551" w14:textId="77777777" w:rsidR="00EE1CF5" w:rsidRPr="0019491E" w:rsidRDefault="00EE1CF5" w:rsidP="00EE1CF5">
      <w:pPr>
        <w:spacing w:before="120"/>
        <w:ind w:firstLine="720"/>
        <w:rPr>
          <w:szCs w:val="26"/>
        </w:rPr>
      </w:pPr>
    </w:p>
    <w:p w14:paraId="302D35E0" w14:textId="77777777" w:rsidR="00EE1CF5" w:rsidRDefault="00EE1CF5" w:rsidP="00EE1CF5">
      <w:pPr>
        <w:spacing w:before="120"/>
        <w:ind w:firstLine="720"/>
        <w:rPr>
          <w:szCs w:val="26"/>
        </w:rPr>
      </w:pPr>
      <w:r w:rsidRPr="0019491E">
        <w:rPr>
          <w:szCs w:val="26"/>
        </w:rPr>
        <w:lastRenderedPageBreak/>
        <w:t xml:space="preserve">Ilgā periodā saglabājoties augstām elektroenerģijas tirgus cenām, potenciāli var veidoties situācija, kurā kopējās atbalsta politikas izmaksas kļūst nesamērīgas un ir nepieciešams veikt korekcijas. Papildus tam, fiksēta piemaksa negarantē pietiekamus ieņēmumus ražotājiem, kad elektroenerģijas cenas tirgū ir zemas, kas ilgākā periodā var novest līdz negatīvai finanšu plūsmai. Reaģējot uz potenciālajām problēmām, kas var rasties fiksētu piemaksu </w:t>
      </w:r>
      <w:r w:rsidRPr="000F50BD">
        <w:rPr>
          <w:szCs w:val="26"/>
        </w:rPr>
        <w:t>atbalsta mehānismos, ir radušās tā saucamās slīdošo piemaksu sistēmas (</w:t>
      </w:r>
      <w:r w:rsidRPr="000F50BD">
        <w:rPr>
          <w:i/>
          <w:szCs w:val="26"/>
        </w:rPr>
        <w:t xml:space="preserve">sliding feed-in premium) </w:t>
      </w:r>
      <w:r w:rsidRPr="000F50BD">
        <w:rPr>
          <w:szCs w:val="26"/>
        </w:rPr>
        <w:t>(</w:t>
      </w:r>
      <w:r>
        <w:rPr>
          <w:szCs w:val="26"/>
        </w:rPr>
        <w:t>18</w:t>
      </w:r>
      <w:r w:rsidRPr="000F50BD">
        <w:rPr>
          <w:szCs w:val="26"/>
        </w:rPr>
        <w:t>.attēls)</w:t>
      </w:r>
      <w:r w:rsidRPr="000F50BD">
        <w:rPr>
          <w:i/>
          <w:szCs w:val="26"/>
        </w:rPr>
        <w:t xml:space="preserve">, </w:t>
      </w:r>
      <w:r w:rsidRPr="000F50BD">
        <w:rPr>
          <w:szCs w:val="26"/>
        </w:rPr>
        <w:t>kas ļauj prēmiju maksājumiem mainīties atkarībā no</w:t>
      </w:r>
      <w:r w:rsidRPr="000F50BD">
        <w:t xml:space="preserve"> </w:t>
      </w:r>
      <w:r w:rsidRPr="000F50BD">
        <w:rPr>
          <w:szCs w:val="26"/>
        </w:rPr>
        <w:t>elektroenerģijas tirgus cenas. Tāpat iespējams noteikt maksimālo un minimālo robežu kopējiem ieņēmumiem par saražotās elektroenerģijas vienību, tādējādi nodrošinot gan samērīgu atbalstu, gan garantējot minimālos ieņēmumus ražotājiem (</w:t>
      </w:r>
      <w:r>
        <w:rPr>
          <w:szCs w:val="26"/>
        </w:rPr>
        <w:t>19</w:t>
      </w:r>
      <w:r w:rsidRPr="000F50BD">
        <w:rPr>
          <w:szCs w:val="26"/>
        </w:rPr>
        <w:t>.attēls).</w:t>
      </w:r>
      <w:r w:rsidRPr="0019491E">
        <w:rPr>
          <w:szCs w:val="26"/>
        </w:rPr>
        <w:t xml:space="preserve"> </w:t>
      </w:r>
    </w:p>
    <w:p w14:paraId="517896DC" w14:textId="77777777" w:rsidR="00EE1CF5" w:rsidRPr="000F50BD" w:rsidRDefault="00EE1CF5" w:rsidP="00EE1CF5">
      <w:pPr>
        <w:keepNext/>
        <w:keepLines/>
        <w:spacing w:before="120"/>
        <w:ind w:firstLine="720"/>
        <w:jc w:val="right"/>
        <w:rPr>
          <w:i/>
          <w:szCs w:val="26"/>
        </w:rPr>
      </w:pPr>
      <w:r>
        <w:rPr>
          <w:i/>
          <w:szCs w:val="26"/>
        </w:rPr>
        <w:t>18</w:t>
      </w:r>
      <w:r w:rsidRPr="000F50BD">
        <w:rPr>
          <w:i/>
          <w:szCs w:val="26"/>
        </w:rPr>
        <w:t>.attēls</w:t>
      </w:r>
    </w:p>
    <w:p w14:paraId="1A405083" w14:textId="77777777" w:rsidR="00EE1CF5" w:rsidRDefault="00EE1CF5" w:rsidP="00EE1CF5">
      <w:pPr>
        <w:keepNext/>
        <w:keepLines/>
        <w:spacing w:before="120"/>
        <w:ind w:firstLine="720"/>
        <w:jc w:val="center"/>
        <w:rPr>
          <w:szCs w:val="26"/>
        </w:rPr>
      </w:pPr>
      <w:r w:rsidRPr="00743EA0">
        <w:rPr>
          <w:noProof/>
          <w:szCs w:val="26"/>
        </w:rPr>
        <w:drawing>
          <wp:inline distT="0" distB="0" distL="0" distR="0" wp14:anchorId="125A361A" wp14:editId="29DA3AF8">
            <wp:extent cx="3548397" cy="1600708"/>
            <wp:effectExtent l="0" t="0" r="0" b="0"/>
            <wp:docPr id="1323198704" name="Chart 4">
              <a:extLst xmlns:a="http://schemas.openxmlformats.org/drawingml/2006/main">
                <a:ext uri="{FF2B5EF4-FFF2-40B4-BE49-F238E27FC236}">
                  <a16:creationId xmlns:a16="http://schemas.microsoft.com/office/drawing/2014/main" id="{B72C0E4B-9D82-456E-AC6A-BB82BA0BC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5D7C38" w14:textId="77777777" w:rsidR="00EE1CF5" w:rsidRPr="00F7276B" w:rsidRDefault="00EE1CF5" w:rsidP="00EE1CF5">
      <w:pPr>
        <w:spacing w:before="120"/>
        <w:ind w:firstLine="720"/>
        <w:jc w:val="center"/>
        <w:rPr>
          <w:b/>
          <w:sz w:val="24"/>
          <w:szCs w:val="26"/>
        </w:rPr>
      </w:pPr>
      <w:r>
        <w:rPr>
          <w:b/>
          <w:sz w:val="24"/>
          <w:szCs w:val="26"/>
        </w:rPr>
        <w:t>Slīdošās piemaksas modelis</w:t>
      </w:r>
    </w:p>
    <w:p w14:paraId="0D7346E4" w14:textId="77777777" w:rsidR="00EE1CF5" w:rsidRPr="000F50BD" w:rsidRDefault="00EE1CF5" w:rsidP="00EE1CF5">
      <w:pPr>
        <w:spacing w:before="120"/>
        <w:ind w:firstLine="720"/>
        <w:jc w:val="right"/>
        <w:rPr>
          <w:i/>
          <w:szCs w:val="26"/>
        </w:rPr>
      </w:pPr>
      <w:r>
        <w:rPr>
          <w:i/>
          <w:szCs w:val="26"/>
        </w:rPr>
        <w:t>19</w:t>
      </w:r>
      <w:r w:rsidRPr="000F50BD">
        <w:rPr>
          <w:i/>
          <w:szCs w:val="26"/>
        </w:rPr>
        <w:t>.attēls</w:t>
      </w:r>
    </w:p>
    <w:p w14:paraId="1A734470" w14:textId="77777777" w:rsidR="00EE1CF5" w:rsidRDefault="00EE1CF5" w:rsidP="00EE1CF5">
      <w:pPr>
        <w:spacing w:before="120"/>
        <w:ind w:firstLine="720"/>
        <w:jc w:val="center"/>
        <w:rPr>
          <w:szCs w:val="26"/>
        </w:rPr>
      </w:pPr>
      <w:r w:rsidRPr="001C2BEF">
        <w:rPr>
          <w:noProof/>
          <w:szCs w:val="26"/>
        </w:rPr>
        <mc:AlternateContent>
          <mc:Choice Requires="wps">
            <w:drawing>
              <wp:anchor distT="0" distB="0" distL="114300" distR="114300" simplePos="0" relativeHeight="251659264" behindDoc="0" locked="0" layoutInCell="1" allowOverlap="1" wp14:anchorId="3415066C" wp14:editId="25A43E45">
                <wp:simplePos x="0" y="0"/>
                <wp:positionH relativeFrom="column">
                  <wp:posOffset>1447800</wp:posOffset>
                </wp:positionH>
                <wp:positionV relativeFrom="paragraph">
                  <wp:posOffset>767004</wp:posOffset>
                </wp:positionV>
                <wp:extent cx="3273425" cy="0"/>
                <wp:effectExtent l="0" t="0" r="0" b="0"/>
                <wp:wrapNone/>
                <wp:docPr id="1148924821" name="Straight Connector 3"/>
                <wp:cNvGraphicFramePr/>
                <a:graphic xmlns:a="http://schemas.openxmlformats.org/drawingml/2006/main">
                  <a:graphicData uri="http://schemas.microsoft.com/office/word/2010/wordprocessingShape">
                    <wps:wsp>
                      <wps:cNvCnPr/>
                      <wps:spPr>
                        <a:xfrm>
                          <a:off x="0" y="0"/>
                          <a:ext cx="3273425" cy="0"/>
                        </a:xfrm>
                        <a:prstGeom prst="line">
                          <a:avLst/>
                        </a:prstGeom>
                        <a:ln w="19050">
                          <a:solidFill>
                            <a:schemeClr val="accent5"/>
                          </a:solidFill>
                          <a:prstDash val="dash"/>
                          <a:round/>
                          <a:headEnd/>
                          <a:tailEn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AC4F1B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4pt,60.4pt" to="371.7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" strokecolor="#5b9bd5 [3208]" strokeweight="1.5pt">
                <v:stroke dashstyle="dash"/>
              </v:line>
            </w:pict>
          </mc:Fallback>
        </mc:AlternateContent>
      </w:r>
      <w:r w:rsidRPr="001C2BEF">
        <w:rPr>
          <w:noProof/>
          <w:szCs w:val="26"/>
        </w:rPr>
        <w:drawing>
          <wp:inline distT="0" distB="0" distL="0" distR="0" wp14:anchorId="28F59929" wp14:editId="7101874B">
            <wp:extent cx="3551290" cy="1426751"/>
            <wp:effectExtent l="0" t="0" r="0" b="2540"/>
            <wp:docPr id="1074482433" name="Chart 7">
              <a:extLst xmlns:a="http://schemas.openxmlformats.org/drawingml/2006/main">
                <a:ext uri="{FF2B5EF4-FFF2-40B4-BE49-F238E27FC236}">
                  <a16:creationId xmlns:a16="http://schemas.microsoft.com/office/drawing/2014/main" id="{1F9EFD30-B916-4A2F-9344-C43B5B310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szCs w:val="26"/>
        </w:rPr>
        <w:tab/>
      </w:r>
    </w:p>
    <w:p w14:paraId="53154B96" w14:textId="77777777" w:rsidR="00EE1CF5" w:rsidRPr="00743EA0" w:rsidRDefault="00EE1CF5" w:rsidP="00EE1CF5">
      <w:pPr>
        <w:spacing w:before="120"/>
        <w:ind w:firstLine="720"/>
        <w:jc w:val="center"/>
        <w:rPr>
          <w:b/>
          <w:sz w:val="24"/>
          <w:szCs w:val="26"/>
        </w:rPr>
      </w:pPr>
      <w:r>
        <w:rPr>
          <w:b/>
          <w:sz w:val="24"/>
          <w:szCs w:val="26"/>
        </w:rPr>
        <w:t>P</w:t>
      </w:r>
      <w:r w:rsidRPr="00743EA0">
        <w:rPr>
          <w:b/>
          <w:sz w:val="24"/>
          <w:szCs w:val="26"/>
        </w:rPr>
        <w:t>iemaksas modelis</w:t>
      </w:r>
      <w:r>
        <w:rPr>
          <w:b/>
          <w:sz w:val="24"/>
          <w:szCs w:val="26"/>
        </w:rPr>
        <w:t xml:space="preserve"> ar papildu ierobežojumiem</w:t>
      </w:r>
    </w:p>
    <w:p w14:paraId="73019D98" w14:textId="77777777" w:rsidR="00EE1CF5" w:rsidRPr="0019491E" w:rsidRDefault="00EE1CF5" w:rsidP="00EE1CF5">
      <w:pPr>
        <w:spacing w:before="120"/>
        <w:ind w:firstLine="720"/>
        <w:jc w:val="center"/>
        <w:rPr>
          <w:szCs w:val="26"/>
        </w:rPr>
      </w:pPr>
    </w:p>
    <w:p w14:paraId="2007C3D6" w14:textId="77777777" w:rsidR="00EE1CF5" w:rsidRDefault="00EE1CF5" w:rsidP="00EE1CF5">
      <w:pPr>
        <w:spacing w:before="120"/>
        <w:ind w:firstLine="720"/>
        <w:rPr>
          <w:szCs w:val="26"/>
        </w:rPr>
      </w:pPr>
      <w:r w:rsidRPr="0019491E">
        <w:rPr>
          <w:szCs w:val="26"/>
        </w:rPr>
        <w:t xml:space="preserve">Lielākie sarežģījumi, kas saistās ar pāreju no pašreiz Latvijā pastāvošās fiksētās elektroenerģijas iepirkuma cenas sistēmas uz piemaksu pie elektroenerģijas tirgus cenas, ir piemaksas apmēra noteikšana. </w:t>
      </w:r>
    </w:p>
    <w:p w14:paraId="64F0A6B5" w14:textId="77777777" w:rsidR="00EE1CF5" w:rsidRPr="004C456D" w:rsidRDefault="00EE1CF5" w:rsidP="00EE1CF5">
      <w:pPr>
        <w:spacing w:before="120"/>
        <w:ind w:firstLine="720"/>
        <w:rPr>
          <w:szCs w:val="26"/>
        </w:rPr>
      </w:pPr>
      <w:r w:rsidRPr="004C456D">
        <w:rPr>
          <w:szCs w:val="26"/>
        </w:rPr>
        <w:t xml:space="preserve">Lai mazinātu fiskālos riskus, kas saistās ar OIK dotācijas nepieciešamību un nodrošinātu OI mehānisma izmaksu prognozējamību, piemērotākais piemaksas modelis, ko ieviest Latvijā, būtu fiksētās piemaksas modelis ar papildu ierobežojumiem. Ņemot vērā, ka šobrīd </w:t>
      </w:r>
      <w:r>
        <w:rPr>
          <w:szCs w:val="26"/>
        </w:rPr>
        <w:t>EM</w:t>
      </w:r>
      <w:r w:rsidRPr="004C456D">
        <w:rPr>
          <w:szCs w:val="26"/>
        </w:rPr>
        <w:t xml:space="preserve"> rīcībā nav tāda pētījuma, kas sniegtu informāciju par atbilstošām piemaksām virs elektroenerģijas tirgus cenas Latvijā uzstādītajām elektrostacijām, piemaksas apmērs būtu nosakāms, balstoties uz vēsturiskajiem datiem. Objektīvi to būt iespējams noteikt, fiksējot faktisko un prognozēto elektroenerģijas 3 gadu vidējo tirgus cenu un atņemot to no MK noteikumos Nr.221 un MK noteikumos Nr.262 noteiktā elektroenerģijas iepirkuma cenas līmeņa attiecīgajām tehnoloģijām. Maksimālā elektroenerģijas tirgus cenas un piemaksas summa nevarētu pārsniegt </w:t>
      </w:r>
      <w:r w:rsidRPr="004C456D">
        <w:rPr>
          <w:szCs w:val="26"/>
        </w:rPr>
        <w:lastRenderedPageBreak/>
        <w:t>pašlaik MK noteikumos noteikto maksimālo elektroenerģijas iepirkuma cenu attiecīgajām tehnoloģijām.</w:t>
      </w:r>
    </w:p>
    <w:p w14:paraId="7F384FE8" w14:textId="77777777" w:rsidR="00EE1CF5" w:rsidRPr="004C456D" w:rsidRDefault="00EE1CF5" w:rsidP="00EE1CF5">
      <w:pPr>
        <w:spacing w:before="120"/>
        <w:ind w:firstLine="720"/>
        <w:rPr>
          <w:szCs w:val="26"/>
        </w:rPr>
      </w:pPr>
      <w:r w:rsidRPr="004C456D">
        <w:rPr>
          <w:szCs w:val="26"/>
        </w:rPr>
        <w:t xml:space="preserve">Vienlaikus </w:t>
      </w:r>
      <w:r>
        <w:rPr>
          <w:szCs w:val="26"/>
        </w:rPr>
        <w:t>VES</w:t>
      </w:r>
      <w:r w:rsidRPr="004C456D">
        <w:rPr>
          <w:szCs w:val="26"/>
        </w:rPr>
        <w:t xml:space="preserve">, ņemot vērā to ierobežotās pašregulācijas un darbības optimizācijas iespējas, būtu piemērojams slīdošās piemaksas modelis, tādējādi sniedzot iespēju pārskatīt piemaksas apmēru atkarībā no situācijas elektroenerģijas tirgū. </w:t>
      </w:r>
    </w:p>
    <w:p w14:paraId="2E5E7589" w14:textId="77777777" w:rsidR="00EE1CF5" w:rsidRPr="0054307E" w:rsidRDefault="00EE1CF5" w:rsidP="00EE1CF5">
      <w:pPr>
        <w:spacing w:before="120"/>
        <w:ind w:firstLine="720"/>
        <w:rPr>
          <w:szCs w:val="26"/>
        </w:rPr>
      </w:pPr>
      <w:r w:rsidRPr="004C456D">
        <w:rPr>
          <w:szCs w:val="26"/>
        </w:rPr>
        <w:t xml:space="preserve">Piemaksas noteikšana saistās ar MK noteikumos Nr.221 un Nr.262 noteikto formulu pārskatīšanu, ko </w:t>
      </w:r>
      <w:r>
        <w:rPr>
          <w:szCs w:val="26"/>
        </w:rPr>
        <w:t>EM</w:t>
      </w:r>
      <w:r w:rsidRPr="004C456D">
        <w:rPr>
          <w:szCs w:val="26"/>
        </w:rPr>
        <w:t xml:space="preserve"> var ierosināt saskaņā ar MK noteikumu Nr.221 77.punktu un attiecīgi MK noteikumu Nr.262 102.punktu.</w:t>
      </w:r>
    </w:p>
    <w:p w14:paraId="78CFE527" w14:textId="77777777" w:rsidR="00EE1CF5" w:rsidRPr="0019491E" w:rsidRDefault="00EE1CF5" w:rsidP="00EE1CF5">
      <w:pPr>
        <w:spacing w:before="120"/>
        <w:ind w:firstLine="720"/>
        <w:rPr>
          <w:szCs w:val="26"/>
        </w:rPr>
      </w:pPr>
      <w:r w:rsidRPr="0019491E">
        <w:rPr>
          <w:szCs w:val="26"/>
        </w:rPr>
        <w:t xml:space="preserve">Kā pozitīvais aspekts FIP mehānisma ieviešanai salīdzinājumā ar “zaļo sertifikātu” mehānismu, ir salīdzinoši vienkāršā mehānisma administrēšana, kas neprasītu būtiskas izmaiņas salīdzinājumā ar pašreizējo valsts atbalsta mehānismu. Savukārt kā negatīvais FIP mehānisma aspekts norādāms, tas, ka FIP ieviešama neatceļ OI mehānismu, bet gan pārveido to esošās sistēmas ietvaros. FIP neparedz arī tirgus mehānismus cenas noteikšanai un atbalsts esošajām stacijām turpinās tikt noteikts ar normatīviem aktiem. </w:t>
      </w:r>
      <w:bookmarkStart w:id="152" w:name="_Hlk520712034"/>
      <w:r w:rsidRPr="0019491E">
        <w:rPr>
          <w:szCs w:val="26"/>
        </w:rPr>
        <w:t xml:space="preserve">Ja tiek saglabātas esošās tiesības pārdot elektroenerģiju </w:t>
      </w:r>
      <w:r>
        <w:rPr>
          <w:szCs w:val="26"/>
        </w:rPr>
        <w:t>OI</w:t>
      </w:r>
      <w:r w:rsidRPr="0019491E">
        <w:rPr>
          <w:szCs w:val="26"/>
        </w:rPr>
        <w:t xml:space="preserve"> ietvaros, kā arī elektroenerģijas iepirkuma cena nerada riskus, ka ražotājs kļūs maksātnespējīgs, tad nav konstatējami paaugstināti tiesvedību riski. Vienlaikus minētais ir atkarīgs no minētā instrumenta ieviešanas veida. </w:t>
      </w:r>
      <w:bookmarkEnd w:id="152"/>
    </w:p>
    <w:p w14:paraId="5A9707F2" w14:textId="77777777" w:rsidR="00EE1CF5" w:rsidRDefault="00EE1CF5" w:rsidP="00EE1CF5">
      <w:pPr>
        <w:spacing w:before="120"/>
        <w:ind w:firstLine="720"/>
        <w:rPr>
          <w:szCs w:val="26"/>
        </w:rPr>
      </w:pPr>
      <w:r w:rsidRPr="0019491E">
        <w:rPr>
          <w:szCs w:val="26"/>
        </w:rPr>
        <w:t xml:space="preserve">Jānorāda, ka šis ir visizplatītākais atbalsta mehānisms </w:t>
      </w:r>
      <w:r>
        <w:rPr>
          <w:szCs w:val="26"/>
        </w:rPr>
        <w:t>ES</w:t>
      </w:r>
      <w:r w:rsidRPr="0019491E">
        <w:rPr>
          <w:szCs w:val="26"/>
        </w:rPr>
        <w:t>. Latvijas kaimiņvalstis Lietuva un Igaunija ir izvēlējušās FIP kā risinājumu AER atbalstam, kas tiek piešķirts jaunā</w:t>
      </w:r>
      <w:r>
        <w:rPr>
          <w:szCs w:val="26"/>
        </w:rPr>
        <w:t>m stacijām pēc izsoļu principa.</w:t>
      </w:r>
    </w:p>
    <w:p w14:paraId="6F18B5A3" w14:textId="77777777" w:rsidR="00EE1CF5" w:rsidRPr="00902005" w:rsidRDefault="00EE1CF5" w:rsidP="00EE1CF5">
      <w:pPr>
        <w:spacing w:before="120"/>
        <w:ind w:firstLine="720"/>
        <w:rPr>
          <w:szCs w:val="26"/>
        </w:rPr>
      </w:pPr>
      <w:r w:rsidRPr="00356962">
        <w:rPr>
          <w:szCs w:val="26"/>
        </w:rPr>
        <w:t>Jāatzīmē, ka pāreja no OI uz FIP kā risinājums pirms tā ieviešanas būtu saskaņojams ar EK attiecībā uz atbalsta saderību ar iekšējo tirgu. Saskaņā ar 2014.gada Pamatnostādņu par valsts atbalstu vides aizsardzībai un enerģētikai 109.punktu tādi tirgus instrumenti kā izsoles un konkurenci veicinošas konkursa procedūras, kurās var piedalīties visi ražotāji, kas ražo elektrību no AER un kas vienlīdzīgos apstākļos konkurē EEZ līmenī, nodrošina, ka subsīdijas tiek samazinātas līdz minimumam.</w:t>
      </w:r>
      <w:r>
        <w:rPr>
          <w:szCs w:val="26"/>
        </w:rPr>
        <w:t xml:space="preserve"> </w:t>
      </w:r>
    </w:p>
    <w:p w14:paraId="21FD2F8B" w14:textId="77777777" w:rsidR="00EE1CF5" w:rsidRDefault="00EE1CF5" w:rsidP="00EE1CF5"/>
    <w:p w14:paraId="0915AEC2" w14:textId="77777777" w:rsidR="00EE1CF5" w:rsidRDefault="00EE1CF5" w:rsidP="00EE1CF5">
      <w:pPr>
        <w:jc w:val="left"/>
        <w:rPr>
          <w:b/>
          <w:sz w:val="32"/>
        </w:rPr>
      </w:pPr>
      <w:r>
        <w:br w:type="page"/>
      </w:r>
    </w:p>
    <w:p w14:paraId="1FDDF1FD" w14:textId="77777777" w:rsidR="00EE1CF5" w:rsidRPr="0019491E" w:rsidRDefault="00EE1CF5" w:rsidP="00EE1CF5">
      <w:pPr>
        <w:pStyle w:val="1nodaa"/>
      </w:pPr>
      <w:bookmarkStart w:id="153" w:name="_Toc256000067"/>
      <w:bookmarkStart w:id="154" w:name="_Toc256000036"/>
      <w:bookmarkStart w:id="155" w:name="_Toc523492932"/>
      <w:bookmarkStart w:id="156" w:name="_Toc528585672"/>
      <w:bookmarkStart w:id="157" w:name="_Toc531798585"/>
      <w:r w:rsidRPr="00303E28">
        <w:lastRenderedPageBreak/>
        <w:t>5</w:t>
      </w:r>
      <w:r>
        <w:t>. P</w:t>
      </w:r>
      <w:r w:rsidRPr="00303E28">
        <w:t>asākumi</w:t>
      </w:r>
      <w:r>
        <w:t xml:space="preserve"> OI sistēmas sakārtošanai un uzraudzībai</w:t>
      </w:r>
      <w:bookmarkEnd w:id="153"/>
      <w:bookmarkEnd w:id="154"/>
      <w:bookmarkEnd w:id="155"/>
      <w:bookmarkEnd w:id="156"/>
      <w:bookmarkEnd w:id="157"/>
    </w:p>
    <w:p w14:paraId="20994284" w14:textId="77777777" w:rsidR="00EE1CF5" w:rsidRPr="00303E28" w:rsidRDefault="00EE1CF5" w:rsidP="00EE1CF5">
      <w:pPr>
        <w:pStyle w:val="11apaknodaa"/>
        <w:spacing w:before="240"/>
      </w:pPr>
      <w:bookmarkStart w:id="158" w:name="_Toc256000068"/>
      <w:bookmarkStart w:id="159" w:name="_Toc256000037"/>
      <w:bookmarkStart w:id="160" w:name="_Toc523492933"/>
      <w:bookmarkStart w:id="161" w:name="_Toc528585673"/>
      <w:bookmarkStart w:id="162" w:name="_Toc531798586"/>
      <w:r w:rsidRPr="00303E28">
        <w:t>5.1. AER atbalsta izmaksu disciplīna</w:t>
      </w:r>
      <w:bookmarkEnd w:id="158"/>
      <w:bookmarkEnd w:id="159"/>
      <w:bookmarkEnd w:id="160"/>
      <w:bookmarkEnd w:id="161"/>
      <w:bookmarkEnd w:id="162"/>
    </w:p>
    <w:p w14:paraId="32997FFF" w14:textId="77777777" w:rsidR="00EE1CF5" w:rsidRPr="00902005" w:rsidRDefault="00EE1CF5" w:rsidP="00EE1CF5">
      <w:pPr>
        <w:spacing w:before="120"/>
        <w:ind w:firstLine="720"/>
        <w:rPr>
          <w:rFonts w:cs="Times New Roman"/>
          <w:szCs w:val="26"/>
        </w:rPr>
      </w:pPr>
      <w:r w:rsidRPr="00C729E7">
        <w:rPr>
          <w:szCs w:val="26"/>
        </w:rPr>
        <w:t xml:space="preserve">OI mehānisma izmaksas sabiedrībai 2017. gadā sasniedza ap 1% no IKP, savukārt atbalsts no AER ražotai elektroenerģijai sasniedzis 0,45 % no IKP. Turklāt vēsturiski šīs izmaksas ir bijušas svārstīgas un strauji pieaugošas, kas saistīts ar izsniegto OI </w:t>
      </w:r>
      <w:r w:rsidRPr="00902005">
        <w:rPr>
          <w:szCs w:val="26"/>
        </w:rPr>
        <w:t>atļauju skaitu un atbalsta apjomu.</w:t>
      </w:r>
    </w:p>
    <w:p w14:paraId="45D01C66" w14:textId="77777777" w:rsidR="00EE1CF5" w:rsidRPr="00902005" w:rsidRDefault="00EE1CF5" w:rsidP="00EE1CF5">
      <w:pPr>
        <w:spacing w:before="120"/>
        <w:ind w:firstLine="720"/>
        <w:rPr>
          <w:rFonts w:ascii="Calibri" w:hAnsi="Calibri" w:cs="Calibri"/>
          <w:szCs w:val="26"/>
        </w:rPr>
      </w:pPr>
      <w:r w:rsidRPr="00902005">
        <w:rPr>
          <w:szCs w:val="26"/>
        </w:rPr>
        <w:t>Darba grupas ietvaros tika secināts, ka būtu jānosaka tāds kopējais elektroenerģijas gala lietotāju OI izmaksu apjoms, kam būtu pieņemama ietekme uz tautsaimniecības attīstību un patērētāju izmaksām. Tā rezultātā tika noteikts, ka gan risinot OIK problemātiku, gan ilgtermiņā plānojot AER attīstības politiku ir jānodrošina ar to saistīto izmaksu stabilitāte un paredzamība.</w:t>
      </w:r>
    </w:p>
    <w:p w14:paraId="5BDE48D3" w14:textId="77777777" w:rsidR="00EE1CF5" w:rsidRDefault="00EE1CF5" w:rsidP="00EE1CF5">
      <w:pPr>
        <w:spacing w:before="120"/>
        <w:ind w:firstLine="720"/>
      </w:pPr>
      <w:r>
        <w:t xml:space="preserve">Lai to nodrošinātu, normatīvajos aktos nepieciešams noteikt AER veicināšanas un atbalsta politikas izmaksu disciplīnas principus un nosacījumus. Šādi principi  būtu nosakāmi ar likuma palīdzību. Pamatojoties uz veikto makroekonomisko novērtējumu un elektroenerģijas patērētājus pārstāvošo nozaru organizāciju izvērtējumu, ir secināms, ka sabiedrības izmaksām elektroenerģijas ražošanas veicināšanai, īstenojot nākotnes enerģētikas atbalsta politiku, nevajadzētu pārsniegt 0,3% no IKP. Turklāt nav paredzams, ka turpmāk tiktu piešķirts jauns atbalsts mazajai dabasgāzes koģenerācijai, kas pašlaik sastāda 0,13% no IKP, kā arī tiktu atbalstītas jaunas lielās dabasgāzes koģenerācijas stacijas, kuru atbalsts kopā ar lielāko Latvijas biomasas koģenerācijas staciju 2017.gadā sastādīja 0,42% no IKP. </w:t>
      </w:r>
    </w:p>
    <w:p w14:paraId="799CA356" w14:textId="77777777" w:rsidR="00EE1CF5" w:rsidRDefault="00EE1CF5" w:rsidP="00EE1CF5">
      <w:pPr>
        <w:spacing w:before="120"/>
        <w:ind w:firstLine="720"/>
        <w:rPr>
          <w:color w:val="000000"/>
          <w:szCs w:val="26"/>
        </w:rPr>
      </w:pPr>
      <w:r>
        <w:t xml:space="preserve">Minētais nosacījums attiecībā uz kopējo atbalsta apmēru attiecībā pret IKP būtu iestrādājams nacionālajā likumdošanā, kam vispiemērotākais EM ieskatā būtu jauns Atjaunojamo energoresursu likums, kura mērķis cita starpā būtu noteikt tādus atjaunojamās enerģijas atbalsta politikas principus un nosacījumus, kas sekmē ilgtspējīgu valsts attīstību un makroekonomisko stabilitāti, novēršot negatīvu ietekmju uz tautsaimniecību iespējamību. Līdztekus tam, lai nodrošinātu skaidrību vēl pirms speciālā likuma stāšanās spēkā, EM piedāvā ETL iekļaut normu, kas nosaka, ka ar 2022. gada 1. janvāri </w:t>
      </w:r>
      <w:r w:rsidRPr="00C84870">
        <w:rPr>
          <w:rStyle w:val="normaltextrun"/>
          <w:szCs w:val="26"/>
        </w:rPr>
        <w:t>Latvijas elektroenerģijas galalietotāju kopējās izmaksas valsts atbalsta nodrošināšanai elektroenerģijas ražošanai</w:t>
      </w:r>
      <w:r>
        <w:rPr>
          <w:rStyle w:val="normaltextrun"/>
          <w:szCs w:val="26"/>
        </w:rPr>
        <w:t xml:space="preserve"> no atjaunojamiem energoresursiem</w:t>
      </w:r>
      <w:r w:rsidRPr="00C84870">
        <w:rPr>
          <w:rStyle w:val="normaltextrun"/>
          <w:szCs w:val="26"/>
        </w:rPr>
        <w:t xml:space="preserve">, </w:t>
      </w:r>
      <w:r>
        <w:rPr>
          <w:rStyle w:val="normaltextrun"/>
          <w:szCs w:val="26"/>
        </w:rPr>
        <w:t>kā arī sistēmiski nozīmīgo koģenerācijas elektrostaciju darbībai</w:t>
      </w:r>
      <w:r w:rsidRPr="00C84870">
        <w:rPr>
          <w:rStyle w:val="normaltextrun"/>
          <w:szCs w:val="26"/>
        </w:rPr>
        <w:t>, ik gadu</w:t>
      </w:r>
      <w:r>
        <w:rPr>
          <w:rStyle w:val="normaltextrun"/>
          <w:szCs w:val="26"/>
        </w:rPr>
        <w:t xml:space="preserve"> </w:t>
      </w:r>
      <w:r w:rsidRPr="0071459D">
        <w:rPr>
          <w:bCs/>
        </w:rPr>
        <w:t>nosaka Ministru kabinets</w:t>
      </w:r>
      <w:r>
        <w:rPr>
          <w:bCs/>
        </w:rPr>
        <w:t xml:space="preserve"> un tās</w:t>
      </w:r>
      <w:r w:rsidRPr="00C84870">
        <w:rPr>
          <w:rStyle w:val="normaltextrun"/>
          <w:szCs w:val="26"/>
        </w:rPr>
        <w:t xml:space="preserve"> nepārsniedz 0,3 procentus no </w:t>
      </w:r>
      <w:r w:rsidRPr="00C84870">
        <w:rPr>
          <w:color w:val="000000"/>
          <w:szCs w:val="26"/>
        </w:rPr>
        <w:t xml:space="preserve">iepriekšējā gada </w:t>
      </w:r>
      <w:r>
        <w:rPr>
          <w:color w:val="000000"/>
          <w:szCs w:val="26"/>
        </w:rPr>
        <w:t>IKP</w:t>
      </w:r>
      <w:r w:rsidRPr="00C84870">
        <w:rPr>
          <w:color w:val="000000"/>
          <w:szCs w:val="26"/>
        </w:rPr>
        <w:t xml:space="preserve"> vērtības faktiskajās cenās.</w:t>
      </w:r>
    </w:p>
    <w:p w14:paraId="09330E89" w14:textId="77777777" w:rsidR="00EE1CF5" w:rsidRDefault="00EE1CF5" w:rsidP="00EE1CF5">
      <w:pPr>
        <w:spacing w:before="120"/>
        <w:ind w:firstLine="720"/>
      </w:pPr>
      <w:r>
        <w:rPr>
          <w:color w:val="000000"/>
          <w:szCs w:val="26"/>
        </w:rPr>
        <w:t xml:space="preserve">Saskaņā ar aktuālajām Finanšu ministrijas prognozēm valsts iekšzemes kopprodukts pieaugs no 29,04 mljrd. EUR 2018. gadā līdz 34,44 mljrd. EUR 2021. gadā un 36,30 mljrd. EUR 2022. gadā. Savukārt 4. risinājuma ietvaros prognozētās elektroenerģijas galalietotāju izmaksas 2022. gadā par atbalstu elektroenerģijas ražošanai un sistēmiskām stacijām būs </w:t>
      </w:r>
      <w:r w:rsidRPr="00A12C6D">
        <w:rPr>
          <w:color w:val="000000"/>
          <w:szCs w:val="26"/>
        </w:rPr>
        <w:t>103,00</w:t>
      </w:r>
      <w:r>
        <w:rPr>
          <w:color w:val="000000"/>
          <w:szCs w:val="26"/>
        </w:rPr>
        <w:t xml:space="preserve"> milj. EUR robežās ar lejupejošu tendenci turpmākajos gados, tādējādi iekļaujoties 0,3% no IKP robežās. Līdz ar to šobrīd nav būtisku risku attiecībā uz 0,3% no IKP sliekšņa ievērošanu pēc 2022. gada.  </w:t>
      </w:r>
    </w:p>
    <w:p w14:paraId="06C14DA7" w14:textId="77777777" w:rsidR="00EE1CF5" w:rsidRDefault="00EE1CF5" w:rsidP="00EE1CF5">
      <w:pPr>
        <w:spacing w:before="120"/>
        <w:ind w:firstLine="720"/>
      </w:pPr>
      <w:r>
        <w:t>Secīgi attiecīgais 0,3% no IKP ierobežojums būtu jāņem vērā arī, izstrādājot Nacionālo klimata un enerģētikas plānu 2030.gadam.</w:t>
      </w:r>
    </w:p>
    <w:p w14:paraId="40CCB5C4" w14:textId="77777777" w:rsidR="00EE1CF5" w:rsidRDefault="00EE1CF5" w:rsidP="00EE1CF5">
      <w:pPr>
        <w:spacing w:before="120"/>
        <w:ind w:firstLine="720"/>
      </w:pPr>
    </w:p>
    <w:p w14:paraId="0865FF97" w14:textId="77777777" w:rsidR="00EE1CF5" w:rsidRDefault="00EE1CF5" w:rsidP="00EE1CF5">
      <w:pPr>
        <w:pStyle w:val="11apaknodaa"/>
        <w:spacing w:before="240"/>
      </w:pPr>
      <w:bookmarkStart w:id="163" w:name="_Toc256000069"/>
      <w:bookmarkStart w:id="164" w:name="_Toc256000038"/>
      <w:bookmarkStart w:id="165" w:name="_Toc523492934"/>
      <w:bookmarkStart w:id="166" w:name="_Toc528585674"/>
      <w:bookmarkStart w:id="167" w:name="_Toc531798587"/>
      <w:r w:rsidRPr="00FA6BBC">
        <w:lastRenderedPageBreak/>
        <w:t>5.2. Jaudas maksas administrēšana</w:t>
      </w:r>
      <w:bookmarkEnd w:id="163"/>
      <w:bookmarkEnd w:id="164"/>
      <w:bookmarkEnd w:id="165"/>
      <w:bookmarkEnd w:id="166"/>
      <w:bookmarkEnd w:id="167"/>
      <w:r>
        <w:br/>
      </w:r>
    </w:p>
    <w:p w14:paraId="4C0B0019" w14:textId="77777777" w:rsidR="00EE1CF5" w:rsidRPr="002644F1" w:rsidRDefault="00EE1CF5" w:rsidP="00EE1CF5">
      <w:pPr>
        <w:spacing w:before="120"/>
        <w:ind w:firstLine="720"/>
        <w:rPr>
          <w:szCs w:val="26"/>
        </w:rPr>
      </w:pPr>
      <w:r w:rsidRPr="002644F1">
        <w:rPr>
          <w:szCs w:val="26"/>
        </w:rPr>
        <w:t xml:space="preserve">Šobrīd ETL paredz, ka jaudas jeb garantēto maksu par koģenerācijas stacijā uzstādīto elektrisko jaudu maksā publiskais tirgotājs. Publiskais tirgotājs uzskaita šos veiktos maksājumus koģenerācijas stacijām un izmaksas, ko veido maksājumi par uzstādīto elektrisko jaudu, sedz visi Latvijas elektroenerģijas galalietotāji, un tās tiek sadalītas pa sprieguma un patēriņa līmeņa grupām proporcionāli ieņēmumu fiksētajai daļai no sistēmas pakalpojumiem, kompensējot publiskajam tirgotājam iepirkuma izdevumus. Izmaksu attiecināšanas aprēķina metodiku nosaka </w:t>
      </w:r>
      <w:r>
        <w:rPr>
          <w:szCs w:val="26"/>
        </w:rPr>
        <w:t>SPRK</w:t>
      </w:r>
      <w:r w:rsidRPr="002644F1">
        <w:rPr>
          <w:szCs w:val="26"/>
        </w:rPr>
        <w:t>. Jaudas maksu par uzstādīto elektrisko jaudu saņem koģenerācijas stacijas, kuru uzstādītā jauda pārsniedz 4 megavatus.</w:t>
      </w:r>
    </w:p>
    <w:p w14:paraId="5D0F9A6B" w14:textId="77777777" w:rsidR="00EE1CF5" w:rsidRPr="002644F1" w:rsidRDefault="00EE1CF5" w:rsidP="00EE1CF5">
      <w:pPr>
        <w:spacing w:before="120"/>
        <w:ind w:firstLine="720"/>
        <w:rPr>
          <w:szCs w:val="26"/>
        </w:rPr>
      </w:pPr>
      <w:r w:rsidRPr="002644F1">
        <w:rPr>
          <w:szCs w:val="26"/>
        </w:rPr>
        <w:t xml:space="preserve">Vēsturiski nepieciešamību pēc garantētās maksas par uzstādīto elektroenerģijas ražošanas jaudu noteica apstāklis, ka Latvijas energosistēmā lielāko daļu no elektroenerģijas ražošanas jaudām veido hidroelektrostacijas, kurām pieejamā ūdens pietece gada griezumā ir nepietiekama, lai nodrošinātu iekšzemes pieprasījumu. Ņemot to vērā, Latvija ilgu laiku pietrūkstošās elektroenerģijas jaudas iepirka no kaimiņvalstu Lietuvas un Igaunijas bāzes režīmā strādājošajām elektrostacijām. Vienlaikus, ņemot vērā Ignalinas atomelektrostacijas slēgšanu Lietuvā un degakmens termoelektrostaciju jaudu samazinājumu Igaunijā, kā arī nepieciešamību rekonstruēt Latvijā strādājošo un tehniski novecojušo termoelektrostaciju jaudas, pārvades sistēmas operators AS “Augstsprieguma tīkls” jau 2006.gadā ikgadējā pārskatā norādīja, ka ir vēlams realizēt arī Rīgas TEC-2 rekonstrukcijas projekta otro kārtu, izbūvējot arī otru 400 MW bloku, vai mazākus blokus ar līdzvērtīgu summāro jaudu, vai līdzvērtīgu ģenerējošo avotu Rīgas reģionā. Vienlaikus, ņemot vērā kopējo elektrostaciju būvniecībai nepieciešamo investīciju apjomu, kā arī elektroenerģijas tirgus svārstību risku, tika secināts, ka energoapgādes drošībai nepieciešamos bāzes elektrostaciju būvniecības projektus nav iespējams realizēt tikai uz komerciāliem pamatiem, bez papildus ieņēmumu stabilitāti un prognozējamību garantējošiem atbalsta pasākumiem. </w:t>
      </w:r>
    </w:p>
    <w:p w14:paraId="3AA3E4D2" w14:textId="77777777" w:rsidR="00EE1CF5" w:rsidRPr="002644F1" w:rsidRDefault="00EE1CF5" w:rsidP="00EE1CF5">
      <w:pPr>
        <w:spacing w:before="120"/>
        <w:ind w:firstLine="720"/>
        <w:rPr>
          <w:szCs w:val="26"/>
        </w:rPr>
      </w:pPr>
      <w:r w:rsidRPr="002644F1">
        <w:rPr>
          <w:szCs w:val="26"/>
        </w:rPr>
        <w:t>Arī faktiskā elektroenerģijas apgādes bilances analīze nepārprotami norāda uz to, ka ar jaudas maksājumu atbalstīto elektrostaciju darbība, it īpaši lielas jaudas termoelektrostaciju darbība, ir būtiski nozīmīga, lai novērstu elektroenerģijas apgādes deficītu Latvijā un Baltijas reģionā kopumā situācijās, ja ir nepietiekams pieejamo ūdens resursu apjoms Daugavas hidroelektrostacijās, un ierobežotas iespējas pieprasīto elektroenerģiju iegādāties no kaimiņu reģioniem. Bāzes režīmā strādājošo koģenerācijas elektrostaciju nozīme energosistēmas stabilitātes nodrošināšanā ir īpaši liela tad, ja ierobežotas elektroenerģijas importa iespējas no kaimiņvalstīm saglabājas ilgstoši – vairākas dienas vai pat nedēļas. Ņemot vērā šos apsvērumus, kā arī reģiona elektroenerģijas pārvades sistēmas operatoru un elektroenerģijas ražotāju publiskoto informāciju par paredzamo rīcību ar elektroenerģijas ražošanas jaudu un prognozes par to pieejamību, AS “Augstsprieguma tīkls” arī 2018.gadā publicētajā ikgadējā pārskatā norāda, ka, lai turpmākajā desmitgadē nesamazinātos Latvijas elektroapgādes drošums, svarīgi nodrošināt Latvijas ģenerācijas jaudu nesamazināšanos. Atbilstoši pārvades sistēmas operatora novērtējumam, kā kritiski būtiska Latvijas energoapgādes drošumam nākamajā desmitgadē ir vērtējama elektrostacija Rīgas TEC-2 ar kopējo uzstādīto jaudu 881 MW. Līdzīgi arī TEC-1 ir sistēmiski nozīmīga elektrostacija, kas var tikt izmantota energoapgādes atjaunošanai sistēmisku problēmu gadījumos u.tml.</w:t>
      </w:r>
    </w:p>
    <w:p w14:paraId="3C8E1FFC" w14:textId="77777777" w:rsidR="00EE1CF5" w:rsidRDefault="00EE1CF5" w:rsidP="00EE1CF5">
      <w:pPr>
        <w:spacing w:before="120"/>
        <w:ind w:firstLine="720"/>
        <w:rPr>
          <w:szCs w:val="26"/>
        </w:rPr>
      </w:pPr>
      <w:r w:rsidRPr="002644F1">
        <w:rPr>
          <w:szCs w:val="26"/>
        </w:rPr>
        <w:lastRenderedPageBreak/>
        <w:t xml:space="preserve">Droša, stabila un optimāli funkcionējoša elektroenerģijas pārvades tīkla pieejamības nodrošināšana ir viens no pārvades sistēmas operatora (AS “Augstsprieguma tīkls”) pamatuzdevumiem, kas definēti ETL 13.pantā. Lai šo uzdevumu īstenotu, pārvades sistēmas operators jau šobrīd iepērk nepieciešamās jaudu rezerves, kā arī veic regulāru ražošanas jaudu pietiekamības novērtējumu. Tādējādi no sistemātiskā skatu punkta būtu saprātīgi paredzēt, ka TEC-1 un TEC-2 </w:t>
      </w:r>
      <w:bookmarkStart w:id="168" w:name="_Hlk523218116"/>
      <w:r w:rsidRPr="002644F1">
        <w:rPr>
          <w:szCs w:val="26"/>
        </w:rPr>
        <w:t>garantētās maksas par uzstādīto elektrisko jaudu nodrošināšanas funkcija, kuru līdz šim veic ar atbalsta saņēmēju saistīts uzņēmums, tiktu nodota pārvades sistēmas operatoram</w:t>
      </w:r>
      <w:bookmarkEnd w:id="168"/>
      <w:r w:rsidRPr="002644F1">
        <w:rPr>
          <w:szCs w:val="26"/>
        </w:rPr>
        <w:t xml:space="preserve">. </w:t>
      </w:r>
    </w:p>
    <w:p w14:paraId="336DDC44" w14:textId="77777777" w:rsidR="00EE1CF5" w:rsidRPr="002644F1" w:rsidRDefault="00EE1CF5" w:rsidP="00EE1CF5">
      <w:pPr>
        <w:spacing w:before="120"/>
        <w:ind w:firstLine="720"/>
        <w:rPr>
          <w:szCs w:val="26"/>
        </w:rPr>
      </w:pPr>
      <w:r>
        <w:rPr>
          <w:szCs w:val="26"/>
        </w:rPr>
        <w:t>Tā kā veicot šīs izmaiņas netiktu izveidots jauns atbalsta mehānisms, bet veiktas izmaiņas līdzšinējā, tad par to būtu informējama Eiropas Komisija.</w:t>
      </w:r>
      <w:r w:rsidRPr="002644F1">
        <w:rPr>
          <w:szCs w:val="26"/>
        </w:rPr>
        <w:t xml:space="preserve"> </w:t>
      </w:r>
    </w:p>
    <w:p w14:paraId="18A7EEC1" w14:textId="77777777" w:rsidR="00EE1CF5" w:rsidRPr="002644F1" w:rsidRDefault="00EE1CF5" w:rsidP="00EE1CF5">
      <w:pPr>
        <w:spacing w:before="120"/>
        <w:ind w:firstLine="720"/>
        <w:rPr>
          <w:szCs w:val="26"/>
        </w:rPr>
      </w:pPr>
      <w:r w:rsidRPr="002644F1">
        <w:rPr>
          <w:szCs w:val="26"/>
        </w:rPr>
        <w:t>Lai to realizētu veicami grozījumi šādos normatīvajos aktos:</w:t>
      </w:r>
    </w:p>
    <w:p w14:paraId="7D7F119D" w14:textId="77777777" w:rsidR="00EE1CF5" w:rsidRPr="002644F1" w:rsidRDefault="00EE1CF5" w:rsidP="00EE1CF5">
      <w:pPr>
        <w:pStyle w:val="ListParagraph"/>
        <w:numPr>
          <w:ilvl w:val="0"/>
          <w:numId w:val="17"/>
        </w:numPr>
        <w:spacing w:before="120"/>
        <w:ind w:firstLine="273"/>
        <w:contextualSpacing w:val="0"/>
        <w:rPr>
          <w:rFonts w:eastAsia="Times New Roman" w:cs="Times New Roman"/>
          <w:szCs w:val="26"/>
        </w:rPr>
      </w:pPr>
      <w:r w:rsidRPr="002644F1">
        <w:rPr>
          <w:szCs w:val="26"/>
        </w:rPr>
        <w:t>ETL;</w:t>
      </w:r>
    </w:p>
    <w:p w14:paraId="0ED3BA63" w14:textId="77777777" w:rsidR="00EE1CF5" w:rsidRPr="002644F1" w:rsidRDefault="00EE1CF5" w:rsidP="00EE1CF5">
      <w:pPr>
        <w:pStyle w:val="ListParagraph"/>
        <w:numPr>
          <w:ilvl w:val="0"/>
          <w:numId w:val="17"/>
        </w:numPr>
        <w:spacing w:before="120"/>
        <w:ind w:left="1418" w:hanging="425"/>
        <w:contextualSpacing w:val="0"/>
        <w:rPr>
          <w:rFonts w:eastAsia="Times New Roman" w:cs="Times New Roman"/>
          <w:szCs w:val="26"/>
        </w:rPr>
      </w:pPr>
      <w:r w:rsidRPr="002644F1">
        <w:rPr>
          <w:szCs w:val="26"/>
        </w:rPr>
        <w:t>SPRK padomes 2017.gada 14.septembra lēmumā Nr. 1/24 “Obligātā iepirkuma un jaudas komponenšu aprēķināšanas metodika”;</w:t>
      </w:r>
    </w:p>
    <w:p w14:paraId="6BA20F4D" w14:textId="77777777" w:rsidR="00EE1CF5" w:rsidRPr="002644F1" w:rsidRDefault="00EE1CF5" w:rsidP="00EE1CF5">
      <w:pPr>
        <w:pStyle w:val="ListParagraph"/>
        <w:numPr>
          <w:ilvl w:val="0"/>
          <w:numId w:val="17"/>
        </w:numPr>
        <w:spacing w:before="120"/>
        <w:ind w:left="1418" w:hanging="425"/>
        <w:contextualSpacing w:val="0"/>
        <w:rPr>
          <w:rFonts w:eastAsia="Times New Roman" w:cs="Times New Roman"/>
          <w:szCs w:val="26"/>
        </w:rPr>
      </w:pPr>
      <w:r w:rsidRPr="002644F1">
        <w:rPr>
          <w:szCs w:val="26"/>
        </w:rPr>
        <w:t>MK 2009.gada 10.marta noteikumos Nr.221 “Noteikumi par elektroenerģijas ražošanu un cenu noteikšanu, ražojot elektroenerģiju koģenerācijā”.</w:t>
      </w:r>
    </w:p>
    <w:p w14:paraId="4331E4AC" w14:textId="77777777" w:rsidR="00EE1CF5" w:rsidRDefault="00EE1CF5" w:rsidP="00EE1CF5">
      <w:pPr>
        <w:spacing w:before="120"/>
        <w:ind w:firstLine="720"/>
      </w:pPr>
      <w:bookmarkStart w:id="169" w:name="_Toc256000040"/>
      <w:bookmarkStart w:id="170" w:name="_Toc523312935"/>
      <w:bookmarkStart w:id="171" w:name="_Toc523478569"/>
      <w:bookmarkStart w:id="172" w:name="_Toc523492868"/>
      <w:bookmarkStart w:id="173" w:name="_Toc523492935"/>
      <w:r w:rsidRPr="002644F1">
        <w:rPr>
          <w:rFonts w:eastAsia="Times New Roman" w:cs="Times New Roman"/>
          <w:szCs w:val="26"/>
        </w:rPr>
        <w:t>Ņemot vērā uzņēmuma AS “Augstsprieguma Tīkls” un FM pausto viedokli, kā arī lai veicinātu ar elektroenerģijas drošumam nepieciešamo izmaksu caurspīdīgumu, energoapgādes drošumam nozīmīgo ražotņu atbalsta maksājums nav iekļaujams pārvades sistēmas tarifu aprēķināšanas izmaksās, un, nodrošinot atbalstu, ir saglabājami principi, kuri novērš atbalsta pasākuma iespējamo negatīvo ietekmi uz konkurenci pakalpojumu, piemēram, elektroenerģijas avārijas rezervju pakalpojumu vai balansēšanas un tīkla sastrēgumu vadības pakalpojumu tirgos. Ņemot to vērā, līdzīgi kā līdz šim, atbalsts ir jānosaka tikai elektroenerģijas ražotņu nemainīgajām izmaksām, proti, izmaksām, kas ir saistītas ar ražotņu apkopi un uzturēšanu darba kārtībā un ar kapitālieguldījumiem saistītajām izmaksām. Vienlaikus, lai veicinātu sistēmiski nozīmīgo elektrostaciju darbību ekonomiski pamatotākajā koģenerācijas režīmā, ir saglabājams šobrīd spēkā esošais nosacījums, kas paredz elektrostacijas pienākumu noteiktu stundu skaitu gadā strādāt koģenerācijas režīmā (šobrīd noteikts 1200 stundu apjomā gadā).</w:t>
      </w:r>
      <w:bookmarkEnd w:id="169"/>
      <w:bookmarkEnd w:id="170"/>
      <w:bookmarkEnd w:id="171"/>
      <w:bookmarkEnd w:id="172"/>
      <w:bookmarkEnd w:id="173"/>
    </w:p>
    <w:p w14:paraId="6C1E834F" w14:textId="77777777" w:rsidR="00EE1CF5" w:rsidRPr="00730144" w:rsidRDefault="00EE1CF5" w:rsidP="00EE1CF5">
      <w:pPr>
        <w:ind w:firstLine="720"/>
      </w:pPr>
      <w:r>
        <w:t>Vērtējot iespējamās</w:t>
      </w:r>
      <w:r w:rsidRPr="00730144">
        <w:t xml:space="preserve"> administratīvās izmaksas, kas varētu veidoties AS “Augstsprieguma Tīkls”, </w:t>
      </w:r>
      <w:r>
        <w:t xml:space="preserve">jānorāda, ka </w:t>
      </w:r>
      <w:r w:rsidRPr="00730144">
        <w:t xml:space="preserve">šobrīd OIK, tostarp arī </w:t>
      </w:r>
      <w:r>
        <w:t>TEC-1 un TEC-2</w:t>
      </w:r>
      <w:r w:rsidRPr="00730144">
        <w:t xml:space="preserve"> jaudas maksājum</w:t>
      </w:r>
      <w:r>
        <w:t>u administrēšanas funkciju veikšanai EPT</w:t>
      </w:r>
      <w:r w:rsidRPr="00730144">
        <w:t xml:space="preserve"> attiecināmās būtiskākās izmaksas (personāla izmaksas 6 darbiniekiem gadā) 2017.gadā veidoja 145 574 EUR jeb 0,054% no kopumā administrēto līdzekļu apjoma. Vienlaikus jāatzīmē, ka arī šis izmaksu apjoms nav attiecināms uz  izmaksām, kādas pārņemot jaudas maksājumu administrēšanu veidotos AS “Augstsprieguma Tīkls”, un AS “Augstsprieguma Tīkls” gadījumā paredzamo izmaksu apjoms būtu ievērojami zemāks, kas ir pamatojams ar vairākiem apsvērumiem: </w:t>
      </w:r>
    </w:p>
    <w:p w14:paraId="69A04BF5" w14:textId="77777777" w:rsidR="00EE1CF5" w:rsidRPr="00730144" w:rsidRDefault="00EE1CF5" w:rsidP="00EE1CF5">
      <w:pPr>
        <w:pStyle w:val="ListParagraph"/>
        <w:numPr>
          <w:ilvl w:val="0"/>
          <w:numId w:val="32"/>
        </w:numPr>
      </w:pPr>
      <w:r w:rsidRPr="00730144">
        <w:t xml:space="preserve">Atšķirībā no </w:t>
      </w:r>
      <w:r>
        <w:t>EPT,</w:t>
      </w:r>
      <w:r w:rsidRPr="00730144">
        <w:t xml:space="preserve"> AS “Augstsprieguma Tīkls”, administrējot jaudas maksājumus, neveiks elektroenerģijas tirdzniecības funkcijas (elektroenerģijas iepirkuma un realizācijas operācijas); </w:t>
      </w:r>
    </w:p>
    <w:p w14:paraId="458EE353" w14:textId="77777777" w:rsidR="00EE1CF5" w:rsidRPr="00730144" w:rsidRDefault="00EE1CF5" w:rsidP="00EE1CF5">
      <w:pPr>
        <w:pStyle w:val="ListParagraph"/>
        <w:numPr>
          <w:ilvl w:val="0"/>
          <w:numId w:val="32"/>
        </w:numPr>
      </w:pPr>
      <w:r>
        <w:t>EPT</w:t>
      </w:r>
      <w:r w:rsidRPr="00730144">
        <w:t xml:space="preserve"> kopējais administrēto elektrostaciju skaits 2017.gada nogalē sasniedza 402, savukārt AS “Augstsprieguma Tīkls”</w:t>
      </w:r>
      <w:r>
        <w:t>,</w:t>
      </w:r>
      <w:r w:rsidRPr="00730144">
        <w:t xml:space="preserve"> pildot elektroenerģijas jaudas maksājuma </w:t>
      </w:r>
      <w:r w:rsidRPr="00730144">
        <w:lastRenderedPageBreak/>
        <w:t>administrēšanas funkciju, būs jānodrošina tikai viena komersanta īpašumā  esošu 2 elektrostaciju administrēšana;</w:t>
      </w:r>
    </w:p>
    <w:p w14:paraId="15B3C185" w14:textId="77777777" w:rsidR="00EE1CF5" w:rsidRPr="00730144" w:rsidRDefault="00EE1CF5" w:rsidP="00EE1CF5">
      <w:pPr>
        <w:pStyle w:val="ListParagraph"/>
        <w:numPr>
          <w:ilvl w:val="0"/>
          <w:numId w:val="32"/>
        </w:numPr>
      </w:pPr>
      <w:r w:rsidRPr="00730144">
        <w:t>Ekonomikas ministrijas piedāvātais risinājums paredz, ka jaudas maksājumu administrēšana ir veicama līdzīgā kārtībā kā šobrīd</w:t>
      </w:r>
      <w:r>
        <w:t>,</w:t>
      </w:r>
      <w:r w:rsidRPr="00730144">
        <w:t xml:space="preserve"> administrēšanu veicot </w:t>
      </w:r>
      <w:r>
        <w:t>EPT.</w:t>
      </w:r>
      <w:r w:rsidRPr="00730144">
        <w:t xml:space="preserve"> Ņemot to vērā, saistībā ar jaudas maksājuma ieviešanu, pārvades sistēmas operatoram nav jāuzņemas jaunas funkcijas, piemēram, patstāvīgi iekasējot jaudas maksājumu no gala lietotājiem, un papildus funkcijas ir saistāmas tikai ar nepieciešamo norēķinu veikšanu ar ierobežotu skaitu energoapgādes komersantu, kā arī ar kontroles funkciju, veicot uzskaiti par jaudas atbalsta maksājumu saņemošo elektrostaciju darba gatavību. Ir jāņem vērā, ka informāciju par pārvades sistēmas sistēmai pieslēgto elektrostaciju faktisko darbību un darba gatavību pārvades sistēmas operators jau šobrīd iegūst un izmanto savā ikdienas darbā, lai nodrošinātu energosistēmas operatīvo vadību. </w:t>
      </w:r>
    </w:p>
    <w:p w14:paraId="2C13C10B" w14:textId="77777777" w:rsidR="00EE1CF5" w:rsidRPr="00730144" w:rsidRDefault="00EE1CF5" w:rsidP="00EE1CF5">
      <w:pPr>
        <w:pStyle w:val="ListParagraph"/>
        <w:numPr>
          <w:ilvl w:val="0"/>
          <w:numId w:val="32"/>
        </w:numPr>
      </w:pPr>
      <w:r w:rsidRPr="00730144">
        <w:t xml:space="preserve">Ņemot vērā ievērojami mazāku veicamo funkciju apjomu, kā arī ievērojami mazāku administrējamo komersantu skaitu,  uz  AS “Augstsprieguma Tīkls” prognozējamajām izmaksām nav attiecināmas arī tās </w:t>
      </w:r>
      <w:r>
        <w:t>EPT</w:t>
      </w:r>
      <w:r w:rsidRPr="00730144">
        <w:t xml:space="preserve"> izmaksas, kas ir saistītas ar pārvaldības funkciju un juridiskā atbalsta funkciju.</w:t>
      </w:r>
    </w:p>
    <w:p w14:paraId="0CE17F8B" w14:textId="77777777" w:rsidR="00EE1CF5" w:rsidRPr="002644F1" w:rsidRDefault="00EE1CF5" w:rsidP="00EE1CF5">
      <w:pPr>
        <w:pStyle w:val="ListParagraph"/>
        <w:numPr>
          <w:ilvl w:val="0"/>
          <w:numId w:val="32"/>
        </w:numPr>
      </w:pPr>
      <w:r w:rsidRPr="00730144">
        <w:t>Ekonomikas ministrijas vērtējumā, lai nodrošinātu AS “Augstsprieguma Tīkls” ar jaudas maksājuma administrēšanu funkciju finansēšanu, AS “Augstsprieguma Tīkls” pamatotās attiecināmās izmaksas ir ierēķināmas gala lietotāja maksājumos par jaudu un nav attiecināmas uz pārvades tarifa aprēķinos vērā ņemamajām izmaksām. Ņemot vērā faktisko veicamo funkciju skaitu un apjomu, kā arī ierosinājumu par ekonomiski pamatotās izmaksu attiecināšanu uz gala lietotāju maksājumiem, Ekonomikas ministrija nesaskata risku, ka ierosinātās administrēšanas funkcija var radīt finanšu stabilitātes draudus AS “Augstsprieguma Tīkls”.</w:t>
      </w:r>
    </w:p>
    <w:p w14:paraId="41E6A1FB" w14:textId="77777777" w:rsidR="00EE1CF5" w:rsidRDefault="00EE1CF5" w:rsidP="00EE1CF5">
      <w:pPr>
        <w:spacing w:before="120"/>
      </w:pPr>
      <w:r>
        <w:tab/>
        <w:t xml:space="preserve">Ņemot vērā, ka priekšlikums neparedz AS “Augstsprieguma Tīkls” uzticēt elektroenerģijas tirdzniecības funkcijas, proti, pienākumu iepirkt un realizēt vairumtirdzniecības tirgū elektroenerģiju, kas saražota jaudas maksājumus saņemošajās elektrostacijās, netiek saskatīti riski, ka jaudas administrēšanas funkcijas uzticēšana var tikt interpretēta kā tirdzniecības pienākuma uzlikšana pārvades sistēmas operatoram un no tā izrietošs Eiropas Parlamenta un Padomes 2011.gada 25.oktobra regulas (ES) Nr.1227/2011 par enerģijas vairumtirgus integritāti un pārredzamību (REMIT regula) prasību pārkāpums. </w:t>
      </w:r>
    </w:p>
    <w:p w14:paraId="47E0F3A6" w14:textId="77777777" w:rsidR="00EE1CF5" w:rsidRDefault="00EE1CF5" w:rsidP="00EE1CF5">
      <w:pPr>
        <w:spacing w:before="120"/>
      </w:pPr>
      <w:r>
        <w:tab/>
        <w:t xml:space="preserve">Vērtējot paredzamās jaudas administrēšanas funkcijas saderību ar pārvades sistēmas operatora funkcijām ES likumdošanas izpratnē, ir jāņem vērā, ka salīdzināmas funkcijas, kas saistītas ar atbalsta maksas administrēšanu veic arī citu reģiona valstu pārvades sistēmas operatori, piemēram, Igaunijas pārvades sistēmas operatoram “Elering” nodrošinot atjaunojamās enerģijas atbalsta maksājumu administrēšanu. </w:t>
      </w:r>
    </w:p>
    <w:p w14:paraId="1BEFFC80" w14:textId="77777777" w:rsidR="00EE1CF5" w:rsidRDefault="00EE1CF5" w:rsidP="00EE1CF5">
      <w:pPr>
        <w:spacing w:before="120"/>
      </w:pPr>
      <w:r>
        <w:tab/>
        <w:t xml:space="preserve">AS “Augstsprieguma Tīkls” atbilstība jaudas maksājuma administrēšanas funkcijas īstenošanai ir jāvērtē ne tikai raugoties no Regulas Nr.1227/2011 par enerģijas vairumtirgus integritāti un pārredzamību prasību viedokļa, bet arī ņemot vērā pienākumus, pilnvaras un atļautos izvēles kritērijus, kuras AS “Augstsprieguma Tīkls” kā pārvades sistēmas operatoram nosaka Eiropas Komisijas Regula (ES) 2017/1485 ar ko izveido elektroenerģijas pārvades sistēmas darbības vadlīnijas: piemēram, prasības frekvences uzturēšanas, frekvences atjaunošanas vai aizvietošanas rezervēm un principus, kādus pārvades sistēmas operators ir tiesīgs piemērot, kvalificējot funkciju </w:t>
      </w:r>
      <w:r>
        <w:lastRenderedPageBreak/>
        <w:t>nodrošināšanai piemērotos pretendentus (piemēram, ieskaitot tādus kritērijus kā elektroenerģijas ražošanas moduļu vai pieprasījumvienību ģeogrāfiskais sadalījums).</w:t>
      </w:r>
    </w:p>
    <w:p w14:paraId="60B68221" w14:textId="77777777" w:rsidR="00EE1CF5" w:rsidRPr="002644F1" w:rsidRDefault="00EE1CF5" w:rsidP="00EE1CF5">
      <w:pPr>
        <w:spacing w:before="120"/>
        <w:ind w:firstLine="720"/>
        <w:rPr>
          <w:rFonts w:eastAsia="Times New Roman" w:cs="Times New Roman"/>
          <w:szCs w:val="26"/>
        </w:rPr>
      </w:pPr>
      <w:r w:rsidRPr="002644F1">
        <w:t xml:space="preserve">Atbilstoši sākotnējam novērtējumam un ņemot vērā apstākli, ka no 2021.gada nav plānots turpināt atbalstu ražotnei Rīgas TEC-1 ar uzstādīto elektroenerģijas ražošanas jaudu 144 MW, neveicot papildus iespējamos izmaksu samazināšanas pasākumus, kopējais atbalsta apjoms </w:t>
      </w:r>
      <w:r w:rsidRPr="002644F1">
        <w:rPr>
          <w:rFonts w:eastAsia="Times New Roman" w:cs="Times New Roman"/>
          <w:szCs w:val="26"/>
        </w:rPr>
        <w:t>energoapgādes drošumam nozīmīgo ražotņu darba gatavības nodrošināšanai no 2021.gada sasniegs aptuveni 21 milj. EUR gadā, kas ir par aptuveni 40% mazāk, nekā jaudas atbalsta kopējās plānotās izmaksas 2019.gadā</w:t>
      </w:r>
      <w:r>
        <w:rPr>
          <w:rStyle w:val="FootnoteReference"/>
          <w:rFonts w:eastAsia="Times New Roman" w:cs="Times New Roman"/>
          <w:szCs w:val="26"/>
        </w:rPr>
        <w:footnoteReference w:id="43"/>
      </w:r>
      <w:r w:rsidRPr="002644F1">
        <w:rPr>
          <w:rFonts w:eastAsia="Times New Roman" w:cs="Times New Roman"/>
          <w:szCs w:val="26"/>
        </w:rPr>
        <w:t>.</w:t>
      </w:r>
    </w:p>
    <w:p w14:paraId="54AB1EB4" w14:textId="77777777" w:rsidR="00EE1CF5" w:rsidRPr="002644F1" w:rsidRDefault="00EE1CF5" w:rsidP="00EE1CF5">
      <w:pPr>
        <w:spacing w:before="120"/>
        <w:ind w:firstLine="720"/>
        <w:rPr>
          <w:rFonts w:eastAsia="Times New Roman" w:cs="Times New Roman"/>
          <w:szCs w:val="26"/>
        </w:rPr>
      </w:pPr>
      <w:r w:rsidRPr="002644F1">
        <w:rPr>
          <w:rFonts w:eastAsia="Times New Roman" w:cs="Times New Roman"/>
          <w:szCs w:val="26"/>
        </w:rPr>
        <w:t xml:space="preserve">Lai vērtētu kopējās iespējamās elektroenerģijas lietotāju izmaksas un ieguvumus, nodrošinot jaudas energoapgādes drošumam nozīmīgo ražotņu atbalsta maksājumus minētajā apjomā, tika analizēti divi iespējamie scenāriji – scenārijs, kurā Rīgas TEC-2 turpina darbu bez atbalsta, kā arī scenārijs, kurā ražotne tiek aizstāta ar alternatīvu energoapgādes objektu – augstsprieguma kabeli. </w:t>
      </w:r>
    </w:p>
    <w:p w14:paraId="43C5BCC0" w14:textId="77777777" w:rsidR="00EE1CF5" w:rsidRPr="002644F1" w:rsidRDefault="00EE1CF5" w:rsidP="00EE1CF5">
      <w:pPr>
        <w:spacing w:before="120"/>
        <w:ind w:firstLine="720"/>
        <w:rPr>
          <w:rFonts w:eastAsia="Times New Roman" w:cs="Times New Roman"/>
          <w:szCs w:val="26"/>
        </w:rPr>
      </w:pPr>
      <w:r w:rsidRPr="002644F1">
        <w:rPr>
          <w:rFonts w:eastAsia="Times New Roman" w:cs="Times New Roman"/>
          <w:szCs w:val="26"/>
        </w:rPr>
        <w:t xml:space="preserve">AS “Latvenergo” cenu analīze par biržas Nord Pool Spot cenu veidošanos un cenu modelēšana, ņemot vērā tās ietekmējošos faktorus, norāda uz to, ka 2018.gada laika maijā – oktobrī kopumā Rīgas TEC elektroenerģijas piedāvājums tirgū ir nodrošinājis vidējās mēneša cenas samazinājumu par 9,6 – 13,6 EUR par MWh salīdzinot ar situāciju, ja Rīgas TEC elektroenerģijas tirgū šajā periodā nebūtu piedalījusies, vai arī būtu piedalījusies ar būtiski augstāku cenas piedāvājumu, kurš sevī ietvertu arī ražotņu patstāvīgās izmaksas. Balstoties uz veikto cenu modelēšanu, iespējams secināt, ka kopumā Rīgas TEC darbība 2018.gada minētajā periodā ir ļāvusi ierobežot elektroenerģijas cenu kāpumu un novērst papildus izmaksas patērētājiem aptuveni 47 milj. EUR vērtībā, kas ir būtiski lielāks apjoms, nekā elektrostaciju darbības nodrošināšanai nepieciešamais atbalsta apjoms. Veiktā faktisko cenu veidošanās analīze pilnībā apstiprina arī pētnieku secinājumus par Rīgas TEC ietekmi uz elektroenerģijas tirgus darbību pētījumā “Elektroenerģijas cena un to ietekmējošie faktori” - pētījumā veiktās modelēšanas ietvaros, ka lēmums atteikties no Rīgas TEC jaudu atbalsta kopumā tirgus vairumcenu pieauguma rezultātā veicinātu patērētāju izmaksu pieaugumu par aptuveni 95 milj. EUR 2018.gadā un to tālāku pieaugumu turpmākajos gados, sasniedzot 146 milj. EUR 2022.gadā. Raksturojot šo scenāriju, ir būtiski piebilst, ka tas ir modelēts, balstoties uz pieņēmumu, ka Latvijas patērētāju apgādei ar elektroenerģijas visos apstākļos būs pieejama importēta elektroenerģija un elektroenerģijas sistēma strādās bez darbības traucējumiem. Savukārt scenāriji, kuros jaudu nepietiekamības dēļ elektroenerģijas pieejamība patērētājiem var tikt ierobežota, no izmaksu viedokļa nav vērtēti, un šādā scenārijā kā izmaksu maksimālais iespējamais apjoms ir jāvērtē radītos zaudējumus pilnīgas sistēmas izdzišanas gadījumam, kuras, atbilstoši starptautisko ekspertu novērtējumiem, sasniedz aptuveni 4000 EUR par vienu nepiegādātu elektroenerģijas vienību (MWh) jeb, atkarībā no konkrētā perioda elektroenerģijas pieprasījuma – no 2,4 līdz 5,2 milj. EUR stundā. </w:t>
      </w:r>
    </w:p>
    <w:p w14:paraId="13E6F808" w14:textId="77777777" w:rsidR="00EE1CF5" w:rsidRPr="002644F1" w:rsidRDefault="00EE1CF5" w:rsidP="00EE1CF5">
      <w:pPr>
        <w:spacing w:before="120"/>
        <w:ind w:firstLine="720"/>
        <w:rPr>
          <w:rFonts w:eastAsia="Times New Roman" w:cs="Times New Roman"/>
          <w:szCs w:val="26"/>
        </w:rPr>
      </w:pPr>
      <w:r w:rsidRPr="002644F1">
        <w:rPr>
          <w:rFonts w:eastAsia="Times New Roman" w:cs="Times New Roman"/>
          <w:szCs w:val="26"/>
        </w:rPr>
        <w:t xml:space="preserve">Savukārt scenārija, kas paredz jauna augstsprieguma kabeļa būvniecību, lai aizstātu Rīgas TEC jaudas, sākotnējais novērtējums, salīdzinot ar analoģisku projektu izmaksām, praktisko īstenošanu un ekspluatācijas izmaksas, norāda uz to, ka vairāku apsvērumu dēļ risinājums nav vērtējams kā tehniski un ekonomiski pamatots. </w:t>
      </w:r>
      <w:r w:rsidRPr="002644F1">
        <w:rPr>
          <w:rFonts w:eastAsia="Times New Roman" w:cs="Times New Roman"/>
          <w:szCs w:val="26"/>
        </w:rPr>
        <w:lastRenderedPageBreak/>
        <w:t>Galvenokārt tas ir saistīts ar, pirmkārt, starpvalstu kabeļa faktiskajai plānošanai un  būvniecībai nepieciešamo laiku (piemēram, Lietuvas – Zviedrijas elektropārvades kabeļa “NordBalt” projekta īstenošanai kopumā bija nepieciešami 9 gadi), kā arī izmaksām un to ietekmi uz gala lietotājiem. Pieņemot, ka jauna kabeļa būvniecības izmaksas būtu analoģiskas “NordBalt” kabeļa būvniecībai, jau kabeļa amortizācija 25 gadu periodā vien veidotu izmaksas patērētājiem vidēji 22 milj. EUR gadā. Augstsprieguma kabeļa ekspluatācijas faktisko izmaksu apjoms šobrīd nav precīzi identificējams, jo tas būtu tieši saistīts ar elektroenerģijas ražošanas vai importētu rezerves jaudu pieejamību Latvijas teritorijā, lai nodrošinātu kabeļa jaudas avārijas rezervēšanu, tomēr jau šobrīd faktiski īstenotie pārvades sistēmas operatoru iepirkumi Baltijas valstīs ļauj secināt, ka, atkarībā pieprasītajām jaudām, izmaksas var sasniegt pat vairākus desmitus EUR gadā (terciāro rezervju iepirkuma vērtība Lietuvā 2017.gadā veidoja aptuveni 32 milj. EUR par 484 MW rezervēm).</w:t>
      </w:r>
    </w:p>
    <w:p w14:paraId="1EC5FC10" w14:textId="77777777" w:rsidR="00EE1CF5" w:rsidRPr="002644F1" w:rsidRDefault="00EE1CF5" w:rsidP="00EE1CF5">
      <w:pPr>
        <w:spacing w:before="120"/>
        <w:ind w:firstLine="720"/>
        <w:rPr>
          <w:b/>
        </w:rPr>
      </w:pPr>
      <w:r w:rsidRPr="002644F1">
        <w:t xml:space="preserve">Plānojot </w:t>
      </w:r>
      <w:r w:rsidRPr="002644F1">
        <w:rPr>
          <w:rFonts w:eastAsia="Times New Roman" w:cs="Times New Roman"/>
          <w:szCs w:val="26"/>
        </w:rPr>
        <w:t>energoapgādes drošumam nozīmīgo ražotņu atbalsta maksājuma administrēšanas kārtības un apjoma samazinājumu, ir nepieciešams veikt arī padziļinātu analīzi, lai, ņemot vērā iepriekš atbalsta sistēmas ietvaros veikto saistību samazināšanas darījumu AS “Latvenergo”, novērstu n</w:t>
      </w:r>
      <w:r w:rsidRPr="002644F1">
        <w:t xml:space="preserve">ākotnē plānoto pasākumu nelabvēlīgu ietekmi uz </w:t>
      </w:r>
      <w:r>
        <w:t xml:space="preserve">vispārējās </w:t>
      </w:r>
      <w:r w:rsidRPr="002644F1">
        <w:t>val</w:t>
      </w:r>
      <w:r>
        <w:t>dības</w:t>
      </w:r>
      <w:r w:rsidRPr="002644F1">
        <w:t xml:space="preserve"> budžeta un AS “Latvenergo” izmaksām.</w:t>
      </w:r>
    </w:p>
    <w:p w14:paraId="2C63AB49" w14:textId="77777777" w:rsidR="00EE1CF5" w:rsidRDefault="00EE1CF5" w:rsidP="00EE1CF5">
      <w:pPr>
        <w:spacing w:before="120"/>
        <w:ind w:firstLine="720"/>
      </w:pPr>
      <w:bookmarkStart w:id="174" w:name="_Toc256000041"/>
      <w:bookmarkStart w:id="175" w:name="_Toc523478570"/>
      <w:bookmarkStart w:id="176" w:name="_Toc523492869"/>
      <w:bookmarkStart w:id="177" w:name="_Toc523492936"/>
      <w:r w:rsidRPr="002644F1">
        <w:t>Savukārt pārējo staciju lietotāju maksājumi būtu pārvirzāmi uz mainīgo OIK komponenti, jo šo staciju darbība tiešā veidā nav saistīta ar bāzes jaudu vai elektroenerģijas sistēmas pakalpojumu nodrošināšanu.</w:t>
      </w:r>
      <w:bookmarkEnd w:id="174"/>
      <w:bookmarkEnd w:id="175"/>
      <w:bookmarkEnd w:id="176"/>
      <w:bookmarkEnd w:id="177"/>
      <w:r w:rsidRPr="002644F1">
        <w:t xml:space="preserve"> </w:t>
      </w:r>
      <w:r>
        <w:t xml:space="preserve">Tādā veidā tiktu mazināta līdzšinējā OIK diferenciācijas ietekme uz elektroenerģijas lietotājiem. </w:t>
      </w:r>
      <w:r w:rsidRPr="002644F1">
        <w:t>Vienlaikus, lai ierobežotu lietotāju maksājumus ar 2022. gadu izmaksas, kas saistītas ar atbalsta sniegšanu tām dabasgāzes koģenerācijas stacijām, kas nav sistēmiski nozīmīgas, tiek piedāvāts segt no valsts budžeta līdzekļiem.</w:t>
      </w:r>
    </w:p>
    <w:p w14:paraId="06AECF36" w14:textId="77777777" w:rsidR="00EE1CF5" w:rsidRPr="002644F1" w:rsidRDefault="00EE1CF5" w:rsidP="00EE1CF5">
      <w:pPr>
        <w:spacing w:before="120"/>
        <w:ind w:firstLine="720"/>
      </w:pPr>
    </w:p>
    <w:p w14:paraId="7B500D3A" w14:textId="77777777" w:rsidR="00EE1CF5" w:rsidRDefault="00EE1CF5" w:rsidP="00EE1CF5">
      <w:pPr>
        <w:pStyle w:val="11apaknodaa"/>
        <w:spacing w:before="240"/>
      </w:pPr>
      <w:bookmarkStart w:id="178" w:name="_Toc256000070"/>
      <w:bookmarkStart w:id="179" w:name="_Toc256000043"/>
      <w:bookmarkStart w:id="180" w:name="_Toc523492937"/>
      <w:bookmarkStart w:id="181" w:name="_Toc528585675"/>
      <w:bookmarkStart w:id="182" w:name="_Toc531798588"/>
      <w:r w:rsidRPr="00611547">
        <w:t>5.3. Vairumtirgus cenas izsole</w:t>
      </w:r>
      <w:bookmarkEnd w:id="178"/>
      <w:bookmarkEnd w:id="179"/>
      <w:bookmarkEnd w:id="180"/>
      <w:bookmarkEnd w:id="181"/>
      <w:bookmarkEnd w:id="182"/>
      <w:r>
        <w:br/>
      </w:r>
    </w:p>
    <w:p w14:paraId="49185644" w14:textId="77777777" w:rsidR="00EE1CF5" w:rsidRPr="003D7B2F" w:rsidRDefault="00EE1CF5" w:rsidP="00EE1CF5">
      <w:pPr>
        <w:spacing w:before="120"/>
        <w:ind w:firstLine="720"/>
        <w:rPr>
          <w:rFonts w:eastAsiaTheme="minorEastAsia"/>
          <w:szCs w:val="28"/>
        </w:rPr>
      </w:pPr>
      <w:r w:rsidRPr="003D7B2F">
        <w:rPr>
          <w:rFonts w:eastAsiaTheme="minorEastAsia"/>
          <w:szCs w:val="28"/>
        </w:rPr>
        <w:t>Šobrīd visu obligātā iepirkuma ietvaros iepirkto elektroenerģiju EPT pārdod elektroenerģijas biržā Nordpool Latvijas tirdzniecības apgabalā par ikstundas cenu, kurai ir raksturīgs liels svārstīgums gan dienas, gan nedēļas, gan sezonālā griezumā. Elektroenerģijas tirgus ienākumi veido relatīvi lielu (2017.gadā aptuveni 23%, 2018.gadā prognozēts – 30%) daļu kopējos EPT ienākumos.</w:t>
      </w:r>
    </w:p>
    <w:p w14:paraId="45B253A2" w14:textId="77777777" w:rsidR="00EE1CF5" w:rsidRPr="003D7B2F" w:rsidRDefault="00EE1CF5" w:rsidP="00EE1CF5">
      <w:pPr>
        <w:spacing w:before="120"/>
        <w:ind w:firstLine="720"/>
        <w:rPr>
          <w:rFonts w:eastAsiaTheme="minorEastAsia"/>
          <w:szCs w:val="28"/>
        </w:rPr>
      </w:pPr>
      <w:r w:rsidRPr="003D7B2F">
        <w:rPr>
          <w:rFonts w:eastAsiaTheme="minorEastAsia"/>
          <w:szCs w:val="28"/>
        </w:rPr>
        <w:t>Prognozēšanas novirze nākamā gada tirgus cenas novērtējumam var sasniegt +/- 20% gada</w:t>
      </w:r>
      <w:r>
        <w:rPr>
          <w:sz w:val="24"/>
          <w:szCs w:val="24"/>
        </w:rPr>
        <w:t xml:space="preserve"> </w:t>
      </w:r>
      <w:r w:rsidRPr="003D7B2F">
        <w:rPr>
          <w:rFonts w:eastAsiaTheme="minorEastAsia"/>
          <w:szCs w:val="28"/>
        </w:rPr>
        <w:t xml:space="preserve">pirmajiem mēnešiem un +/-55% gada pēdējam mēnesim (jo tālākas prognozes, jo lielāka ir iespējama prognozēšanas novirze). Vidējai cenai samazinoties par 1% , ienākumi no elektroenerģijas pārdošanas biržā samazinātos par 0,6 milj. EUR un attiecīgi par to summu pieaugtu </w:t>
      </w:r>
      <w:r>
        <w:rPr>
          <w:rFonts w:eastAsiaTheme="minorEastAsia"/>
          <w:szCs w:val="28"/>
        </w:rPr>
        <w:t>OIK izmaksas</w:t>
      </w:r>
      <w:r w:rsidRPr="003D7B2F">
        <w:rPr>
          <w:rFonts w:eastAsiaTheme="minorEastAsia"/>
          <w:szCs w:val="28"/>
        </w:rPr>
        <w:t xml:space="preserve">, un otrādi – pieaugot tirgus cenai, pieaug ienākumi, samazinās </w:t>
      </w:r>
      <w:r>
        <w:rPr>
          <w:rFonts w:eastAsiaTheme="minorEastAsia"/>
          <w:szCs w:val="28"/>
        </w:rPr>
        <w:t>OIK izmaksas</w:t>
      </w:r>
      <w:r w:rsidRPr="003D7B2F">
        <w:rPr>
          <w:rFonts w:eastAsiaTheme="minorEastAsia"/>
          <w:szCs w:val="28"/>
        </w:rPr>
        <w:t xml:space="preserve">. Kopumā, novērtējot visu obligātā iepirkuma portfeļa apjomu, tirgus cenas svārstību riska ietekme uz </w:t>
      </w:r>
      <w:r>
        <w:rPr>
          <w:rFonts w:eastAsiaTheme="minorEastAsia"/>
          <w:szCs w:val="28"/>
        </w:rPr>
        <w:t>EPT</w:t>
      </w:r>
      <w:r w:rsidRPr="003D7B2F">
        <w:rPr>
          <w:rFonts w:eastAsiaTheme="minorEastAsia"/>
          <w:szCs w:val="28"/>
        </w:rPr>
        <w:t xml:space="preserve"> ienākumiem sasniedz  aptuveni 25 milj. EUR / gadā, proti, tikai elektroenerģijas tirgus cena svārstības vien var atstāt +/- 25 milj. EUR/gadā iespaidu uz </w:t>
      </w:r>
      <w:r>
        <w:rPr>
          <w:rFonts w:eastAsiaTheme="minorEastAsia"/>
          <w:szCs w:val="28"/>
        </w:rPr>
        <w:t>OIK izmaksām</w:t>
      </w:r>
      <w:r w:rsidRPr="003D7B2F">
        <w:rPr>
          <w:rFonts w:eastAsiaTheme="minorEastAsia"/>
          <w:szCs w:val="28"/>
        </w:rPr>
        <w:t>.</w:t>
      </w:r>
    </w:p>
    <w:p w14:paraId="653F3B07" w14:textId="77777777" w:rsidR="00EE1CF5" w:rsidRPr="003D7B2F" w:rsidRDefault="00EE1CF5" w:rsidP="00EE1CF5">
      <w:pPr>
        <w:spacing w:before="120"/>
        <w:ind w:firstLine="720"/>
        <w:rPr>
          <w:rFonts w:eastAsiaTheme="minorEastAsia"/>
          <w:szCs w:val="28"/>
        </w:rPr>
      </w:pPr>
      <w:r w:rsidRPr="003D7B2F">
        <w:rPr>
          <w:rFonts w:eastAsiaTheme="minorEastAsia"/>
          <w:szCs w:val="28"/>
        </w:rPr>
        <w:t xml:space="preserve">Atbilstoši pašreizējam juridiskajam regulējumam risku nav iespējams ierobežot citādi, kā cenšoties veikt pēc iespējas ticamāku prognozēšanu, jo finanšu instrumentu izmantošanas izmaksas vai ieguvumus nevar iekļaut OIK aprēķinā. Tomēr pēc </w:t>
      </w:r>
      <w:r w:rsidRPr="003D7B2F">
        <w:rPr>
          <w:rFonts w:eastAsiaTheme="minorEastAsia"/>
          <w:szCs w:val="28"/>
        </w:rPr>
        <w:lastRenderedPageBreak/>
        <w:t xml:space="preserve">ekonomiskās būtības, atbilstoši paredzot to OIK metodikā, šo risku būtu iespējams ierobežot ar finanšu  instrumentiem. </w:t>
      </w:r>
    </w:p>
    <w:p w14:paraId="45C858D4" w14:textId="77777777" w:rsidR="00EE1CF5" w:rsidRPr="003D7B2F" w:rsidRDefault="00EE1CF5" w:rsidP="00EE1CF5">
      <w:pPr>
        <w:spacing w:before="120"/>
        <w:ind w:firstLine="720"/>
        <w:rPr>
          <w:rFonts w:eastAsiaTheme="minorEastAsia"/>
          <w:szCs w:val="28"/>
        </w:rPr>
      </w:pPr>
      <w:r w:rsidRPr="003D7B2F">
        <w:rPr>
          <w:rFonts w:eastAsiaTheme="minorEastAsia"/>
          <w:szCs w:val="28"/>
        </w:rPr>
        <w:t xml:space="preserve">Piedāvātais risinājums paredz </w:t>
      </w:r>
      <w:r>
        <w:rPr>
          <w:rFonts w:eastAsiaTheme="minorEastAsia"/>
          <w:szCs w:val="28"/>
        </w:rPr>
        <w:t>EPT</w:t>
      </w:r>
      <w:r w:rsidRPr="003D7B2F">
        <w:rPr>
          <w:rFonts w:eastAsiaTheme="minorEastAsia"/>
          <w:szCs w:val="28"/>
        </w:rPr>
        <w:t xml:space="preserve"> veikt fiksēto instrumentu izsoles Baltijas elektroenerģijas tirgū, </w:t>
      </w:r>
      <w:r>
        <w:rPr>
          <w:rFonts w:eastAsiaTheme="minorEastAsia"/>
          <w:szCs w:val="28"/>
        </w:rPr>
        <w:t>līdzīgi</w:t>
      </w:r>
      <w:r w:rsidRPr="003D7B2F">
        <w:rPr>
          <w:rFonts w:eastAsiaTheme="minorEastAsia"/>
          <w:szCs w:val="28"/>
        </w:rPr>
        <w:t xml:space="preserve"> pašreizējām izsolēm p</w:t>
      </w:r>
      <w:r>
        <w:rPr>
          <w:rFonts w:eastAsiaTheme="minorEastAsia"/>
          <w:szCs w:val="28"/>
        </w:rPr>
        <w:t>ar pārvades jaudām uz Igaunijas </w:t>
      </w:r>
      <w:r w:rsidRPr="003D7B2F">
        <w:rPr>
          <w:rFonts w:eastAsiaTheme="minorEastAsia"/>
          <w:szCs w:val="28"/>
        </w:rPr>
        <w:t xml:space="preserve">– Latvijas šķērsgriezuma, kurus īsteno Igaunijas un Latvijas pārvades sistēmas operatori. Risinājums nodrošinās, ka obligātā iepirkuma ietvaros iepirktā elektroenerģija joprojām pilnā apjomā tiktu pārdota nākamās dienas biržas Latvijas cenu apgabalā, nesamazinot nākamās dienas tirgus apgrozījumu. Izsoles priekšmets pēc būtības būs tirgus dalībnieku tiesības slēgt savstarpēju finanšu norēķinu līgumu ar EPT par elektroenerģijas nākamās dienas tirgus cenas un nosolītās cenas starpību (ja nākamās diena tirgus ikstundas cena pārsniegs nosolīto fiksēto cenu, tad cenu starpību kompensēs </w:t>
      </w:r>
      <w:r>
        <w:rPr>
          <w:rFonts w:eastAsiaTheme="minorEastAsia"/>
          <w:szCs w:val="28"/>
        </w:rPr>
        <w:t>EPT</w:t>
      </w:r>
      <w:r w:rsidRPr="003D7B2F">
        <w:rPr>
          <w:rFonts w:eastAsiaTheme="minorEastAsia"/>
          <w:szCs w:val="28"/>
        </w:rPr>
        <w:t xml:space="preserve">, savukārt, ja tirgus ikstundas cena būs zemāka par nosolīto fiksēto cenu, tad cenu starpību kompensēs tirgus  dalībnieks). Analoģiski kā šā brīža pārvades jaudas izsoles, </w:t>
      </w:r>
      <w:r>
        <w:rPr>
          <w:rFonts w:eastAsiaTheme="minorEastAsia"/>
          <w:szCs w:val="28"/>
        </w:rPr>
        <w:t>EPT</w:t>
      </w:r>
      <w:r w:rsidRPr="003D7B2F">
        <w:rPr>
          <w:rFonts w:eastAsiaTheme="minorEastAsia"/>
          <w:szCs w:val="28"/>
        </w:rPr>
        <w:t xml:space="preserve"> izsoles būs ar slēgtu piedāvājumu iesniegšanu un vienotu izsoles slēgšanas cenu (maksimālā cena, pie kuras tiek segts viss piedāvātais izsoles apjoms). Izsole tiktu veikta reizi gadā par nākamā gada obligātā iepirkuma apjomu.</w:t>
      </w:r>
    </w:p>
    <w:p w14:paraId="32049C53" w14:textId="77777777" w:rsidR="00EE1CF5" w:rsidRPr="003D7B2F" w:rsidRDefault="00EE1CF5" w:rsidP="00EE1CF5">
      <w:pPr>
        <w:spacing w:before="120"/>
        <w:ind w:firstLine="720"/>
        <w:rPr>
          <w:rFonts w:eastAsiaTheme="minorEastAsia"/>
          <w:szCs w:val="28"/>
        </w:rPr>
      </w:pPr>
      <w:r w:rsidRPr="003D7B2F">
        <w:rPr>
          <w:rFonts w:eastAsiaTheme="minorEastAsia"/>
          <w:szCs w:val="28"/>
        </w:rPr>
        <w:t>Latvijas un Lietuvas tirgos šobrīd klienti pārsvarā pieprasa fiksētās cenas piedāvājumus, bet to piedāvāšanai tirgotājiem ir nepieciešami cenas fiksēšanas instrumenti. Viens no šādiem finanšu instrumentiem pašlaik ir pārvades operatoru izsolītās Igaunijas-Latvijas pārrobežu jaudas, tomēr līdzšinējās izsoles liecina, ka šis ins</w:t>
      </w:r>
      <w:r>
        <w:rPr>
          <w:rFonts w:eastAsiaTheme="minorEastAsia"/>
          <w:szCs w:val="28"/>
        </w:rPr>
        <w:t>truments ir nepietiekošs (2018.gada izsoles pieprasījums 5,</w:t>
      </w:r>
      <w:r w:rsidRPr="003D7B2F">
        <w:rPr>
          <w:rFonts w:eastAsiaTheme="minorEastAsia"/>
          <w:szCs w:val="28"/>
        </w:rPr>
        <w:t xml:space="preserve">4 reizes pārsniedza piedāvājumu) un papildus instrumentu ieviešana veicinās tirgus piedāvājuma veidošanos. Vienlaicīgi prognozējams, ka arī EPT piedāvātā izsole nespēs pilnībā apmierināt pieprasījumu pēc šādiem instrumentiem, tāpēc sagaidāma palielināta interese par šo izsoli un attiecīgi arī sagaidāms tirgus uzcenojums šādiem darījumiem, palielinot </w:t>
      </w:r>
      <w:r>
        <w:rPr>
          <w:rFonts w:eastAsiaTheme="minorEastAsia"/>
          <w:szCs w:val="28"/>
        </w:rPr>
        <w:t>EPT</w:t>
      </w:r>
      <w:r w:rsidRPr="003D7B2F">
        <w:rPr>
          <w:rFonts w:eastAsiaTheme="minorEastAsia"/>
          <w:szCs w:val="28"/>
        </w:rPr>
        <w:t xml:space="preserve"> ienākumus (orientē</w:t>
      </w:r>
      <w:r>
        <w:rPr>
          <w:rFonts w:eastAsiaTheme="minorEastAsia"/>
          <w:szCs w:val="28"/>
        </w:rPr>
        <w:t>joši vismaz 0,</w:t>
      </w:r>
      <w:r w:rsidRPr="003D7B2F">
        <w:rPr>
          <w:rFonts w:eastAsiaTheme="minorEastAsia"/>
          <w:szCs w:val="28"/>
        </w:rPr>
        <w:t>5 EUR/MWh apmērā).</w:t>
      </w:r>
    </w:p>
    <w:p w14:paraId="75EDF7C9" w14:textId="77777777" w:rsidR="00EE1CF5" w:rsidRPr="003D7B2F" w:rsidRDefault="00EE1CF5" w:rsidP="00EE1CF5">
      <w:pPr>
        <w:spacing w:before="120"/>
        <w:ind w:firstLine="720"/>
        <w:rPr>
          <w:rFonts w:eastAsiaTheme="minorEastAsia"/>
          <w:szCs w:val="28"/>
        </w:rPr>
      </w:pPr>
      <w:r w:rsidRPr="003D7B2F">
        <w:rPr>
          <w:rFonts w:eastAsiaTheme="minorEastAsia"/>
          <w:szCs w:val="28"/>
        </w:rPr>
        <w:t xml:space="preserve">Šāda risinājuma ieviešanai ir nepieciešami grozījumi Sabiedrisko pakalpojumu </w:t>
      </w:r>
      <w:r>
        <w:rPr>
          <w:rFonts w:eastAsiaTheme="minorEastAsia"/>
          <w:szCs w:val="28"/>
        </w:rPr>
        <w:t xml:space="preserve">regulēšanas komisijas metodikā nolūkā ar 2020.gadu nodrošināt </w:t>
      </w:r>
      <w:r w:rsidRPr="003D7B2F">
        <w:rPr>
          <w:rFonts w:eastAsiaTheme="minorEastAsia"/>
          <w:szCs w:val="28"/>
        </w:rPr>
        <w:t>obligātā iepirkuma apjoma cenas fiksēšanu.</w:t>
      </w:r>
    </w:p>
    <w:p w14:paraId="4547DFD7" w14:textId="77777777" w:rsidR="00EE1CF5" w:rsidRDefault="00EE1CF5" w:rsidP="00EE1CF5">
      <w:pPr>
        <w:rPr>
          <w:rFonts w:ascii="Arial" w:hAnsi="Arial"/>
          <w:sz w:val="18"/>
          <w:szCs w:val="20"/>
        </w:rPr>
      </w:pPr>
    </w:p>
    <w:p w14:paraId="716324D4" w14:textId="77777777" w:rsidR="00EE1CF5" w:rsidRDefault="00EE1CF5" w:rsidP="00EE1CF5">
      <w:pPr>
        <w:pStyle w:val="11apaknodaa"/>
      </w:pPr>
      <w:bookmarkStart w:id="183" w:name="_Toc256000071"/>
      <w:bookmarkStart w:id="184" w:name="_Toc256000045"/>
      <w:bookmarkStart w:id="185" w:name="_Toc523492938"/>
      <w:bookmarkStart w:id="186" w:name="_Toc528585676"/>
      <w:bookmarkStart w:id="187" w:name="_Toc531798589"/>
      <w:bookmarkStart w:id="188" w:name="_Hlk523419387"/>
      <w:r w:rsidRPr="00FA6BBC">
        <w:t>5</w:t>
      </w:r>
      <w:r>
        <w:t xml:space="preserve">.4. </w:t>
      </w:r>
      <w:r w:rsidRPr="00FA6BBC">
        <w:t>Valsts atbalsta jautājumu administrēšana</w:t>
      </w:r>
      <w:bookmarkEnd w:id="183"/>
      <w:bookmarkEnd w:id="184"/>
      <w:bookmarkEnd w:id="185"/>
      <w:bookmarkEnd w:id="186"/>
      <w:bookmarkEnd w:id="187"/>
      <w:r>
        <w:br/>
      </w:r>
    </w:p>
    <w:p w14:paraId="0388BE2C" w14:textId="77777777" w:rsidR="00EE1CF5" w:rsidRDefault="00EE1CF5" w:rsidP="00EE1CF5">
      <w:pPr>
        <w:spacing w:before="120"/>
        <w:ind w:firstLine="851"/>
        <w:rPr>
          <w:rFonts w:eastAsiaTheme="minorEastAsia"/>
          <w:szCs w:val="28"/>
        </w:rPr>
      </w:pPr>
      <w:r w:rsidRPr="00046D62">
        <w:rPr>
          <w:rFonts w:eastAsiaTheme="minorEastAsia"/>
          <w:szCs w:val="28"/>
        </w:rPr>
        <w:t xml:space="preserve">Nolūkā nodrošināt objektīvu un precīzu to komersantu, kuriem piešķirtas elektroenerģijas obligātā iepirkuma tiesības, uzskaiti un kontroli, kā arī optimālu energoietilpīgo apstrādes </w:t>
      </w:r>
      <w:r w:rsidRPr="00046D62">
        <w:rPr>
          <w:rFonts w:eastAsiaTheme="minorEastAsia" w:cs="Times New Roman"/>
          <w:szCs w:val="28"/>
        </w:rPr>
        <w:t>rūpniecības</w:t>
      </w:r>
      <w:r w:rsidRPr="00046D62">
        <w:rPr>
          <w:rFonts w:eastAsiaTheme="minorEastAsia"/>
          <w:szCs w:val="28"/>
        </w:rPr>
        <w:t xml:space="preserve"> uzņēmumu valsts atbalsta administrēšanu, un e</w:t>
      </w:r>
      <w:r w:rsidRPr="00046D62">
        <w:rPr>
          <w:rFonts w:eastAsiaTheme="minorEastAsia"/>
          <w:szCs w:val="28"/>
        </w:rPr>
        <w:noBreakHyphen/>
        <w:t>pakalpojumu ieviešanu un izmantošanu</w:t>
      </w:r>
      <w:r>
        <w:rPr>
          <w:rFonts w:eastAsiaTheme="minorEastAsia"/>
          <w:szCs w:val="28"/>
          <w:vertAlign w:val="superscript"/>
        </w:rPr>
        <w:footnoteReference w:id="44"/>
      </w:r>
      <w:r w:rsidRPr="00046D62">
        <w:rPr>
          <w:rFonts w:eastAsiaTheme="minorEastAsia"/>
          <w:szCs w:val="28"/>
        </w:rPr>
        <w:t xml:space="preserve"> šajos procesos uzņēmumu administratīvā slog</w:t>
      </w:r>
      <w:r>
        <w:rPr>
          <w:rFonts w:eastAsiaTheme="minorEastAsia"/>
          <w:szCs w:val="28"/>
        </w:rPr>
        <w:t>a mazināšanai un administrēšanas</w:t>
      </w:r>
      <w:r w:rsidRPr="00046D62">
        <w:rPr>
          <w:rFonts w:eastAsiaTheme="minorEastAsia"/>
          <w:szCs w:val="28"/>
        </w:rPr>
        <w:t xml:space="preserve"> efektivitātes uzlabošanai, ir paredzēt</w:t>
      </w:r>
      <w:r>
        <w:rPr>
          <w:rFonts w:eastAsiaTheme="minorEastAsia"/>
          <w:szCs w:val="28"/>
        </w:rPr>
        <w:t>s</w:t>
      </w:r>
      <w:r w:rsidRPr="00046D62">
        <w:rPr>
          <w:rFonts w:eastAsiaTheme="minorEastAsia"/>
          <w:szCs w:val="28"/>
        </w:rPr>
        <w:t xml:space="preserve">, ka 2018.gadā apropriācija 80 000 EUR apmērā tiek izmantota arī </w:t>
      </w:r>
      <w:r>
        <w:rPr>
          <w:rFonts w:eastAsiaTheme="minorEastAsia"/>
          <w:szCs w:val="28"/>
        </w:rPr>
        <w:t>OI</w:t>
      </w:r>
      <w:r w:rsidRPr="00046D62">
        <w:rPr>
          <w:rFonts w:eastAsiaTheme="minorEastAsia"/>
          <w:szCs w:val="28"/>
        </w:rPr>
        <w:t xml:space="preserve"> administrācijas izdevumiem, pakalpojumiem (e</w:t>
      </w:r>
      <w:r w:rsidRPr="00046D62">
        <w:rPr>
          <w:rFonts w:eastAsiaTheme="minorEastAsia"/>
          <w:szCs w:val="28"/>
        </w:rPr>
        <w:noBreakHyphen/>
        <w:t>pakalpojumu izstrāde, analītisko rīku izstrāde) un atlīdzībai (specifikāciju izstrāde, e</w:t>
      </w:r>
      <w:r w:rsidRPr="00046D62">
        <w:rPr>
          <w:rFonts w:eastAsiaTheme="minorEastAsia"/>
          <w:szCs w:val="28"/>
        </w:rPr>
        <w:noBreakHyphen/>
        <w:t>pakalpojumu ieviešana, analītisko rīku piemērošana, u.c. funkciju veikšanai, lai nodrošinātu OI sistēmas darbību).</w:t>
      </w:r>
      <w:r>
        <w:rPr>
          <w:rFonts w:eastAsiaTheme="minorEastAsia"/>
          <w:szCs w:val="28"/>
        </w:rPr>
        <w:t xml:space="preserve"> Tomēr tā joprojām vērtējama kā nepietiekama, jo neļauj kvalitatīvi veikt OI sistēmas uzraudzību – pietiekošā apmērā veikt staciju kontroles, kā arī analizēt saņemto informāciju. Arī sabiedrības pārstāvji vairākkārt norādījuši, ka esošais apjoms, kādā stacijas tiek </w:t>
      </w:r>
      <w:r>
        <w:rPr>
          <w:rFonts w:eastAsiaTheme="minorEastAsia"/>
          <w:szCs w:val="28"/>
        </w:rPr>
        <w:lastRenderedPageBreak/>
        <w:t xml:space="preserve">kontrolētas nav pietiekams, jo nesniedz skaidru priekšstatu par atbalsta izmantošanas atbilstību mērķim. </w:t>
      </w:r>
    </w:p>
    <w:p w14:paraId="2FF459DA" w14:textId="77777777" w:rsidR="00EE1CF5" w:rsidRPr="00046D62" w:rsidRDefault="00EE1CF5" w:rsidP="00EE1CF5">
      <w:pPr>
        <w:spacing w:before="120"/>
        <w:ind w:firstLine="851"/>
        <w:rPr>
          <w:rFonts w:eastAsiaTheme="minorEastAsia"/>
          <w:szCs w:val="28"/>
        </w:rPr>
      </w:pPr>
      <w:r>
        <w:rPr>
          <w:rFonts w:eastAsiaTheme="minorEastAsia"/>
          <w:szCs w:val="28"/>
        </w:rPr>
        <w:t>EPT veiktajās pārbaudēs ir konstatējušas virkni nepilnību staciju darbībā, kuru tālākai risināšanai administratīvā procesa ietvaros ir nepieciešams ieguldīt ievērojamu iestādes resursu apjomu.</w:t>
      </w:r>
    </w:p>
    <w:p w14:paraId="4C27DF0E" w14:textId="77777777" w:rsidR="00EE1CF5" w:rsidRPr="00AF3EA7" w:rsidRDefault="00EE1CF5" w:rsidP="00EE1CF5">
      <w:pPr>
        <w:spacing w:before="120"/>
        <w:ind w:firstLine="851"/>
        <w:rPr>
          <w:rFonts w:cs="Times New Roman"/>
          <w:szCs w:val="28"/>
        </w:rPr>
      </w:pPr>
      <w:r w:rsidRPr="00422289">
        <w:rPr>
          <w:rFonts w:cs="Times New Roman"/>
          <w:szCs w:val="28"/>
        </w:rPr>
        <w:t xml:space="preserve">Valsts atbalsta jautājumu administrēšanas kontekstā jāatzīmē tādas </w:t>
      </w:r>
      <w:r w:rsidRPr="00AF3EA7">
        <w:rPr>
          <w:rFonts w:cs="Times New Roman"/>
          <w:szCs w:val="28"/>
        </w:rPr>
        <w:t xml:space="preserve">aktivitātes kā: </w:t>
      </w:r>
    </w:p>
    <w:p w14:paraId="30A4F447" w14:textId="77777777" w:rsidR="00EE1CF5" w:rsidRPr="0047630F" w:rsidRDefault="00EE1CF5" w:rsidP="00EE1CF5">
      <w:pPr>
        <w:pStyle w:val="ListParagraph"/>
        <w:numPr>
          <w:ilvl w:val="0"/>
          <w:numId w:val="23"/>
        </w:numPr>
        <w:spacing w:before="120"/>
        <w:contextualSpacing w:val="0"/>
        <w:rPr>
          <w:rFonts w:cs="Times New Roman"/>
          <w:szCs w:val="28"/>
        </w:rPr>
      </w:pPr>
      <w:r w:rsidRPr="0047630F">
        <w:rPr>
          <w:rFonts w:cs="Times New Roman"/>
          <w:szCs w:val="28"/>
        </w:rPr>
        <w:t>Gada pārskatu vērtēšana</w:t>
      </w:r>
    </w:p>
    <w:p w14:paraId="433C199D" w14:textId="77777777" w:rsidR="00EE1CF5" w:rsidRPr="00554A1C" w:rsidRDefault="00EE1CF5" w:rsidP="00EE1CF5">
      <w:pPr>
        <w:pStyle w:val="ListParagraph"/>
        <w:numPr>
          <w:ilvl w:val="1"/>
          <w:numId w:val="23"/>
        </w:numPr>
        <w:spacing w:before="120"/>
        <w:contextualSpacing w:val="0"/>
        <w:rPr>
          <w:rFonts w:cs="Times New Roman"/>
          <w:szCs w:val="28"/>
        </w:rPr>
      </w:pPr>
      <w:r w:rsidRPr="0047630F">
        <w:rPr>
          <w:rFonts w:cs="Times New Roman"/>
          <w:szCs w:val="28"/>
        </w:rPr>
        <w:t>Pārskatu iesniegšanas kontrole un brīdinājumu sagatavošana par pārskata neiesniegšanu (2017.gadā -</w:t>
      </w:r>
      <w:r w:rsidRPr="00554A1C">
        <w:rPr>
          <w:rFonts w:cs="Times New Roman"/>
          <w:szCs w:val="28"/>
        </w:rPr>
        <w:t xml:space="preserve"> 393);</w:t>
      </w:r>
    </w:p>
    <w:p w14:paraId="73AF835C" w14:textId="77777777" w:rsidR="00EE1CF5" w:rsidRPr="00554A1C" w:rsidRDefault="00EE1CF5" w:rsidP="00EE1CF5">
      <w:pPr>
        <w:pStyle w:val="ListParagraph"/>
        <w:numPr>
          <w:ilvl w:val="1"/>
          <w:numId w:val="23"/>
        </w:numPr>
        <w:spacing w:before="120"/>
        <w:contextualSpacing w:val="0"/>
        <w:rPr>
          <w:rFonts w:cs="Times New Roman"/>
          <w:szCs w:val="28"/>
        </w:rPr>
      </w:pPr>
      <w:r w:rsidRPr="00554A1C">
        <w:rPr>
          <w:rFonts w:cs="Times New Roman"/>
          <w:szCs w:val="28"/>
        </w:rPr>
        <w:t>Koģenerācijas staciju efektivitātes izvērtēšana un brīdinājumu sagatavošana neatbilstības gadījumā (2017.gadā - 167);</w:t>
      </w:r>
    </w:p>
    <w:p w14:paraId="2F4F4CC5" w14:textId="77777777" w:rsidR="00EE1CF5" w:rsidRPr="00554A1C" w:rsidRDefault="00EE1CF5" w:rsidP="00EE1CF5">
      <w:pPr>
        <w:pStyle w:val="ListParagraph"/>
        <w:numPr>
          <w:ilvl w:val="1"/>
          <w:numId w:val="23"/>
        </w:numPr>
        <w:spacing w:before="120"/>
        <w:contextualSpacing w:val="0"/>
        <w:rPr>
          <w:rFonts w:cs="Times New Roman"/>
          <w:szCs w:val="28"/>
        </w:rPr>
      </w:pPr>
      <w:r w:rsidRPr="00554A1C">
        <w:rPr>
          <w:rFonts w:cs="Times New Roman"/>
          <w:szCs w:val="28"/>
        </w:rPr>
        <w:t>Kontroles grupas darbība (370 ražošanu uzsākušas elektrostacijas ar spēkā esošām OI tiesībām);</w:t>
      </w:r>
    </w:p>
    <w:p w14:paraId="1040EE39" w14:textId="77777777" w:rsidR="00EE1CF5" w:rsidRPr="00554A1C" w:rsidRDefault="00EE1CF5" w:rsidP="00EE1CF5">
      <w:pPr>
        <w:pStyle w:val="ListParagraph"/>
        <w:numPr>
          <w:ilvl w:val="0"/>
          <w:numId w:val="23"/>
        </w:numPr>
        <w:spacing w:before="120"/>
        <w:contextualSpacing w:val="0"/>
        <w:rPr>
          <w:rFonts w:cs="Times New Roman"/>
          <w:szCs w:val="28"/>
        </w:rPr>
      </w:pPr>
      <w:r w:rsidRPr="00554A1C">
        <w:rPr>
          <w:rFonts w:cs="Times New Roman"/>
          <w:szCs w:val="28"/>
        </w:rPr>
        <w:t xml:space="preserve">Katra atbalstu saņemošā komersanta nodokļu nomaksas pārbaude 2 reizes gadā un brīdinājumu sagatavošana nodokļu parādu gadījumā </w:t>
      </w:r>
    </w:p>
    <w:p w14:paraId="25FFAD37" w14:textId="77777777" w:rsidR="00EE1CF5" w:rsidRPr="00554A1C" w:rsidRDefault="00EE1CF5" w:rsidP="00EE1CF5">
      <w:pPr>
        <w:pStyle w:val="ListParagraph"/>
        <w:numPr>
          <w:ilvl w:val="0"/>
          <w:numId w:val="23"/>
        </w:numPr>
        <w:spacing w:before="120"/>
        <w:contextualSpacing w:val="0"/>
        <w:rPr>
          <w:rFonts w:cs="Times New Roman"/>
          <w:szCs w:val="28"/>
        </w:rPr>
      </w:pPr>
      <w:r w:rsidRPr="00554A1C">
        <w:rPr>
          <w:rFonts w:cs="Times New Roman"/>
          <w:szCs w:val="28"/>
        </w:rPr>
        <w:t>Elektrostaciju IRR novērtēšana un lēmumu projektu sagatavošana (kopā ap </w:t>
      </w:r>
      <w:r>
        <w:rPr>
          <w:rFonts w:cs="Times New Roman"/>
          <w:szCs w:val="28"/>
        </w:rPr>
        <w:t>370</w:t>
      </w:r>
      <w:r w:rsidRPr="00554A1C">
        <w:rPr>
          <w:rFonts w:cs="Times New Roman"/>
          <w:szCs w:val="28"/>
        </w:rPr>
        <w:t xml:space="preserve"> komersantu);</w:t>
      </w:r>
    </w:p>
    <w:p w14:paraId="5CA4ECC6" w14:textId="77777777" w:rsidR="00EE1CF5" w:rsidRPr="00554A1C" w:rsidRDefault="00EE1CF5" w:rsidP="00EE1CF5">
      <w:pPr>
        <w:pStyle w:val="ListParagraph"/>
        <w:numPr>
          <w:ilvl w:val="0"/>
          <w:numId w:val="23"/>
        </w:numPr>
        <w:spacing w:before="120"/>
        <w:contextualSpacing w:val="0"/>
        <w:rPr>
          <w:rFonts w:cs="Times New Roman"/>
          <w:szCs w:val="28"/>
        </w:rPr>
      </w:pPr>
      <w:r w:rsidRPr="00554A1C">
        <w:rPr>
          <w:rFonts w:cs="Times New Roman"/>
          <w:szCs w:val="28"/>
        </w:rPr>
        <w:t>Komersantiem, kuriem piešķirtas obligātā iepirkuma tiesības, noteikto pienākumu izpildes termiņu uzraudzība;</w:t>
      </w:r>
    </w:p>
    <w:p w14:paraId="3E1C40F2" w14:textId="77777777" w:rsidR="00EE1CF5" w:rsidRPr="00402C59" w:rsidRDefault="00EE1CF5" w:rsidP="00EE1CF5">
      <w:pPr>
        <w:pStyle w:val="ListParagraph"/>
        <w:numPr>
          <w:ilvl w:val="0"/>
          <w:numId w:val="23"/>
        </w:numPr>
        <w:spacing w:before="120"/>
        <w:contextualSpacing w:val="0"/>
        <w:rPr>
          <w:rFonts w:cs="Times New Roman"/>
          <w:szCs w:val="28"/>
        </w:rPr>
      </w:pPr>
      <w:r w:rsidRPr="00554A1C">
        <w:rPr>
          <w:rFonts w:cs="Times New Roman"/>
          <w:szCs w:val="28"/>
        </w:rPr>
        <w:t>Noteiktā elektroenerģijas OI apjoma pārskatīšana atbilstoši faktiski uzstādītajai elektrostacijas jaudai (370</w:t>
      </w:r>
      <w:r w:rsidRPr="00E90801">
        <w:rPr>
          <w:rFonts w:cs="Times New Roman"/>
          <w:szCs w:val="28"/>
        </w:rPr>
        <w:t xml:space="preserve"> ražošanu uzsākušas elektrostacijas ar spēkā esošām OI tiesībām)</w:t>
      </w:r>
    </w:p>
    <w:p w14:paraId="5CF455A9" w14:textId="77777777" w:rsidR="00EE1CF5" w:rsidRPr="005D3AD5" w:rsidRDefault="00EE1CF5" w:rsidP="00EE1CF5">
      <w:pPr>
        <w:pStyle w:val="ListParagraph"/>
        <w:numPr>
          <w:ilvl w:val="0"/>
          <w:numId w:val="23"/>
        </w:numPr>
        <w:spacing w:before="120"/>
        <w:contextualSpacing w:val="0"/>
        <w:rPr>
          <w:rFonts w:cs="Times New Roman"/>
          <w:szCs w:val="28"/>
        </w:rPr>
      </w:pPr>
      <w:r w:rsidRPr="005D3AD5">
        <w:rPr>
          <w:rFonts w:cs="Times New Roman"/>
          <w:szCs w:val="28"/>
        </w:rPr>
        <w:t>Korespondences nodrošināšana ar komersantiem un citiem privāto tiesību subjektiem par jautājumiem, kas attiecas uz OI tiesībām;</w:t>
      </w:r>
    </w:p>
    <w:p w14:paraId="248714C1" w14:textId="77777777" w:rsidR="00EE1CF5" w:rsidRPr="00554A1C" w:rsidRDefault="00EE1CF5" w:rsidP="00EE1CF5">
      <w:pPr>
        <w:pStyle w:val="ListParagraph"/>
        <w:numPr>
          <w:ilvl w:val="0"/>
          <w:numId w:val="23"/>
        </w:numPr>
        <w:spacing w:before="120"/>
        <w:contextualSpacing w:val="0"/>
        <w:rPr>
          <w:rFonts w:cs="Times New Roman"/>
          <w:szCs w:val="28"/>
        </w:rPr>
      </w:pPr>
      <w:r w:rsidRPr="005D3AD5">
        <w:rPr>
          <w:rFonts w:cs="Times New Roman"/>
          <w:szCs w:val="28"/>
        </w:rPr>
        <w:t>Tiesvedību vešana OIK administrēšanas ietvaros</w:t>
      </w:r>
      <w:r>
        <w:rPr>
          <w:rFonts w:cs="Times New Roman"/>
          <w:szCs w:val="28"/>
        </w:rPr>
        <w:t xml:space="preserve"> (pašlaik 72 lietas)</w:t>
      </w:r>
      <w:r w:rsidRPr="00554A1C">
        <w:rPr>
          <w:rFonts w:cs="Times New Roman"/>
          <w:szCs w:val="28"/>
        </w:rPr>
        <w:t>;</w:t>
      </w:r>
    </w:p>
    <w:p w14:paraId="6D33FA37" w14:textId="77777777" w:rsidR="00EE1CF5" w:rsidRPr="0047630F" w:rsidRDefault="00EE1CF5" w:rsidP="00EE1CF5">
      <w:pPr>
        <w:pStyle w:val="ListParagraph"/>
        <w:numPr>
          <w:ilvl w:val="0"/>
          <w:numId w:val="23"/>
        </w:numPr>
        <w:spacing w:before="120"/>
        <w:contextualSpacing w:val="0"/>
        <w:rPr>
          <w:rFonts w:cs="Times New Roman"/>
          <w:szCs w:val="28"/>
        </w:rPr>
      </w:pPr>
      <w:r w:rsidRPr="005D3AD5">
        <w:rPr>
          <w:rFonts w:eastAsiaTheme="minorEastAsia"/>
          <w:color w:val="000000" w:themeColor="text1"/>
          <w:szCs w:val="28"/>
        </w:rPr>
        <w:t>Ministrijas kontroles grupas klātienes pārbaudes;</w:t>
      </w:r>
    </w:p>
    <w:p w14:paraId="7E130278" w14:textId="77777777" w:rsidR="00EE1CF5" w:rsidRPr="0047630F" w:rsidRDefault="00EE1CF5" w:rsidP="00EE1CF5">
      <w:pPr>
        <w:pStyle w:val="ListParagraph"/>
        <w:numPr>
          <w:ilvl w:val="0"/>
          <w:numId w:val="23"/>
        </w:numPr>
        <w:spacing w:before="120"/>
        <w:contextualSpacing w:val="0"/>
        <w:rPr>
          <w:rFonts w:cs="Times New Roman"/>
          <w:szCs w:val="28"/>
        </w:rPr>
      </w:pPr>
      <w:r w:rsidRPr="0047630F">
        <w:rPr>
          <w:rFonts w:cs="Times New Roman"/>
          <w:szCs w:val="28"/>
        </w:rPr>
        <w:t>I</w:t>
      </w:r>
      <w:r>
        <w:rPr>
          <w:rFonts w:cs="Times New Roman"/>
          <w:szCs w:val="28"/>
        </w:rPr>
        <w:t>nformācijas</w:t>
      </w:r>
      <w:r w:rsidRPr="0047630F">
        <w:rPr>
          <w:rFonts w:cs="Times New Roman"/>
          <w:szCs w:val="28"/>
        </w:rPr>
        <w:t xml:space="preserve"> sistēmas izstrāde un ieviešana (</w:t>
      </w:r>
      <w:r>
        <w:rPr>
          <w:rFonts w:cs="Times New Roman"/>
          <w:szCs w:val="28"/>
        </w:rPr>
        <w:t xml:space="preserve">kuras funkcionalitāte tai skaitā ietvertu </w:t>
      </w:r>
      <w:r w:rsidRPr="0047630F">
        <w:rPr>
          <w:rFonts w:cs="Times New Roman"/>
          <w:szCs w:val="28"/>
        </w:rPr>
        <w:t>automātisk</w:t>
      </w:r>
      <w:r>
        <w:rPr>
          <w:rFonts w:cs="Times New Roman"/>
          <w:szCs w:val="28"/>
        </w:rPr>
        <w:t>u</w:t>
      </w:r>
      <w:r w:rsidRPr="0047630F">
        <w:rPr>
          <w:rFonts w:cs="Times New Roman"/>
          <w:szCs w:val="28"/>
        </w:rPr>
        <w:t xml:space="preserve"> risku analīz</w:t>
      </w:r>
      <w:r>
        <w:rPr>
          <w:rFonts w:cs="Times New Roman"/>
          <w:szCs w:val="28"/>
        </w:rPr>
        <w:t>i</w:t>
      </w:r>
      <w:r w:rsidRPr="0047630F">
        <w:rPr>
          <w:rFonts w:cs="Times New Roman"/>
          <w:szCs w:val="28"/>
        </w:rPr>
        <w:t>).</w:t>
      </w:r>
    </w:p>
    <w:p w14:paraId="3A52A46A" w14:textId="77777777" w:rsidR="00EE1CF5" w:rsidRPr="00046D62" w:rsidRDefault="00EE1CF5" w:rsidP="00EE1CF5">
      <w:pPr>
        <w:spacing w:before="120"/>
        <w:ind w:firstLine="851"/>
        <w:rPr>
          <w:rFonts w:eastAsiaTheme="minorEastAsia" w:cs="Times New Roman"/>
          <w:szCs w:val="28"/>
        </w:rPr>
      </w:pPr>
      <w:r w:rsidRPr="00046D62">
        <w:rPr>
          <w:rFonts w:eastAsiaTheme="minorEastAsia" w:cs="Times New Roman"/>
          <w:szCs w:val="28"/>
        </w:rPr>
        <w:t xml:space="preserve">Šobrīd šo administrēšanas funkciju īstenošana </w:t>
      </w:r>
      <w:r>
        <w:rPr>
          <w:rFonts w:eastAsiaTheme="minorEastAsia" w:cs="Times New Roman"/>
          <w:szCs w:val="28"/>
        </w:rPr>
        <w:t>EM</w:t>
      </w:r>
      <w:r w:rsidRPr="00046D62">
        <w:rPr>
          <w:rFonts w:eastAsiaTheme="minorEastAsia" w:cs="Times New Roman"/>
          <w:szCs w:val="28"/>
        </w:rPr>
        <w:t xml:space="preserve"> ir jāveic esošā enerģētikas politikas plānošanai paredzētā budžeta ietvaros. Tomēr šīs papildus funkcijas īstenošanas vajadzībām </w:t>
      </w:r>
      <w:r>
        <w:rPr>
          <w:rFonts w:eastAsiaTheme="minorEastAsia" w:cs="Times New Roman"/>
          <w:szCs w:val="28"/>
        </w:rPr>
        <w:t>EM</w:t>
      </w:r>
      <w:r w:rsidRPr="00046D62">
        <w:rPr>
          <w:rFonts w:eastAsiaTheme="minorEastAsia" w:cs="Times New Roman"/>
          <w:szCs w:val="28"/>
        </w:rPr>
        <w:t xml:space="preserve"> ik gadu būtu nepieciešami papildus līdzekļi attīstībai, kā arī atbilstošas informācijas tehnoloģiju sistēmas izveidei, uzturēšanai un pilnveidei.</w:t>
      </w:r>
    </w:p>
    <w:p w14:paraId="0F7A42DD" w14:textId="77777777" w:rsidR="00EE1CF5" w:rsidRPr="00046D62" w:rsidRDefault="00EE1CF5" w:rsidP="00EE1CF5">
      <w:pPr>
        <w:spacing w:before="120"/>
        <w:ind w:firstLine="851"/>
        <w:rPr>
          <w:rFonts w:eastAsiaTheme="minorEastAsia" w:cs="Times New Roman"/>
          <w:szCs w:val="28"/>
        </w:rPr>
      </w:pPr>
      <w:r>
        <w:rPr>
          <w:rFonts w:eastAsiaTheme="minorEastAsia" w:cs="Times New Roman"/>
          <w:szCs w:val="28"/>
        </w:rPr>
        <w:t>Ir</w:t>
      </w:r>
      <w:r w:rsidRPr="00046D62">
        <w:rPr>
          <w:rFonts w:eastAsiaTheme="minorEastAsia" w:cs="Times New Roman"/>
          <w:szCs w:val="28"/>
        </w:rPr>
        <w:t> pamats uzskatīt, ka e-pakalpojumu un analītisko rīku piemērošana ilgtermiņā dos iespēju, uzlabojot kontroli, ekonomēt līdzekļus un nodrošinās lielāku procesa caurskatāmību un efektivitāti.</w:t>
      </w:r>
      <w:r>
        <w:rPr>
          <w:rFonts w:eastAsiaTheme="minorEastAsia" w:cs="Times New Roman"/>
          <w:szCs w:val="28"/>
        </w:rPr>
        <w:t xml:space="preserve"> Jau līdz šim veiktās darbības ir apliecinājušas, ka ieguldījumi staciju darbības kontrolē un uzraudzības procesa pilnveidošanā sabiedrībai ir atmaksājušies.</w:t>
      </w:r>
    </w:p>
    <w:p w14:paraId="6063CF48" w14:textId="77777777" w:rsidR="00EE1CF5" w:rsidRDefault="00EE1CF5" w:rsidP="00EE1CF5">
      <w:pPr>
        <w:spacing w:before="120"/>
        <w:rPr>
          <w:rFonts w:eastAsiaTheme="minorEastAsia"/>
          <w:szCs w:val="28"/>
        </w:rPr>
      </w:pPr>
      <w:r>
        <w:rPr>
          <w:rFonts w:eastAsiaTheme="minorEastAsia"/>
          <w:szCs w:val="28"/>
        </w:rPr>
        <w:tab/>
      </w:r>
      <w:bookmarkStart w:id="189" w:name="_Hlk530477310"/>
      <w:r w:rsidRPr="005D3AD5">
        <w:rPr>
          <w:rFonts w:eastAsiaTheme="minorEastAsia"/>
          <w:szCs w:val="28"/>
        </w:rPr>
        <w:t xml:space="preserve">Nolūkā veikt kvalitatīvu OI sistēmas uzraudzību (obligātā iepirkuma administrācijas izdevumi, programmatūras nodrošinājums, juridiskā palīdzība tiesvedības jautājumos), 2019.gadā un turpmākajos gados būtu nepieciešams paredzēt </w:t>
      </w:r>
      <w:r w:rsidRPr="005D3AD5">
        <w:rPr>
          <w:rFonts w:eastAsiaTheme="minorEastAsia"/>
          <w:szCs w:val="28"/>
        </w:rPr>
        <w:lastRenderedPageBreak/>
        <w:t>finansējumu 263</w:t>
      </w:r>
      <w:r>
        <w:rPr>
          <w:rFonts w:eastAsiaTheme="minorEastAsia"/>
          <w:szCs w:val="28"/>
        </w:rPr>
        <w:t> </w:t>
      </w:r>
      <w:r w:rsidRPr="005D3AD5">
        <w:rPr>
          <w:rFonts w:eastAsiaTheme="minorEastAsia"/>
          <w:szCs w:val="28"/>
        </w:rPr>
        <w:t>215</w:t>
      </w:r>
      <w:r>
        <w:rPr>
          <w:rFonts w:eastAsiaTheme="minorEastAsia"/>
          <w:szCs w:val="28"/>
        </w:rPr>
        <w:t xml:space="preserve"> </w:t>
      </w:r>
      <w:r w:rsidRPr="005D3AD5">
        <w:rPr>
          <w:rFonts w:eastAsiaTheme="minorEastAsia"/>
          <w:szCs w:val="28"/>
        </w:rPr>
        <w:t xml:space="preserve">EUR/gadā. Šis finansējums ietvertu finansējumu </w:t>
      </w:r>
      <w:r>
        <w:rPr>
          <w:rFonts w:eastAsiaTheme="minorEastAsia"/>
          <w:szCs w:val="28"/>
        </w:rPr>
        <w:t>atlīdzībai</w:t>
      </w:r>
      <w:r w:rsidRPr="005D3AD5">
        <w:rPr>
          <w:rFonts w:eastAsiaTheme="minorEastAsia"/>
          <w:szCs w:val="28"/>
        </w:rPr>
        <w:t xml:space="preserve"> </w:t>
      </w:r>
      <w:r>
        <w:rPr>
          <w:rFonts w:eastAsiaTheme="minorEastAsia"/>
          <w:szCs w:val="28"/>
        </w:rPr>
        <w:t>208 215 EUR,  t.sk. nodaļas vadītāja un sešu vecāko ekspertu</w:t>
      </w:r>
      <w:r w:rsidRPr="005D3AD5">
        <w:rPr>
          <w:rFonts w:eastAsiaTheme="minorEastAsia"/>
          <w:szCs w:val="28"/>
        </w:rPr>
        <w:t xml:space="preserve"> amata viet</w:t>
      </w:r>
      <w:r>
        <w:rPr>
          <w:rFonts w:eastAsiaTheme="minorEastAsia"/>
          <w:szCs w:val="28"/>
        </w:rPr>
        <w:t>u nodrošināšanai</w:t>
      </w:r>
      <w:r w:rsidRPr="005D3AD5">
        <w:rPr>
          <w:rFonts w:eastAsiaTheme="minorEastAsia"/>
          <w:szCs w:val="28"/>
        </w:rPr>
        <w:t>,</w:t>
      </w:r>
      <w:r>
        <w:rPr>
          <w:rFonts w:eastAsiaTheme="minorEastAsia"/>
          <w:szCs w:val="28"/>
        </w:rPr>
        <w:t xml:space="preserve"> (2018.gadā </w:t>
      </w:r>
      <w:r w:rsidRPr="005D3AD5">
        <w:rPr>
          <w:rFonts w:eastAsiaTheme="minorEastAsia"/>
          <w:szCs w:val="28"/>
        </w:rPr>
        <w:t>OI sistēmas administrēšana</w:t>
      </w:r>
      <w:r>
        <w:rPr>
          <w:rFonts w:eastAsiaTheme="minorEastAsia"/>
          <w:szCs w:val="28"/>
        </w:rPr>
        <w:t>i piešķirtas 2 amata vietas)</w:t>
      </w:r>
      <w:r w:rsidRPr="005D3AD5">
        <w:rPr>
          <w:rFonts w:eastAsiaTheme="minorEastAsia"/>
          <w:szCs w:val="28"/>
        </w:rPr>
        <w:t xml:space="preserve">. </w:t>
      </w:r>
      <w:r>
        <w:rPr>
          <w:rFonts w:eastAsiaTheme="minorEastAsia"/>
          <w:szCs w:val="28"/>
        </w:rPr>
        <w:t>F</w:t>
      </w:r>
      <w:r w:rsidRPr="005D3AD5">
        <w:rPr>
          <w:rFonts w:eastAsiaTheme="minorEastAsia"/>
          <w:szCs w:val="28"/>
        </w:rPr>
        <w:t>inansējums ietvertu arī juridisko atbalstu 35 000 EUR apmērā, tiesvedību vešanai par administratīvajiem lēmumiem OI sistēmas administrēšanas ietvaros, kā arī 20</w:t>
      </w:r>
      <w:r>
        <w:rPr>
          <w:rFonts w:eastAsiaTheme="minorEastAsia"/>
          <w:szCs w:val="28"/>
        </w:rPr>
        <w:t> </w:t>
      </w:r>
      <w:r w:rsidRPr="005D3AD5">
        <w:rPr>
          <w:rFonts w:eastAsiaTheme="minorEastAsia"/>
          <w:szCs w:val="28"/>
        </w:rPr>
        <w:t>000</w:t>
      </w:r>
      <w:r>
        <w:rPr>
          <w:rFonts w:eastAsiaTheme="minorEastAsia"/>
          <w:szCs w:val="28"/>
        </w:rPr>
        <w:t xml:space="preserve"> EUR</w:t>
      </w:r>
      <w:r w:rsidRPr="005D3AD5">
        <w:rPr>
          <w:rFonts w:eastAsiaTheme="minorEastAsia"/>
          <w:szCs w:val="28"/>
        </w:rPr>
        <w:t xml:space="preserve"> </w:t>
      </w:r>
      <w:r>
        <w:rPr>
          <w:rFonts w:eastAsiaTheme="minorEastAsia"/>
          <w:szCs w:val="28"/>
        </w:rPr>
        <w:t>informācijas sistēmu</w:t>
      </w:r>
      <w:r w:rsidRPr="005D3AD5">
        <w:rPr>
          <w:rFonts w:eastAsiaTheme="minorEastAsia"/>
          <w:szCs w:val="28"/>
        </w:rPr>
        <w:t xml:space="preserve"> nodrošināšanai OI sistēmas administrēšanas pilnveidošanai.</w:t>
      </w:r>
    </w:p>
    <w:bookmarkEnd w:id="189"/>
    <w:p w14:paraId="7013E36E" w14:textId="77777777" w:rsidR="00EE1CF5" w:rsidRDefault="00EE1CF5" w:rsidP="00EE1CF5">
      <w:pPr>
        <w:spacing w:before="120"/>
        <w:ind w:firstLine="720"/>
        <w:rPr>
          <w:sz w:val="22"/>
        </w:rPr>
      </w:pPr>
      <w:r>
        <w:t xml:space="preserve">Attiecībā uz juridiskā atbalsta aktualitāti būtiski vērst uzmanību uz nepieciešamību </w:t>
      </w:r>
      <w:r w:rsidRPr="00D371DF">
        <w:rPr>
          <w:rFonts w:eastAsiaTheme="minorEastAsia"/>
          <w:szCs w:val="28"/>
        </w:rPr>
        <w:t>nodrošināt</w:t>
      </w:r>
      <w:r>
        <w:t xml:space="preserve"> Ekonomikas ministrijas interešu kvalitatīvu pārstāvību administratīvajā procesā Latvijas Republikas tiesu instancēs par Ekonomikas ministrijas pieņemto lēmumu attiecībā uz SIA “Rīgas Enerģija” par obligātā iepirkuma tiesību atcelšanu ir nepieciešama kompetenta speciālista (-u) palīdzība jautājumos, kas saistīta ar civiltiesību un administratīvo tiesību nozares jautājumiem, jo šī administratīvā procesa ietvaros veikto darbību efektīva nodrošināšana nav iespējama ar Ekonomikas ministrijas amatpersonu vai darbinieku kapacitāti un kompetences apjomu, un pakalpojuma sniedzējs, ņemot vērā viņa kvalifikāciju un zināšanas civiltiesību (t.sk. padziļinātas zināšanas komerctiesībās) un administratīvo tiesību nozarēs varētu veikt Ekonomikas ministrijas interešu pārstāvību efektīvāk.</w:t>
      </w:r>
    </w:p>
    <w:p w14:paraId="4608F0D7" w14:textId="77777777" w:rsidR="00EE1CF5" w:rsidRPr="005D3AD5" w:rsidRDefault="00EE1CF5" w:rsidP="00EE1CF5">
      <w:pPr>
        <w:spacing w:before="120"/>
        <w:ind w:firstLine="720"/>
        <w:rPr>
          <w:rFonts w:eastAsiaTheme="minorEastAsia"/>
          <w:szCs w:val="28"/>
        </w:rPr>
      </w:pPr>
      <w:r>
        <w:rPr>
          <w:rFonts w:eastAsiaTheme="minorEastAsia"/>
          <w:szCs w:val="28"/>
        </w:rPr>
        <w:t>Administrēšanas</w:t>
      </w:r>
      <w:r w:rsidRPr="005D3AD5">
        <w:rPr>
          <w:rFonts w:eastAsiaTheme="minorEastAsia"/>
          <w:szCs w:val="28"/>
        </w:rPr>
        <w:t xml:space="preserve"> funkciju veik</w:t>
      </w:r>
      <w:r>
        <w:rPr>
          <w:rFonts w:eastAsiaTheme="minorEastAsia"/>
          <w:szCs w:val="28"/>
        </w:rPr>
        <w:t>šanai nepieciešamās papildu amata vietas plānots</w:t>
      </w:r>
      <w:r w:rsidRPr="005D3AD5">
        <w:rPr>
          <w:rFonts w:eastAsiaTheme="minorEastAsia"/>
          <w:szCs w:val="28"/>
        </w:rPr>
        <w:t xml:space="preserve"> </w:t>
      </w:r>
      <w:r>
        <w:rPr>
          <w:rFonts w:eastAsiaTheme="minorEastAsia"/>
          <w:szCs w:val="28"/>
        </w:rPr>
        <w:t>pārdalīt</w:t>
      </w:r>
      <w:r w:rsidRPr="005D3AD5">
        <w:rPr>
          <w:rFonts w:eastAsiaTheme="minorEastAsia"/>
          <w:szCs w:val="28"/>
        </w:rPr>
        <w:t xml:space="preserve"> no </w:t>
      </w:r>
      <w:r>
        <w:rPr>
          <w:rFonts w:eastAsiaTheme="minorEastAsia"/>
          <w:szCs w:val="28"/>
        </w:rPr>
        <w:t>EM</w:t>
      </w:r>
      <w:r w:rsidRPr="005D3AD5">
        <w:rPr>
          <w:rFonts w:eastAsiaTheme="minorEastAsia"/>
          <w:szCs w:val="28"/>
        </w:rPr>
        <w:t xml:space="preserve"> resorā esošās </w:t>
      </w:r>
      <w:r>
        <w:rPr>
          <w:rFonts w:eastAsiaTheme="minorEastAsia"/>
          <w:szCs w:val="28"/>
        </w:rPr>
        <w:t>CSP</w:t>
      </w:r>
      <w:r w:rsidRPr="005D3AD5">
        <w:rPr>
          <w:rFonts w:eastAsiaTheme="minorEastAsia"/>
          <w:szCs w:val="28"/>
        </w:rPr>
        <w:t>. Ņemto vērā to, ka ar šo amata vietu pārveidošanu faktiski tiek labotas iepriekš pieļautās kļūdas</w:t>
      </w:r>
      <w:r>
        <w:rPr>
          <w:rFonts w:eastAsiaTheme="minorEastAsia"/>
          <w:szCs w:val="28"/>
        </w:rPr>
        <w:t>,</w:t>
      </w:r>
      <w:r w:rsidRPr="005D3AD5">
        <w:rPr>
          <w:rFonts w:eastAsiaTheme="minorEastAsia"/>
          <w:szCs w:val="28"/>
        </w:rPr>
        <w:t xml:space="preserve"> plānojot politikas ieviešanas pasākumus, proti, netika plānoti resursi politikas ieviešanai un </w:t>
      </w:r>
      <w:r>
        <w:rPr>
          <w:rFonts w:eastAsiaTheme="minorEastAsia"/>
          <w:szCs w:val="28"/>
        </w:rPr>
        <w:t xml:space="preserve">šī </w:t>
      </w:r>
      <w:r w:rsidRPr="005D3AD5">
        <w:rPr>
          <w:rFonts w:eastAsiaTheme="minorEastAsia"/>
          <w:szCs w:val="28"/>
        </w:rPr>
        <w:t>funkcija tika veikta uz politikas plānošanas funkcij</w:t>
      </w:r>
      <w:r>
        <w:rPr>
          <w:rFonts w:eastAsiaTheme="minorEastAsia"/>
          <w:szCs w:val="28"/>
        </w:rPr>
        <w:t>as pilnvērtīgas izpildes rēķina.</w:t>
      </w:r>
      <w:r w:rsidRPr="005D3AD5">
        <w:rPr>
          <w:rFonts w:eastAsiaTheme="minorEastAsia"/>
          <w:szCs w:val="28"/>
        </w:rPr>
        <w:t xml:space="preserve"> </w:t>
      </w:r>
      <w:r>
        <w:rPr>
          <w:rFonts w:eastAsiaTheme="minorEastAsia"/>
          <w:szCs w:val="28"/>
        </w:rPr>
        <w:t>CSP</w:t>
      </w:r>
      <w:r w:rsidRPr="005D3AD5">
        <w:rPr>
          <w:rFonts w:eastAsiaTheme="minorEastAsia"/>
          <w:szCs w:val="28"/>
        </w:rPr>
        <w:t xml:space="preserve"> pārdalītās amata vietas ir ieskaitāmas </w:t>
      </w:r>
      <w:r>
        <w:rPr>
          <w:rFonts w:eastAsiaTheme="minorEastAsia"/>
          <w:szCs w:val="28"/>
        </w:rPr>
        <w:t>EM</w:t>
      </w:r>
      <w:r w:rsidRPr="005D3AD5">
        <w:rPr>
          <w:rFonts w:eastAsiaTheme="minorEastAsia"/>
          <w:szCs w:val="28"/>
        </w:rPr>
        <w:t xml:space="preserve"> resora amata vietu skaita samazinājumā, kas paredzēts </w:t>
      </w:r>
      <w:r>
        <w:rPr>
          <w:rFonts w:eastAsiaTheme="minorEastAsia"/>
          <w:szCs w:val="28"/>
        </w:rPr>
        <w:t xml:space="preserve">saskaņā ar </w:t>
      </w:r>
      <w:r w:rsidRPr="005D3AD5">
        <w:rPr>
          <w:rFonts w:eastAsiaTheme="minorEastAsia"/>
          <w:szCs w:val="28"/>
        </w:rPr>
        <w:t xml:space="preserve">2017.gada 24.novembra </w:t>
      </w:r>
      <w:r>
        <w:rPr>
          <w:rFonts w:eastAsiaTheme="minorEastAsia"/>
          <w:szCs w:val="28"/>
        </w:rPr>
        <w:t>MK</w:t>
      </w:r>
      <w:r w:rsidRPr="005D3AD5">
        <w:rPr>
          <w:rFonts w:eastAsiaTheme="minorEastAsia"/>
          <w:szCs w:val="28"/>
        </w:rPr>
        <w:t xml:space="preserve"> rīkojum</w:t>
      </w:r>
      <w:r>
        <w:rPr>
          <w:rFonts w:eastAsiaTheme="minorEastAsia"/>
          <w:szCs w:val="28"/>
        </w:rPr>
        <w:t>u</w:t>
      </w:r>
      <w:r w:rsidRPr="005D3AD5">
        <w:rPr>
          <w:rFonts w:eastAsiaTheme="minorEastAsia"/>
          <w:szCs w:val="28"/>
        </w:rPr>
        <w:t xml:space="preserve"> Nr.701 </w:t>
      </w:r>
      <w:r>
        <w:rPr>
          <w:rFonts w:eastAsiaTheme="minorEastAsia"/>
          <w:szCs w:val="28"/>
        </w:rPr>
        <w:t>“</w:t>
      </w:r>
      <w:r w:rsidRPr="005D3AD5">
        <w:rPr>
          <w:rFonts w:eastAsiaTheme="minorEastAsia"/>
          <w:szCs w:val="28"/>
        </w:rPr>
        <w:t>Par valsts pārvaldes reformu plānu</w:t>
      </w:r>
      <w:r>
        <w:rPr>
          <w:rFonts w:eastAsiaTheme="minorEastAsia"/>
          <w:szCs w:val="28"/>
        </w:rPr>
        <w:t>”.</w:t>
      </w:r>
    </w:p>
    <w:p w14:paraId="600C47F0" w14:textId="77777777" w:rsidR="00EE1CF5" w:rsidRPr="00046D62" w:rsidRDefault="00EE1CF5" w:rsidP="00EE1CF5">
      <w:pPr>
        <w:spacing w:before="120"/>
        <w:ind w:firstLine="720"/>
        <w:rPr>
          <w:rFonts w:eastAsiaTheme="minorEastAsia"/>
          <w:color w:val="000000" w:themeColor="text1"/>
          <w:szCs w:val="28"/>
        </w:rPr>
      </w:pPr>
      <w:r w:rsidRPr="00046D62">
        <w:rPr>
          <w:rFonts w:eastAsiaTheme="minorEastAsia"/>
          <w:bCs/>
          <w:color w:val="000000" w:themeColor="text1"/>
          <w:szCs w:val="28"/>
        </w:rPr>
        <w:t>Lai veicinātu enerģētikas politikas</w:t>
      </w:r>
      <w:r>
        <w:rPr>
          <w:rFonts w:eastAsiaTheme="minorEastAsia"/>
          <w:bCs/>
          <w:color w:val="000000" w:themeColor="text1"/>
          <w:szCs w:val="28"/>
        </w:rPr>
        <w:t xml:space="preserve"> plānošanas un</w:t>
      </w:r>
      <w:r w:rsidRPr="00046D62">
        <w:rPr>
          <w:rFonts w:eastAsiaTheme="minorEastAsia"/>
          <w:bCs/>
          <w:color w:val="000000" w:themeColor="text1"/>
          <w:szCs w:val="28"/>
        </w:rPr>
        <w:t xml:space="preserve"> administrēšanas efektivitāti, 2018.gadā uzsākta reorganizācija – </w:t>
      </w:r>
      <w:r w:rsidRPr="00046D62">
        <w:rPr>
          <w:rFonts w:eastAsiaTheme="minorEastAsia" w:cs="Times New Roman"/>
          <w:szCs w:val="28"/>
        </w:rPr>
        <w:t>nodalot</w:t>
      </w:r>
      <w:r w:rsidRPr="00046D62">
        <w:rPr>
          <w:rFonts w:eastAsiaTheme="minorEastAsia"/>
          <w:bCs/>
          <w:color w:val="000000" w:themeColor="text1"/>
          <w:szCs w:val="28"/>
        </w:rPr>
        <w:t xml:space="preserve"> enerģētikas politikas administrēšanas funkcijas no enerģētikas politikas plānošanas, kas tiek veikta trīs </w:t>
      </w:r>
      <w:r>
        <w:rPr>
          <w:rFonts w:eastAsiaTheme="minorEastAsia"/>
          <w:bCs/>
          <w:color w:val="000000" w:themeColor="text1"/>
          <w:szCs w:val="28"/>
        </w:rPr>
        <w:t>posmos</w:t>
      </w:r>
      <w:r w:rsidRPr="00046D62">
        <w:rPr>
          <w:rFonts w:eastAsiaTheme="minorEastAsia"/>
          <w:bCs/>
          <w:color w:val="000000" w:themeColor="text1"/>
          <w:szCs w:val="28"/>
        </w:rPr>
        <w:t>:</w:t>
      </w:r>
    </w:p>
    <w:p w14:paraId="5230A83D" w14:textId="77777777" w:rsidR="00EE1CF5" w:rsidRPr="0056210C" w:rsidRDefault="00EE1CF5" w:rsidP="00EE1CF5">
      <w:pPr>
        <w:numPr>
          <w:ilvl w:val="0"/>
          <w:numId w:val="22"/>
        </w:numPr>
        <w:spacing w:before="120"/>
        <w:rPr>
          <w:color w:val="000000" w:themeColor="text1"/>
          <w:szCs w:val="28"/>
        </w:rPr>
      </w:pPr>
      <w:r>
        <w:rPr>
          <w:color w:val="000000" w:themeColor="text1"/>
          <w:szCs w:val="28"/>
        </w:rPr>
        <w:t xml:space="preserve">Ar 01.03.2018. </w:t>
      </w:r>
      <w:r w:rsidRPr="00046D62">
        <w:rPr>
          <w:rFonts w:eastAsiaTheme="minorEastAsia"/>
          <w:bCs/>
          <w:color w:val="000000" w:themeColor="text1"/>
          <w:szCs w:val="28"/>
        </w:rPr>
        <w:t>–</w:t>
      </w:r>
      <w:r>
        <w:rPr>
          <w:rFonts w:eastAsiaTheme="minorEastAsia"/>
          <w:bCs/>
          <w:color w:val="000000" w:themeColor="text1"/>
          <w:szCs w:val="28"/>
        </w:rPr>
        <w:t xml:space="preserve"> </w:t>
      </w:r>
      <w:r w:rsidRPr="00046D62">
        <w:rPr>
          <w:color w:val="000000" w:themeColor="text1"/>
          <w:szCs w:val="28"/>
        </w:rPr>
        <w:t>Enerģētikas politikas administrēšanas (ieviešanas) nodalīšana no enerģētikas politikas veidošanas (</w:t>
      </w:r>
      <w:r>
        <w:rPr>
          <w:color w:val="000000" w:themeColor="text1"/>
          <w:szCs w:val="28"/>
        </w:rPr>
        <w:t>EM</w:t>
      </w:r>
      <w:r w:rsidRPr="00046D62">
        <w:rPr>
          <w:color w:val="000000" w:themeColor="text1"/>
          <w:szCs w:val="28"/>
        </w:rPr>
        <w:t xml:space="preserve"> enerģētikas sektorā izdalīts Enerģētikas politikas administrēšanas departaments);</w:t>
      </w:r>
    </w:p>
    <w:p w14:paraId="2FB31523" w14:textId="77777777" w:rsidR="00EE1CF5" w:rsidRPr="00AE1F2D" w:rsidRDefault="00EE1CF5" w:rsidP="00EE1CF5">
      <w:pPr>
        <w:numPr>
          <w:ilvl w:val="0"/>
          <w:numId w:val="22"/>
        </w:numPr>
        <w:spacing w:before="120"/>
        <w:rPr>
          <w:color w:val="000000" w:themeColor="text1"/>
          <w:szCs w:val="28"/>
        </w:rPr>
      </w:pPr>
      <w:r>
        <w:rPr>
          <w:color w:val="000000" w:themeColor="text1"/>
          <w:szCs w:val="28"/>
        </w:rPr>
        <w:t>Ar 01.</w:t>
      </w:r>
      <w:r w:rsidRPr="00046D62">
        <w:rPr>
          <w:color w:val="000000" w:themeColor="text1"/>
          <w:szCs w:val="28"/>
        </w:rPr>
        <w:t>0</w:t>
      </w:r>
      <w:r>
        <w:rPr>
          <w:color w:val="000000" w:themeColor="text1"/>
          <w:szCs w:val="28"/>
        </w:rPr>
        <w:t>1.2019</w:t>
      </w:r>
      <w:r w:rsidRPr="00046D62">
        <w:rPr>
          <w:color w:val="000000" w:themeColor="text1"/>
          <w:szCs w:val="28"/>
        </w:rPr>
        <w:t xml:space="preserve">. </w:t>
      </w:r>
      <w:r w:rsidRPr="00046D62">
        <w:rPr>
          <w:rFonts w:eastAsiaTheme="minorEastAsia"/>
          <w:bCs/>
          <w:color w:val="000000" w:themeColor="text1"/>
          <w:szCs w:val="28"/>
        </w:rPr>
        <w:t>–</w:t>
      </w:r>
      <w:r w:rsidRPr="00046D62">
        <w:rPr>
          <w:color w:val="000000" w:themeColor="text1"/>
          <w:szCs w:val="28"/>
        </w:rPr>
        <w:t xml:space="preserve"> Enerģētikas politikas administrēšanas (ieviešanas) izdalīšana no enerģētikas sektora uzraudzības (nodalīšana no pakļautības valsts sekretāra vietniekam enerģētikas jautājumos);</w:t>
      </w:r>
    </w:p>
    <w:p w14:paraId="043EA58D" w14:textId="77777777" w:rsidR="00EE1CF5" w:rsidRPr="005D3AD5" w:rsidRDefault="00EE1CF5" w:rsidP="00EE1CF5">
      <w:pPr>
        <w:pStyle w:val="ListParagraph"/>
        <w:numPr>
          <w:ilvl w:val="0"/>
          <w:numId w:val="22"/>
        </w:numPr>
        <w:spacing w:before="120"/>
        <w:contextualSpacing w:val="0"/>
        <w:rPr>
          <w:color w:val="000000" w:themeColor="text1"/>
          <w:szCs w:val="28"/>
        </w:rPr>
      </w:pPr>
      <w:r w:rsidRPr="005D3AD5">
        <w:rPr>
          <w:color w:val="000000" w:themeColor="text1"/>
          <w:szCs w:val="28"/>
        </w:rPr>
        <w:t xml:space="preserve">Ar 01.01.2020. </w:t>
      </w:r>
      <w:r w:rsidRPr="005D3AD5">
        <w:rPr>
          <w:rFonts w:eastAsiaTheme="minorEastAsia"/>
          <w:bCs/>
          <w:color w:val="000000" w:themeColor="text1"/>
          <w:szCs w:val="28"/>
        </w:rPr>
        <w:t>–</w:t>
      </w:r>
      <w:r w:rsidRPr="005D3AD5">
        <w:rPr>
          <w:color w:val="000000" w:themeColor="text1"/>
          <w:szCs w:val="28"/>
        </w:rPr>
        <w:t xml:space="preserve"> Enerģētikas politikas administrēšanas (ieviešanas) izdalīšana no </w:t>
      </w:r>
      <w:r>
        <w:rPr>
          <w:color w:val="000000" w:themeColor="text1"/>
          <w:szCs w:val="28"/>
        </w:rPr>
        <w:t>EM</w:t>
      </w:r>
      <w:r w:rsidRPr="005D3AD5">
        <w:rPr>
          <w:color w:val="000000" w:themeColor="text1"/>
          <w:szCs w:val="28"/>
        </w:rPr>
        <w:t xml:space="preserve"> (struktūrvienība tiek nodota Būvniecības valsts kontroles birojam).</w:t>
      </w:r>
    </w:p>
    <w:p w14:paraId="7261D0C9" w14:textId="77777777" w:rsidR="00EE1CF5" w:rsidRDefault="00EE1CF5" w:rsidP="00EE1CF5">
      <w:pPr>
        <w:spacing w:before="120"/>
        <w:ind w:firstLine="720"/>
      </w:pPr>
      <w:bookmarkStart w:id="190" w:name="_Toc256000046"/>
      <w:bookmarkStart w:id="191" w:name="_Toc523478573"/>
      <w:bookmarkStart w:id="192" w:name="_Toc523492872"/>
      <w:bookmarkStart w:id="193" w:name="_Toc523492939"/>
      <w:r w:rsidRPr="00987292">
        <w:t xml:space="preserve">Ņemot vērā nepieciešamību veikt izmaiņas normatīvajos aktos trešā posma īstenošanai skatīšanai </w:t>
      </w:r>
      <w:r w:rsidRPr="00562305">
        <w:rPr>
          <w:rFonts w:eastAsiaTheme="minorEastAsia"/>
          <w:szCs w:val="28"/>
        </w:rPr>
        <w:t>MK</w:t>
      </w:r>
      <w:r w:rsidRPr="00987292">
        <w:t xml:space="preserve"> tiks virzīts konceptuālais ziņojums.</w:t>
      </w:r>
      <w:bookmarkEnd w:id="188"/>
      <w:bookmarkEnd w:id="190"/>
      <w:bookmarkEnd w:id="191"/>
      <w:bookmarkEnd w:id="192"/>
      <w:bookmarkEnd w:id="193"/>
    </w:p>
    <w:p w14:paraId="2D93A28F" w14:textId="77777777" w:rsidR="00EE1CF5" w:rsidRDefault="00EE1CF5" w:rsidP="00EE1CF5">
      <w:pPr>
        <w:spacing w:before="120"/>
        <w:ind w:firstLine="720"/>
      </w:pPr>
      <w:r>
        <w:t>Līdztekus minētajam tiks turpināts darbs arī pie normatīvo aktu uzlabošanas valsts atbalsta administrēšanas jautājumos, t.sk. ņemot vērā EPT pārbaudēs gūto pieredzi. Ņemot vērā šobrīd Saeimā virzītos grozījumus ETL, EM ir piedāvājusi stiprināt elektrostaciju uzraudzības un kontroles jautājumus likuma līmenī.</w:t>
      </w:r>
    </w:p>
    <w:p w14:paraId="13D02563" w14:textId="77777777" w:rsidR="00EE1CF5" w:rsidRDefault="00EE1CF5" w:rsidP="00EE1CF5">
      <w:pPr>
        <w:ind w:firstLine="360"/>
      </w:pPr>
    </w:p>
    <w:p w14:paraId="33370DD9" w14:textId="77777777" w:rsidR="00EE1CF5" w:rsidRPr="0089139C" w:rsidRDefault="00EE1CF5" w:rsidP="00EE1CF5">
      <w:pPr>
        <w:pStyle w:val="11apaknodaa"/>
      </w:pPr>
      <w:bookmarkStart w:id="194" w:name="_Toc528305609"/>
      <w:bookmarkStart w:id="195" w:name="_Toc256000072"/>
      <w:bookmarkStart w:id="196" w:name="_Toc528585677"/>
      <w:r>
        <w:br/>
      </w:r>
      <w:r>
        <w:br/>
      </w:r>
      <w:bookmarkStart w:id="197" w:name="_Toc531798590"/>
      <w:r w:rsidRPr="00FA6BBC">
        <w:lastRenderedPageBreak/>
        <w:t>5</w:t>
      </w:r>
      <w:r>
        <w:t xml:space="preserve">.5. Administratīvā atbildība par </w:t>
      </w:r>
      <w:bookmarkEnd w:id="194"/>
      <w:bookmarkEnd w:id="195"/>
      <w:bookmarkEnd w:id="196"/>
      <w:r w:rsidRPr="00FA3044">
        <w:t xml:space="preserve">pārkāpumiem </w:t>
      </w:r>
      <w:r w:rsidRPr="00FA3044">
        <w:rPr>
          <w:bCs/>
        </w:rPr>
        <w:t>elektroenerģijas ražošanas jomā</w:t>
      </w:r>
      <w:bookmarkEnd w:id="197"/>
      <w:r>
        <w:br/>
      </w:r>
    </w:p>
    <w:p w14:paraId="621B113A" w14:textId="77777777" w:rsidR="00EE1CF5" w:rsidRPr="00BA18A5" w:rsidRDefault="00EE1CF5" w:rsidP="00EE1CF5">
      <w:pPr>
        <w:ind w:firstLine="720"/>
        <w:rPr>
          <w:bCs/>
        </w:rPr>
      </w:pPr>
      <w:r w:rsidRPr="00BA18A5">
        <w:rPr>
          <w:bCs/>
        </w:rPr>
        <w:t>Praksē bieži tiek konstatēti sistemātiski normatīvo aktu prasību pārkāpumi no komersantu (elektroenerģijas ražotāji, kam ir piešķirtas tiesības pārdot saražoto elektroenerģiju obligātā iepirkuma (OI) ietvaros vai saņemt garantēto maksu par elektrostacijā uzstādīto elektrisko jaudu) puses. Lai efektīvi un preventīvi novērstu šādu pārkāpumu izdarīšanu, tiks vērtēta administratīvās atbildības regulējuma ieviešana elektroenerģijas ražošanas jomā.</w:t>
      </w:r>
    </w:p>
    <w:p w14:paraId="4370BE47" w14:textId="77777777" w:rsidR="00EE1CF5" w:rsidRPr="00FA3044" w:rsidRDefault="00EE1CF5" w:rsidP="00EE1CF5">
      <w:pPr>
        <w:ind w:firstLine="720"/>
      </w:pPr>
      <w:r w:rsidRPr="00BA18A5">
        <w:rPr>
          <w:bCs/>
        </w:rPr>
        <w:t xml:space="preserve">Ņemot vērā 2016. gada 13. decembrī apstiprinātajā informatīvajā ziņojumā </w:t>
      </w:r>
      <w:r>
        <w:rPr>
          <w:bCs/>
        </w:rPr>
        <w:t>“</w:t>
      </w:r>
      <w:r w:rsidRPr="00BA18A5">
        <w:rPr>
          <w:bCs/>
        </w:rPr>
        <w:t>Nozares administratīvo pārkāpumu kodifikācijas ieviešanas sistēmas īstenošana</w:t>
      </w:r>
      <w:r>
        <w:rPr>
          <w:bCs/>
        </w:rPr>
        <w:t>”</w:t>
      </w:r>
      <w:r w:rsidRPr="00BA18A5">
        <w:rPr>
          <w:bCs/>
        </w:rPr>
        <w:t xml:space="preserve"> norādīto, ka izstrādātie likumprojekti pirms to izsludināšanas Valsts sekretāru sanāksmē (VSS) ir nododami apspriešanai Tieslietu ministrijas izveidotajā Latvijas Administratīvo pārkāpumu kodeksa pastāvīgajā darba grupā (turpmāk – Darba grupa), izstrādāto likumprojektu saistībā ar administratīvās atbildības noteikšanu ir plānots nodot apspriešanai Darba grupā.</w:t>
      </w:r>
      <w:r>
        <w:rPr>
          <w:bCs/>
        </w:rPr>
        <w:t xml:space="preserve"> </w:t>
      </w:r>
    </w:p>
    <w:p w14:paraId="57408C53" w14:textId="77777777" w:rsidR="00EE1CF5" w:rsidRPr="009E2E1A" w:rsidRDefault="00EE1CF5" w:rsidP="00EE1CF5">
      <w:pPr>
        <w:spacing w:before="120"/>
        <w:rPr>
          <w:rFonts w:eastAsiaTheme="minorEastAsia"/>
          <w:szCs w:val="28"/>
        </w:rPr>
        <w:sectPr w:rsidR="00EE1CF5" w:rsidRPr="009E2E1A" w:rsidSect="0046737F">
          <w:footerReference w:type="default" r:id="rId29"/>
          <w:pgSz w:w="11906" w:h="16838"/>
          <w:pgMar w:top="993" w:right="1134" w:bottom="1276" w:left="1701" w:header="709" w:footer="709" w:gutter="0"/>
          <w:cols w:space="708"/>
          <w:titlePg/>
          <w:docGrid w:linePitch="381"/>
        </w:sectPr>
      </w:pPr>
      <w:r w:rsidRPr="009E2E1A">
        <w:rPr>
          <w:rFonts w:eastAsiaTheme="minorEastAsia"/>
          <w:szCs w:val="28"/>
        </w:rPr>
        <w:t xml:space="preserve"> </w:t>
      </w:r>
    </w:p>
    <w:p w14:paraId="62542085" w14:textId="77777777" w:rsidR="00EE1CF5" w:rsidRDefault="00EE1CF5" w:rsidP="00EE1CF5">
      <w:pPr>
        <w:pStyle w:val="1nodaa"/>
      </w:pPr>
      <w:bookmarkStart w:id="198" w:name="_Toc256000073"/>
      <w:bookmarkStart w:id="199" w:name="_Toc256000047"/>
      <w:bookmarkStart w:id="200" w:name="_Toc523492940"/>
      <w:bookmarkStart w:id="201" w:name="_Toc528585678"/>
      <w:bookmarkStart w:id="202" w:name="_Toc531798591"/>
      <w:r>
        <w:lastRenderedPageBreak/>
        <w:t xml:space="preserve">6. </w:t>
      </w:r>
      <w:r w:rsidRPr="006744B2">
        <w:t>Risinājumi</w:t>
      </w:r>
      <w:bookmarkEnd w:id="198"/>
      <w:bookmarkEnd w:id="199"/>
      <w:bookmarkEnd w:id="200"/>
      <w:bookmarkEnd w:id="201"/>
      <w:bookmarkEnd w:id="202"/>
    </w:p>
    <w:p w14:paraId="50707C63" w14:textId="77777777" w:rsidR="00EE1CF5" w:rsidRPr="00AE3CD6" w:rsidRDefault="00EE1CF5" w:rsidP="00EE1CF5">
      <w:pPr>
        <w:ind w:firstLine="720"/>
        <w:rPr>
          <w:b/>
          <w:szCs w:val="26"/>
        </w:rPr>
      </w:pPr>
    </w:p>
    <w:p w14:paraId="0660B54A" w14:textId="77777777" w:rsidR="00EE1CF5" w:rsidRPr="00C15D19" w:rsidRDefault="00EE1CF5" w:rsidP="00EE1CF5">
      <w:pPr>
        <w:pStyle w:val="11apaknodaa"/>
      </w:pPr>
      <w:bookmarkStart w:id="203" w:name="_Toc256000074"/>
      <w:bookmarkStart w:id="204" w:name="_Toc256000048"/>
      <w:bookmarkStart w:id="205" w:name="_Toc523492941"/>
      <w:bookmarkStart w:id="206" w:name="_Toc528585679"/>
      <w:bookmarkStart w:id="207" w:name="_Toc531798592"/>
      <w:r w:rsidRPr="00C15D19">
        <w:t>1.risinājums</w:t>
      </w:r>
      <w:bookmarkEnd w:id="203"/>
      <w:bookmarkEnd w:id="204"/>
      <w:bookmarkEnd w:id="205"/>
      <w:bookmarkEnd w:id="206"/>
      <w:bookmarkEnd w:id="207"/>
      <w:r>
        <w:br/>
      </w:r>
    </w:p>
    <w:p w14:paraId="47178AC2" w14:textId="77777777" w:rsidR="00EE1CF5" w:rsidRDefault="00EE1CF5" w:rsidP="00EE1CF5">
      <w:pPr>
        <w:ind w:firstLine="720"/>
      </w:pPr>
      <w:r w:rsidRPr="00362441">
        <w:t xml:space="preserve">Šis risinājums paredz </w:t>
      </w:r>
      <w:r>
        <w:t xml:space="preserve">šobrīd spēkā esošā </w:t>
      </w:r>
      <w:r w:rsidRPr="004D6C7B">
        <w:t xml:space="preserve">scenārija </w:t>
      </w:r>
      <w:r>
        <w:t xml:space="preserve">(bez tiešiem OIK samazināšanas pasākumiem) </w:t>
      </w:r>
      <w:r w:rsidRPr="004D6C7B">
        <w:t>saglab</w:t>
      </w:r>
      <w:r>
        <w:t>āšanu</w:t>
      </w:r>
      <w:r w:rsidRPr="00362441">
        <w:t xml:space="preserve"> 2019.-2021. gadā</w:t>
      </w:r>
      <w:r>
        <w:t xml:space="preserve">, kad valsts budžets nodrošina OIK vidējās vērtības ierobežošanu 22,68 EUR/MWh līmenī. </w:t>
      </w:r>
    </w:p>
    <w:p w14:paraId="6D331B20" w14:textId="77777777" w:rsidR="00EE1CF5" w:rsidRDefault="00EE1CF5" w:rsidP="00EE1CF5">
      <w:pPr>
        <w:ind w:firstLine="720"/>
      </w:pPr>
    </w:p>
    <w:p w14:paraId="5CA494FB" w14:textId="77777777" w:rsidR="00EE1CF5" w:rsidRDefault="00EE1CF5" w:rsidP="00EE1CF5">
      <w:pPr>
        <w:ind w:firstLine="720"/>
        <w:rPr>
          <w:b/>
        </w:rPr>
      </w:pPr>
      <w:r w:rsidRPr="00A86D67">
        <w:rPr>
          <w:b/>
        </w:rPr>
        <w:t>Risinājuma īstenošanai nav nepieciešami grozījumi normatīvajos aktos.</w:t>
      </w:r>
    </w:p>
    <w:p w14:paraId="30F452DA" w14:textId="77777777" w:rsidR="00EE1CF5" w:rsidRPr="006744B2" w:rsidRDefault="00EE1CF5" w:rsidP="00EE1CF5">
      <w:pPr>
        <w:pStyle w:val="Caption"/>
        <w:keepNext/>
        <w:spacing w:after="0" w:line="240" w:lineRule="auto"/>
        <w:jc w:val="right"/>
        <w:rPr>
          <w:rFonts w:ascii="Times New Roman" w:hAnsi="Times New Roman"/>
          <w:b w:val="0"/>
          <w:i/>
          <w:sz w:val="26"/>
          <w:szCs w:val="26"/>
        </w:rPr>
      </w:pPr>
      <w:r w:rsidRPr="006744B2">
        <w:rPr>
          <w:rFonts w:ascii="Times New Roman" w:hAnsi="Times New Roman"/>
          <w:b w:val="0"/>
          <w:i/>
          <w:sz w:val="26"/>
          <w:szCs w:val="26"/>
        </w:rPr>
        <w:t>13.tabula</w:t>
      </w:r>
    </w:p>
    <w:p w14:paraId="281B3DBA" w14:textId="77777777" w:rsidR="00EE1CF5" w:rsidRPr="00E936FD" w:rsidRDefault="00EE1CF5" w:rsidP="00EE1CF5">
      <w:pPr>
        <w:pStyle w:val="Caption"/>
        <w:keepNext/>
        <w:keepLines/>
        <w:widowControl/>
        <w:jc w:val="center"/>
        <w:rPr>
          <w:rFonts w:ascii="Times New Roman" w:hAnsi="Times New Roman"/>
          <w:sz w:val="24"/>
          <w:szCs w:val="24"/>
        </w:rPr>
      </w:pPr>
      <w:r>
        <w:rPr>
          <w:rFonts w:ascii="Times New Roman" w:hAnsi="Times New Roman"/>
          <w:sz w:val="24"/>
          <w:szCs w:val="24"/>
        </w:rPr>
        <w:t>1</w:t>
      </w:r>
      <w:r w:rsidRPr="00E936FD">
        <w:rPr>
          <w:rFonts w:ascii="Times New Roman" w:hAnsi="Times New Roman"/>
          <w:sz w:val="24"/>
          <w:szCs w:val="24"/>
        </w:rPr>
        <w:t>. risinājuma ietekme uz valsts budžetu pēc Eiropas Nacionālo Kontu Sistēmas, EUR</w:t>
      </w:r>
    </w:p>
    <w:tbl>
      <w:tblPr>
        <w:tblW w:w="1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276"/>
        <w:gridCol w:w="1697"/>
        <w:gridCol w:w="1242"/>
        <w:gridCol w:w="1150"/>
        <w:gridCol w:w="1316"/>
        <w:gridCol w:w="1150"/>
        <w:gridCol w:w="1416"/>
      </w:tblGrid>
      <w:tr w:rsidR="00EE1CF5" w14:paraId="72A8AC71" w14:textId="77777777" w:rsidTr="00263AB1">
        <w:trPr>
          <w:trHeight w:val="288"/>
          <w:jc w:val="center"/>
        </w:trPr>
        <w:tc>
          <w:tcPr>
            <w:tcW w:w="4815" w:type="dxa"/>
            <w:shd w:val="clear" w:color="auto" w:fill="auto"/>
            <w:noWrap/>
            <w:vAlign w:val="bottom"/>
          </w:tcPr>
          <w:p w14:paraId="381BDBD1" w14:textId="77777777" w:rsidR="00EE1CF5" w:rsidRPr="00E936FD" w:rsidRDefault="00EE1CF5" w:rsidP="00263AB1">
            <w:pPr>
              <w:ind w:firstLine="34"/>
              <w:jc w:val="center"/>
              <w:rPr>
                <w:rFonts w:cs="Times New Roman"/>
                <w:b/>
                <w:bCs/>
                <w:sz w:val="20"/>
                <w:szCs w:val="20"/>
              </w:rPr>
            </w:pPr>
          </w:p>
        </w:tc>
        <w:tc>
          <w:tcPr>
            <w:tcW w:w="2973" w:type="dxa"/>
            <w:gridSpan w:val="2"/>
          </w:tcPr>
          <w:p w14:paraId="1FCCB333" w14:textId="77777777" w:rsidR="00EE1CF5" w:rsidRDefault="00EE1CF5" w:rsidP="00263AB1">
            <w:pPr>
              <w:ind w:firstLine="34"/>
              <w:jc w:val="center"/>
              <w:rPr>
                <w:b/>
                <w:bCs/>
                <w:color w:val="000000"/>
                <w:sz w:val="20"/>
                <w:szCs w:val="20"/>
              </w:rPr>
            </w:pPr>
            <w:r>
              <w:rPr>
                <w:b/>
                <w:bCs/>
                <w:color w:val="000000"/>
                <w:sz w:val="20"/>
                <w:szCs w:val="20"/>
              </w:rPr>
              <w:t>2018</w:t>
            </w:r>
          </w:p>
        </w:tc>
        <w:tc>
          <w:tcPr>
            <w:tcW w:w="2392" w:type="dxa"/>
            <w:gridSpan w:val="2"/>
            <w:shd w:val="clear" w:color="auto" w:fill="auto"/>
            <w:noWrap/>
            <w:vAlign w:val="center"/>
          </w:tcPr>
          <w:p w14:paraId="0B036FF1" w14:textId="77777777" w:rsidR="00EE1CF5" w:rsidRDefault="00EE1CF5" w:rsidP="00263AB1">
            <w:pPr>
              <w:ind w:firstLine="34"/>
              <w:jc w:val="center"/>
              <w:rPr>
                <w:b/>
                <w:bCs/>
                <w:color w:val="000000"/>
                <w:sz w:val="20"/>
                <w:szCs w:val="20"/>
              </w:rPr>
            </w:pPr>
            <w:r>
              <w:rPr>
                <w:b/>
                <w:bCs/>
                <w:color w:val="000000"/>
                <w:sz w:val="20"/>
                <w:szCs w:val="20"/>
              </w:rPr>
              <w:t>2019</w:t>
            </w:r>
          </w:p>
        </w:tc>
        <w:tc>
          <w:tcPr>
            <w:tcW w:w="2466" w:type="dxa"/>
            <w:gridSpan w:val="2"/>
            <w:tcBorders>
              <w:top w:val="single" w:sz="4" w:space="0" w:color="auto"/>
            </w:tcBorders>
            <w:shd w:val="clear" w:color="auto" w:fill="auto"/>
            <w:noWrap/>
            <w:vAlign w:val="center"/>
          </w:tcPr>
          <w:p w14:paraId="1DEA1DCF" w14:textId="77777777" w:rsidR="00EE1CF5" w:rsidRDefault="00EE1CF5" w:rsidP="00263AB1">
            <w:pPr>
              <w:jc w:val="center"/>
              <w:rPr>
                <w:b/>
                <w:bCs/>
                <w:color w:val="000000"/>
                <w:sz w:val="20"/>
                <w:szCs w:val="20"/>
              </w:rPr>
            </w:pPr>
            <w:r>
              <w:rPr>
                <w:b/>
                <w:bCs/>
                <w:color w:val="000000"/>
                <w:sz w:val="20"/>
                <w:szCs w:val="20"/>
              </w:rPr>
              <w:t>2020</w:t>
            </w:r>
          </w:p>
        </w:tc>
        <w:tc>
          <w:tcPr>
            <w:tcW w:w="1416" w:type="dxa"/>
            <w:tcBorders>
              <w:top w:val="single" w:sz="4" w:space="0" w:color="auto"/>
              <w:bottom w:val="single" w:sz="4" w:space="0" w:color="auto"/>
              <w:right w:val="single" w:sz="4" w:space="0" w:color="auto"/>
            </w:tcBorders>
            <w:shd w:val="clear" w:color="auto" w:fill="auto"/>
            <w:noWrap/>
            <w:vAlign w:val="center"/>
          </w:tcPr>
          <w:p w14:paraId="39865CF3" w14:textId="77777777" w:rsidR="00EE1CF5" w:rsidRDefault="00EE1CF5" w:rsidP="00263AB1">
            <w:pPr>
              <w:jc w:val="center"/>
              <w:rPr>
                <w:b/>
                <w:bCs/>
                <w:color w:val="000000"/>
                <w:sz w:val="20"/>
                <w:szCs w:val="20"/>
              </w:rPr>
            </w:pPr>
            <w:r>
              <w:rPr>
                <w:b/>
                <w:bCs/>
                <w:color w:val="000000"/>
                <w:sz w:val="20"/>
                <w:szCs w:val="20"/>
              </w:rPr>
              <w:t>2021</w:t>
            </w:r>
          </w:p>
        </w:tc>
      </w:tr>
      <w:tr w:rsidR="00EE1CF5" w14:paraId="16D5ACF4" w14:textId="77777777" w:rsidTr="00263AB1">
        <w:trPr>
          <w:trHeight w:val="288"/>
          <w:jc w:val="center"/>
        </w:trPr>
        <w:tc>
          <w:tcPr>
            <w:tcW w:w="4815" w:type="dxa"/>
            <w:shd w:val="clear" w:color="auto" w:fill="auto"/>
            <w:noWrap/>
            <w:vAlign w:val="bottom"/>
          </w:tcPr>
          <w:p w14:paraId="4BEC66E8" w14:textId="77777777" w:rsidR="00EE1CF5" w:rsidRPr="00E936FD" w:rsidRDefault="00EE1CF5" w:rsidP="00263AB1">
            <w:pPr>
              <w:ind w:firstLine="34"/>
              <w:jc w:val="center"/>
              <w:rPr>
                <w:rFonts w:cs="Times New Roman"/>
                <w:b/>
                <w:bCs/>
                <w:sz w:val="20"/>
                <w:szCs w:val="20"/>
              </w:rPr>
            </w:pPr>
          </w:p>
        </w:tc>
        <w:tc>
          <w:tcPr>
            <w:tcW w:w="1276" w:type="dxa"/>
            <w:vAlign w:val="center"/>
          </w:tcPr>
          <w:p w14:paraId="4734B5DC"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2017. gada prognoze</w:t>
            </w:r>
          </w:p>
        </w:tc>
        <w:tc>
          <w:tcPr>
            <w:tcW w:w="1697" w:type="dxa"/>
            <w:vAlign w:val="center"/>
          </w:tcPr>
          <w:p w14:paraId="4C31A21F"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Prognoze</w:t>
            </w:r>
          </w:p>
        </w:tc>
        <w:tc>
          <w:tcPr>
            <w:tcW w:w="1242" w:type="dxa"/>
            <w:shd w:val="clear" w:color="auto" w:fill="auto"/>
            <w:noWrap/>
            <w:vAlign w:val="center"/>
          </w:tcPr>
          <w:p w14:paraId="27255A00"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2017. gada prognoze</w:t>
            </w:r>
          </w:p>
        </w:tc>
        <w:tc>
          <w:tcPr>
            <w:tcW w:w="1150" w:type="dxa"/>
            <w:vAlign w:val="center"/>
          </w:tcPr>
          <w:p w14:paraId="5EFA8A90"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Prognoze</w:t>
            </w:r>
          </w:p>
        </w:tc>
        <w:tc>
          <w:tcPr>
            <w:tcW w:w="1316" w:type="dxa"/>
            <w:tcBorders>
              <w:top w:val="single" w:sz="4" w:space="0" w:color="auto"/>
            </w:tcBorders>
            <w:shd w:val="clear" w:color="auto" w:fill="auto"/>
            <w:noWrap/>
            <w:vAlign w:val="center"/>
          </w:tcPr>
          <w:p w14:paraId="4CA2AAFA"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2017. gada prognoze</w:t>
            </w:r>
          </w:p>
        </w:tc>
        <w:tc>
          <w:tcPr>
            <w:tcW w:w="1150" w:type="dxa"/>
            <w:tcBorders>
              <w:top w:val="single" w:sz="4" w:space="0" w:color="auto"/>
            </w:tcBorders>
            <w:vAlign w:val="center"/>
          </w:tcPr>
          <w:p w14:paraId="17860B8B" w14:textId="77777777" w:rsidR="00EE1CF5" w:rsidRPr="00F931D3" w:rsidRDefault="00EE1CF5" w:rsidP="00263AB1">
            <w:pPr>
              <w:jc w:val="center"/>
              <w:rPr>
                <w:rFonts w:cs="Times New Roman"/>
                <w:b/>
                <w:bCs/>
                <w:color w:val="000000"/>
                <w:sz w:val="20"/>
                <w:szCs w:val="20"/>
              </w:rPr>
            </w:pPr>
            <w:r w:rsidRPr="00F931D3">
              <w:rPr>
                <w:rFonts w:cs="Times New Roman"/>
                <w:b/>
                <w:bCs/>
                <w:color w:val="000000"/>
                <w:sz w:val="20"/>
                <w:szCs w:val="20"/>
              </w:rPr>
              <w:t>Prognoze</w:t>
            </w:r>
          </w:p>
        </w:tc>
        <w:tc>
          <w:tcPr>
            <w:tcW w:w="1416" w:type="dxa"/>
            <w:tcBorders>
              <w:top w:val="single" w:sz="4" w:space="0" w:color="auto"/>
              <w:bottom w:val="single" w:sz="4" w:space="0" w:color="auto"/>
              <w:right w:val="single" w:sz="4" w:space="0" w:color="auto"/>
            </w:tcBorders>
            <w:shd w:val="clear" w:color="auto" w:fill="auto"/>
            <w:noWrap/>
            <w:vAlign w:val="center"/>
          </w:tcPr>
          <w:p w14:paraId="0C759B5B" w14:textId="77777777" w:rsidR="00EE1CF5" w:rsidRPr="00F931D3" w:rsidRDefault="00EE1CF5" w:rsidP="00263AB1">
            <w:pPr>
              <w:jc w:val="center"/>
              <w:rPr>
                <w:rFonts w:cs="Times New Roman"/>
                <w:b/>
                <w:bCs/>
                <w:color w:val="000000"/>
                <w:sz w:val="20"/>
                <w:szCs w:val="20"/>
              </w:rPr>
            </w:pPr>
            <w:r w:rsidRPr="00F931D3">
              <w:rPr>
                <w:rFonts w:cs="Times New Roman"/>
                <w:b/>
                <w:bCs/>
                <w:color w:val="000000"/>
                <w:sz w:val="20"/>
                <w:szCs w:val="20"/>
              </w:rPr>
              <w:t>Prognoze</w:t>
            </w:r>
          </w:p>
        </w:tc>
      </w:tr>
      <w:tr w:rsidR="00EE1CF5" w14:paraId="515C93A3" w14:textId="77777777" w:rsidTr="00263AB1">
        <w:trPr>
          <w:trHeight w:val="288"/>
          <w:jc w:val="center"/>
        </w:trPr>
        <w:tc>
          <w:tcPr>
            <w:tcW w:w="4815" w:type="dxa"/>
            <w:shd w:val="clear" w:color="auto" w:fill="auto"/>
            <w:noWrap/>
            <w:vAlign w:val="bottom"/>
            <w:hideMark/>
          </w:tcPr>
          <w:p w14:paraId="1E58DDA4"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Valsts budžeta izdevumi</w:t>
            </w:r>
          </w:p>
        </w:tc>
        <w:tc>
          <w:tcPr>
            <w:tcW w:w="1276" w:type="dxa"/>
            <w:vAlign w:val="center"/>
          </w:tcPr>
          <w:p w14:paraId="523B9D9D"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48 808 711</w:t>
            </w:r>
          </w:p>
        </w:tc>
        <w:tc>
          <w:tcPr>
            <w:tcW w:w="1697" w:type="dxa"/>
            <w:vAlign w:val="center"/>
          </w:tcPr>
          <w:p w14:paraId="541A8359" w14:textId="77777777" w:rsidR="00EE1CF5" w:rsidRPr="00F931D3" w:rsidRDefault="00EE1CF5" w:rsidP="00263AB1">
            <w:pPr>
              <w:ind w:firstLine="34"/>
              <w:jc w:val="center"/>
              <w:rPr>
                <w:rFonts w:cs="Times New Roman"/>
                <w:b/>
                <w:bCs/>
                <w:color w:val="000000"/>
                <w:sz w:val="20"/>
                <w:szCs w:val="20"/>
              </w:rPr>
            </w:pPr>
            <w:r w:rsidRPr="00FB5911">
              <w:rPr>
                <w:rFonts w:cs="Times New Roman"/>
                <w:b/>
                <w:bCs/>
                <w:sz w:val="20"/>
                <w:szCs w:val="20"/>
              </w:rPr>
              <w:t>104 248 888</w:t>
            </w:r>
          </w:p>
        </w:tc>
        <w:tc>
          <w:tcPr>
            <w:tcW w:w="1242" w:type="dxa"/>
            <w:shd w:val="clear" w:color="auto" w:fill="auto"/>
            <w:noWrap/>
            <w:vAlign w:val="center"/>
          </w:tcPr>
          <w:p w14:paraId="182DDC14"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49 406 416</w:t>
            </w:r>
          </w:p>
        </w:tc>
        <w:tc>
          <w:tcPr>
            <w:tcW w:w="1150" w:type="dxa"/>
          </w:tcPr>
          <w:p w14:paraId="3260B093" w14:textId="77777777" w:rsidR="00EE1CF5" w:rsidRPr="00F931D3" w:rsidRDefault="00EE1CF5" w:rsidP="00263AB1">
            <w:pPr>
              <w:ind w:firstLine="34"/>
              <w:jc w:val="center"/>
              <w:rPr>
                <w:rFonts w:cs="Times New Roman"/>
                <w:b/>
                <w:bCs/>
                <w:color w:val="000000"/>
                <w:sz w:val="20"/>
                <w:szCs w:val="20"/>
              </w:rPr>
            </w:pPr>
            <w:r w:rsidRPr="004F7111">
              <w:rPr>
                <w:rFonts w:cs="Times New Roman"/>
                <w:b/>
                <w:bCs/>
                <w:color w:val="000000"/>
                <w:sz w:val="20"/>
                <w:szCs w:val="20"/>
              </w:rPr>
              <w:t>64 370 221</w:t>
            </w:r>
          </w:p>
        </w:tc>
        <w:tc>
          <w:tcPr>
            <w:tcW w:w="1316" w:type="dxa"/>
            <w:tcBorders>
              <w:top w:val="single" w:sz="4" w:space="0" w:color="auto"/>
            </w:tcBorders>
            <w:shd w:val="clear" w:color="auto" w:fill="auto"/>
            <w:noWrap/>
            <w:vAlign w:val="center"/>
          </w:tcPr>
          <w:p w14:paraId="4262D1EA" w14:textId="77777777" w:rsidR="00EE1CF5" w:rsidRPr="00F931D3" w:rsidRDefault="00EE1CF5" w:rsidP="00263AB1">
            <w:pPr>
              <w:ind w:firstLine="34"/>
              <w:jc w:val="center"/>
              <w:rPr>
                <w:rFonts w:eastAsia="Times New Roman" w:cs="Times New Roman"/>
                <w:b/>
                <w:bCs/>
                <w:color w:val="000000"/>
                <w:sz w:val="20"/>
                <w:szCs w:val="20"/>
              </w:rPr>
            </w:pPr>
            <w:r w:rsidRPr="00F931D3">
              <w:rPr>
                <w:rFonts w:cs="Times New Roman"/>
                <w:b/>
                <w:bCs/>
                <w:color w:val="000000"/>
                <w:sz w:val="20"/>
                <w:szCs w:val="20"/>
              </w:rPr>
              <w:t>58 684 672</w:t>
            </w:r>
          </w:p>
        </w:tc>
        <w:tc>
          <w:tcPr>
            <w:tcW w:w="1150" w:type="dxa"/>
            <w:tcBorders>
              <w:top w:val="single" w:sz="4" w:space="0" w:color="auto"/>
            </w:tcBorders>
          </w:tcPr>
          <w:p w14:paraId="641BE808" w14:textId="77777777" w:rsidR="00EE1CF5" w:rsidRPr="004F7111" w:rsidRDefault="00EE1CF5" w:rsidP="00263AB1">
            <w:pPr>
              <w:jc w:val="center"/>
              <w:rPr>
                <w:b/>
                <w:bCs/>
                <w:color w:val="000000"/>
                <w:sz w:val="20"/>
                <w:szCs w:val="20"/>
              </w:rPr>
            </w:pPr>
            <w:r>
              <w:rPr>
                <w:b/>
                <w:bCs/>
                <w:color w:val="000000"/>
                <w:sz w:val="20"/>
                <w:szCs w:val="20"/>
              </w:rPr>
              <w:t>63 670 221</w:t>
            </w:r>
          </w:p>
        </w:tc>
        <w:tc>
          <w:tcPr>
            <w:tcW w:w="1416" w:type="dxa"/>
            <w:tcBorders>
              <w:top w:val="single" w:sz="4" w:space="0" w:color="auto"/>
              <w:bottom w:val="single" w:sz="4" w:space="0" w:color="auto"/>
              <w:right w:val="single" w:sz="4" w:space="0" w:color="auto"/>
            </w:tcBorders>
            <w:shd w:val="clear" w:color="auto" w:fill="auto"/>
            <w:noWrap/>
          </w:tcPr>
          <w:p w14:paraId="1DA15592" w14:textId="77777777" w:rsidR="00EE1CF5" w:rsidRPr="004F7111" w:rsidRDefault="00EE1CF5" w:rsidP="00263AB1">
            <w:pPr>
              <w:jc w:val="center"/>
              <w:rPr>
                <w:b/>
                <w:bCs/>
                <w:color w:val="000000"/>
                <w:sz w:val="20"/>
                <w:szCs w:val="20"/>
              </w:rPr>
            </w:pPr>
            <w:r>
              <w:rPr>
                <w:b/>
                <w:bCs/>
                <w:color w:val="000000"/>
                <w:sz w:val="20"/>
                <w:szCs w:val="20"/>
              </w:rPr>
              <w:t>54 370 221</w:t>
            </w:r>
          </w:p>
        </w:tc>
      </w:tr>
      <w:tr w:rsidR="00EE1CF5" w14:paraId="30DD2D3F" w14:textId="77777777" w:rsidTr="00263AB1">
        <w:trPr>
          <w:trHeight w:val="288"/>
          <w:jc w:val="center"/>
        </w:trPr>
        <w:tc>
          <w:tcPr>
            <w:tcW w:w="4815" w:type="dxa"/>
            <w:shd w:val="clear" w:color="auto" w:fill="auto"/>
            <w:noWrap/>
            <w:vAlign w:val="bottom"/>
          </w:tcPr>
          <w:p w14:paraId="6798A6A2" w14:textId="77777777" w:rsidR="00EE1CF5" w:rsidRPr="00E936FD" w:rsidRDefault="00EE1CF5" w:rsidP="00263AB1">
            <w:pPr>
              <w:rPr>
                <w:rFonts w:cs="Times New Roman"/>
                <w:sz w:val="20"/>
                <w:szCs w:val="20"/>
              </w:rPr>
            </w:pPr>
            <w:r w:rsidRPr="00E936FD">
              <w:rPr>
                <w:rFonts w:cs="Times New Roman"/>
                <w:sz w:val="20"/>
                <w:szCs w:val="20"/>
              </w:rPr>
              <w:t>OIK dotācija, t.sk. administrēšanas vajadzībām (Ietekme)</w:t>
            </w:r>
          </w:p>
        </w:tc>
        <w:tc>
          <w:tcPr>
            <w:tcW w:w="1276" w:type="dxa"/>
            <w:vAlign w:val="center"/>
          </w:tcPr>
          <w:p w14:paraId="663D8D8F" w14:textId="77777777" w:rsidR="00EE1CF5" w:rsidRPr="00F931D3" w:rsidRDefault="00EE1CF5" w:rsidP="00263AB1">
            <w:pPr>
              <w:ind w:firstLine="34"/>
              <w:jc w:val="center"/>
              <w:rPr>
                <w:rFonts w:cs="Times New Roman"/>
                <w:color w:val="000000" w:themeColor="text1"/>
                <w:sz w:val="20"/>
                <w:szCs w:val="20"/>
              </w:rPr>
            </w:pPr>
            <w:r w:rsidRPr="00F931D3">
              <w:rPr>
                <w:rFonts w:cs="Times New Roman"/>
                <w:color w:val="000000" w:themeColor="text1"/>
                <w:sz w:val="20"/>
                <w:szCs w:val="20"/>
              </w:rPr>
              <w:t>9 085 684</w:t>
            </w:r>
          </w:p>
        </w:tc>
        <w:tc>
          <w:tcPr>
            <w:tcW w:w="1697" w:type="dxa"/>
            <w:vAlign w:val="center"/>
          </w:tcPr>
          <w:p w14:paraId="626C98B0" w14:textId="77777777" w:rsidR="00EE1CF5" w:rsidRPr="00F931D3" w:rsidRDefault="00EE1CF5" w:rsidP="00263AB1">
            <w:pPr>
              <w:jc w:val="center"/>
              <w:rPr>
                <w:rFonts w:cs="Times New Roman"/>
                <w:color w:val="000000"/>
                <w:sz w:val="20"/>
                <w:szCs w:val="20"/>
              </w:rPr>
            </w:pPr>
            <w:r w:rsidRPr="00277951">
              <w:rPr>
                <w:rFonts w:cs="Times New Roman"/>
                <w:color w:val="000000"/>
                <w:sz w:val="20"/>
                <w:szCs w:val="20"/>
              </w:rPr>
              <w:t>8 463 215</w:t>
            </w:r>
          </w:p>
        </w:tc>
        <w:tc>
          <w:tcPr>
            <w:tcW w:w="1242" w:type="dxa"/>
            <w:shd w:val="clear" w:color="auto" w:fill="auto"/>
            <w:noWrap/>
            <w:vAlign w:val="center"/>
          </w:tcPr>
          <w:p w14:paraId="7B2A8DCC" w14:textId="77777777" w:rsidR="00EE1CF5" w:rsidRPr="00F931D3" w:rsidRDefault="00EE1CF5" w:rsidP="00263AB1">
            <w:pPr>
              <w:ind w:firstLine="34"/>
              <w:jc w:val="center"/>
              <w:rPr>
                <w:rFonts w:cs="Times New Roman"/>
                <w:color w:val="000000" w:themeColor="text1"/>
                <w:sz w:val="20"/>
                <w:szCs w:val="20"/>
              </w:rPr>
            </w:pPr>
            <w:r w:rsidRPr="00F931D3">
              <w:rPr>
                <w:rFonts w:cs="Times New Roman"/>
                <w:color w:val="000000" w:themeColor="text1"/>
                <w:sz w:val="20"/>
                <w:szCs w:val="20"/>
              </w:rPr>
              <w:t>9 683 389</w:t>
            </w:r>
          </w:p>
        </w:tc>
        <w:tc>
          <w:tcPr>
            <w:tcW w:w="1150" w:type="dxa"/>
          </w:tcPr>
          <w:p w14:paraId="2A8EC099" w14:textId="77777777" w:rsidR="00EE1CF5" w:rsidRPr="004F7111" w:rsidRDefault="00EE1CF5" w:rsidP="00263AB1">
            <w:pPr>
              <w:ind w:firstLine="34"/>
              <w:jc w:val="center"/>
              <w:rPr>
                <w:rFonts w:cs="Times New Roman"/>
                <w:color w:val="000000" w:themeColor="text1"/>
                <w:sz w:val="20"/>
                <w:szCs w:val="20"/>
              </w:rPr>
            </w:pPr>
            <w:r w:rsidRPr="004F7111">
              <w:rPr>
                <w:rFonts w:cs="Times New Roman"/>
                <w:color w:val="000000" w:themeColor="text1"/>
                <w:sz w:val="20"/>
                <w:szCs w:val="20"/>
              </w:rPr>
              <w:t>24 663 215</w:t>
            </w:r>
          </w:p>
        </w:tc>
        <w:tc>
          <w:tcPr>
            <w:tcW w:w="1316" w:type="dxa"/>
            <w:shd w:val="clear" w:color="auto" w:fill="auto"/>
            <w:noWrap/>
            <w:vAlign w:val="center"/>
          </w:tcPr>
          <w:p w14:paraId="417F803A" w14:textId="77777777" w:rsidR="00EE1CF5" w:rsidRPr="00F931D3" w:rsidRDefault="00EE1CF5" w:rsidP="00263AB1">
            <w:pPr>
              <w:ind w:firstLine="34"/>
              <w:jc w:val="center"/>
              <w:rPr>
                <w:rFonts w:cs="Times New Roman"/>
                <w:color w:val="000000" w:themeColor="text1"/>
                <w:sz w:val="20"/>
                <w:szCs w:val="20"/>
              </w:rPr>
            </w:pPr>
            <w:r w:rsidRPr="00F931D3">
              <w:rPr>
                <w:rFonts w:cs="Times New Roman"/>
                <w:color w:val="000000" w:themeColor="text1"/>
                <w:sz w:val="20"/>
                <w:szCs w:val="20"/>
              </w:rPr>
              <w:t>18 961 646</w:t>
            </w:r>
          </w:p>
        </w:tc>
        <w:tc>
          <w:tcPr>
            <w:tcW w:w="1150" w:type="dxa"/>
            <w:vAlign w:val="center"/>
          </w:tcPr>
          <w:p w14:paraId="53671852" w14:textId="77777777" w:rsidR="00EE1CF5" w:rsidRPr="009C7DC3" w:rsidRDefault="00EE1CF5" w:rsidP="00263AB1">
            <w:pPr>
              <w:ind w:firstLine="34"/>
              <w:jc w:val="center"/>
              <w:rPr>
                <w:rFonts w:cs="Times New Roman"/>
                <w:color w:val="000000" w:themeColor="text1"/>
                <w:sz w:val="20"/>
                <w:szCs w:val="20"/>
                <w:highlight w:val="yellow"/>
              </w:rPr>
            </w:pPr>
            <w:r w:rsidRPr="00277951">
              <w:rPr>
                <w:rFonts w:cs="Times New Roman"/>
                <w:color w:val="000000" w:themeColor="text1"/>
                <w:sz w:val="20"/>
                <w:szCs w:val="20"/>
              </w:rPr>
              <w:t>23 963 215</w:t>
            </w:r>
          </w:p>
        </w:tc>
        <w:tc>
          <w:tcPr>
            <w:tcW w:w="1416" w:type="dxa"/>
            <w:shd w:val="clear" w:color="auto" w:fill="auto"/>
            <w:noWrap/>
            <w:vAlign w:val="center"/>
          </w:tcPr>
          <w:p w14:paraId="351CE72B" w14:textId="77777777" w:rsidR="00EE1CF5" w:rsidRPr="009C7DC3" w:rsidRDefault="00EE1CF5" w:rsidP="00263AB1">
            <w:pPr>
              <w:ind w:firstLine="34"/>
              <w:jc w:val="center"/>
              <w:rPr>
                <w:rFonts w:cs="Times New Roman"/>
                <w:color w:val="000000" w:themeColor="text1"/>
                <w:sz w:val="20"/>
                <w:szCs w:val="20"/>
                <w:highlight w:val="yellow"/>
              </w:rPr>
            </w:pPr>
            <w:r w:rsidRPr="00277951">
              <w:rPr>
                <w:rFonts w:cs="Times New Roman"/>
                <w:color w:val="000000" w:themeColor="text1"/>
                <w:sz w:val="20"/>
                <w:szCs w:val="20"/>
              </w:rPr>
              <w:t>14 663 215</w:t>
            </w:r>
          </w:p>
        </w:tc>
      </w:tr>
      <w:tr w:rsidR="00EE1CF5" w14:paraId="6FC2284B" w14:textId="77777777" w:rsidTr="00263AB1">
        <w:trPr>
          <w:trHeight w:val="288"/>
          <w:jc w:val="center"/>
        </w:trPr>
        <w:tc>
          <w:tcPr>
            <w:tcW w:w="4815" w:type="dxa"/>
            <w:shd w:val="clear" w:color="auto" w:fill="auto"/>
            <w:noWrap/>
            <w:vAlign w:val="bottom"/>
            <w:hideMark/>
          </w:tcPr>
          <w:p w14:paraId="301D8E73" w14:textId="77777777" w:rsidR="00EE1CF5" w:rsidRPr="00E936FD" w:rsidRDefault="00EE1CF5" w:rsidP="00263AB1">
            <w:pPr>
              <w:ind w:firstLine="34"/>
              <w:rPr>
                <w:rFonts w:cs="Times New Roman"/>
                <w:sz w:val="20"/>
                <w:szCs w:val="20"/>
              </w:rPr>
            </w:pPr>
            <w:r w:rsidRPr="00E936FD">
              <w:rPr>
                <w:rFonts w:cs="Times New Roman"/>
                <w:sz w:val="20"/>
                <w:szCs w:val="20"/>
              </w:rPr>
              <w:t>OIK dotācija energoietilpīgo uzņēmumu atbalstam</w:t>
            </w:r>
          </w:p>
        </w:tc>
        <w:tc>
          <w:tcPr>
            <w:tcW w:w="1276" w:type="dxa"/>
            <w:vAlign w:val="center"/>
          </w:tcPr>
          <w:p w14:paraId="78EE8CF8"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3 370 000</w:t>
            </w:r>
          </w:p>
        </w:tc>
        <w:tc>
          <w:tcPr>
            <w:tcW w:w="1697" w:type="dxa"/>
            <w:vAlign w:val="center"/>
          </w:tcPr>
          <w:p w14:paraId="72A2F2F6" w14:textId="77777777" w:rsidR="00EE1CF5" w:rsidRPr="00411F2C" w:rsidRDefault="00EE1CF5" w:rsidP="00263AB1">
            <w:pPr>
              <w:ind w:firstLine="34"/>
              <w:jc w:val="center"/>
              <w:rPr>
                <w:rFonts w:cs="Times New Roman"/>
                <w:color w:val="000000"/>
                <w:sz w:val="20"/>
                <w:szCs w:val="20"/>
                <w:highlight w:val="yellow"/>
              </w:rPr>
            </w:pPr>
            <w:r w:rsidRPr="00702884">
              <w:rPr>
                <w:rFonts w:cs="Times New Roman"/>
                <w:color w:val="000000"/>
                <w:sz w:val="20"/>
                <w:szCs w:val="20"/>
              </w:rPr>
              <w:t>7 000 000</w:t>
            </w:r>
          </w:p>
        </w:tc>
        <w:tc>
          <w:tcPr>
            <w:tcW w:w="1242" w:type="dxa"/>
            <w:shd w:val="clear" w:color="auto" w:fill="auto"/>
            <w:noWrap/>
            <w:vAlign w:val="center"/>
          </w:tcPr>
          <w:p w14:paraId="704FC4B8" w14:textId="77777777" w:rsidR="00EE1CF5" w:rsidRPr="00F931D3" w:rsidRDefault="00EE1CF5" w:rsidP="00263AB1">
            <w:pPr>
              <w:ind w:firstLine="34"/>
              <w:jc w:val="center"/>
              <w:rPr>
                <w:rFonts w:cs="Times New Roman"/>
                <w:sz w:val="20"/>
                <w:szCs w:val="20"/>
              </w:rPr>
            </w:pPr>
            <w:r w:rsidRPr="00F931D3">
              <w:rPr>
                <w:rFonts w:cs="Times New Roman"/>
                <w:color w:val="000000"/>
                <w:sz w:val="20"/>
                <w:szCs w:val="20"/>
              </w:rPr>
              <w:t>3 370 000</w:t>
            </w:r>
          </w:p>
        </w:tc>
        <w:tc>
          <w:tcPr>
            <w:tcW w:w="1150" w:type="dxa"/>
          </w:tcPr>
          <w:p w14:paraId="3F3AC2B3" w14:textId="77777777" w:rsidR="00EE1CF5" w:rsidRPr="004F7111" w:rsidRDefault="00EE1CF5" w:rsidP="00263AB1">
            <w:pPr>
              <w:ind w:firstLine="34"/>
              <w:jc w:val="center"/>
              <w:rPr>
                <w:rFonts w:cs="Times New Roman"/>
                <w:color w:val="000000" w:themeColor="text1"/>
                <w:sz w:val="20"/>
                <w:szCs w:val="20"/>
              </w:rPr>
            </w:pPr>
            <w:r w:rsidRPr="004F7111">
              <w:rPr>
                <w:rFonts w:cs="Times New Roman"/>
                <w:color w:val="000000" w:themeColor="text1"/>
                <w:sz w:val="20"/>
                <w:szCs w:val="20"/>
              </w:rPr>
              <w:t>7000000</w:t>
            </w:r>
          </w:p>
        </w:tc>
        <w:tc>
          <w:tcPr>
            <w:tcW w:w="1316" w:type="dxa"/>
            <w:shd w:val="clear" w:color="auto" w:fill="auto"/>
            <w:noWrap/>
            <w:vAlign w:val="center"/>
          </w:tcPr>
          <w:p w14:paraId="4C4C309B" w14:textId="77777777" w:rsidR="00EE1CF5" w:rsidRPr="00F931D3" w:rsidRDefault="00EE1CF5" w:rsidP="00263AB1">
            <w:pPr>
              <w:ind w:firstLine="34"/>
              <w:jc w:val="center"/>
              <w:rPr>
                <w:rFonts w:cs="Times New Roman"/>
                <w:sz w:val="20"/>
                <w:szCs w:val="20"/>
              </w:rPr>
            </w:pPr>
            <w:r w:rsidRPr="00F931D3">
              <w:rPr>
                <w:rFonts w:cs="Times New Roman"/>
                <w:color w:val="000000"/>
                <w:sz w:val="20"/>
                <w:szCs w:val="20"/>
              </w:rPr>
              <w:t>3 370 000</w:t>
            </w:r>
          </w:p>
        </w:tc>
        <w:tc>
          <w:tcPr>
            <w:tcW w:w="1150" w:type="dxa"/>
            <w:vAlign w:val="center"/>
          </w:tcPr>
          <w:p w14:paraId="21F19383"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7 000 000</w:t>
            </w:r>
          </w:p>
        </w:tc>
        <w:tc>
          <w:tcPr>
            <w:tcW w:w="1416" w:type="dxa"/>
            <w:tcBorders>
              <w:right w:val="single" w:sz="4" w:space="0" w:color="auto"/>
            </w:tcBorders>
            <w:shd w:val="clear" w:color="auto" w:fill="auto"/>
            <w:noWrap/>
            <w:vAlign w:val="center"/>
          </w:tcPr>
          <w:p w14:paraId="4BB4BCF7" w14:textId="77777777" w:rsidR="00EE1CF5" w:rsidRPr="00F931D3" w:rsidRDefault="00EE1CF5" w:rsidP="00263AB1">
            <w:pPr>
              <w:ind w:firstLine="34"/>
              <w:jc w:val="center"/>
              <w:rPr>
                <w:rFonts w:cs="Times New Roman"/>
                <w:sz w:val="20"/>
                <w:szCs w:val="20"/>
              </w:rPr>
            </w:pPr>
            <w:r w:rsidRPr="00F931D3">
              <w:rPr>
                <w:rFonts w:cs="Times New Roman"/>
                <w:color w:val="000000"/>
                <w:sz w:val="20"/>
                <w:szCs w:val="20"/>
              </w:rPr>
              <w:t>7 000 000</w:t>
            </w:r>
          </w:p>
        </w:tc>
      </w:tr>
      <w:tr w:rsidR="00EE1CF5" w14:paraId="591ED3B2" w14:textId="77777777" w:rsidTr="00263AB1">
        <w:trPr>
          <w:trHeight w:val="201"/>
          <w:jc w:val="center"/>
        </w:trPr>
        <w:tc>
          <w:tcPr>
            <w:tcW w:w="4815" w:type="dxa"/>
            <w:shd w:val="clear" w:color="auto" w:fill="auto"/>
            <w:vAlign w:val="center"/>
          </w:tcPr>
          <w:p w14:paraId="0690B9EA" w14:textId="77777777" w:rsidR="00EE1CF5" w:rsidRPr="00E936FD" w:rsidRDefault="00EE1CF5" w:rsidP="00263AB1">
            <w:pPr>
              <w:ind w:firstLine="34"/>
              <w:rPr>
                <w:rFonts w:eastAsia="Times New Roman"/>
                <w:color w:val="000000"/>
                <w:sz w:val="20"/>
                <w:szCs w:val="20"/>
              </w:rPr>
            </w:pPr>
            <w:r w:rsidRPr="00E936FD">
              <w:rPr>
                <w:rFonts w:cs="Times New Roman"/>
                <w:sz w:val="20"/>
                <w:szCs w:val="20"/>
              </w:rPr>
              <w:t>Avansa maksājums jaudas maksājuma kompensācijai</w:t>
            </w:r>
          </w:p>
        </w:tc>
        <w:tc>
          <w:tcPr>
            <w:tcW w:w="1276" w:type="dxa"/>
            <w:vAlign w:val="center"/>
          </w:tcPr>
          <w:p w14:paraId="7938F270"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28 570 909</w:t>
            </w:r>
          </w:p>
        </w:tc>
        <w:tc>
          <w:tcPr>
            <w:tcW w:w="1697" w:type="dxa"/>
            <w:vAlign w:val="center"/>
          </w:tcPr>
          <w:p w14:paraId="18B9A7E1" w14:textId="77777777" w:rsidR="00EE1CF5" w:rsidRPr="00F931D3" w:rsidRDefault="00EE1CF5" w:rsidP="00263AB1">
            <w:pPr>
              <w:ind w:firstLine="34"/>
              <w:jc w:val="center"/>
              <w:rPr>
                <w:rFonts w:cs="Times New Roman"/>
                <w:color w:val="000000"/>
                <w:sz w:val="20"/>
                <w:szCs w:val="20"/>
              </w:rPr>
            </w:pPr>
            <w:r w:rsidRPr="000E6876">
              <w:rPr>
                <w:rFonts w:cs="Times New Roman"/>
                <w:color w:val="000000"/>
                <w:sz w:val="20"/>
                <w:szCs w:val="20"/>
              </w:rPr>
              <w:t>81 003 556</w:t>
            </w:r>
          </w:p>
        </w:tc>
        <w:tc>
          <w:tcPr>
            <w:tcW w:w="1242" w:type="dxa"/>
            <w:shd w:val="clear" w:color="auto" w:fill="auto"/>
            <w:noWrap/>
            <w:vAlign w:val="center"/>
          </w:tcPr>
          <w:p w14:paraId="256A1983" w14:textId="77777777" w:rsidR="00EE1CF5" w:rsidRPr="00F931D3" w:rsidRDefault="00EE1CF5" w:rsidP="00263AB1">
            <w:pPr>
              <w:ind w:firstLine="34"/>
              <w:jc w:val="center"/>
              <w:rPr>
                <w:rFonts w:cs="Times New Roman"/>
                <w:sz w:val="20"/>
                <w:szCs w:val="20"/>
              </w:rPr>
            </w:pPr>
            <w:r w:rsidRPr="00F931D3">
              <w:rPr>
                <w:rFonts w:cs="Times New Roman"/>
                <w:color w:val="000000"/>
                <w:sz w:val="20"/>
                <w:szCs w:val="20"/>
              </w:rPr>
              <w:t>28 570 909</w:t>
            </w:r>
          </w:p>
        </w:tc>
        <w:tc>
          <w:tcPr>
            <w:tcW w:w="1150" w:type="dxa"/>
          </w:tcPr>
          <w:p w14:paraId="726187F6" w14:textId="77777777" w:rsidR="00EE1CF5" w:rsidRPr="004F7111" w:rsidRDefault="00EE1CF5" w:rsidP="00263AB1">
            <w:pPr>
              <w:ind w:firstLine="34"/>
              <w:jc w:val="center"/>
              <w:rPr>
                <w:rFonts w:cs="Times New Roman"/>
                <w:color w:val="000000" w:themeColor="text1"/>
                <w:sz w:val="20"/>
                <w:szCs w:val="20"/>
              </w:rPr>
            </w:pPr>
            <w:r w:rsidRPr="004F7111">
              <w:rPr>
                <w:rFonts w:cs="Times New Roman"/>
                <w:color w:val="000000" w:themeColor="text1"/>
                <w:sz w:val="20"/>
                <w:szCs w:val="20"/>
              </w:rPr>
              <w:t>24000992</w:t>
            </w:r>
          </w:p>
        </w:tc>
        <w:tc>
          <w:tcPr>
            <w:tcW w:w="1316" w:type="dxa"/>
            <w:shd w:val="clear" w:color="auto" w:fill="auto"/>
            <w:noWrap/>
            <w:vAlign w:val="center"/>
          </w:tcPr>
          <w:p w14:paraId="22A9CC40" w14:textId="77777777" w:rsidR="00EE1CF5" w:rsidRPr="00F931D3" w:rsidRDefault="00EE1CF5" w:rsidP="00263AB1">
            <w:pPr>
              <w:ind w:firstLine="34"/>
              <w:jc w:val="center"/>
              <w:rPr>
                <w:rFonts w:cs="Times New Roman"/>
                <w:sz w:val="20"/>
                <w:szCs w:val="20"/>
              </w:rPr>
            </w:pPr>
            <w:r w:rsidRPr="00F931D3">
              <w:rPr>
                <w:rFonts w:cs="Times New Roman"/>
                <w:color w:val="000000"/>
                <w:sz w:val="20"/>
                <w:szCs w:val="20"/>
              </w:rPr>
              <w:t>28 570 909</w:t>
            </w:r>
          </w:p>
        </w:tc>
        <w:tc>
          <w:tcPr>
            <w:tcW w:w="1150" w:type="dxa"/>
            <w:vAlign w:val="center"/>
          </w:tcPr>
          <w:p w14:paraId="670D6BAB"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24 000 992</w:t>
            </w:r>
          </w:p>
        </w:tc>
        <w:tc>
          <w:tcPr>
            <w:tcW w:w="1416" w:type="dxa"/>
            <w:tcBorders>
              <w:right w:val="single" w:sz="4" w:space="0" w:color="auto"/>
            </w:tcBorders>
            <w:shd w:val="clear" w:color="auto" w:fill="auto"/>
            <w:noWrap/>
            <w:vAlign w:val="center"/>
          </w:tcPr>
          <w:p w14:paraId="08E876B6" w14:textId="77777777" w:rsidR="00EE1CF5" w:rsidRPr="00F931D3" w:rsidRDefault="00EE1CF5" w:rsidP="00263AB1">
            <w:pPr>
              <w:ind w:firstLine="34"/>
              <w:jc w:val="center"/>
              <w:rPr>
                <w:rFonts w:cs="Times New Roman"/>
                <w:sz w:val="20"/>
                <w:szCs w:val="20"/>
              </w:rPr>
            </w:pPr>
            <w:r w:rsidRPr="00F931D3">
              <w:rPr>
                <w:rFonts w:cs="Times New Roman"/>
                <w:color w:val="000000"/>
                <w:sz w:val="20"/>
                <w:szCs w:val="20"/>
              </w:rPr>
              <w:t>24 000 992</w:t>
            </w:r>
          </w:p>
        </w:tc>
      </w:tr>
      <w:tr w:rsidR="00EE1CF5" w14:paraId="7492E250" w14:textId="77777777" w:rsidTr="00263AB1">
        <w:trPr>
          <w:trHeight w:val="201"/>
          <w:jc w:val="center"/>
        </w:trPr>
        <w:tc>
          <w:tcPr>
            <w:tcW w:w="4815" w:type="dxa"/>
            <w:shd w:val="clear" w:color="auto" w:fill="auto"/>
            <w:vAlign w:val="center"/>
            <w:hideMark/>
          </w:tcPr>
          <w:p w14:paraId="0EAC3A9E" w14:textId="77777777" w:rsidR="00EE1CF5" w:rsidRPr="0061472E" w:rsidRDefault="00EE1CF5" w:rsidP="00263AB1">
            <w:pPr>
              <w:ind w:firstLine="34"/>
              <w:jc w:val="left"/>
              <w:rPr>
                <w:rFonts w:cs="Times New Roman"/>
                <w:sz w:val="20"/>
                <w:szCs w:val="20"/>
              </w:rPr>
            </w:pPr>
            <w:r w:rsidRPr="0061472E">
              <w:rPr>
                <w:rFonts w:cs="Times New Roman"/>
                <w:sz w:val="20"/>
                <w:szCs w:val="20"/>
              </w:rPr>
              <w:t>Aizsargātie lietotāji</w:t>
            </w:r>
          </w:p>
        </w:tc>
        <w:tc>
          <w:tcPr>
            <w:tcW w:w="1276" w:type="dxa"/>
            <w:vAlign w:val="center"/>
          </w:tcPr>
          <w:p w14:paraId="005188E8" w14:textId="77777777" w:rsidR="00EE1CF5" w:rsidRPr="0061472E" w:rsidRDefault="00EE1CF5" w:rsidP="00263AB1">
            <w:pPr>
              <w:ind w:firstLine="34"/>
              <w:jc w:val="center"/>
              <w:rPr>
                <w:rFonts w:cs="Times New Roman"/>
                <w:color w:val="000000"/>
                <w:sz w:val="20"/>
                <w:szCs w:val="20"/>
              </w:rPr>
            </w:pPr>
            <w:r w:rsidRPr="0061472E">
              <w:rPr>
                <w:rFonts w:cs="Times New Roman"/>
                <w:color w:val="000000"/>
                <w:sz w:val="20"/>
                <w:szCs w:val="20"/>
              </w:rPr>
              <w:t>5 782 117</w:t>
            </w:r>
          </w:p>
        </w:tc>
        <w:tc>
          <w:tcPr>
            <w:tcW w:w="1697" w:type="dxa"/>
            <w:vAlign w:val="center"/>
          </w:tcPr>
          <w:p w14:paraId="52FDE706" w14:textId="77777777" w:rsidR="00EE1CF5" w:rsidRPr="0061472E" w:rsidRDefault="00EE1CF5" w:rsidP="00263AB1">
            <w:pPr>
              <w:ind w:firstLine="34"/>
              <w:jc w:val="center"/>
              <w:rPr>
                <w:rFonts w:cs="Times New Roman"/>
                <w:color w:val="000000"/>
                <w:sz w:val="20"/>
                <w:szCs w:val="20"/>
              </w:rPr>
            </w:pPr>
            <w:r w:rsidRPr="0061472E">
              <w:rPr>
                <w:rFonts w:cs="Times New Roman"/>
                <w:color w:val="000000"/>
                <w:sz w:val="20"/>
                <w:szCs w:val="20"/>
              </w:rPr>
              <w:t>5 782 117</w:t>
            </w:r>
          </w:p>
        </w:tc>
        <w:tc>
          <w:tcPr>
            <w:tcW w:w="1242" w:type="dxa"/>
            <w:shd w:val="clear" w:color="auto" w:fill="auto"/>
            <w:noWrap/>
            <w:vAlign w:val="center"/>
          </w:tcPr>
          <w:p w14:paraId="7194BA9A" w14:textId="77777777" w:rsidR="00EE1CF5" w:rsidRPr="0061472E" w:rsidRDefault="00EE1CF5" w:rsidP="00263AB1">
            <w:pPr>
              <w:ind w:firstLine="34"/>
              <w:jc w:val="center"/>
              <w:rPr>
                <w:rFonts w:cs="Times New Roman"/>
                <w:sz w:val="20"/>
                <w:szCs w:val="20"/>
              </w:rPr>
            </w:pPr>
            <w:r w:rsidRPr="0061472E">
              <w:rPr>
                <w:rFonts w:cs="Times New Roman"/>
                <w:color w:val="000000"/>
                <w:sz w:val="20"/>
                <w:szCs w:val="20"/>
              </w:rPr>
              <w:t>5 782 117</w:t>
            </w:r>
          </w:p>
        </w:tc>
        <w:tc>
          <w:tcPr>
            <w:tcW w:w="1150" w:type="dxa"/>
          </w:tcPr>
          <w:p w14:paraId="71C7A3F9" w14:textId="77777777" w:rsidR="00EE1CF5" w:rsidRPr="004F7111" w:rsidRDefault="00EE1CF5" w:rsidP="00263AB1">
            <w:pPr>
              <w:ind w:firstLine="34"/>
              <w:jc w:val="center"/>
              <w:rPr>
                <w:rFonts w:cs="Times New Roman"/>
                <w:color w:val="000000" w:themeColor="text1"/>
                <w:sz w:val="20"/>
                <w:szCs w:val="20"/>
              </w:rPr>
            </w:pPr>
            <w:r w:rsidRPr="004F7111">
              <w:rPr>
                <w:rFonts w:cs="Times New Roman"/>
                <w:color w:val="000000" w:themeColor="text1"/>
                <w:sz w:val="20"/>
                <w:szCs w:val="20"/>
              </w:rPr>
              <w:t xml:space="preserve"> 6 706 014 </w:t>
            </w:r>
          </w:p>
        </w:tc>
        <w:tc>
          <w:tcPr>
            <w:tcW w:w="1316" w:type="dxa"/>
            <w:shd w:val="clear" w:color="auto" w:fill="auto"/>
            <w:noWrap/>
            <w:vAlign w:val="center"/>
          </w:tcPr>
          <w:p w14:paraId="12EA7561" w14:textId="77777777" w:rsidR="00EE1CF5" w:rsidRPr="0061472E" w:rsidRDefault="00EE1CF5" w:rsidP="00263AB1">
            <w:pPr>
              <w:ind w:firstLine="34"/>
              <w:jc w:val="center"/>
              <w:rPr>
                <w:rFonts w:cs="Times New Roman"/>
                <w:sz w:val="20"/>
                <w:szCs w:val="20"/>
              </w:rPr>
            </w:pPr>
            <w:r w:rsidRPr="0061472E">
              <w:rPr>
                <w:rFonts w:cs="Times New Roman"/>
                <w:color w:val="000000"/>
                <w:sz w:val="20"/>
                <w:szCs w:val="20"/>
              </w:rPr>
              <w:t>5 782 117</w:t>
            </w:r>
          </w:p>
        </w:tc>
        <w:tc>
          <w:tcPr>
            <w:tcW w:w="1150" w:type="dxa"/>
          </w:tcPr>
          <w:p w14:paraId="47A5CFB2" w14:textId="77777777" w:rsidR="00EE1CF5" w:rsidRPr="0061472E" w:rsidRDefault="00EE1CF5" w:rsidP="00263AB1">
            <w:pPr>
              <w:ind w:firstLine="34"/>
              <w:jc w:val="center"/>
              <w:rPr>
                <w:rFonts w:cs="Times New Roman"/>
                <w:color w:val="000000"/>
                <w:sz w:val="20"/>
                <w:szCs w:val="20"/>
              </w:rPr>
            </w:pPr>
            <w:r w:rsidRPr="008D06A1">
              <w:rPr>
                <w:rFonts w:cs="Times New Roman"/>
                <w:color w:val="000000" w:themeColor="text1"/>
                <w:sz w:val="20"/>
                <w:szCs w:val="20"/>
              </w:rPr>
              <w:t xml:space="preserve">6 706 014 </w:t>
            </w:r>
          </w:p>
        </w:tc>
        <w:tc>
          <w:tcPr>
            <w:tcW w:w="1416" w:type="dxa"/>
            <w:tcBorders>
              <w:right w:val="single" w:sz="4" w:space="0" w:color="auto"/>
            </w:tcBorders>
            <w:shd w:val="clear" w:color="auto" w:fill="auto"/>
            <w:noWrap/>
          </w:tcPr>
          <w:p w14:paraId="3F1DC81D" w14:textId="77777777" w:rsidR="00EE1CF5" w:rsidRPr="004831E4" w:rsidRDefault="00EE1CF5" w:rsidP="00263AB1">
            <w:pPr>
              <w:ind w:firstLine="34"/>
              <w:jc w:val="center"/>
              <w:rPr>
                <w:rFonts w:cs="Times New Roman"/>
                <w:sz w:val="20"/>
                <w:szCs w:val="20"/>
              </w:rPr>
            </w:pPr>
            <w:r w:rsidRPr="008D06A1">
              <w:rPr>
                <w:rFonts w:cs="Times New Roman"/>
                <w:color w:val="000000" w:themeColor="text1"/>
                <w:sz w:val="20"/>
                <w:szCs w:val="20"/>
              </w:rPr>
              <w:t xml:space="preserve">6 706 014 </w:t>
            </w:r>
          </w:p>
        </w:tc>
      </w:tr>
      <w:tr w:rsidR="00EE1CF5" w14:paraId="2E9E9FF2" w14:textId="77777777" w:rsidTr="00263AB1">
        <w:trPr>
          <w:trHeight w:val="288"/>
          <w:jc w:val="center"/>
        </w:trPr>
        <w:tc>
          <w:tcPr>
            <w:tcW w:w="4815" w:type="dxa"/>
            <w:shd w:val="clear" w:color="auto" w:fill="auto"/>
            <w:noWrap/>
            <w:vAlign w:val="bottom"/>
          </w:tcPr>
          <w:p w14:paraId="420118D7" w14:textId="77777777" w:rsidR="00EE1CF5" w:rsidRPr="00E936FD" w:rsidRDefault="00EE1CF5" w:rsidP="00263AB1">
            <w:pPr>
              <w:ind w:firstLine="34"/>
              <w:jc w:val="left"/>
              <w:rPr>
                <w:rFonts w:cs="Times New Roman"/>
                <w:bCs/>
                <w:sz w:val="20"/>
                <w:szCs w:val="20"/>
              </w:rPr>
            </w:pPr>
            <w:r w:rsidRPr="00E936FD">
              <w:rPr>
                <w:rFonts w:cs="Times New Roman"/>
                <w:bCs/>
                <w:sz w:val="20"/>
                <w:szCs w:val="20"/>
              </w:rPr>
              <w:t>VPP enerģētikā, t.sk. izveides un administrēšanas vajadzībām</w:t>
            </w:r>
          </w:p>
        </w:tc>
        <w:tc>
          <w:tcPr>
            <w:tcW w:w="1276" w:type="dxa"/>
            <w:vAlign w:val="center"/>
          </w:tcPr>
          <w:p w14:paraId="3F22BAA9"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2 000 000</w:t>
            </w:r>
          </w:p>
        </w:tc>
        <w:tc>
          <w:tcPr>
            <w:tcW w:w="1697" w:type="dxa"/>
            <w:vAlign w:val="center"/>
          </w:tcPr>
          <w:p w14:paraId="325FB4F8"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2 000 000</w:t>
            </w:r>
          </w:p>
        </w:tc>
        <w:tc>
          <w:tcPr>
            <w:tcW w:w="1242" w:type="dxa"/>
            <w:shd w:val="clear" w:color="auto" w:fill="auto"/>
            <w:noWrap/>
            <w:vAlign w:val="center"/>
          </w:tcPr>
          <w:p w14:paraId="1CAE6430" w14:textId="77777777" w:rsidR="00EE1CF5" w:rsidRPr="00F931D3" w:rsidRDefault="00EE1CF5" w:rsidP="00263AB1">
            <w:pPr>
              <w:ind w:firstLine="34"/>
              <w:jc w:val="center"/>
              <w:rPr>
                <w:rFonts w:cs="Times New Roman"/>
                <w:sz w:val="20"/>
                <w:szCs w:val="20"/>
              </w:rPr>
            </w:pPr>
            <w:r w:rsidRPr="00F931D3">
              <w:rPr>
                <w:rFonts w:cs="Times New Roman"/>
                <w:color w:val="000000"/>
                <w:sz w:val="20"/>
                <w:szCs w:val="20"/>
              </w:rPr>
              <w:t>2 000 000</w:t>
            </w:r>
          </w:p>
        </w:tc>
        <w:tc>
          <w:tcPr>
            <w:tcW w:w="1150" w:type="dxa"/>
          </w:tcPr>
          <w:p w14:paraId="694653F6" w14:textId="77777777" w:rsidR="00EE1CF5" w:rsidRPr="004F7111" w:rsidRDefault="00EE1CF5" w:rsidP="00263AB1">
            <w:pPr>
              <w:ind w:firstLine="34"/>
              <w:jc w:val="center"/>
              <w:rPr>
                <w:rFonts w:cs="Times New Roman"/>
                <w:color w:val="000000" w:themeColor="text1"/>
                <w:sz w:val="20"/>
                <w:szCs w:val="20"/>
              </w:rPr>
            </w:pPr>
            <w:r w:rsidRPr="004F7111">
              <w:rPr>
                <w:rFonts w:cs="Times New Roman"/>
                <w:color w:val="000000" w:themeColor="text1"/>
                <w:sz w:val="20"/>
                <w:szCs w:val="20"/>
              </w:rPr>
              <w:t>2 000 000</w:t>
            </w:r>
          </w:p>
        </w:tc>
        <w:tc>
          <w:tcPr>
            <w:tcW w:w="1316" w:type="dxa"/>
            <w:shd w:val="clear" w:color="auto" w:fill="auto"/>
            <w:noWrap/>
            <w:vAlign w:val="center"/>
          </w:tcPr>
          <w:p w14:paraId="4A0FEBFE" w14:textId="77777777" w:rsidR="00EE1CF5" w:rsidRPr="00F931D3" w:rsidRDefault="00EE1CF5" w:rsidP="00263AB1">
            <w:pPr>
              <w:ind w:firstLine="34"/>
              <w:jc w:val="center"/>
              <w:rPr>
                <w:rFonts w:cs="Times New Roman"/>
                <w:sz w:val="20"/>
                <w:szCs w:val="20"/>
              </w:rPr>
            </w:pPr>
            <w:r w:rsidRPr="00F931D3">
              <w:rPr>
                <w:rFonts w:cs="Times New Roman"/>
                <w:color w:val="000000"/>
                <w:sz w:val="20"/>
                <w:szCs w:val="20"/>
              </w:rPr>
              <w:t>2 000 000</w:t>
            </w:r>
          </w:p>
        </w:tc>
        <w:tc>
          <w:tcPr>
            <w:tcW w:w="1150" w:type="dxa"/>
            <w:vAlign w:val="center"/>
          </w:tcPr>
          <w:p w14:paraId="5FDD5121"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2 000 000</w:t>
            </w:r>
          </w:p>
        </w:tc>
        <w:tc>
          <w:tcPr>
            <w:tcW w:w="1416" w:type="dxa"/>
            <w:tcBorders>
              <w:right w:val="single" w:sz="4" w:space="0" w:color="auto"/>
            </w:tcBorders>
            <w:shd w:val="clear" w:color="auto" w:fill="auto"/>
            <w:noWrap/>
            <w:vAlign w:val="center"/>
          </w:tcPr>
          <w:p w14:paraId="487E415E" w14:textId="77777777" w:rsidR="00EE1CF5" w:rsidRPr="00F931D3" w:rsidRDefault="00EE1CF5" w:rsidP="00263AB1">
            <w:pPr>
              <w:ind w:firstLine="34"/>
              <w:jc w:val="center"/>
              <w:rPr>
                <w:rFonts w:cs="Times New Roman"/>
                <w:sz w:val="20"/>
                <w:szCs w:val="20"/>
              </w:rPr>
            </w:pPr>
            <w:r w:rsidRPr="00F931D3">
              <w:rPr>
                <w:rFonts w:cs="Times New Roman"/>
                <w:color w:val="000000"/>
                <w:sz w:val="20"/>
                <w:szCs w:val="20"/>
              </w:rPr>
              <w:t>2 000 000</w:t>
            </w:r>
          </w:p>
        </w:tc>
      </w:tr>
      <w:tr w:rsidR="00EE1CF5" w14:paraId="2717787E" w14:textId="77777777" w:rsidTr="00263AB1">
        <w:trPr>
          <w:trHeight w:val="288"/>
          <w:jc w:val="center"/>
        </w:trPr>
        <w:tc>
          <w:tcPr>
            <w:tcW w:w="4815" w:type="dxa"/>
            <w:shd w:val="clear" w:color="auto" w:fill="auto"/>
            <w:noWrap/>
            <w:vAlign w:val="bottom"/>
            <w:hideMark/>
          </w:tcPr>
          <w:p w14:paraId="166AD6DE"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Valsts budžeta ieņēmumi</w:t>
            </w:r>
          </w:p>
        </w:tc>
        <w:tc>
          <w:tcPr>
            <w:tcW w:w="1276" w:type="dxa"/>
            <w:vAlign w:val="center"/>
          </w:tcPr>
          <w:p w14:paraId="1BC1AEDC"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48 808 711</w:t>
            </w:r>
          </w:p>
        </w:tc>
        <w:tc>
          <w:tcPr>
            <w:tcW w:w="1697" w:type="dxa"/>
            <w:vAlign w:val="center"/>
          </w:tcPr>
          <w:p w14:paraId="705DE7D7" w14:textId="77777777" w:rsidR="00EE1CF5" w:rsidRPr="00F931D3" w:rsidRDefault="00EE1CF5" w:rsidP="00263AB1">
            <w:pPr>
              <w:ind w:firstLine="34"/>
              <w:jc w:val="center"/>
              <w:rPr>
                <w:rFonts w:cs="Times New Roman"/>
                <w:b/>
                <w:bCs/>
                <w:color w:val="000000"/>
                <w:sz w:val="20"/>
                <w:szCs w:val="20"/>
              </w:rPr>
            </w:pPr>
            <w:r w:rsidRPr="00FB5911">
              <w:rPr>
                <w:rFonts w:cs="Times New Roman"/>
                <w:b/>
                <w:bCs/>
                <w:sz w:val="20"/>
                <w:szCs w:val="20"/>
              </w:rPr>
              <w:t>104 248 888</w:t>
            </w:r>
          </w:p>
        </w:tc>
        <w:tc>
          <w:tcPr>
            <w:tcW w:w="1242" w:type="dxa"/>
            <w:shd w:val="clear" w:color="auto" w:fill="auto"/>
            <w:noWrap/>
            <w:vAlign w:val="center"/>
          </w:tcPr>
          <w:p w14:paraId="5D940C9A"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49 406 416</w:t>
            </w:r>
          </w:p>
        </w:tc>
        <w:tc>
          <w:tcPr>
            <w:tcW w:w="1150" w:type="dxa"/>
          </w:tcPr>
          <w:p w14:paraId="13B4668F" w14:textId="77777777" w:rsidR="00EE1CF5" w:rsidRPr="00F931D3" w:rsidRDefault="00EE1CF5" w:rsidP="00263AB1">
            <w:pPr>
              <w:ind w:firstLine="34"/>
              <w:jc w:val="center"/>
              <w:rPr>
                <w:rFonts w:cs="Times New Roman"/>
                <w:b/>
                <w:bCs/>
                <w:color w:val="000000"/>
                <w:sz w:val="20"/>
                <w:szCs w:val="20"/>
              </w:rPr>
            </w:pPr>
            <w:r w:rsidRPr="004F7111">
              <w:rPr>
                <w:rFonts w:cs="Times New Roman"/>
                <w:b/>
                <w:bCs/>
                <w:color w:val="000000"/>
                <w:sz w:val="20"/>
                <w:szCs w:val="20"/>
              </w:rPr>
              <w:t>64 370 221</w:t>
            </w:r>
          </w:p>
        </w:tc>
        <w:tc>
          <w:tcPr>
            <w:tcW w:w="1316" w:type="dxa"/>
            <w:shd w:val="clear" w:color="auto" w:fill="auto"/>
            <w:noWrap/>
            <w:vAlign w:val="center"/>
          </w:tcPr>
          <w:p w14:paraId="0ACF4409"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58 684 672</w:t>
            </w:r>
          </w:p>
        </w:tc>
        <w:tc>
          <w:tcPr>
            <w:tcW w:w="1150" w:type="dxa"/>
            <w:vAlign w:val="center"/>
          </w:tcPr>
          <w:p w14:paraId="4C71B6B4" w14:textId="77777777" w:rsidR="00EE1CF5" w:rsidRPr="00F931D3" w:rsidRDefault="00EE1CF5" w:rsidP="00263AB1">
            <w:pPr>
              <w:ind w:firstLine="34"/>
              <w:jc w:val="center"/>
              <w:rPr>
                <w:rFonts w:cs="Times New Roman"/>
                <w:b/>
                <w:bCs/>
                <w:color w:val="000000"/>
                <w:sz w:val="20"/>
                <w:szCs w:val="20"/>
              </w:rPr>
            </w:pPr>
            <w:r>
              <w:rPr>
                <w:b/>
                <w:bCs/>
                <w:color w:val="000000"/>
                <w:sz w:val="20"/>
                <w:szCs w:val="20"/>
              </w:rPr>
              <w:t>63 670 221</w:t>
            </w:r>
          </w:p>
        </w:tc>
        <w:tc>
          <w:tcPr>
            <w:tcW w:w="1416" w:type="dxa"/>
            <w:tcBorders>
              <w:right w:val="single" w:sz="4" w:space="0" w:color="auto"/>
            </w:tcBorders>
            <w:shd w:val="clear" w:color="auto" w:fill="auto"/>
            <w:noWrap/>
            <w:vAlign w:val="center"/>
          </w:tcPr>
          <w:p w14:paraId="417B0263" w14:textId="77777777" w:rsidR="00EE1CF5" w:rsidRPr="00F931D3" w:rsidRDefault="00EE1CF5" w:rsidP="00263AB1">
            <w:pPr>
              <w:ind w:firstLine="34"/>
              <w:jc w:val="center"/>
              <w:rPr>
                <w:rFonts w:cs="Times New Roman"/>
                <w:b/>
                <w:bCs/>
                <w:color w:val="000000"/>
                <w:sz w:val="20"/>
                <w:szCs w:val="20"/>
              </w:rPr>
            </w:pPr>
            <w:r>
              <w:rPr>
                <w:b/>
                <w:bCs/>
                <w:color w:val="000000"/>
                <w:sz w:val="20"/>
                <w:szCs w:val="20"/>
              </w:rPr>
              <w:t>54 370 221</w:t>
            </w:r>
          </w:p>
        </w:tc>
      </w:tr>
      <w:tr w:rsidR="00EE1CF5" w14:paraId="6A9A7BD8" w14:textId="77777777" w:rsidTr="00263AB1">
        <w:trPr>
          <w:trHeight w:val="288"/>
          <w:jc w:val="center"/>
        </w:trPr>
        <w:tc>
          <w:tcPr>
            <w:tcW w:w="4815" w:type="dxa"/>
            <w:shd w:val="clear" w:color="auto" w:fill="auto"/>
            <w:noWrap/>
            <w:vAlign w:val="bottom"/>
            <w:hideMark/>
          </w:tcPr>
          <w:p w14:paraId="4A763C29" w14:textId="77777777" w:rsidR="00EE1CF5" w:rsidRPr="00E936FD" w:rsidRDefault="00EE1CF5" w:rsidP="00263AB1">
            <w:pPr>
              <w:ind w:firstLine="34"/>
              <w:rPr>
                <w:rFonts w:cs="Times New Roman"/>
                <w:sz w:val="20"/>
                <w:szCs w:val="20"/>
              </w:rPr>
            </w:pPr>
            <w:r w:rsidRPr="00E936FD">
              <w:rPr>
                <w:rFonts w:cs="Times New Roman"/>
                <w:sz w:val="20"/>
                <w:szCs w:val="20"/>
              </w:rPr>
              <w:t>SEN</w:t>
            </w:r>
          </w:p>
        </w:tc>
        <w:tc>
          <w:tcPr>
            <w:tcW w:w="1276" w:type="dxa"/>
            <w:shd w:val="clear" w:color="000000" w:fill="FFFFFF"/>
            <w:vAlign w:val="center"/>
          </w:tcPr>
          <w:p w14:paraId="34EEC830"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0</w:t>
            </w:r>
          </w:p>
        </w:tc>
        <w:tc>
          <w:tcPr>
            <w:tcW w:w="1697" w:type="dxa"/>
            <w:shd w:val="clear" w:color="000000" w:fill="FFFFFF"/>
            <w:vAlign w:val="center"/>
          </w:tcPr>
          <w:p w14:paraId="4782A45E"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0</w:t>
            </w:r>
          </w:p>
        </w:tc>
        <w:tc>
          <w:tcPr>
            <w:tcW w:w="1242" w:type="dxa"/>
            <w:shd w:val="clear" w:color="000000" w:fill="FFFFFF"/>
            <w:noWrap/>
            <w:vAlign w:val="center"/>
          </w:tcPr>
          <w:p w14:paraId="79E87633" w14:textId="77777777" w:rsidR="00EE1CF5" w:rsidRPr="00F931D3" w:rsidRDefault="00EE1CF5" w:rsidP="00263AB1">
            <w:pPr>
              <w:ind w:firstLine="34"/>
              <w:jc w:val="center"/>
              <w:rPr>
                <w:rFonts w:cs="Times New Roman"/>
                <w:bCs/>
                <w:color w:val="000000"/>
                <w:sz w:val="20"/>
                <w:szCs w:val="20"/>
              </w:rPr>
            </w:pPr>
            <w:r w:rsidRPr="00F931D3">
              <w:rPr>
                <w:rFonts w:cs="Times New Roman"/>
                <w:color w:val="000000"/>
                <w:sz w:val="20"/>
                <w:szCs w:val="20"/>
              </w:rPr>
              <w:t>0</w:t>
            </w:r>
          </w:p>
        </w:tc>
        <w:tc>
          <w:tcPr>
            <w:tcW w:w="1150" w:type="dxa"/>
            <w:shd w:val="clear" w:color="000000" w:fill="FFFFFF"/>
          </w:tcPr>
          <w:p w14:paraId="660B6A60" w14:textId="77777777" w:rsidR="00EE1CF5" w:rsidRPr="004F7111" w:rsidRDefault="00EE1CF5" w:rsidP="00263AB1">
            <w:pPr>
              <w:ind w:firstLine="34"/>
              <w:jc w:val="center"/>
              <w:rPr>
                <w:rFonts w:cs="Times New Roman"/>
                <w:color w:val="000000" w:themeColor="text1"/>
                <w:sz w:val="20"/>
                <w:szCs w:val="20"/>
              </w:rPr>
            </w:pPr>
            <w:r w:rsidRPr="004F7111">
              <w:rPr>
                <w:rFonts w:cs="Times New Roman"/>
                <w:color w:val="000000" w:themeColor="text1"/>
                <w:sz w:val="20"/>
                <w:szCs w:val="20"/>
              </w:rPr>
              <w:t>0</w:t>
            </w:r>
          </w:p>
        </w:tc>
        <w:tc>
          <w:tcPr>
            <w:tcW w:w="1316" w:type="dxa"/>
            <w:shd w:val="clear" w:color="000000" w:fill="FFFFFF"/>
            <w:noWrap/>
            <w:vAlign w:val="center"/>
          </w:tcPr>
          <w:p w14:paraId="5EFCDBC9" w14:textId="77777777" w:rsidR="00EE1CF5" w:rsidRPr="00F931D3" w:rsidRDefault="00EE1CF5" w:rsidP="00263AB1">
            <w:pPr>
              <w:ind w:firstLine="34"/>
              <w:jc w:val="center"/>
              <w:rPr>
                <w:rFonts w:cs="Times New Roman"/>
                <w:bCs/>
                <w:color w:val="000000"/>
                <w:sz w:val="20"/>
                <w:szCs w:val="20"/>
              </w:rPr>
            </w:pPr>
            <w:r w:rsidRPr="00F931D3">
              <w:rPr>
                <w:rFonts w:cs="Times New Roman"/>
                <w:color w:val="000000"/>
                <w:sz w:val="20"/>
                <w:szCs w:val="20"/>
              </w:rPr>
              <w:t>0</w:t>
            </w:r>
          </w:p>
        </w:tc>
        <w:tc>
          <w:tcPr>
            <w:tcW w:w="1150" w:type="dxa"/>
            <w:vAlign w:val="center"/>
          </w:tcPr>
          <w:p w14:paraId="258891FA"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0</w:t>
            </w:r>
          </w:p>
        </w:tc>
        <w:tc>
          <w:tcPr>
            <w:tcW w:w="1416" w:type="dxa"/>
            <w:tcBorders>
              <w:right w:val="single" w:sz="4" w:space="0" w:color="auto"/>
            </w:tcBorders>
            <w:shd w:val="clear" w:color="auto" w:fill="auto"/>
            <w:noWrap/>
            <w:vAlign w:val="center"/>
          </w:tcPr>
          <w:p w14:paraId="0354E324" w14:textId="77777777" w:rsidR="00EE1CF5" w:rsidRPr="00F931D3" w:rsidRDefault="00EE1CF5" w:rsidP="00263AB1">
            <w:pPr>
              <w:ind w:firstLine="34"/>
              <w:jc w:val="center"/>
              <w:rPr>
                <w:rFonts w:cs="Times New Roman"/>
                <w:bCs/>
                <w:color w:val="000000"/>
                <w:sz w:val="20"/>
                <w:szCs w:val="20"/>
              </w:rPr>
            </w:pPr>
            <w:r w:rsidRPr="00F931D3">
              <w:rPr>
                <w:rFonts w:cs="Times New Roman"/>
                <w:color w:val="000000"/>
                <w:sz w:val="20"/>
                <w:szCs w:val="20"/>
              </w:rPr>
              <w:t>0</w:t>
            </w:r>
          </w:p>
        </w:tc>
      </w:tr>
      <w:tr w:rsidR="00EE1CF5" w14:paraId="216A0B60" w14:textId="77777777" w:rsidTr="00263AB1">
        <w:trPr>
          <w:trHeight w:val="288"/>
          <w:jc w:val="center"/>
        </w:trPr>
        <w:tc>
          <w:tcPr>
            <w:tcW w:w="4815" w:type="dxa"/>
            <w:shd w:val="clear" w:color="auto" w:fill="auto"/>
            <w:noWrap/>
            <w:vAlign w:val="bottom"/>
            <w:hideMark/>
          </w:tcPr>
          <w:p w14:paraId="438E0E46" w14:textId="77777777" w:rsidR="00EE1CF5" w:rsidRPr="00E936FD" w:rsidRDefault="00EE1CF5" w:rsidP="00263AB1">
            <w:pPr>
              <w:ind w:firstLine="34"/>
              <w:rPr>
                <w:rFonts w:cs="Times New Roman"/>
                <w:sz w:val="20"/>
                <w:szCs w:val="20"/>
              </w:rPr>
            </w:pPr>
            <w:r w:rsidRPr="00E936FD">
              <w:rPr>
                <w:rFonts w:cs="Times New Roman"/>
                <w:sz w:val="20"/>
                <w:szCs w:val="20"/>
              </w:rPr>
              <w:t>PVN</w:t>
            </w:r>
          </w:p>
        </w:tc>
        <w:tc>
          <w:tcPr>
            <w:tcW w:w="1276" w:type="dxa"/>
            <w:vAlign w:val="center"/>
          </w:tcPr>
          <w:p w14:paraId="3BC66720"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9 533 241</w:t>
            </w:r>
          </w:p>
        </w:tc>
        <w:tc>
          <w:tcPr>
            <w:tcW w:w="1697" w:type="dxa"/>
            <w:vAlign w:val="center"/>
          </w:tcPr>
          <w:p w14:paraId="456F0C58"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9 533 241</w:t>
            </w:r>
          </w:p>
        </w:tc>
        <w:tc>
          <w:tcPr>
            <w:tcW w:w="1242" w:type="dxa"/>
            <w:shd w:val="clear" w:color="auto" w:fill="auto"/>
            <w:noWrap/>
            <w:vAlign w:val="center"/>
          </w:tcPr>
          <w:p w14:paraId="50395E04" w14:textId="77777777" w:rsidR="00EE1CF5" w:rsidRPr="00F931D3" w:rsidRDefault="00EE1CF5" w:rsidP="00263AB1">
            <w:pPr>
              <w:ind w:firstLine="34"/>
              <w:jc w:val="center"/>
              <w:rPr>
                <w:rFonts w:cs="Times New Roman"/>
                <w:bCs/>
                <w:color w:val="000000"/>
                <w:sz w:val="20"/>
                <w:szCs w:val="20"/>
              </w:rPr>
            </w:pPr>
            <w:r w:rsidRPr="00F931D3">
              <w:rPr>
                <w:rFonts w:cs="Times New Roman"/>
                <w:color w:val="000000"/>
                <w:sz w:val="20"/>
                <w:szCs w:val="20"/>
              </w:rPr>
              <w:t>0</w:t>
            </w:r>
          </w:p>
        </w:tc>
        <w:tc>
          <w:tcPr>
            <w:tcW w:w="1150" w:type="dxa"/>
          </w:tcPr>
          <w:p w14:paraId="43D89552" w14:textId="77777777" w:rsidR="00EE1CF5" w:rsidRPr="004F7111" w:rsidRDefault="00EE1CF5" w:rsidP="00263AB1">
            <w:pPr>
              <w:ind w:firstLine="34"/>
              <w:jc w:val="center"/>
              <w:rPr>
                <w:rFonts w:cs="Times New Roman"/>
                <w:color w:val="000000" w:themeColor="text1"/>
                <w:sz w:val="20"/>
                <w:szCs w:val="20"/>
              </w:rPr>
            </w:pPr>
            <w:r w:rsidRPr="004F7111">
              <w:rPr>
                <w:rFonts w:cs="Times New Roman"/>
                <w:color w:val="000000" w:themeColor="text1"/>
                <w:sz w:val="20"/>
                <w:szCs w:val="20"/>
              </w:rPr>
              <w:t>0</w:t>
            </w:r>
          </w:p>
        </w:tc>
        <w:tc>
          <w:tcPr>
            <w:tcW w:w="1316" w:type="dxa"/>
            <w:shd w:val="clear" w:color="auto" w:fill="auto"/>
            <w:noWrap/>
            <w:vAlign w:val="center"/>
          </w:tcPr>
          <w:p w14:paraId="66E54AC5" w14:textId="77777777" w:rsidR="00EE1CF5" w:rsidRPr="00F931D3" w:rsidRDefault="00EE1CF5" w:rsidP="00263AB1">
            <w:pPr>
              <w:ind w:firstLine="34"/>
              <w:jc w:val="center"/>
              <w:rPr>
                <w:rFonts w:cs="Times New Roman"/>
                <w:bCs/>
                <w:color w:val="000000"/>
                <w:sz w:val="20"/>
                <w:szCs w:val="20"/>
              </w:rPr>
            </w:pPr>
            <w:r w:rsidRPr="00F931D3">
              <w:rPr>
                <w:rFonts w:cs="Times New Roman"/>
                <w:color w:val="000000"/>
                <w:sz w:val="20"/>
                <w:szCs w:val="20"/>
              </w:rPr>
              <w:t>0</w:t>
            </w:r>
          </w:p>
        </w:tc>
        <w:tc>
          <w:tcPr>
            <w:tcW w:w="1150" w:type="dxa"/>
            <w:vAlign w:val="center"/>
          </w:tcPr>
          <w:p w14:paraId="05725B8F"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0</w:t>
            </w:r>
          </w:p>
        </w:tc>
        <w:tc>
          <w:tcPr>
            <w:tcW w:w="1416" w:type="dxa"/>
            <w:tcBorders>
              <w:right w:val="single" w:sz="4" w:space="0" w:color="auto"/>
            </w:tcBorders>
            <w:shd w:val="clear" w:color="auto" w:fill="auto"/>
            <w:noWrap/>
            <w:vAlign w:val="center"/>
          </w:tcPr>
          <w:p w14:paraId="0F2F3752" w14:textId="77777777" w:rsidR="00EE1CF5" w:rsidRPr="00F931D3" w:rsidRDefault="00EE1CF5" w:rsidP="00263AB1">
            <w:pPr>
              <w:ind w:firstLine="34"/>
              <w:jc w:val="center"/>
              <w:rPr>
                <w:rFonts w:cs="Times New Roman"/>
                <w:bCs/>
                <w:color w:val="000000"/>
                <w:sz w:val="20"/>
                <w:szCs w:val="20"/>
              </w:rPr>
            </w:pPr>
            <w:r w:rsidRPr="00F931D3">
              <w:rPr>
                <w:rFonts w:cs="Times New Roman"/>
                <w:color w:val="000000"/>
                <w:sz w:val="20"/>
                <w:szCs w:val="20"/>
              </w:rPr>
              <w:t>0</w:t>
            </w:r>
          </w:p>
        </w:tc>
      </w:tr>
      <w:tr w:rsidR="00EE1CF5" w14:paraId="24219B1C" w14:textId="77777777" w:rsidTr="00263AB1">
        <w:trPr>
          <w:trHeight w:val="288"/>
          <w:jc w:val="center"/>
        </w:trPr>
        <w:tc>
          <w:tcPr>
            <w:tcW w:w="4815" w:type="dxa"/>
            <w:shd w:val="clear" w:color="auto" w:fill="auto"/>
            <w:noWrap/>
            <w:vAlign w:val="bottom"/>
            <w:hideMark/>
          </w:tcPr>
          <w:p w14:paraId="7C431965" w14:textId="77777777" w:rsidR="00EE1CF5" w:rsidRPr="00E936FD" w:rsidRDefault="00EE1CF5" w:rsidP="00263AB1">
            <w:pPr>
              <w:ind w:firstLine="34"/>
              <w:rPr>
                <w:rFonts w:cs="Times New Roman"/>
                <w:sz w:val="20"/>
                <w:szCs w:val="20"/>
              </w:rPr>
            </w:pPr>
            <w:r w:rsidRPr="00E936FD">
              <w:rPr>
                <w:rFonts w:cs="Times New Roman"/>
                <w:sz w:val="20"/>
                <w:szCs w:val="20"/>
              </w:rPr>
              <w:t>PVN (aizsargātie lietotāji)</w:t>
            </w:r>
          </w:p>
        </w:tc>
        <w:tc>
          <w:tcPr>
            <w:tcW w:w="1276" w:type="dxa"/>
            <w:vAlign w:val="center"/>
          </w:tcPr>
          <w:p w14:paraId="35322862"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1 287 604</w:t>
            </w:r>
          </w:p>
        </w:tc>
        <w:tc>
          <w:tcPr>
            <w:tcW w:w="1697" w:type="dxa"/>
            <w:vAlign w:val="center"/>
          </w:tcPr>
          <w:p w14:paraId="604418A2"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1 287 604</w:t>
            </w:r>
          </w:p>
        </w:tc>
        <w:tc>
          <w:tcPr>
            <w:tcW w:w="1242" w:type="dxa"/>
            <w:shd w:val="clear" w:color="auto" w:fill="auto"/>
            <w:noWrap/>
            <w:vAlign w:val="center"/>
          </w:tcPr>
          <w:p w14:paraId="2F71E14F" w14:textId="77777777" w:rsidR="00EE1CF5" w:rsidRPr="00F931D3" w:rsidRDefault="00EE1CF5" w:rsidP="00263AB1">
            <w:pPr>
              <w:ind w:firstLine="34"/>
              <w:jc w:val="center"/>
              <w:rPr>
                <w:rFonts w:cs="Times New Roman"/>
                <w:bCs/>
                <w:color w:val="000000"/>
                <w:sz w:val="20"/>
                <w:szCs w:val="20"/>
              </w:rPr>
            </w:pPr>
            <w:r w:rsidRPr="00F931D3">
              <w:rPr>
                <w:rFonts w:cs="Times New Roman"/>
                <w:color w:val="000000"/>
                <w:sz w:val="20"/>
                <w:szCs w:val="20"/>
              </w:rPr>
              <w:t>0</w:t>
            </w:r>
          </w:p>
        </w:tc>
        <w:tc>
          <w:tcPr>
            <w:tcW w:w="1150" w:type="dxa"/>
          </w:tcPr>
          <w:p w14:paraId="3EDD611A" w14:textId="77777777" w:rsidR="00EE1CF5" w:rsidRPr="004F7111" w:rsidRDefault="00EE1CF5" w:rsidP="00263AB1">
            <w:pPr>
              <w:ind w:firstLine="34"/>
              <w:jc w:val="center"/>
              <w:rPr>
                <w:rFonts w:cs="Times New Roman"/>
                <w:color w:val="000000" w:themeColor="text1"/>
                <w:sz w:val="20"/>
                <w:szCs w:val="20"/>
              </w:rPr>
            </w:pPr>
            <w:r w:rsidRPr="004F7111">
              <w:rPr>
                <w:rFonts w:cs="Times New Roman"/>
                <w:color w:val="000000" w:themeColor="text1"/>
                <w:sz w:val="20"/>
                <w:szCs w:val="20"/>
              </w:rPr>
              <w:t>0</w:t>
            </w:r>
          </w:p>
        </w:tc>
        <w:tc>
          <w:tcPr>
            <w:tcW w:w="1316" w:type="dxa"/>
            <w:shd w:val="clear" w:color="auto" w:fill="auto"/>
            <w:noWrap/>
            <w:vAlign w:val="center"/>
          </w:tcPr>
          <w:p w14:paraId="4DE2EE46" w14:textId="77777777" w:rsidR="00EE1CF5" w:rsidRPr="00F931D3" w:rsidRDefault="00EE1CF5" w:rsidP="00263AB1">
            <w:pPr>
              <w:ind w:firstLine="34"/>
              <w:jc w:val="center"/>
              <w:rPr>
                <w:rFonts w:cs="Times New Roman"/>
                <w:bCs/>
                <w:color w:val="000000"/>
                <w:sz w:val="20"/>
                <w:szCs w:val="20"/>
              </w:rPr>
            </w:pPr>
            <w:r w:rsidRPr="00F931D3">
              <w:rPr>
                <w:rFonts w:cs="Times New Roman"/>
                <w:color w:val="000000"/>
                <w:sz w:val="20"/>
                <w:szCs w:val="20"/>
              </w:rPr>
              <w:t>0</w:t>
            </w:r>
          </w:p>
        </w:tc>
        <w:tc>
          <w:tcPr>
            <w:tcW w:w="1150" w:type="dxa"/>
            <w:vAlign w:val="center"/>
          </w:tcPr>
          <w:p w14:paraId="15DBC661"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0</w:t>
            </w:r>
          </w:p>
        </w:tc>
        <w:tc>
          <w:tcPr>
            <w:tcW w:w="1416" w:type="dxa"/>
            <w:tcBorders>
              <w:right w:val="single" w:sz="4" w:space="0" w:color="auto"/>
            </w:tcBorders>
            <w:shd w:val="clear" w:color="auto" w:fill="auto"/>
            <w:noWrap/>
            <w:vAlign w:val="center"/>
          </w:tcPr>
          <w:p w14:paraId="2B562DA3" w14:textId="77777777" w:rsidR="00EE1CF5" w:rsidRPr="00F931D3" w:rsidRDefault="00EE1CF5" w:rsidP="00263AB1">
            <w:pPr>
              <w:ind w:firstLine="34"/>
              <w:jc w:val="center"/>
              <w:rPr>
                <w:rFonts w:cs="Times New Roman"/>
                <w:bCs/>
                <w:color w:val="000000"/>
                <w:sz w:val="20"/>
                <w:szCs w:val="20"/>
              </w:rPr>
            </w:pPr>
            <w:r w:rsidRPr="00F931D3">
              <w:rPr>
                <w:rFonts w:cs="Times New Roman"/>
                <w:color w:val="000000"/>
                <w:sz w:val="20"/>
                <w:szCs w:val="20"/>
              </w:rPr>
              <w:t>0</w:t>
            </w:r>
          </w:p>
        </w:tc>
      </w:tr>
      <w:tr w:rsidR="00EE1CF5" w14:paraId="14011423" w14:textId="77777777" w:rsidTr="00263AB1">
        <w:trPr>
          <w:trHeight w:val="464"/>
          <w:jc w:val="center"/>
        </w:trPr>
        <w:tc>
          <w:tcPr>
            <w:tcW w:w="4815" w:type="dxa"/>
            <w:shd w:val="clear" w:color="auto" w:fill="auto"/>
            <w:vAlign w:val="bottom"/>
            <w:hideMark/>
          </w:tcPr>
          <w:p w14:paraId="3848534B" w14:textId="77777777" w:rsidR="00EE1CF5" w:rsidRPr="00E936FD" w:rsidRDefault="00EE1CF5" w:rsidP="00263AB1">
            <w:pPr>
              <w:ind w:firstLine="34"/>
              <w:rPr>
                <w:rFonts w:cs="Times New Roman"/>
                <w:sz w:val="20"/>
                <w:szCs w:val="20"/>
              </w:rPr>
            </w:pPr>
            <w:r w:rsidRPr="00E936FD">
              <w:rPr>
                <w:rFonts w:cs="Times New Roman"/>
                <w:sz w:val="20"/>
                <w:szCs w:val="20"/>
              </w:rPr>
              <w:t>AS „Latvenergo” dividendes komplekso risinājumu elektroenerģijas tirgū novirzāmā daļa</w:t>
            </w:r>
          </w:p>
        </w:tc>
        <w:tc>
          <w:tcPr>
            <w:tcW w:w="1276" w:type="dxa"/>
            <w:vAlign w:val="center"/>
          </w:tcPr>
          <w:p w14:paraId="49B04115"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35 987 866</w:t>
            </w:r>
          </w:p>
        </w:tc>
        <w:tc>
          <w:tcPr>
            <w:tcW w:w="1697" w:type="dxa"/>
            <w:vAlign w:val="center"/>
          </w:tcPr>
          <w:p w14:paraId="09BD9E7F" w14:textId="77777777" w:rsidR="00EE1CF5" w:rsidRPr="00F931D3" w:rsidRDefault="00EE1CF5" w:rsidP="00263AB1">
            <w:pPr>
              <w:ind w:firstLine="34"/>
              <w:jc w:val="center"/>
              <w:rPr>
                <w:rFonts w:cs="Times New Roman"/>
                <w:color w:val="000000"/>
                <w:sz w:val="20"/>
                <w:szCs w:val="20"/>
              </w:rPr>
            </w:pPr>
            <w:r w:rsidRPr="007F00E3">
              <w:rPr>
                <w:rFonts w:cs="Times New Roman"/>
                <w:color w:val="000000"/>
                <w:sz w:val="20"/>
                <w:szCs w:val="20"/>
              </w:rPr>
              <w:t>91 428 043</w:t>
            </w:r>
          </w:p>
        </w:tc>
        <w:tc>
          <w:tcPr>
            <w:tcW w:w="1242" w:type="dxa"/>
            <w:shd w:val="clear" w:color="auto" w:fill="auto"/>
            <w:noWrap/>
            <w:vAlign w:val="center"/>
          </w:tcPr>
          <w:p w14:paraId="4A7615C6" w14:textId="77777777" w:rsidR="00EE1CF5" w:rsidRPr="002D32B9" w:rsidRDefault="00EE1CF5" w:rsidP="00263AB1">
            <w:pPr>
              <w:ind w:firstLine="34"/>
              <w:jc w:val="center"/>
              <w:rPr>
                <w:rFonts w:cs="Times New Roman"/>
                <w:color w:val="000000"/>
                <w:sz w:val="20"/>
                <w:szCs w:val="20"/>
              </w:rPr>
            </w:pPr>
            <w:r w:rsidRPr="00F931D3">
              <w:rPr>
                <w:rFonts w:cs="Times New Roman"/>
                <w:color w:val="000000"/>
                <w:sz w:val="20"/>
                <w:szCs w:val="20"/>
              </w:rPr>
              <w:t>47 406 416</w:t>
            </w:r>
          </w:p>
        </w:tc>
        <w:tc>
          <w:tcPr>
            <w:tcW w:w="1150" w:type="dxa"/>
            <w:vAlign w:val="center"/>
          </w:tcPr>
          <w:p w14:paraId="2F2E2A24" w14:textId="77777777" w:rsidR="00EE1CF5" w:rsidRPr="004F7111" w:rsidRDefault="00EE1CF5" w:rsidP="00263AB1">
            <w:pPr>
              <w:ind w:firstLine="34"/>
              <w:jc w:val="center"/>
              <w:rPr>
                <w:rFonts w:cs="Times New Roman"/>
                <w:color w:val="000000"/>
                <w:sz w:val="20"/>
                <w:szCs w:val="20"/>
              </w:rPr>
            </w:pPr>
            <w:r w:rsidRPr="004F7111">
              <w:rPr>
                <w:rFonts w:cs="Times New Roman"/>
                <w:color w:val="000000"/>
                <w:sz w:val="20"/>
                <w:szCs w:val="20"/>
              </w:rPr>
              <w:t>62 370 221</w:t>
            </w:r>
          </w:p>
        </w:tc>
        <w:tc>
          <w:tcPr>
            <w:tcW w:w="1316" w:type="dxa"/>
            <w:shd w:val="clear" w:color="auto" w:fill="auto"/>
            <w:noWrap/>
            <w:vAlign w:val="center"/>
          </w:tcPr>
          <w:p w14:paraId="19137F6C" w14:textId="77777777" w:rsidR="00EE1CF5" w:rsidRPr="002D32B9" w:rsidRDefault="00EE1CF5" w:rsidP="00263AB1">
            <w:pPr>
              <w:ind w:firstLine="34"/>
              <w:jc w:val="center"/>
              <w:rPr>
                <w:rFonts w:cs="Times New Roman"/>
                <w:color w:val="000000"/>
                <w:sz w:val="20"/>
                <w:szCs w:val="20"/>
              </w:rPr>
            </w:pPr>
            <w:r w:rsidRPr="00F931D3">
              <w:rPr>
                <w:rFonts w:cs="Times New Roman"/>
                <w:color w:val="000000"/>
                <w:sz w:val="20"/>
                <w:szCs w:val="20"/>
              </w:rPr>
              <w:t>56 684 672</w:t>
            </w:r>
          </w:p>
        </w:tc>
        <w:tc>
          <w:tcPr>
            <w:tcW w:w="1150" w:type="dxa"/>
            <w:vAlign w:val="center"/>
          </w:tcPr>
          <w:p w14:paraId="1C0C0BA2" w14:textId="77777777" w:rsidR="00EE1CF5" w:rsidRPr="002D32B9" w:rsidRDefault="00EE1CF5" w:rsidP="00263AB1">
            <w:pPr>
              <w:jc w:val="center"/>
              <w:rPr>
                <w:rFonts w:cs="Times New Roman"/>
                <w:color w:val="000000"/>
                <w:sz w:val="20"/>
                <w:szCs w:val="20"/>
              </w:rPr>
            </w:pPr>
            <w:r>
              <w:rPr>
                <w:color w:val="000000"/>
                <w:sz w:val="20"/>
                <w:szCs w:val="20"/>
              </w:rPr>
              <w:t>61 670 221</w:t>
            </w:r>
          </w:p>
        </w:tc>
        <w:tc>
          <w:tcPr>
            <w:tcW w:w="1416" w:type="dxa"/>
            <w:tcBorders>
              <w:right w:val="single" w:sz="4" w:space="0" w:color="auto"/>
            </w:tcBorders>
            <w:shd w:val="clear" w:color="auto" w:fill="auto"/>
            <w:noWrap/>
            <w:vAlign w:val="center"/>
          </w:tcPr>
          <w:p w14:paraId="1526FE93" w14:textId="77777777" w:rsidR="00EE1CF5" w:rsidRPr="002D32B9" w:rsidRDefault="00EE1CF5" w:rsidP="00263AB1">
            <w:pPr>
              <w:jc w:val="center"/>
              <w:rPr>
                <w:rFonts w:cs="Times New Roman"/>
                <w:color w:val="000000"/>
                <w:sz w:val="20"/>
                <w:szCs w:val="20"/>
              </w:rPr>
            </w:pPr>
            <w:r>
              <w:rPr>
                <w:color w:val="000000"/>
                <w:sz w:val="20"/>
                <w:szCs w:val="20"/>
              </w:rPr>
              <w:t>52 370 221</w:t>
            </w:r>
          </w:p>
        </w:tc>
      </w:tr>
      <w:tr w:rsidR="00EE1CF5" w14:paraId="5634A0B8" w14:textId="77777777" w:rsidTr="00263AB1">
        <w:trPr>
          <w:trHeight w:val="288"/>
          <w:jc w:val="center"/>
        </w:trPr>
        <w:tc>
          <w:tcPr>
            <w:tcW w:w="4815" w:type="dxa"/>
            <w:shd w:val="clear" w:color="auto" w:fill="auto"/>
            <w:noWrap/>
            <w:vAlign w:val="bottom"/>
          </w:tcPr>
          <w:p w14:paraId="086E482D" w14:textId="77777777" w:rsidR="00EE1CF5" w:rsidRPr="00E936FD" w:rsidRDefault="00EE1CF5" w:rsidP="00263AB1">
            <w:pPr>
              <w:ind w:firstLine="34"/>
              <w:jc w:val="left"/>
              <w:rPr>
                <w:rFonts w:cs="Times New Roman"/>
                <w:b/>
                <w:bCs/>
                <w:sz w:val="20"/>
                <w:szCs w:val="20"/>
              </w:rPr>
            </w:pPr>
            <w:r w:rsidRPr="00E936FD">
              <w:rPr>
                <w:rFonts w:cs="Times New Roman"/>
                <w:sz w:val="20"/>
                <w:szCs w:val="20"/>
              </w:rPr>
              <w:t>AS „Latvenergo” dividendes VPP enerģētikā vajadzībām</w:t>
            </w:r>
          </w:p>
        </w:tc>
        <w:tc>
          <w:tcPr>
            <w:tcW w:w="1276" w:type="dxa"/>
            <w:vAlign w:val="center"/>
          </w:tcPr>
          <w:p w14:paraId="09D3A870"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2 000 000</w:t>
            </w:r>
          </w:p>
        </w:tc>
        <w:tc>
          <w:tcPr>
            <w:tcW w:w="1697" w:type="dxa"/>
            <w:vAlign w:val="center"/>
          </w:tcPr>
          <w:p w14:paraId="17F18C1C"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2 000 000</w:t>
            </w:r>
          </w:p>
        </w:tc>
        <w:tc>
          <w:tcPr>
            <w:tcW w:w="1242" w:type="dxa"/>
            <w:shd w:val="clear" w:color="auto" w:fill="auto"/>
            <w:noWrap/>
            <w:vAlign w:val="center"/>
          </w:tcPr>
          <w:p w14:paraId="2898C339" w14:textId="77777777" w:rsidR="00EE1CF5" w:rsidRPr="004F7111" w:rsidRDefault="00EE1CF5" w:rsidP="00263AB1">
            <w:pPr>
              <w:ind w:firstLine="34"/>
              <w:jc w:val="center"/>
              <w:rPr>
                <w:rFonts w:cs="Times New Roman"/>
                <w:color w:val="000000"/>
                <w:sz w:val="20"/>
                <w:szCs w:val="20"/>
              </w:rPr>
            </w:pPr>
            <w:r w:rsidRPr="00F931D3">
              <w:rPr>
                <w:rFonts w:cs="Times New Roman"/>
                <w:color w:val="000000"/>
                <w:sz w:val="20"/>
                <w:szCs w:val="20"/>
              </w:rPr>
              <w:t>2 000 000</w:t>
            </w:r>
          </w:p>
        </w:tc>
        <w:tc>
          <w:tcPr>
            <w:tcW w:w="1150" w:type="dxa"/>
            <w:vAlign w:val="center"/>
          </w:tcPr>
          <w:p w14:paraId="07862C44" w14:textId="77777777" w:rsidR="00EE1CF5" w:rsidRPr="004F7111" w:rsidRDefault="00EE1CF5" w:rsidP="00263AB1">
            <w:pPr>
              <w:rPr>
                <w:rFonts w:cs="Times New Roman"/>
                <w:color w:val="000000"/>
                <w:sz w:val="20"/>
                <w:szCs w:val="20"/>
              </w:rPr>
            </w:pPr>
            <w:r w:rsidRPr="00F931D3">
              <w:rPr>
                <w:rFonts w:cs="Times New Roman"/>
                <w:color w:val="000000"/>
                <w:sz w:val="20"/>
                <w:szCs w:val="20"/>
              </w:rPr>
              <w:t>2 000 000</w:t>
            </w:r>
          </w:p>
        </w:tc>
        <w:tc>
          <w:tcPr>
            <w:tcW w:w="1316" w:type="dxa"/>
            <w:shd w:val="clear" w:color="auto" w:fill="auto"/>
            <w:noWrap/>
            <w:vAlign w:val="center"/>
          </w:tcPr>
          <w:p w14:paraId="415CD5EA" w14:textId="77777777" w:rsidR="00EE1CF5" w:rsidRPr="004F7111" w:rsidRDefault="00EE1CF5" w:rsidP="00263AB1">
            <w:pPr>
              <w:ind w:firstLine="34"/>
              <w:jc w:val="center"/>
              <w:rPr>
                <w:rFonts w:cs="Times New Roman"/>
                <w:color w:val="000000"/>
                <w:sz w:val="20"/>
                <w:szCs w:val="20"/>
              </w:rPr>
            </w:pPr>
            <w:r w:rsidRPr="00F931D3">
              <w:rPr>
                <w:rFonts w:cs="Times New Roman"/>
                <w:color w:val="000000"/>
                <w:sz w:val="20"/>
                <w:szCs w:val="20"/>
              </w:rPr>
              <w:t>2 000 000</w:t>
            </w:r>
          </w:p>
        </w:tc>
        <w:tc>
          <w:tcPr>
            <w:tcW w:w="1150" w:type="dxa"/>
            <w:vAlign w:val="center"/>
          </w:tcPr>
          <w:p w14:paraId="2187481A" w14:textId="77777777" w:rsidR="00EE1CF5" w:rsidRPr="00F931D3" w:rsidRDefault="00EE1CF5" w:rsidP="00263AB1">
            <w:pPr>
              <w:ind w:firstLine="34"/>
              <w:jc w:val="center"/>
              <w:rPr>
                <w:rFonts w:cs="Times New Roman"/>
                <w:color w:val="000000"/>
                <w:sz w:val="20"/>
                <w:szCs w:val="20"/>
              </w:rPr>
            </w:pPr>
            <w:r w:rsidRPr="00F931D3">
              <w:rPr>
                <w:rFonts w:cs="Times New Roman"/>
                <w:color w:val="000000"/>
                <w:sz w:val="20"/>
                <w:szCs w:val="20"/>
              </w:rPr>
              <w:t>2 000 000</w:t>
            </w:r>
          </w:p>
        </w:tc>
        <w:tc>
          <w:tcPr>
            <w:tcW w:w="1416" w:type="dxa"/>
            <w:tcBorders>
              <w:right w:val="single" w:sz="4" w:space="0" w:color="auto"/>
            </w:tcBorders>
            <w:shd w:val="clear" w:color="auto" w:fill="auto"/>
            <w:noWrap/>
            <w:vAlign w:val="center"/>
          </w:tcPr>
          <w:p w14:paraId="5DE5DBF8" w14:textId="77777777" w:rsidR="00EE1CF5" w:rsidRPr="00F931D3" w:rsidRDefault="00EE1CF5" w:rsidP="00263AB1">
            <w:pPr>
              <w:ind w:firstLine="34"/>
              <w:jc w:val="center"/>
              <w:rPr>
                <w:rFonts w:cs="Times New Roman"/>
                <w:bCs/>
                <w:color w:val="000000"/>
                <w:sz w:val="20"/>
                <w:szCs w:val="20"/>
              </w:rPr>
            </w:pPr>
            <w:r w:rsidRPr="00F931D3">
              <w:rPr>
                <w:rFonts w:cs="Times New Roman"/>
                <w:color w:val="000000"/>
                <w:sz w:val="20"/>
                <w:szCs w:val="20"/>
              </w:rPr>
              <w:t>2 000 000</w:t>
            </w:r>
          </w:p>
        </w:tc>
      </w:tr>
      <w:tr w:rsidR="00EE1CF5" w14:paraId="7D87F2D9" w14:textId="77777777" w:rsidTr="00263AB1">
        <w:trPr>
          <w:trHeight w:val="288"/>
          <w:jc w:val="center"/>
        </w:trPr>
        <w:tc>
          <w:tcPr>
            <w:tcW w:w="4815" w:type="dxa"/>
            <w:shd w:val="clear" w:color="auto" w:fill="auto"/>
            <w:noWrap/>
            <w:vAlign w:val="bottom"/>
            <w:hideMark/>
          </w:tcPr>
          <w:p w14:paraId="3C0694B3"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Bilance</w:t>
            </w:r>
          </w:p>
        </w:tc>
        <w:tc>
          <w:tcPr>
            <w:tcW w:w="1276" w:type="dxa"/>
            <w:vAlign w:val="center"/>
          </w:tcPr>
          <w:p w14:paraId="63837968"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0</w:t>
            </w:r>
          </w:p>
        </w:tc>
        <w:tc>
          <w:tcPr>
            <w:tcW w:w="1697" w:type="dxa"/>
            <w:vAlign w:val="center"/>
          </w:tcPr>
          <w:p w14:paraId="45D57794"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0</w:t>
            </w:r>
          </w:p>
        </w:tc>
        <w:tc>
          <w:tcPr>
            <w:tcW w:w="1242" w:type="dxa"/>
            <w:shd w:val="clear" w:color="auto" w:fill="auto"/>
            <w:noWrap/>
            <w:vAlign w:val="center"/>
          </w:tcPr>
          <w:p w14:paraId="295938B7"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0</w:t>
            </w:r>
          </w:p>
        </w:tc>
        <w:tc>
          <w:tcPr>
            <w:tcW w:w="1150" w:type="dxa"/>
          </w:tcPr>
          <w:p w14:paraId="5EE1970D" w14:textId="77777777" w:rsidR="00EE1CF5" w:rsidRPr="00F931D3" w:rsidRDefault="00EE1CF5" w:rsidP="00263AB1">
            <w:pPr>
              <w:ind w:firstLine="34"/>
              <w:jc w:val="center"/>
              <w:rPr>
                <w:rFonts w:cs="Times New Roman"/>
                <w:b/>
                <w:bCs/>
                <w:color w:val="000000"/>
                <w:sz w:val="20"/>
                <w:szCs w:val="20"/>
              </w:rPr>
            </w:pPr>
            <w:r w:rsidRPr="004F7111">
              <w:rPr>
                <w:rFonts w:cs="Times New Roman"/>
                <w:b/>
                <w:bCs/>
                <w:color w:val="000000"/>
                <w:sz w:val="20"/>
                <w:szCs w:val="20"/>
              </w:rPr>
              <w:t>0</w:t>
            </w:r>
          </w:p>
        </w:tc>
        <w:tc>
          <w:tcPr>
            <w:tcW w:w="1316" w:type="dxa"/>
            <w:shd w:val="clear" w:color="auto" w:fill="auto"/>
            <w:noWrap/>
            <w:vAlign w:val="center"/>
          </w:tcPr>
          <w:p w14:paraId="0F6CAE02"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0</w:t>
            </w:r>
          </w:p>
        </w:tc>
        <w:tc>
          <w:tcPr>
            <w:tcW w:w="1150" w:type="dxa"/>
            <w:vAlign w:val="center"/>
          </w:tcPr>
          <w:p w14:paraId="575C45DC"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0</w:t>
            </w:r>
          </w:p>
        </w:tc>
        <w:tc>
          <w:tcPr>
            <w:tcW w:w="1416" w:type="dxa"/>
            <w:tcBorders>
              <w:right w:val="single" w:sz="4" w:space="0" w:color="auto"/>
            </w:tcBorders>
            <w:shd w:val="clear" w:color="auto" w:fill="auto"/>
            <w:noWrap/>
            <w:vAlign w:val="center"/>
          </w:tcPr>
          <w:p w14:paraId="09F0FF89" w14:textId="77777777" w:rsidR="00EE1CF5" w:rsidRPr="00F931D3" w:rsidRDefault="00EE1CF5" w:rsidP="00263AB1">
            <w:pPr>
              <w:ind w:firstLine="34"/>
              <w:jc w:val="center"/>
              <w:rPr>
                <w:rFonts w:cs="Times New Roman"/>
                <w:b/>
                <w:bCs/>
                <w:color w:val="000000"/>
                <w:sz w:val="20"/>
                <w:szCs w:val="20"/>
              </w:rPr>
            </w:pPr>
            <w:r w:rsidRPr="00F931D3">
              <w:rPr>
                <w:rFonts w:cs="Times New Roman"/>
                <w:b/>
                <w:bCs/>
                <w:color w:val="000000"/>
                <w:sz w:val="20"/>
                <w:szCs w:val="20"/>
              </w:rPr>
              <w:t>0</w:t>
            </w:r>
          </w:p>
        </w:tc>
      </w:tr>
      <w:tr w:rsidR="00EE1CF5" w14:paraId="388C9519" w14:textId="77777777" w:rsidTr="00263AB1">
        <w:trPr>
          <w:trHeight w:val="288"/>
          <w:jc w:val="center"/>
        </w:trPr>
        <w:tc>
          <w:tcPr>
            <w:tcW w:w="4815" w:type="dxa"/>
            <w:shd w:val="clear" w:color="auto" w:fill="auto"/>
            <w:noWrap/>
            <w:vAlign w:val="bottom"/>
          </w:tcPr>
          <w:p w14:paraId="637C64FE" w14:textId="77777777" w:rsidR="00EE1CF5" w:rsidRPr="00E936FD" w:rsidRDefault="00EE1CF5" w:rsidP="00263AB1">
            <w:pPr>
              <w:ind w:firstLine="34"/>
              <w:jc w:val="center"/>
              <w:rPr>
                <w:rFonts w:cs="Times New Roman"/>
                <w:b/>
                <w:bCs/>
                <w:sz w:val="20"/>
                <w:szCs w:val="20"/>
              </w:rPr>
            </w:pPr>
            <w:r w:rsidRPr="00E936FD">
              <w:rPr>
                <w:rFonts w:cs="Times New Roman"/>
                <w:b/>
                <w:sz w:val="20"/>
                <w:szCs w:val="20"/>
              </w:rPr>
              <w:t>Vidējais OIK, EUR/MWh</w:t>
            </w:r>
          </w:p>
        </w:tc>
        <w:tc>
          <w:tcPr>
            <w:tcW w:w="1276" w:type="dxa"/>
            <w:vAlign w:val="center"/>
          </w:tcPr>
          <w:p w14:paraId="363B4F59" w14:textId="77777777" w:rsidR="00EE1CF5" w:rsidRPr="00F931D3" w:rsidRDefault="00EE1CF5" w:rsidP="00263AB1">
            <w:pPr>
              <w:ind w:firstLine="34"/>
              <w:jc w:val="center"/>
              <w:rPr>
                <w:rFonts w:cs="Times New Roman"/>
                <w:b/>
                <w:sz w:val="20"/>
                <w:szCs w:val="20"/>
              </w:rPr>
            </w:pPr>
            <w:r w:rsidRPr="00F931D3">
              <w:rPr>
                <w:rFonts w:cs="Times New Roman"/>
                <w:b/>
                <w:sz w:val="20"/>
                <w:szCs w:val="20"/>
              </w:rPr>
              <w:t>25,79</w:t>
            </w:r>
          </w:p>
        </w:tc>
        <w:tc>
          <w:tcPr>
            <w:tcW w:w="1697" w:type="dxa"/>
            <w:vAlign w:val="center"/>
          </w:tcPr>
          <w:p w14:paraId="1C5FD277" w14:textId="77777777" w:rsidR="00EE1CF5" w:rsidRPr="00F931D3" w:rsidRDefault="00EE1CF5" w:rsidP="00263AB1">
            <w:pPr>
              <w:ind w:firstLine="34"/>
              <w:jc w:val="center"/>
              <w:rPr>
                <w:rFonts w:cs="Times New Roman"/>
                <w:b/>
                <w:sz w:val="20"/>
                <w:szCs w:val="20"/>
              </w:rPr>
            </w:pPr>
            <w:r w:rsidRPr="00F931D3">
              <w:rPr>
                <w:rFonts w:cs="Times New Roman"/>
                <w:b/>
                <w:sz w:val="20"/>
                <w:szCs w:val="20"/>
              </w:rPr>
              <w:t>2</w:t>
            </w:r>
            <w:r>
              <w:rPr>
                <w:rFonts w:cs="Times New Roman"/>
                <w:b/>
                <w:sz w:val="20"/>
                <w:szCs w:val="20"/>
              </w:rPr>
              <w:t>4</w:t>
            </w:r>
            <w:r w:rsidRPr="00F931D3">
              <w:rPr>
                <w:rFonts w:cs="Times New Roman"/>
                <w:b/>
                <w:sz w:val="20"/>
                <w:szCs w:val="20"/>
              </w:rPr>
              <w:t>,</w:t>
            </w:r>
            <w:r>
              <w:rPr>
                <w:rFonts w:cs="Times New Roman"/>
                <w:b/>
                <w:sz w:val="20"/>
                <w:szCs w:val="20"/>
              </w:rPr>
              <w:t>24</w:t>
            </w:r>
          </w:p>
        </w:tc>
        <w:tc>
          <w:tcPr>
            <w:tcW w:w="1242" w:type="dxa"/>
            <w:tcBorders>
              <w:right w:val="single" w:sz="4" w:space="0" w:color="auto"/>
            </w:tcBorders>
            <w:shd w:val="clear" w:color="auto" w:fill="auto"/>
            <w:vAlign w:val="center"/>
          </w:tcPr>
          <w:p w14:paraId="2319DD7F" w14:textId="77777777" w:rsidR="00EE1CF5" w:rsidRPr="00F931D3" w:rsidRDefault="00EE1CF5" w:rsidP="00263AB1">
            <w:pPr>
              <w:ind w:firstLine="34"/>
              <w:jc w:val="center"/>
              <w:rPr>
                <w:rFonts w:cs="Times New Roman"/>
                <w:b/>
                <w:sz w:val="20"/>
                <w:szCs w:val="20"/>
              </w:rPr>
            </w:pPr>
            <w:r w:rsidRPr="00F931D3">
              <w:rPr>
                <w:rFonts w:cs="Times New Roman"/>
                <w:b/>
                <w:sz w:val="20"/>
                <w:szCs w:val="20"/>
              </w:rPr>
              <w:t>25,79</w:t>
            </w:r>
          </w:p>
        </w:tc>
        <w:tc>
          <w:tcPr>
            <w:tcW w:w="1150" w:type="dxa"/>
            <w:vAlign w:val="center"/>
          </w:tcPr>
          <w:p w14:paraId="325328CE" w14:textId="77777777" w:rsidR="00EE1CF5" w:rsidRPr="00F931D3" w:rsidRDefault="00EE1CF5" w:rsidP="00263AB1">
            <w:pPr>
              <w:ind w:firstLine="34"/>
              <w:jc w:val="center"/>
              <w:rPr>
                <w:rFonts w:cs="Times New Roman"/>
                <w:b/>
                <w:sz w:val="20"/>
                <w:szCs w:val="20"/>
              </w:rPr>
            </w:pPr>
            <w:r w:rsidRPr="00F931D3">
              <w:rPr>
                <w:rFonts w:cs="Times New Roman"/>
                <w:b/>
                <w:sz w:val="20"/>
                <w:szCs w:val="20"/>
              </w:rPr>
              <w:t>22,68</w:t>
            </w:r>
          </w:p>
        </w:tc>
        <w:tc>
          <w:tcPr>
            <w:tcW w:w="1316" w:type="dxa"/>
            <w:tcBorders>
              <w:right w:val="single" w:sz="4" w:space="0" w:color="auto"/>
            </w:tcBorders>
            <w:shd w:val="clear" w:color="auto" w:fill="auto"/>
            <w:vAlign w:val="center"/>
          </w:tcPr>
          <w:p w14:paraId="3B512E3E" w14:textId="77777777" w:rsidR="00EE1CF5" w:rsidRPr="00F931D3" w:rsidRDefault="00EE1CF5" w:rsidP="00263AB1">
            <w:pPr>
              <w:ind w:firstLine="34"/>
              <w:jc w:val="center"/>
              <w:rPr>
                <w:rFonts w:cs="Times New Roman"/>
                <w:b/>
                <w:sz w:val="20"/>
                <w:szCs w:val="20"/>
              </w:rPr>
            </w:pPr>
            <w:r w:rsidRPr="00F931D3">
              <w:rPr>
                <w:rFonts w:cs="Times New Roman"/>
                <w:b/>
                <w:sz w:val="20"/>
                <w:szCs w:val="20"/>
              </w:rPr>
              <w:t>24,92</w:t>
            </w:r>
          </w:p>
        </w:tc>
        <w:tc>
          <w:tcPr>
            <w:tcW w:w="1150" w:type="dxa"/>
            <w:vAlign w:val="center"/>
          </w:tcPr>
          <w:p w14:paraId="3467DE56" w14:textId="77777777" w:rsidR="00EE1CF5" w:rsidRPr="00F931D3" w:rsidRDefault="00EE1CF5" w:rsidP="00263AB1">
            <w:pPr>
              <w:ind w:firstLine="34"/>
              <w:jc w:val="center"/>
              <w:rPr>
                <w:rFonts w:cs="Times New Roman"/>
                <w:b/>
                <w:sz w:val="20"/>
                <w:szCs w:val="20"/>
              </w:rPr>
            </w:pPr>
            <w:r w:rsidRPr="00F931D3">
              <w:rPr>
                <w:rFonts w:cs="Times New Roman"/>
                <w:b/>
                <w:sz w:val="20"/>
                <w:szCs w:val="20"/>
              </w:rPr>
              <w:t>22,68</w:t>
            </w:r>
          </w:p>
        </w:tc>
        <w:tc>
          <w:tcPr>
            <w:tcW w:w="1416" w:type="dxa"/>
            <w:tcBorders>
              <w:right w:val="single" w:sz="4" w:space="0" w:color="auto"/>
            </w:tcBorders>
            <w:shd w:val="clear" w:color="auto" w:fill="auto"/>
            <w:vAlign w:val="center"/>
          </w:tcPr>
          <w:p w14:paraId="0FC94C9B" w14:textId="77777777" w:rsidR="00EE1CF5" w:rsidRPr="00F931D3" w:rsidRDefault="00EE1CF5" w:rsidP="00263AB1">
            <w:pPr>
              <w:ind w:firstLine="34"/>
              <w:jc w:val="center"/>
              <w:rPr>
                <w:rFonts w:cs="Times New Roman"/>
                <w:b/>
                <w:sz w:val="20"/>
                <w:szCs w:val="20"/>
              </w:rPr>
            </w:pPr>
            <w:r>
              <w:rPr>
                <w:rFonts w:cs="Times New Roman"/>
                <w:b/>
                <w:sz w:val="20"/>
                <w:szCs w:val="20"/>
              </w:rPr>
              <w:t>22,68</w:t>
            </w:r>
          </w:p>
        </w:tc>
      </w:tr>
    </w:tbl>
    <w:p w14:paraId="0440C22B" w14:textId="77777777" w:rsidR="00EE1CF5" w:rsidRPr="00BC7930" w:rsidRDefault="00EE1CF5" w:rsidP="00EE1CF5">
      <w:pPr>
        <w:pStyle w:val="Caption"/>
        <w:keepNext/>
        <w:spacing w:line="240" w:lineRule="auto"/>
        <w:jc w:val="right"/>
        <w:rPr>
          <w:rFonts w:ascii="Times New Roman" w:hAnsi="Times New Roman"/>
          <w:b w:val="0"/>
          <w:i/>
          <w:sz w:val="26"/>
          <w:szCs w:val="26"/>
        </w:rPr>
      </w:pPr>
      <w:r w:rsidRPr="00BC7930">
        <w:rPr>
          <w:rFonts w:ascii="Times New Roman" w:hAnsi="Times New Roman"/>
          <w:b w:val="0"/>
          <w:i/>
          <w:sz w:val="26"/>
          <w:szCs w:val="26"/>
        </w:rPr>
        <w:lastRenderedPageBreak/>
        <w:t>14.tabula</w:t>
      </w:r>
    </w:p>
    <w:p w14:paraId="4365962E" w14:textId="77777777" w:rsidR="00EE1CF5" w:rsidRPr="00E936FD" w:rsidRDefault="00EE1CF5" w:rsidP="00EE1CF5">
      <w:pPr>
        <w:pStyle w:val="Caption"/>
        <w:keepNext/>
        <w:keepLines/>
        <w:widowControl/>
        <w:jc w:val="center"/>
        <w:rPr>
          <w:rFonts w:ascii="Times New Roman" w:hAnsi="Times New Roman"/>
          <w:sz w:val="24"/>
          <w:szCs w:val="24"/>
        </w:rPr>
      </w:pPr>
      <w:r w:rsidRPr="00E936FD">
        <w:rPr>
          <w:rFonts w:ascii="Times New Roman" w:hAnsi="Times New Roman"/>
          <w:sz w:val="24"/>
          <w:szCs w:val="24"/>
        </w:rPr>
        <w:t>Valsts budžetā iemaksājamās AS "Latvenergo" dividendes, EUR</w:t>
      </w: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418"/>
        <w:gridCol w:w="1276"/>
        <w:gridCol w:w="1402"/>
        <w:gridCol w:w="1335"/>
        <w:gridCol w:w="1786"/>
        <w:gridCol w:w="1335"/>
        <w:gridCol w:w="1335"/>
      </w:tblGrid>
      <w:tr w:rsidR="00EE1CF5" w14:paraId="2F5B8F4F" w14:textId="77777777" w:rsidTr="00263AB1">
        <w:trPr>
          <w:trHeight w:val="288"/>
          <w:jc w:val="center"/>
        </w:trPr>
        <w:tc>
          <w:tcPr>
            <w:tcW w:w="4673" w:type="dxa"/>
            <w:shd w:val="clear" w:color="auto" w:fill="auto"/>
            <w:noWrap/>
            <w:vAlign w:val="bottom"/>
            <w:hideMark/>
          </w:tcPr>
          <w:p w14:paraId="2B3F4325" w14:textId="77777777" w:rsidR="00EE1CF5" w:rsidRPr="00E936FD" w:rsidRDefault="00EE1CF5" w:rsidP="00263AB1">
            <w:pPr>
              <w:ind w:firstLine="34"/>
              <w:rPr>
                <w:rFonts w:cs="Times New Roman"/>
                <w:sz w:val="20"/>
                <w:szCs w:val="20"/>
              </w:rPr>
            </w:pPr>
          </w:p>
        </w:tc>
        <w:tc>
          <w:tcPr>
            <w:tcW w:w="2694" w:type="dxa"/>
            <w:gridSpan w:val="2"/>
            <w:shd w:val="clear" w:color="auto" w:fill="auto"/>
            <w:noWrap/>
            <w:vAlign w:val="center"/>
            <w:hideMark/>
          </w:tcPr>
          <w:p w14:paraId="34FFB384"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2018</w:t>
            </w:r>
          </w:p>
        </w:tc>
        <w:tc>
          <w:tcPr>
            <w:tcW w:w="2737" w:type="dxa"/>
            <w:gridSpan w:val="2"/>
            <w:shd w:val="clear" w:color="auto" w:fill="auto"/>
            <w:noWrap/>
            <w:vAlign w:val="center"/>
            <w:hideMark/>
          </w:tcPr>
          <w:p w14:paraId="509696F5"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2019</w:t>
            </w:r>
          </w:p>
        </w:tc>
        <w:tc>
          <w:tcPr>
            <w:tcW w:w="3121" w:type="dxa"/>
            <w:gridSpan w:val="2"/>
            <w:tcBorders>
              <w:right w:val="single" w:sz="4" w:space="0" w:color="auto"/>
            </w:tcBorders>
            <w:shd w:val="clear" w:color="auto" w:fill="auto"/>
            <w:noWrap/>
            <w:vAlign w:val="center"/>
            <w:hideMark/>
          </w:tcPr>
          <w:p w14:paraId="3C2A2433"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2020</w:t>
            </w:r>
          </w:p>
        </w:tc>
        <w:tc>
          <w:tcPr>
            <w:tcW w:w="1335" w:type="dxa"/>
            <w:tcBorders>
              <w:right w:val="single" w:sz="4" w:space="0" w:color="auto"/>
            </w:tcBorders>
          </w:tcPr>
          <w:p w14:paraId="37BB8149" w14:textId="77777777" w:rsidR="00EE1CF5" w:rsidRPr="00E936FD" w:rsidRDefault="00EE1CF5" w:rsidP="00263AB1">
            <w:pPr>
              <w:ind w:firstLine="34"/>
              <w:jc w:val="center"/>
              <w:rPr>
                <w:rFonts w:cs="Times New Roman"/>
                <w:b/>
                <w:bCs/>
                <w:sz w:val="20"/>
                <w:szCs w:val="20"/>
              </w:rPr>
            </w:pPr>
            <w:r>
              <w:rPr>
                <w:rFonts w:cs="Times New Roman"/>
                <w:b/>
                <w:bCs/>
                <w:sz w:val="20"/>
                <w:szCs w:val="20"/>
              </w:rPr>
              <w:t>2021</w:t>
            </w:r>
          </w:p>
        </w:tc>
      </w:tr>
      <w:tr w:rsidR="00EE1CF5" w14:paraId="01D7F6BC" w14:textId="77777777" w:rsidTr="00263AB1">
        <w:trPr>
          <w:trHeight w:val="288"/>
          <w:jc w:val="center"/>
        </w:trPr>
        <w:tc>
          <w:tcPr>
            <w:tcW w:w="4673" w:type="dxa"/>
            <w:shd w:val="clear" w:color="auto" w:fill="auto"/>
            <w:noWrap/>
            <w:vAlign w:val="center"/>
          </w:tcPr>
          <w:p w14:paraId="66958F9B" w14:textId="77777777" w:rsidR="00EE1CF5" w:rsidRPr="00E936FD" w:rsidRDefault="00EE1CF5" w:rsidP="00263AB1">
            <w:pPr>
              <w:ind w:firstLine="34"/>
              <w:jc w:val="center"/>
              <w:rPr>
                <w:rFonts w:cs="Times New Roman"/>
                <w:b/>
                <w:bCs/>
                <w:sz w:val="20"/>
                <w:szCs w:val="20"/>
              </w:rPr>
            </w:pPr>
          </w:p>
        </w:tc>
        <w:tc>
          <w:tcPr>
            <w:tcW w:w="1418" w:type="dxa"/>
            <w:shd w:val="clear" w:color="auto" w:fill="auto"/>
            <w:noWrap/>
            <w:vAlign w:val="center"/>
          </w:tcPr>
          <w:p w14:paraId="12B31935" w14:textId="77777777" w:rsidR="00EE1CF5" w:rsidRPr="00E936FD" w:rsidRDefault="00EE1CF5" w:rsidP="00263AB1">
            <w:pPr>
              <w:ind w:firstLine="34"/>
              <w:jc w:val="center"/>
              <w:rPr>
                <w:b/>
                <w:bCs/>
                <w:color w:val="000000"/>
                <w:sz w:val="20"/>
                <w:szCs w:val="20"/>
              </w:rPr>
            </w:pPr>
            <w:r>
              <w:rPr>
                <w:b/>
                <w:bCs/>
                <w:color w:val="000000"/>
                <w:sz w:val="20"/>
                <w:szCs w:val="20"/>
              </w:rPr>
              <w:t>Budžets</w:t>
            </w:r>
          </w:p>
        </w:tc>
        <w:tc>
          <w:tcPr>
            <w:tcW w:w="1276" w:type="dxa"/>
          </w:tcPr>
          <w:p w14:paraId="7BDACF4E"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402" w:type="dxa"/>
            <w:shd w:val="clear" w:color="auto" w:fill="auto"/>
            <w:noWrap/>
            <w:vAlign w:val="center"/>
          </w:tcPr>
          <w:p w14:paraId="144FE75D" w14:textId="77777777" w:rsidR="00EE1CF5" w:rsidRPr="00E936FD" w:rsidRDefault="00EE1CF5" w:rsidP="00263AB1">
            <w:pPr>
              <w:ind w:firstLine="34"/>
              <w:jc w:val="center"/>
              <w:rPr>
                <w:b/>
                <w:bCs/>
                <w:color w:val="000000"/>
                <w:sz w:val="20"/>
                <w:szCs w:val="20"/>
              </w:rPr>
            </w:pPr>
            <w:r>
              <w:rPr>
                <w:b/>
                <w:bCs/>
                <w:color w:val="000000"/>
                <w:sz w:val="20"/>
                <w:szCs w:val="20"/>
              </w:rPr>
              <w:t>2017. gada prognoze</w:t>
            </w:r>
          </w:p>
        </w:tc>
        <w:tc>
          <w:tcPr>
            <w:tcW w:w="1335" w:type="dxa"/>
          </w:tcPr>
          <w:p w14:paraId="586B905C"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786" w:type="dxa"/>
            <w:tcBorders>
              <w:right w:val="single" w:sz="4" w:space="0" w:color="auto"/>
            </w:tcBorders>
            <w:shd w:val="clear" w:color="auto" w:fill="auto"/>
            <w:noWrap/>
            <w:vAlign w:val="center"/>
          </w:tcPr>
          <w:p w14:paraId="318DEE64" w14:textId="77777777" w:rsidR="00EE1CF5" w:rsidRPr="00E936FD" w:rsidRDefault="00EE1CF5" w:rsidP="00263AB1">
            <w:pPr>
              <w:ind w:firstLine="34"/>
              <w:jc w:val="center"/>
              <w:rPr>
                <w:b/>
                <w:bCs/>
                <w:color w:val="000000"/>
                <w:sz w:val="20"/>
                <w:szCs w:val="20"/>
              </w:rPr>
            </w:pPr>
            <w:r>
              <w:rPr>
                <w:b/>
                <w:bCs/>
                <w:color w:val="000000"/>
                <w:sz w:val="20"/>
                <w:szCs w:val="20"/>
              </w:rPr>
              <w:t>2017. gada prognoze</w:t>
            </w:r>
          </w:p>
        </w:tc>
        <w:tc>
          <w:tcPr>
            <w:tcW w:w="1335" w:type="dxa"/>
            <w:tcBorders>
              <w:right w:val="single" w:sz="4" w:space="0" w:color="auto"/>
            </w:tcBorders>
          </w:tcPr>
          <w:p w14:paraId="2CFF4B6B"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335" w:type="dxa"/>
            <w:tcBorders>
              <w:right w:val="single" w:sz="4" w:space="0" w:color="auto"/>
            </w:tcBorders>
          </w:tcPr>
          <w:p w14:paraId="58FD2096" w14:textId="77777777" w:rsidR="00EE1CF5" w:rsidRPr="00E936FD" w:rsidRDefault="00EE1CF5" w:rsidP="00263AB1">
            <w:pPr>
              <w:ind w:firstLine="34"/>
              <w:jc w:val="center"/>
              <w:rPr>
                <w:b/>
                <w:bCs/>
                <w:color w:val="000000"/>
                <w:sz w:val="20"/>
                <w:szCs w:val="20"/>
              </w:rPr>
            </w:pPr>
            <w:r>
              <w:rPr>
                <w:b/>
                <w:bCs/>
                <w:color w:val="000000"/>
                <w:sz w:val="20"/>
                <w:szCs w:val="20"/>
              </w:rPr>
              <w:t>Prognoze</w:t>
            </w:r>
          </w:p>
        </w:tc>
      </w:tr>
      <w:tr w:rsidR="00EE1CF5" w14:paraId="57CC5BB7" w14:textId="77777777" w:rsidTr="00263AB1">
        <w:trPr>
          <w:trHeight w:val="288"/>
          <w:jc w:val="center"/>
        </w:trPr>
        <w:tc>
          <w:tcPr>
            <w:tcW w:w="4673" w:type="dxa"/>
            <w:shd w:val="clear" w:color="auto" w:fill="auto"/>
            <w:noWrap/>
            <w:vAlign w:val="center"/>
            <w:hideMark/>
          </w:tcPr>
          <w:p w14:paraId="55212E69"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 xml:space="preserve">AS </w:t>
            </w:r>
            <w:r w:rsidRPr="00E936FD">
              <w:rPr>
                <w:rFonts w:cs="Times New Roman"/>
                <w:b/>
                <w:sz w:val="20"/>
                <w:szCs w:val="20"/>
              </w:rPr>
              <w:t xml:space="preserve">„Latvenergo” </w:t>
            </w:r>
            <w:r w:rsidRPr="00E936FD">
              <w:rPr>
                <w:rFonts w:cs="Times New Roman"/>
                <w:b/>
                <w:bCs/>
                <w:sz w:val="20"/>
                <w:szCs w:val="20"/>
              </w:rPr>
              <w:t>dividendes, tajā skaitā</w:t>
            </w:r>
          </w:p>
        </w:tc>
        <w:tc>
          <w:tcPr>
            <w:tcW w:w="1418" w:type="dxa"/>
            <w:shd w:val="clear" w:color="auto" w:fill="auto"/>
            <w:noWrap/>
            <w:vAlign w:val="center"/>
            <w:hideMark/>
          </w:tcPr>
          <w:p w14:paraId="74FE611D" w14:textId="77777777" w:rsidR="00EE1CF5" w:rsidRPr="00E936FD" w:rsidRDefault="00EE1CF5" w:rsidP="00263AB1">
            <w:pPr>
              <w:ind w:firstLine="34"/>
              <w:jc w:val="center"/>
              <w:rPr>
                <w:rFonts w:cs="Times New Roman"/>
                <w:b/>
                <w:bCs/>
                <w:color w:val="000000"/>
                <w:sz w:val="20"/>
                <w:szCs w:val="20"/>
              </w:rPr>
            </w:pPr>
            <w:r w:rsidRPr="00E936FD">
              <w:rPr>
                <w:b/>
                <w:bCs/>
                <w:color w:val="000000"/>
                <w:sz w:val="20"/>
                <w:szCs w:val="20"/>
              </w:rPr>
              <w:t>94 217 866</w:t>
            </w:r>
          </w:p>
        </w:tc>
        <w:tc>
          <w:tcPr>
            <w:tcW w:w="1276" w:type="dxa"/>
            <w:vAlign w:val="center"/>
          </w:tcPr>
          <w:p w14:paraId="5DE086C0" w14:textId="77777777" w:rsidR="00EE1CF5" w:rsidRPr="00E936FD" w:rsidRDefault="00EE1CF5" w:rsidP="00263AB1">
            <w:pPr>
              <w:ind w:firstLine="34"/>
              <w:jc w:val="center"/>
              <w:rPr>
                <w:b/>
                <w:bCs/>
                <w:color w:val="000000"/>
                <w:sz w:val="20"/>
                <w:szCs w:val="20"/>
              </w:rPr>
            </w:pPr>
            <w:r w:rsidRPr="007F00E3">
              <w:rPr>
                <w:b/>
                <w:bCs/>
                <w:color w:val="000000"/>
                <w:sz w:val="20"/>
                <w:szCs w:val="20"/>
              </w:rPr>
              <w:t>156</w:t>
            </w:r>
            <w:r>
              <w:rPr>
                <w:b/>
                <w:bCs/>
                <w:color w:val="000000"/>
                <w:sz w:val="20"/>
                <w:szCs w:val="20"/>
              </w:rPr>
              <w:t> </w:t>
            </w:r>
            <w:r w:rsidRPr="007F00E3">
              <w:rPr>
                <w:b/>
                <w:bCs/>
                <w:color w:val="000000"/>
                <w:sz w:val="20"/>
                <w:szCs w:val="20"/>
              </w:rPr>
              <w:t>417</w:t>
            </w:r>
            <w:r>
              <w:rPr>
                <w:b/>
                <w:bCs/>
                <w:color w:val="000000"/>
                <w:sz w:val="20"/>
                <w:szCs w:val="20"/>
              </w:rPr>
              <w:t> </w:t>
            </w:r>
            <w:r w:rsidRPr="007F00E3">
              <w:rPr>
                <w:b/>
                <w:bCs/>
                <w:color w:val="000000"/>
                <w:sz w:val="20"/>
                <w:szCs w:val="20"/>
              </w:rPr>
              <w:t>866</w:t>
            </w:r>
          </w:p>
        </w:tc>
        <w:tc>
          <w:tcPr>
            <w:tcW w:w="1402" w:type="dxa"/>
            <w:shd w:val="clear" w:color="auto" w:fill="auto"/>
            <w:noWrap/>
            <w:vAlign w:val="center"/>
            <w:hideMark/>
          </w:tcPr>
          <w:p w14:paraId="099E5F47" w14:textId="77777777" w:rsidR="00EE1CF5" w:rsidRPr="00E936FD" w:rsidRDefault="00EE1CF5" w:rsidP="00263AB1">
            <w:pPr>
              <w:ind w:firstLine="34"/>
              <w:jc w:val="center"/>
              <w:rPr>
                <w:rFonts w:eastAsia="Times New Roman"/>
                <w:b/>
                <w:bCs/>
                <w:color w:val="000000"/>
                <w:sz w:val="20"/>
                <w:szCs w:val="20"/>
              </w:rPr>
            </w:pPr>
            <w:r w:rsidRPr="00E936FD">
              <w:rPr>
                <w:b/>
                <w:bCs/>
                <w:color w:val="000000"/>
                <w:sz w:val="20"/>
                <w:szCs w:val="20"/>
              </w:rPr>
              <w:t>132 936 416</w:t>
            </w:r>
          </w:p>
        </w:tc>
        <w:tc>
          <w:tcPr>
            <w:tcW w:w="1335" w:type="dxa"/>
            <w:vAlign w:val="center"/>
          </w:tcPr>
          <w:p w14:paraId="1BB9CD02" w14:textId="77777777" w:rsidR="00EE1CF5" w:rsidRPr="008F7646" w:rsidRDefault="00EE1CF5" w:rsidP="00263AB1">
            <w:pPr>
              <w:jc w:val="center"/>
              <w:rPr>
                <w:b/>
                <w:bCs/>
                <w:color w:val="000000"/>
                <w:sz w:val="20"/>
                <w:szCs w:val="20"/>
              </w:rPr>
            </w:pPr>
            <w:r w:rsidRPr="00A96ECF">
              <w:rPr>
                <w:b/>
                <w:bCs/>
                <w:color w:val="000000"/>
                <w:sz w:val="20"/>
                <w:szCs w:val="20"/>
              </w:rPr>
              <w:t>122 400 000</w:t>
            </w:r>
          </w:p>
        </w:tc>
        <w:tc>
          <w:tcPr>
            <w:tcW w:w="1786" w:type="dxa"/>
            <w:tcBorders>
              <w:right w:val="single" w:sz="4" w:space="0" w:color="auto"/>
            </w:tcBorders>
            <w:shd w:val="clear" w:color="auto" w:fill="auto"/>
            <w:noWrap/>
            <w:vAlign w:val="center"/>
            <w:hideMark/>
          </w:tcPr>
          <w:p w14:paraId="41FA91A1" w14:textId="77777777" w:rsidR="00EE1CF5" w:rsidRPr="008F7646" w:rsidRDefault="00EE1CF5" w:rsidP="00263AB1">
            <w:pPr>
              <w:ind w:firstLine="34"/>
              <w:jc w:val="center"/>
              <w:rPr>
                <w:b/>
                <w:bCs/>
                <w:color w:val="000000"/>
                <w:sz w:val="20"/>
                <w:szCs w:val="20"/>
              </w:rPr>
            </w:pPr>
            <w:r w:rsidRPr="00E936FD">
              <w:rPr>
                <w:b/>
                <w:bCs/>
                <w:color w:val="000000"/>
                <w:sz w:val="20"/>
                <w:szCs w:val="20"/>
              </w:rPr>
              <w:t>127 070</w:t>
            </w:r>
            <w:r>
              <w:rPr>
                <w:b/>
                <w:bCs/>
                <w:color w:val="000000"/>
                <w:sz w:val="20"/>
                <w:szCs w:val="20"/>
              </w:rPr>
              <w:t> </w:t>
            </w:r>
            <w:r w:rsidRPr="00E936FD">
              <w:rPr>
                <w:b/>
                <w:bCs/>
                <w:color w:val="000000"/>
                <w:sz w:val="20"/>
                <w:szCs w:val="20"/>
              </w:rPr>
              <w:t>731</w:t>
            </w:r>
          </w:p>
        </w:tc>
        <w:tc>
          <w:tcPr>
            <w:tcW w:w="1335" w:type="dxa"/>
            <w:tcBorders>
              <w:right w:val="single" w:sz="4" w:space="0" w:color="auto"/>
            </w:tcBorders>
            <w:vAlign w:val="center"/>
          </w:tcPr>
          <w:p w14:paraId="44B1A767" w14:textId="77777777" w:rsidR="00EE1CF5" w:rsidRPr="008F7646" w:rsidRDefault="00EE1CF5" w:rsidP="00263AB1">
            <w:pPr>
              <w:ind w:firstLine="34"/>
              <w:jc w:val="center"/>
              <w:rPr>
                <w:b/>
                <w:bCs/>
                <w:color w:val="000000"/>
                <w:sz w:val="20"/>
                <w:szCs w:val="20"/>
              </w:rPr>
            </w:pPr>
            <w:r w:rsidRPr="00A85836">
              <w:rPr>
                <w:b/>
                <w:bCs/>
                <w:color w:val="000000"/>
                <w:sz w:val="20"/>
                <w:szCs w:val="20"/>
              </w:rPr>
              <w:t>119</w:t>
            </w:r>
            <w:r>
              <w:rPr>
                <w:b/>
                <w:bCs/>
                <w:color w:val="000000"/>
                <w:sz w:val="20"/>
                <w:szCs w:val="20"/>
              </w:rPr>
              <w:t> </w:t>
            </w:r>
            <w:r w:rsidRPr="00A85836">
              <w:rPr>
                <w:b/>
                <w:bCs/>
                <w:color w:val="000000"/>
                <w:sz w:val="20"/>
                <w:szCs w:val="20"/>
              </w:rPr>
              <w:t>800</w:t>
            </w:r>
            <w:r>
              <w:rPr>
                <w:b/>
                <w:bCs/>
                <w:color w:val="000000"/>
                <w:sz w:val="20"/>
                <w:szCs w:val="20"/>
              </w:rPr>
              <w:t> </w:t>
            </w:r>
            <w:r w:rsidRPr="00A85836">
              <w:rPr>
                <w:b/>
                <w:bCs/>
                <w:color w:val="000000"/>
                <w:sz w:val="20"/>
                <w:szCs w:val="20"/>
              </w:rPr>
              <w:t>000</w:t>
            </w:r>
          </w:p>
        </w:tc>
        <w:tc>
          <w:tcPr>
            <w:tcW w:w="1335" w:type="dxa"/>
            <w:tcBorders>
              <w:right w:val="single" w:sz="4" w:space="0" w:color="auto"/>
            </w:tcBorders>
            <w:vAlign w:val="center"/>
          </w:tcPr>
          <w:p w14:paraId="6E6FF30E" w14:textId="77777777" w:rsidR="00EE1CF5" w:rsidRPr="008F7646" w:rsidRDefault="00EE1CF5" w:rsidP="00263AB1">
            <w:pPr>
              <w:ind w:firstLine="34"/>
              <w:jc w:val="center"/>
              <w:rPr>
                <w:b/>
                <w:bCs/>
                <w:color w:val="000000"/>
                <w:sz w:val="20"/>
                <w:szCs w:val="20"/>
              </w:rPr>
            </w:pPr>
            <w:r w:rsidRPr="008F7646">
              <w:rPr>
                <w:b/>
                <w:bCs/>
                <w:color w:val="000000"/>
                <w:sz w:val="20"/>
                <w:szCs w:val="20"/>
              </w:rPr>
              <w:t>104 200 000</w:t>
            </w:r>
          </w:p>
        </w:tc>
      </w:tr>
      <w:tr w:rsidR="00EE1CF5" w14:paraId="601D5B67" w14:textId="77777777" w:rsidTr="00263AB1">
        <w:trPr>
          <w:trHeight w:val="288"/>
          <w:jc w:val="center"/>
        </w:trPr>
        <w:tc>
          <w:tcPr>
            <w:tcW w:w="4673" w:type="dxa"/>
            <w:shd w:val="clear" w:color="auto" w:fill="auto"/>
            <w:noWrap/>
            <w:vAlign w:val="center"/>
          </w:tcPr>
          <w:p w14:paraId="55E77098" w14:textId="77777777" w:rsidR="00EE1CF5" w:rsidRPr="00E936FD" w:rsidRDefault="00EE1CF5" w:rsidP="00263AB1">
            <w:pPr>
              <w:ind w:firstLine="34"/>
              <w:jc w:val="left"/>
              <w:rPr>
                <w:rFonts w:cs="Times New Roman"/>
                <w:bCs/>
                <w:sz w:val="20"/>
                <w:szCs w:val="20"/>
              </w:rPr>
            </w:pPr>
            <w:r w:rsidRPr="00E936FD">
              <w:rPr>
                <w:rFonts w:cs="Times New Roman"/>
                <w:sz w:val="20"/>
                <w:szCs w:val="20"/>
              </w:rPr>
              <w:t>VPP enerģētikā</w:t>
            </w:r>
          </w:p>
        </w:tc>
        <w:tc>
          <w:tcPr>
            <w:tcW w:w="1418" w:type="dxa"/>
            <w:shd w:val="clear" w:color="auto" w:fill="auto"/>
            <w:noWrap/>
            <w:vAlign w:val="center"/>
          </w:tcPr>
          <w:p w14:paraId="2AD74D63"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276" w:type="dxa"/>
            <w:vAlign w:val="center"/>
          </w:tcPr>
          <w:p w14:paraId="20C0A476" w14:textId="77777777" w:rsidR="00EE1CF5" w:rsidRPr="00E936FD" w:rsidRDefault="00EE1CF5" w:rsidP="00263AB1">
            <w:pPr>
              <w:ind w:firstLine="34"/>
              <w:jc w:val="center"/>
              <w:rPr>
                <w:color w:val="000000"/>
                <w:sz w:val="20"/>
                <w:szCs w:val="20"/>
              </w:rPr>
            </w:pPr>
            <w:r w:rsidRPr="00085FC6">
              <w:rPr>
                <w:color w:val="000000"/>
                <w:sz w:val="20"/>
                <w:szCs w:val="20"/>
              </w:rPr>
              <w:t>2 000 000</w:t>
            </w:r>
          </w:p>
        </w:tc>
        <w:tc>
          <w:tcPr>
            <w:tcW w:w="1402" w:type="dxa"/>
            <w:shd w:val="clear" w:color="auto" w:fill="auto"/>
            <w:noWrap/>
            <w:vAlign w:val="center"/>
          </w:tcPr>
          <w:p w14:paraId="19720003" w14:textId="77777777" w:rsidR="00EE1CF5" w:rsidRPr="00BE6590" w:rsidRDefault="00EE1CF5" w:rsidP="00263AB1">
            <w:pPr>
              <w:ind w:firstLine="34"/>
              <w:jc w:val="center"/>
              <w:rPr>
                <w:color w:val="000000"/>
                <w:sz w:val="20"/>
                <w:szCs w:val="20"/>
              </w:rPr>
            </w:pPr>
            <w:r w:rsidRPr="00085FC6">
              <w:rPr>
                <w:color w:val="000000"/>
                <w:sz w:val="20"/>
                <w:szCs w:val="20"/>
              </w:rPr>
              <w:t>2 000 000</w:t>
            </w:r>
          </w:p>
        </w:tc>
        <w:tc>
          <w:tcPr>
            <w:tcW w:w="1335" w:type="dxa"/>
            <w:vAlign w:val="center"/>
          </w:tcPr>
          <w:p w14:paraId="45772EF5" w14:textId="77777777" w:rsidR="00EE1CF5" w:rsidRPr="00E936FD" w:rsidRDefault="00EE1CF5" w:rsidP="00263AB1">
            <w:pPr>
              <w:ind w:firstLine="34"/>
              <w:jc w:val="center"/>
              <w:rPr>
                <w:color w:val="000000"/>
                <w:sz w:val="20"/>
                <w:szCs w:val="20"/>
              </w:rPr>
            </w:pPr>
            <w:r w:rsidRPr="00085FC6">
              <w:rPr>
                <w:color w:val="000000"/>
                <w:sz w:val="20"/>
                <w:szCs w:val="20"/>
              </w:rPr>
              <w:t>2 000 000</w:t>
            </w:r>
          </w:p>
        </w:tc>
        <w:tc>
          <w:tcPr>
            <w:tcW w:w="1786" w:type="dxa"/>
            <w:tcBorders>
              <w:right w:val="single" w:sz="4" w:space="0" w:color="auto"/>
            </w:tcBorders>
            <w:shd w:val="clear" w:color="auto" w:fill="auto"/>
            <w:noWrap/>
            <w:vAlign w:val="center"/>
          </w:tcPr>
          <w:p w14:paraId="08514BDE" w14:textId="77777777" w:rsidR="00EE1CF5" w:rsidRPr="00BE6590" w:rsidRDefault="00EE1CF5" w:rsidP="00263AB1">
            <w:pPr>
              <w:ind w:firstLine="34"/>
              <w:jc w:val="center"/>
              <w:rPr>
                <w:color w:val="000000"/>
                <w:sz w:val="20"/>
                <w:szCs w:val="20"/>
              </w:rPr>
            </w:pPr>
            <w:r w:rsidRPr="00085FC6">
              <w:rPr>
                <w:color w:val="000000"/>
                <w:sz w:val="20"/>
                <w:szCs w:val="20"/>
              </w:rPr>
              <w:t>2 000 000</w:t>
            </w:r>
          </w:p>
        </w:tc>
        <w:tc>
          <w:tcPr>
            <w:tcW w:w="1335" w:type="dxa"/>
            <w:tcBorders>
              <w:right w:val="single" w:sz="4" w:space="0" w:color="auto"/>
            </w:tcBorders>
            <w:vAlign w:val="center"/>
          </w:tcPr>
          <w:p w14:paraId="31D8357A" w14:textId="77777777" w:rsidR="00EE1CF5" w:rsidRPr="00E936FD" w:rsidRDefault="00EE1CF5" w:rsidP="00263AB1">
            <w:pPr>
              <w:ind w:firstLine="34"/>
              <w:jc w:val="center"/>
              <w:rPr>
                <w:color w:val="000000"/>
                <w:sz w:val="20"/>
                <w:szCs w:val="20"/>
              </w:rPr>
            </w:pPr>
            <w:r w:rsidRPr="00085FC6">
              <w:rPr>
                <w:color w:val="000000"/>
                <w:sz w:val="20"/>
                <w:szCs w:val="20"/>
              </w:rPr>
              <w:t>2 000 000</w:t>
            </w:r>
          </w:p>
        </w:tc>
        <w:tc>
          <w:tcPr>
            <w:tcW w:w="1335" w:type="dxa"/>
            <w:tcBorders>
              <w:right w:val="single" w:sz="4" w:space="0" w:color="auto"/>
            </w:tcBorders>
            <w:vAlign w:val="center"/>
          </w:tcPr>
          <w:p w14:paraId="4E885B24" w14:textId="77777777" w:rsidR="00EE1CF5" w:rsidRPr="00E936FD" w:rsidRDefault="00EE1CF5" w:rsidP="00263AB1">
            <w:pPr>
              <w:ind w:firstLine="34"/>
              <w:jc w:val="center"/>
              <w:rPr>
                <w:color w:val="000000"/>
                <w:sz w:val="20"/>
                <w:szCs w:val="20"/>
              </w:rPr>
            </w:pPr>
            <w:r w:rsidRPr="00E936FD">
              <w:rPr>
                <w:color w:val="000000"/>
                <w:sz w:val="20"/>
                <w:szCs w:val="20"/>
              </w:rPr>
              <w:t>2 000 000</w:t>
            </w:r>
          </w:p>
        </w:tc>
      </w:tr>
      <w:tr w:rsidR="00EE1CF5" w14:paraId="5595ADFF" w14:textId="77777777" w:rsidTr="00263AB1">
        <w:trPr>
          <w:trHeight w:val="288"/>
          <w:jc w:val="center"/>
        </w:trPr>
        <w:tc>
          <w:tcPr>
            <w:tcW w:w="4673" w:type="dxa"/>
            <w:shd w:val="clear" w:color="auto" w:fill="auto"/>
            <w:noWrap/>
            <w:vAlign w:val="center"/>
            <w:hideMark/>
          </w:tcPr>
          <w:p w14:paraId="61486AC3" w14:textId="77777777" w:rsidR="00EE1CF5" w:rsidRPr="00E936FD" w:rsidRDefault="00EE1CF5" w:rsidP="00263AB1">
            <w:pPr>
              <w:ind w:firstLine="34"/>
              <w:jc w:val="left"/>
              <w:rPr>
                <w:rFonts w:cs="Times New Roman"/>
                <w:sz w:val="20"/>
                <w:szCs w:val="20"/>
              </w:rPr>
            </w:pPr>
            <w:r w:rsidRPr="00E936FD">
              <w:rPr>
                <w:rFonts w:cs="Times New Roman"/>
                <w:sz w:val="20"/>
                <w:szCs w:val="20"/>
              </w:rPr>
              <w:t>tostarp komplekso risinājumu elektroenerģijas tirgū novirzāmā daļa</w:t>
            </w:r>
          </w:p>
        </w:tc>
        <w:tc>
          <w:tcPr>
            <w:tcW w:w="1418" w:type="dxa"/>
            <w:shd w:val="clear" w:color="auto" w:fill="auto"/>
            <w:noWrap/>
            <w:vAlign w:val="center"/>
            <w:hideMark/>
          </w:tcPr>
          <w:p w14:paraId="3234ADB5" w14:textId="77777777" w:rsidR="00EE1CF5" w:rsidRPr="00A0766D" w:rsidRDefault="00EE1CF5" w:rsidP="00263AB1">
            <w:pPr>
              <w:ind w:firstLine="34"/>
              <w:jc w:val="center"/>
              <w:rPr>
                <w:rFonts w:cs="Times New Roman"/>
                <w:sz w:val="20"/>
                <w:szCs w:val="20"/>
              </w:rPr>
            </w:pPr>
            <w:r w:rsidRPr="00A0766D">
              <w:rPr>
                <w:rFonts w:cs="Times New Roman"/>
                <w:color w:val="000000"/>
                <w:sz w:val="20"/>
                <w:szCs w:val="20"/>
              </w:rPr>
              <w:t>35 987 866</w:t>
            </w:r>
          </w:p>
        </w:tc>
        <w:tc>
          <w:tcPr>
            <w:tcW w:w="1276" w:type="dxa"/>
            <w:vAlign w:val="center"/>
          </w:tcPr>
          <w:p w14:paraId="29F8BDB1" w14:textId="77777777" w:rsidR="00EE1CF5" w:rsidRPr="00A0766D" w:rsidRDefault="00EE1CF5" w:rsidP="00263AB1">
            <w:pPr>
              <w:ind w:firstLine="34"/>
              <w:jc w:val="center"/>
              <w:rPr>
                <w:rFonts w:cs="Times New Roman"/>
                <w:color w:val="000000"/>
                <w:sz w:val="20"/>
                <w:szCs w:val="20"/>
              </w:rPr>
            </w:pPr>
            <w:r w:rsidRPr="007F00E3">
              <w:rPr>
                <w:rFonts w:cs="Times New Roman"/>
                <w:color w:val="000000"/>
                <w:sz w:val="20"/>
                <w:szCs w:val="20"/>
              </w:rPr>
              <w:t>91 428 043</w:t>
            </w:r>
          </w:p>
        </w:tc>
        <w:tc>
          <w:tcPr>
            <w:tcW w:w="1402" w:type="dxa"/>
            <w:shd w:val="clear" w:color="auto" w:fill="auto"/>
            <w:noWrap/>
            <w:vAlign w:val="center"/>
            <w:hideMark/>
          </w:tcPr>
          <w:p w14:paraId="4691E6F9" w14:textId="77777777" w:rsidR="00EE1CF5" w:rsidRPr="00A0766D" w:rsidRDefault="00EE1CF5" w:rsidP="00263AB1">
            <w:pPr>
              <w:ind w:firstLine="34"/>
              <w:jc w:val="center"/>
              <w:rPr>
                <w:rFonts w:cs="Times New Roman"/>
                <w:color w:val="000000"/>
                <w:sz w:val="20"/>
                <w:szCs w:val="20"/>
              </w:rPr>
            </w:pPr>
            <w:r w:rsidRPr="00A0766D">
              <w:rPr>
                <w:rFonts w:cs="Times New Roman"/>
                <w:color w:val="000000"/>
                <w:sz w:val="20"/>
                <w:szCs w:val="20"/>
              </w:rPr>
              <w:t>47 406 416</w:t>
            </w:r>
          </w:p>
        </w:tc>
        <w:tc>
          <w:tcPr>
            <w:tcW w:w="1335" w:type="dxa"/>
            <w:vAlign w:val="center"/>
          </w:tcPr>
          <w:p w14:paraId="6656B6B8" w14:textId="77777777" w:rsidR="00EE1CF5" w:rsidRPr="006C31A9" w:rsidRDefault="00EE1CF5" w:rsidP="00263AB1">
            <w:pPr>
              <w:jc w:val="center"/>
              <w:rPr>
                <w:color w:val="000000"/>
                <w:sz w:val="20"/>
                <w:szCs w:val="20"/>
              </w:rPr>
            </w:pPr>
            <w:r>
              <w:rPr>
                <w:color w:val="000000"/>
                <w:sz w:val="20"/>
                <w:szCs w:val="20"/>
              </w:rPr>
              <w:t>62 370 221</w:t>
            </w:r>
          </w:p>
        </w:tc>
        <w:tc>
          <w:tcPr>
            <w:tcW w:w="1786" w:type="dxa"/>
            <w:tcBorders>
              <w:right w:val="single" w:sz="4" w:space="0" w:color="auto"/>
            </w:tcBorders>
            <w:shd w:val="clear" w:color="auto" w:fill="auto"/>
            <w:noWrap/>
            <w:vAlign w:val="center"/>
            <w:hideMark/>
          </w:tcPr>
          <w:p w14:paraId="27ACB000" w14:textId="77777777" w:rsidR="00EE1CF5" w:rsidRPr="00A0766D" w:rsidRDefault="00EE1CF5" w:rsidP="00263AB1">
            <w:pPr>
              <w:ind w:firstLine="34"/>
              <w:jc w:val="center"/>
              <w:rPr>
                <w:rFonts w:cs="Times New Roman"/>
                <w:color w:val="000000"/>
                <w:sz w:val="20"/>
                <w:szCs w:val="20"/>
              </w:rPr>
            </w:pPr>
            <w:r w:rsidRPr="00A0766D">
              <w:rPr>
                <w:rFonts w:cs="Times New Roman"/>
                <w:color w:val="000000"/>
                <w:sz w:val="20"/>
                <w:szCs w:val="20"/>
              </w:rPr>
              <w:t>51 684 672</w:t>
            </w:r>
          </w:p>
        </w:tc>
        <w:tc>
          <w:tcPr>
            <w:tcW w:w="1335" w:type="dxa"/>
            <w:tcBorders>
              <w:right w:val="single" w:sz="4" w:space="0" w:color="auto"/>
            </w:tcBorders>
            <w:vAlign w:val="center"/>
          </w:tcPr>
          <w:p w14:paraId="26E8ACD8" w14:textId="77777777" w:rsidR="00EE1CF5" w:rsidRPr="00421356" w:rsidRDefault="00EE1CF5" w:rsidP="00263AB1">
            <w:pPr>
              <w:jc w:val="center"/>
              <w:rPr>
                <w:color w:val="000000"/>
                <w:sz w:val="20"/>
                <w:szCs w:val="20"/>
              </w:rPr>
            </w:pPr>
            <w:r>
              <w:rPr>
                <w:color w:val="000000"/>
                <w:sz w:val="20"/>
                <w:szCs w:val="20"/>
              </w:rPr>
              <w:t>61 670 221</w:t>
            </w:r>
          </w:p>
        </w:tc>
        <w:tc>
          <w:tcPr>
            <w:tcW w:w="1335" w:type="dxa"/>
            <w:tcBorders>
              <w:right w:val="single" w:sz="4" w:space="0" w:color="auto"/>
            </w:tcBorders>
            <w:vAlign w:val="center"/>
          </w:tcPr>
          <w:p w14:paraId="473BA0D4" w14:textId="77777777" w:rsidR="00EE1CF5" w:rsidRPr="00A0766D" w:rsidRDefault="00EE1CF5" w:rsidP="00263AB1">
            <w:pPr>
              <w:jc w:val="center"/>
              <w:rPr>
                <w:rFonts w:cs="Times New Roman"/>
                <w:color w:val="000000"/>
                <w:sz w:val="20"/>
                <w:szCs w:val="20"/>
              </w:rPr>
            </w:pPr>
            <w:r>
              <w:rPr>
                <w:color w:val="000000"/>
                <w:sz w:val="20"/>
                <w:szCs w:val="20"/>
              </w:rPr>
              <w:t>52 370 221</w:t>
            </w:r>
          </w:p>
        </w:tc>
      </w:tr>
      <w:tr w:rsidR="00EE1CF5" w14:paraId="7808D6A4" w14:textId="77777777" w:rsidTr="00263AB1">
        <w:trPr>
          <w:trHeight w:val="288"/>
          <w:jc w:val="center"/>
        </w:trPr>
        <w:tc>
          <w:tcPr>
            <w:tcW w:w="4673" w:type="dxa"/>
            <w:shd w:val="clear" w:color="auto" w:fill="auto"/>
            <w:noWrap/>
            <w:vAlign w:val="center"/>
            <w:hideMark/>
          </w:tcPr>
          <w:p w14:paraId="6A40E654" w14:textId="77777777" w:rsidR="00EE1CF5" w:rsidRPr="00E936FD" w:rsidRDefault="00EE1CF5" w:rsidP="00263AB1">
            <w:pPr>
              <w:ind w:firstLine="34"/>
              <w:jc w:val="left"/>
              <w:rPr>
                <w:rFonts w:cs="Times New Roman"/>
                <w:sz w:val="20"/>
                <w:szCs w:val="20"/>
              </w:rPr>
            </w:pPr>
            <w:r w:rsidRPr="00E936FD">
              <w:rPr>
                <w:rFonts w:cs="Times New Roman"/>
                <w:sz w:val="20"/>
                <w:szCs w:val="20"/>
              </w:rPr>
              <w:t>tostarp pārējās budžeta vajadzības</w:t>
            </w:r>
          </w:p>
        </w:tc>
        <w:tc>
          <w:tcPr>
            <w:tcW w:w="1418" w:type="dxa"/>
            <w:shd w:val="clear" w:color="auto" w:fill="auto"/>
            <w:noWrap/>
            <w:vAlign w:val="center"/>
            <w:hideMark/>
          </w:tcPr>
          <w:p w14:paraId="56D1046C" w14:textId="77777777" w:rsidR="00EE1CF5" w:rsidRPr="004613F1" w:rsidRDefault="00EE1CF5" w:rsidP="00263AB1">
            <w:pPr>
              <w:ind w:firstLine="34"/>
              <w:jc w:val="center"/>
              <w:rPr>
                <w:color w:val="000000"/>
                <w:sz w:val="20"/>
                <w:szCs w:val="20"/>
              </w:rPr>
            </w:pPr>
            <w:r w:rsidRPr="00E936FD">
              <w:rPr>
                <w:color w:val="000000"/>
                <w:sz w:val="20"/>
                <w:szCs w:val="20"/>
              </w:rPr>
              <w:t>5</w:t>
            </w:r>
            <w:r>
              <w:rPr>
                <w:color w:val="000000"/>
                <w:sz w:val="20"/>
                <w:szCs w:val="20"/>
              </w:rPr>
              <w:t>6</w:t>
            </w:r>
            <w:r w:rsidRPr="00E936FD">
              <w:rPr>
                <w:color w:val="000000"/>
                <w:sz w:val="20"/>
                <w:szCs w:val="20"/>
              </w:rPr>
              <w:t xml:space="preserve"> 230 000</w:t>
            </w:r>
          </w:p>
        </w:tc>
        <w:tc>
          <w:tcPr>
            <w:tcW w:w="1276" w:type="dxa"/>
            <w:vAlign w:val="center"/>
          </w:tcPr>
          <w:p w14:paraId="2BA39042" w14:textId="77777777" w:rsidR="00EE1CF5" w:rsidRPr="008C4148" w:rsidRDefault="00EE1CF5" w:rsidP="00263AB1">
            <w:pPr>
              <w:jc w:val="center"/>
              <w:rPr>
                <w:color w:val="000000"/>
                <w:sz w:val="20"/>
                <w:szCs w:val="20"/>
              </w:rPr>
            </w:pPr>
            <w:r w:rsidRPr="00FB6C3F">
              <w:rPr>
                <w:color w:val="000000"/>
                <w:sz w:val="20"/>
                <w:szCs w:val="20"/>
              </w:rPr>
              <w:t>6</w:t>
            </w:r>
            <w:r>
              <w:rPr>
                <w:color w:val="000000"/>
                <w:sz w:val="20"/>
                <w:szCs w:val="20"/>
              </w:rPr>
              <w:t>2 </w:t>
            </w:r>
            <w:r w:rsidRPr="00FB6C3F">
              <w:rPr>
                <w:color w:val="000000"/>
                <w:sz w:val="20"/>
                <w:szCs w:val="20"/>
              </w:rPr>
              <w:t>989 823</w:t>
            </w:r>
          </w:p>
        </w:tc>
        <w:tc>
          <w:tcPr>
            <w:tcW w:w="1402" w:type="dxa"/>
            <w:shd w:val="clear" w:color="auto" w:fill="auto"/>
            <w:noWrap/>
            <w:vAlign w:val="center"/>
            <w:hideMark/>
          </w:tcPr>
          <w:p w14:paraId="3CE1F278" w14:textId="77777777" w:rsidR="00EE1CF5" w:rsidRPr="00BE6590" w:rsidRDefault="00EE1CF5" w:rsidP="00263AB1">
            <w:pPr>
              <w:ind w:firstLine="34"/>
              <w:jc w:val="center"/>
              <w:rPr>
                <w:color w:val="000000"/>
                <w:sz w:val="20"/>
                <w:szCs w:val="20"/>
              </w:rPr>
            </w:pPr>
            <w:r w:rsidRPr="00E936FD">
              <w:rPr>
                <w:color w:val="000000"/>
                <w:sz w:val="20"/>
                <w:szCs w:val="20"/>
              </w:rPr>
              <w:t>8</w:t>
            </w:r>
            <w:r>
              <w:rPr>
                <w:color w:val="000000"/>
                <w:sz w:val="20"/>
                <w:szCs w:val="20"/>
              </w:rPr>
              <w:t>3</w:t>
            </w:r>
            <w:r w:rsidRPr="00E936FD">
              <w:rPr>
                <w:color w:val="000000"/>
                <w:sz w:val="20"/>
                <w:szCs w:val="20"/>
              </w:rPr>
              <w:t xml:space="preserve"> 530 000</w:t>
            </w:r>
          </w:p>
        </w:tc>
        <w:tc>
          <w:tcPr>
            <w:tcW w:w="1335" w:type="dxa"/>
            <w:vAlign w:val="center"/>
          </w:tcPr>
          <w:p w14:paraId="431FABCD" w14:textId="77777777" w:rsidR="00EE1CF5" w:rsidRPr="008C4148" w:rsidRDefault="00EE1CF5" w:rsidP="00263AB1">
            <w:pPr>
              <w:jc w:val="center"/>
              <w:rPr>
                <w:color w:val="000000"/>
                <w:sz w:val="20"/>
                <w:szCs w:val="20"/>
              </w:rPr>
            </w:pPr>
            <w:r>
              <w:rPr>
                <w:color w:val="000000"/>
                <w:sz w:val="20"/>
                <w:szCs w:val="20"/>
              </w:rPr>
              <w:t>58 029 779</w:t>
            </w:r>
          </w:p>
        </w:tc>
        <w:tc>
          <w:tcPr>
            <w:tcW w:w="1786" w:type="dxa"/>
            <w:tcBorders>
              <w:right w:val="single" w:sz="4" w:space="0" w:color="auto"/>
            </w:tcBorders>
            <w:shd w:val="clear" w:color="auto" w:fill="auto"/>
            <w:noWrap/>
            <w:vAlign w:val="center"/>
            <w:hideMark/>
          </w:tcPr>
          <w:p w14:paraId="310EB8E1" w14:textId="77777777" w:rsidR="00EE1CF5" w:rsidRPr="00BE6590" w:rsidRDefault="00EE1CF5" w:rsidP="00263AB1">
            <w:pPr>
              <w:ind w:firstLine="34"/>
              <w:jc w:val="center"/>
              <w:rPr>
                <w:color w:val="000000"/>
                <w:sz w:val="20"/>
                <w:szCs w:val="20"/>
              </w:rPr>
            </w:pPr>
            <w:r>
              <w:rPr>
                <w:color w:val="000000"/>
                <w:sz w:val="20"/>
                <w:szCs w:val="20"/>
              </w:rPr>
              <w:t>73</w:t>
            </w:r>
            <w:r w:rsidRPr="00E936FD">
              <w:rPr>
                <w:color w:val="000000"/>
                <w:sz w:val="20"/>
                <w:szCs w:val="20"/>
              </w:rPr>
              <w:t xml:space="preserve"> 386 059</w:t>
            </w:r>
          </w:p>
        </w:tc>
        <w:tc>
          <w:tcPr>
            <w:tcW w:w="1335" w:type="dxa"/>
            <w:tcBorders>
              <w:right w:val="single" w:sz="4" w:space="0" w:color="auto"/>
            </w:tcBorders>
            <w:vAlign w:val="center"/>
          </w:tcPr>
          <w:p w14:paraId="1CD76EAD" w14:textId="77777777" w:rsidR="00EE1CF5" w:rsidRPr="008C4148" w:rsidRDefault="00EE1CF5" w:rsidP="00263AB1">
            <w:pPr>
              <w:jc w:val="center"/>
              <w:rPr>
                <w:color w:val="000000"/>
                <w:sz w:val="20"/>
                <w:szCs w:val="20"/>
              </w:rPr>
            </w:pPr>
            <w:r>
              <w:rPr>
                <w:color w:val="000000"/>
                <w:sz w:val="20"/>
                <w:szCs w:val="20"/>
              </w:rPr>
              <w:t>56 129 779</w:t>
            </w:r>
          </w:p>
        </w:tc>
        <w:tc>
          <w:tcPr>
            <w:tcW w:w="1335" w:type="dxa"/>
            <w:tcBorders>
              <w:right w:val="single" w:sz="4" w:space="0" w:color="auto"/>
            </w:tcBorders>
            <w:vAlign w:val="center"/>
          </w:tcPr>
          <w:p w14:paraId="0FBD9BA6" w14:textId="77777777" w:rsidR="00EE1CF5" w:rsidRPr="008C4148" w:rsidRDefault="00EE1CF5" w:rsidP="00263AB1">
            <w:pPr>
              <w:jc w:val="center"/>
              <w:rPr>
                <w:color w:val="000000"/>
                <w:sz w:val="20"/>
                <w:szCs w:val="20"/>
              </w:rPr>
            </w:pPr>
            <w:r>
              <w:rPr>
                <w:color w:val="000000"/>
                <w:sz w:val="20"/>
                <w:szCs w:val="20"/>
              </w:rPr>
              <w:t>49 829 779</w:t>
            </w:r>
          </w:p>
        </w:tc>
      </w:tr>
    </w:tbl>
    <w:p w14:paraId="061F3948" w14:textId="77777777" w:rsidR="00EE1CF5" w:rsidRDefault="00EE1CF5" w:rsidP="00EE1CF5">
      <w:pPr>
        <w:pStyle w:val="Caption"/>
        <w:keepNext/>
        <w:spacing w:line="240" w:lineRule="auto"/>
        <w:jc w:val="right"/>
        <w:rPr>
          <w:rFonts w:ascii="Times New Roman" w:hAnsi="Times New Roman"/>
          <w:b w:val="0"/>
          <w:i/>
          <w:sz w:val="26"/>
          <w:szCs w:val="26"/>
        </w:rPr>
      </w:pPr>
    </w:p>
    <w:p w14:paraId="76E5419D" w14:textId="77777777" w:rsidR="00EE1CF5" w:rsidRPr="004A7D6F" w:rsidRDefault="00EE1CF5" w:rsidP="00EE1CF5">
      <w:pPr>
        <w:pStyle w:val="Caption"/>
        <w:keepNext/>
        <w:spacing w:line="240" w:lineRule="auto"/>
        <w:jc w:val="right"/>
        <w:rPr>
          <w:rFonts w:ascii="Times New Roman" w:hAnsi="Times New Roman"/>
          <w:b w:val="0"/>
          <w:i/>
          <w:sz w:val="26"/>
          <w:szCs w:val="26"/>
        </w:rPr>
      </w:pPr>
      <w:r w:rsidRPr="004A7D6F">
        <w:rPr>
          <w:rFonts w:ascii="Times New Roman" w:hAnsi="Times New Roman"/>
          <w:b w:val="0"/>
          <w:i/>
          <w:sz w:val="26"/>
          <w:szCs w:val="26"/>
        </w:rPr>
        <w:t>15.tabula</w:t>
      </w:r>
    </w:p>
    <w:p w14:paraId="541328A8" w14:textId="77777777" w:rsidR="00EE1CF5" w:rsidRPr="00E936FD" w:rsidRDefault="00EE1CF5" w:rsidP="00EE1CF5">
      <w:pPr>
        <w:pStyle w:val="Caption"/>
        <w:keepNext/>
        <w:keepLines/>
        <w:widowControl/>
        <w:jc w:val="center"/>
        <w:rPr>
          <w:rFonts w:ascii="Times New Roman" w:hAnsi="Times New Roman"/>
          <w:sz w:val="24"/>
          <w:szCs w:val="24"/>
        </w:rPr>
      </w:pPr>
      <w:r w:rsidRPr="00E936FD">
        <w:rPr>
          <w:rFonts w:ascii="Times New Roman" w:hAnsi="Times New Roman"/>
          <w:sz w:val="24"/>
          <w:szCs w:val="24"/>
        </w:rPr>
        <w:t>Valsts budžetā paredzamais finansējums kompleksā risinājuma īstenošanai pēc naudas plūsmas metodes, EUR</w:t>
      </w:r>
    </w:p>
    <w:tbl>
      <w:tblPr>
        <w:tblW w:w="13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275"/>
        <w:gridCol w:w="1305"/>
        <w:gridCol w:w="1396"/>
        <w:gridCol w:w="1396"/>
        <w:gridCol w:w="1150"/>
      </w:tblGrid>
      <w:tr w:rsidR="00EE1CF5" w14:paraId="79873B79" w14:textId="77777777" w:rsidTr="00263AB1">
        <w:trPr>
          <w:trHeight w:val="288"/>
          <w:jc w:val="center"/>
        </w:trPr>
        <w:tc>
          <w:tcPr>
            <w:tcW w:w="7225" w:type="dxa"/>
            <w:shd w:val="clear" w:color="auto" w:fill="auto"/>
            <w:noWrap/>
            <w:vAlign w:val="bottom"/>
            <w:hideMark/>
          </w:tcPr>
          <w:p w14:paraId="7E0BA259" w14:textId="77777777" w:rsidR="00EE1CF5" w:rsidRPr="00E936FD" w:rsidRDefault="00EE1CF5" w:rsidP="00263AB1">
            <w:pPr>
              <w:ind w:firstLine="34"/>
              <w:rPr>
                <w:rFonts w:cs="Times New Roman"/>
                <w:sz w:val="20"/>
                <w:szCs w:val="20"/>
              </w:rPr>
            </w:pPr>
          </w:p>
        </w:tc>
        <w:tc>
          <w:tcPr>
            <w:tcW w:w="2580" w:type="dxa"/>
            <w:gridSpan w:val="2"/>
            <w:shd w:val="clear" w:color="auto" w:fill="auto"/>
            <w:noWrap/>
            <w:vAlign w:val="center"/>
            <w:hideMark/>
          </w:tcPr>
          <w:p w14:paraId="1F603110"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2019</w:t>
            </w:r>
          </w:p>
        </w:tc>
        <w:tc>
          <w:tcPr>
            <w:tcW w:w="2792" w:type="dxa"/>
            <w:gridSpan w:val="2"/>
            <w:tcBorders>
              <w:right w:val="single" w:sz="4" w:space="0" w:color="auto"/>
            </w:tcBorders>
            <w:shd w:val="clear" w:color="auto" w:fill="auto"/>
            <w:noWrap/>
            <w:vAlign w:val="center"/>
            <w:hideMark/>
          </w:tcPr>
          <w:p w14:paraId="4846E8B0"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2020</w:t>
            </w:r>
          </w:p>
        </w:tc>
        <w:tc>
          <w:tcPr>
            <w:tcW w:w="1150" w:type="dxa"/>
            <w:tcBorders>
              <w:right w:val="single" w:sz="4" w:space="0" w:color="auto"/>
            </w:tcBorders>
          </w:tcPr>
          <w:p w14:paraId="6359726A" w14:textId="77777777" w:rsidR="00EE1CF5" w:rsidRPr="00E936FD" w:rsidRDefault="00EE1CF5" w:rsidP="00263AB1">
            <w:pPr>
              <w:ind w:firstLine="34"/>
              <w:jc w:val="center"/>
              <w:rPr>
                <w:rFonts w:cs="Times New Roman"/>
                <w:b/>
                <w:bCs/>
                <w:sz w:val="20"/>
                <w:szCs w:val="20"/>
              </w:rPr>
            </w:pPr>
            <w:r>
              <w:rPr>
                <w:rFonts w:cs="Times New Roman"/>
                <w:b/>
                <w:bCs/>
                <w:sz w:val="20"/>
                <w:szCs w:val="20"/>
              </w:rPr>
              <w:t>2021</w:t>
            </w:r>
          </w:p>
        </w:tc>
      </w:tr>
      <w:tr w:rsidR="00EE1CF5" w14:paraId="23A04606" w14:textId="77777777" w:rsidTr="00263AB1">
        <w:trPr>
          <w:trHeight w:val="288"/>
          <w:jc w:val="center"/>
        </w:trPr>
        <w:tc>
          <w:tcPr>
            <w:tcW w:w="7225" w:type="dxa"/>
            <w:shd w:val="clear" w:color="auto" w:fill="auto"/>
            <w:noWrap/>
            <w:vAlign w:val="center"/>
          </w:tcPr>
          <w:p w14:paraId="54019188" w14:textId="77777777" w:rsidR="00EE1CF5" w:rsidRPr="00E936FD" w:rsidRDefault="00EE1CF5" w:rsidP="00263AB1">
            <w:pPr>
              <w:ind w:firstLine="34"/>
              <w:rPr>
                <w:rFonts w:cs="Times New Roman"/>
                <w:bCs/>
                <w:sz w:val="20"/>
                <w:szCs w:val="20"/>
              </w:rPr>
            </w:pPr>
          </w:p>
        </w:tc>
        <w:tc>
          <w:tcPr>
            <w:tcW w:w="1275" w:type="dxa"/>
            <w:shd w:val="clear" w:color="auto" w:fill="auto"/>
            <w:noWrap/>
            <w:vAlign w:val="center"/>
          </w:tcPr>
          <w:p w14:paraId="5B3902EB" w14:textId="77777777" w:rsidR="00EE1CF5" w:rsidRDefault="00EE1CF5" w:rsidP="00263AB1">
            <w:pPr>
              <w:ind w:firstLine="34"/>
              <w:jc w:val="center"/>
              <w:rPr>
                <w:sz w:val="20"/>
                <w:szCs w:val="20"/>
              </w:rPr>
            </w:pPr>
            <w:r>
              <w:rPr>
                <w:sz w:val="20"/>
                <w:szCs w:val="20"/>
              </w:rPr>
              <w:t>2017. gada prognoze</w:t>
            </w:r>
          </w:p>
        </w:tc>
        <w:tc>
          <w:tcPr>
            <w:tcW w:w="1305" w:type="dxa"/>
          </w:tcPr>
          <w:p w14:paraId="3531DC85" w14:textId="77777777" w:rsidR="00EE1CF5" w:rsidRDefault="00EE1CF5" w:rsidP="00263AB1">
            <w:pPr>
              <w:ind w:firstLine="34"/>
              <w:jc w:val="center"/>
              <w:rPr>
                <w:color w:val="000000" w:themeColor="text1"/>
                <w:sz w:val="20"/>
                <w:szCs w:val="20"/>
              </w:rPr>
            </w:pPr>
            <w:r>
              <w:rPr>
                <w:color w:val="000000" w:themeColor="text1"/>
                <w:sz w:val="20"/>
                <w:szCs w:val="20"/>
              </w:rPr>
              <w:t>Prognoze</w:t>
            </w:r>
          </w:p>
        </w:tc>
        <w:tc>
          <w:tcPr>
            <w:tcW w:w="1396" w:type="dxa"/>
            <w:tcBorders>
              <w:right w:val="single" w:sz="4" w:space="0" w:color="auto"/>
            </w:tcBorders>
            <w:shd w:val="clear" w:color="auto" w:fill="auto"/>
            <w:noWrap/>
            <w:vAlign w:val="center"/>
          </w:tcPr>
          <w:p w14:paraId="54E5AA6A" w14:textId="77777777" w:rsidR="00EE1CF5" w:rsidRDefault="00EE1CF5" w:rsidP="00263AB1">
            <w:pPr>
              <w:ind w:firstLine="34"/>
              <w:jc w:val="center"/>
              <w:rPr>
                <w:color w:val="000000" w:themeColor="text1"/>
                <w:sz w:val="20"/>
                <w:szCs w:val="20"/>
              </w:rPr>
            </w:pPr>
            <w:r>
              <w:rPr>
                <w:sz w:val="20"/>
                <w:szCs w:val="20"/>
              </w:rPr>
              <w:t>2017. gada prognoze</w:t>
            </w:r>
          </w:p>
        </w:tc>
        <w:tc>
          <w:tcPr>
            <w:tcW w:w="1396" w:type="dxa"/>
            <w:tcBorders>
              <w:right w:val="single" w:sz="4" w:space="0" w:color="auto"/>
            </w:tcBorders>
          </w:tcPr>
          <w:p w14:paraId="09C78505" w14:textId="77777777" w:rsidR="00EE1CF5" w:rsidRDefault="00EE1CF5" w:rsidP="00263AB1">
            <w:pPr>
              <w:ind w:firstLine="34"/>
              <w:jc w:val="center"/>
              <w:rPr>
                <w:color w:val="000000" w:themeColor="text1"/>
                <w:sz w:val="20"/>
                <w:szCs w:val="20"/>
              </w:rPr>
            </w:pPr>
            <w:r>
              <w:rPr>
                <w:color w:val="000000" w:themeColor="text1"/>
                <w:sz w:val="20"/>
                <w:szCs w:val="20"/>
              </w:rPr>
              <w:t>Prognoze</w:t>
            </w:r>
          </w:p>
        </w:tc>
        <w:tc>
          <w:tcPr>
            <w:tcW w:w="1150" w:type="dxa"/>
            <w:tcBorders>
              <w:right w:val="single" w:sz="4" w:space="0" w:color="auto"/>
            </w:tcBorders>
          </w:tcPr>
          <w:p w14:paraId="4646C27E" w14:textId="77777777" w:rsidR="00EE1CF5" w:rsidRDefault="00EE1CF5" w:rsidP="00263AB1">
            <w:pPr>
              <w:ind w:firstLine="34"/>
              <w:jc w:val="center"/>
              <w:rPr>
                <w:color w:val="000000" w:themeColor="text1"/>
                <w:sz w:val="20"/>
                <w:szCs w:val="20"/>
              </w:rPr>
            </w:pPr>
            <w:r>
              <w:rPr>
                <w:color w:val="000000" w:themeColor="text1"/>
                <w:sz w:val="20"/>
                <w:szCs w:val="20"/>
              </w:rPr>
              <w:t>Prognoze</w:t>
            </w:r>
          </w:p>
        </w:tc>
      </w:tr>
      <w:tr w:rsidR="00EE1CF5" w14:paraId="63D544A5" w14:textId="77777777" w:rsidTr="00263AB1">
        <w:trPr>
          <w:trHeight w:val="288"/>
          <w:jc w:val="center"/>
        </w:trPr>
        <w:tc>
          <w:tcPr>
            <w:tcW w:w="7225" w:type="dxa"/>
            <w:shd w:val="clear" w:color="auto" w:fill="auto"/>
            <w:noWrap/>
            <w:vAlign w:val="center"/>
            <w:hideMark/>
          </w:tcPr>
          <w:p w14:paraId="56AB1D62" w14:textId="77777777" w:rsidR="00EE1CF5" w:rsidRPr="00E936FD" w:rsidRDefault="00EE1CF5" w:rsidP="00263AB1">
            <w:pPr>
              <w:ind w:firstLine="34"/>
              <w:rPr>
                <w:rFonts w:cs="Times New Roman"/>
                <w:bCs/>
                <w:sz w:val="20"/>
                <w:szCs w:val="20"/>
              </w:rPr>
            </w:pPr>
            <w:r w:rsidRPr="00E936FD">
              <w:rPr>
                <w:rFonts w:cs="Times New Roman"/>
                <w:bCs/>
                <w:sz w:val="20"/>
                <w:szCs w:val="20"/>
              </w:rPr>
              <w:t>Finansējums OIK apmēra mazināšanai, t.sk. administrēšanas vajadzībām</w:t>
            </w:r>
          </w:p>
        </w:tc>
        <w:tc>
          <w:tcPr>
            <w:tcW w:w="1275" w:type="dxa"/>
            <w:shd w:val="clear" w:color="auto" w:fill="auto"/>
            <w:noWrap/>
            <w:vAlign w:val="center"/>
            <w:hideMark/>
          </w:tcPr>
          <w:p w14:paraId="7D932432" w14:textId="77777777" w:rsidR="00EE1CF5" w:rsidRPr="00E936FD" w:rsidRDefault="00EE1CF5" w:rsidP="00263AB1">
            <w:pPr>
              <w:ind w:firstLine="34"/>
              <w:jc w:val="center"/>
              <w:rPr>
                <w:b/>
                <w:bCs/>
                <w:color w:val="000000"/>
                <w:sz w:val="20"/>
                <w:szCs w:val="20"/>
              </w:rPr>
            </w:pPr>
            <w:r>
              <w:rPr>
                <w:sz w:val="20"/>
                <w:szCs w:val="20"/>
              </w:rPr>
              <w:t>9</w:t>
            </w:r>
            <w:r w:rsidRPr="00E936FD">
              <w:rPr>
                <w:sz w:val="20"/>
                <w:szCs w:val="20"/>
              </w:rPr>
              <w:t xml:space="preserve"> 085 684</w:t>
            </w:r>
          </w:p>
        </w:tc>
        <w:tc>
          <w:tcPr>
            <w:tcW w:w="1305" w:type="dxa"/>
          </w:tcPr>
          <w:p w14:paraId="10E08C13" w14:textId="77777777" w:rsidR="00EE1CF5" w:rsidRPr="0090032C" w:rsidRDefault="00EE1CF5" w:rsidP="00263AB1">
            <w:pPr>
              <w:rPr>
                <w:rFonts w:cs="Times New Roman"/>
                <w:color w:val="000000" w:themeColor="text1"/>
                <w:sz w:val="20"/>
                <w:szCs w:val="20"/>
              </w:rPr>
            </w:pPr>
            <w:r>
              <w:rPr>
                <w:color w:val="000000"/>
                <w:sz w:val="20"/>
                <w:szCs w:val="20"/>
              </w:rPr>
              <w:t>8 463 215</w:t>
            </w:r>
            <w:r>
              <w:rPr>
                <w:rStyle w:val="FootnoteReference"/>
                <w:rFonts w:cs="Times New Roman"/>
                <w:color w:val="000000" w:themeColor="text1"/>
                <w:sz w:val="20"/>
                <w:szCs w:val="20"/>
              </w:rPr>
              <w:footnoteReference w:id="45"/>
            </w:r>
          </w:p>
        </w:tc>
        <w:tc>
          <w:tcPr>
            <w:tcW w:w="1396" w:type="dxa"/>
            <w:tcBorders>
              <w:right w:val="single" w:sz="4" w:space="0" w:color="auto"/>
            </w:tcBorders>
            <w:shd w:val="clear" w:color="auto" w:fill="auto"/>
            <w:noWrap/>
            <w:vAlign w:val="center"/>
            <w:hideMark/>
          </w:tcPr>
          <w:p w14:paraId="116A7CC3" w14:textId="77777777" w:rsidR="00EE1CF5" w:rsidRPr="0090032C" w:rsidRDefault="00EE1CF5" w:rsidP="00263AB1">
            <w:pPr>
              <w:ind w:firstLine="34"/>
              <w:jc w:val="center"/>
              <w:rPr>
                <w:rFonts w:cs="Times New Roman"/>
                <w:b/>
                <w:bCs/>
                <w:color w:val="000000"/>
                <w:sz w:val="20"/>
                <w:szCs w:val="20"/>
              </w:rPr>
            </w:pPr>
            <w:r w:rsidRPr="0090032C">
              <w:rPr>
                <w:rFonts w:cs="Times New Roman"/>
                <w:color w:val="000000" w:themeColor="text1"/>
                <w:sz w:val="20"/>
                <w:szCs w:val="20"/>
              </w:rPr>
              <w:t>9 683 389</w:t>
            </w:r>
          </w:p>
        </w:tc>
        <w:tc>
          <w:tcPr>
            <w:tcW w:w="1396" w:type="dxa"/>
            <w:tcBorders>
              <w:right w:val="single" w:sz="4" w:space="0" w:color="auto"/>
            </w:tcBorders>
          </w:tcPr>
          <w:p w14:paraId="3D40FFBC" w14:textId="77777777" w:rsidR="00EE1CF5" w:rsidRPr="0090032C" w:rsidRDefault="00EE1CF5" w:rsidP="00263AB1">
            <w:pPr>
              <w:jc w:val="center"/>
              <w:rPr>
                <w:rFonts w:cs="Times New Roman"/>
                <w:color w:val="000000"/>
                <w:sz w:val="20"/>
                <w:szCs w:val="20"/>
              </w:rPr>
            </w:pPr>
            <w:bookmarkStart w:id="208" w:name="_Hlk523485220"/>
            <w:r w:rsidRPr="0090032C">
              <w:rPr>
                <w:rFonts w:cs="Times New Roman"/>
                <w:color w:val="000000"/>
                <w:sz w:val="20"/>
                <w:szCs w:val="20"/>
              </w:rPr>
              <w:t>24 663 215</w:t>
            </w:r>
            <w:bookmarkEnd w:id="208"/>
          </w:p>
        </w:tc>
        <w:tc>
          <w:tcPr>
            <w:tcW w:w="1150" w:type="dxa"/>
            <w:tcBorders>
              <w:right w:val="single" w:sz="4" w:space="0" w:color="auto"/>
            </w:tcBorders>
          </w:tcPr>
          <w:p w14:paraId="019FA04C" w14:textId="77777777" w:rsidR="00EE1CF5" w:rsidRPr="0090032C" w:rsidRDefault="00EE1CF5" w:rsidP="00263AB1">
            <w:pPr>
              <w:jc w:val="center"/>
              <w:rPr>
                <w:rFonts w:cs="Times New Roman"/>
                <w:color w:val="000000"/>
                <w:sz w:val="20"/>
                <w:szCs w:val="20"/>
              </w:rPr>
            </w:pPr>
            <w:bookmarkStart w:id="209" w:name="_Hlk523485223"/>
            <w:r w:rsidRPr="0090032C">
              <w:rPr>
                <w:rFonts w:cs="Times New Roman"/>
                <w:color w:val="000000"/>
                <w:sz w:val="20"/>
                <w:szCs w:val="20"/>
              </w:rPr>
              <w:t>23 963 215</w:t>
            </w:r>
            <w:bookmarkEnd w:id="209"/>
          </w:p>
        </w:tc>
      </w:tr>
      <w:tr w:rsidR="00EE1CF5" w14:paraId="3EA0CA58" w14:textId="77777777" w:rsidTr="00263AB1">
        <w:trPr>
          <w:trHeight w:val="288"/>
          <w:jc w:val="center"/>
        </w:trPr>
        <w:tc>
          <w:tcPr>
            <w:tcW w:w="7225" w:type="dxa"/>
            <w:shd w:val="clear" w:color="auto" w:fill="auto"/>
            <w:noWrap/>
            <w:vAlign w:val="center"/>
          </w:tcPr>
          <w:p w14:paraId="07B76143" w14:textId="77777777" w:rsidR="00EE1CF5" w:rsidRPr="00E936FD" w:rsidRDefault="00EE1CF5" w:rsidP="00263AB1">
            <w:pPr>
              <w:ind w:firstLine="34"/>
              <w:jc w:val="left"/>
              <w:rPr>
                <w:rFonts w:cs="Times New Roman"/>
                <w:bCs/>
                <w:sz w:val="20"/>
                <w:szCs w:val="20"/>
              </w:rPr>
            </w:pPr>
            <w:r w:rsidRPr="00E936FD">
              <w:rPr>
                <w:rFonts w:cs="Times New Roman"/>
                <w:sz w:val="20"/>
                <w:szCs w:val="20"/>
              </w:rPr>
              <w:t>Energoietilpīgo uzņēmumu atbalsta finansēšana</w:t>
            </w:r>
          </w:p>
        </w:tc>
        <w:tc>
          <w:tcPr>
            <w:tcW w:w="1275" w:type="dxa"/>
            <w:shd w:val="clear" w:color="auto" w:fill="auto"/>
            <w:noWrap/>
            <w:vAlign w:val="center"/>
          </w:tcPr>
          <w:p w14:paraId="211AF4D3"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3 370</w:t>
            </w:r>
            <w:r>
              <w:rPr>
                <w:color w:val="000000"/>
                <w:sz w:val="20"/>
                <w:szCs w:val="20"/>
              </w:rPr>
              <w:t> </w:t>
            </w:r>
            <w:r w:rsidRPr="00E936FD">
              <w:rPr>
                <w:color w:val="000000"/>
                <w:sz w:val="20"/>
                <w:szCs w:val="20"/>
              </w:rPr>
              <w:t>000</w:t>
            </w:r>
          </w:p>
        </w:tc>
        <w:tc>
          <w:tcPr>
            <w:tcW w:w="1305" w:type="dxa"/>
          </w:tcPr>
          <w:p w14:paraId="222EFFF2" w14:textId="77777777" w:rsidR="00EE1CF5" w:rsidRPr="0090032C" w:rsidRDefault="00EE1CF5" w:rsidP="00263AB1">
            <w:pPr>
              <w:ind w:firstLine="34"/>
              <w:jc w:val="center"/>
              <w:rPr>
                <w:rFonts w:cs="Times New Roman"/>
                <w:color w:val="000000"/>
                <w:sz w:val="20"/>
                <w:szCs w:val="20"/>
              </w:rPr>
            </w:pPr>
            <w:r w:rsidRPr="008A2287">
              <w:rPr>
                <w:rFonts w:cs="Times New Roman"/>
                <w:color w:val="000000"/>
                <w:sz w:val="20"/>
                <w:szCs w:val="20"/>
              </w:rPr>
              <w:t>7 000 000</w:t>
            </w:r>
          </w:p>
        </w:tc>
        <w:tc>
          <w:tcPr>
            <w:tcW w:w="1396" w:type="dxa"/>
            <w:tcBorders>
              <w:right w:val="single" w:sz="4" w:space="0" w:color="auto"/>
            </w:tcBorders>
            <w:shd w:val="clear" w:color="auto" w:fill="auto"/>
            <w:noWrap/>
            <w:vAlign w:val="center"/>
          </w:tcPr>
          <w:p w14:paraId="001DB0B9" w14:textId="77777777" w:rsidR="00EE1CF5" w:rsidRPr="0090032C" w:rsidRDefault="00EE1CF5" w:rsidP="00263AB1">
            <w:pPr>
              <w:ind w:firstLine="34"/>
              <w:jc w:val="center"/>
              <w:rPr>
                <w:rFonts w:cs="Times New Roman"/>
                <w:bCs/>
                <w:color w:val="000000"/>
                <w:sz w:val="20"/>
                <w:szCs w:val="20"/>
              </w:rPr>
            </w:pPr>
            <w:r w:rsidRPr="0090032C">
              <w:rPr>
                <w:rFonts w:cs="Times New Roman"/>
                <w:color w:val="000000"/>
                <w:sz w:val="20"/>
                <w:szCs w:val="20"/>
              </w:rPr>
              <w:t>3 370 000</w:t>
            </w:r>
          </w:p>
        </w:tc>
        <w:tc>
          <w:tcPr>
            <w:tcW w:w="1396" w:type="dxa"/>
            <w:tcBorders>
              <w:right w:val="single" w:sz="4" w:space="0" w:color="auto"/>
            </w:tcBorders>
          </w:tcPr>
          <w:p w14:paraId="0E115977" w14:textId="77777777" w:rsidR="00EE1CF5" w:rsidRPr="0090032C" w:rsidRDefault="00EE1CF5" w:rsidP="00263AB1">
            <w:pPr>
              <w:ind w:firstLine="34"/>
              <w:jc w:val="center"/>
              <w:rPr>
                <w:rFonts w:cs="Times New Roman"/>
                <w:color w:val="000000"/>
                <w:sz w:val="20"/>
                <w:szCs w:val="20"/>
              </w:rPr>
            </w:pPr>
            <w:r w:rsidRPr="0090032C">
              <w:rPr>
                <w:rFonts w:cs="Times New Roman"/>
                <w:color w:val="000000"/>
                <w:sz w:val="20"/>
                <w:szCs w:val="20"/>
              </w:rPr>
              <w:t>7 000 000</w:t>
            </w:r>
          </w:p>
        </w:tc>
        <w:tc>
          <w:tcPr>
            <w:tcW w:w="1150" w:type="dxa"/>
            <w:tcBorders>
              <w:right w:val="single" w:sz="4" w:space="0" w:color="auto"/>
            </w:tcBorders>
          </w:tcPr>
          <w:p w14:paraId="4AA1DCCF" w14:textId="77777777" w:rsidR="00EE1CF5" w:rsidRPr="0090032C" w:rsidRDefault="00EE1CF5" w:rsidP="00263AB1">
            <w:pPr>
              <w:ind w:firstLine="34"/>
              <w:jc w:val="center"/>
              <w:rPr>
                <w:rFonts w:cs="Times New Roman"/>
                <w:color w:val="000000"/>
                <w:sz w:val="20"/>
                <w:szCs w:val="20"/>
              </w:rPr>
            </w:pPr>
            <w:r w:rsidRPr="0090032C">
              <w:rPr>
                <w:rFonts w:cs="Times New Roman"/>
                <w:color w:val="000000"/>
                <w:sz w:val="20"/>
                <w:szCs w:val="20"/>
              </w:rPr>
              <w:t>7 000 000</w:t>
            </w:r>
          </w:p>
        </w:tc>
      </w:tr>
      <w:tr w:rsidR="00EE1CF5" w14:paraId="4342DB78" w14:textId="77777777" w:rsidTr="00263AB1">
        <w:trPr>
          <w:trHeight w:val="288"/>
          <w:jc w:val="center"/>
        </w:trPr>
        <w:tc>
          <w:tcPr>
            <w:tcW w:w="7225" w:type="dxa"/>
            <w:shd w:val="clear" w:color="auto" w:fill="auto"/>
            <w:noWrap/>
            <w:vAlign w:val="center"/>
            <w:hideMark/>
          </w:tcPr>
          <w:p w14:paraId="397F7985" w14:textId="77777777" w:rsidR="00EE1CF5" w:rsidRPr="00E936FD" w:rsidRDefault="00EE1CF5" w:rsidP="00263AB1">
            <w:pPr>
              <w:ind w:firstLine="34"/>
              <w:jc w:val="left"/>
              <w:rPr>
                <w:rFonts w:cs="Times New Roman"/>
                <w:sz w:val="20"/>
                <w:szCs w:val="20"/>
              </w:rPr>
            </w:pPr>
            <w:r w:rsidRPr="00E936FD">
              <w:rPr>
                <w:rFonts w:cs="Times New Roman"/>
                <w:sz w:val="20"/>
                <w:szCs w:val="20"/>
              </w:rPr>
              <w:t>VPP enerģētikā finansēšana</w:t>
            </w:r>
          </w:p>
        </w:tc>
        <w:tc>
          <w:tcPr>
            <w:tcW w:w="1275" w:type="dxa"/>
            <w:shd w:val="clear" w:color="auto" w:fill="auto"/>
            <w:noWrap/>
            <w:vAlign w:val="center"/>
            <w:hideMark/>
          </w:tcPr>
          <w:p w14:paraId="6A65BE34"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305" w:type="dxa"/>
          </w:tcPr>
          <w:p w14:paraId="5C3EB764" w14:textId="77777777" w:rsidR="00EE1CF5" w:rsidRPr="0090032C" w:rsidRDefault="00EE1CF5" w:rsidP="00263AB1">
            <w:pPr>
              <w:ind w:firstLine="34"/>
              <w:jc w:val="center"/>
              <w:rPr>
                <w:rFonts w:cs="Times New Roman"/>
                <w:color w:val="000000"/>
                <w:sz w:val="20"/>
                <w:szCs w:val="20"/>
              </w:rPr>
            </w:pPr>
            <w:r w:rsidRPr="0090032C">
              <w:rPr>
                <w:rFonts w:cs="Times New Roman"/>
                <w:color w:val="000000"/>
                <w:sz w:val="20"/>
                <w:szCs w:val="20"/>
              </w:rPr>
              <w:t>2 000 000</w:t>
            </w:r>
          </w:p>
        </w:tc>
        <w:tc>
          <w:tcPr>
            <w:tcW w:w="1396" w:type="dxa"/>
            <w:tcBorders>
              <w:right w:val="single" w:sz="4" w:space="0" w:color="auto"/>
            </w:tcBorders>
            <w:shd w:val="clear" w:color="auto" w:fill="auto"/>
            <w:noWrap/>
            <w:hideMark/>
          </w:tcPr>
          <w:p w14:paraId="6D0E63BF" w14:textId="77777777" w:rsidR="00EE1CF5" w:rsidRPr="0090032C" w:rsidRDefault="00EE1CF5" w:rsidP="00263AB1">
            <w:pPr>
              <w:ind w:firstLine="34"/>
              <w:jc w:val="center"/>
              <w:rPr>
                <w:rFonts w:cs="Times New Roman"/>
                <w:bCs/>
                <w:color w:val="000000"/>
                <w:sz w:val="20"/>
                <w:szCs w:val="20"/>
              </w:rPr>
            </w:pPr>
            <w:r w:rsidRPr="0090032C">
              <w:rPr>
                <w:rFonts w:cs="Times New Roman"/>
                <w:color w:val="000000"/>
                <w:sz w:val="20"/>
                <w:szCs w:val="20"/>
              </w:rPr>
              <w:t>2 000 000</w:t>
            </w:r>
          </w:p>
        </w:tc>
        <w:tc>
          <w:tcPr>
            <w:tcW w:w="1396" w:type="dxa"/>
            <w:tcBorders>
              <w:right w:val="single" w:sz="4" w:space="0" w:color="auto"/>
            </w:tcBorders>
          </w:tcPr>
          <w:p w14:paraId="5C159038" w14:textId="77777777" w:rsidR="00EE1CF5" w:rsidRPr="0090032C" w:rsidRDefault="00EE1CF5" w:rsidP="00263AB1">
            <w:pPr>
              <w:ind w:firstLine="34"/>
              <w:jc w:val="center"/>
              <w:rPr>
                <w:rFonts w:cs="Times New Roman"/>
                <w:color w:val="000000"/>
                <w:sz w:val="20"/>
                <w:szCs w:val="20"/>
              </w:rPr>
            </w:pPr>
            <w:r w:rsidRPr="0090032C">
              <w:rPr>
                <w:rFonts w:cs="Times New Roman"/>
                <w:color w:val="000000"/>
                <w:sz w:val="20"/>
                <w:szCs w:val="20"/>
              </w:rPr>
              <w:t>2 000 000</w:t>
            </w:r>
          </w:p>
        </w:tc>
        <w:tc>
          <w:tcPr>
            <w:tcW w:w="1150" w:type="dxa"/>
            <w:tcBorders>
              <w:right w:val="single" w:sz="4" w:space="0" w:color="auto"/>
            </w:tcBorders>
          </w:tcPr>
          <w:p w14:paraId="424A9BAC" w14:textId="77777777" w:rsidR="00EE1CF5" w:rsidRPr="0090032C" w:rsidRDefault="00EE1CF5" w:rsidP="00263AB1">
            <w:pPr>
              <w:ind w:firstLine="34"/>
              <w:jc w:val="center"/>
              <w:rPr>
                <w:rFonts w:cs="Times New Roman"/>
                <w:color w:val="000000"/>
                <w:sz w:val="20"/>
                <w:szCs w:val="20"/>
              </w:rPr>
            </w:pPr>
            <w:r w:rsidRPr="0090032C">
              <w:rPr>
                <w:rFonts w:cs="Times New Roman"/>
                <w:color w:val="000000"/>
                <w:sz w:val="20"/>
                <w:szCs w:val="20"/>
              </w:rPr>
              <w:t>2 000 000</w:t>
            </w:r>
          </w:p>
        </w:tc>
      </w:tr>
      <w:tr w:rsidR="00EE1CF5" w14:paraId="47914B76" w14:textId="77777777" w:rsidTr="00263AB1">
        <w:trPr>
          <w:trHeight w:val="288"/>
          <w:jc w:val="center"/>
        </w:trPr>
        <w:tc>
          <w:tcPr>
            <w:tcW w:w="7225" w:type="dxa"/>
            <w:shd w:val="clear" w:color="auto" w:fill="auto"/>
            <w:noWrap/>
            <w:vAlign w:val="center"/>
            <w:hideMark/>
          </w:tcPr>
          <w:p w14:paraId="76EA5718" w14:textId="77777777" w:rsidR="00EE1CF5" w:rsidRPr="00E936FD" w:rsidRDefault="00EE1CF5" w:rsidP="00263AB1">
            <w:pPr>
              <w:ind w:firstLine="34"/>
              <w:jc w:val="left"/>
              <w:rPr>
                <w:rFonts w:cs="Times New Roman"/>
                <w:sz w:val="20"/>
                <w:szCs w:val="20"/>
              </w:rPr>
            </w:pPr>
            <w:r w:rsidRPr="00E936FD">
              <w:rPr>
                <w:rFonts w:cs="Times New Roman"/>
                <w:sz w:val="20"/>
                <w:szCs w:val="20"/>
              </w:rPr>
              <w:t>Aizsargāto lietotāju atbalsta finansējums</w:t>
            </w:r>
          </w:p>
        </w:tc>
        <w:tc>
          <w:tcPr>
            <w:tcW w:w="1275" w:type="dxa"/>
            <w:shd w:val="clear" w:color="auto" w:fill="auto"/>
            <w:noWrap/>
            <w:vAlign w:val="center"/>
            <w:hideMark/>
          </w:tcPr>
          <w:p w14:paraId="171C1F05"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5 782 117</w:t>
            </w:r>
          </w:p>
        </w:tc>
        <w:tc>
          <w:tcPr>
            <w:tcW w:w="1305" w:type="dxa"/>
          </w:tcPr>
          <w:p w14:paraId="2CDEBA7D" w14:textId="77777777" w:rsidR="00EE1CF5" w:rsidRPr="004F7111" w:rsidRDefault="00EE1CF5" w:rsidP="00263AB1">
            <w:pPr>
              <w:jc w:val="center"/>
              <w:rPr>
                <w:color w:val="000000"/>
                <w:sz w:val="20"/>
                <w:szCs w:val="20"/>
              </w:rPr>
            </w:pPr>
            <w:r>
              <w:rPr>
                <w:color w:val="000000"/>
                <w:sz w:val="20"/>
                <w:szCs w:val="20"/>
              </w:rPr>
              <w:t xml:space="preserve">6 706 014 </w:t>
            </w:r>
          </w:p>
        </w:tc>
        <w:tc>
          <w:tcPr>
            <w:tcW w:w="1396" w:type="dxa"/>
            <w:tcBorders>
              <w:right w:val="single" w:sz="4" w:space="0" w:color="auto"/>
            </w:tcBorders>
            <w:shd w:val="clear" w:color="auto" w:fill="auto"/>
            <w:noWrap/>
            <w:hideMark/>
          </w:tcPr>
          <w:p w14:paraId="77A525AC" w14:textId="77777777" w:rsidR="00EE1CF5" w:rsidRPr="0090032C" w:rsidRDefault="00EE1CF5" w:rsidP="00263AB1">
            <w:pPr>
              <w:ind w:firstLine="34"/>
              <w:jc w:val="center"/>
              <w:rPr>
                <w:rFonts w:cs="Times New Roman"/>
                <w:bCs/>
                <w:color w:val="000000"/>
                <w:sz w:val="20"/>
                <w:szCs w:val="20"/>
              </w:rPr>
            </w:pPr>
            <w:r w:rsidRPr="0090032C">
              <w:rPr>
                <w:rFonts w:cs="Times New Roman"/>
                <w:color w:val="000000"/>
                <w:sz w:val="20"/>
                <w:szCs w:val="20"/>
              </w:rPr>
              <w:t>5 782 117</w:t>
            </w:r>
          </w:p>
        </w:tc>
        <w:tc>
          <w:tcPr>
            <w:tcW w:w="1396" w:type="dxa"/>
            <w:tcBorders>
              <w:right w:val="single" w:sz="4" w:space="0" w:color="auto"/>
            </w:tcBorders>
          </w:tcPr>
          <w:p w14:paraId="15A336A4" w14:textId="77777777" w:rsidR="00EE1CF5" w:rsidRPr="0090032C" w:rsidRDefault="00EE1CF5" w:rsidP="00263AB1">
            <w:pPr>
              <w:ind w:firstLine="34"/>
              <w:jc w:val="center"/>
              <w:rPr>
                <w:rFonts w:cs="Times New Roman"/>
                <w:color w:val="000000"/>
                <w:sz w:val="20"/>
                <w:szCs w:val="20"/>
              </w:rPr>
            </w:pPr>
            <w:r w:rsidRPr="008721B1">
              <w:rPr>
                <w:color w:val="000000"/>
                <w:sz w:val="20"/>
                <w:szCs w:val="20"/>
              </w:rPr>
              <w:t xml:space="preserve">6 706 014 </w:t>
            </w:r>
          </w:p>
        </w:tc>
        <w:tc>
          <w:tcPr>
            <w:tcW w:w="1150" w:type="dxa"/>
            <w:tcBorders>
              <w:right w:val="single" w:sz="4" w:space="0" w:color="auto"/>
            </w:tcBorders>
          </w:tcPr>
          <w:p w14:paraId="3173EE7F" w14:textId="77777777" w:rsidR="00EE1CF5" w:rsidRPr="0090032C" w:rsidRDefault="00EE1CF5" w:rsidP="00263AB1">
            <w:pPr>
              <w:ind w:firstLine="34"/>
              <w:jc w:val="center"/>
              <w:rPr>
                <w:rFonts w:cs="Times New Roman"/>
                <w:color w:val="000000"/>
                <w:sz w:val="20"/>
                <w:szCs w:val="20"/>
              </w:rPr>
            </w:pPr>
            <w:r w:rsidRPr="008721B1">
              <w:rPr>
                <w:color w:val="000000"/>
                <w:sz w:val="20"/>
                <w:szCs w:val="20"/>
              </w:rPr>
              <w:t xml:space="preserve">6 706 014 </w:t>
            </w:r>
          </w:p>
        </w:tc>
      </w:tr>
      <w:tr w:rsidR="00EE1CF5" w14:paraId="22C8BCC2" w14:textId="77777777" w:rsidTr="00263AB1">
        <w:trPr>
          <w:trHeight w:val="288"/>
          <w:jc w:val="center"/>
        </w:trPr>
        <w:tc>
          <w:tcPr>
            <w:tcW w:w="7225" w:type="dxa"/>
            <w:shd w:val="clear" w:color="auto" w:fill="auto"/>
            <w:noWrap/>
            <w:vAlign w:val="center"/>
          </w:tcPr>
          <w:p w14:paraId="2C08D917" w14:textId="77777777" w:rsidR="00EE1CF5" w:rsidRPr="00E936FD" w:rsidRDefault="00EE1CF5" w:rsidP="00263AB1">
            <w:pPr>
              <w:ind w:firstLine="34"/>
              <w:jc w:val="left"/>
              <w:rPr>
                <w:rFonts w:cs="Times New Roman"/>
                <w:sz w:val="20"/>
                <w:szCs w:val="20"/>
              </w:rPr>
            </w:pPr>
            <w:r w:rsidRPr="00E936FD">
              <w:rPr>
                <w:rFonts w:cs="Times New Roman"/>
                <w:sz w:val="20"/>
                <w:szCs w:val="20"/>
              </w:rPr>
              <w:t>Kopā</w:t>
            </w:r>
          </w:p>
        </w:tc>
        <w:tc>
          <w:tcPr>
            <w:tcW w:w="1275" w:type="dxa"/>
            <w:shd w:val="clear" w:color="auto" w:fill="auto"/>
            <w:noWrap/>
            <w:vAlign w:val="center"/>
          </w:tcPr>
          <w:p w14:paraId="6A7D1E6B" w14:textId="77777777" w:rsidR="00EE1CF5" w:rsidRPr="00E936FD" w:rsidRDefault="00EE1CF5" w:rsidP="00263AB1">
            <w:pPr>
              <w:ind w:firstLine="34"/>
              <w:jc w:val="center"/>
              <w:rPr>
                <w:b/>
                <w:color w:val="000000"/>
                <w:sz w:val="20"/>
                <w:szCs w:val="20"/>
              </w:rPr>
            </w:pPr>
            <w:r w:rsidRPr="00E936FD">
              <w:rPr>
                <w:b/>
                <w:bCs/>
                <w:color w:val="000000"/>
                <w:sz w:val="20"/>
                <w:szCs w:val="20"/>
              </w:rPr>
              <w:t>2</w:t>
            </w:r>
            <w:r>
              <w:rPr>
                <w:b/>
                <w:bCs/>
                <w:color w:val="000000"/>
                <w:sz w:val="20"/>
                <w:szCs w:val="20"/>
              </w:rPr>
              <w:t>0</w:t>
            </w:r>
            <w:r w:rsidRPr="00E936FD">
              <w:rPr>
                <w:b/>
                <w:bCs/>
                <w:sz w:val="20"/>
                <w:szCs w:val="20"/>
              </w:rPr>
              <w:t> 237 801</w:t>
            </w:r>
          </w:p>
        </w:tc>
        <w:tc>
          <w:tcPr>
            <w:tcW w:w="1305" w:type="dxa"/>
            <w:vAlign w:val="center"/>
          </w:tcPr>
          <w:p w14:paraId="5D04F19F" w14:textId="77777777" w:rsidR="00EE1CF5" w:rsidRPr="00A177B6" w:rsidRDefault="00EE1CF5" w:rsidP="00263AB1">
            <w:pPr>
              <w:jc w:val="center"/>
              <w:rPr>
                <w:b/>
                <w:bCs/>
                <w:color w:val="000000"/>
                <w:sz w:val="20"/>
                <w:szCs w:val="20"/>
              </w:rPr>
            </w:pPr>
            <w:r>
              <w:rPr>
                <w:b/>
                <w:bCs/>
                <w:color w:val="000000"/>
                <w:sz w:val="20"/>
                <w:szCs w:val="20"/>
              </w:rPr>
              <w:t>24 169 229</w:t>
            </w:r>
          </w:p>
        </w:tc>
        <w:tc>
          <w:tcPr>
            <w:tcW w:w="1396" w:type="dxa"/>
            <w:tcBorders>
              <w:right w:val="single" w:sz="4" w:space="0" w:color="auto"/>
            </w:tcBorders>
            <w:shd w:val="clear" w:color="auto" w:fill="auto"/>
            <w:noWrap/>
            <w:vAlign w:val="center"/>
          </w:tcPr>
          <w:p w14:paraId="21B6392E" w14:textId="77777777" w:rsidR="00EE1CF5" w:rsidRPr="0090032C" w:rsidRDefault="00EE1CF5" w:rsidP="00263AB1">
            <w:pPr>
              <w:ind w:firstLine="34"/>
              <w:jc w:val="center"/>
              <w:rPr>
                <w:rFonts w:cs="Times New Roman"/>
                <w:b/>
                <w:color w:val="000000"/>
                <w:sz w:val="20"/>
                <w:szCs w:val="20"/>
              </w:rPr>
            </w:pPr>
            <w:r w:rsidRPr="0090032C">
              <w:rPr>
                <w:rFonts w:cs="Times New Roman"/>
                <w:b/>
                <w:color w:val="000000"/>
                <w:sz w:val="20"/>
                <w:szCs w:val="20"/>
              </w:rPr>
              <w:t>20 835 506</w:t>
            </w:r>
          </w:p>
        </w:tc>
        <w:tc>
          <w:tcPr>
            <w:tcW w:w="1396" w:type="dxa"/>
            <w:tcBorders>
              <w:right w:val="single" w:sz="4" w:space="0" w:color="auto"/>
            </w:tcBorders>
            <w:vAlign w:val="center"/>
          </w:tcPr>
          <w:p w14:paraId="66BC5A13" w14:textId="77777777" w:rsidR="00EE1CF5" w:rsidRPr="00917E39" w:rsidRDefault="00EE1CF5" w:rsidP="00263AB1">
            <w:pPr>
              <w:jc w:val="center"/>
              <w:rPr>
                <w:b/>
                <w:bCs/>
                <w:color w:val="000000"/>
                <w:sz w:val="20"/>
                <w:szCs w:val="20"/>
              </w:rPr>
            </w:pPr>
            <w:r>
              <w:rPr>
                <w:b/>
                <w:bCs/>
                <w:color w:val="000000"/>
                <w:sz w:val="20"/>
                <w:szCs w:val="20"/>
              </w:rPr>
              <w:t>40 369 229</w:t>
            </w:r>
          </w:p>
        </w:tc>
        <w:tc>
          <w:tcPr>
            <w:tcW w:w="1150" w:type="dxa"/>
            <w:tcBorders>
              <w:right w:val="single" w:sz="4" w:space="0" w:color="auto"/>
            </w:tcBorders>
            <w:vAlign w:val="center"/>
          </w:tcPr>
          <w:p w14:paraId="62D865DD" w14:textId="77777777" w:rsidR="00EE1CF5" w:rsidRPr="00917E39" w:rsidRDefault="00EE1CF5" w:rsidP="00263AB1">
            <w:pPr>
              <w:jc w:val="center"/>
              <w:rPr>
                <w:b/>
                <w:bCs/>
                <w:color w:val="000000"/>
                <w:sz w:val="20"/>
                <w:szCs w:val="20"/>
              </w:rPr>
            </w:pPr>
            <w:r>
              <w:rPr>
                <w:b/>
                <w:bCs/>
                <w:color w:val="000000"/>
                <w:sz w:val="20"/>
                <w:szCs w:val="20"/>
              </w:rPr>
              <w:t>39 669 229</w:t>
            </w:r>
          </w:p>
        </w:tc>
      </w:tr>
    </w:tbl>
    <w:p w14:paraId="09FE206B" w14:textId="77777777" w:rsidR="00EE1CF5" w:rsidRPr="00256DA1" w:rsidRDefault="00EE1CF5" w:rsidP="00EE1CF5">
      <w:pPr>
        <w:spacing w:before="240" w:line="259" w:lineRule="auto"/>
        <w:ind w:firstLine="720"/>
        <w:jc w:val="left"/>
        <w:rPr>
          <w:szCs w:val="26"/>
        </w:rPr>
      </w:pPr>
      <w:bookmarkStart w:id="210" w:name="_Toc522810312"/>
      <w:r w:rsidRPr="00416261">
        <w:rPr>
          <w:szCs w:val="26"/>
        </w:rPr>
        <w:t xml:space="preserve">Šis risinājums atbilst Deklarācijā par Māra Kučinska vadītā </w:t>
      </w:r>
      <w:r>
        <w:rPr>
          <w:szCs w:val="26"/>
        </w:rPr>
        <w:t>MK</w:t>
      </w:r>
      <w:r w:rsidRPr="00416261">
        <w:rPr>
          <w:szCs w:val="26"/>
        </w:rPr>
        <w:t xml:space="preserve"> iecerēto darbību noteiktajam – nepaaugstināt vidējo OIK virs 26,79 EUR/MWh, jo tā īstenošanas rezultātā vidējā OIK vērtība nepārsniegs 22,68 EUR/MWh. Tomēr tādā gadījumā netiks veikta tālāka OIK sloga samazināšana, kas ir pretrunā ar MK 2018. gada 24. aprīļa rīkojumu Nr. 172 “Par darba grupu elektroenerģijas obligātā iepirkuma maksājumu sistēmas atcelšanai”</w:t>
      </w:r>
      <w:r>
        <w:rPr>
          <w:szCs w:val="26"/>
        </w:rPr>
        <w:t xml:space="preserve">. </w:t>
      </w:r>
      <w:r>
        <w:rPr>
          <w:szCs w:val="26"/>
        </w:rPr>
        <w:br/>
        <w:t xml:space="preserve">             Nav paredzams, ka šī risinājuma ieviešanai būs izšķiroša ietekme uz 2020.gada AER mērķu sasniegšanu. </w:t>
      </w:r>
    </w:p>
    <w:p w14:paraId="752E565A" w14:textId="77777777" w:rsidR="00EE1CF5" w:rsidRPr="0088797B" w:rsidRDefault="00EE1CF5" w:rsidP="00EE1CF5">
      <w:pPr>
        <w:pStyle w:val="11apaknodaa"/>
      </w:pPr>
      <w:bookmarkStart w:id="211" w:name="_Toc256000075"/>
      <w:bookmarkStart w:id="212" w:name="_Toc256000049"/>
      <w:bookmarkStart w:id="213" w:name="_Toc523492942"/>
      <w:bookmarkStart w:id="214" w:name="_Toc528585680"/>
      <w:bookmarkStart w:id="215" w:name="_Toc531798593"/>
      <w:r w:rsidRPr="0088797B">
        <w:lastRenderedPageBreak/>
        <w:t>2.risinājums</w:t>
      </w:r>
      <w:bookmarkEnd w:id="210"/>
      <w:bookmarkEnd w:id="211"/>
      <w:bookmarkEnd w:id="212"/>
      <w:bookmarkEnd w:id="213"/>
      <w:bookmarkEnd w:id="214"/>
      <w:bookmarkEnd w:id="215"/>
      <w:r>
        <w:br/>
      </w:r>
    </w:p>
    <w:p w14:paraId="0DB39E5A" w14:textId="77777777" w:rsidR="00EE1CF5" w:rsidRDefault="00EE1CF5" w:rsidP="00EE1CF5">
      <w:pPr>
        <w:ind w:firstLine="720"/>
      </w:pPr>
      <w:r>
        <w:t>Otrais risinājums paredz SEN ieviešanu uz diviem gadiem ar atbilstošu OIK samazinājumu elektroenerģijas gala lietotājiem un elektroenerģijas iepirkuma cenas korekciju stacijām, kas vēl nav nodotas ekspluatācijā, kam sekotu izmaiņas elektrostaciju kopējo kapitālieguldījumu IRR aprēķina veikšanā un tiktu ieviestas stingrākas prasības biogāzes stacijām attiecībā uz izejvielu izmantošanu. Risinājums paredz arī vairumtirgus cenu izsoles instrumenta ieviešanu.</w:t>
      </w:r>
    </w:p>
    <w:p w14:paraId="3ECEACA6" w14:textId="77777777" w:rsidR="00EE1CF5" w:rsidRDefault="00EE1CF5" w:rsidP="00EE1CF5"/>
    <w:p w14:paraId="19C240DC" w14:textId="77777777" w:rsidR="00EE1CF5" w:rsidRDefault="00EE1CF5" w:rsidP="00EE1CF5">
      <w:pPr>
        <w:ind w:firstLine="720"/>
        <w:rPr>
          <w:b/>
        </w:rPr>
      </w:pPr>
      <w:r w:rsidRPr="00A86D67">
        <w:rPr>
          <w:b/>
        </w:rPr>
        <w:t>Risinājuma īstenošanai nepieciešamie grozījumi normatīvajos aktos:</w:t>
      </w:r>
    </w:p>
    <w:p w14:paraId="4C3F089F" w14:textId="77777777" w:rsidR="00EE1CF5" w:rsidRDefault="00EE1CF5" w:rsidP="00EE1CF5">
      <w:pPr>
        <w:ind w:firstLine="720"/>
        <w:rPr>
          <w:b/>
        </w:rPr>
      </w:pPr>
    </w:p>
    <w:p w14:paraId="293A874B" w14:textId="77777777" w:rsidR="00EE1CF5" w:rsidRPr="00A86D67" w:rsidRDefault="00EE1CF5" w:rsidP="00EE1CF5">
      <w:pPr>
        <w:ind w:firstLine="720"/>
        <w:rPr>
          <w:b/>
        </w:rPr>
      </w:pPr>
      <w:r>
        <w:rPr>
          <w:b/>
        </w:rPr>
        <w:t>SEN</w:t>
      </w:r>
    </w:p>
    <w:p w14:paraId="4564FF52" w14:textId="77777777" w:rsidR="00EE1CF5" w:rsidRDefault="00EE1CF5" w:rsidP="00EE1CF5">
      <w:pPr>
        <w:ind w:firstLine="720"/>
      </w:pPr>
      <w:r>
        <w:t>1) Grozījumi Subsidētās elektroenerģijas likuma 5., 6., 7., 8., 10., 12., 13.pantā, Pārejas noteikumos, pielikumā -  attiecībā uz likuma stāšanos spēkā, piemērojamām SEN likmēm un to administrēšanu;</w:t>
      </w:r>
    </w:p>
    <w:p w14:paraId="4EA3B3AC" w14:textId="77777777" w:rsidR="00EE1CF5" w:rsidRDefault="00EE1CF5" w:rsidP="00EE1CF5">
      <w:pPr>
        <w:ind w:firstLine="720"/>
      </w:pPr>
      <w:r>
        <w:t>2) Atzīt par spēku zaudējušus MK 20</w:t>
      </w:r>
      <w:r w:rsidRPr="004D2BF6">
        <w:t>1</w:t>
      </w:r>
      <w:r>
        <w:t>3.gada 17.decembra noteikumus Nr.</w:t>
      </w:r>
      <w:r w:rsidRPr="004D2BF6">
        <w:t>1521</w:t>
      </w:r>
      <w:r>
        <w:t xml:space="preserve"> “</w:t>
      </w:r>
      <w:r w:rsidRPr="004D2BF6">
        <w:t>Noteikumi par subsidētās elektroenerģijas nodokļa piemērošanu</w:t>
      </w:r>
      <w:r>
        <w:t>”, kas nosaka samazinātas SEN likmes piemērošanu;</w:t>
      </w:r>
    </w:p>
    <w:p w14:paraId="7930A0E0" w14:textId="77777777" w:rsidR="00EE1CF5" w:rsidRDefault="00EE1CF5" w:rsidP="00EE1CF5">
      <w:pPr>
        <w:ind w:firstLine="720"/>
      </w:pPr>
      <w:r>
        <w:t>3)</w:t>
      </w:r>
      <w:r w:rsidRPr="000F3CD8">
        <w:t xml:space="preserve"> </w:t>
      </w:r>
      <w:r>
        <w:t>Grozījumi SPRK</w:t>
      </w:r>
      <w:r w:rsidRPr="000F3CD8">
        <w:t xml:space="preserve"> padomes</w:t>
      </w:r>
      <w:r>
        <w:t xml:space="preserve"> </w:t>
      </w:r>
      <w:r w:rsidRPr="000F3CD8">
        <w:t xml:space="preserve"> 2017.gad</w:t>
      </w:r>
      <w:r>
        <w:t xml:space="preserve">a 14.septembra lēmumā </w:t>
      </w:r>
      <w:r w:rsidRPr="000F3CD8">
        <w:t>Nr. 1/24</w:t>
      </w:r>
      <w:r>
        <w:t xml:space="preserve"> “</w:t>
      </w:r>
      <w:r w:rsidRPr="000F3CD8">
        <w:t>Obligātā iepirkuma un jaudas komponenšu aprēķināšanas metodika</w:t>
      </w:r>
      <w:r>
        <w:t>” attiecībā uz OIK vidējo vērtību, kas būtu likumsakarīgi, jo izrietētu no pirmajā punktā minētā;</w:t>
      </w:r>
    </w:p>
    <w:p w14:paraId="5998B7F2" w14:textId="77777777" w:rsidR="00EE1CF5" w:rsidRPr="00534225" w:rsidRDefault="00EE1CF5" w:rsidP="00EE1CF5">
      <w:pPr>
        <w:rPr>
          <w:b/>
        </w:rPr>
      </w:pPr>
      <w:r>
        <w:rPr>
          <w:b/>
        </w:rPr>
        <w:tab/>
        <w:t xml:space="preserve">Elektroenerģijas iepirkuma cenas </w:t>
      </w:r>
      <w:r w:rsidRPr="00534225">
        <w:rPr>
          <w:b/>
        </w:rPr>
        <w:t>korekcija</w:t>
      </w:r>
    </w:p>
    <w:p w14:paraId="52D5A172" w14:textId="77777777" w:rsidR="00EE1CF5" w:rsidRDefault="00EE1CF5" w:rsidP="00EE1CF5">
      <w:pPr>
        <w:ind w:firstLine="720"/>
      </w:pPr>
      <w:r>
        <w:t>4) Grozījumi MK noteikumu Nr.262 37.3. un 37.4.apakšpunktā – attiecībā uz elektroenerģijas iepirkuma cenu ekspluatācijā nenodotām vēja elektrostacijām;</w:t>
      </w:r>
    </w:p>
    <w:p w14:paraId="689F66C8" w14:textId="77777777" w:rsidR="00EE1CF5" w:rsidRPr="00534225" w:rsidRDefault="00EE1CF5" w:rsidP="00EE1CF5">
      <w:pPr>
        <w:ind w:firstLine="720"/>
        <w:rPr>
          <w:b/>
        </w:rPr>
      </w:pPr>
      <w:r>
        <w:rPr>
          <w:b/>
        </w:rPr>
        <w:t xml:space="preserve">Kopējo kapitālieguldījumu </w:t>
      </w:r>
      <w:r w:rsidRPr="00534225">
        <w:rPr>
          <w:b/>
        </w:rPr>
        <w:t>IRR</w:t>
      </w:r>
      <w:r>
        <w:rPr>
          <w:b/>
        </w:rPr>
        <w:tab/>
      </w:r>
    </w:p>
    <w:p w14:paraId="4636F4BA" w14:textId="77777777" w:rsidR="00EE1CF5" w:rsidRDefault="00EE1CF5" w:rsidP="00EE1CF5">
      <w:pPr>
        <w:ind w:firstLine="720"/>
      </w:pPr>
      <w:r>
        <w:t>5) Grozījumi ETL, nosakot deleģējumu MK veikt IRR aprēķinu vēja elektrostacijām, kurām tas pašlaik netiek veikts;</w:t>
      </w:r>
    </w:p>
    <w:p w14:paraId="455756E4" w14:textId="77777777" w:rsidR="00EE1CF5" w:rsidRDefault="00EE1CF5" w:rsidP="00EE1CF5">
      <w:pPr>
        <w:ind w:firstLine="720"/>
      </w:pPr>
      <w:r>
        <w:t xml:space="preserve">6) Grozījumi MK noteikumos Nr.221 –  dzēšams </w:t>
      </w:r>
      <w:r w:rsidRPr="00596B4F">
        <w:t>56.</w:t>
      </w:r>
      <w:r w:rsidRPr="00596B4F">
        <w:rPr>
          <w:vertAlign w:val="superscript"/>
        </w:rPr>
        <w:t>3</w:t>
      </w:r>
      <w:r>
        <w:rPr>
          <w:vertAlign w:val="superscript"/>
        </w:rPr>
        <w:t xml:space="preserve"> </w:t>
      </w:r>
      <w:r>
        <w:t>punkts attiecībā uz zvērināta revidenta aprēķina iesniegšanu</w:t>
      </w:r>
      <w:r w:rsidRPr="00596B4F">
        <w:t> </w:t>
      </w:r>
      <w:r>
        <w:t>un 56.</w:t>
      </w:r>
      <w:r>
        <w:rPr>
          <w:vertAlign w:val="superscript"/>
        </w:rPr>
        <w:t>1</w:t>
      </w:r>
      <w:r w:rsidRPr="005B03C3">
        <w:rPr>
          <w:vertAlign w:val="superscript"/>
        </w:rPr>
        <w:t>6</w:t>
      </w:r>
      <w:r>
        <w:rPr>
          <w:vertAlign w:val="superscript"/>
        </w:rPr>
        <w:t xml:space="preserve"> </w:t>
      </w:r>
      <w:r>
        <w:t>punkts attiecībā uz atbrīvojuma atcelšanu un ar tiem saistītās normas, grozījumi 8.pielikumā attiecībā uz vēsturiskā atbalsta iekļaušanu, līmeņatzīmju pārskatīšanu;</w:t>
      </w:r>
    </w:p>
    <w:p w14:paraId="42AD4211" w14:textId="77777777" w:rsidR="00EE1CF5" w:rsidRPr="008D7B46" w:rsidRDefault="00EE1CF5" w:rsidP="00EE1CF5">
      <w:pPr>
        <w:ind w:firstLine="720"/>
      </w:pPr>
      <w:r>
        <w:t xml:space="preserve">7) Grozījumi MK noteikumos Nr.262 - </w:t>
      </w:r>
      <w:r w:rsidRPr="008D7B46">
        <w:t>63.</w:t>
      </w:r>
      <w:r w:rsidRPr="008D7B46">
        <w:rPr>
          <w:vertAlign w:val="superscript"/>
        </w:rPr>
        <w:t>8</w:t>
      </w:r>
      <w:r>
        <w:rPr>
          <w:vertAlign w:val="superscript"/>
        </w:rPr>
        <w:t xml:space="preserve"> </w:t>
      </w:r>
      <w:r>
        <w:t xml:space="preserve">punkts papildināms ar stacijām, kurām veic IRR izvērtējumu (sekojoši ETL grozījumiem), dzēšams </w:t>
      </w:r>
      <w:r w:rsidRPr="008D7B46">
        <w:t>63.</w:t>
      </w:r>
      <w:r w:rsidRPr="008D7B46">
        <w:rPr>
          <w:vertAlign w:val="superscript"/>
        </w:rPr>
        <w:t>9</w:t>
      </w:r>
      <w:r>
        <w:rPr>
          <w:vertAlign w:val="superscript"/>
        </w:rPr>
        <w:t xml:space="preserve"> </w:t>
      </w:r>
      <w:r>
        <w:t xml:space="preserve">attiecībā uz atbrīvojuma atcelšanu un ar to saistītās normas, dzēšams </w:t>
      </w:r>
      <w:r w:rsidRPr="009F5B48">
        <w:t xml:space="preserve"> 63.</w:t>
      </w:r>
      <w:r w:rsidRPr="009F5B48">
        <w:rPr>
          <w:vertAlign w:val="superscript"/>
        </w:rPr>
        <w:t>18</w:t>
      </w:r>
      <w:r>
        <w:t xml:space="preserve"> punkts attiecībā uz </w:t>
      </w:r>
      <w:r w:rsidRPr="009F5B48">
        <w:t xml:space="preserve"> zvērināta revidenta </w:t>
      </w:r>
      <w:r>
        <w:t>aprēķina iesniegšanu, grozījumi 10.pielikumā attiecībā uz vēsturiskā atbalsta iekļaušanu, līmeņatzīmju pārskatīšanu;</w:t>
      </w:r>
    </w:p>
    <w:p w14:paraId="0BCC6CD5" w14:textId="77777777" w:rsidR="00EE1CF5" w:rsidRDefault="00EE1CF5" w:rsidP="00EE1CF5">
      <w:pPr>
        <w:ind w:firstLine="720"/>
        <w:rPr>
          <w:rFonts w:cs="Times New Roman"/>
          <w:b/>
          <w:szCs w:val="26"/>
        </w:rPr>
      </w:pPr>
    </w:p>
    <w:p w14:paraId="3C77D503" w14:textId="77777777" w:rsidR="00EE1CF5" w:rsidRDefault="00EE1CF5" w:rsidP="00EE1CF5">
      <w:pPr>
        <w:ind w:firstLine="720"/>
        <w:rPr>
          <w:rFonts w:cs="Times New Roman"/>
          <w:b/>
          <w:szCs w:val="26"/>
        </w:rPr>
      </w:pPr>
    </w:p>
    <w:p w14:paraId="5C339F51" w14:textId="77777777" w:rsidR="00EE1CF5" w:rsidRDefault="00EE1CF5" w:rsidP="00EE1CF5">
      <w:pPr>
        <w:ind w:firstLine="720"/>
        <w:rPr>
          <w:rFonts w:cs="Times New Roman"/>
          <w:b/>
          <w:szCs w:val="26"/>
        </w:rPr>
      </w:pPr>
      <w:r w:rsidRPr="009C6732">
        <w:rPr>
          <w:rFonts w:cs="Times New Roman"/>
          <w:b/>
          <w:szCs w:val="26"/>
        </w:rPr>
        <w:lastRenderedPageBreak/>
        <w:t>Biogāzes izejvielu kritēriji</w:t>
      </w:r>
    </w:p>
    <w:p w14:paraId="4373CE5A" w14:textId="77777777" w:rsidR="00EE1CF5" w:rsidRDefault="00EE1CF5" w:rsidP="00EE1CF5">
      <w:pPr>
        <w:ind w:firstLine="720"/>
        <w:rPr>
          <w:rFonts w:cs="Times New Roman"/>
          <w:szCs w:val="26"/>
        </w:rPr>
      </w:pPr>
      <w:r>
        <w:rPr>
          <w:rFonts w:cs="Times New Roman"/>
          <w:szCs w:val="26"/>
        </w:rPr>
        <w:t>8</w:t>
      </w:r>
      <w:r w:rsidRPr="009C6732">
        <w:rPr>
          <w:rFonts w:cs="Times New Roman"/>
          <w:szCs w:val="26"/>
        </w:rPr>
        <w:t xml:space="preserve">) </w:t>
      </w:r>
      <w:r>
        <w:rPr>
          <w:rFonts w:cs="Times New Roman"/>
          <w:szCs w:val="26"/>
        </w:rPr>
        <w:t>MK noteikumi Nr.262 papildināmi ar normām, kas nosaka prasības izejvielu kvalitātes kritērijiem biogāzes stacijām un piemērojamās sankcijas nosacījumu neizpildes gadījumā, dzēšamas normas par izejvielu kritērijiem, kas attiecas tikai uz tām stacijām, kas konkursa ietvaros ieguvušās punktus, veicami grozījumi 9.pielikumā attiecībā uz norādāmo informāciju par biogāzes ražošanā izmantotajām izejvielām, noteikumi papildināmi ar pielikumu, kurā atspoguļojama ikmēneša informācija par biogāzes ražošanā izmantotajām izejvielām, veicami grozījumi elektroenerģijas iepirkuma cenas formulās 37.9. un 37.10 apakšpunktā;</w:t>
      </w:r>
    </w:p>
    <w:p w14:paraId="4CC02A10" w14:textId="77777777" w:rsidR="00EE1CF5" w:rsidRDefault="00EE1CF5" w:rsidP="00EE1CF5">
      <w:pPr>
        <w:ind w:firstLine="720"/>
        <w:rPr>
          <w:rFonts w:cs="Times New Roman"/>
          <w:szCs w:val="26"/>
        </w:rPr>
      </w:pPr>
      <w:r>
        <w:rPr>
          <w:rFonts w:cs="Times New Roman"/>
          <w:szCs w:val="26"/>
        </w:rPr>
        <w:t>9) MK noteikumi Nr.221 papildināmi ar normām, kas nosaka prasības izejvielu kvalitātes kritērijiem biogāzes stacijām un piemērojamās sankcijas nosacījumu neizpildes gadījumā, veicami grozījumi 5.pielikumā attiecībā uz norādāmo informāciju par biogāzes ražošanā izmantotajām izejvielām, noteikumi papildināmi ar pielikumu, kurā atspoguļojama ikmēneša informācija par biogāzes ražošanā izmantotajām izejvielām, veicami grozījumi elektroenerģijas iepirkuma cenas formulā</w:t>
      </w:r>
      <w:r w:rsidRPr="005D0C19">
        <w:rPr>
          <w:rFonts w:ascii="Arial" w:hAnsi="Arial" w:cs="Arial"/>
          <w:color w:val="414142"/>
          <w:sz w:val="20"/>
          <w:szCs w:val="20"/>
          <w:shd w:val="clear" w:color="auto" w:fill="FFFFFF"/>
        </w:rPr>
        <w:t xml:space="preserve"> </w:t>
      </w:r>
      <w:r w:rsidRPr="005D0C19">
        <w:rPr>
          <w:rFonts w:cs="Times New Roman"/>
          <w:szCs w:val="26"/>
        </w:rPr>
        <w:t>53.1.</w:t>
      </w:r>
      <w:r>
        <w:rPr>
          <w:rFonts w:cs="Times New Roman"/>
          <w:szCs w:val="26"/>
        </w:rPr>
        <w:t xml:space="preserve"> apakšpunktā un noteikumi papildināmi ar formulu, ar kuru diferencē elektroenerģijas iepirkuma cenu biogāzes koģenerācijas stacijām atkarībā no noteiktā izejvielu īpatsvara;</w:t>
      </w:r>
    </w:p>
    <w:p w14:paraId="031A79B7" w14:textId="77777777" w:rsidR="00EE1CF5" w:rsidRDefault="00EE1CF5" w:rsidP="00EE1CF5">
      <w:pPr>
        <w:rPr>
          <w:szCs w:val="26"/>
        </w:rPr>
      </w:pPr>
      <w:r w:rsidRPr="008C51B2">
        <w:rPr>
          <w:b/>
          <w:szCs w:val="26"/>
        </w:rPr>
        <w:tab/>
      </w:r>
    </w:p>
    <w:p w14:paraId="29BC030D" w14:textId="77777777" w:rsidR="00EE1CF5" w:rsidRDefault="00EE1CF5" w:rsidP="00EE1CF5">
      <w:pPr>
        <w:rPr>
          <w:szCs w:val="26"/>
        </w:rPr>
      </w:pPr>
    </w:p>
    <w:p w14:paraId="2CCDCB97" w14:textId="77777777" w:rsidR="00EE1CF5" w:rsidRPr="0040795B" w:rsidRDefault="00EE1CF5" w:rsidP="00EE1CF5">
      <w:pPr>
        <w:jc w:val="right"/>
        <w:rPr>
          <w:i/>
        </w:rPr>
      </w:pPr>
      <w:r w:rsidRPr="0040795B">
        <w:rPr>
          <w:i/>
          <w:szCs w:val="26"/>
        </w:rPr>
        <w:t>16.tabula</w:t>
      </w:r>
    </w:p>
    <w:p w14:paraId="6E081D5E" w14:textId="77777777" w:rsidR="00EE1CF5" w:rsidRPr="004C36B1" w:rsidRDefault="00EE1CF5" w:rsidP="00EE1CF5">
      <w:pPr>
        <w:jc w:val="center"/>
        <w:rPr>
          <w:b/>
        </w:rPr>
      </w:pPr>
      <w:r w:rsidRPr="004C36B1">
        <w:rPr>
          <w:b/>
        </w:rPr>
        <w:t>2. risinājuma ieviešana un ietekme</w:t>
      </w:r>
    </w:p>
    <w:p w14:paraId="485BA439" w14:textId="77777777" w:rsidR="00EE1CF5" w:rsidRDefault="00EE1CF5" w:rsidP="00EE1CF5"/>
    <w:tbl>
      <w:tblPr>
        <w:tblStyle w:val="TableGrid"/>
        <w:tblW w:w="0" w:type="auto"/>
        <w:jc w:val="center"/>
        <w:tblLook w:val="04A0" w:firstRow="1" w:lastRow="0" w:firstColumn="1" w:lastColumn="0" w:noHBand="0" w:noVBand="1"/>
      </w:tblPr>
      <w:tblGrid>
        <w:gridCol w:w="2972"/>
        <w:gridCol w:w="2410"/>
        <w:gridCol w:w="1843"/>
        <w:gridCol w:w="1984"/>
        <w:gridCol w:w="1985"/>
        <w:gridCol w:w="976"/>
        <w:gridCol w:w="865"/>
        <w:gridCol w:w="852"/>
      </w:tblGrid>
      <w:tr w:rsidR="00EE1CF5" w14:paraId="4629ECBB" w14:textId="77777777" w:rsidTr="00263AB1">
        <w:trPr>
          <w:trHeight w:val="567"/>
          <w:jc w:val="center"/>
        </w:trPr>
        <w:tc>
          <w:tcPr>
            <w:tcW w:w="2972" w:type="dxa"/>
            <w:vMerge w:val="restart"/>
            <w:vAlign w:val="center"/>
          </w:tcPr>
          <w:p w14:paraId="7EB7E8F5" w14:textId="77777777" w:rsidR="00EE1CF5" w:rsidRPr="00B9490E" w:rsidRDefault="00EE1CF5" w:rsidP="00263AB1">
            <w:pPr>
              <w:jc w:val="center"/>
              <w:rPr>
                <w:rFonts w:ascii="Times New Roman" w:hAnsi="Times New Roman" w:cs="Times New Roman"/>
                <w:b/>
                <w:sz w:val="20"/>
                <w:szCs w:val="20"/>
              </w:rPr>
            </w:pPr>
            <w:bookmarkStart w:id="216" w:name="_Hlk523333588"/>
            <w:r w:rsidRPr="00B9490E">
              <w:rPr>
                <w:rFonts w:ascii="Times New Roman" w:hAnsi="Times New Roman" w:cs="Times New Roman"/>
                <w:b/>
                <w:sz w:val="20"/>
                <w:szCs w:val="20"/>
              </w:rPr>
              <w:t>Instruments</w:t>
            </w:r>
          </w:p>
        </w:tc>
        <w:tc>
          <w:tcPr>
            <w:tcW w:w="2410" w:type="dxa"/>
            <w:vMerge w:val="restart"/>
            <w:vAlign w:val="center"/>
          </w:tcPr>
          <w:p w14:paraId="7070FF6E"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Izstrādes periods</w:t>
            </w:r>
          </w:p>
        </w:tc>
        <w:tc>
          <w:tcPr>
            <w:tcW w:w="1843" w:type="dxa"/>
            <w:vMerge w:val="restart"/>
            <w:vAlign w:val="center"/>
          </w:tcPr>
          <w:p w14:paraId="3A0405B0"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Ieviešanas gads</w:t>
            </w:r>
          </w:p>
        </w:tc>
        <w:tc>
          <w:tcPr>
            <w:tcW w:w="1984" w:type="dxa"/>
            <w:vMerge w:val="restart"/>
            <w:vAlign w:val="center"/>
          </w:tcPr>
          <w:p w14:paraId="475B0BFA"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Efekts uz OI atbalsta maksājumiem</w:t>
            </w:r>
          </w:p>
        </w:tc>
        <w:tc>
          <w:tcPr>
            <w:tcW w:w="1985" w:type="dxa"/>
            <w:vMerge w:val="restart"/>
            <w:vAlign w:val="center"/>
          </w:tcPr>
          <w:p w14:paraId="0AE743E6"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Efekts uz OIK</w:t>
            </w:r>
          </w:p>
        </w:tc>
        <w:tc>
          <w:tcPr>
            <w:tcW w:w="2693" w:type="dxa"/>
            <w:gridSpan w:val="3"/>
            <w:vAlign w:val="center"/>
          </w:tcPr>
          <w:p w14:paraId="65248C5E" w14:textId="77777777" w:rsidR="00EE1CF5" w:rsidRPr="00B9490E" w:rsidRDefault="00EE1CF5" w:rsidP="00263AB1">
            <w:pPr>
              <w:jc w:val="center"/>
              <w:rPr>
                <w:rFonts w:ascii="Times New Roman" w:hAnsi="Times New Roman" w:cs="Times New Roman"/>
                <w:sz w:val="20"/>
                <w:szCs w:val="20"/>
              </w:rPr>
            </w:pPr>
            <w:r w:rsidRPr="00B9490E">
              <w:rPr>
                <w:rFonts w:ascii="Times New Roman" w:hAnsi="Times New Roman" w:cs="Times New Roman"/>
                <w:b/>
                <w:sz w:val="20"/>
                <w:szCs w:val="20"/>
              </w:rPr>
              <w:t>OIK vidējā vērtība, EUR/MWh</w:t>
            </w:r>
          </w:p>
        </w:tc>
      </w:tr>
      <w:tr w:rsidR="00EE1CF5" w14:paraId="6B0506BF" w14:textId="77777777" w:rsidTr="00263AB1">
        <w:trPr>
          <w:trHeight w:val="293"/>
          <w:jc w:val="center"/>
        </w:trPr>
        <w:tc>
          <w:tcPr>
            <w:tcW w:w="2972" w:type="dxa"/>
            <w:vMerge/>
            <w:vAlign w:val="center"/>
          </w:tcPr>
          <w:p w14:paraId="516BA211" w14:textId="77777777" w:rsidR="00EE1CF5" w:rsidRPr="00B9490E" w:rsidRDefault="00EE1CF5" w:rsidP="00263AB1">
            <w:pPr>
              <w:rPr>
                <w:rFonts w:ascii="Times New Roman" w:hAnsi="Times New Roman" w:cs="Times New Roman"/>
                <w:b/>
                <w:sz w:val="20"/>
                <w:szCs w:val="20"/>
              </w:rPr>
            </w:pPr>
          </w:p>
        </w:tc>
        <w:tc>
          <w:tcPr>
            <w:tcW w:w="2410" w:type="dxa"/>
            <w:vMerge/>
            <w:vAlign w:val="center"/>
          </w:tcPr>
          <w:p w14:paraId="293541BD" w14:textId="77777777" w:rsidR="00EE1CF5" w:rsidRPr="00B9490E" w:rsidRDefault="00EE1CF5" w:rsidP="00263AB1">
            <w:pPr>
              <w:rPr>
                <w:rFonts w:ascii="Times New Roman" w:hAnsi="Times New Roman" w:cs="Times New Roman"/>
                <w:b/>
                <w:sz w:val="20"/>
                <w:szCs w:val="20"/>
              </w:rPr>
            </w:pPr>
          </w:p>
        </w:tc>
        <w:tc>
          <w:tcPr>
            <w:tcW w:w="1843" w:type="dxa"/>
            <w:vMerge/>
            <w:vAlign w:val="center"/>
          </w:tcPr>
          <w:p w14:paraId="7B27C826" w14:textId="77777777" w:rsidR="00EE1CF5" w:rsidRPr="00B9490E" w:rsidRDefault="00EE1CF5" w:rsidP="00263AB1">
            <w:pPr>
              <w:rPr>
                <w:rFonts w:ascii="Times New Roman" w:hAnsi="Times New Roman" w:cs="Times New Roman"/>
                <w:b/>
                <w:sz w:val="20"/>
                <w:szCs w:val="20"/>
              </w:rPr>
            </w:pPr>
          </w:p>
        </w:tc>
        <w:tc>
          <w:tcPr>
            <w:tcW w:w="1984" w:type="dxa"/>
            <w:vMerge/>
            <w:vAlign w:val="center"/>
          </w:tcPr>
          <w:p w14:paraId="40364780" w14:textId="77777777" w:rsidR="00EE1CF5" w:rsidRPr="00B9490E" w:rsidRDefault="00EE1CF5" w:rsidP="00263AB1">
            <w:pPr>
              <w:rPr>
                <w:rFonts w:ascii="Times New Roman" w:hAnsi="Times New Roman" w:cs="Times New Roman"/>
                <w:b/>
                <w:sz w:val="20"/>
                <w:szCs w:val="20"/>
              </w:rPr>
            </w:pPr>
          </w:p>
        </w:tc>
        <w:tc>
          <w:tcPr>
            <w:tcW w:w="1985" w:type="dxa"/>
            <w:vMerge/>
            <w:vAlign w:val="center"/>
          </w:tcPr>
          <w:p w14:paraId="7D61D057" w14:textId="77777777" w:rsidR="00EE1CF5" w:rsidRPr="00B9490E" w:rsidRDefault="00EE1CF5" w:rsidP="00263AB1">
            <w:pPr>
              <w:rPr>
                <w:rFonts w:ascii="Times New Roman" w:hAnsi="Times New Roman" w:cs="Times New Roman"/>
                <w:b/>
                <w:sz w:val="20"/>
                <w:szCs w:val="20"/>
              </w:rPr>
            </w:pPr>
          </w:p>
        </w:tc>
        <w:tc>
          <w:tcPr>
            <w:tcW w:w="976" w:type="dxa"/>
            <w:vMerge w:val="restart"/>
            <w:vAlign w:val="center"/>
          </w:tcPr>
          <w:p w14:paraId="2C828774" w14:textId="77777777" w:rsidR="00EE1CF5" w:rsidRPr="00B9490E" w:rsidRDefault="00EE1CF5" w:rsidP="00263AB1">
            <w:pPr>
              <w:rPr>
                <w:rFonts w:ascii="Times New Roman" w:hAnsi="Times New Roman" w:cs="Times New Roman"/>
                <w:b/>
                <w:sz w:val="20"/>
                <w:szCs w:val="20"/>
              </w:rPr>
            </w:pPr>
            <w:r w:rsidRPr="00B9490E">
              <w:rPr>
                <w:rFonts w:ascii="Times New Roman" w:hAnsi="Times New Roman" w:cs="Times New Roman"/>
                <w:sz w:val="20"/>
                <w:szCs w:val="20"/>
              </w:rPr>
              <w:t>2019</w:t>
            </w:r>
          </w:p>
        </w:tc>
        <w:tc>
          <w:tcPr>
            <w:tcW w:w="865" w:type="dxa"/>
            <w:vMerge w:val="restart"/>
            <w:vAlign w:val="center"/>
          </w:tcPr>
          <w:p w14:paraId="26932BB5" w14:textId="77777777" w:rsidR="00EE1CF5" w:rsidRPr="00B9490E" w:rsidRDefault="00EE1CF5" w:rsidP="00263AB1">
            <w:pPr>
              <w:rPr>
                <w:rFonts w:ascii="Times New Roman" w:hAnsi="Times New Roman" w:cs="Times New Roman"/>
                <w:b/>
                <w:sz w:val="20"/>
                <w:szCs w:val="20"/>
              </w:rPr>
            </w:pPr>
            <w:r w:rsidRPr="00B9490E">
              <w:rPr>
                <w:rFonts w:ascii="Times New Roman" w:hAnsi="Times New Roman" w:cs="Times New Roman"/>
                <w:sz w:val="20"/>
                <w:szCs w:val="20"/>
              </w:rPr>
              <w:t>2020</w:t>
            </w:r>
          </w:p>
        </w:tc>
        <w:tc>
          <w:tcPr>
            <w:tcW w:w="852" w:type="dxa"/>
            <w:vMerge w:val="restart"/>
            <w:vAlign w:val="center"/>
          </w:tcPr>
          <w:p w14:paraId="77008BED" w14:textId="77777777" w:rsidR="00EE1CF5" w:rsidRPr="00B9490E" w:rsidRDefault="00EE1CF5" w:rsidP="00263AB1">
            <w:pPr>
              <w:rPr>
                <w:rFonts w:ascii="Times New Roman" w:hAnsi="Times New Roman" w:cs="Times New Roman"/>
                <w:b/>
                <w:sz w:val="20"/>
                <w:szCs w:val="20"/>
              </w:rPr>
            </w:pPr>
            <w:r w:rsidRPr="00B9490E">
              <w:rPr>
                <w:rFonts w:ascii="Times New Roman" w:hAnsi="Times New Roman" w:cs="Times New Roman"/>
                <w:sz w:val="20"/>
                <w:szCs w:val="20"/>
              </w:rPr>
              <w:t>2021</w:t>
            </w:r>
          </w:p>
        </w:tc>
      </w:tr>
      <w:tr w:rsidR="00EE1CF5" w14:paraId="76600428" w14:textId="77777777" w:rsidTr="00263AB1">
        <w:trPr>
          <w:trHeight w:val="267"/>
          <w:jc w:val="center"/>
        </w:trPr>
        <w:tc>
          <w:tcPr>
            <w:tcW w:w="2972" w:type="dxa"/>
            <w:vAlign w:val="center"/>
          </w:tcPr>
          <w:p w14:paraId="3AE0ACC5"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1. SEN</w:t>
            </w:r>
          </w:p>
        </w:tc>
        <w:tc>
          <w:tcPr>
            <w:tcW w:w="2410" w:type="dxa"/>
            <w:vAlign w:val="center"/>
          </w:tcPr>
          <w:p w14:paraId="5850E43F"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2018.g. </w:t>
            </w:r>
            <w:r>
              <w:rPr>
                <w:rFonts w:ascii="Times New Roman" w:hAnsi="Times New Roman" w:cs="Times New Roman"/>
                <w:sz w:val="20"/>
                <w:szCs w:val="20"/>
              </w:rPr>
              <w:t>ziema</w:t>
            </w:r>
          </w:p>
        </w:tc>
        <w:tc>
          <w:tcPr>
            <w:tcW w:w="1843" w:type="dxa"/>
            <w:vAlign w:val="center"/>
          </w:tcPr>
          <w:p w14:paraId="32512732"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1984" w:type="dxa"/>
            <w:vAlign w:val="center"/>
          </w:tcPr>
          <w:p w14:paraId="6E5968A0"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1985" w:type="dxa"/>
            <w:vAlign w:val="center"/>
          </w:tcPr>
          <w:p w14:paraId="770FBC8E"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976" w:type="dxa"/>
            <w:vMerge/>
            <w:vAlign w:val="center"/>
          </w:tcPr>
          <w:p w14:paraId="31C18C4C" w14:textId="77777777" w:rsidR="00EE1CF5" w:rsidRPr="00B9490E" w:rsidRDefault="00EE1CF5" w:rsidP="00263AB1">
            <w:pPr>
              <w:rPr>
                <w:rFonts w:ascii="Times New Roman" w:hAnsi="Times New Roman" w:cs="Times New Roman"/>
                <w:sz w:val="20"/>
                <w:szCs w:val="20"/>
              </w:rPr>
            </w:pPr>
          </w:p>
        </w:tc>
        <w:tc>
          <w:tcPr>
            <w:tcW w:w="865" w:type="dxa"/>
            <w:vMerge/>
            <w:vAlign w:val="center"/>
          </w:tcPr>
          <w:p w14:paraId="69300B0F" w14:textId="77777777" w:rsidR="00EE1CF5" w:rsidRPr="00B9490E" w:rsidRDefault="00EE1CF5" w:rsidP="00263AB1">
            <w:pPr>
              <w:rPr>
                <w:rFonts w:ascii="Times New Roman" w:hAnsi="Times New Roman" w:cs="Times New Roman"/>
                <w:sz w:val="20"/>
                <w:szCs w:val="20"/>
              </w:rPr>
            </w:pPr>
          </w:p>
        </w:tc>
        <w:tc>
          <w:tcPr>
            <w:tcW w:w="852" w:type="dxa"/>
            <w:vMerge/>
            <w:vAlign w:val="center"/>
          </w:tcPr>
          <w:p w14:paraId="73253B47" w14:textId="77777777" w:rsidR="00EE1CF5" w:rsidRPr="00B9490E" w:rsidRDefault="00EE1CF5" w:rsidP="00263AB1">
            <w:pPr>
              <w:rPr>
                <w:rFonts w:ascii="Times New Roman" w:hAnsi="Times New Roman" w:cs="Times New Roman"/>
                <w:sz w:val="20"/>
                <w:szCs w:val="20"/>
              </w:rPr>
            </w:pPr>
          </w:p>
        </w:tc>
      </w:tr>
      <w:tr w:rsidR="00EE1CF5" w14:paraId="04F06FC8" w14:textId="77777777" w:rsidTr="00263AB1">
        <w:trPr>
          <w:jc w:val="center"/>
        </w:trPr>
        <w:tc>
          <w:tcPr>
            <w:tcW w:w="2972" w:type="dxa"/>
            <w:vAlign w:val="center"/>
          </w:tcPr>
          <w:p w14:paraId="5C8C6BFD"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 Cenas korekcija</w:t>
            </w:r>
          </w:p>
        </w:tc>
        <w:tc>
          <w:tcPr>
            <w:tcW w:w="2410" w:type="dxa"/>
            <w:vAlign w:val="center"/>
          </w:tcPr>
          <w:p w14:paraId="1217B3B0"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2018.g. </w:t>
            </w:r>
            <w:r>
              <w:rPr>
                <w:rFonts w:ascii="Times New Roman" w:hAnsi="Times New Roman" w:cs="Times New Roman"/>
                <w:sz w:val="20"/>
                <w:szCs w:val="20"/>
              </w:rPr>
              <w:t>ziema</w:t>
            </w:r>
          </w:p>
        </w:tc>
        <w:tc>
          <w:tcPr>
            <w:tcW w:w="1843" w:type="dxa"/>
            <w:vAlign w:val="center"/>
          </w:tcPr>
          <w:p w14:paraId="32551432"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1984" w:type="dxa"/>
            <w:vAlign w:val="center"/>
          </w:tcPr>
          <w:p w14:paraId="04F490EB"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1985" w:type="dxa"/>
            <w:vAlign w:val="center"/>
          </w:tcPr>
          <w:p w14:paraId="3568372D"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2019.g.</w:t>
            </w:r>
          </w:p>
        </w:tc>
        <w:tc>
          <w:tcPr>
            <w:tcW w:w="976" w:type="dxa"/>
            <w:vMerge w:val="restart"/>
            <w:vAlign w:val="center"/>
          </w:tcPr>
          <w:p w14:paraId="7A198ED6"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17,30</w:t>
            </w:r>
          </w:p>
        </w:tc>
        <w:tc>
          <w:tcPr>
            <w:tcW w:w="865" w:type="dxa"/>
            <w:vMerge w:val="restart"/>
            <w:vAlign w:val="center"/>
          </w:tcPr>
          <w:p w14:paraId="4189B19C"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17,30</w:t>
            </w:r>
          </w:p>
        </w:tc>
        <w:tc>
          <w:tcPr>
            <w:tcW w:w="852" w:type="dxa"/>
            <w:vMerge w:val="restart"/>
            <w:vAlign w:val="center"/>
          </w:tcPr>
          <w:p w14:paraId="5A6F8FE7"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17,30</w:t>
            </w:r>
          </w:p>
        </w:tc>
      </w:tr>
      <w:bookmarkEnd w:id="216"/>
      <w:tr w:rsidR="00EE1CF5" w14:paraId="06246F8A" w14:textId="77777777" w:rsidTr="00263AB1">
        <w:trPr>
          <w:jc w:val="center"/>
        </w:trPr>
        <w:tc>
          <w:tcPr>
            <w:tcW w:w="2972" w:type="dxa"/>
            <w:vAlign w:val="center"/>
          </w:tcPr>
          <w:p w14:paraId="16FCFD7D"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3. IRR</w:t>
            </w:r>
          </w:p>
        </w:tc>
        <w:tc>
          <w:tcPr>
            <w:tcW w:w="2410" w:type="dxa"/>
            <w:vAlign w:val="center"/>
          </w:tcPr>
          <w:p w14:paraId="02954FDF"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2018.g. ziema – 2019.g. vidus</w:t>
            </w:r>
          </w:p>
        </w:tc>
        <w:tc>
          <w:tcPr>
            <w:tcW w:w="1843" w:type="dxa"/>
            <w:vAlign w:val="center"/>
          </w:tcPr>
          <w:p w14:paraId="3525DEFA"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1984" w:type="dxa"/>
            <w:vAlign w:val="center"/>
          </w:tcPr>
          <w:p w14:paraId="08E7E2CF"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2020.g.</w:t>
            </w:r>
          </w:p>
        </w:tc>
        <w:tc>
          <w:tcPr>
            <w:tcW w:w="1985" w:type="dxa"/>
            <w:vAlign w:val="center"/>
          </w:tcPr>
          <w:p w14:paraId="42F4DC57"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2020.g.</w:t>
            </w:r>
          </w:p>
        </w:tc>
        <w:tc>
          <w:tcPr>
            <w:tcW w:w="976" w:type="dxa"/>
            <w:vMerge/>
            <w:vAlign w:val="center"/>
          </w:tcPr>
          <w:p w14:paraId="46B5D7D6" w14:textId="77777777" w:rsidR="00EE1CF5" w:rsidRPr="00B9490E" w:rsidRDefault="00EE1CF5" w:rsidP="00263AB1">
            <w:pPr>
              <w:rPr>
                <w:rFonts w:ascii="Times New Roman" w:hAnsi="Times New Roman" w:cs="Times New Roman"/>
                <w:sz w:val="20"/>
                <w:szCs w:val="20"/>
              </w:rPr>
            </w:pPr>
          </w:p>
        </w:tc>
        <w:tc>
          <w:tcPr>
            <w:tcW w:w="865" w:type="dxa"/>
            <w:vMerge/>
            <w:vAlign w:val="center"/>
          </w:tcPr>
          <w:p w14:paraId="49260B9A" w14:textId="77777777" w:rsidR="00EE1CF5" w:rsidRPr="00B9490E" w:rsidRDefault="00EE1CF5" w:rsidP="00263AB1">
            <w:pPr>
              <w:rPr>
                <w:rFonts w:ascii="Times New Roman" w:hAnsi="Times New Roman" w:cs="Times New Roman"/>
                <w:sz w:val="20"/>
                <w:szCs w:val="20"/>
              </w:rPr>
            </w:pPr>
          </w:p>
        </w:tc>
        <w:tc>
          <w:tcPr>
            <w:tcW w:w="852" w:type="dxa"/>
            <w:vMerge/>
            <w:vAlign w:val="center"/>
          </w:tcPr>
          <w:p w14:paraId="5397EB23" w14:textId="77777777" w:rsidR="00EE1CF5" w:rsidRPr="00B9490E" w:rsidRDefault="00EE1CF5" w:rsidP="00263AB1">
            <w:pPr>
              <w:rPr>
                <w:rFonts w:ascii="Times New Roman" w:hAnsi="Times New Roman" w:cs="Times New Roman"/>
                <w:sz w:val="20"/>
                <w:szCs w:val="20"/>
              </w:rPr>
            </w:pPr>
          </w:p>
        </w:tc>
      </w:tr>
      <w:tr w:rsidR="00EE1CF5" w14:paraId="0C0AD10E" w14:textId="77777777" w:rsidTr="00263AB1">
        <w:trPr>
          <w:jc w:val="center"/>
        </w:trPr>
        <w:tc>
          <w:tcPr>
            <w:tcW w:w="2972" w:type="dxa"/>
            <w:vAlign w:val="center"/>
          </w:tcPr>
          <w:p w14:paraId="3ED7C219"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4. Biogāzes izejvielu kritēriji</w:t>
            </w:r>
          </w:p>
        </w:tc>
        <w:tc>
          <w:tcPr>
            <w:tcW w:w="2410" w:type="dxa"/>
            <w:vAlign w:val="center"/>
          </w:tcPr>
          <w:p w14:paraId="763DFF10"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2018.g. ziema – 2019.g. vidus</w:t>
            </w:r>
          </w:p>
        </w:tc>
        <w:tc>
          <w:tcPr>
            <w:tcW w:w="1843" w:type="dxa"/>
            <w:vAlign w:val="center"/>
          </w:tcPr>
          <w:p w14:paraId="436EFBAD"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202</w:t>
            </w:r>
            <w:r>
              <w:rPr>
                <w:rFonts w:ascii="Times New Roman" w:hAnsi="Times New Roman" w:cs="Times New Roman"/>
                <w:sz w:val="20"/>
                <w:szCs w:val="20"/>
              </w:rPr>
              <w:t>2</w:t>
            </w:r>
            <w:r w:rsidRPr="00B9490E">
              <w:rPr>
                <w:rFonts w:ascii="Times New Roman" w:hAnsi="Times New Roman" w:cs="Times New Roman"/>
                <w:sz w:val="20"/>
                <w:szCs w:val="20"/>
              </w:rPr>
              <w:t xml:space="preserve">.g. </w:t>
            </w:r>
          </w:p>
        </w:tc>
        <w:tc>
          <w:tcPr>
            <w:tcW w:w="1984" w:type="dxa"/>
            <w:vAlign w:val="center"/>
          </w:tcPr>
          <w:p w14:paraId="13BA0739"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202</w:t>
            </w:r>
            <w:r>
              <w:rPr>
                <w:rFonts w:ascii="Times New Roman" w:hAnsi="Times New Roman" w:cs="Times New Roman"/>
                <w:sz w:val="20"/>
                <w:szCs w:val="20"/>
              </w:rPr>
              <w:t>2</w:t>
            </w:r>
            <w:r w:rsidRPr="00B9490E">
              <w:rPr>
                <w:rFonts w:ascii="Times New Roman" w:hAnsi="Times New Roman" w:cs="Times New Roman"/>
                <w:sz w:val="20"/>
                <w:szCs w:val="20"/>
              </w:rPr>
              <w:t xml:space="preserve">.g. </w:t>
            </w:r>
          </w:p>
        </w:tc>
        <w:tc>
          <w:tcPr>
            <w:tcW w:w="1985" w:type="dxa"/>
            <w:vAlign w:val="center"/>
          </w:tcPr>
          <w:p w14:paraId="62B3D458"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2022.g.</w:t>
            </w:r>
          </w:p>
        </w:tc>
        <w:tc>
          <w:tcPr>
            <w:tcW w:w="976" w:type="dxa"/>
            <w:vMerge/>
            <w:vAlign w:val="center"/>
          </w:tcPr>
          <w:p w14:paraId="27E62E7A" w14:textId="77777777" w:rsidR="00EE1CF5" w:rsidRPr="00B9490E" w:rsidRDefault="00EE1CF5" w:rsidP="00263AB1">
            <w:pPr>
              <w:rPr>
                <w:rFonts w:ascii="Times New Roman" w:hAnsi="Times New Roman" w:cs="Times New Roman"/>
                <w:sz w:val="20"/>
                <w:szCs w:val="20"/>
              </w:rPr>
            </w:pPr>
          </w:p>
        </w:tc>
        <w:tc>
          <w:tcPr>
            <w:tcW w:w="865" w:type="dxa"/>
            <w:vMerge/>
            <w:vAlign w:val="center"/>
          </w:tcPr>
          <w:p w14:paraId="4491D77C" w14:textId="77777777" w:rsidR="00EE1CF5" w:rsidRPr="00B9490E" w:rsidRDefault="00EE1CF5" w:rsidP="00263AB1">
            <w:pPr>
              <w:rPr>
                <w:rFonts w:ascii="Times New Roman" w:hAnsi="Times New Roman" w:cs="Times New Roman"/>
                <w:sz w:val="20"/>
                <w:szCs w:val="20"/>
              </w:rPr>
            </w:pPr>
          </w:p>
        </w:tc>
        <w:tc>
          <w:tcPr>
            <w:tcW w:w="852" w:type="dxa"/>
            <w:vMerge/>
            <w:vAlign w:val="center"/>
          </w:tcPr>
          <w:p w14:paraId="2A048FBB" w14:textId="77777777" w:rsidR="00EE1CF5" w:rsidRPr="00B9490E" w:rsidRDefault="00EE1CF5" w:rsidP="00263AB1">
            <w:pPr>
              <w:rPr>
                <w:rFonts w:ascii="Times New Roman" w:hAnsi="Times New Roman" w:cs="Times New Roman"/>
                <w:sz w:val="20"/>
                <w:szCs w:val="20"/>
              </w:rPr>
            </w:pPr>
          </w:p>
        </w:tc>
      </w:tr>
    </w:tbl>
    <w:p w14:paraId="1602AA94" w14:textId="77777777" w:rsidR="00EE1CF5" w:rsidRDefault="00EE1CF5" w:rsidP="00EE1CF5">
      <w:pPr>
        <w:rPr>
          <w:b/>
          <w:szCs w:val="26"/>
        </w:rPr>
      </w:pPr>
    </w:p>
    <w:p w14:paraId="7F56B4D9" w14:textId="77777777" w:rsidR="00EE1CF5" w:rsidRDefault="00EE1CF5" w:rsidP="00EE1CF5">
      <w:pPr>
        <w:pStyle w:val="Caption"/>
        <w:keepNext/>
        <w:spacing w:after="0" w:line="240" w:lineRule="auto"/>
        <w:jc w:val="right"/>
        <w:rPr>
          <w:rFonts w:ascii="Times New Roman" w:hAnsi="Times New Roman"/>
          <w:b w:val="0"/>
          <w:i/>
          <w:sz w:val="26"/>
          <w:szCs w:val="26"/>
        </w:rPr>
      </w:pPr>
      <w:r>
        <w:rPr>
          <w:rFonts w:ascii="Times New Roman" w:hAnsi="Times New Roman"/>
          <w:b w:val="0"/>
          <w:i/>
          <w:sz w:val="26"/>
          <w:szCs w:val="26"/>
        </w:rPr>
        <w:br/>
      </w:r>
    </w:p>
    <w:p w14:paraId="3C64D4CE" w14:textId="77777777" w:rsidR="00EE1CF5" w:rsidRPr="004A7D6F" w:rsidRDefault="00EE1CF5" w:rsidP="00EE1CF5">
      <w:pPr>
        <w:pStyle w:val="Caption"/>
        <w:keepNext/>
        <w:spacing w:after="0" w:line="240" w:lineRule="auto"/>
        <w:jc w:val="right"/>
        <w:rPr>
          <w:rFonts w:ascii="Times New Roman" w:hAnsi="Times New Roman"/>
          <w:b w:val="0"/>
          <w:i/>
          <w:sz w:val="26"/>
          <w:szCs w:val="26"/>
        </w:rPr>
      </w:pPr>
      <w:r w:rsidRPr="004A7D6F">
        <w:rPr>
          <w:rFonts w:ascii="Times New Roman" w:hAnsi="Times New Roman"/>
          <w:b w:val="0"/>
          <w:i/>
          <w:sz w:val="26"/>
          <w:szCs w:val="26"/>
        </w:rPr>
        <w:t>17.tabula</w:t>
      </w:r>
    </w:p>
    <w:p w14:paraId="0344B2F0" w14:textId="77777777" w:rsidR="00EE1CF5" w:rsidRPr="00E936FD" w:rsidRDefault="00EE1CF5" w:rsidP="00EE1CF5">
      <w:pPr>
        <w:pStyle w:val="Caption"/>
        <w:keepNext/>
        <w:keepLines/>
        <w:widowControl/>
        <w:jc w:val="center"/>
        <w:rPr>
          <w:rFonts w:ascii="Times New Roman" w:hAnsi="Times New Roman"/>
          <w:sz w:val="24"/>
          <w:szCs w:val="24"/>
        </w:rPr>
      </w:pPr>
      <w:r>
        <w:rPr>
          <w:rFonts w:ascii="Times New Roman" w:hAnsi="Times New Roman"/>
          <w:sz w:val="24"/>
          <w:szCs w:val="24"/>
        </w:rPr>
        <w:t>2</w:t>
      </w:r>
      <w:r w:rsidRPr="00E936FD">
        <w:rPr>
          <w:rFonts w:ascii="Times New Roman" w:hAnsi="Times New Roman"/>
          <w:sz w:val="24"/>
          <w:szCs w:val="24"/>
        </w:rPr>
        <w:t>. risinājuma ietekme uz valsts budžetu pēc Eiropas Nacionālo Kontu Sistēmas, EUR</w:t>
      </w:r>
    </w:p>
    <w:tbl>
      <w:tblPr>
        <w:tblW w:w="13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48"/>
        <w:gridCol w:w="1293"/>
        <w:gridCol w:w="1242"/>
        <w:gridCol w:w="1216"/>
        <w:gridCol w:w="1316"/>
        <w:gridCol w:w="1329"/>
        <w:gridCol w:w="1673"/>
      </w:tblGrid>
      <w:tr w:rsidR="00EE1CF5" w14:paraId="2CB19F50" w14:textId="77777777" w:rsidTr="00263AB1">
        <w:trPr>
          <w:trHeight w:val="288"/>
          <w:jc w:val="center"/>
        </w:trPr>
        <w:tc>
          <w:tcPr>
            <w:tcW w:w="3964" w:type="dxa"/>
            <w:shd w:val="clear" w:color="auto" w:fill="auto"/>
            <w:noWrap/>
            <w:vAlign w:val="bottom"/>
          </w:tcPr>
          <w:p w14:paraId="7D915B54" w14:textId="77777777" w:rsidR="00EE1CF5" w:rsidRPr="00E936FD" w:rsidRDefault="00EE1CF5" w:rsidP="00263AB1">
            <w:pPr>
              <w:ind w:firstLine="34"/>
              <w:jc w:val="center"/>
              <w:rPr>
                <w:rFonts w:cs="Times New Roman"/>
                <w:b/>
                <w:bCs/>
                <w:sz w:val="20"/>
                <w:szCs w:val="20"/>
              </w:rPr>
            </w:pPr>
          </w:p>
        </w:tc>
        <w:tc>
          <w:tcPr>
            <w:tcW w:w="2541" w:type="dxa"/>
            <w:gridSpan w:val="2"/>
          </w:tcPr>
          <w:p w14:paraId="4C69A3EC" w14:textId="77777777" w:rsidR="00EE1CF5" w:rsidRDefault="00EE1CF5" w:rsidP="00263AB1">
            <w:pPr>
              <w:ind w:firstLine="34"/>
              <w:jc w:val="center"/>
              <w:rPr>
                <w:b/>
                <w:bCs/>
                <w:color w:val="000000"/>
                <w:sz w:val="20"/>
                <w:szCs w:val="20"/>
              </w:rPr>
            </w:pPr>
            <w:r>
              <w:rPr>
                <w:b/>
                <w:bCs/>
                <w:color w:val="000000"/>
                <w:sz w:val="20"/>
                <w:szCs w:val="20"/>
              </w:rPr>
              <w:t>2018</w:t>
            </w:r>
          </w:p>
        </w:tc>
        <w:tc>
          <w:tcPr>
            <w:tcW w:w="2458" w:type="dxa"/>
            <w:gridSpan w:val="2"/>
            <w:shd w:val="clear" w:color="auto" w:fill="auto"/>
            <w:noWrap/>
            <w:vAlign w:val="center"/>
          </w:tcPr>
          <w:p w14:paraId="0BC26FA0" w14:textId="77777777" w:rsidR="00EE1CF5" w:rsidRDefault="00EE1CF5" w:rsidP="00263AB1">
            <w:pPr>
              <w:ind w:firstLine="34"/>
              <w:jc w:val="center"/>
              <w:rPr>
                <w:b/>
                <w:bCs/>
                <w:color w:val="000000"/>
                <w:sz w:val="20"/>
                <w:szCs w:val="20"/>
              </w:rPr>
            </w:pPr>
            <w:r>
              <w:rPr>
                <w:b/>
                <w:bCs/>
                <w:color w:val="000000"/>
                <w:sz w:val="20"/>
                <w:szCs w:val="20"/>
              </w:rPr>
              <w:t>2019</w:t>
            </w:r>
          </w:p>
        </w:tc>
        <w:tc>
          <w:tcPr>
            <w:tcW w:w="2645" w:type="dxa"/>
            <w:gridSpan w:val="2"/>
            <w:tcBorders>
              <w:top w:val="single" w:sz="4" w:space="0" w:color="auto"/>
            </w:tcBorders>
            <w:shd w:val="clear" w:color="auto" w:fill="auto"/>
            <w:noWrap/>
            <w:vAlign w:val="center"/>
          </w:tcPr>
          <w:p w14:paraId="3D410D44" w14:textId="77777777" w:rsidR="00EE1CF5" w:rsidRDefault="00EE1CF5" w:rsidP="00263AB1">
            <w:pPr>
              <w:jc w:val="center"/>
              <w:rPr>
                <w:b/>
                <w:bCs/>
                <w:color w:val="000000"/>
                <w:sz w:val="20"/>
                <w:szCs w:val="20"/>
              </w:rPr>
            </w:pPr>
            <w:r>
              <w:rPr>
                <w:b/>
                <w:bCs/>
                <w:color w:val="000000"/>
                <w:sz w:val="20"/>
                <w:szCs w:val="20"/>
              </w:rPr>
              <w:t>2020</w:t>
            </w:r>
          </w:p>
        </w:tc>
        <w:tc>
          <w:tcPr>
            <w:tcW w:w="1673" w:type="dxa"/>
            <w:tcBorders>
              <w:top w:val="single" w:sz="4" w:space="0" w:color="auto"/>
              <w:bottom w:val="single" w:sz="4" w:space="0" w:color="auto"/>
              <w:right w:val="single" w:sz="4" w:space="0" w:color="auto"/>
            </w:tcBorders>
            <w:shd w:val="clear" w:color="auto" w:fill="auto"/>
            <w:noWrap/>
            <w:vAlign w:val="center"/>
          </w:tcPr>
          <w:p w14:paraId="03A6AFC4" w14:textId="77777777" w:rsidR="00EE1CF5" w:rsidRDefault="00EE1CF5" w:rsidP="00263AB1">
            <w:pPr>
              <w:jc w:val="center"/>
              <w:rPr>
                <w:b/>
                <w:bCs/>
                <w:color w:val="000000"/>
                <w:sz w:val="20"/>
                <w:szCs w:val="20"/>
              </w:rPr>
            </w:pPr>
            <w:r>
              <w:rPr>
                <w:b/>
                <w:bCs/>
                <w:color w:val="000000"/>
                <w:sz w:val="20"/>
                <w:szCs w:val="20"/>
              </w:rPr>
              <w:t>2021</w:t>
            </w:r>
          </w:p>
        </w:tc>
      </w:tr>
      <w:tr w:rsidR="00EE1CF5" w14:paraId="68E75306" w14:textId="77777777" w:rsidTr="00263AB1">
        <w:trPr>
          <w:trHeight w:val="288"/>
          <w:jc w:val="center"/>
        </w:trPr>
        <w:tc>
          <w:tcPr>
            <w:tcW w:w="3964" w:type="dxa"/>
            <w:shd w:val="clear" w:color="auto" w:fill="auto"/>
            <w:noWrap/>
            <w:vAlign w:val="bottom"/>
          </w:tcPr>
          <w:p w14:paraId="353980E0" w14:textId="77777777" w:rsidR="00EE1CF5" w:rsidRPr="00E936FD" w:rsidRDefault="00EE1CF5" w:rsidP="00263AB1">
            <w:pPr>
              <w:ind w:firstLine="34"/>
              <w:jc w:val="center"/>
              <w:rPr>
                <w:rFonts w:cs="Times New Roman"/>
                <w:b/>
                <w:bCs/>
                <w:sz w:val="20"/>
                <w:szCs w:val="20"/>
              </w:rPr>
            </w:pPr>
          </w:p>
        </w:tc>
        <w:tc>
          <w:tcPr>
            <w:tcW w:w="1248" w:type="dxa"/>
          </w:tcPr>
          <w:p w14:paraId="7A11EFC8" w14:textId="77777777" w:rsidR="00EE1CF5" w:rsidRDefault="00EE1CF5" w:rsidP="00263AB1">
            <w:pPr>
              <w:ind w:firstLine="34"/>
              <w:jc w:val="center"/>
              <w:rPr>
                <w:b/>
                <w:bCs/>
                <w:color w:val="000000"/>
                <w:sz w:val="20"/>
                <w:szCs w:val="20"/>
              </w:rPr>
            </w:pPr>
            <w:r>
              <w:rPr>
                <w:b/>
                <w:bCs/>
                <w:color w:val="000000"/>
                <w:sz w:val="20"/>
                <w:szCs w:val="20"/>
              </w:rPr>
              <w:t>2017. gada prognoze</w:t>
            </w:r>
          </w:p>
        </w:tc>
        <w:tc>
          <w:tcPr>
            <w:tcW w:w="1293" w:type="dxa"/>
            <w:vAlign w:val="center"/>
          </w:tcPr>
          <w:p w14:paraId="1D28C6C4" w14:textId="77777777" w:rsidR="00EE1CF5" w:rsidRDefault="00EE1CF5" w:rsidP="00263AB1">
            <w:pPr>
              <w:ind w:firstLine="34"/>
              <w:jc w:val="center"/>
              <w:rPr>
                <w:b/>
                <w:bCs/>
                <w:color w:val="000000"/>
                <w:sz w:val="20"/>
                <w:szCs w:val="20"/>
              </w:rPr>
            </w:pPr>
            <w:r>
              <w:rPr>
                <w:b/>
                <w:bCs/>
                <w:color w:val="000000"/>
                <w:sz w:val="20"/>
                <w:szCs w:val="20"/>
              </w:rPr>
              <w:t>Prognoze</w:t>
            </w:r>
          </w:p>
        </w:tc>
        <w:tc>
          <w:tcPr>
            <w:tcW w:w="1242" w:type="dxa"/>
            <w:shd w:val="clear" w:color="auto" w:fill="auto"/>
            <w:noWrap/>
            <w:vAlign w:val="center"/>
          </w:tcPr>
          <w:p w14:paraId="405E1177" w14:textId="77777777" w:rsidR="00EE1CF5" w:rsidRDefault="00EE1CF5" w:rsidP="00263AB1">
            <w:pPr>
              <w:ind w:firstLine="34"/>
              <w:jc w:val="center"/>
              <w:rPr>
                <w:b/>
                <w:bCs/>
                <w:color w:val="000000"/>
                <w:sz w:val="20"/>
                <w:szCs w:val="20"/>
              </w:rPr>
            </w:pPr>
            <w:r>
              <w:rPr>
                <w:b/>
                <w:bCs/>
                <w:color w:val="000000"/>
                <w:sz w:val="20"/>
                <w:szCs w:val="20"/>
              </w:rPr>
              <w:t>2017. gada prognoze</w:t>
            </w:r>
          </w:p>
        </w:tc>
        <w:tc>
          <w:tcPr>
            <w:tcW w:w="1216" w:type="dxa"/>
            <w:vAlign w:val="center"/>
          </w:tcPr>
          <w:p w14:paraId="73D0C7E9"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316" w:type="dxa"/>
            <w:tcBorders>
              <w:top w:val="single" w:sz="4" w:space="0" w:color="auto"/>
            </w:tcBorders>
            <w:shd w:val="clear" w:color="auto" w:fill="auto"/>
            <w:noWrap/>
            <w:vAlign w:val="center"/>
          </w:tcPr>
          <w:p w14:paraId="2B923300" w14:textId="77777777" w:rsidR="00EE1CF5" w:rsidRPr="00E936FD" w:rsidRDefault="00EE1CF5" w:rsidP="00263AB1">
            <w:pPr>
              <w:ind w:firstLine="34"/>
              <w:jc w:val="center"/>
              <w:rPr>
                <w:b/>
                <w:bCs/>
                <w:color w:val="000000"/>
                <w:sz w:val="20"/>
                <w:szCs w:val="20"/>
              </w:rPr>
            </w:pPr>
            <w:r>
              <w:rPr>
                <w:b/>
                <w:bCs/>
                <w:color w:val="000000"/>
                <w:sz w:val="20"/>
                <w:szCs w:val="20"/>
              </w:rPr>
              <w:t>2017. gada prognoze</w:t>
            </w:r>
          </w:p>
        </w:tc>
        <w:tc>
          <w:tcPr>
            <w:tcW w:w="1329" w:type="dxa"/>
            <w:tcBorders>
              <w:top w:val="single" w:sz="4" w:space="0" w:color="auto"/>
            </w:tcBorders>
            <w:vAlign w:val="center"/>
          </w:tcPr>
          <w:p w14:paraId="22BB5C7F" w14:textId="77777777" w:rsidR="00EE1CF5" w:rsidRPr="00E936FD" w:rsidRDefault="00EE1CF5" w:rsidP="00263AB1">
            <w:pPr>
              <w:jc w:val="center"/>
              <w:rPr>
                <w:b/>
                <w:bCs/>
                <w:color w:val="000000"/>
                <w:sz w:val="20"/>
                <w:szCs w:val="20"/>
              </w:rPr>
            </w:pPr>
            <w:r>
              <w:rPr>
                <w:b/>
                <w:bCs/>
                <w:color w:val="000000"/>
                <w:sz w:val="20"/>
                <w:szCs w:val="20"/>
              </w:rPr>
              <w:t>Prognoze</w:t>
            </w:r>
          </w:p>
        </w:tc>
        <w:tc>
          <w:tcPr>
            <w:tcW w:w="1673" w:type="dxa"/>
            <w:tcBorders>
              <w:top w:val="single" w:sz="4" w:space="0" w:color="auto"/>
              <w:bottom w:val="single" w:sz="4" w:space="0" w:color="auto"/>
              <w:right w:val="single" w:sz="4" w:space="0" w:color="auto"/>
            </w:tcBorders>
            <w:shd w:val="clear" w:color="auto" w:fill="auto"/>
            <w:noWrap/>
            <w:vAlign w:val="center"/>
          </w:tcPr>
          <w:p w14:paraId="08D83148" w14:textId="77777777" w:rsidR="00EE1CF5" w:rsidRPr="00E936FD" w:rsidRDefault="00EE1CF5" w:rsidP="00263AB1">
            <w:pPr>
              <w:jc w:val="center"/>
              <w:rPr>
                <w:b/>
                <w:bCs/>
                <w:color w:val="000000"/>
                <w:sz w:val="20"/>
                <w:szCs w:val="20"/>
              </w:rPr>
            </w:pPr>
            <w:r>
              <w:rPr>
                <w:b/>
                <w:bCs/>
                <w:color w:val="000000"/>
                <w:sz w:val="20"/>
                <w:szCs w:val="20"/>
              </w:rPr>
              <w:t>Prognoze</w:t>
            </w:r>
          </w:p>
        </w:tc>
      </w:tr>
      <w:tr w:rsidR="00EE1CF5" w14:paraId="2BFD6B1A" w14:textId="77777777" w:rsidTr="00263AB1">
        <w:trPr>
          <w:trHeight w:val="288"/>
          <w:jc w:val="center"/>
        </w:trPr>
        <w:tc>
          <w:tcPr>
            <w:tcW w:w="3964" w:type="dxa"/>
            <w:shd w:val="clear" w:color="auto" w:fill="auto"/>
            <w:noWrap/>
            <w:vAlign w:val="bottom"/>
            <w:hideMark/>
          </w:tcPr>
          <w:p w14:paraId="0D68EC0B"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Valsts budžeta izdevumi</w:t>
            </w:r>
          </w:p>
        </w:tc>
        <w:tc>
          <w:tcPr>
            <w:tcW w:w="1248" w:type="dxa"/>
            <w:vAlign w:val="center"/>
          </w:tcPr>
          <w:p w14:paraId="0D3413D4" w14:textId="77777777" w:rsidR="00EE1CF5" w:rsidRDefault="00EE1CF5" w:rsidP="00263AB1">
            <w:pPr>
              <w:ind w:firstLine="34"/>
              <w:jc w:val="center"/>
              <w:rPr>
                <w:b/>
                <w:bCs/>
                <w:color w:val="000000"/>
                <w:sz w:val="20"/>
                <w:szCs w:val="20"/>
              </w:rPr>
            </w:pPr>
            <w:r>
              <w:rPr>
                <w:b/>
                <w:bCs/>
                <w:color w:val="000000"/>
                <w:sz w:val="20"/>
                <w:szCs w:val="20"/>
              </w:rPr>
              <w:t>48</w:t>
            </w:r>
            <w:r w:rsidRPr="00E936FD">
              <w:rPr>
                <w:b/>
                <w:bCs/>
                <w:color w:val="000000"/>
                <w:sz w:val="20"/>
                <w:szCs w:val="20"/>
              </w:rPr>
              <w:t xml:space="preserve"> 808</w:t>
            </w:r>
            <w:r>
              <w:rPr>
                <w:b/>
                <w:bCs/>
                <w:color w:val="000000"/>
                <w:sz w:val="20"/>
                <w:szCs w:val="20"/>
              </w:rPr>
              <w:t> </w:t>
            </w:r>
            <w:r w:rsidRPr="00E936FD">
              <w:rPr>
                <w:b/>
                <w:bCs/>
                <w:color w:val="000000"/>
                <w:sz w:val="20"/>
                <w:szCs w:val="20"/>
              </w:rPr>
              <w:t>711</w:t>
            </w:r>
          </w:p>
        </w:tc>
        <w:tc>
          <w:tcPr>
            <w:tcW w:w="1293" w:type="dxa"/>
            <w:vAlign w:val="center"/>
          </w:tcPr>
          <w:p w14:paraId="21E9577A" w14:textId="77777777" w:rsidR="00EE1CF5" w:rsidRDefault="00EE1CF5" w:rsidP="00263AB1">
            <w:pPr>
              <w:ind w:firstLine="34"/>
              <w:jc w:val="center"/>
              <w:rPr>
                <w:b/>
                <w:bCs/>
                <w:color w:val="000000"/>
                <w:sz w:val="20"/>
                <w:szCs w:val="20"/>
              </w:rPr>
            </w:pPr>
            <w:r w:rsidRPr="00A878B8">
              <w:rPr>
                <w:rFonts w:cs="Times New Roman"/>
                <w:b/>
                <w:bCs/>
                <w:color w:val="000000"/>
                <w:sz w:val="20"/>
                <w:szCs w:val="20"/>
              </w:rPr>
              <w:t>104 248 888</w:t>
            </w:r>
          </w:p>
        </w:tc>
        <w:tc>
          <w:tcPr>
            <w:tcW w:w="1242" w:type="dxa"/>
            <w:shd w:val="clear" w:color="auto" w:fill="auto"/>
            <w:noWrap/>
          </w:tcPr>
          <w:p w14:paraId="0FCDA449" w14:textId="77777777" w:rsidR="00EE1CF5" w:rsidRPr="00E936FD" w:rsidRDefault="00EE1CF5" w:rsidP="00263AB1">
            <w:pPr>
              <w:ind w:firstLine="34"/>
              <w:jc w:val="center"/>
              <w:rPr>
                <w:rFonts w:cs="Times New Roman"/>
                <w:b/>
                <w:bCs/>
                <w:color w:val="000000"/>
                <w:sz w:val="20"/>
                <w:szCs w:val="20"/>
              </w:rPr>
            </w:pPr>
            <w:r w:rsidRPr="003C508E">
              <w:rPr>
                <w:rFonts w:cs="Times New Roman"/>
                <w:b/>
                <w:bCs/>
                <w:color w:val="000000"/>
                <w:sz w:val="20"/>
                <w:szCs w:val="20"/>
              </w:rPr>
              <w:t>49 406 416</w:t>
            </w:r>
          </w:p>
        </w:tc>
        <w:tc>
          <w:tcPr>
            <w:tcW w:w="1216" w:type="dxa"/>
          </w:tcPr>
          <w:p w14:paraId="5F244A80" w14:textId="77777777" w:rsidR="00EE1CF5" w:rsidRPr="00311AC4" w:rsidRDefault="00EE1CF5" w:rsidP="00263AB1">
            <w:pPr>
              <w:jc w:val="center"/>
              <w:rPr>
                <w:b/>
                <w:bCs/>
                <w:color w:val="000000"/>
                <w:sz w:val="20"/>
                <w:szCs w:val="20"/>
              </w:rPr>
            </w:pPr>
            <w:r>
              <w:rPr>
                <w:b/>
                <w:bCs/>
                <w:color w:val="000000"/>
                <w:sz w:val="20"/>
                <w:szCs w:val="20"/>
              </w:rPr>
              <w:t>100 770 221</w:t>
            </w:r>
          </w:p>
        </w:tc>
        <w:tc>
          <w:tcPr>
            <w:tcW w:w="1316" w:type="dxa"/>
            <w:tcBorders>
              <w:top w:val="single" w:sz="4" w:space="0" w:color="auto"/>
            </w:tcBorders>
            <w:shd w:val="clear" w:color="auto" w:fill="auto"/>
            <w:noWrap/>
          </w:tcPr>
          <w:p w14:paraId="0E4B035E" w14:textId="77777777" w:rsidR="00EE1CF5" w:rsidRPr="003C508E" w:rsidRDefault="00EE1CF5" w:rsidP="00263AB1">
            <w:pPr>
              <w:ind w:firstLine="34"/>
              <w:jc w:val="center"/>
              <w:rPr>
                <w:rFonts w:cs="Times New Roman"/>
                <w:b/>
                <w:bCs/>
                <w:color w:val="000000"/>
                <w:sz w:val="20"/>
                <w:szCs w:val="20"/>
              </w:rPr>
            </w:pPr>
            <w:r w:rsidRPr="003C508E">
              <w:rPr>
                <w:rFonts w:cs="Times New Roman"/>
                <w:b/>
                <w:bCs/>
                <w:color w:val="000000"/>
                <w:sz w:val="20"/>
                <w:szCs w:val="20"/>
              </w:rPr>
              <w:t>58 684 672</w:t>
            </w:r>
          </w:p>
        </w:tc>
        <w:tc>
          <w:tcPr>
            <w:tcW w:w="1329" w:type="dxa"/>
            <w:tcBorders>
              <w:top w:val="single" w:sz="4" w:space="0" w:color="auto"/>
            </w:tcBorders>
            <w:vAlign w:val="center"/>
          </w:tcPr>
          <w:p w14:paraId="6ECCF214" w14:textId="77777777" w:rsidR="00EE1CF5" w:rsidRPr="00A77CE0" w:rsidRDefault="00EE1CF5" w:rsidP="00263AB1">
            <w:pPr>
              <w:ind w:firstLine="34"/>
              <w:jc w:val="center"/>
              <w:rPr>
                <w:rFonts w:cs="Times New Roman"/>
                <w:b/>
                <w:bCs/>
                <w:color w:val="000000"/>
                <w:sz w:val="20"/>
                <w:szCs w:val="20"/>
                <w:highlight w:val="yellow"/>
              </w:rPr>
            </w:pPr>
            <w:r>
              <w:rPr>
                <w:b/>
                <w:bCs/>
                <w:color w:val="000000"/>
                <w:sz w:val="20"/>
                <w:szCs w:val="20"/>
              </w:rPr>
              <w:t>70 670 221</w:t>
            </w:r>
          </w:p>
        </w:tc>
        <w:tc>
          <w:tcPr>
            <w:tcW w:w="1673" w:type="dxa"/>
            <w:tcBorders>
              <w:top w:val="single" w:sz="4" w:space="0" w:color="auto"/>
              <w:bottom w:val="single" w:sz="4" w:space="0" w:color="auto"/>
              <w:right w:val="single" w:sz="4" w:space="0" w:color="auto"/>
            </w:tcBorders>
            <w:shd w:val="clear" w:color="auto" w:fill="auto"/>
            <w:noWrap/>
            <w:vAlign w:val="center"/>
          </w:tcPr>
          <w:p w14:paraId="476FEDAA" w14:textId="77777777" w:rsidR="00EE1CF5" w:rsidRPr="0000077A" w:rsidRDefault="00EE1CF5" w:rsidP="00263AB1">
            <w:pPr>
              <w:ind w:firstLine="34"/>
              <w:jc w:val="center"/>
              <w:rPr>
                <w:rFonts w:cs="Times New Roman"/>
                <w:b/>
                <w:bCs/>
                <w:color w:val="000000"/>
                <w:sz w:val="20"/>
                <w:szCs w:val="20"/>
              </w:rPr>
            </w:pPr>
            <w:r>
              <w:rPr>
                <w:b/>
                <w:bCs/>
                <w:color w:val="000000"/>
                <w:sz w:val="20"/>
                <w:szCs w:val="20"/>
              </w:rPr>
              <w:t>44 940 221</w:t>
            </w:r>
          </w:p>
        </w:tc>
      </w:tr>
      <w:tr w:rsidR="00EE1CF5" w14:paraId="027E39E1" w14:textId="77777777" w:rsidTr="00263AB1">
        <w:trPr>
          <w:trHeight w:val="288"/>
          <w:jc w:val="center"/>
        </w:trPr>
        <w:tc>
          <w:tcPr>
            <w:tcW w:w="3964" w:type="dxa"/>
            <w:shd w:val="clear" w:color="auto" w:fill="auto"/>
            <w:noWrap/>
            <w:vAlign w:val="bottom"/>
          </w:tcPr>
          <w:p w14:paraId="34027DD7" w14:textId="77777777" w:rsidR="00EE1CF5" w:rsidRPr="00E936FD" w:rsidRDefault="00EE1CF5" w:rsidP="00263AB1">
            <w:pPr>
              <w:rPr>
                <w:rFonts w:cs="Times New Roman"/>
                <w:sz w:val="20"/>
                <w:szCs w:val="20"/>
              </w:rPr>
            </w:pPr>
            <w:r w:rsidRPr="00E936FD">
              <w:rPr>
                <w:rFonts w:cs="Times New Roman"/>
                <w:sz w:val="20"/>
                <w:szCs w:val="20"/>
              </w:rPr>
              <w:t>OIK dotācija, t.sk. administrēšanas vajadzībām (Ietekme)</w:t>
            </w:r>
          </w:p>
        </w:tc>
        <w:tc>
          <w:tcPr>
            <w:tcW w:w="1248" w:type="dxa"/>
            <w:vAlign w:val="center"/>
          </w:tcPr>
          <w:p w14:paraId="5EA28030" w14:textId="77777777" w:rsidR="00EE1CF5" w:rsidRDefault="00EE1CF5" w:rsidP="00263AB1">
            <w:pPr>
              <w:ind w:firstLine="34"/>
              <w:jc w:val="center"/>
              <w:rPr>
                <w:color w:val="000000" w:themeColor="text1"/>
                <w:sz w:val="20"/>
                <w:szCs w:val="20"/>
              </w:rPr>
            </w:pPr>
            <w:r>
              <w:rPr>
                <w:color w:val="000000" w:themeColor="text1"/>
                <w:sz w:val="20"/>
                <w:szCs w:val="20"/>
              </w:rPr>
              <w:t>9</w:t>
            </w:r>
            <w:r w:rsidRPr="00E936FD">
              <w:rPr>
                <w:color w:val="000000" w:themeColor="text1"/>
                <w:sz w:val="20"/>
                <w:szCs w:val="20"/>
              </w:rPr>
              <w:t xml:space="preserve"> 085 684</w:t>
            </w:r>
          </w:p>
        </w:tc>
        <w:tc>
          <w:tcPr>
            <w:tcW w:w="1293" w:type="dxa"/>
            <w:vAlign w:val="center"/>
          </w:tcPr>
          <w:p w14:paraId="1B1C9E89" w14:textId="77777777" w:rsidR="00EE1CF5" w:rsidRDefault="00EE1CF5" w:rsidP="00263AB1">
            <w:pPr>
              <w:ind w:firstLine="34"/>
              <w:jc w:val="center"/>
              <w:rPr>
                <w:color w:val="000000" w:themeColor="text1"/>
                <w:sz w:val="20"/>
                <w:szCs w:val="20"/>
              </w:rPr>
            </w:pPr>
            <w:r w:rsidRPr="00277951">
              <w:rPr>
                <w:rFonts w:cs="Times New Roman"/>
                <w:color w:val="000000"/>
                <w:sz w:val="20"/>
                <w:szCs w:val="20"/>
              </w:rPr>
              <w:t>8 463 215</w:t>
            </w:r>
          </w:p>
        </w:tc>
        <w:tc>
          <w:tcPr>
            <w:tcW w:w="1242" w:type="dxa"/>
            <w:shd w:val="clear" w:color="auto" w:fill="auto"/>
            <w:noWrap/>
            <w:vAlign w:val="center"/>
          </w:tcPr>
          <w:p w14:paraId="33FAB33B" w14:textId="77777777" w:rsidR="00EE1CF5" w:rsidRPr="00E936FD" w:rsidRDefault="00EE1CF5" w:rsidP="00263AB1">
            <w:pPr>
              <w:ind w:firstLine="34"/>
              <w:jc w:val="center"/>
              <w:rPr>
                <w:rFonts w:cs="Times New Roman"/>
                <w:color w:val="000000" w:themeColor="text1"/>
                <w:sz w:val="20"/>
                <w:szCs w:val="20"/>
              </w:rPr>
            </w:pPr>
            <w:r>
              <w:rPr>
                <w:color w:val="000000" w:themeColor="text1"/>
                <w:sz w:val="20"/>
                <w:szCs w:val="20"/>
              </w:rPr>
              <w:t>9</w:t>
            </w:r>
            <w:r w:rsidRPr="00E936FD">
              <w:rPr>
                <w:color w:val="000000" w:themeColor="text1"/>
                <w:sz w:val="20"/>
                <w:szCs w:val="20"/>
              </w:rPr>
              <w:t xml:space="preserve"> 683 389</w:t>
            </w:r>
          </w:p>
        </w:tc>
        <w:tc>
          <w:tcPr>
            <w:tcW w:w="1216" w:type="dxa"/>
            <w:vAlign w:val="center"/>
          </w:tcPr>
          <w:p w14:paraId="33BAA085" w14:textId="77777777" w:rsidR="00EE1CF5" w:rsidRPr="00A878B8" w:rsidRDefault="00EE1CF5" w:rsidP="00263AB1">
            <w:pPr>
              <w:ind w:firstLine="34"/>
              <w:jc w:val="center"/>
              <w:rPr>
                <w:color w:val="000000" w:themeColor="text1"/>
                <w:sz w:val="20"/>
                <w:szCs w:val="20"/>
              </w:rPr>
            </w:pPr>
            <w:r w:rsidRPr="00A878B8">
              <w:rPr>
                <w:color w:val="000000" w:themeColor="text1"/>
                <w:sz w:val="20"/>
                <w:szCs w:val="20"/>
              </w:rPr>
              <w:t>61 063 215</w:t>
            </w:r>
          </w:p>
        </w:tc>
        <w:tc>
          <w:tcPr>
            <w:tcW w:w="1316" w:type="dxa"/>
            <w:shd w:val="clear" w:color="auto" w:fill="auto"/>
            <w:noWrap/>
            <w:vAlign w:val="center"/>
          </w:tcPr>
          <w:p w14:paraId="19ACF01A" w14:textId="77777777" w:rsidR="00EE1CF5" w:rsidRPr="00E936FD" w:rsidRDefault="00EE1CF5" w:rsidP="00263AB1">
            <w:pPr>
              <w:ind w:firstLine="34"/>
              <w:jc w:val="center"/>
              <w:rPr>
                <w:rFonts w:cs="Times New Roman"/>
                <w:color w:val="000000" w:themeColor="text1"/>
                <w:sz w:val="20"/>
                <w:szCs w:val="20"/>
              </w:rPr>
            </w:pPr>
            <w:r w:rsidRPr="00E936FD">
              <w:rPr>
                <w:color w:val="000000" w:themeColor="text1"/>
                <w:sz w:val="20"/>
                <w:szCs w:val="20"/>
              </w:rPr>
              <w:t>18 961 646</w:t>
            </w:r>
          </w:p>
        </w:tc>
        <w:tc>
          <w:tcPr>
            <w:tcW w:w="1329" w:type="dxa"/>
            <w:vAlign w:val="center"/>
          </w:tcPr>
          <w:p w14:paraId="1A83CA7F" w14:textId="77777777" w:rsidR="00EE1CF5" w:rsidRPr="00C5391F" w:rsidRDefault="00EE1CF5" w:rsidP="00263AB1">
            <w:pPr>
              <w:ind w:firstLine="34"/>
              <w:jc w:val="center"/>
              <w:rPr>
                <w:color w:val="000000" w:themeColor="text1"/>
                <w:sz w:val="20"/>
                <w:szCs w:val="20"/>
              </w:rPr>
            </w:pPr>
            <w:r w:rsidRPr="00C5391F">
              <w:rPr>
                <w:color w:val="000000"/>
                <w:sz w:val="20"/>
                <w:szCs w:val="20"/>
              </w:rPr>
              <w:t>30963215</w:t>
            </w:r>
          </w:p>
        </w:tc>
        <w:tc>
          <w:tcPr>
            <w:tcW w:w="1673" w:type="dxa"/>
            <w:shd w:val="clear" w:color="auto" w:fill="auto"/>
            <w:noWrap/>
            <w:vAlign w:val="center"/>
          </w:tcPr>
          <w:p w14:paraId="4CFC34B1" w14:textId="77777777" w:rsidR="00EE1CF5" w:rsidRPr="0000077A" w:rsidRDefault="00EE1CF5" w:rsidP="00263AB1">
            <w:pPr>
              <w:ind w:firstLine="34"/>
              <w:jc w:val="center"/>
              <w:rPr>
                <w:rFonts w:cs="Times New Roman"/>
                <w:color w:val="000000" w:themeColor="text1"/>
                <w:sz w:val="20"/>
                <w:szCs w:val="20"/>
              </w:rPr>
            </w:pPr>
            <w:r w:rsidRPr="0000077A">
              <w:rPr>
                <w:rFonts w:cs="Times New Roman"/>
                <w:color w:val="000000" w:themeColor="text1"/>
                <w:sz w:val="20"/>
                <w:szCs w:val="20"/>
              </w:rPr>
              <w:t>5 233 215</w:t>
            </w:r>
          </w:p>
        </w:tc>
      </w:tr>
      <w:tr w:rsidR="00EE1CF5" w14:paraId="5408FC8A" w14:textId="77777777" w:rsidTr="00263AB1">
        <w:trPr>
          <w:trHeight w:val="288"/>
          <w:jc w:val="center"/>
        </w:trPr>
        <w:tc>
          <w:tcPr>
            <w:tcW w:w="3964" w:type="dxa"/>
            <w:shd w:val="clear" w:color="auto" w:fill="auto"/>
            <w:noWrap/>
            <w:vAlign w:val="bottom"/>
            <w:hideMark/>
          </w:tcPr>
          <w:p w14:paraId="3F7F1C78" w14:textId="77777777" w:rsidR="00EE1CF5" w:rsidRPr="00E936FD" w:rsidRDefault="00EE1CF5" w:rsidP="00263AB1">
            <w:pPr>
              <w:ind w:firstLine="34"/>
              <w:rPr>
                <w:rFonts w:cs="Times New Roman"/>
                <w:sz w:val="20"/>
                <w:szCs w:val="20"/>
              </w:rPr>
            </w:pPr>
            <w:r w:rsidRPr="00E936FD">
              <w:rPr>
                <w:rFonts w:cs="Times New Roman"/>
                <w:sz w:val="20"/>
                <w:szCs w:val="20"/>
              </w:rPr>
              <w:t>OIK dotācija energoietilpīgo uzņēmumu atbalstam</w:t>
            </w:r>
          </w:p>
        </w:tc>
        <w:tc>
          <w:tcPr>
            <w:tcW w:w="1248" w:type="dxa"/>
            <w:vAlign w:val="center"/>
          </w:tcPr>
          <w:p w14:paraId="0A73F620" w14:textId="77777777" w:rsidR="00EE1CF5" w:rsidRPr="00E936FD" w:rsidRDefault="00EE1CF5" w:rsidP="00263AB1">
            <w:pPr>
              <w:ind w:firstLine="34"/>
              <w:jc w:val="center"/>
              <w:rPr>
                <w:color w:val="000000"/>
                <w:sz w:val="20"/>
                <w:szCs w:val="20"/>
              </w:rPr>
            </w:pPr>
            <w:r w:rsidRPr="00E936FD">
              <w:rPr>
                <w:color w:val="000000"/>
                <w:sz w:val="20"/>
                <w:szCs w:val="20"/>
              </w:rPr>
              <w:t>3 370 000</w:t>
            </w:r>
          </w:p>
        </w:tc>
        <w:tc>
          <w:tcPr>
            <w:tcW w:w="1293" w:type="dxa"/>
            <w:vAlign w:val="center"/>
          </w:tcPr>
          <w:p w14:paraId="1DB5DB88" w14:textId="77777777" w:rsidR="00EE1CF5" w:rsidRPr="00E936FD" w:rsidRDefault="00EE1CF5" w:rsidP="00263AB1">
            <w:pPr>
              <w:ind w:firstLine="34"/>
              <w:jc w:val="center"/>
              <w:rPr>
                <w:color w:val="000000"/>
                <w:sz w:val="20"/>
                <w:szCs w:val="20"/>
              </w:rPr>
            </w:pPr>
            <w:r w:rsidRPr="00A878B8">
              <w:rPr>
                <w:rFonts w:cs="Times New Roman"/>
                <w:color w:val="000000"/>
                <w:sz w:val="20"/>
                <w:szCs w:val="20"/>
              </w:rPr>
              <w:t>7 000 000</w:t>
            </w:r>
          </w:p>
        </w:tc>
        <w:tc>
          <w:tcPr>
            <w:tcW w:w="1242" w:type="dxa"/>
            <w:shd w:val="clear" w:color="auto" w:fill="auto"/>
            <w:noWrap/>
            <w:vAlign w:val="center"/>
          </w:tcPr>
          <w:p w14:paraId="64B3A2D5" w14:textId="77777777" w:rsidR="00EE1CF5" w:rsidRPr="00E936FD" w:rsidRDefault="00EE1CF5" w:rsidP="00263AB1">
            <w:pPr>
              <w:ind w:firstLine="34"/>
              <w:jc w:val="center"/>
              <w:rPr>
                <w:rFonts w:cs="Times New Roman"/>
                <w:sz w:val="20"/>
                <w:szCs w:val="20"/>
              </w:rPr>
            </w:pPr>
            <w:r w:rsidRPr="00E936FD">
              <w:rPr>
                <w:color w:val="000000"/>
                <w:sz w:val="20"/>
                <w:szCs w:val="20"/>
              </w:rPr>
              <w:t>3 370 000</w:t>
            </w:r>
          </w:p>
        </w:tc>
        <w:tc>
          <w:tcPr>
            <w:tcW w:w="1216" w:type="dxa"/>
            <w:vAlign w:val="center"/>
          </w:tcPr>
          <w:p w14:paraId="5A7AA895" w14:textId="77777777" w:rsidR="00EE1CF5" w:rsidRPr="00A878B8" w:rsidRDefault="00EE1CF5" w:rsidP="00263AB1">
            <w:pPr>
              <w:ind w:firstLine="34"/>
              <w:jc w:val="center"/>
              <w:rPr>
                <w:color w:val="000000"/>
                <w:sz w:val="20"/>
                <w:szCs w:val="20"/>
              </w:rPr>
            </w:pPr>
            <w:r w:rsidRPr="00A878B8">
              <w:rPr>
                <w:color w:val="000000"/>
                <w:sz w:val="20"/>
                <w:szCs w:val="20"/>
              </w:rPr>
              <w:t>7 000 000</w:t>
            </w:r>
          </w:p>
        </w:tc>
        <w:tc>
          <w:tcPr>
            <w:tcW w:w="1316" w:type="dxa"/>
            <w:shd w:val="clear" w:color="auto" w:fill="auto"/>
            <w:noWrap/>
            <w:vAlign w:val="center"/>
          </w:tcPr>
          <w:p w14:paraId="2EA248DA" w14:textId="77777777" w:rsidR="00EE1CF5" w:rsidRPr="00E936FD" w:rsidRDefault="00EE1CF5" w:rsidP="00263AB1">
            <w:pPr>
              <w:ind w:firstLine="34"/>
              <w:jc w:val="center"/>
              <w:rPr>
                <w:rFonts w:cs="Times New Roman"/>
                <w:sz w:val="20"/>
                <w:szCs w:val="20"/>
              </w:rPr>
            </w:pPr>
            <w:r w:rsidRPr="00E936FD">
              <w:rPr>
                <w:color w:val="000000"/>
                <w:sz w:val="20"/>
                <w:szCs w:val="20"/>
              </w:rPr>
              <w:t>3 370 000</w:t>
            </w:r>
          </w:p>
        </w:tc>
        <w:tc>
          <w:tcPr>
            <w:tcW w:w="1329" w:type="dxa"/>
            <w:vAlign w:val="center"/>
          </w:tcPr>
          <w:p w14:paraId="22D19C2D" w14:textId="77777777" w:rsidR="00EE1CF5" w:rsidRPr="00C5391F" w:rsidRDefault="00EE1CF5" w:rsidP="00263AB1">
            <w:pPr>
              <w:ind w:firstLine="34"/>
              <w:jc w:val="center"/>
              <w:rPr>
                <w:color w:val="000000"/>
                <w:sz w:val="20"/>
                <w:szCs w:val="20"/>
              </w:rPr>
            </w:pPr>
            <w:r w:rsidRPr="00C5391F">
              <w:rPr>
                <w:color w:val="000000"/>
                <w:sz w:val="20"/>
                <w:szCs w:val="20"/>
              </w:rPr>
              <w:t>7 000 000</w:t>
            </w:r>
          </w:p>
        </w:tc>
        <w:tc>
          <w:tcPr>
            <w:tcW w:w="1673" w:type="dxa"/>
            <w:tcBorders>
              <w:right w:val="single" w:sz="4" w:space="0" w:color="auto"/>
            </w:tcBorders>
            <w:shd w:val="clear" w:color="auto" w:fill="auto"/>
            <w:noWrap/>
            <w:vAlign w:val="center"/>
          </w:tcPr>
          <w:p w14:paraId="5E61410A" w14:textId="77777777" w:rsidR="00EE1CF5" w:rsidRPr="0000077A" w:rsidRDefault="00EE1CF5" w:rsidP="00263AB1">
            <w:pPr>
              <w:ind w:firstLine="34"/>
              <w:jc w:val="center"/>
              <w:rPr>
                <w:rFonts w:cs="Times New Roman"/>
                <w:sz w:val="20"/>
                <w:szCs w:val="20"/>
              </w:rPr>
            </w:pPr>
            <w:r w:rsidRPr="0000077A">
              <w:rPr>
                <w:color w:val="000000"/>
                <w:sz w:val="20"/>
                <w:szCs w:val="20"/>
              </w:rPr>
              <w:t>7 000 000</w:t>
            </w:r>
          </w:p>
        </w:tc>
      </w:tr>
      <w:tr w:rsidR="00EE1CF5" w14:paraId="3A7EB8BA" w14:textId="77777777" w:rsidTr="00263AB1">
        <w:trPr>
          <w:trHeight w:val="201"/>
          <w:jc w:val="center"/>
        </w:trPr>
        <w:tc>
          <w:tcPr>
            <w:tcW w:w="3964" w:type="dxa"/>
            <w:shd w:val="clear" w:color="auto" w:fill="auto"/>
            <w:vAlign w:val="center"/>
          </w:tcPr>
          <w:p w14:paraId="77CD2727" w14:textId="77777777" w:rsidR="00EE1CF5" w:rsidRPr="00E936FD" w:rsidRDefault="00EE1CF5" w:rsidP="00263AB1">
            <w:pPr>
              <w:ind w:firstLine="34"/>
              <w:rPr>
                <w:rFonts w:eastAsia="Times New Roman"/>
                <w:color w:val="000000"/>
                <w:sz w:val="20"/>
                <w:szCs w:val="20"/>
              </w:rPr>
            </w:pPr>
            <w:r w:rsidRPr="00E936FD">
              <w:rPr>
                <w:rFonts w:cs="Times New Roman"/>
                <w:sz w:val="20"/>
                <w:szCs w:val="20"/>
              </w:rPr>
              <w:t>Avansa maksājums jaudas maksājuma kompensācijai</w:t>
            </w:r>
          </w:p>
        </w:tc>
        <w:tc>
          <w:tcPr>
            <w:tcW w:w="1248" w:type="dxa"/>
            <w:vAlign w:val="center"/>
          </w:tcPr>
          <w:p w14:paraId="1463E806" w14:textId="77777777" w:rsidR="00EE1CF5" w:rsidRPr="00E936FD" w:rsidRDefault="00EE1CF5" w:rsidP="00263AB1">
            <w:pPr>
              <w:ind w:firstLine="34"/>
              <w:jc w:val="center"/>
              <w:rPr>
                <w:color w:val="000000"/>
                <w:sz w:val="20"/>
                <w:szCs w:val="20"/>
              </w:rPr>
            </w:pPr>
            <w:r w:rsidRPr="00E936FD">
              <w:rPr>
                <w:color w:val="000000"/>
                <w:sz w:val="20"/>
                <w:szCs w:val="20"/>
              </w:rPr>
              <w:t>28 570 909</w:t>
            </w:r>
          </w:p>
        </w:tc>
        <w:tc>
          <w:tcPr>
            <w:tcW w:w="1293" w:type="dxa"/>
            <w:vAlign w:val="center"/>
          </w:tcPr>
          <w:p w14:paraId="57C8F489" w14:textId="77777777" w:rsidR="00EE1CF5" w:rsidRPr="00E936FD" w:rsidRDefault="00EE1CF5" w:rsidP="00263AB1">
            <w:pPr>
              <w:ind w:firstLine="34"/>
              <w:jc w:val="center"/>
              <w:rPr>
                <w:color w:val="000000"/>
                <w:sz w:val="20"/>
                <w:szCs w:val="20"/>
              </w:rPr>
            </w:pPr>
            <w:r w:rsidRPr="00A878B8">
              <w:rPr>
                <w:rFonts w:cs="Times New Roman"/>
                <w:color w:val="000000"/>
                <w:sz w:val="20"/>
                <w:szCs w:val="20"/>
              </w:rPr>
              <w:t>81 003 556</w:t>
            </w:r>
          </w:p>
        </w:tc>
        <w:tc>
          <w:tcPr>
            <w:tcW w:w="1242" w:type="dxa"/>
            <w:shd w:val="clear" w:color="auto" w:fill="auto"/>
            <w:noWrap/>
            <w:vAlign w:val="center"/>
          </w:tcPr>
          <w:p w14:paraId="535A1B1D" w14:textId="77777777" w:rsidR="00EE1CF5" w:rsidRPr="00E936FD" w:rsidRDefault="00EE1CF5" w:rsidP="00263AB1">
            <w:pPr>
              <w:ind w:firstLine="34"/>
              <w:jc w:val="center"/>
              <w:rPr>
                <w:rFonts w:cs="Times New Roman"/>
                <w:sz w:val="20"/>
                <w:szCs w:val="20"/>
              </w:rPr>
            </w:pPr>
            <w:r w:rsidRPr="00E936FD">
              <w:rPr>
                <w:color w:val="000000"/>
                <w:sz w:val="20"/>
                <w:szCs w:val="20"/>
              </w:rPr>
              <w:t>28 570 909</w:t>
            </w:r>
          </w:p>
        </w:tc>
        <w:tc>
          <w:tcPr>
            <w:tcW w:w="1216" w:type="dxa"/>
            <w:vAlign w:val="center"/>
          </w:tcPr>
          <w:p w14:paraId="42CEFE3A" w14:textId="77777777" w:rsidR="00EE1CF5" w:rsidRPr="00A878B8" w:rsidRDefault="00EE1CF5" w:rsidP="00263AB1">
            <w:pPr>
              <w:ind w:firstLine="34"/>
              <w:jc w:val="center"/>
              <w:rPr>
                <w:color w:val="000000"/>
                <w:sz w:val="20"/>
                <w:szCs w:val="20"/>
              </w:rPr>
            </w:pPr>
            <w:r w:rsidRPr="00A878B8">
              <w:rPr>
                <w:color w:val="000000"/>
                <w:sz w:val="20"/>
                <w:szCs w:val="20"/>
              </w:rPr>
              <w:t>24 000 992</w:t>
            </w:r>
          </w:p>
        </w:tc>
        <w:tc>
          <w:tcPr>
            <w:tcW w:w="1316" w:type="dxa"/>
            <w:shd w:val="clear" w:color="auto" w:fill="auto"/>
            <w:noWrap/>
            <w:vAlign w:val="center"/>
          </w:tcPr>
          <w:p w14:paraId="19FBD6FB" w14:textId="77777777" w:rsidR="00EE1CF5" w:rsidRPr="00E936FD" w:rsidRDefault="00EE1CF5" w:rsidP="00263AB1">
            <w:pPr>
              <w:ind w:firstLine="34"/>
              <w:jc w:val="center"/>
              <w:rPr>
                <w:rFonts w:cs="Times New Roman"/>
                <w:sz w:val="20"/>
                <w:szCs w:val="20"/>
              </w:rPr>
            </w:pPr>
            <w:r w:rsidRPr="00E936FD">
              <w:rPr>
                <w:color w:val="000000"/>
                <w:sz w:val="20"/>
                <w:szCs w:val="20"/>
              </w:rPr>
              <w:t>28 570 909</w:t>
            </w:r>
          </w:p>
        </w:tc>
        <w:tc>
          <w:tcPr>
            <w:tcW w:w="1329" w:type="dxa"/>
            <w:vAlign w:val="center"/>
          </w:tcPr>
          <w:p w14:paraId="6D7321D7" w14:textId="77777777" w:rsidR="00EE1CF5" w:rsidRPr="00C5391F" w:rsidRDefault="00EE1CF5" w:rsidP="00263AB1">
            <w:pPr>
              <w:ind w:firstLine="34"/>
              <w:jc w:val="center"/>
              <w:rPr>
                <w:color w:val="000000"/>
                <w:sz w:val="20"/>
                <w:szCs w:val="20"/>
              </w:rPr>
            </w:pPr>
            <w:r w:rsidRPr="00C5391F">
              <w:rPr>
                <w:color w:val="000000"/>
                <w:sz w:val="20"/>
                <w:szCs w:val="20"/>
              </w:rPr>
              <w:t>24 000 992</w:t>
            </w:r>
          </w:p>
        </w:tc>
        <w:tc>
          <w:tcPr>
            <w:tcW w:w="1673" w:type="dxa"/>
            <w:tcBorders>
              <w:right w:val="single" w:sz="4" w:space="0" w:color="auto"/>
            </w:tcBorders>
            <w:shd w:val="clear" w:color="auto" w:fill="auto"/>
            <w:noWrap/>
            <w:vAlign w:val="center"/>
          </w:tcPr>
          <w:p w14:paraId="74E619F5" w14:textId="77777777" w:rsidR="00EE1CF5" w:rsidRPr="0000077A" w:rsidRDefault="00EE1CF5" w:rsidP="00263AB1">
            <w:pPr>
              <w:ind w:firstLine="34"/>
              <w:jc w:val="center"/>
              <w:rPr>
                <w:rFonts w:cs="Times New Roman"/>
                <w:sz w:val="20"/>
                <w:szCs w:val="20"/>
              </w:rPr>
            </w:pPr>
            <w:r w:rsidRPr="0000077A">
              <w:rPr>
                <w:color w:val="000000"/>
                <w:sz w:val="20"/>
                <w:szCs w:val="20"/>
              </w:rPr>
              <w:t>24 000 992</w:t>
            </w:r>
          </w:p>
        </w:tc>
      </w:tr>
      <w:tr w:rsidR="00EE1CF5" w14:paraId="6F6FD3BF" w14:textId="77777777" w:rsidTr="00263AB1">
        <w:trPr>
          <w:trHeight w:val="201"/>
          <w:jc w:val="center"/>
        </w:trPr>
        <w:tc>
          <w:tcPr>
            <w:tcW w:w="3964" w:type="dxa"/>
            <w:shd w:val="clear" w:color="auto" w:fill="auto"/>
            <w:vAlign w:val="center"/>
            <w:hideMark/>
          </w:tcPr>
          <w:p w14:paraId="2A8180A1" w14:textId="77777777" w:rsidR="00EE1CF5" w:rsidRPr="00A878B8" w:rsidRDefault="00EE1CF5" w:rsidP="00263AB1">
            <w:pPr>
              <w:ind w:firstLine="34"/>
              <w:jc w:val="left"/>
              <w:rPr>
                <w:rFonts w:cs="Times New Roman"/>
                <w:sz w:val="20"/>
                <w:szCs w:val="20"/>
              </w:rPr>
            </w:pPr>
            <w:r w:rsidRPr="00A878B8">
              <w:rPr>
                <w:rFonts w:cs="Times New Roman"/>
                <w:sz w:val="20"/>
                <w:szCs w:val="20"/>
              </w:rPr>
              <w:t>Aizsargātie lietotāji</w:t>
            </w:r>
          </w:p>
        </w:tc>
        <w:tc>
          <w:tcPr>
            <w:tcW w:w="1248" w:type="dxa"/>
            <w:vAlign w:val="center"/>
          </w:tcPr>
          <w:p w14:paraId="453057C9" w14:textId="77777777" w:rsidR="00EE1CF5" w:rsidRPr="00A878B8" w:rsidRDefault="00EE1CF5" w:rsidP="00263AB1">
            <w:pPr>
              <w:ind w:firstLine="34"/>
              <w:jc w:val="center"/>
              <w:rPr>
                <w:color w:val="000000"/>
                <w:sz w:val="20"/>
                <w:szCs w:val="20"/>
              </w:rPr>
            </w:pPr>
            <w:r w:rsidRPr="00A878B8">
              <w:rPr>
                <w:color w:val="000000"/>
                <w:sz w:val="20"/>
                <w:szCs w:val="20"/>
              </w:rPr>
              <w:t>5 782 117</w:t>
            </w:r>
          </w:p>
        </w:tc>
        <w:tc>
          <w:tcPr>
            <w:tcW w:w="1293" w:type="dxa"/>
            <w:vAlign w:val="center"/>
          </w:tcPr>
          <w:p w14:paraId="6AA495CE" w14:textId="77777777" w:rsidR="00EE1CF5" w:rsidRPr="00A878B8" w:rsidRDefault="00EE1CF5" w:rsidP="00263AB1">
            <w:pPr>
              <w:ind w:firstLine="34"/>
              <w:jc w:val="center"/>
              <w:rPr>
                <w:color w:val="000000"/>
                <w:sz w:val="20"/>
                <w:szCs w:val="20"/>
              </w:rPr>
            </w:pPr>
            <w:r w:rsidRPr="00A878B8">
              <w:rPr>
                <w:color w:val="000000"/>
                <w:sz w:val="20"/>
                <w:szCs w:val="20"/>
              </w:rPr>
              <w:t>5 782 117</w:t>
            </w:r>
          </w:p>
        </w:tc>
        <w:tc>
          <w:tcPr>
            <w:tcW w:w="1242" w:type="dxa"/>
            <w:shd w:val="clear" w:color="auto" w:fill="auto"/>
            <w:noWrap/>
            <w:vAlign w:val="center"/>
          </w:tcPr>
          <w:p w14:paraId="4713ED3B" w14:textId="77777777" w:rsidR="00EE1CF5" w:rsidRPr="00A878B8" w:rsidRDefault="00EE1CF5" w:rsidP="00263AB1">
            <w:pPr>
              <w:ind w:firstLine="34"/>
              <w:jc w:val="center"/>
              <w:rPr>
                <w:rFonts w:cs="Times New Roman"/>
                <w:sz w:val="20"/>
                <w:szCs w:val="20"/>
              </w:rPr>
            </w:pPr>
            <w:r w:rsidRPr="00A878B8">
              <w:rPr>
                <w:color w:val="000000"/>
                <w:sz w:val="20"/>
                <w:szCs w:val="20"/>
              </w:rPr>
              <w:t>5 782 117</w:t>
            </w:r>
          </w:p>
        </w:tc>
        <w:tc>
          <w:tcPr>
            <w:tcW w:w="1216" w:type="dxa"/>
            <w:vAlign w:val="center"/>
          </w:tcPr>
          <w:p w14:paraId="6280D1C3" w14:textId="77777777" w:rsidR="00EE1CF5" w:rsidRPr="00A878B8" w:rsidRDefault="00EE1CF5" w:rsidP="00263AB1">
            <w:pPr>
              <w:jc w:val="center"/>
              <w:rPr>
                <w:color w:val="000000"/>
                <w:sz w:val="20"/>
                <w:szCs w:val="20"/>
              </w:rPr>
            </w:pPr>
            <w:r>
              <w:rPr>
                <w:color w:val="000000"/>
                <w:sz w:val="20"/>
                <w:szCs w:val="20"/>
              </w:rPr>
              <w:t>6 706 014</w:t>
            </w:r>
          </w:p>
        </w:tc>
        <w:tc>
          <w:tcPr>
            <w:tcW w:w="1316" w:type="dxa"/>
            <w:shd w:val="clear" w:color="auto" w:fill="auto"/>
            <w:noWrap/>
            <w:vAlign w:val="center"/>
          </w:tcPr>
          <w:p w14:paraId="02FC242C" w14:textId="77777777" w:rsidR="00EE1CF5" w:rsidRPr="00A878B8" w:rsidRDefault="00EE1CF5" w:rsidP="00263AB1">
            <w:pPr>
              <w:ind w:firstLine="34"/>
              <w:jc w:val="center"/>
              <w:rPr>
                <w:rFonts w:cs="Times New Roman"/>
                <w:sz w:val="20"/>
                <w:szCs w:val="20"/>
              </w:rPr>
            </w:pPr>
            <w:r w:rsidRPr="00A878B8">
              <w:rPr>
                <w:color w:val="000000"/>
                <w:sz w:val="20"/>
                <w:szCs w:val="20"/>
              </w:rPr>
              <w:t>5 782 117</w:t>
            </w:r>
          </w:p>
        </w:tc>
        <w:tc>
          <w:tcPr>
            <w:tcW w:w="1329" w:type="dxa"/>
            <w:vAlign w:val="center"/>
          </w:tcPr>
          <w:p w14:paraId="1E0468E7" w14:textId="77777777" w:rsidR="00EE1CF5" w:rsidRPr="00C5391F" w:rsidRDefault="00EE1CF5" w:rsidP="00263AB1">
            <w:pPr>
              <w:ind w:firstLine="34"/>
              <w:rPr>
                <w:color w:val="000000"/>
                <w:sz w:val="20"/>
                <w:szCs w:val="20"/>
              </w:rPr>
            </w:pPr>
            <w:r>
              <w:rPr>
                <w:color w:val="000000"/>
                <w:sz w:val="20"/>
                <w:szCs w:val="20"/>
              </w:rPr>
              <w:t xml:space="preserve">    6 706 014 </w:t>
            </w:r>
          </w:p>
        </w:tc>
        <w:tc>
          <w:tcPr>
            <w:tcW w:w="1673" w:type="dxa"/>
            <w:tcBorders>
              <w:right w:val="single" w:sz="4" w:space="0" w:color="auto"/>
            </w:tcBorders>
            <w:shd w:val="clear" w:color="auto" w:fill="auto"/>
            <w:noWrap/>
            <w:vAlign w:val="center"/>
          </w:tcPr>
          <w:p w14:paraId="2A39333F" w14:textId="77777777" w:rsidR="00EE1CF5" w:rsidRPr="0000077A" w:rsidRDefault="00EE1CF5" w:rsidP="00263AB1">
            <w:pPr>
              <w:ind w:firstLine="34"/>
              <w:rPr>
                <w:rFonts w:cs="Times New Roman"/>
                <w:sz w:val="20"/>
                <w:szCs w:val="20"/>
              </w:rPr>
            </w:pPr>
            <w:r>
              <w:rPr>
                <w:color w:val="000000"/>
                <w:sz w:val="20"/>
                <w:szCs w:val="20"/>
              </w:rPr>
              <w:t xml:space="preserve">    6 706 014 </w:t>
            </w:r>
          </w:p>
        </w:tc>
      </w:tr>
      <w:tr w:rsidR="00EE1CF5" w14:paraId="47FA6A41" w14:textId="77777777" w:rsidTr="00263AB1">
        <w:trPr>
          <w:trHeight w:val="288"/>
          <w:jc w:val="center"/>
        </w:trPr>
        <w:tc>
          <w:tcPr>
            <w:tcW w:w="3964" w:type="dxa"/>
            <w:shd w:val="clear" w:color="auto" w:fill="auto"/>
            <w:noWrap/>
            <w:vAlign w:val="bottom"/>
          </w:tcPr>
          <w:p w14:paraId="301B3AC0" w14:textId="77777777" w:rsidR="00EE1CF5" w:rsidRPr="00E936FD" w:rsidRDefault="00EE1CF5" w:rsidP="00263AB1">
            <w:pPr>
              <w:ind w:firstLine="34"/>
              <w:jc w:val="left"/>
              <w:rPr>
                <w:rFonts w:cs="Times New Roman"/>
                <w:bCs/>
                <w:sz w:val="20"/>
                <w:szCs w:val="20"/>
              </w:rPr>
            </w:pPr>
            <w:r w:rsidRPr="00E936FD">
              <w:rPr>
                <w:rFonts w:cs="Times New Roman"/>
                <w:bCs/>
                <w:sz w:val="20"/>
                <w:szCs w:val="20"/>
              </w:rPr>
              <w:t>VPP enerģētikā, t.sk. izveides un administrēšanas vajadzībām</w:t>
            </w:r>
          </w:p>
        </w:tc>
        <w:tc>
          <w:tcPr>
            <w:tcW w:w="1248" w:type="dxa"/>
            <w:vAlign w:val="center"/>
          </w:tcPr>
          <w:p w14:paraId="1FA9B50A" w14:textId="77777777" w:rsidR="00EE1CF5" w:rsidRPr="00E936FD" w:rsidRDefault="00EE1CF5" w:rsidP="00263AB1">
            <w:pPr>
              <w:ind w:firstLine="34"/>
              <w:jc w:val="center"/>
              <w:rPr>
                <w:color w:val="000000"/>
                <w:sz w:val="20"/>
                <w:szCs w:val="20"/>
              </w:rPr>
            </w:pPr>
            <w:r w:rsidRPr="00E936FD">
              <w:rPr>
                <w:color w:val="000000"/>
                <w:sz w:val="20"/>
                <w:szCs w:val="20"/>
              </w:rPr>
              <w:t>2 000 000</w:t>
            </w:r>
          </w:p>
        </w:tc>
        <w:tc>
          <w:tcPr>
            <w:tcW w:w="1293" w:type="dxa"/>
            <w:vAlign w:val="center"/>
          </w:tcPr>
          <w:p w14:paraId="4C92F994"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2 000 000</w:t>
            </w:r>
          </w:p>
        </w:tc>
        <w:tc>
          <w:tcPr>
            <w:tcW w:w="1242" w:type="dxa"/>
            <w:shd w:val="clear" w:color="auto" w:fill="auto"/>
            <w:noWrap/>
            <w:vAlign w:val="center"/>
          </w:tcPr>
          <w:p w14:paraId="3D7D7E67" w14:textId="77777777" w:rsidR="00EE1CF5" w:rsidRPr="00E936FD" w:rsidRDefault="00EE1CF5" w:rsidP="00263AB1">
            <w:pPr>
              <w:ind w:firstLine="34"/>
              <w:jc w:val="center"/>
              <w:rPr>
                <w:rFonts w:cs="Times New Roman"/>
                <w:sz w:val="20"/>
                <w:szCs w:val="20"/>
              </w:rPr>
            </w:pPr>
            <w:r w:rsidRPr="004821E5">
              <w:rPr>
                <w:color w:val="000000"/>
                <w:sz w:val="20"/>
                <w:szCs w:val="20"/>
              </w:rPr>
              <w:t>2 000 000</w:t>
            </w:r>
          </w:p>
        </w:tc>
        <w:tc>
          <w:tcPr>
            <w:tcW w:w="1216" w:type="dxa"/>
            <w:vAlign w:val="center"/>
          </w:tcPr>
          <w:p w14:paraId="126714E1" w14:textId="77777777" w:rsidR="00EE1CF5" w:rsidRPr="00E936FD" w:rsidRDefault="00EE1CF5" w:rsidP="00263AB1">
            <w:pPr>
              <w:ind w:firstLine="34"/>
              <w:jc w:val="center"/>
              <w:rPr>
                <w:color w:val="000000"/>
                <w:sz w:val="20"/>
                <w:szCs w:val="20"/>
              </w:rPr>
            </w:pPr>
            <w:r w:rsidRPr="004821E5">
              <w:rPr>
                <w:color w:val="000000"/>
                <w:sz w:val="20"/>
                <w:szCs w:val="20"/>
              </w:rPr>
              <w:t>2 000 000</w:t>
            </w:r>
          </w:p>
        </w:tc>
        <w:tc>
          <w:tcPr>
            <w:tcW w:w="1316" w:type="dxa"/>
            <w:shd w:val="clear" w:color="auto" w:fill="auto"/>
            <w:noWrap/>
            <w:vAlign w:val="center"/>
          </w:tcPr>
          <w:p w14:paraId="1798BEF4" w14:textId="77777777" w:rsidR="00EE1CF5" w:rsidRPr="00E936FD" w:rsidRDefault="00EE1CF5" w:rsidP="00263AB1">
            <w:pPr>
              <w:ind w:firstLine="34"/>
              <w:jc w:val="center"/>
              <w:rPr>
                <w:rFonts w:cs="Times New Roman"/>
                <w:sz w:val="20"/>
                <w:szCs w:val="20"/>
              </w:rPr>
            </w:pPr>
            <w:r w:rsidRPr="004821E5">
              <w:rPr>
                <w:color w:val="000000"/>
                <w:sz w:val="20"/>
                <w:szCs w:val="20"/>
              </w:rPr>
              <w:t>2 000 000</w:t>
            </w:r>
          </w:p>
        </w:tc>
        <w:tc>
          <w:tcPr>
            <w:tcW w:w="1329" w:type="dxa"/>
            <w:vAlign w:val="center"/>
          </w:tcPr>
          <w:p w14:paraId="59E2477E" w14:textId="77777777" w:rsidR="00EE1CF5" w:rsidRPr="00C5391F" w:rsidRDefault="00EE1CF5" w:rsidP="00263AB1">
            <w:pPr>
              <w:ind w:firstLine="34"/>
              <w:jc w:val="center"/>
              <w:rPr>
                <w:color w:val="000000"/>
                <w:sz w:val="20"/>
                <w:szCs w:val="20"/>
              </w:rPr>
            </w:pPr>
            <w:r w:rsidRPr="00C5391F">
              <w:rPr>
                <w:color w:val="000000"/>
                <w:sz w:val="20"/>
                <w:szCs w:val="20"/>
              </w:rPr>
              <w:t>2 000 000</w:t>
            </w:r>
          </w:p>
        </w:tc>
        <w:tc>
          <w:tcPr>
            <w:tcW w:w="1673" w:type="dxa"/>
            <w:tcBorders>
              <w:right w:val="single" w:sz="4" w:space="0" w:color="auto"/>
            </w:tcBorders>
            <w:shd w:val="clear" w:color="auto" w:fill="auto"/>
            <w:noWrap/>
            <w:vAlign w:val="center"/>
          </w:tcPr>
          <w:p w14:paraId="58DD9718" w14:textId="77777777" w:rsidR="00EE1CF5" w:rsidRPr="0000077A" w:rsidRDefault="00EE1CF5" w:rsidP="00263AB1">
            <w:pPr>
              <w:ind w:firstLine="34"/>
              <w:jc w:val="center"/>
              <w:rPr>
                <w:rFonts w:cs="Times New Roman"/>
                <w:sz w:val="20"/>
                <w:szCs w:val="20"/>
              </w:rPr>
            </w:pPr>
            <w:r w:rsidRPr="0000077A">
              <w:rPr>
                <w:color w:val="000000"/>
                <w:sz w:val="20"/>
                <w:szCs w:val="20"/>
              </w:rPr>
              <w:t>2 000 000</w:t>
            </w:r>
          </w:p>
        </w:tc>
      </w:tr>
      <w:tr w:rsidR="00EE1CF5" w14:paraId="6EA1E586" w14:textId="77777777" w:rsidTr="00263AB1">
        <w:trPr>
          <w:trHeight w:val="288"/>
          <w:jc w:val="center"/>
        </w:trPr>
        <w:tc>
          <w:tcPr>
            <w:tcW w:w="3964" w:type="dxa"/>
            <w:shd w:val="clear" w:color="auto" w:fill="auto"/>
            <w:noWrap/>
            <w:vAlign w:val="bottom"/>
            <w:hideMark/>
          </w:tcPr>
          <w:p w14:paraId="6CCB2716"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Valsts budžeta ieņēmumi</w:t>
            </w:r>
          </w:p>
        </w:tc>
        <w:tc>
          <w:tcPr>
            <w:tcW w:w="1248" w:type="dxa"/>
            <w:vAlign w:val="center"/>
          </w:tcPr>
          <w:p w14:paraId="48A77146" w14:textId="77777777" w:rsidR="00EE1CF5" w:rsidRDefault="00EE1CF5" w:rsidP="00263AB1">
            <w:pPr>
              <w:ind w:firstLine="34"/>
              <w:jc w:val="center"/>
              <w:rPr>
                <w:b/>
                <w:bCs/>
                <w:color w:val="000000"/>
                <w:sz w:val="20"/>
                <w:szCs w:val="20"/>
              </w:rPr>
            </w:pPr>
            <w:r>
              <w:rPr>
                <w:b/>
                <w:bCs/>
                <w:color w:val="000000"/>
                <w:sz w:val="20"/>
                <w:szCs w:val="20"/>
              </w:rPr>
              <w:t>48</w:t>
            </w:r>
            <w:r w:rsidRPr="00E936FD">
              <w:rPr>
                <w:b/>
                <w:bCs/>
                <w:color w:val="000000"/>
                <w:sz w:val="20"/>
                <w:szCs w:val="20"/>
              </w:rPr>
              <w:t xml:space="preserve"> 808 711</w:t>
            </w:r>
          </w:p>
        </w:tc>
        <w:tc>
          <w:tcPr>
            <w:tcW w:w="1293" w:type="dxa"/>
            <w:vAlign w:val="center"/>
          </w:tcPr>
          <w:p w14:paraId="5AB1750D" w14:textId="77777777" w:rsidR="00EE1CF5" w:rsidRDefault="00EE1CF5" w:rsidP="00263AB1">
            <w:pPr>
              <w:ind w:firstLine="34"/>
              <w:jc w:val="center"/>
              <w:rPr>
                <w:b/>
                <w:bCs/>
                <w:color w:val="000000"/>
                <w:sz w:val="20"/>
                <w:szCs w:val="20"/>
              </w:rPr>
            </w:pPr>
            <w:r w:rsidRPr="00A878B8">
              <w:rPr>
                <w:rFonts w:cs="Times New Roman"/>
                <w:b/>
                <w:bCs/>
                <w:color w:val="000000"/>
                <w:sz w:val="20"/>
                <w:szCs w:val="20"/>
              </w:rPr>
              <w:t>104 248 888</w:t>
            </w:r>
          </w:p>
        </w:tc>
        <w:tc>
          <w:tcPr>
            <w:tcW w:w="1242" w:type="dxa"/>
            <w:shd w:val="clear" w:color="auto" w:fill="auto"/>
            <w:noWrap/>
          </w:tcPr>
          <w:p w14:paraId="64E45FC4" w14:textId="77777777" w:rsidR="00EE1CF5" w:rsidRPr="00E936FD" w:rsidRDefault="00EE1CF5" w:rsidP="00263AB1">
            <w:pPr>
              <w:ind w:firstLine="34"/>
              <w:jc w:val="center"/>
              <w:rPr>
                <w:rFonts w:cs="Times New Roman"/>
                <w:b/>
                <w:bCs/>
                <w:color w:val="000000"/>
                <w:sz w:val="20"/>
                <w:szCs w:val="20"/>
              </w:rPr>
            </w:pPr>
            <w:r w:rsidRPr="003C508E">
              <w:rPr>
                <w:rFonts w:cs="Times New Roman"/>
                <w:b/>
                <w:bCs/>
                <w:color w:val="000000"/>
                <w:sz w:val="20"/>
                <w:szCs w:val="20"/>
              </w:rPr>
              <w:t>49 406 416</w:t>
            </w:r>
          </w:p>
        </w:tc>
        <w:tc>
          <w:tcPr>
            <w:tcW w:w="1216" w:type="dxa"/>
          </w:tcPr>
          <w:p w14:paraId="283ADF8F" w14:textId="77777777" w:rsidR="00EE1CF5" w:rsidRPr="00E936FD" w:rsidRDefault="00EE1CF5" w:rsidP="00263AB1">
            <w:pPr>
              <w:jc w:val="center"/>
              <w:rPr>
                <w:b/>
                <w:bCs/>
                <w:color w:val="000000"/>
                <w:sz w:val="20"/>
                <w:szCs w:val="20"/>
              </w:rPr>
            </w:pPr>
            <w:r>
              <w:rPr>
                <w:b/>
                <w:bCs/>
                <w:color w:val="000000"/>
                <w:sz w:val="20"/>
                <w:szCs w:val="20"/>
              </w:rPr>
              <w:t>100 770 221</w:t>
            </w:r>
          </w:p>
        </w:tc>
        <w:tc>
          <w:tcPr>
            <w:tcW w:w="1316" w:type="dxa"/>
            <w:shd w:val="clear" w:color="auto" w:fill="auto"/>
            <w:noWrap/>
          </w:tcPr>
          <w:p w14:paraId="759F465D" w14:textId="77777777" w:rsidR="00EE1CF5" w:rsidRPr="00E936FD" w:rsidRDefault="00EE1CF5" w:rsidP="00263AB1">
            <w:pPr>
              <w:ind w:firstLine="34"/>
              <w:jc w:val="center"/>
              <w:rPr>
                <w:rFonts w:cs="Times New Roman"/>
                <w:b/>
                <w:bCs/>
                <w:color w:val="000000"/>
                <w:sz w:val="20"/>
                <w:szCs w:val="20"/>
              </w:rPr>
            </w:pPr>
            <w:r w:rsidRPr="003C508E">
              <w:rPr>
                <w:rFonts w:cs="Times New Roman"/>
                <w:b/>
                <w:bCs/>
                <w:color w:val="000000"/>
                <w:sz w:val="20"/>
                <w:szCs w:val="20"/>
              </w:rPr>
              <w:t>58 684 672</w:t>
            </w:r>
          </w:p>
        </w:tc>
        <w:tc>
          <w:tcPr>
            <w:tcW w:w="1329" w:type="dxa"/>
            <w:vAlign w:val="center"/>
          </w:tcPr>
          <w:p w14:paraId="7A5B60AF" w14:textId="77777777" w:rsidR="00EE1CF5" w:rsidRPr="00C5391F" w:rsidRDefault="00EE1CF5" w:rsidP="00263AB1">
            <w:pPr>
              <w:ind w:firstLine="34"/>
              <w:jc w:val="center"/>
              <w:rPr>
                <w:b/>
                <w:bCs/>
                <w:color w:val="000000"/>
                <w:sz w:val="20"/>
                <w:szCs w:val="20"/>
              </w:rPr>
            </w:pPr>
            <w:r>
              <w:rPr>
                <w:b/>
                <w:bCs/>
                <w:color w:val="000000"/>
                <w:sz w:val="20"/>
                <w:szCs w:val="20"/>
              </w:rPr>
              <w:t>70 670 221</w:t>
            </w:r>
          </w:p>
        </w:tc>
        <w:tc>
          <w:tcPr>
            <w:tcW w:w="1673" w:type="dxa"/>
            <w:tcBorders>
              <w:right w:val="single" w:sz="4" w:space="0" w:color="auto"/>
            </w:tcBorders>
            <w:shd w:val="clear" w:color="auto" w:fill="auto"/>
            <w:noWrap/>
            <w:vAlign w:val="center"/>
          </w:tcPr>
          <w:p w14:paraId="1E990001" w14:textId="77777777" w:rsidR="00EE1CF5" w:rsidRPr="0000077A" w:rsidRDefault="00EE1CF5" w:rsidP="00263AB1">
            <w:pPr>
              <w:ind w:firstLine="34"/>
              <w:jc w:val="center"/>
              <w:rPr>
                <w:rFonts w:cs="Times New Roman"/>
                <w:b/>
                <w:bCs/>
                <w:color w:val="000000"/>
                <w:sz w:val="20"/>
                <w:szCs w:val="20"/>
              </w:rPr>
            </w:pPr>
            <w:r>
              <w:rPr>
                <w:b/>
                <w:bCs/>
                <w:color w:val="000000"/>
                <w:sz w:val="20"/>
                <w:szCs w:val="20"/>
              </w:rPr>
              <w:t>44 940 221</w:t>
            </w:r>
          </w:p>
        </w:tc>
      </w:tr>
      <w:tr w:rsidR="00EE1CF5" w14:paraId="4750B88F" w14:textId="77777777" w:rsidTr="00263AB1">
        <w:trPr>
          <w:trHeight w:val="288"/>
          <w:jc w:val="center"/>
        </w:trPr>
        <w:tc>
          <w:tcPr>
            <w:tcW w:w="3964" w:type="dxa"/>
            <w:shd w:val="clear" w:color="auto" w:fill="auto"/>
            <w:noWrap/>
            <w:vAlign w:val="bottom"/>
            <w:hideMark/>
          </w:tcPr>
          <w:p w14:paraId="53EF4A9A" w14:textId="77777777" w:rsidR="00EE1CF5" w:rsidRPr="00E936FD" w:rsidRDefault="00EE1CF5" w:rsidP="00263AB1">
            <w:pPr>
              <w:ind w:firstLine="34"/>
              <w:rPr>
                <w:rFonts w:cs="Times New Roman"/>
                <w:sz w:val="20"/>
                <w:szCs w:val="20"/>
              </w:rPr>
            </w:pPr>
            <w:r w:rsidRPr="00E936FD">
              <w:rPr>
                <w:rFonts w:cs="Times New Roman"/>
                <w:sz w:val="20"/>
                <w:szCs w:val="20"/>
              </w:rPr>
              <w:t>SEN</w:t>
            </w:r>
          </w:p>
        </w:tc>
        <w:tc>
          <w:tcPr>
            <w:tcW w:w="1248" w:type="dxa"/>
            <w:shd w:val="clear" w:color="000000" w:fill="FFFFFF"/>
            <w:vAlign w:val="center"/>
          </w:tcPr>
          <w:p w14:paraId="1E0DD8C7" w14:textId="77777777" w:rsidR="00EE1CF5" w:rsidRPr="00E936FD" w:rsidRDefault="00EE1CF5" w:rsidP="00263AB1">
            <w:pPr>
              <w:ind w:firstLine="34"/>
              <w:jc w:val="center"/>
              <w:rPr>
                <w:color w:val="000000"/>
                <w:sz w:val="20"/>
                <w:szCs w:val="20"/>
              </w:rPr>
            </w:pPr>
            <w:r w:rsidRPr="00E936FD">
              <w:rPr>
                <w:color w:val="000000"/>
                <w:sz w:val="20"/>
                <w:szCs w:val="20"/>
              </w:rPr>
              <w:t>0</w:t>
            </w:r>
          </w:p>
        </w:tc>
        <w:tc>
          <w:tcPr>
            <w:tcW w:w="1293" w:type="dxa"/>
            <w:shd w:val="clear" w:color="000000" w:fill="FFFFFF"/>
            <w:vAlign w:val="center"/>
          </w:tcPr>
          <w:p w14:paraId="1442142D"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0</w:t>
            </w:r>
          </w:p>
        </w:tc>
        <w:tc>
          <w:tcPr>
            <w:tcW w:w="1242" w:type="dxa"/>
            <w:shd w:val="clear" w:color="000000" w:fill="FFFFFF"/>
            <w:noWrap/>
            <w:vAlign w:val="center"/>
          </w:tcPr>
          <w:p w14:paraId="460CB992"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216" w:type="dxa"/>
            <w:shd w:val="clear" w:color="000000" w:fill="FFFFFF"/>
            <w:vAlign w:val="center"/>
          </w:tcPr>
          <w:p w14:paraId="7137EADB" w14:textId="77777777" w:rsidR="00EE1CF5" w:rsidRPr="00E936FD" w:rsidRDefault="00EE1CF5" w:rsidP="00263AB1">
            <w:pPr>
              <w:ind w:firstLine="34"/>
              <w:jc w:val="center"/>
              <w:rPr>
                <w:color w:val="000000"/>
                <w:sz w:val="20"/>
                <w:szCs w:val="20"/>
              </w:rPr>
            </w:pPr>
            <w:r>
              <w:rPr>
                <w:color w:val="000000"/>
                <w:sz w:val="20"/>
                <w:szCs w:val="20"/>
              </w:rPr>
              <w:t>36 400 000</w:t>
            </w:r>
          </w:p>
        </w:tc>
        <w:tc>
          <w:tcPr>
            <w:tcW w:w="1316" w:type="dxa"/>
            <w:shd w:val="clear" w:color="000000" w:fill="FFFFFF"/>
            <w:noWrap/>
            <w:vAlign w:val="center"/>
          </w:tcPr>
          <w:p w14:paraId="0939C514"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329" w:type="dxa"/>
            <w:vAlign w:val="center"/>
          </w:tcPr>
          <w:p w14:paraId="084A4AF0" w14:textId="77777777" w:rsidR="00EE1CF5" w:rsidRPr="00C5391F" w:rsidRDefault="00EE1CF5" w:rsidP="00263AB1">
            <w:pPr>
              <w:ind w:firstLine="34"/>
              <w:jc w:val="center"/>
              <w:rPr>
                <w:color w:val="000000"/>
                <w:sz w:val="20"/>
                <w:szCs w:val="20"/>
              </w:rPr>
            </w:pPr>
            <w:r w:rsidRPr="00C5391F">
              <w:rPr>
                <w:color w:val="000000"/>
                <w:sz w:val="20"/>
                <w:szCs w:val="20"/>
              </w:rPr>
              <w:t>30 700 000</w:t>
            </w:r>
          </w:p>
        </w:tc>
        <w:tc>
          <w:tcPr>
            <w:tcW w:w="1673" w:type="dxa"/>
            <w:tcBorders>
              <w:right w:val="single" w:sz="4" w:space="0" w:color="auto"/>
            </w:tcBorders>
            <w:shd w:val="clear" w:color="auto" w:fill="auto"/>
            <w:noWrap/>
            <w:vAlign w:val="center"/>
          </w:tcPr>
          <w:p w14:paraId="25299548" w14:textId="77777777" w:rsidR="00EE1CF5" w:rsidRPr="0000077A" w:rsidRDefault="00EE1CF5" w:rsidP="00263AB1">
            <w:pPr>
              <w:ind w:firstLine="34"/>
              <w:jc w:val="center"/>
              <w:rPr>
                <w:rFonts w:cs="Times New Roman"/>
                <w:bCs/>
                <w:color w:val="000000"/>
                <w:sz w:val="20"/>
                <w:szCs w:val="20"/>
              </w:rPr>
            </w:pPr>
            <w:r w:rsidRPr="0000077A">
              <w:rPr>
                <w:rFonts w:cs="Times New Roman"/>
                <w:bCs/>
                <w:color w:val="000000"/>
                <w:sz w:val="20"/>
                <w:szCs w:val="20"/>
              </w:rPr>
              <w:t>0</w:t>
            </w:r>
          </w:p>
        </w:tc>
      </w:tr>
      <w:tr w:rsidR="00EE1CF5" w14:paraId="2D492D6E" w14:textId="77777777" w:rsidTr="00263AB1">
        <w:trPr>
          <w:trHeight w:val="288"/>
          <w:jc w:val="center"/>
        </w:trPr>
        <w:tc>
          <w:tcPr>
            <w:tcW w:w="3964" w:type="dxa"/>
            <w:shd w:val="clear" w:color="auto" w:fill="auto"/>
            <w:noWrap/>
            <w:vAlign w:val="bottom"/>
            <w:hideMark/>
          </w:tcPr>
          <w:p w14:paraId="7EC511C6" w14:textId="77777777" w:rsidR="00EE1CF5" w:rsidRPr="00E936FD" w:rsidRDefault="00EE1CF5" w:rsidP="00263AB1">
            <w:pPr>
              <w:ind w:firstLine="34"/>
              <w:rPr>
                <w:rFonts w:cs="Times New Roman"/>
                <w:sz w:val="20"/>
                <w:szCs w:val="20"/>
              </w:rPr>
            </w:pPr>
            <w:r w:rsidRPr="00E936FD">
              <w:rPr>
                <w:rFonts w:cs="Times New Roman"/>
                <w:sz w:val="20"/>
                <w:szCs w:val="20"/>
              </w:rPr>
              <w:t>PVN</w:t>
            </w:r>
          </w:p>
        </w:tc>
        <w:tc>
          <w:tcPr>
            <w:tcW w:w="1248" w:type="dxa"/>
            <w:vAlign w:val="center"/>
          </w:tcPr>
          <w:p w14:paraId="6947D23D" w14:textId="77777777" w:rsidR="00EE1CF5" w:rsidRPr="00E936FD" w:rsidRDefault="00EE1CF5" w:rsidP="00263AB1">
            <w:pPr>
              <w:ind w:firstLine="34"/>
              <w:jc w:val="center"/>
              <w:rPr>
                <w:color w:val="000000"/>
                <w:sz w:val="20"/>
                <w:szCs w:val="20"/>
              </w:rPr>
            </w:pPr>
            <w:r w:rsidRPr="00E936FD">
              <w:rPr>
                <w:color w:val="000000"/>
                <w:sz w:val="20"/>
                <w:szCs w:val="20"/>
              </w:rPr>
              <w:t>9 533 241</w:t>
            </w:r>
          </w:p>
        </w:tc>
        <w:tc>
          <w:tcPr>
            <w:tcW w:w="1293" w:type="dxa"/>
            <w:vAlign w:val="center"/>
          </w:tcPr>
          <w:p w14:paraId="03594B00"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9 533 241</w:t>
            </w:r>
          </w:p>
        </w:tc>
        <w:tc>
          <w:tcPr>
            <w:tcW w:w="1242" w:type="dxa"/>
            <w:shd w:val="clear" w:color="auto" w:fill="auto"/>
            <w:noWrap/>
            <w:vAlign w:val="center"/>
          </w:tcPr>
          <w:p w14:paraId="139EF480"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216" w:type="dxa"/>
            <w:vAlign w:val="center"/>
          </w:tcPr>
          <w:p w14:paraId="5416A080" w14:textId="77777777" w:rsidR="00EE1CF5" w:rsidRPr="00E936FD" w:rsidRDefault="00EE1CF5" w:rsidP="00263AB1">
            <w:pPr>
              <w:ind w:firstLine="34"/>
              <w:jc w:val="center"/>
              <w:rPr>
                <w:color w:val="000000"/>
                <w:sz w:val="20"/>
                <w:szCs w:val="20"/>
              </w:rPr>
            </w:pPr>
            <w:r w:rsidRPr="00E936FD">
              <w:rPr>
                <w:color w:val="000000"/>
                <w:sz w:val="20"/>
                <w:szCs w:val="20"/>
              </w:rPr>
              <w:t>0</w:t>
            </w:r>
          </w:p>
        </w:tc>
        <w:tc>
          <w:tcPr>
            <w:tcW w:w="1316" w:type="dxa"/>
            <w:shd w:val="clear" w:color="auto" w:fill="auto"/>
            <w:noWrap/>
            <w:vAlign w:val="center"/>
          </w:tcPr>
          <w:p w14:paraId="03182BB7"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329" w:type="dxa"/>
            <w:vAlign w:val="center"/>
          </w:tcPr>
          <w:p w14:paraId="5151BD75" w14:textId="77777777" w:rsidR="00EE1CF5" w:rsidRPr="00C5391F" w:rsidRDefault="00EE1CF5" w:rsidP="00263AB1">
            <w:pPr>
              <w:ind w:firstLine="34"/>
              <w:jc w:val="center"/>
              <w:rPr>
                <w:color w:val="000000"/>
                <w:sz w:val="20"/>
                <w:szCs w:val="20"/>
              </w:rPr>
            </w:pPr>
            <w:r w:rsidRPr="00C5391F">
              <w:rPr>
                <w:color w:val="000000"/>
                <w:sz w:val="20"/>
                <w:szCs w:val="20"/>
              </w:rPr>
              <w:t>0</w:t>
            </w:r>
          </w:p>
        </w:tc>
        <w:tc>
          <w:tcPr>
            <w:tcW w:w="1673" w:type="dxa"/>
            <w:tcBorders>
              <w:right w:val="single" w:sz="4" w:space="0" w:color="auto"/>
            </w:tcBorders>
            <w:shd w:val="clear" w:color="auto" w:fill="auto"/>
            <w:noWrap/>
            <w:vAlign w:val="center"/>
          </w:tcPr>
          <w:p w14:paraId="47DE1144" w14:textId="77777777" w:rsidR="00EE1CF5" w:rsidRPr="0000077A" w:rsidRDefault="00EE1CF5" w:rsidP="00263AB1">
            <w:pPr>
              <w:ind w:firstLine="34"/>
              <w:jc w:val="center"/>
              <w:rPr>
                <w:rFonts w:cs="Times New Roman"/>
                <w:bCs/>
                <w:color w:val="000000"/>
                <w:sz w:val="20"/>
                <w:szCs w:val="20"/>
              </w:rPr>
            </w:pPr>
            <w:r w:rsidRPr="0000077A">
              <w:rPr>
                <w:color w:val="000000"/>
                <w:sz w:val="20"/>
                <w:szCs w:val="20"/>
              </w:rPr>
              <w:t>0</w:t>
            </w:r>
          </w:p>
        </w:tc>
      </w:tr>
      <w:tr w:rsidR="00EE1CF5" w14:paraId="1E59C1F4" w14:textId="77777777" w:rsidTr="00263AB1">
        <w:trPr>
          <w:trHeight w:val="288"/>
          <w:jc w:val="center"/>
        </w:trPr>
        <w:tc>
          <w:tcPr>
            <w:tcW w:w="3964" w:type="dxa"/>
            <w:shd w:val="clear" w:color="auto" w:fill="auto"/>
            <w:noWrap/>
            <w:vAlign w:val="bottom"/>
            <w:hideMark/>
          </w:tcPr>
          <w:p w14:paraId="6B6092A0" w14:textId="77777777" w:rsidR="00EE1CF5" w:rsidRPr="00E936FD" w:rsidRDefault="00EE1CF5" w:rsidP="00263AB1">
            <w:pPr>
              <w:ind w:firstLine="34"/>
              <w:rPr>
                <w:rFonts w:cs="Times New Roman"/>
                <w:sz w:val="20"/>
                <w:szCs w:val="20"/>
              </w:rPr>
            </w:pPr>
            <w:r w:rsidRPr="00E936FD">
              <w:rPr>
                <w:rFonts w:cs="Times New Roman"/>
                <w:sz w:val="20"/>
                <w:szCs w:val="20"/>
              </w:rPr>
              <w:t>PVN (aizsargātie lietotāji)</w:t>
            </w:r>
          </w:p>
        </w:tc>
        <w:tc>
          <w:tcPr>
            <w:tcW w:w="1248" w:type="dxa"/>
            <w:vAlign w:val="center"/>
          </w:tcPr>
          <w:p w14:paraId="72E5F0C5" w14:textId="77777777" w:rsidR="00EE1CF5" w:rsidRPr="00E936FD" w:rsidRDefault="00EE1CF5" w:rsidP="00263AB1">
            <w:pPr>
              <w:ind w:firstLine="34"/>
              <w:jc w:val="center"/>
              <w:rPr>
                <w:color w:val="000000"/>
                <w:sz w:val="20"/>
                <w:szCs w:val="20"/>
              </w:rPr>
            </w:pPr>
            <w:r w:rsidRPr="00E936FD">
              <w:rPr>
                <w:color w:val="000000"/>
                <w:sz w:val="20"/>
                <w:szCs w:val="20"/>
              </w:rPr>
              <w:t>1 287 604</w:t>
            </w:r>
          </w:p>
        </w:tc>
        <w:tc>
          <w:tcPr>
            <w:tcW w:w="1293" w:type="dxa"/>
            <w:vAlign w:val="center"/>
          </w:tcPr>
          <w:p w14:paraId="7A529E17"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1 287 604</w:t>
            </w:r>
          </w:p>
        </w:tc>
        <w:tc>
          <w:tcPr>
            <w:tcW w:w="1242" w:type="dxa"/>
            <w:shd w:val="clear" w:color="auto" w:fill="auto"/>
            <w:noWrap/>
            <w:vAlign w:val="center"/>
          </w:tcPr>
          <w:p w14:paraId="4E87C12E"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216" w:type="dxa"/>
            <w:vAlign w:val="center"/>
          </w:tcPr>
          <w:p w14:paraId="490AE00C" w14:textId="77777777" w:rsidR="00EE1CF5" w:rsidRPr="00E936FD" w:rsidRDefault="00EE1CF5" w:rsidP="00263AB1">
            <w:pPr>
              <w:ind w:firstLine="34"/>
              <w:jc w:val="center"/>
              <w:rPr>
                <w:color w:val="000000"/>
                <w:sz w:val="20"/>
                <w:szCs w:val="20"/>
              </w:rPr>
            </w:pPr>
            <w:r w:rsidRPr="00E936FD">
              <w:rPr>
                <w:color w:val="000000"/>
                <w:sz w:val="20"/>
                <w:szCs w:val="20"/>
              </w:rPr>
              <w:t>0</w:t>
            </w:r>
          </w:p>
        </w:tc>
        <w:tc>
          <w:tcPr>
            <w:tcW w:w="1316" w:type="dxa"/>
            <w:shd w:val="clear" w:color="auto" w:fill="auto"/>
            <w:noWrap/>
            <w:vAlign w:val="center"/>
          </w:tcPr>
          <w:p w14:paraId="4141FA23"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329" w:type="dxa"/>
            <w:vAlign w:val="center"/>
          </w:tcPr>
          <w:p w14:paraId="1B25D906" w14:textId="77777777" w:rsidR="00EE1CF5" w:rsidRPr="00C5391F" w:rsidRDefault="00EE1CF5" w:rsidP="00263AB1">
            <w:pPr>
              <w:ind w:firstLine="34"/>
              <w:jc w:val="center"/>
              <w:rPr>
                <w:color w:val="000000"/>
                <w:sz w:val="20"/>
                <w:szCs w:val="20"/>
              </w:rPr>
            </w:pPr>
            <w:r w:rsidRPr="00C5391F">
              <w:rPr>
                <w:color w:val="000000"/>
                <w:sz w:val="20"/>
                <w:szCs w:val="20"/>
              </w:rPr>
              <w:t>0</w:t>
            </w:r>
          </w:p>
        </w:tc>
        <w:tc>
          <w:tcPr>
            <w:tcW w:w="1673" w:type="dxa"/>
            <w:tcBorders>
              <w:right w:val="single" w:sz="4" w:space="0" w:color="auto"/>
            </w:tcBorders>
            <w:shd w:val="clear" w:color="auto" w:fill="auto"/>
            <w:noWrap/>
            <w:vAlign w:val="center"/>
          </w:tcPr>
          <w:p w14:paraId="16037986" w14:textId="77777777" w:rsidR="00EE1CF5" w:rsidRPr="0000077A" w:rsidRDefault="00EE1CF5" w:rsidP="00263AB1">
            <w:pPr>
              <w:ind w:firstLine="34"/>
              <w:jc w:val="center"/>
              <w:rPr>
                <w:rFonts w:cs="Times New Roman"/>
                <w:bCs/>
                <w:color w:val="000000"/>
                <w:sz w:val="20"/>
                <w:szCs w:val="20"/>
              </w:rPr>
            </w:pPr>
            <w:r w:rsidRPr="0000077A">
              <w:rPr>
                <w:color w:val="000000"/>
                <w:sz w:val="20"/>
                <w:szCs w:val="20"/>
              </w:rPr>
              <w:t>0</w:t>
            </w:r>
          </w:p>
        </w:tc>
      </w:tr>
      <w:tr w:rsidR="00EE1CF5" w14:paraId="21022FA9" w14:textId="77777777" w:rsidTr="00263AB1">
        <w:trPr>
          <w:trHeight w:val="464"/>
          <w:jc w:val="center"/>
        </w:trPr>
        <w:tc>
          <w:tcPr>
            <w:tcW w:w="3964" w:type="dxa"/>
            <w:shd w:val="clear" w:color="auto" w:fill="auto"/>
            <w:vAlign w:val="bottom"/>
            <w:hideMark/>
          </w:tcPr>
          <w:p w14:paraId="747270EC" w14:textId="77777777" w:rsidR="00EE1CF5" w:rsidRPr="00E936FD" w:rsidRDefault="00EE1CF5" w:rsidP="00263AB1">
            <w:pPr>
              <w:ind w:firstLine="34"/>
              <w:rPr>
                <w:rFonts w:cs="Times New Roman"/>
                <w:sz w:val="20"/>
                <w:szCs w:val="20"/>
              </w:rPr>
            </w:pPr>
            <w:r w:rsidRPr="00E936FD">
              <w:rPr>
                <w:rFonts w:cs="Times New Roman"/>
                <w:sz w:val="20"/>
                <w:szCs w:val="20"/>
              </w:rPr>
              <w:t>AS „Latvenergo” dividendes komplekso risinājumu elektroenerģijas tirgū novirzāmā daļa</w:t>
            </w:r>
          </w:p>
        </w:tc>
        <w:tc>
          <w:tcPr>
            <w:tcW w:w="1248" w:type="dxa"/>
            <w:vAlign w:val="center"/>
          </w:tcPr>
          <w:p w14:paraId="65631248" w14:textId="77777777" w:rsidR="00EE1CF5" w:rsidRDefault="00EE1CF5" w:rsidP="00263AB1">
            <w:pPr>
              <w:ind w:firstLine="34"/>
              <w:jc w:val="center"/>
              <w:rPr>
                <w:color w:val="000000"/>
                <w:sz w:val="20"/>
                <w:szCs w:val="20"/>
              </w:rPr>
            </w:pPr>
            <w:r>
              <w:rPr>
                <w:color w:val="000000"/>
                <w:sz w:val="20"/>
                <w:szCs w:val="20"/>
              </w:rPr>
              <w:t>35</w:t>
            </w:r>
            <w:r w:rsidRPr="00E936FD">
              <w:rPr>
                <w:color w:val="000000"/>
                <w:sz w:val="20"/>
                <w:szCs w:val="20"/>
              </w:rPr>
              <w:t xml:space="preserve"> 987 866</w:t>
            </w:r>
          </w:p>
        </w:tc>
        <w:tc>
          <w:tcPr>
            <w:tcW w:w="1293" w:type="dxa"/>
            <w:vAlign w:val="center"/>
          </w:tcPr>
          <w:p w14:paraId="24C13A6F" w14:textId="77777777" w:rsidR="00EE1CF5" w:rsidRDefault="00EE1CF5" w:rsidP="00263AB1">
            <w:pPr>
              <w:ind w:firstLine="34"/>
              <w:jc w:val="center"/>
              <w:rPr>
                <w:color w:val="000000"/>
                <w:sz w:val="20"/>
                <w:szCs w:val="20"/>
              </w:rPr>
            </w:pPr>
            <w:r w:rsidRPr="008D586E">
              <w:rPr>
                <w:rFonts w:cs="Times New Roman"/>
                <w:color w:val="000000"/>
                <w:sz w:val="20"/>
                <w:szCs w:val="20"/>
              </w:rPr>
              <w:t>91 428 043</w:t>
            </w:r>
          </w:p>
        </w:tc>
        <w:tc>
          <w:tcPr>
            <w:tcW w:w="1242" w:type="dxa"/>
            <w:shd w:val="clear" w:color="auto" w:fill="auto"/>
            <w:noWrap/>
            <w:vAlign w:val="center"/>
          </w:tcPr>
          <w:p w14:paraId="23EB8BD8" w14:textId="77777777" w:rsidR="00EE1CF5" w:rsidRPr="00E936FD" w:rsidRDefault="00EE1CF5" w:rsidP="00263AB1">
            <w:pPr>
              <w:ind w:firstLine="34"/>
              <w:jc w:val="center"/>
              <w:rPr>
                <w:rFonts w:cs="Times New Roman"/>
                <w:bCs/>
                <w:color w:val="000000"/>
                <w:sz w:val="20"/>
                <w:szCs w:val="20"/>
              </w:rPr>
            </w:pPr>
            <w:r>
              <w:rPr>
                <w:color w:val="000000"/>
                <w:sz w:val="20"/>
                <w:szCs w:val="20"/>
              </w:rPr>
              <w:t>47</w:t>
            </w:r>
            <w:r w:rsidRPr="00E936FD">
              <w:rPr>
                <w:color w:val="000000"/>
                <w:sz w:val="20"/>
                <w:szCs w:val="20"/>
              </w:rPr>
              <w:t xml:space="preserve"> 406 416</w:t>
            </w:r>
          </w:p>
        </w:tc>
        <w:tc>
          <w:tcPr>
            <w:tcW w:w="1216" w:type="dxa"/>
            <w:vAlign w:val="center"/>
          </w:tcPr>
          <w:p w14:paraId="1E6096F1" w14:textId="77777777" w:rsidR="00EE1CF5" w:rsidRDefault="00EE1CF5" w:rsidP="00263AB1">
            <w:pPr>
              <w:jc w:val="center"/>
              <w:rPr>
                <w:color w:val="000000"/>
                <w:sz w:val="20"/>
                <w:szCs w:val="20"/>
              </w:rPr>
            </w:pPr>
            <w:r>
              <w:rPr>
                <w:color w:val="000000"/>
                <w:sz w:val="20"/>
                <w:szCs w:val="20"/>
              </w:rPr>
              <w:t>62 370 221</w:t>
            </w:r>
          </w:p>
        </w:tc>
        <w:tc>
          <w:tcPr>
            <w:tcW w:w="1316" w:type="dxa"/>
            <w:shd w:val="clear" w:color="auto" w:fill="auto"/>
            <w:noWrap/>
            <w:vAlign w:val="center"/>
          </w:tcPr>
          <w:p w14:paraId="7A8B5B3D" w14:textId="77777777" w:rsidR="00EE1CF5" w:rsidRPr="008D586E" w:rsidRDefault="00EE1CF5" w:rsidP="00263AB1">
            <w:pPr>
              <w:ind w:firstLine="34"/>
              <w:jc w:val="center"/>
              <w:rPr>
                <w:color w:val="000000"/>
                <w:sz w:val="20"/>
                <w:szCs w:val="20"/>
              </w:rPr>
            </w:pPr>
            <w:r w:rsidRPr="008D586E">
              <w:rPr>
                <w:color w:val="000000"/>
                <w:sz w:val="20"/>
                <w:szCs w:val="20"/>
              </w:rPr>
              <w:t>56 684 672</w:t>
            </w:r>
          </w:p>
        </w:tc>
        <w:tc>
          <w:tcPr>
            <w:tcW w:w="1329" w:type="dxa"/>
            <w:vAlign w:val="center"/>
          </w:tcPr>
          <w:p w14:paraId="4F381C22" w14:textId="77777777" w:rsidR="00EE1CF5" w:rsidRPr="00C5391F" w:rsidRDefault="00EE1CF5" w:rsidP="00263AB1">
            <w:pPr>
              <w:ind w:firstLine="34"/>
              <w:jc w:val="center"/>
              <w:rPr>
                <w:color w:val="000000"/>
                <w:sz w:val="20"/>
                <w:szCs w:val="20"/>
              </w:rPr>
            </w:pPr>
            <w:r>
              <w:rPr>
                <w:color w:val="000000"/>
                <w:sz w:val="20"/>
                <w:szCs w:val="20"/>
              </w:rPr>
              <w:t>37 970 221</w:t>
            </w:r>
          </w:p>
        </w:tc>
        <w:tc>
          <w:tcPr>
            <w:tcW w:w="1673" w:type="dxa"/>
            <w:tcBorders>
              <w:right w:val="single" w:sz="4" w:space="0" w:color="auto"/>
            </w:tcBorders>
            <w:shd w:val="clear" w:color="auto" w:fill="auto"/>
            <w:noWrap/>
            <w:vAlign w:val="center"/>
          </w:tcPr>
          <w:p w14:paraId="369C30A0" w14:textId="77777777" w:rsidR="00EE1CF5" w:rsidRPr="0000077A" w:rsidRDefault="00EE1CF5" w:rsidP="00263AB1">
            <w:pPr>
              <w:ind w:firstLine="34"/>
              <w:jc w:val="center"/>
              <w:rPr>
                <w:color w:val="000000"/>
                <w:sz w:val="20"/>
                <w:szCs w:val="20"/>
              </w:rPr>
            </w:pPr>
            <w:r>
              <w:rPr>
                <w:color w:val="000000"/>
                <w:sz w:val="20"/>
                <w:szCs w:val="20"/>
              </w:rPr>
              <w:t>42 940 221</w:t>
            </w:r>
          </w:p>
        </w:tc>
      </w:tr>
      <w:tr w:rsidR="00EE1CF5" w14:paraId="08ED37C2" w14:textId="77777777" w:rsidTr="00263AB1">
        <w:trPr>
          <w:trHeight w:val="288"/>
          <w:jc w:val="center"/>
        </w:trPr>
        <w:tc>
          <w:tcPr>
            <w:tcW w:w="3964" w:type="dxa"/>
            <w:shd w:val="clear" w:color="auto" w:fill="auto"/>
            <w:noWrap/>
            <w:vAlign w:val="bottom"/>
          </w:tcPr>
          <w:p w14:paraId="6BEB2F72" w14:textId="77777777" w:rsidR="00EE1CF5" w:rsidRPr="00E936FD" w:rsidRDefault="00EE1CF5" w:rsidP="00263AB1">
            <w:pPr>
              <w:ind w:firstLine="34"/>
              <w:jc w:val="left"/>
              <w:rPr>
                <w:rFonts w:cs="Times New Roman"/>
                <w:b/>
                <w:bCs/>
                <w:sz w:val="20"/>
                <w:szCs w:val="20"/>
              </w:rPr>
            </w:pPr>
            <w:r w:rsidRPr="00E936FD">
              <w:rPr>
                <w:rFonts w:cs="Times New Roman"/>
                <w:sz w:val="20"/>
                <w:szCs w:val="20"/>
              </w:rPr>
              <w:t>AS „Latvenergo” dividendes VPP enerģētikā vajadzībām</w:t>
            </w:r>
          </w:p>
        </w:tc>
        <w:tc>
          <w:tcPr>
            <w:tcW w:w="1248" w:type="dxa"/>
            <w:vAlign w:val="center"/>
          </w:tcPr>
          <w:p w14:paraId="38882C70" w14:textId="77777777" w:rsidR="00EE1CF5" w:rsidRPr="00E936FD" w:rsidRDefault="00EE1CF5" w:rsidP="00263AB1">
            <w:pPr>
              <w:ind w:firstLine="34"/>
              <w:jc w:val="center"/>
              <w:rPr>
                <w:color w:val="000000"/>
                <w:sz w:val="20"/>
                <w:szCs w:val="20"/>
              </w:rPr>
            </w:pPr>
            <w:r w:rsidRPr="00E936FD">
              <w:rPr>
                <w:color w:val="000000"/>
                <w:sz w:val="20"/>
                <w:szCs w:val="20"/>
              </w:rPr>
              <w:t>2 000 000</w:t>
            </w:r>
          </w:p>
        </w:tc>
        <w:tc>
          <w:tcPr>
            <w:tcW w:w="1293" w:type="dxa"/>
            <w:vAlign w:val="center"/>
          </w:tcPr>
          <w:p w14:paraId="5B1DA0A0"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2 000 000</w:t>
            </w:r>
          </w:p>
        </w:tc>
        <w:tc>
          <w:tcPr>
            <w:tcW w:w="1242" w:type="dxa"/>
            <w:shd w:val="clear" w:color="auto" w:fill="auto"/>
            <w:noWrap/>
            <w:vAlign w:val="center"/>
          </w:tcPr>
          <w:p w14:paraId="1AA7EF19"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216" w:type="dxa"/>
            <w:vAlign w:val="center"/>
          </w:tcPr>
          <w:p w14:paraId="378C44CF"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2 000 000</w:t>
            </w:r>
          </w:p>
        </w:tc>
        <w:tc>
          <w:tcPr>
            <w:tcW w:w="1316" w:type="dxa"/>
            <w:shd w:val="clear" w:color="auto" w:fill="auto"/>
            <w:noWrap/>
            <w:vAlign w:val="center"/>
          </w:tcPr>
          <w:p w14:paraId="1B3891EB"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329" w:type="dxa"/>
            <w:vAlign w:val="center"/>
          </w:tcPr>
          <w:p w14:paraId="64429A3E" w14:textId="77777777" w:rsidR="00EE1CF5" w:rsidRPr="00C5391F" w:rsidRDefault="00EE1CF5" w:rsidP="00263AB1">
            <w:pPr>
              <w:ind w:firstLine="34"/>
              <w:jc w:val="center"/>
              <w:rPr>
                <w:color w:val="000000"/>
                <w:sz w:val="20"/>
                <w:szCs w:val="20"/>
              </w:rPr>
            </w:pPr>
            <w:r w:rsidRPr="00C5391F">
              <w:rPr>
                <w:color w:val="000000"/>
                <w:sz w:val="20"/>
                <w:szCs w:val="20"/>
              </w:rPr>
              <w:t>2 000 000</w:t>
            </w:r>
          </w:p>
        </w:tc>
        <w:tc>
          <w:tcPr>
            <w:tcW w:w="1673" w:type="dxa"/>
            <w:tcBorders>
              <w:right w:val="single" w:sz="4" w:space="0" w:color="auto"/>
            </w:tcBorders>
            <w:shd w:val="clear" w:color="auto" w:fill="auto"/>
            <w:noWrap/>
            <w:vAlign w:val="center"/>
          </w:tcPr>
          <w:p w14:paraId="6A242D5D" w14:textId="77777777" w:rsidR="00EE1CF5" w:rsidRPr="0000077A" w:rsidRDefault="00EE1CF5" w:rsidP="00263AB1">
            <w:pPr>
              <w:ind w:firstLine="34"/>
              <w:jc w:val="center"/>
              <w:rPr>
                <w:rFonts w:cs="Times New Roman"/>
                <w:bCs/>
                <w:color w:val="000000"/>
                <w:sz w:val="20"/>
                <w:szCs w:val="20"/>
              </w:rPr>
            </w:pPr>
            <w:r w:rsidRPr="0000077A">
              <w:rPr>
                <w:color w:val="000000"/>
                <w:sz w:val="20"/>
                <w:szCs w:val="20"/>
              </w:rPr>
              <w:t>2 000 000</w:t>
            </w:r>
          </w:p>
        </w:tc>
      </w:tr>
      <w:tr w:rsidR="00EE1CF5" w14:paraId="7217523C" w14:textId="77777777" w:rsidTr="00263AB1">
        <w:trPr>
          <w:trHeight w:val="288"/>
          <w:jc w:val="center"/>
        </w:trPr>
        <w:tc>
          <w:tcPr>
            <w:tcW w:w="3964" w:type="dxa"/>
            <w:shd w:val="clear" w:color="auto" w:fill="auto"/>
            <w:noWrap/>
            <w:vAlign w:val="bottom"/>
            <w:hideMark/>
          </w:tcPr>
          <w:p w14:paraId="0F80C155"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Bilance</w:t>
            </w:r>
          </w:p>
        </w:tc>
        <w:tc>
          <w:tcPr>
            <w:tcW w:w="1248" w:type="dxa"/>
            <w:vAlign w:val="center"/>
          </w:tcPr>
          <w:p w14:paraId="598581AA" w14:textId="77777777" w:rsidR="00EE1CF5" w:rsidRPr="00E936FD" w:rsidRDefault="00EE1CF5" w:rsidP="00263AB1">
            <w:pPr>
              <w:ind w:firstLine="34"/>
              <w:jc w:val="center"/>
              <w:rPr>
                <w:b/>
                <w:bCs/>
                <w:color w:val="000000"/>
                <w:sz w:val="20"/>
                <w:szCs w:val="20"/>
              </w:rPr>
            </w:pPr>
            <w:r w:rsidRPr="00E936FD">
              <w:rPr>
                <w:b/>
                <w:bCs/>
                <w:color w:val="000000"/>
                <w:sz w:val="20"/>
                <w:szCs w:val="20"/>
              </w:rPr>
              <w:t>0</w:t>
            </w:r>
          </w:p>
        </w:tc>
        <w:tc>
          <w:tcPr>
            <w:tcW w:w="1293" w:type="dxa"/>
            <w:vAlign w:val="center"/>
          </w:tcPr>
          <w:p w14:paraId="71CC41E7" w14:textId="77777777" w:rsidR="00EE1CF5" w:rsidRPr="00E936FD" w:rsidRDefault="00EE1CF5" w:rsidP="00263AB1">
            <w:pPr>
              <w:ind w:firstLine="34"/>
              <w:jc w:val="center"/>
              <w:rPr>
                <w:b/>
                <w:bCs/>
                <w:color w:val="000000"/>
                <w:sz w:val="20"/>
                <w:szCs w:val="20"/>
              </w:rPr>
            </w:pPr>
            <w:r w:rsidRPr="00F931D3">
              <w:rPr>
                <w:rFonts w:cs="Times New Roman"/>
                <w:b/>
                <w:bCs/>
                <w:color w:val="000000"/>
                <w:sz w:val="20"/>
                <w:szCs w:val="20"/>
              </w:rPr>
              <w:t>0</w:t>
            </w:r>
          </w:p>
        </w:tc>
        <w:tc>
          <w:tcPr>
            <w:tcW w:w="1242" w:type="dxa"/>
            <w:shd w:val="clear" w:color="auto" w:fill="auto"/>
            <w:noWrap/>
          </w:tcPr>
          <w:p w14:paraId="44093161" w14:textId="77777777" w:rsidR="00EE1CF5" w:rsidRPr="00E936FD" w:rsidRDefault="00EE1CF5" w:rsidP="00263AB1">
            <w:pPr>
              <w:ind w:firstLine="34"/>
              <w:jc w:val="center"/>
              <w:rPr>
                <w:rFonts w:cs="Times New Roman"/>
                <w:b/>
                <w:bCs/>
                <w:color w:val="000000"/>
                <w:sz w:val="20"/>
                <w:szCs w:val="20"/>
              </w:rPr>
            </w:pPr>
            <w:r w:rsidRPr="00172681">
              <w:rPr>
                <w:b/>
                <w:bCs/>
                <w:color w:val="000000"/>
                <w:sz w:val="20"/>
                <w:szCs w:val="20"/>
              </w:rPr>
              <w:t>0</w:t>
            </w:r>
          </w:p>
        </w:tc>
        <w:tc>
          <w:tcPr>
            <w:tcW w:w="1216" w:type="dxa"/>
          </w:tcPr>
          <w:p w14:paraId="2FB836D2" w14:textId="77777777" w:rsidR="00EE1CF5" w:rsidRPr="00E936FD" w:rsidRDefault="00EE1CF5" w:rsidP="00263AB1">
            <w:pPr>
              <w:ind w:firstLine="34"/>
              <w:jc w:val="center"/>
              <w:rPr>
                <w:b/>
                <w:bCs/>
                <w:color w:val="000000"/>
                <w:sz w:val="20"/>
                <w:szCs w:val="20"/>
              </w:rPr>
            </w:pPr>
            <w:r w:rsidRPr="00172681">
              <w:rPr>
                <w:b/>
                <w:bCs/>
                <w:color w:val="000000"/>
                <w:sz w:val="20"/>
                <w:szCs w:val="20"/>
              </w:rPr>
              <w:t>0</w:t>
            </w:r>
          </w:p>
        </w:tc>
        <w:tc>
          <w:tcPr>
            <w:tcW w:w="1316" w:type="dxa"/>
            <w:shd w:val="clear" w:color="auto" w:fill="auto"/>
            <w:noWrap/>
          </w:tcPr>
          <w:p w14:paraId="491BF54C" w14:textId="77777777" w:rsidR="00EE1CF5" w:rsidRPr="00E936FD" w:rsidRDefault="00EE1CF5" w:rsidP="00263AB1">
            <w:pPr>
              <w:ind w:firstLine="34"/>
              <w:jc w:val="center"/>
              <w:rPr>
                <w:rFonts w:cs="Times New Roman"/>
                <w:b/>
                <w:bCs/>
                <w:color w:val="000000"/>
                <w:sz w:val="20"/>
                <w:szCs w:val="20"/>
              </w:rPr>
            </w:pPr>
            <w:r w:rsidRPr="00172681">
              <w:rPr>
                <w:b/>
                <w:bCs/>
                <w:color w:val="000000"/>
                <w:sz w:val="20"/>
                <w:szCs w:val="20"/>
              </w:rPr>
              <w:t>0</w:t>
            </w:r>
          </w:p>
        </w:tc>
        <w:tc>
          <w:tcPr>
            <w:tcW w:w="1329" w:type="dxa"/>
          </w:tcPr>
          <w:p w14:paraId="509E4ABC" w14:textId="77777777" w:rsidR="00EE1CF5" w:rsidRPr="00C5391F" w:rsidRDefault="00EE1CF5" w:rsidP="00263AB1">
            <w:pPr>
              <w:ind w:firstLine="34"/>
              <w:jc w:val="center"/>
              <w:rPr>
                <w:b/>
                <w:bCs/>
                <w:color w:val="000000"/>
                <w:sz w:val="20"/>
                <w:szCs w:val="20"/>
              </w:rPr>
            </w:pPr>
            <w:r w:rsidRPr="00C5391F">
              <w:rPr>
                <w:b/>
                <w:bCs/>
                <w:color w:val="000000"/>
                <w:sz w:val="20"/>
                <w:szCs w:val="20"/>
              </w:rPr>
              <w:t>0</w:t>
            </w:r>
          </w:p>
        </w:tc>
        <w:tc>
          <w:tcPr>
            <w:tcW w:w="1673" w:type="dxa"/>
            <w:tcBorders>
              <w:right w:val="single" w:sz="4" w:space="0" w:color="auto"/>
            </w:tcBorders>
            <w:shd w:val="clear" w:color="auto" w:fill="auto"/>
            <w:noWrap/>
          </w:tcPr>
          <w:p w14:paraId="63A5FE3D" w14:textId="77777777" w:rsidR="00EE1CF5" w:rsidRPr="0000077A" w:rsidRDefault="00EE1CF5" w:rsidP="00263AB1">
            <w:pPr>
              <w:ind w:firstLine="34"/>
              <w:jc w:val="center"/>
              <w:rPr>
                <w:rFonts w:cs="Times New Roman"/>
                <w:b/>
                <w:bCs/>
                <w:color w:val="000000"/>
                <w:sz w:val="20"/>
                <w:szCs w:val="20"/>
              </w:rPr>
            </w:pPr>
            <w:r w:rsidRPr="0000077A">
              <w:rPr>
                <w:b/>
                <w:bCs/>
                <w:color w:val="000000"/>
                <w:sz w:val="20"/>
                <w:szCs w:val="20"/>
              </w:rPr>
              <w:t>0</w:t>
            </w:r>
          </w:p>
        </w:tc>
      </w:tr>
      <w:tr w:rsidR="00EE1CF5" w14:paraId="3CFC4B01" w14:textId="77777777" w:rsidTr="00263AB1">
        <w:trPr>
          <w:trHeight w:val="288"/>
          <w:jc w:val="center"/>
        </w:trPr>
        <w:tc>
          <w:tcPr>
            <w:tcW w:w="3964" w:type="dxa"/>
            <w:shd w:val="clear" w:color="auto" w:fill="auto"/>
            <w:noWrap/>
            <w:vAlign w:val="bottom"/>
          </w:tcPr>
          <w:p w14:paraId="03BAAD1B" w14:textId="77777777" w:rsidR="00EE1CF5" w:rsidRPr="00E936FD" w:rsidRDefault="00EE1CF5" w:rsidP="00263AB1">
            <w:pPr>
              <w:ind w:firstLine="34"/>
              <w:jc w:val="center"/>
              <w:rPr>
                <w:rFonts w:cs="Times New Roman"/>
                <w:b/>
                <w:bCs/>
                <w:sz w:val="20"/>
                <w:szCs w:val="20"/>
              </w:rPr>
            </w:pPr>
            <w:r w:rsidRPr="00E936FD">
              <w:rPr>
                <w:rFonts w:cs="Times New Roman"/>
                <w:b/>
                <w:sz w:val="20"/>
                <w:szCs w:val="20"/>
              </w:rPr>
              <w:t>Vidējais OIK, EUR/MWh</w:t>
            </w:r>
          </w:p>
        </w:tc>
        <w:tc>
          <w:tcPr>
            <w:tcW w:w="1248" w:type="dxa"/>
            <w:vAlign w:val="center"/>
          </w:tcPr>
          <w:p w14:paraId="2B8F881A" w14:textId="77777777" w:rsidR="00EE1CF5" w:rsidRPr="00E936FD" w:rsidRDefault="00EE1CF5" w:rsidP="00263AB1">
            <w:pPr>
              <w:ind w:firstLine="34"/>
              <w:jc w:val="center"/>
              <w:rPr>
                <w:rFonts w:cs="Times New Roman"/>
                <w:b/>
                <w:sz w:val="20"/>
                <w:szCs w:val="20"/>
              </w:rPr>
            </w:pPr>
            <w:r w:rsidRPr="00E936FD">
              <w:rPr>
                <w:rFonts w:cs="Times New Roman"/>
                <w:b/>
                <w:sz w:val="20"/>
                <w:szCs w:val="20"/>
              </w:rPr>
              <w:t>25,79</w:t>
            </w:r>
          </w:p>
        </w:tc>
        <w:tc>
          <w:tcPr>
            <w:tcW w:w="1293" w:type="dxa"/>
            <w:vAlign w:val="center"/>
          </w:tcPr>
          <w:p w14:paraId="3C651620" w14:textId="77777777" w:rsidR="00EE1CF5" w:rsidRPr="00E936FD" w:rsidRDefault="00EE1CF5" w:rsidP="00263AB1">
            <w:pPr>
              <w:ind w:firstLine="34"/>
              <w:jc w:val="center"/>
              <w:rPr>
                <w:rFonts w:cs="Times New Roman"/>
                <w:b/>
                <w:sz w:val="20"/>
                <w:szCs w:val="20"/>
              </w:rPr>
            </w:pPr>
            <w:r w:rsidRPr="00F931D3">
              <w:rPr>
                <w:rFonts w:cs="Times New Roman"/>
                <w:b/>
                <w:sz w:val="20"/>
                <w:szCs w:val="20"/>
              </w:rPr>
              <w:t>2</w:t>
            </w:r>
            <w:r>
              <w:rPr>
                <w:rFonts w:cs="Times New Roman"/>
                <w:b/>
                <w:sz w:val="20"/>
                <w:szCs w:val="20"/>
              </w:rPr>
              <w:t>4</w:t>
            </w:r>
            <w:r w:rsidRPr="00F931D3">
              <w:rPr>
                <w:rFonts w:cs="Times New Roman"/>
                <w:b/>
                <w:sz w:val="20"/>
                <w:szCs w:val="20"/>
              </w:rPr>
              <w:t>,</w:t>
            </w:r>
            <w:r>
              <w:rPr>
                <w:rFonts w:cs="Times New Roman"/>
                <w:b/>
                <w:sz w:val="20"/>
                <w:szCs w:val="20"/>
              </w:rPr>
              <w:t>24</w:t>
            </w:r>
          </w:p>
        </w:tc>
        <w:tc>
          <w:tcPr>
            <w:tcW w:w="1242" w:type="dxa"/>
            <w:tcBorders>
              <w:right w:val="single" w:sz="4" w:space="0" w:color="auto"/>
            </w:tcBorders>
            <w:shd w:val="clear" w:color="auto" w:fill="auto"/>
            <w:vAlign w:val="center"/>
          </w:tcPr>
          <w:p w14:paraId="0D0EAACF" w14:textId="77777777" w:rsidR="00EE1CF5" w:rsidRPr="00E936FD" w:rsidRDefault="00EE1CF5" w:rsidP="00263AB1">
            <w:pPr>
              <w:ind w:firstLine="34"/>
              <w:jc w:val="center"/>
              <w:rPr>
                <w:rFonts w:cs="Times New Roman"/>
                <w:b/>
                <w:sz w:val="20"/>
                <w:szCs w:val="20"/>
              </w:rPr>
            </w:pPr>
            <w:r w:rsidRPr="00E936FD">
              <w:rPr>
                <w:rFonts w:cs="Times New Roman"/>
                <w:b/>
                <w:sz w:val="20"/>
                <w:szCs w:val="20"/>
              </w:rPr>
              <w:t>25,79</w:t>
            </w:r>
          </w:p>
        </w:tc>
        <w:tc>
          <w:tcPr>
            <w:tcW w:w="1216" w:type="dxa"/>
            <w:vAlign w:val="center"/>
          </w:tcPr>
          <w:p w14:paraId="06BB913B" w14:textId="77777777" w:rsidR="00EE1CF5" w:rsidRPr="00E936FD" w:rsidRDefault="00EE1CF5" w:rsidP="00263AB1">
            <w:pPr>
              <w:ind w:firstLine="34"/>
              <w:jc w:val="center"/>
              <w:rPr>
                <w:rFonts w:cs="Times New Roman"/>
                <w:b/>
                <w:sz w:val="20"/>
                <w:szCs w:val="20"/>
              </w:rPr>
            </w:pPr>
            <w:r>
              <w:rPr>
                <w:rFonts w:cs="Times New Roman"/>
                <w:b/>
                <w:sz w:val="20"/>
                <w:szCs w:val="20"/>
              </w:rPr>
              <w:t>17,30</w:t>
            </w:r>
          </w:p>
        </w:tc>
        <w:tc>
          <w:tcPr>
            <w:tcW w:w="1316" w:type="dxa"/>
            <w:tcBorders>
              <w:right w:val="single" w:sz="4" w:space="0" w:color="auto"/>
            </w:tcBorders>
            <w:shd w:val="clear" w:color="auto" w:fill="auto"/>
            <w:vAlign w:val="center"/>
          </w:tcPr>
          <w:p w14:paraId="64BF4997" w14:textId="77777777" w:rsidR="00EE1CF5" w:rsidRPr="00E936FD" w:rsidRDefault="00EE1CF5" w:rsidP="00263AB1">
            <w:pPr>
              <w:ind w:firstLine="34"/>
              <w:jc w:val="center"/>
              <w:rPr>
                <w:rFonts w:cs="Times New Roman"/>
                <w:b/>
                <w:sz w:val="20"/>
                <w:szCs w:val="20"/>
              </w:rPr>
            </w:pPr>
            <w:r w:rsidRPr="00E936FD">
              <w:rPr>
                <w:rFonts w:cs="Times New Roman"/>
                <w:b/>
                <w:sz w:val="20"/>
                <w:szCs w:val="20"/>
              </w:rPr>
              <w:t>24,92</w:t>
            </w:r>
          </w:p>
        </w:tc>
        <w:tc>
          <w:tcPr>
            <w:tcW w:w="1329" w:type="dxa"/>
            <w:vAlign w:val="center"/>
          </w:tcPr>
          <w:p w14:paraId="197718CC" w14:textId="77777777" w:rsidR="00EE1CF5" w:rsidRPr="00E936FD" w:rsidRDefault="00EE1CF5" w:rsidP="00263AB1">
            <w:pPr>
              <w:ind w:firstLine="34"/>
              <w:jc w:val="center"/>
              <w:rPr>
                <w:rFonts w:cs="Times New Roman"/>
                <w:b/>
                <w:sz w:val="20"/>
                <w:szCs w:val="20"/>
              </w:rPr>
            </w:pPr>
            <w:r w:rsidRPr="0000077A">
              <w:rPr>
                <w:rFonts w:cs="Times New Roman"/>
                <w:b/>
                <w:sz w:val="20"/>
                <w:szCs w:val="20"/>
              </w:rPr>
              <w:t>17,30</w:t>
            </w:r>
          </w:p>
        </w:tc>
        <w:tc>
          <w:tcPr>
            <w:tcW w:w="1673" w:type="dxa"/>
            <w:tcBorders>
              <w:right w:val="single" w:sz="4" w:space="0" w:color="auto"/>
            </w:tcBorders>
            <w:shd w:val="clear" w:color="auto" w:fill="auto"/>
            <w:vAlign w:val="center"/>
          </w:tcPr>
          <w:p w14:paraId="08FF1604" w14:textId="77777777" w:rsidR="00EE1CF5" w:rsidRPr="0000077A" w:rsidRDefault="00EE1CF5" w:rsidP="00263AB1">
            <w:pPr>
              <w:ind w:firstLine="34"/>
              <w:jc w:val="center"/>
              <w:rPr>
                <w:rFonts w:cs="Times New Roman"/>
                <w:b/>
                <w:sz w:val="20"/>
                <w:szCs w:val="20"/>
              </w:rPr>
            </w:pPr>
            <w:r w:rsidRPr="0000077A">
              <w:rPr>
                <w:rFonts w:cs="Times New Roman"/>
                <w:b/>
                <w:sz w:val="20"/>
                <w:szCs w:val="20"/>
              </w:rPr>
              <w:t>17,30</w:t>
            </w:r>
          </w:p>
        </w:tc>
      </w:tr>
    </w:tbl>
    <w:p w14:paraId="35D63E01" w14:textId="77777777" w:rsidR="00EE1CF5" w:rsidRDefault="00EE1CF5" w:rsidP="00EE1CF5">
      <w:pPr>
        <w:pStyle w:val="Caption"/>
        <w:keepNext/>
        <w:spacing w:line="240" w:lineRule="auto"/>
        <w:ind w:left="12960"/>
        <w:rPr>
          <w:rFonts w:ascii="Times New Roman" w:hAnsi="Times New Roman"/>
          <w:b w:val="0"/>
          <w:i/>
          <w:sz w:val="24"/>
          <w:szCs w:val="24"/>
        </w:rPr>
      </w:pPr>
      <w:r>
        <w:rPr>
          <w:rFonts w:ascii="Times New Roman" w:hAnsi="Times New Roman"/>
          <w:b w:val="0"/>
          <w:i/>
          <w:sz w:val="24"/>
          <w:szCs w:val="24"/>
        </w:rPr>
        <w:br/>
      </w:r>
    </w:p>
    <w:p w14:paraId="771581A1" w14:textId="77777777" w:rsidR="00EE1CF5" w:rsidRDefault="00EE1CF5" w:rsidP="00EE1CF5">
      <w:pPr>
        <w:jc w:val="left"/>
        <w:rPr>
          <w:b/>
          <w:i/>
          <w:sz w:val="24"/>
          <w:szCs w:val="24"/>
        </w:rPr>
      </w:pPr>
      <w:r>
        <w:rPr>
          <w:b/>
          <w:i/>
          <w:sz w:val="24"/>
          <w:szCs w:val="24"/>
        </w:rPr>
        <w:br w:type="page"/>
      </w:r>
    </w:p>
    <w:p w14:paraId="0F1AF274" w14:textId="77777777" w:rsidR="00EE1CF5" w:rsidRPr="00B40AFE" w:rsidRDefault="00EE1CF5" w:rsidP="00EE1CF5">
      <w:pPr>
        <w:jc w:val="right"/>
        <w:rPr>
          <w:rFonts w:eastAsia="Times New Roman" w:cs="Times New Roman"/>
          <w:bCs/>
          <w:i/>
          <w:color w:val="000000"/>
          <w:sz w:val="24"/>
          <w:szCs w:val="24"/>
        </w:rPr>
      </w:pPr>
      <w:r w:rsidRPr="00B40AFE">
        <w:rPr>
          <w:i/>
          <w:sz w:val="24"/>
          <w:szCs w:val="24"/>
        </w:rPr>
        <w:lastRenderedPageBreak/>
        <w:t>18.tabula</w:t>
      </w:r>
    </w:p>
    <w:p w14:paraId="17D41473" w14:textId="77777777" w:rsidR="00EE1CF5" w:rsidRPr="00E936FD" w:rsidRDefault="00EE1CF5" w:rsidP="00EE1CF5">
      <w:pPr>
        <w:pStyle w:val="Caption"/>
        <w:keepNext/>
        <w:keepLines/>
        <w:widowControl/>
        <w:jc w:val="center"/>
        <w:rPr>
          <w:rFonts w:ascii="Times New Roman" w:hAnsi="Times New Roman"/>
          <w:sz w:val="24"/>
          <w:szCs w:val="24"/>
        </w:rPr>
      </w:pPr>
      <w:r w:rsidRPr="00E936FD">
        <w:rPr>
          <w:rFonts w:ascii="Times New Roman" w:hAnsi="Times New Roman"/>
          <w:sz w:val="24"/>
          <w:szCs w:val="24"/>
        </w:rPr>
        <w:t>Valsts budžetā iemaksājamās AS "Latvenergo" dividendes, EUR</w:t>
      </w: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1434"/>
        <w:gridCol w:w="1250"/>
        <w:gridCol w:w="1392"/>
        <w:gridCol w:w="1325"/>
        <w:gridCol w:w="1771"/>
        <w:gridCol w:w="1325"/>
        <w:gridCol w:w="1250"/>
      </w:tblGrid>
      <w:tr w:rsidR="00EE1CF5" w14:paraId="1CD6099E" w14:textId="77777777" w:rsidTr="00263AB1">
        <w:trPr>
          <w:trHeight w:val="288"/>
          <w:jc w:val="center"/>
        </w:trPr>
        <w:tc>
          <w:tcPr>
            <w:tcW w:w="4813" w:type="dxa"/>
            <w:shd w:val="clear" w:color="auto" w:fill="auto"/>
            <w:noWrap/>
            <w:vAlign w:val="bottom"/>
            <w:hideMark/>
          </w:tcPr>
          <w:p w14:paraId="3E213E1E" w14:textId="77777777" w:rsidR="00EE1CF5" w:rsidRPr="00E936FD" w:rsidRDefault="00EE1CF5" w:rsidP="00263AB1">
            <w:pPr>
              <w:ind w:firstLine="34"/>
              <w:rPr>
                <w:rFonts w:cs="Times New Roman"/>
                <w:sz w:val="20"/>
                <w:szCs w:val="20"/>
              </w:rPr>
            </w:pPr>
          </w:p>
        </w:tc>
        <w:tc>
          <w:tcPr>
            <w:tcW w:w="2684" w:type="dxa"/>
            <w:gridSpan w:val="2"/>
            <w:shd w:val="clear" w:color="auto" w:fill="auto"/>
            <w:noWrap/>
            <w:vAlign w:val="center"/>
            <w:hideMark/>
          </w:tcPr>
          <w:p w14:paraId="1C58E389"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2018</w:t>
            </w:r>
          </w:p>
        </w:tc>
        <w:tc>
          <w:tcPr>
            <w:tcW w:w="2717" w:type="dxa"/>
            <w:gridSpan w:val="2"/>
            <w:shd w:val="clear" w:color="auto" w:fill="auto"/>
            <w:noWrap/>
            <w:vAlign w:val="center"/>
            <w:hideMark/>
          </w:tcPr>
          <w:p w14:paraId="191DC20F"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2019</w:t>
            </w:r>
          </w:p>
        </w:tc>
        <w:tc>
          <w:tcPr>
            <w:tcW w:w="3096" w:type="dxa"/>
            <w:gridSpan w:val="2"/>
            <w:tcBorders>
              <w:right w:val="single" w:sz="4" w:space="0" w:color="auto"/>
            </w:tcBorders>
            <w:shd w:val="clear" w:color="auto" w:fill="auto"/>
            <w:noWrap/>
            <w:vAlign w:val="center"/>
            <w:hideMark/>
          </w:tcPr>
          <w:p w14:paraId="25AA7146"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2020</w:t>
            </w:r>
          </w:p>
        </w:tc>
        <w:tc>
          <w:tcPr>
            <w:tcW w:w="1250" w:type="dxa"/>
            <w:tcBorders>
              <w:right w:val="single" w:sz="4" w:space="0" w:color="auto"/>
            </w:tcBorders>
          </w:tcPr>
          <w:p w14:paraId="16C84A45" w14:textId="77777777" w:rsidR="00EE1CF5" w:rsidRPr="00E936FD" w:rsidRDefault="00EE1CF5" w:rsidP="00263AB1">
            <w:pPr>
              <w:ind w:firstLine="34"/>
              <w:jc w:val="center"/>
              <w:rPr>
                <w:rFonts w:cs="Times New Roman"/>
                <w:b/>
                <w:bCs/>
                <w:sz w:val="20"/>
                <w:szCs w:val="20"/>
              </w:rPr>
            </w:pPr>
            <w:r>
              <w:rPr>
                <w:rFonts w:cs="Times New Roman"/>
                <w:b/>
                <w:bCs/>
                <w:sz w:val="20"/>
                <w:szCs w:val="20"/>
              </w:rPr>
              <w:t>2021</w:t>
            </w:r>
          </w:p>
        </w:tc>
      </w:tr>
      <w:tr w:rsidR="00EE1CF5" w14:paraId="050C0679" w14:textId="77777777" w:rsidTr="00263AB1">
        <w:trPr>
          <w:trHeight w:val="288"/>
          <w:jc w:val="center"/>
        </w:trPr>
        <w:tc>
          <w:tcPr>
            <w:tcW w:w="4813" w:type="dxa"/>
            <w:shd w:val="clear" w:color="auto" w:fill="auto"/>
            <w:noWrap/>
            <w:vAlign w:val="center"/>
          </w:tcPr>
          <w:p w14:paraId="5A3BAFFD" w14:textId="77777777" w:rsidR="00EE1CF5" w:rsidRPr="00E936FD" w:rsidRDefault="00EE1CF5" w:rsidP="00263AB1">
            <w:pPr>
              <w:ind w:firstLine="34"/>
              <w:jc w:val="center"/>
              <w:rPr>
                <w:rFonts w:cs="Times New Roman"/>
                <w:b/>
                <w:bCs/>
                <w:sz w:val="20"/>
                <w:szCs w:val="20"/>
              </w:rPr>
            </w:pPr>
          </w:p>
        </w:tc>
        <w:tc>
          <w:tcPr>
            <w:tcW w:w="1434" w:type="dxa"/>
            <w:shd w:val="clear" w:color="auto" w:fill="auto"/>
            <w:noWrap/>
            <w:vAlign w:val="center"/>
          </w:tcPr>
          <w:p w14:paraId="3EDB6297" w14:textId="77777777" w:rsidR="00EE1CF5" w:rsidRPr="00E936FD" w:rsidRDefault="00EE1CF5" w:rsidP="00263AB1">
            <w:pPr>
              <w:ind w:firstLine="34"/>
              <w:jc w:val="center"/>
              <w:rPr>
                <w:b/>
                <w:bCs/>
                <w:color w:val="000000"/>
                <w:sz w:val="20"/>
                <w:szCs w:val="20"/>
              </w:rPr>
            </w:pPr>
            <w:r>
              <w:rPr>
                <w:b/>
                <w:bCs/>
                <w:color w:val="000000"/>
                <w:sz w:val="20"/>
                <w:szCs w:val="20"/>
              </w:rPr>
              <w:t>Budžets</w:t>
            </w:r>
          </w:p>
        </w:tc>
        <w:tc>
          <w:tcPr>
            <w:tcW w:w="1250" w:type="dxa"/>
          </w:tcPr>
          <w:p w14:paraId="016200FE"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392" w:type="dxa"/>
            <w:shd w:val="clear" w:color="auto" w:fill="auto"/>
            <w:noWrap/>
            <w:vAlign w:val="center"/>
          </w:tcPr>
          <w:p w14:paraId="27CCC45A" w14:textId="77777777" w:rsidR="00EE1CF5" w:rsidRPr="00E936FD" w:rsidRDefault="00EE1CF5" w:rsidP="00263AB1">
            <w:pPr>
              <w:ind w:firstLine="34"/>
              <w:jc w:val="center"/>
              <w:rPr>
                <w:b/>
                <w:bCs/>
                <w:color w:val="000000"/>
                <w:sz w:val="20"/>
                <w:szCs w:val="20"/>
              </w:rPr>
            </w:pPr>
            <w:r>
              <w:rPr>
                <w:b/>
                <w:bCs/>
                <w:color w:val="000000"/>
                <w:sz w:val="20"/>
                <w:szCs w:val="20"/>
              </w:rPr>
              <w:t>2017. gada prognoze</w:t>
            </w:r>
          </w:p>
        </w:tc>
        <w:tc>
          <w:tcPr>
            <w:tcW w:w="1325" w:type="dxa"/>
          </w:tcPr>
          <w:p w14:paraId="75956D63"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771" w:type="dxa"/>
            <w:tcBorders>
              <w:right w:val="single" w:sz="4" w:space="0" w:color="auto"/>
            </w:tcBorders>
            <w:shd w:val="clear" w:color="auto" w:fill="auto"/>
            <w:noWrap/>
            <w:vAlign w:val="center"/>
          </w:tcPr>
          <w:p w14:paraId="00925941" w14:textId="77777777" w:rsidR="00EE1CF5" w:rsidRPr="00E936FD" w:rsidRDefault="00EE1CF5" w:rsidP="00263AB1">
            <w:pPr>
              <w:ind w:firstLine="34"/>
              <w:jc w:val="center"/>
              <w:rPr>
                <w:b/>
                <w:bCs/>
                <w:color w:val="000000"/>
                <w:sz w:val="20"/>
                <w:szCs w:val="20"/>
              </w:rPr>
            </w:pPr>
            <w:r>
              <w:rPr>
                <w:b/>
                <w:bCs/>
                <w:color w:val="000000"/>
                <w:sz w:val="20"/>
                <w:szCs w:val="20"/>
              </w:rPr>
              <w:t>2017. gada prognoze</w:t>
            </w:r>
          </w:p>
        </w:tc>
        <w:tc>
          <w:tcPr>
            <w:tcW w:w="1325" w:type="dxa"/>
            <w:tcBorders>
              <w:right w:val="single" w:sz="4" w:space="0" w:color="auto"/>
            </w:tcBorders>
          </w:tcPr>
          <w:p w14:paraId="0976CC3D"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250" w:type="dxa"/>
            <w:tcBorders>
              <w:right w:val="single" w:sz="4" w:space="0" w:color="auto"/>
            </w:tcBorders>
          </w:tcPr>
          <w:p w14:paraId="2D85E76D" w14:textId="77777777" w:rsidR="00EE1CF5" w:rsidRPr="00E936FD" w:rsidRDefault="00EE1CF5" w:rsidP="00263AB1">
            <w:pPr>
              <w:ind w:firstLine="34"/>
              <w:jc w:val="center"/>
              <w:rPr>
                <w:b/>
                <w:bCs/>
                <w:color w:val="000000"/>
                <w:sz w:val="20"/>
                <w:szCs w:val="20"/>
              </w:rPr>
            </w:pPr>
            <w:r>
              <w:rPr>
                <w:b/>
                <w:bCs/>
                <w:color w:val="000000"/>
                <w:sz w:val="20"/>
                <w:szCs w:val="20"/>
              </w:rPr>
              <w:t>Prognoze</w:t>
            </w:r>
          </w:p>
        </w:tc>
      </w:tr>
      <w:tr w:rsidR="00EE1CF5" w14:paraId="64C3C0BE" w14:textId="77777777" w:rsidTr="00263AB1">
        <w:trPr>
          <w:trHeight w:val="288"/>
          <w:jc w:val="center"/>
        </w:trPr>
        <w:tc>
          <w:tcPr>
            <w:tcW w:w="4813" w:type="dxa"/>
            <w:shd w:val="clear" w:color="auto" w:fill="auto"/>
            <w:noWrap/>
            <w:vAlign w:val="center"/>
            <w:hideMark/>
          </w:tcPr>
          <w:p w14:paraId="3960FED3"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 xml:space="preserve">AS </w:t>
            </w:r>
            <w:r w:rsidRPr="00E936FD">
              <w:rPr>
                <w:rFonts w:cs="Times New Roman"/>
                <w:b/>
                <w:sz w:val="20"/>
                <w:szCs w:val="20"/>
              </w:rPr>
              <w:t xml:space="preserve">„Latvenergo” </w:t>
            </w:r>
            <w:r w:rsidRPr="00E936FD">
              <w:rPr>
                <w:rFonts w:cs="Times New Roman"/>
                <w:b/>
                <w:bCs/>
                <w:sz w:val="20"/>
                <w:szCs w:val="20"/>
              </w:rPr>
              <w:t>dividendes, tajā skaitā</w:t>
            </w:r>
          </w:p>
        </w:tc>
        <w:tc>
          <w:tcPr>
            <w:tcW w:w="1434" w:type="dxa"/>
            <w:shd w:val="clear" w:color="auto" w:fill="auto"/>
            <w:noWrap/>
            <w:vAlign w:val="center"/>
            <w:hideMark/>
          </w:tcPr>
          <w:p w14:paraId="591CC2F3" w14:textId="77777777" w:rsidR="00EE1CF5" w:rsidRPr="00E936FD" w:rsidRDefault="00EE1CF5" w:rsidP="00263AB1">
            <w:pPr>
              <w:ind w:firstLine="34"/>
              <w:jc w:val="center"/>
              <w:rPr>
                <w:rFonts w:cs="Times New Roman"/>
                <w:b/>
                <w:bCs/>
                <w:color w:val="000000"/>
                <w:sz w:val="20"/>
                <w:szCs w:val="20"/>
              </w:rPr>
            </w:pPr>
            <w:r w:rsidRPr="00E936FD">
              <w:rPr>
                <w:b/>
                <w:bCs/>
                <w:color w:val="000000"/>
                <w:sz w:val="20"/>
                <w:szCs w:val="20"/>
              </w:rPr>
              <w:t>94 217 866</w:t>
            </w:r>
          </w:p>
        </w:tc>
        <w:tc>
          <w:tcPr>
            <w:tcW w:w="1250" w:type="dxa"/>
            <w:vAlign w:val="center"/>
          </w:tcPr>
          <w:p w14:paraId="3F6FC1CA" w14:textId="77777777" w:rsidR="00EE1CF5" w:rsidRPr="00E936FD" w:rsidRDefault="00EE1CF5" w:rsidP="00263AB1">
            <w:pPr>
              <w:ind w:firstLine="34"/>
              <w:jc w:val="center"/>
              <w:rPr>
                <w:b/>
                <w:bCs/>
                <w:color w:val="000000"/>
                <w:sz w:val="20"/>
                <w:szCs w:val="20"/>
              </w:rPr>
            </w:pPr>
            <w:r w:rsidRPr="007F00E3">
              <w:rPr>
                <w:b/>
                <w:bCs/>
                <w:color w:val="000000"/>
                <w:sz w:val="20"/>
                <w:szCs w:val="20"/>
              </w:rPr>
              <w:t>156</w:t>
            </w:r>
            <w:r>
              <w:rPr>
                <w:b/>
                <w:bCs/>
                <w:color w:val="000000"/>
                <w:sz w:val="20"/>
                <w:szCs w:val="20"/>
              </w:rPr>
              <w:t> </w:t>
            </w:r>
            <w:r w:rsidRPr="007F00E3">
              <w:rPr>
                <w:b/>
                <w:bCs/>
                <w:color w:val="000000"/>
                <w:sz w:val="20"/>
                <w:szCs w:val="20"/>
              </w:rPr>
              <w:t>417</w:t>
            </w:r>
            <w:r>
              <w:rPr>
                <w:b/>
                <w:bCs/>
                <w:color w:val="000000"/>
                <w:sz w:val="20"/>
                <w:szCs w:val="20"/>
              </w:rPr>
              <w:t> </w:t>
            </w:r>
            <w:r w:rsidRPr="007F00E3">
              <w:rPr>
                <w:b/>
                <w:bCs/>
                <w:color w:val="000000"/>
                <w:sz w:val="20"/>
                <w:szCs w:val="20"/>
              </w:rPr>
              <w:t>866</w:t>
            </w:r>
          </w:p>
        </w:tc>
        <w:tc>
          <w:tcPr>
            <w:tcW w:w="1392" w:type="dxa"/>
            <w:shd w:val="clear" w:color="auto" w:fill="auto"/>
            <w:noWrap/>
            <w:vAlign w:val="center"/>
            <w:hideMark/>
          </w:tcPr>
          <w:p w14:paraId="3D6A303C" w14:textId="77777777" w:rsidR="00EE1CF5" w:rsidRPr="00E936FD" w:rsidRDefault="00EE1CF5" w:rsidP="00263AB1">
            <w:pPr>
              <w:ind w:firstLine="34"/>
              <w:jc w:val="center"/>
              <w:rPr>
                <w:rFonts w:eastAsia="Times New Roman"/>
                <w:b/>
                <w:bCs/>
                <w:color w:val="000000"/>
                <w:sz w:val="20"/>
                <w:szCs w:val="20"/>
              </w:rPr>
            </w:pPr>
            <w:r w:rsidRPr="00E936FD">
              <w:rPr>
                <w:b/>
                <w:bCs/>
                <w:color w:val="000000"/>
                <w:sz w:val="20"/>
                <w:szCs w:val="20"/>
              </w:rPr>
              <w:t>132 936 416</w:t>
            </w:r>
          </w:p>
        </w:tc>
        <w:tc>
          <w:tcPr>
            <w:tcW w:w="1325" w:type="dxa"/>
            <w:vAlign w:val="center"/>
          </w:tcPr>
          <w:p w14:paraId="2DC93D13" w14:textId="77777777" w:rsidR="00EE1CF5" w:rsidRPr="00E936FD" w:rsidRDefault="00EE1CF5" w:rsidP="00263AB1">
            <w:pPr>
              <w:ind w:firstLine="34"/>
              <w:jc w:val="center"/>
              <w:rPr>
                <w:b/>
                <w:bCs/>
                <w:color w:val="000000"/>
                <w:sz w:val="20"/>
                <w:szCs w:val="20"/>
              </w:rPr>
            </w:pPr>
            <w:r w:rsidRPr="00A96ECF">
              <w:rPr>
                <w:b/>
                <w:bCs/>
                <w:color w:val="000000"/>
                <w:sz w:val="20"/>
                <w:szCs w:val="20"/>
              </w:rPr>
              <w:t>122 400 000</w:t>
            </w:r>
          </w:p>
        </w:tc>
        <w:tc>
          <w:tcPr>
            <w:tcW w:w="1771" w:type="dxa"/>
            <w:tcBorders>
              <w:right w:val="single" w:sz="4" w:space="0" w:color="auto"/>
            </w:tcBorders>
            <w:shd w:val="clear" w:color="auto" w:fill="auto"/>
            <w:noWrap/>
            <w:vAlign w:val="center"/>
            <w:hideMark/>
          </w:tcPr>
          <w:p w14:paraId="1C38BC20" w14:textId="77777777" w:rsidR="00EE1CF5" w:rsidRPr="00E936FD" w:rsidRDefault="00EE1CF5" w:rsidP="00263AB1">
            <w:pPr>
              <w:ind w:firstLine="34"/>
              <w:jc w:val="center"/>
              <w:rPr>
                <w:rFonts w:cs="Times New Roman"/>
                <w:b/>
                <w:bCs/>
                <w:color w:val="000000"/>
                <w:sz w:val="20"/>
                <w:szCs w:val="20"/>
              </w:rPr>
            </w:pPr>
            <w:r w:rsidRPr="00E936FD">
              <w:rPr>
                <w:b/>
                <w:bCs/>
                <w:color w:val="000000"/>
                <w:sz w:val="20"/>
                <w:szCs w:val="20"/>
              </w:rPr>
              <w:t>127 070 731</w:t>
            </w:r>
          </w:p>
        </w:tc>
        <w:tc>
          <w:tcPr>
            <w:tcW w:w="1325" w:type="dxa"/>
            <w:tcBorders>
              <w:right w:val="single" w:sz="4" w:space="0" w:color="auto"/>
            </w:tcBorders>
            <w:vAlign w:val="center"/>
          </w:tcPr>
          <w:p w14:paraId="4795D045" w14:textId="77777777" w:rsidR="00EE1CF5" w:rsidRPr="00E936FD" w:rsidRDefault="00EE1CF5" w:rsidP="00263AB1">
            <w:pPr>
              <w:ind w:firstLine="34"/>
              <w:jc w:val="center"/>
              <w:rPr>
                <w:b/>
                <w:bCs/>
                <w:color w:val="000000"/>
                <w:sz w:val="20"/>
                <w:szCs w:val="20"/>
              </w:rPr>
            </w:pPr>
            <w:r w:rsidRPr="00A85836">
              <w:rPr>
                <w:b/>
                <w:bCs/>
                <w:color w:val="000000"/>
                <w:sz w:val="20"/>
                <w:szCs w:val="20"/>
              </w:rPr>
              <w:t>119</w:t>
            </w:r>
            <w:r>
              <w:rPr>
                <w:b/>
                <w:bCs/>
                <w:color w:val="000000"/>
                <w:sz w:val="20"/>
                <w:szCs w:val="20"/>
              </w:rPr>
              <w:t> </w:t>
            </w:r>
            <w:r w:rsidRPr="00A85836">
              <w:rPr>
                <w:b/>
                <w:bCs/>
                <w:color w:val="000000"/>
                <w:sz w:val="20"/>
                <w:szCs w:val="20"/>
              </w:rPr>
              <w:t>800</w:t>
            </w:r>
            <w:r>
              <w:rPr>
                <w:b/>
                <w:bCs/>
                <w:color w:val="000000"/>
                <w:sz w:val="20"/>
                <w:szCs w:val="20"/>
              </w:rPr>
              <w:t> </w:t>
            </w:r>
            <w:r w:rsidRPr="00A85836">
              <w:rPr>
                <w:b/>
                <w:bCs/>
                <w:color w:val="000000"/>
                <w:sz w:val="20"/>
                <w:szCs w:val="20"/>
              </w:rPr>
              <w:t>000</w:t>
            </w:r>
          </w:p>
        </w:tc>
        <w:tc>
          <w:tcPr>
            <w:tcW w:w="1250" w:type="dxa"/>
            <w:tcBorders>
              <w:right w:val="single" w:sz="4" w:space="0" w:color="auto"/>
            </w:tcBorders>
            <w:vAlign w:val="center"/>
          </w:tcPr>
          <w:p w14:paraId="5963CD31" w14:textId="77777777" w:rsidR="00EE1CF5" w:rsidRPr="00E936FD" w:rsidRDefault="00EE1CF5" w:rsidP="00263AB1">
            <w:pPr>
              <w:ind w:firstLine="34"/>
              <w:jc w:val="center"/>
              <w:rPr>
                <w:b/>
                <w:bCs/>
                <w:color w:val="000000"/>
                <w:sz w:val="20"/>
                <w:szCs w:val="20"/>
              </w:rPr>
            </w:pPr>
            <w:r w:rsidRPr="008F7646">
              <w:rPr>
                <w:b/>
                <w:bCs/>
                <w:color w:val="000000"/>
                <w:sz w:val="20"/>
                <w:szCs w:val="20"/>
              </w:rPr>
              <w:t>104 200 000</w:t>
            </w:r>
          </w:p>
        </w:tc>
      </w:tr>
      <w:tr w:rsidR="00EE1CF5" w14:paraId="7DB4E9E7" w14:textId="77777777" w:rsidTr="00263AB1">
        <w:trPr>
          <w:trHeight w:val="288"/>
          <w:jc w:val="center"/>
        </w:trPr>
        <w:tc>
          <w:tcPr>
            <w:tcW w:w="4813" w:type="dxa"/>
            <w:shd w:val="clear" w:color="auto" w:fill="auto"/>
            <w:noWrap/>
            <w:vAlign w:val="center"/>
          </w:tcPr>
          <w:p w14:paraId="44C62119" w14:textId="77777777" w:rsidR="00EE1CF5" w:rsidRPr="00E936FD" w:rsidRDefault="00EE1CF5" w:rsidP="00263AB1">
            <w:pPr>
              <w:ind w:firstLine="34"/>
              <w:jc w:val="left"/>
              <w:rPr>
                <w:rFonts w:cs="Times New Roman"/>
                <w:bCs/>
                <w:sz w:val="20"/>
                <w:szCs w:val="20"/>
              </w:rPr>
            </w:pPr>
            <w:r w:rsidRPr="00E936FD">
              <w:rPr>
                <w:rFonts w:cs="Times New Roman"/>
                <w:sz w:val="20"/>
                <w:szCs w:val="20"/>
              </w:rPr>
              <w:t>VPP enerģētikā</w:t>
            </w:r>
          </w:p>
        </w:tc>
        <w:tc>
          <w:tcPr>
            <w:tcW w:w="1434" w:type="dxa"/>
            <w:shd w:val="clear" w:color="auto" w:fill="auto"/>
            <w:noWrap/>
            <w:vAlign w:val="center"/>
          </w:tcPr>
          <w:p w14:paraId="7FF0A162"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250" w:type="dxa"/>
            <w:vAlign w:val="center"/>
          </w:tcPr>
          <w:p w14:paraId="4D6C1C9E" w14:textId="77777777" w:rsidR="00EE1CF5" w:rsidRPr="00E936FD" w:rsidRDefault="00EE1CF5" w:rsidP="00263AB1">
            <w:pPr>
              <w:ind w:firstLine="34"/>
              <w:jc w:val="center"/>
              <w:rPr>
                <w:color w:val="000000"/>
                <w:sz w:val="20"/>
                <w:szCs w:val="20"/>
              </w:rPr>
            </w:pPr>
            <w:r w:rsidRPr="009857DF">
              <w:rPr>
                <w:color w:val="000000"/>
                <w:sz w:val="20"/>
                <w:szCs w:val="20"/>
              </w:rPr>
              <w:t>2 000 000</w:t>
            </w:r>
          </w:p>
        </w:tc>
        <w:tc>
          <w:tcPr>
            <w:tcW w:w="1392" w:type="dxa"/>
            <w:shd w:val="clear" w:color="auto" w:fill="auto"/>
            <w:noWrap/>
            <w:vAlign w:val="center"/>
          </w:tcPr>
          <w:p w14:paraId="4792C884" w14:textId="77777777" w:rsidR="00EE1CF5" w:rsidRPr="009857DF" w:rsidRDefault="00EE1CF5" w:rsidP="00263AB1">
            <w:pPr>
              <w:ind w:firstLine="34"/>
              <w:jc w:val="center"/>
              <w:rPr>
                <w:color w:val="000000"/>
                <w:sz w:val="20"/>
                <w:szCs w:val="20"/>
              </w:rPr>
            </w:pPr>
            <w:r w:rsidRPr="009857DF">
              <w:rPr>
                <w:color w:val="000000"/>
                <w:sz w:val="20"/>
                <w:szCs w:val="20"/>
              </w:rPr>
              <w:t>2 000 000</w:t>
            </w:r>
          </w:p>
        </w:tc>
        <w:tc>
          <w:tcPr>
            <w:tcW w:w="1325" w:type="dxa"/>
            <w:vAlign w:val="center"/>
          </w:tcPr>
          <w:p w14:paraId="6523581A" w14:textId="77777777" w:rsidR="00EE1CF5" w:rsidRPr="00E936FD" w:rsidRDefault="00EE1CF5" w:rsidP="00263AB1">
            <w:pPr>
              <w:ind w:firstLine="34"/>
              <w:jc w:val="center"/>
              <w:rPr>
                <w:color w:val="000000"/>
                <w:sz w:val="20"/>
                <w:szCs w:val="20"/>
              </w:rPr>
            </w:pPr>
            <w:r w:rsidRPr="009857DF">
              <w:rPr>
                <w:color w:val="000000"/>
                <w:sz w:val="20"/>
                <w:szCs w:val="20"/>
              </w:rPr>
              <w:t>2 000 000</w:t>
            </w:r>
          </w:p>
        </w:tc>
        <w:tc>
          <w:tcPr>
            <w:tcW w:w="1771" w:type="dxa"/>
            <w:tcBorders>
              <w:right w:val="single" w:sz="4" w:space="0" w:color="auto"/>
            </w:tcBorders>
            <w:shd w:val="clear" w:color="auto" w:fill="auto"/>
            <w:noWrap/>
            <w:vAlign w:val="center"/>
          </w:tcPr>
          <w:p w14:paraId="17F7C9B8" w14:textId="77777777" w:rsidR="00EE1CF5" w:rsidRPr="009857DF" w:rsidRDefault="00EE1CF5" w:rsidP="00263AB1">
            <w:pPr>
              <w:ind w:firstLine="34"/>
              <w:jc w:val="center"/>
              <w:rPr>
                <w:color w:val="000000"/>
                <w:sz w:val="20"/>
                <w:szCs w:val="20"/>
              </w:rPr>
            </w:pPr>
            <w:r w:rsidRPr="009857DF">
              <w:rPr>
                <w:color w:val="000000"/>
                <w:sz w:val="20"/>
                <w:szCs w:val="20"/>
              </w:rPr>
              <w:t>2 000 000</w:t>
            </w:r>
          </w:p>
        </w:tc>
        <w:tc>
          <w:tcPr>
            <w:tcW w:w="1325" w:type="dxa"/>
            <w:tcBorders>
              <w:right w:val="single" w:sz="4" w:space="0" w:color="auto"/>
            </w:tcBorders>
            <w:vAlign w:val="center"/>
          </w:tcPr>
          <w:p w14:paraId="18025D61" w14:textId="77777777" w:rsidR="00EE1CF5" w:rsidRPr="00E936FD" w:rsidRDefault="00EE1CF5" w:rsidP="00263AB1">
            <w:pPr>
              <w:ind w:firstLine="34"/>
              <w:jc w:val="center"/>
              <w:rPr>
                <w:color w:val="000000"/>
                <w:sz w:val="20"/>
                <w:szCs w:val="20"/>
              </w:rPr>
            </w:pPr>
            <w:r w:rsidRPr="009857DF">
              <w:rPr>
                <w:color w:val="000000"/>
                <w:sz w:val="20"/>
                <w:szCs w:val="20"/>
              </w:rPr>
              <w:t>2 000 000</w:t>
            </w:r>
          </w:p>
        </w:tc>
        <w:tc>
          <w:tcPr>
            <w:tcW w:w="1250" w:type="dxa"/>
            <w:tcBorders>
              <w:right w:val="single" w:sz="4" w:space="0" w:color="auto"/>
            </w:tcBorders>
            <w:vAlign w:val="center"/>
          </w:tcPr>
          <w:p w14:paraId="2DC51B4B" w14:textId="77777777" w:rsidR="00EE1CF5" w:rsidRPr="00E936FD" w:rsidRDefault="00EE1CF5" w:rsidP="00263AB1">
            <w:pPr>
              <w:ind w:firstLine="34"/>
              <w:jc w:val="center"/>
              <w:rPr>
                <w:color w:val="000000"/>
                <w:sz w:val="20"/>
                <w:szCs w:val="20"/>
              </w:rPr>
            </w:pPr>
            <w:r w:rsidRPr="009857DF">
              <w:rPr>
                <w:color w:val="000000"/>
                <w:sz w:val="20"/>
                <w:szCs w:val="20"/>
              </w:rPr>
              <w:t>2 000 000</w:t>
            </w:r>
          </w:p>
        </w:tc>
      </w:tr>
      <w:tr w:rsidR="00EE1CF5" w14:paraId="2488D1BD" w14:textId="77777777" w:rsidTr="00263AB1">
        <w:trPr>
          <w:trHeight w:val="288"/>
          <w:jc w:val="center"/>
        </w:trPr>
        <w:tc>
          <w:tcPr>
            <w:tcW w:w="4813" w:type="dxa"/>
            <w:shd w:val="clear" w:color="auto" w:fill="auto"/>
            <w:noWrap/>
            <w:vAlign w:val="center"/>
            <w:hideMark/>
          </w:tcPr>
          <w:p w14:paraId="207E4512" w14:textId="77777777" w:rsidR="00EE1CF5" w:rsidRPr="00E936FD" w:rsidRDefault="00EE1CF5" w:rsidP="00263AB1">
            <w:pPr>
              <w:ind w:firstLine="34"/>
              <w:jc w:val="left"/>
              <w:rPr>
                <w:rFonts w:cs="Times New Roman"/>
                <w:sz w:val="20"/>
                <w:szCs w:val="20"/>
              </w:rPr>
            </w:pPr>
            <w:r w:rsidRPr="00E936FD">
              <w:rPr>
                <w:rFonts w:cs="Times New Roman"/>
                <w:sz w:val="20"/>
                <w:szCs w:val="20"/>
              </w:rPr>
              <w:t>tostarp komplekso risinājumu elektroenerģijas tirgū novirzāmā daļa</w:t>
            </w:r>
          </w:p>
        </w:tc>
        <w:tc>
          <w:tcPr>
            <w:tcW w:w="1434" w:type="dxa"/>
            <w:shd w:val="clear" w:color="auto" w:fill="auto"/>
            <w:noWrap/>
            <w:vAlign w:val="center"/>
            <w:hideMark/>
          </w:tcPr>
          <w:p w14:paraId="272C8AA6" w14:textId="77777777" w:rsidR="00EE1CF5" w:rsidRPr="00E936FD" w:rsidRDefault="00EE1CF5" w:rsidP="00263AB1">
            <w:pPr>
              <w:ind w:firstLine="34"/>
              <w:jc w:val="center"/>
              <w:rPr>
                <w:rFonts w:cs="Times New Roman"/>
                <w:sz w:val="20"/>
                <w:szCs w:val="20"/>
              </w:rPr>
            </w:pPr>
            <w:r>
              <w:rPr>
                <w:color w:val="000000"/>
                <w:sz w:val="20"/>
                <w:szCs w:val="20"/>
              </w:rPr>
              <w:t>35</w:t>
            </w:r>
            <w:r w:rsidRPr="00E936FD">
              <w:rPr>
                <w:color w:val="000000"/>
                <w:sz w:val="20"/>
                <w:szCs w:val="20"/>
              </w:rPr>
              <w:t xml:space="preserve"> 987 866</w:t>
            </w:r>
          </w:p>
        </w:tc>
        <w:tc>
          <w:tcPr>
            <w:tcW w:w="1250" w:type="dxa"/>
            <w:vAlign w:val="center"/>
          </w:tcPr>
          <w:p w14:paraId="72CFC43D" w14:textId="77777777" w:rsidR="00EE1CF5" w:rsidRDefault="00EE1CF5" w:rsidP="00263AB1">
            <w:pPr>
              <w:ind w:firstLine="34"/>
              <w:jc w:val="center"/>
              <w:rPr>
                <w:color w:val="000000"/>
                <w:sz w:val="20"/>
                <w:szCs w:val="20"/>
              </w:rPr>
            </w:pPr>
            <w:r w:rsidRPr="009857DF">
              <w:rPr>
                <w:color w:val="000000"/>
                <w:sz w:val="20"/>
                <w:szCs w:val="20"/>
              </w:rPr>
              <w:t>91 428 043</w:t>
            </w:r>
          </w:p>
        </w:tc>
        <w:tc>
          <w:tcPr>
            <w:tcW w:w="1392" w:type="dxa"/>
            <w:shd w:val="clear" w:color="auto" w:fill="auto"/>
            <w:noWrap/>
            <w:vAlign w:val="center"/>
            <w:hideMark/>
          </w:tcPr>
          <w:p w14:paraId="27A8525F" w14:textId="77777777" w:rsidR="00EE1CF5" w:rsidRPr="009857DF" w:rsidRDefault="00EE1CF5" w:rsidP="00263AB1">
            <w:pPr>
              <w:ind w:firstLine="34"/>
              <w:jc w:val="center"/>
              <w:rPr>
                <w:color w:val="000000"/>
                <w:sz w:val="20"/>
                <w:szCs w:val="20"/>
              </w:rPr>
            </w:pPr>
            <w:r w:rsidRPr="009857DF">
              <w:rPr>
                <w:color w:val="000000"/>
                <w:sz w:val="20"/>
                <w:szCs w:val="20"/>
              </w:rPr>
              <w:t>47 406 416</w:t>
            </w:r>
          </w:p>
        </w:tc>
        <w:tc>
          <w:tcPr>
            <w:tcW w:w="1325" w:type="dxa"/>
            <w:vAlign w:val="center"/>
          </w:tcPr>
          <w:p w14:paraId="7F6CC3E0" w14:textId="77777777" w:rsidR="00EE1CF5" w:rsidRPr="00E936FD" w:rsidRDefault="00EE1CF5" w:rsidP="00263AB1">
            <w:pPr>
              <w:ind w:firstLine="34"/>
              <w:jc w:val="center"/>
              <w:rPr>
                <w:color w:val="000000"/>
                <w:sz w:val="20"/>
                <w:szCs w:val="20"/>
              </w:rPr>
            </w:pPr>
            <w:r>
              <w:rPr>
                <w:color w:val="000000"/>
                <w:sz w:val="20"/>
                <w:szCs w:val="20"/>
              </w:rPr>
              <w:t>62 370 221</w:t>
            </w:r>
          </w:p>
        </w:tc>
        <w:tc>
          <w:tcPr>
            <w:tcW w:w="1771" w:type="dxa"/>
            <w:tcBorders>
              <w:right w:val="single" w:sz="4" w:space="0" w:color="auto"/>
            </w:tcBorders>
            <w:shd w:val="clear" w:color="auto" w:fill="auto"/>
            <w:noWrap/>
            <w:vAlign w:val="center"/>
            <w:hideMark/>
          </w:tcPr>
          <w:p w14:paraId="0AA35F84" w14:textId="77777777" w:rsidR="00EE1CF5" w:rsidRPr="009857DF" w:rsidRDefault="00EE1CF5" w:rsidP="00263AB1">
            <w:pPr>
              <w:ind w:firstLine="34"/>
              <w:jc w:val="center"/>
              <w:rPr>
                <w:color w:val="000000"/>
                <w:sz w:val="20"/>
                <w:szCs w:val="20"/>
              </w:rPr>
            </w:pPr>
            <w:r w:rsidRPr="009857DF">
              <w:rPr>
                <w:color w:val="000000"/>
                <w:sz w:val="20"/>
                <w:szCs w:val="20"/>
              </w:rPr>
              <w:t>51 684 672</w:t>
            </w:r>
          </w:p>
        </w:tc>
        <w:tc>
          <w:tcPr>
            <w:tcW w:w="1325" w:type="dxa"/>
            <w:tcBorders>
              <w:right w:val="single" w:sz="4" w:space="0" w:color="auto"/>
            </w:tcBorders>
            <w:vAlign w:val="center"/>
          </w:tcPr>
          <w:p w14:paraId="3893F73D" w14:textId="77777777" w:rsidR="00EE1CF5" w:rsidRPr="009857DF" w:rsidRDefault="00EE1CF5" w:rsidP="00263AB1">
            <w:pPr>
              <w:ind w:firstLine="34"/>
              <w:jc w:val="center"/>
              <w:rPr>
                <w:color w:val="000000"/>
                <w:sz w:val="20"/>
                <w:szCs w:val="20"/>
              </w:rPr>
            </w:pPr>
            <w:r>
              <w:rPr>
                <w:color w:val="000000"/>
                <w:sz w:val="20"/>
                <w:szCs w:val="20"/>
              </w:rPr>
              <w:t>37 970 221</w:t>
            </w:r>
          </w:p>
        </w:tc>
        <w:tc>
          <w:tcPr>
            <w:tcW w:w="1250" w:type="dxa"/>
            <w:tcBorders>
              <w:right w:val="single" w:sz="4" w:space="0" w:color="auto"/>
            </w:tcBorders>
            <w:vAlign w:val="center"/>
          </w:tcPr>
          <w:p w14:paraId="1F80A00D" w14:textId="77777777" w:rsidR="00EE1CF5" w:rsidRPr="009857DF" w:rsidRDefault="00EE1CF5" w:rsidP="00263AB1">
            <w:pPr>
              <w:ind w:firstLine="34"/>
              <w:jc w:val="center"/>
              <w:rPr>
                <w:color w:val="000000"/>
                <w:sz w:val="20"/>
                <w:szCs w:val="20"/>
              </w:rPr>
            </w:pPr>
            <w:r>
              <w:rPr>
                <w:color w:val="000000"/>
                <w:sz w:val="20"/>
                <w:szCs w:val="20"/>
              </w:rPr>
              <w:t>42 940 221</w:t>
            </w:r>
          </w:p>
        </w:tc>
      </w:tr>
      <w:tr w:rsidR="00EE1CF5" w14:paraId="523F64DE" w14:textId="77777777" w:rsidTr="00263AB1">
        <w:trPr>
          <w:trHeight w:val="288"/>
          <w:jc w:val="center"/>
        </w:trPr>
        <w:tc>
          <w:tcPr>
            <w:tcW w:w="4813" w:type="dxa"/>
            <w:shd w:val="clear" w:color="auto" w:fill="auto"/>
            <w:noWrap/>
            <w:vAlign w:val="center"/>
            <w:hideMark/>
          </w:tcPr>
          <w:p w14:paraId="2FE31049" w14:textId="77777777" w:rsidR="00EE1CF5" w:rsidRPr="00E936FD" w:rsidRDefault="00EE1CF5" w:rsidP="00263AB1">
            <w:pPr>
              <w:ind w:firstLine="34"/>
              <w:jc w:val="left"/>
              <w:rPr>
                <w:rFonts w:cs="Times New Roman"/>
                <w:sz w:val="20"/>
                <w:szCs w:val="20"/>
              </w:rPr>
            </w:pPr>
            <w:r w:rsidRPr="00E936FD">
              <w:rPr>
                <w:rFonts w:cs="Times New Roman"/>
                <w:sz w:val="20"/>
                <w:szCs w:val="20"/>
              </w:rPr>
              <w:t>tostarp pārējās budžeta vajadzības</w:t>
            </w:r>
          </w:p>
        </w:tc>
        <w:tc>
          <w:tcPr>
            <w:tcW w:w="1434" w:type="dxa"/>
            <w:shd w:val="clear" w:color="auto" w:fill="auto"/>
            <w:noWrap/>
            <w:vAlign w:val="center"/>
            <w:hideMark/>
          </w:tcPr>
          <w:p w14:paraId="34F48514" w14:textId="77777777" w:rsidR="00EE1CF5" w:rsidRPr="00E936FD" w:rsidRDefault="00EE1CF5" w:rsidP="00263AB1">
            <w:pPr>
              <w:ind w:firstLine="34"/>
              <w:jc w:val="center"/>
              <w:rPr>
                <w:rFonts w:cs="Times New Roman"/>
                <w:sz w:val="20"/>
                <w:szCs w:val="20"/>
              </w:rPr>
            </w:pPr>
            <w:r w:rsidRPr="00E936FD">
              <w:rPr>
                <w:color w:val="000000"/>
                <w:sz w:val="20"/>
                <w:szCs w:val="20"/>
              </w:rPr>
              <w:t>5</w:t>
            </w:r>
            <w:r>
              <w:rPr>
                <w:color w:val="000000"/>
                <w:sz w:val="20"/>
                <w:szCs w:val="20"/>
              </w:rPr>
              <w:t>6</w:t>
            </w:r>
            <w:r w:rsidRPr="00E936FD">
              <w:rPr>
                <w:color w:val="000000"/>
                <w:sz w:val="20"/>
                <w:szCs w:val="20"/>
              </w:rPr>
              <w:t xml:space="preserve"> 230 000</w:t>
            </w:r>
          </w:p>
        </w:tc>
        <w:tc>
          <w:tcPr>
            <w:tcW w:w="1250" w:type="dxa"/>
            <w:vAlign w:val="center"/>
          </w:tcPr>
          <w:p w14:paraId="23A231D3" w14:textId="77777777" w:rsidR="00EE1CF5" w:rsidRPr="00E936FD" w:rsidRDefault="00EE1CF5" w:rsidP="00263AB1">
            <w:pPr>
              <w:ind w:firstLine="34"/>
              <w:jc w:val="center"/>
              <w:rPr>
                <w:color w:val="000000"/>
                <w:sz w:val="20"/>
                <w:szCs w:val="20"/>
              </w:rPr>
            </w:pPr>
            <w:r w:rsidRPr="009857DF">
              <w:rPr>
                <w:color w:val="000000"/>
                <w:sz w:val="20"/>
                <w:szCs w:val="20"/>
              </w:rPr>
              <w:t>62 989 823</w:t>
            </w:r>
          </w:p>
        </w:tc>
        <w:tc>
          <w:tcPr>
            <w:tcW w:w="1392" w:type="dxa"/>
            <w:shd w:val="clear" w:color="auto" w:fill="auto"/>
            <w:noWrap/>
            <w:vAlign w:val="center"/>
            <w:hideMark/>
          </w:tcPr>
          <w:p w14:paraId="205E322A" w14:textId="77777777" w:rsidR="00EE1CF5" w:rsidRPr="009857DF" w:rsidRDefault="00EE1CF5" w:rsidP="00263AB1">
            <w:pPr>
              <w:ind w:firstLine="34"/>
              <w:jc w:val="center"/>
              <w:rPr>
                <w:color w:val="000000"/>
                <w:sz w:val="20"/>
                <w:szCs w:val="20"/>
              </w:rPr>
            </w:pPr>
            <w:r w:rsidRPr="009857DF">
              <w:rPr>
                <w:color w:val="000000"/>
                <w:sz w:val="20"/>
                <w:szCs w:val="20"/>
              </w:rPr>
              <w:t>83 530 000</w:t>
            </w:r>
          </w:p>
        </w:tc>
        <w:tc>
          <w:tcPr>
            <w:tcW w:w="1325" w:type="dxa"/>
            <w:vAlign w:val="center"/>
          </w:tcPr>
          <w:p w14:paraId="58B725CF" w14:textId="77777777" w:rsidR="00EE1CF5" w:rsidRDefault="00EE1CF5" w:rsidP="00263AB1">
            <w:pPr>
              <w:ind w:firstLine="34"/>
              <w:jc w:val="center"/>
              <w:rPr>
                <w:color w:val="000000"/>
                <w:sz w:val="20"/>
                <w:szCs w:val="20"/>
              </w:rPr>
            </w:pPr>
            <w:r>
              <w:rPr>
                <w:color w:val="000000"/>
                <w:sz w:val="20"/>
                <w:szCs w:val="20"/>
              </w:rPr>
              <w:t>58 029 779</w:t>
            </w:r>
          </w:p>
        </w:tc>
        <w:tc>
          <w:tcPr>
            <w:tcW w:w="1771" w:type="dxa"/>
            <w:tcBorders>
              <w:right w:val="single" w:sz="4" w:space="0" w:color="auto"/>
            </w:tcBorders>
            <w:shd w:val="clear" w:color="auto" w:fill="auto"/>
            <w:noWrap/>
            <w:vAlign w:val="center"/>
            <w:hideMark/>
          </w:tcPr>
          <w:p w14:paraId="05326B04" w14:textId="77777777" w:rsidR="00EE1CF5" w:rsidRPr="009857DF" w:rsidRDefault="00EE1CF5" w:rsidP="00263AB1">
            <w:pPr>
              <w:ind w:firstLine="34"/>
              <w:jc w:val="center"/>
              <w:rPr>
                <w:color w:val="000000"/>
                <w:sz w:val="20"/>
                <w:szCs w:val="20"/>
              </w:rPr>
            </w:pPr>
            <w:r w:rsidRPr="009857DF">
              <w:rPr>
                <w:color w:val="000000"/>
                <w:sz w:val="20"/>
                <w:szCs w:val="20"/>
              </w:rPr>
              <w:t>73 386 059</w:t>
            </w:r>
          </w:p>
        </w:tc>
        <w:tc>
          <w:tcPr>
            <w:tcW w:w="1325" w:type="dxa"/>
            <w:tcBorders>
              <w:right w:val="single" w:sz="4" w:space="0" w:color="auto"/>
            </w:tcBorders>
            <w:vAlign w:val="center"/>
          </w:tcPr>
          <w:p w14:paraId="7A4032BE" w14:textId="77777777" w:rsidR="00EE1CF5" w:rsidRPr="009857DF" w:rsidRDefault="00EE1CF5" w:rsidP="00263AB1">
            <w:pPr>
              <w:ind w:firstLine="34"/>
              <w:jc w:val="center"/>
              <w:rPr>
                <w:color w:val="000000"/>
                <w:sz w:val="20"/>
                <w:szCs w:val="20"/>
              </w:rPr>
            </w:pPr>
            <w:r>
              <w:rPr>
                <w:color w:val="000000"/>
                <w:sz w:val="20"/>
                <w:szCs w:val="20"/>
              </w:rPr>
              <w:t>79 829 779</w:t>
            </w:r>
          </w:p>
        </w:tc>
        <w:tc>
          <w:tcPr>
            <w:tcW w:w="1250" w:type="dxa"/>
            <w:tcBorders>
              <w:right w:val="single" w:sz="4" w:space="0" w:color="auto"/>
            </w:tcBorders>
            <w:vAlign w:val="center"/>
          </w:tcPr>
          <w:p w14:paraId="0BE7AF5E" w14:textId="77777777" w:rsidR="00EE1CF5" w:rsidRPr="009857DF" w:rsidRDefault="00EE1CF5" w:rsidP="00263AB1">
            <w:pPr>
              <w:ind w:firstLine="34"/>
              <w:jc w:val="center"/>
              <w:rPr>
                <w:color w:val="000000"/>
                <w:sz w:val="20"/>
                <w:szCs w:val="20"/>
              </w:rPr>
            </w:pPr>
            <w:r>
              <w:rPr>
                <w:color w:val="000000"/>
                <w:sz w:val="20"/>
                <w:szCs w:val="20"/>
              </w:rPr>
              <w:t>59 259 779</w:t>
            </w:r>
          </w:p>
        </w:tc>
      </w:tr>
    </w:tbl>
    <w:p w14:paraId="650D6992" w14:textId="77777777" w:rsidR="00EE1CF5" w:rsidRPr="00C75AE3" w:rsidRDefault="00EE1CF5" w:rsidP="00EE1CF5">
      <w:pPr>
        <w:pStyle w:val="Caption"/>
        <w:keepNext/>
        <w:spacing w:line="240" w:lineRule="auto"/>
        <w:jc w:val="right"/>
        <w:rPr>
          <w:rFonts w:ascii="Times New Roman" w:hAnsi="Times New Roman"/>
          <w:b w:val="0"/>
          <w:i/>
          <w:sz w:val="24"/>
          <w:szCs w:val="24"/>
        </w:rPr>
      </w:pPr>
      <w:r w:rsidRPr="00C75AE3">
        <w:rPr>
          <w:rFonts w:ascii="Times New Roman" w:hAnsi="Times New Roman"/>
          <w:b w:val="0"/>
          <w:i/>
          <w:sz w:val="24"/>
          <w:szCs w:val="24"/>
        </w:rPr>
        <w:t>19.tabula</w:t>
      </w:r>
    </w:p>
    <w:p w14:paraId="4E97E679" w14:textId="77777777" w:rsidR="00EE1CF5" w:rsidRPr="00E936FD" w:rsidRDefault="00EE1CF5" w:rsidP="00EE1CF5">
      <w:pPr>
        <w:pStyle w:val="Caption"/>
        <w:keepNext/>
        <w:keepLines/>
        <w:widowControl/>
        <w:jc w:val="center"/>
        <w:rPr>
          <w:rFonts w:ascii="Times New Roman" w:hAnsi="Times New Roman"/>
          <w:sz w:val="24"/>
          <w:szCs w:val="24"/>
        </w:rPr>
      </w:pPr>
      <w:r w:rsidRPr="00E936FD">
        <w:rPr>
          <w:rFonts w:ascii="Times New Roman" w:hAnsi="Times New Roman"/>
          <w:sz w:val="24"/>
          <w:szCs w:val="24"/>
        </w:rPr>
        <w:t>Valsts budžetā paredzamais finansējums kompleksā risinājuma īstenošanai pēc naudas plūsmas metodes, EUR</w:t>
      </w:r>
    </w:p>
    <w:tbl>
      <w:tblPr>
        <w:tblW w:w="12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9"/>
        <w:gridCol w:w="1402"/>
        <w:gridCol w:w="1903"/>
        <w:gridCol w:w="1396"/>
        <w:gridCol w:w="1396"/>
        <w:gridCol w:w="1150"/>
      </w:tblGrid>
      <w:tr w:rsidR="00EE1CF5" w14:paraId="57747F89" w14:textId="77777777" w:rsidTr="00263AB1">
        <w:trPr>
          <w:trHeight w:val="288"/>
          <w:jc w:val="center"/>
        </w:trPr>
        <w:tc>
          <w:tcPr>
            <w:tcW w:w="5399" w:type="dxa"/>
            <w:shd w:val="clear" w:color="auto" w:fill="auto"/>
            <w:noWrap/>
            <w:vAlign w:val="bottom"/>
            <w:hideMark/>
          </w:tcPr>
          <w:p w14:paraId="34718108" w14:textId="77777777" w:rsidR="00EE1CF5" w:rsidRPr="00E936FD" w:rsidRDefault="00EE1CF5" w:rsidP="00263AB1">
            <w:pPr>
              <w:ind w:firstLine="34"/>
              <w:rPr>
                <w:rFonts w:cs="Times New Roman"/>
                <w:sz w:val="20"/>
                <w:szCs w:val="20"/>
              </w:rPr>
            </w:pPr>
          </w:p>
        </w:tc>
        <w:tc>
          <w:tcPr>
            <w:tcW w:w="3305" w:type="dxa"/>
            <w:gridSpan w:val="2"/>
            <w:shd w:val="clear" w:color="auto" w:fill="auto"/>
            <w:noWrap/>
            <w:vAlign w:val="center"/>
            <w:hideMark/>
          </w:tcPr>
          <w:p w14:paraId="016FD7EB"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2019</w:t>
            </w:r>
          </w:p>
        </w:tc>
        <w:tc>
          <w:tcPr>
            <w:tcW w:w="2792" w:type="dxa"/>
            <w:gridSpan w:val="2"/>
            <w:tcBorders>
              <w:right w:val="single" w:sz="4" w:space="0" w:color="auto"/>
            </w:tcBorders>
            <w:shd w:val="clear" w:color="auto" w:fill="auto"/>
            <w:noWrap/>
            <w:vAlign w:val="center"/>
            <w:hideMark/>
          </w:tcPr>
          <w:p w14:paraId="3ABAF4D7"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2020</w:t>
            </w:r>
          </w:p>
        </w:tc>
        <w:tc>
          <w:tcPr>
            <w:tcW w:w="1150" w:type="dxa"/>
            <w:tcBorders>
              <w:right w:val="single" w:sz="4" w:space="0" w:color="auto"/>
            </w:tcBorders>
          </w:tcPr>
          <w:p w14:paraId="314FA4DD" w14:textId="77777777" w:rsidR="00EE1CF5" w:rsidRPr="00E936FD" w:rsidRDefault="00EE1CF5" w:rsidP="00263AB1">
            <w:pPr>
              <w:ind w:firstLine="34"/>
              <w:jc w:val="center"/>
              <w:rPr>
                <w:rFonts w:cs="Times New Roman"/>
                <w:b/>
                <w:bCs/>
                <w:sz w:val="20"/>
                <w:szCs w:val="20"/>
              </w:rPr>
            </w:pPr>
            <w:r>
              <w:rPr>
                <w:rFonts w:cs="Times New Roman"/>
                <w:b/>
                <w:bCs/>
                <w:sz w:val="20"/>
                <w:szCs w:val="20"/>
              </w:rPr>
              <w:t>2021</w:t>
            </w:r>
          </w:p>
        </w:tc>
      </w:tr>
      <w:tr w:rsidR="00EE1CF5" w14:paraId="59BA7AD7" w14:textId="77777777" w:rsidTr="00263AB1">
        <w:trPr>
          <w:trHeight w:val="288"/>
          <w:jc w:val="center"/>
        </w:trPr>
        <w:tc>
          <w:tcPr>
            <w:tcW w:w="5399" w:type="dxa"/>
            <w:shd w:val="clear" w:color="auto" w:fill="auto"/>
            <w:noWrap/>
            <w:vAlign w:val="center"/>
          </w:tcPr>
          <w:p w14:paraId="2B4D8F06" w14:textId="77777777" w:rsidR="00EE1CF5" w:rsidRPr="00E936FD" w:rsidRDefault="00EE1CF5" w:rsidP="00263AB1">
            <w:pPr>
              <w:ind w:firstLine="34"/>
              <w:rPr>
                <w:rFonts w:cs="Times New Roman"/>
                <w:bCs/>
                <w:sz w:val="20"/>
                <w:szCs w:val="20"/>
              </w:rPr>
            </w:pPr>
          </w:p>
        </w:tc>
        <w:tc>
          <w:tcPr>
            <w:tcW w:w="1402" w:type="dxa"/>
            <w:shd w:val="clear" w:color="auto" w:fill="auto"/>
            <w:noWrap/>
            <w:vAlign w:val="center"/>
          </w:tcPr>
          <w:p w14:paraId="5974B45E" w14:textId="77777777" w:rsidR="00EE1CF5" w:rsidRDefault="00EE1CF5" w:rsidP="00263AB1">
            <w:pPr>
              <w:ind w:firstLine="34"/>
              <w:jc w:val="center"/>
              <w:rPr>
                <w:sz w:val="20"/>
                <w:szCs w:val="20"/>
              </w:rPr>
            </w:pPr>
            <w:r>
              <w:rPr>
                <w:sz w:val="20"/>
                <w:szCs w:val="20"/>
              </w:rPr>
              <w:t>2017. gada prognoze</w:t>
            </w:r>
          </w:p>
        </w:tc>
        <w:tc>
          <w:tcPr>
            <w:tcW w:w="1903" w:type="dxa"/>
          </w:tcPr>
          <w:p w14:paraId="6D385628" w14:textId="77777777" w:rsidR="00EE1CF5" w:rsidRDefault="00EE1CF5" w:rsidP="00263AB1">
            <w:pPr>
              <w:ind w:firstLine="34"/>
              <w:jc w:val="center"/>
              <w:rPr>
                <w:color w:val="000000" w:themeColor="text1"/>
                <w:sz w:val="20"/>
                <w:szCs w:val="20"/>
              </w:rPr>
            </w:pPr>
            <w:r>
              <w:rPr>
                <w:color w:val="000000" w:themeColor="text1"/>
                <w:sz w:val="20"/>
                <w:szCs w:val="20"/>
              </w:rPr>
              <w:t>Prognoze</w:t>
            </w:r>
          </w:p>
        </w:tc>
        <w:tc>
          <w:tcPr>
            <w:tcW w:w="1396" w:type="dxa"/>
            <w:tcBorders>
              <w:right w:val="single" w:sz="4" w:space="0" w:color="auto"/>
            </w:tcBorders>
            <w:shd w:val="clear" w:color="auto" w:fill="auto"/>
            <w:noWrap/>
            <w:vAlign w:val="center"/>
          </w:tcPr>
          <w:p w14:paraId="254E3ED5" w14:textId="77777777" w:rsidR="00EE1CF5" w:rsidRDefault="00EE1CF5" w:rsidP="00263AB1">
            <w:pPr>
              <w:ind w:firstLine="34"/>
              <w:jc w:val="center"/>
              <w:rPr>
                <w:color w:val="000000" w:themeColor="text1"/>
                <w:sz w:val="20"/>
                <w:szCs w:val="20"/>
              </w:rPr>
            </w:pPr>
            <w:r>
              <w:rPr>
                <w:sz w:val="20"/>
                <w:szCs w:val="20"/>
              </w:rPr>
              <w:t>2017. gada prognoze</w:t>
            </w:r>
          </w:p>
        </w:tc>
        <w:tc>
          <w:tcPr>
            <w:tcW w:w="1396" w:type="dxa"/>
            <w:tcBorders>
              <w:right w:val="single" w:sz="4" w:space="0" w:color="auto"/>
            </w:tcBorders>
          </w:tcPr>
          <w:p w14:paraId="45CD466C" w14:textId="77777777" w:rsidR="00EE1CF5" w:rsidRPr="00072653" w:rsidRDefault="00EE1CF5" w:rsidP="00263AB1">
            <w:pPr>
              <w:ind w:firstLine="34"/>
              <w:jc w:val="center"/>
              <w:rPr>
                <w:color w:val="000000" w:themeColor="text1"/>
                <w:sz w:val="20"/>
                <w:szCs w:val="20"/>
              </w:rPr>
            </w:pPr>
            <w:r w:rsidRPr="00072653">
              <w:rPr>
                <w:color w:val="000000" w:themeColor="text1"/>
                <w:sz w:val="20"/>
                <w:szCs w:val="20"/>
              </w:rPr>
              <w:t>Prognoze</w:t>
            </w:r>
          </w:p>
        </w:tc>
        <w:tc>
          <w:tcPr>
            <w:tcW w:w="1150" w:type="dxa"/>
            <w:tcBorders>
              <w:right w:val="single" w:sz="4" w:space="0" w:color="auto"/>
            </w:tcBorders>
          </w:tcPr>
          <w:p w14:paraId="6F137D4A" w14:textId="77777777" w:rsidR="00EE1CF5" w:rsidRPr="00072653" w:rsidRDefault="00EE1CF5" w:rsidP="00263AB1">
            <w:pPr>
              <w:ind w:firstLine="34"/>
              <w:jc w:val="center"/>
              <w:rPr>
                <w:color w:val="000000" w:themeColor="text1"/>
                <w:sz w:val="20"/>
                <w:szCs w:val="20"/>
              </w:rPr>
            </w:pPr>
            <w:r w:rsidRPr="00072653">
              <w:rPr>
                <w:color w:val="000000" w:themeColor="text1"/>
                <w:sz w:val="20"/>
                <w:szCs w:val="20"/>
              </w:rPr>
              <w:t>Prognoze</w:t>
            </w:r>
          </w:p>
        </w:tc>
      </w:tr>
      <w:tr w:rsidR="00EE1CF5" w14:paraId="261BC488" w14:textId="77777777" w:rsidTr="00263AB1">
        <w:trPr>
          <w:trHeight w:val="288"/>
          <w:jc w:val="center"/>
        </w:trPr>
        <w:tc>
          <w:tcPr>
            <w:tcW w:w="5399" w:type="dxa"/>
            <w:shd w:val="clear" w:color="auto" w:fill="auto"/>
            <w:noWrap/>
            <w:vAlign w:val="center"/>
            <w:hideMark/>
          </w:tcPr>
          <w:p w14:paraId="620766CA" w14:textId="77777777" w:rsidR="00EE1CF5" w:rsidRPr="00E936FD" w:rsidRDefault="00EE1CF5" w:rsidP="00263AB1">
            <w:pPr>
              <w:ind w:firstLine="34"/>
              <w:rPr>
                <w:rFonts w:cs="Times New Roman"/>
                <w:bCs/>
                <w:sz w:val="20"/>
                <w:szCs w:val="20"/>
              </w:rPr>
            </w:pPr>
            <w:r w:rsidRPr="00E936FD">
              <w:rPr>
                <w:rFonts w:cs="Times New Roman"/>
                <w:bCs/>
                <w:sz w:val="20"/>
                <w:szCs w:val="20"/>
              </w:rPr>
              <w:t>Finansējums OIK apmēra mazināšanai, t.sk. administrēšanas vajadzībām</w:t>
            </w:r>
          </w:p>
        </w:tc>
        <w:tc>
          <w:tcPr>
            <w:tcW w:w="1402" w:type="dxa"/>
            <w:shd w:val="clear" w:color="auto" w:fill="auto"/>
            <w:noWrap/>
            <w:vAlign w:val="center"/>
            <w:hideMark/>
          </w:tcPr>
          <w:p w14:paraId="50FF47AC" w14:textId="77777777" w:rsidR="00EE1CF5" w:rsidRPr="00CD623C" w:rsidRDefault="00EE1CF5" w:rsidP="00263AB1">
            <w:pPr>
              <w:ind w:firstLine="34"/>
              <w:jc w:val="center"/>
              <w:rPr>
                <w:color w:val="000000"/>
                <w:sz w:val="20"/>
                <w:szCs w:val="20"/>
              </w:rPr>
            </w:pPr>
            <w:r w:rsidRPr="00CD623C">
              <w:rPr>
                <w:color w:val="000000"/>
                <w:sz w:val="20"/>
                <w:szCs w:val="20"/>
              </w:rPr>
              <w:t>9 085 684</w:t>
            </w:r>
          </w:p>
        </w:tc>
        <w:tc>
          <w:tcPr>
            <w:tcW w:w="1903" w:type="dxa"/>
            <w:vAlign w:val="center"/>
          </w:tcPr>
          <w:p w14:paraId="6C6D67B9" w14:textId="77777777" w:rsidR="00EE1CF5" w:rsidRPr="004316BB" w:rsidRDefault="00EE1CF5" w:rsidP="00263AB1">
            <w:pPr>
              <w:jc w:val="center"/>
              <w:rPr>
                <w:color w:val="000000"/>
                <w:sz w:val="20"/>
                <w:szCs w:val="20"/>
                <w:vertAlign w:val="superscript"/>
              </w:rPr>
            </w:pPr>
            <w:r>
              <w:rPr>
                <w:color w:val="000000"/>
                <w:sz w:val="20"/>
                <w:szCs w:val="20"/>
              </w:rPr>
              <w:t>8 463 215</w:t>
            </w:r>
            <w:r>
              <w:rPr>
                <w:color w:val="000000"/>
                <w:sz w:val="20"/>
                <w:szCs w:val="20"/>
                <w:vertAlign w:val="superscript"/>
              </w:rPr>
              <w:t>35</w:t>
            </w:r>
          </w:p>
        </w:tc>
        <w:tc>
          <w:tcPr>
            <w:tcW w:w="1396" w:type="dxa"/>
            <w:tcBorders>
              <w:right w:val="single" w:sz="4" w:space="0" w:color="auto"/>
            </w:tcBorders>
            <w:shd w:val="clear" w:color="auto" w:fill="auto"/>
            <w:noWrap/>
            <w:vAlign w:val="center"/>
            <w:hideMark/>
          </w:tcPr>
          <w:p w14:paraId="3C312708" w14:textId="77777777" w:rsidR="00EE1CF5" w:rsidRPr="00CD623C" w:rsidRDefault="00EE1CF5" w:rsidP="00263AB1">
            <w:pPr>
              <w:ind w:firstLine="34"/>
              <w:jc w:val="center"/>
              <w:rPr>
                <w:color w:val="000000"/>
                <w:sz w:val="20"/>
                <w:szCs w:val="20"/>
              </w:rPr>
            </w:pPr>
            <w:r>
              <w:rPr>
                <w:color w:val="000000" w:themeColor="text1"/>
                <w:sz w:val="20"/>
                <w:szCs w:val="20"/>
              </w:rPr>
              <w:t>9 683 389</w:t>
            </w:r>
          </w:p>
        </w:tc>
        <w:tc>
          <w:tcPr>
            <w:tcW w:w="1396" w:type="dxa"/>
            <w:tcBorders>
              <w:right w:val="single" w:sz="4" w:space="0" w:color="auto"/>
            </w:tcBorders>
            <w:vAlign w:val="center"/>
          </w:tcPr>
          <w:p w14:paraId="44B33D71" w14:textId="77777777" w:rsidR="00EE1CF5" w:rsidRPr="00072653" w:rsidRDefault="00EE1CF5" w:rsidP="00263AB1">
            <w:pPr>
              <w:ind w:firstLine="34"/>
              <w:jc w:val="center"/>
              <w:rPr>
                <w:color w:val="000000"/>
                <w:sz w:val="20"/>
                <w:szCs w:val="20"/>
              </w:rPr>
            </w:pPr>
            <w:r>
              <w:rPr>
                <w:color w:val="000000"/>
                <w:sz w:val="20"/>
                <w:szCs w:val="20"/>
              </w:rPr>
              <w:t>61 063 215</w:t>
            </w:r>
          </w:p>
        </w:tc>
        <w:tc>
          <w:tcPr>
            <w:tcW w:w="1150" w:type="dxa"/>
            <w:tcBorders>
              <w:right w:val="single" w:sz="4" w:space="0" w:color="auto"/>
            </w:tcBorders>
            <w:vAlign w:val="center"/>
          </w:tcPr>
          <w:p w14:paraId="2B48E23B" w14:textId="77777777" w:rsidR="00EE1CF5" w:rsidRPr="00072653" w:rsidRDefault="00EE1CF5" w:rsidP="00263AB1">
            <w:pPr>
              <w:ind w:firstLine="34"/>
              <w:jc w:val="center"/>
              <w:rPr>
                <w:color w:val="000000" w:themeColor="text1"/>
                <w:sz w:val="20"/>
                <w:szCs w:val="20"/>
              </w:rPr>
            </w:pPr>
            <w:r>
              <w:rPr>
                <w:color w:val="000000"/>
                <w:sz w:val="20"/>
                <w:szCs w:val="20"/>
              </w:rPr>
              <w:t>30 963 215</w:t>
            </w:r>
          </w:p>
        </w:tc>
      </w:tr>
      <w:tr w:rsidR="00EE1CF5" w14:paraId="71B612F5" w14:textId="77777777" w:rsidTr="00263AB1">
        <w:trPr>
          <w:trHeight w:val="288"/>
          <w:jc w:val="center"/>
        </w:trPr>
        <w:tc>
          <w:tcPr>
            <w:tcW w:w="5399" w:type="dxa"/>
            <w:shd w:val="clear" w:color="auto" w:fill="auto"/>
            <w:noWrap/>
            <w:vAlign w:val="center"/>
          </w:tcPr>
          <w:p w14:paraId="124F59BE" w14:textId="77777777" w:rsidR="00EE1CF5" w:rsidRPr="00E936FD" w:rsidRDefault="00EE1CF5" w:rsidP="00263AB1">
            <w:pPr>
              <w:ind w:firstLine="34"/>
              <w:jc w:val="left"/>
              <w:rPr>
                <w:rFonts w:cs="Times New Roman"/>
                <w:bCs/>
                <w:sz w:val="20"/>
                <w:szCs w:val="20"/>
              </w:rPr>
            </w:pPr>
            <w:r w:rsidRPr="00E936FD">
              <w:rPr>
                <w:rFonts w:cs="Times New Roman"/>
                <w:sz w:val="20"/>
                <w:szCs w:val="20"/>
              </w:rPr>
              <w:t>Energoietilpīgo uzņēmumu atbalsta finansēšana</w:t>
            </w:r>
          </w:p>
        </w:tc>
        <w:tc>
          <w:tcPr>
            <w:tcW w:w="1402" w:type="dxa"/>
            <w:shd w:val="clear" w:color="auto" w:fill="auto"/>
            <w:noWrap/>
            <w:vAlign w:val="center"/>
          </w:tcPr>
          <w:p w14:paraId="09329AAE"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3 370</w:t>
            </w:r>
            <w:r>
              <w:rPr>
                <w:color w:val="000000"/>
                <w:sz w:val="20"/>
                <w:szCs w:val="20"/>
              </w:rPr>
              <w:t> </w:t>
            </w:r>
            <w:r w:rsidRPr="00E936FD">
              <w:rPr>
                <w:color w:val="000000"/>
                <w:sz w:val="20"/>
                <w:szCs w:val="20"/>
              </w:rPr>
              <w:t>000</w:t>
            </w:r>
          </w:p>
        </w:tc>
        <w:tc>
          <w:tcPr>
            <w:tcW w:w="1903" w:type="dxa"/>
            <w:vAlign w:val="center"/>
          </w:tcPr>
          <w:p w14:paraId="7564B1B7" w14:textId="77777777" w:rsidR="00EE1CF5" w:rsidRPr="00E936FD" w:rsidRDefault="00EE1CF5" w:rsidP="00263AB1">
            <w:pPr>
              <w:ind w:firstLine="34"/>
              <w:jc w:val="center"/>
              <w:rPr>
                <w:color w:val="000000"/>
                <w:sz w:val="20"/>
                <w:szCs w:val="20"/>
              </w:rPr>
            </w:pPr>
            <w:r w:rsidRPr="004316BB">
              <w:rPr>
                <w:color w:val="000000"/>
                <w:sz w:val="20"/>
                <w:szCs w:val="20"/>
              </w:rPr>
              <w:t>7</w:t>
            </w:r>
            <w:r>
              <w:rPr>
                <w:color w:val="000000"/>
                <w:sz w:val="20"/>
                <w:szCs w:val="20"/>
              </w:rPr>
              <w:t> </w:t>
            </w:r>
            <w:r w:rsidRPr="004316BB">
              <w:rPr>
                <w:color w:val="000000"/>
                <w:sz w:val="20"/>
                <w:szCs w:val="20"/>
              </w:rPr>
              <w:t>000</w:t>
            </w:r>
            <w:r>
              <w:rPr>
                <w:color w:val="000000"/>
                <w:sz w:val="20"/>
                <w:szCs w:val="20"/>
              </w:rPr>
              <w:t> </w:t>
            </w:r>
            <w:r w:rsidRPr="004316BB">
              <w:rPr>
                <w:color w:val="000000"/>
                <w:sz w:val="20"/>
                <w:szCs w:val="20"/>
              </w:rPr>
              <w:t>000</w:t>
            </w:r>
          </w:p>
        </w:tc>
        <w:tc>
          <w:tcPr>
            <w:tcW w:w="1396" w:type="dxa"/>
            <w:tcBorders>
              <w:right w:val="single" w:sz="4" w:space="0" w:color="auto"/>
            </w:tcBorders>
            <w:shd w:val="clear" w:color="auto" w:fill="auto"/>
            <w:noWrap/>
            <w:vAlign w:val="center"/>
          </w:tcPr>
          <w:p w14:paraId="3302B5A3" w14:textId="77777777" w:rsidR="00EE1CF5" w:rsidRPr="00E936FD" w:rsidRDefault="00EE1CF5" w:rsidP="00263AB1">
            <w:pPr>
              <w:ind w:firstLine="34"/>
              <w:jc w:val="center"/>
              <w:rPr>
                <w:rFonts w:cs="Times New Roman"/>
                <w:bCs/>
                <w:color w:val="000000"/>
                <w:sz w:val="20"/>
                <w:szCs w:val="20"/>
              </w:rPr>
            </w:pPr>
            <w:r>
              <w:rPr>
                <w:color w:val="000000"/>
                <w:sz w:val="20"/>
                <w:szCs w:val="20"/>
              </w:rPr>
              <w:t>3 370 000</w:t>
            </w:r>
          </w:p>
        </w:tc>
        <w:tc>
          <w:tcPr>
            <w:tcW w:w="1396" w:type="dxa"/>
            <w:tcBorders>
              <w:right w:val="single" w:sz="4" w:space="0" w:color="auto"/>
            </w:tcBorders>
            <w:vAlign w:val="center"/>
          </w:tcPr>
          <w:p w14:paraId="09FF074F" w14:textId="77777777" w:rsidR="00EE1CF5" w:rsidRPr="00072653" w:rsidRDefault="00EE1CF5" w:rsidP="00263AB1">
            <w:pPr>
              <w:ind w:firstLine="34"/>
              <w:jc w:val="center"/>
              <w:rPr>
                <w:color w:val="000000"/>
                <w:sz w:val="20"/>
                <w:szCs w:val="20"/>
              </w:rPr>
            </w:pPr>
            <w:r w:rsidRPr="00072653">
              <w:rPr>
                <w:color w:val="000000"/>
                <w:sz w:val="20"/>
                <w:szCs w:val="20"/>
              </w:rPr>
              <w:t>7 000 000</w:t>
            </w:r>
          </w:p>
        </w:tc>
        <w:tc>
          <w:tcPr>
            <w:tcW w:w="1150" w:type="dxa"/>
            <w:tcBorders>
              <w:right w:val="single" w:sz="4" w:space="0" w:color="auto"/>
            </w:tcBorders>
          </w:tcPr>
          <w:p w14:paraId="17C8140E" w14:textId="77777777" w:rsidR="00EE1CF5" w:rsidRPr="00072653" w:rsidRDefault="00EE1CF5" w:rsidP="00263AB1">
            <w:pPr>
              <w:ind w:firstLine="34"/>
              <w:jc w:val="center"/>
              <w:rPr>
                <w:color w:val="000000" w:themeColor="text1"/>
                <w:sz w:val="20"/>
                <w:szCs w:val="20"/>
              </w:rPr>
            </w:pPr>
            <w:r w:rsidRPr="00072653">
              <w:rPr>
                <w:color w:val="000000" w:themeColor="text1"/>
                <w:sz w:val="20"/>
                <w:szCs w:val="20"/>
              </w:rPr>
              <w:t>7 000 000</w:t>
            </w:r>
          </w:p>
        </w:tc>
      </w:tr>
      <w:tr w:rsidR="00EE1CF5" w14:paraId="31AB4425" w14:textId="77777777" w:rsidTr="00263AB1">
        <w:trPr>
          <w:trHeight w:val="288"/>
          <w:jc w:val="center"/>
        </w:trPr>
        <w:tc>
          <w:tcPr>
            <w:tcW w:w="5399" w:type="dxa"/>
            <w:shd w:val="clear" w:color="auto" w:fill="auto"/>
            <w:noWrap/>
            <w:vAlign w:val="center"/>
            <w:hideMark/>
          </w:tcPr>
          <w:p w14:paraId="710231D8" w14:textId="77777777" w:rsidR="00EE1CF5" w:rsidRPr="00E936FD" w:rsidRDefault="00EE1CF5" w:rsidP="00263AB1">
            <w:pPr>
              <w:ind w:firstLine="34"/>
              <w:jc w:val="left"/>
              <w:rPr>
                <w:rFonts w:cs="Times New Roman"/>
                <w:sz w:val="20"/>
                <w:szCs w:val="20"/>
              </w:rPr>
            </w:pPr>
            <w:r w:rsidRPr="00E936FD">
              <w:rPr>
                <w:rFonts w:cs="Times New Roman"/>
                <w:sz w:val="20"/>
                <w:szCs w:val="20"/>
              </w:rPr>
              <w:t>VPP enerģētikā finansēšana</w:t>
            </w:r>
          </w:p>
        </w:tc>
        <w:tc>
          <w:tcPr>
            <w:tcW w:w="1402" w:type="dxa"/>
            <w:shd w:val="clear" w:color="auto" w:fill="auto"/>
            <w:noWrap/>
            <w:vAlign w:val="center"/>
            <w:hideMark/>
          </w:tcPr>
          <w:p w14:paraId="7C3F1A96"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903" w:type="dxa"/>
            <w:vAlign w:val="center"/>
          </w:tcPr>
          <w:p w14:paraId="1BEBD4B8" w14:textId="77777777" w:rsidR="00EE1CF5" w:rsidRPr="00E936FD" w:rsidRDefault="00EE1CF5" w:rsidP="00263AB1">
            <w:pPr>
              <w:ind w:firstLine="34"/>
              <w:jc w:val="center"/>
              <w:rPr>
                <w:color w:val="000000"/>
                <w:sz w:val="20"/>
                <w:szCs w:val="20"/>
              </w:rPr>
            </w:pPr>
            <w:r w:rsidRPr="004316BB">
              <w:rPr>
                <w:color w:val="000000"/>
                <w:sz w:val="20"/>
                <w:szCs w:val="20"/>
              </w:rPr>
              <w:t>2 000 000</w:t>
            </w:r>
          </w:p>
        </w:tc>
        <w:tc>
          <w:tcPr>
            <w:tcW w:w="1396" w:type="dxa"/>
            <w:tcBorders>
              <w:right w:val="single" w:sz="4" w:space="0" w:color="auto"/>
            </w:tcBorders>
            <w:shd w:val="clear" w:color="auto" w:fill="auto"/>
            <w:noWrap/>
            <w:vAlign w:val="center"/>
            <w:hideMark/>
          </w:tcPr>
          <w:p w14:paraId="414C63CC" w14:textId="77777777" w:rsidR="00EE1CF5" w:rsidRPr="00E936FD" w:rsidRDefault="00EE1CF5" w:rsidP="00263AB1">
            <w:pPr>
              <w:ind w:firstLine="34"/>
              <w:jc w:val="center"/>
              <w:rPr>
                <w:rFonts w:cs="Times New Roman"/>
                <w:bCs/>
                <w:color w:val="000000"/>
                <w:sz w:val="20"/>
                <w:szCs w:val="20"/>
              </w:rPr>
            </w:pPr>
            <w:r>
              <w:rPr>
                <w:color w:val="000000"/>
                <w:sz w:val="20"/>
                <w:szCs w:val="20"/>
              </w:rPr>
              <w:t>2 000 000</w:t>
            </w:r>
          </w:p>
        </w:tc>
        <w:tc>
          <w:tcPr>
            <w:tcW w:w="1396" w:type="dxa"/>
            <w:tcBorders>
              <w:right w:val="single" w:sz="4" w:space="0" w:color="auto"/>
            </w:tcBorders>
            <w:vAlign w:val="center"/>
          </w:tcPr>
          <w:p w14:paraId="2A9D517E" w14:textId="77777777" w:rsidR="00EE1CF5" w:rsidRPr="00072653" w:rsidRDefault="00EE1CF5" w:rsidP="00263AB1">
            <w:pPr>
              <w:ind w:firstLine="34"/>
              <w:jc w:val="center"/>
              <w:rPr>
                <w:color w:val="000000"/>
                <w:sz w:val="20"/>
                <w:szCs w:val="20"/>
              </w:rPr>
            </w:pPr>
            <w:r w:rsidRPr="00072653">
              <w:rPr>
                <w:color w:val="000000"/>
                <w:sz w:val="20"/>
                <w:szCs w:val="20"/>
              </w:rPr>
              <w:t>2 000 000</w:t>
            </w:r>
          </w:p>
        </w:tc>
        <w:tc>
          <w:tcPr>
            <w:tcW w:w="1150" w:type="dxa"/>
            <w:tcBorders>
              <w:right w:val="single" w:sz="4" w:space="0" w:color="auto"/>
            </w:tcBorders>
          </w:tcPr>
          <w:p w14:paraId="704C1414" w14:textId="77777777" w:rsidR="00EE1CF5" w:rsidRPr="00072653" w:rsidRDefault="00EE1CF5" w:rsidP="00263AB1">
            <w:pPr>
              <w:ind w:firstLine="34"/>
              <w:jc w:val="center"/>
              <w:rPr>
                <w:color w:val="000000" w:themeColor="text1"/>
                <w:sz w:val="20"/>
                <w:szCs w:val="20"/>
              </w:rPr>
            </w:pPr>
            <w:r w:rsidRPr="00072653">
              <w:rPr>
                <w:color w:val="000000" w:themeColor="text1"/>
                <w:sz w:val="20"/>
                <w:szCs w:val="20"/>
              </w:rPr>
              <w:t>2 000 000</w:t>
            </w:r>
          </w:p>
        </w:tc>
      </w:tr>
      <w:tr w:rsidR="00EE1CF5" w14:paraId="5E5BD2B5" w14:textId="77777777" w:rsidTr="00263AB1">
        <w:trPr>
          <w:trHeight w:val="288"/>
          <w:jc w:val="center"/>
        </w:trPr>
        <w:tc>
          <w:tcPr>
            <w:tcW w:w="5399" w:type="dxa"/>
            <w:shd w:val="clear" w:color="auto" w:fill="auto"/>
            <w:noWrap/>
            <w:vAlign w:val="center"/>
            <w:hideMark/>
          </w:tcPr>
          <w:p w14:paraId="1262031B" w14:textId="77777777" w:rsidR="00EE1CF5" w:rsidRPr="00E936FD" w:rsidRDefault="00EE1CF5" w:rsidP="00263AB1">
            <w:pPr>
              <w:ind w:firstLine="34"/>
              <w:jc w:val="left"/>
              <w:rPr>
                <w:rFonts w:cs="Times New Roman"/>
                <w:sz w:val="20"/>
                <w:szCs w:val="20"/>
              </w:rPr>
            </w:pPr>
            <w:r w:rsidRPr="00E936FD">
              <w:rPr>
                <w:rFonts w:cs="Times New Roman"/>
                <w:sz w:val="20"/>
                <w:szCs w:val="20"/>
              </w:rPr>
              <w:t>Aizsargāto lietotāju atbalsta finansējums</w:t>
            </w:r>
          </w:p>
        </w:tc>
        <w:tc>
          <w:tcPr>
            <w:tcW w:w="1402" w:type="dxa"/>
            <w:shd w:val="clear" w:color="auto" w:fill="auto"/>
            <w:noWrap/>
            <w:vAlign w:val="center"/>
            <w:hideMark/>
          </w:tcPr>
          <w:p w14:paraId="551DD71C"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5 782 117</w:t>
            </w:r>
          </w:p>
        </w:tc>
        <w:tc>
          <w:tcPr>
            <w:tcW w:w="1903" w:type="dxa"/>
            <w:vAlign w:val="center"/>
          </w:tcPr>
          <w:p w14:paraId="74D21EC4" w14:textId="77777777" w:rsidR="00EE1CF5" w:rsidRPr="00E936FD" w:rsidRDefault="00EE1CF5" w:rsidP="00263AB1">
            <w:pPr>
              <w:ind w:firstLine="34"/>
              <w:jc w:val="center"/>
              <w:rPr>
                <w:color w:val="000000"/>
                <w:sz w:val="20"/>
                <w:szCs w:val="20"/>
              </w:rPr>
            </w:pPr>
            <w:r>
              <w:rPr>
                <w:color w:val="000000"/>
                <w:sz w:val="20"/>
                <w:szCs w:val="20"/>
              </w:rPr>
              <w:t xml:space="preserve">      6 706 014 </w:t>
            </w:r>
          </w:p>
        </w:tc>
        <w:tc>
          <w:tcPr>
            <w:tcW w:w="1396" w:type="dxa"/>
            <w:tcBorders>
              <w:right w:val="single" w:sz="4" w:space="0" w:color="auto"/>
            </w:tcBorders>
            <w:shd w:val="clear" w:color="auto" w:fill="auto"/>
            <w:noWrap/>
            <w:vAlign w:val="center"/>
            <w:hideMark/>
          </w:tcPr>
          <w:p w14:paraId="3BF33DFD" w14:textId="77777777" w:rsidR="00EE1CF5" w:rsidRPr="00E936FD" w:rsidRDefault="00EE1CF5" w:rsidP="00263AB1">
            <w:pPr>
              <w:ind w:firstLine="34"/>
              <w:jc w:val="center"/>
              <w:rPr>
                <w:rFonts w:cs="Times New Roman"/>
                <w:bCs/>
                <w:color w:val="000000"/>
                <w:sz w:val="20"/>
                <w:szCs w:val="20"/>
              </w:rPr>
            </w:pPr>
            <w:r>
              <w:rPr>
                <w:color w:val="000000"/>
                <w:sz w:val="20"/>
                <w:szCs w:val="20"/>
              </w:rPr>
              <w:t>5 782 117</w:t>
            </w:r>
          </w:p>
        </w:tc>
        <w:tc>
          <w:tcPr>
            <w:tcW w:w="1396" w:type="dxa"/>
            <w:tcBorders>
              <w:right w:val="single" w:sz="4" w:space="0" w:color="auto"/>
            </w:tcBorders>
            <w:vAlign w:val="center"/>
          </w:tcPr>
          <w:p w14:paraId="7D9DE541" w14:textId="77777777" w:rsidR="00EE1CF5" w:rsidRPr="00072653" w:rsidRDefault="00EE1CF5" w:rsidP="00263AB1">
            <w:pPr>
              <w:ind w:firstLine="34"/>
              <w:jc w:val="center"/>
              <w:rPr>
                <w:color w:val="000000"/>
                <w:sz w:val="20"/>
                <w:szCs w:val="20"/>
              </w:rPr>
            </w:pPr>
            <w:r>
              <w:rPr>
                <w:color w:val="000000"/>
                <w:sz w:val="20"/>
                <w:szCs w:val="20"/>
              </w:rPr>
              <w:t>6 706 014</w:t>
            </w:r>
          </w:p>
        </w:tc>
        <w:tc>
          <w:tcPr>
            <w:tcW w:w="1150" w:type="dxa"/>
            <w:tcBorders>
              <w:right w:val="single" w:sz="4" w:space="0" w:color="auto"/>
            </w:tcBorders>
            <w:vAlign w:val="center"/>
          </w:tcPr>
          <w:p w14:paraId="2D70E05B" w14:textId="77777777" w:rsidR="00EE1CF5" w:rsidRPr="00072653" w:rsidRDefault="00EE1CF5" w:rsidP="00263AB1">
            <w:pPr>
              <w:rPr>
                <w:color w:val="000000" w:themeColor="text1"/>
                <w:sz w:val="20"/>
                <w:szCs w:val="20"/>
              </w:rPr>
            </w:pPr>
            <w:r>
              <w:rPr>
                <w:color w:val="000000"/>
                <w:sz w:val="20"/>
                <w:szCs w:val="20"/>
              </w:rPr>
              <w:t xml:space="preserve">6 706 014 </w:t>
            </w:r>
          </w:p>
        </w:tc>
      </w:tr>
      <w:tr w:rsidR="00EE1CF5" w14:paraId="595068BB" w14:textId="77777777" w:rsidTr="00263AB1">
        <w:trPr>
          <w:trHeight w:val="288"/>
          <w:jc w:val="center"/>
        </w:trPr>
        <w:tc>
          <w:tcPr>
            <w:tcW w:w="5399" w:type="dxa"/>
            <w:shd w:val="clear" w:color="auto" w:fill="auto"/>
            <w:noWrap/>
            <w:vAlign w:val="center"/>
          </w:tcPr>
          <w:p w14:paraId="03AF46D2" w14:textId="77777777" w:rsidR="00EE1CF5" w:rsidRPr="00E936FD" w:rsidRDefault="00EE1CF5" w:rsidP="00263AB1">
            <w:pPr>
              <w:ind w:firstLine="34"/>
              <w:jc w:val="left"/>
              <w:rPr>
                <w:rFonts w:cs="Times New Roman"/>
                <w:sz w:val="20"/>
                <w:szCs w:val="20"/>
              </w:rPr>
            </w:pPr>
            <w:r w:rsidRPr="00E936FD">
              <w:rPr>
                <w:rFonts w:cs="Times New Roman"/>
                <w:sz w:val="20"/>
                <w:szCs w:val="20"/>
              </w:rPr>
              <w:t>Kopā</w:t>
            </w:r>
          </w:p>
        </w:tc>
        <w:tc>
          <w:tcPr>
            <w:tcW w:w="1402" w:type="dxa"/>
            <w:shd w:val="clear" w:color="auto" w:fill="auto"/>
            <w:noWrap/>
            <w:vAlign w:val="center"/>
          </w:tcPr>
          <w:p w14:paraId="763C8A54" w14:textId="77777777" w:rsidR="00EE1CF5" w:rsidRPr="00E936FD" w:rsidRDefault="00EE1CF5" w:rsidP="00263AB1">
            <w:pPr>
              <w:ind w:firstLine="34"/>
              <w:jc w:val="center"/>
              <w:rPr>
                <w:b/>
                <w:color w:val="000000"/>
                <w:sz w:val="20"/>
                <w:szCs w:val="20"/>
              </w:rPr>
            </w:pPr>
            <w:r w:rsidRPr="00E936FD">
              <w:rPr>
                <w:b/>
                <w:bCs/>
                <w:color w:val="000000"/>
                <w:sz w:val="20"/>
                <w:szCs w:val="20"/>
              </w:rPr>
              <w:t>2</w:t>
            </w:r>
            <w:r>
              <w:rPr>
                <w:b/>
                <w:bCs/>
                <w:color w:val="000000"/>
                <w:sz w:val="20"/>
                <w:szCs w:val="20"/>
              </w:rPr>
              <w:t>0</w:t>
            </w:r>
            <w:r w:rsidRPr="00E936FD">
              <w:rPr>
                <w:b/>
                <w:bCs/>
                <w:sz w:val="20"/>
                <w:szCs w:val="20"/>
              </w:rPr>
              <w:t> 237 801</w:t>
            </w:r>
          </w:p>
        </w:tc>
        <w:tc>
          <w:tcPr>
            <w:tcW w:w="1903" w:type="dxa"/>
            <w:vAlign w:val="center"/>
          </w:tcPr>
          <w:p w14:paraId="0B93A085" w14:textId="77777777" w:rsidR="00EE1CF5" w:rsidRPr="004316BB" w:rsidRDefault="00EE1CF5" w:rsidP="00263AB1">
            <w:pPr>
              <w:ind w:firstLine="34"/>
              <w:jc w:val="center"/>
              <w:rPr>
                <w:color w:val="000000"/>
                <w:sz w:val="20"/>
                <w:szCs w:val="20"/>
              </w:rPr>
            </w:pPr>
            <w:r>
              <w:rPr>
                <w:b/>
                <w:bCs/>
                <w:color w:val="000000"/>
                <w:sz w:val="20"/>
                <w:szCs w:val="20"/>
              </w:rPr>
              <w:t>24 169 229</w:t>
            </w:r>
          </w:p>
        </w:tc>
        <w:tc>
          <w:tcPr>
            <w:tcW w:w="1396" w:type="dxa"/>
            <w:tcBorders>
              <w:right w:val="single" w:sz="4" w:space="0" w:color="auto"/>
            </w:tcBorders>
            <w:shd w:val="clear" w:color="auto" w:fill="auto"/>
            <w:noWrap/>
            <w:vAlign w:val="center"/>
          </w:tcPr>
          <w:p w14:paraId="3981C64A" w14:textId="77777777" w:rsidR="00EE1CF5" w:rsidRPr="00E936FD" w:rsidRDefault="00EE1CF5" w:rsidP="00263AB1">
            <w:pPr>
              <w:ind w:firstLine="34"/>
              <w:jc w:val="center"/>
              <w:rPr>
                <w:b/>
                <w:color w:val="000000"/>
                <w:sz w:val="20"/>
                <w:szCs w:val="20"/>
              </w:rPr>
            </w:pPr>
            <w:r>
              <w:rPr>
                <w:b/>
                <w:bCs/>
                <w:color w:val="000000"/>
                <w:sz w:val="20"/>
                <w:szCs w:val="20"/>
              </w:rPr>
              <w:t>20 835 506</w:t>
            </w:r>
          </w:p>
        </w:tc>
        <w:tc>
          <w:tcPr>
            <w:tcW w:w="1396" w:type="dxa"/>
            <w:tcBorders>
              <w:right w:val="single" w:sz="4" w:space="0" w:color="auto"/>
            </w:tcBorders>
            <w:vAlign w:val="center"/>
          </w:tcPr>
          <w:p w14:paraId="42A0D2A9" w14:textId="77777777" w:rsidR="00EE1CF5" w:rsidRPr="00072653" w:rsidRDefault="00EE1CF5" w:rsidP="00263AB1">
            <w:pPr>
              <w:ind w:firstLine="34"/>
              <w:jc w:val="center"/>
              <w:rPr>
                <w:b/>
                <w:color w:val="000000"/>
                <w:sz w:val="20"/>
                <w:szCs w:val="20"/>
              </w:rPr>
            </w:pPr>
            <w:r>
              <w:rPr>
                <w:b/>
                <w:bCs/>
                <w:color w:val="000000"/>
                <w:sz w:val="20"/>
                <w:szCs w:val="20"/>
              </w:rPr>
              <w:t>76 769 229</w:t>
            </w:r>
          </w:p>
        </w:tc>
        <w:tc>
          <w:tcPr>
            <w:tcW w:w="1150" w:type="dxa"/>
            <w:tcBorders>
              <w:right w:val="single" w:sz="4" w:space="0" w:color="auto"/>
            </w:tcBorders>
            <w:vAlign w:val="center"/>
          </w:tcPr>
          <w:p w14:paraId="2EBE65B4" w14:textId="77777777" w:rsidR="00EE1CF5" w:rsidRPr="00072653" w:rsidRDefault="00EE1CF5" w:rsidP="00263AB1">
            <w:pPr>
              <w:ind w:firstLine="34"/>
              <w:jc w:val="center"/>
              <w:rPr>
                <w:b/>
                <w:color w:val="000000"/>
                <w:sz w:val="20"/>
                <w:szCs w:val="20"/>
              </w:rPr>
            </w:pPr>
            <w:r>
              <w:rPr>
                <w:b/>
                <w:bCs/>
                <w:color w:val="000000"/>
                <w:sz w:val="20"/>
                <w:szCs w:val="20"/>
              </w:rPr>
              <w:t>46 669 229</w:t>
            </w:r>
          </w:p>
        </w:tc>
      </w:tr>
    </w:tbl>
    <w:p w14:paraId="7CCEAC91" w14:textId="77777777" w:rsidR="00EE1CF5" w:rsidRDefault="00EE1CF5" w:rsidP="00EE1CF5">
      <w:pPr>
        <w:jc w:val="left"/>
      </w:pPr>
    </w:p>
    <w:p w14:paraId="1FBF2054" w14:textId="77777777" w:rsidR="00EE1CF5" w:rsidRDefault="00EE1CF5" w:rsidP="00EE1CF5">
      <w:pPr>
        <w:spacing w:before="240" w:line="259" w:lineRule="auto"/>
        <w:ind w:firstLine="720"/>
        <w:rPr>
          <w:szCs w:val="26"/>
        </w:rPr>
      </w:pPr>
      <w:r w:rsidRPr="00416261">
        <w:rPr>
          <w:szCs w:val="26"/>
        </w:rPr>
        <w:t xml:space="preserve">Šis risinājums atbilst Deklarācijā par Māra Kučinska vadītā </w:t>
      </w:r>
      <w:r>
        <w:rPr>
          <w:szCs w:val="26"/>
        </w:rPr>
        <w:t>MK</w:t>
      </w:r>
      <w:r w:rsidRPr="00416261">
        <w:rPr>
          <w:szCs w:val="26"/>
        </w:rPr>
        <w:t xml:space="preserve"> iecerēto darbību noteiktajam – nepaaugstināt vidējo OIK virs 26,79 EUR/MWh, jo tā īstenošanas rezultātā vidējā OIK vērtība </w:t>
      </w:r>
      <w:r w:rsidRPr="00FB4352">
        <w:rPr>
          <w:szCs w:val="26"/>
        </w:rPr>
        <w:t>samazināsies līdz  17,30 EUR/MWh 2019.-2021. gadā, attiecīgi tiks veikta tālāka OIK sloga samazināšana, kas ir saskaņā ar MK 2018. gada 24. aprīļa rīkojumu</w:t>
      </w:r>
      <w:r w:rsidRPr="00ED6DA8">
        <w:rPr>
          <w:szCs w:val="26"/>
        </w:rPr>
        <w:t xml:space="preserve"> Nr. 172 “Par darba grupu elektroenerģijas obligātā iepirkuma maksājumu sistēmas atcelšanai”.</w:t>
      </w:r>
    </w:p>
    <w:p w14:paraId="0247EE7E" w14:textId="77777777" w:rsidR="00EE1CF5" w:rsidRPr="00256DA1" w:rsidRDefault="00EE1CF5" w:rsidP="00EE1CF5">
      <w:pPr>
        <w:spacing w:before="240" w:line="259" w:lineRule="auto"/>
        <w:ind w:firstLine="720"/>
        <w:rPr>
          <w:szCs w:val="26"/>
        </w:rPr>
      </w:pPr>
      <w:r>
        <w:rPr>
          <w:szCs w:val="26"/>
        </w:rPr>
        <w:t xml:space="preserve">Nav paredzams, ka šī risinājuma ieviešanai būs izšķiroša ietekme uz 2020.gada AER mērķu sasniegšanu. </w:t>
      </w:r>
    </w:p>
    <w:p w14:paraId="1C94FF30" w14:textId="77777777" w:rsidR="00EE1CF5" w:rsidRDefault="00EE1CF5" w:rsidP="00EE1CF5">
      <w:pPr>
        <w:pStyle w:val="11apaknodaa"/>
        <w:jc w:val="both"/>
        <w:rPr>
          <w:b w:val="0"/>
          <w:sz w:val="26"/>
          <w:szCs w:val="26"/>
        </w:rPr>
      </w:pPr>
      <w:bookmarkStart w:id="217" w:name="_Toc256000077"/>
      <w:bookmarkStart w:id="218" w:name="_Toc256000051"/>
      <w:bookmarkStart w:id="219" w:name="_Toc523492943"/>
      <w:bookmarkStart w:id="220" w:name="_Toc528585681"/>
    </w:p>
    <w:p w14:paraId="1B0E9CC0" w14:textId="77777777" w:rsidR="00EE1CF5" w:rsidRDefault="00EE1CF5" w:rsidP="00EE1CF5">
      <w:pPr>
        <w:pStyle w:val="11apaknodaa"/>
      </w:pPr>
      <w:bookmarkStart w:id="221" w:name="_Toc531798594"/>
      <w:r>
        <w:lastRenderedPageBreak/>
        <w:t>3</w:t>
      </w:r>
      <w:r w:rsidRPr="006C4580">
        <w:t>.risinājums</w:t>
      </w:r>
      <w:bookmarkEnd w:id="217"/>
      <w:bookmarkEnd w:id="218"/>
      <w:bookmarkEnd w:id="219"/>
      <w:bookmarkEnd w:id="220"/>
      <w:bookmarkEnd w:id="221"/>
    </w:p>
    <w:p w14:paraId="1AA020BC" w14:textId="77777777" w:rsidR="00EE1CF5" w:rsidRDefault="00EE1CF5" w:rsidP="00EE1CF5"/>
    <w:p w14:paraId="0C147B81" w14:textId="77777777" w:rsidR="00EE1CF5" w:rsidRDefault="00EE1CF5" w:rsidP="00EE1CF5">
      <w:r w:rsidRPr="00DB7706">
        <w:tab/>
      </w:r>
      <w:r>
        <w:t>3.</w:t>
      </w:r>
      <w:r w:rsidRPr="00DB7706">
        <w:t>risinājums paredz tos pašus OIK mazināšanas instrumen</w:t>
      </w:r>
      <w:r>
        <w:t>tus kā 2</w:t>
      </w:r>
      <w:r w:rsidRPr="00DB7706">
        <w:t>.risinājumus, papildus paredzot pašreizējā OI mehānisma nomaiņu uz mehānismu, kas balstīts uz elektroenerģijas tirgus principiem</w:t>
      </w:r>
      <w:r>
        <w:t xml:space="preserve"> – “zaļo sertifikātu” mehānisma ieviešanu</w:t>
      </w:r>
      <w:r w:rsidRPr="00DB7706">
        <w:t xml:space="preserve">. </w:t>
      </w:r>
    </w:p>
    <w:p w14:paraId="08D2C7FA" w14:textId="77777777" w:rsidR="00EE1CF5" w:rsidRDefault="00EE1CF5" w:rsidP="00EE1CF5"/>
    <w:p w14:paraId="194E7992" w14:textId="77777777" w:rsidR="00EE1CF5" w:rsidRDefault="00EE1CF5" w:rsidP="00EE1CF5">
      <w:pPr>
        <w:ind w:firstLine="720"/>
        <w:rPr>
          <w:b/>
        </w:rPr>
      </w:pPr>
      <w:r w:rsidRPr="004C36B1">
        <w:rPr>
          <w:b/>
        </w:rPr>
        <w:t>Papildus 2. risinājumam normatīvajos aktos veicamie grozījumi:</w:t>
      </w:r>
    </w:p>
    <w:p w14:paraId="729A8EE8" w14:textId="77777777" w:rsidR="00EE1CF5" w:rsidRPr="001D6300" w:rsidRDefault="00EE1CF5" w:rsidP="00EE1CF5">
      <w:pPr>
        <w:ind w:firstLine="720"/>
        <w:rPr>
          <w:rFonts w:cs="Times New Roman"/>
          <w:b/>
          <w:szCs w:val="26"/>
        </w:rPr>
      </w:pPr>
      <w:r w:rsidRPr="001D6300">
        <w:rPr>
          <w:rFonts w:cs="Times New Roman"/>
          <w:b/>
          <w:szCs w:val="26"/>
        </w:rPr>
        <w:t>OI mehānisma pāreja uz “zaļajiem sertifikātiem”</w:t>
      </w:r>
    </w:p>
    <w:p w14:paraId="2E695551" w14:textId="77777777" w:rsidR="00EE1CF5" w:rsidRPr="00C75AE3" w:rsidRDefault="00EE1CF5" w:rsidP="00EE1CF5">
      <w:pPr>
        <w:ind w:firstLine="720"/>
        <w:rPr>
          <w:rFonts w:cs="Times New Roman"/>
          <w:szCs w:val="26"/>
        </w:rPr>
      </w:pPr>
      <w:r w:rsidRPr="00C75AE3">
        <w:rPr>
          <w:rFonts w:cs="Times New Roman"/>
          <w:szCs w:val="26"/>
        </w:rPr>
        <w:t xml:space="preserve">1) Grozījumi </w:t>
      </w:r>
      <w:r>
        <w:rPr>
          <w:rFonts w:cs="Times New Roman"/>
          <w:szCs w:val="26"/>
        </w:rPr>
        <w:t>ETL</w:t>
      </w:r>
      <w:r w:rsidRPr="00C75AE3">
        <w:rPr>
          <w:rFonts w:cs="Times New Roman"/>
          <w:szCs w:val="26"/>
        </w:rPr>
        <w:t>, kas paredz OI mehānisma atcelšanu un aizstāšanu ar “zaļo sertifikātu mehānismu”, kā arī pienākuma uzlikšanu elektroenerģijas tirgotājiem elektroenerģijas, kas ražota no AER, iepirkšanai</w:t>
      </w:r>
      <w:r>
        <w:rPr>
          <w:rFonts w:cs="Times New Roman"/>
          <w:szCs w:val="26"/>
        </w:rPr>
        <w:t>;</w:t>
      </w:r>
    </w:p>
    <w:p w14:paraId="19FAC1CB" w14:textId="77777777" w:rsidR="00EE1CF5" w:rsidRPr="00C75AE3" w:rsidRDefault="00EE1CF5" w:rsidP="00EE1CF5">
      <w:pPr>
        <w:ind w:firstLine="720"/>
        <w:rPr>
          <w:rFonts w:cs="Times New Roman"/>
          <w:szCs w:val="26"/>
        </w:rPr>
      </w:pPr>
      <w:r w:rsidRPr="00C75AE3">
        <w:rPr>
          <w:rFonts w:cs="Times New Roman"/>
          <w:szCs w:val="26"/>
        </w:rPr>
        <w:t>2) MK noteikumu Nr.262 atcelšana un MK noteikumu Nr.221 normu attiecībā uz AER stacijām atcelšana un sekojoši jaunu MK noteikumu izdošana attiecībā uz staciju dalību “zaļo sertifikātu” shēmā</w:t>
      </w:r>
      <w:r>
        <w:rPr>
          <w:rFonts w:cs="Times New Roman"/>
          <w:szCs w:val="26"/>
        </w:rPr>
        <w:t>;</w:t>
      </w:r>
    </w:p>
    <w:p w14:paraId="43E95985" w14:textId="77777777" w:rsidR="00EE1CF5" w:rsidRPr="00C75AE3" w:rsidRDefault="00EE1CF5" w:rsidP="00EE1CF5">
      <w:pPr>
        <w:ind w:firstLine="720"/>
        <w:rPr>
          <w:rFonts w:cs="Times New Roman"/>
          <w:szCs w:val="26"/>
        </w:rPr>
      </w:pPr>
      <w:r w:rsidRPr="00C75AE3">
        <w:rPr>
          <w:rFonts w:cs="Times New Roman"/>
          <w:szCs w:val="26"/>
        </w:rPr>
        <w:t>3) MK noteikumu izstrāde attiecībā uz “zaļo sertifikātu” iepirkšanu un nosacījumiem</w:t>
      </w:r>
      <w:r>
        <w:rPr>
          <w:rFonts w:cs="Times New Roman"/>
          <w:szCs w:val="26"/>
        </w:rPr>
        <w:t>.</w:t>
      </w:r>
      <w:r w:rsidRPr="00C75AE3">
        <w:rPr>
          <w:rFonts w:cs="Times New Roman"/>
          <w:szCs w:val="26"/>
        </w:rPr>
        <w:t xml:space="preserve"> </w:t>
      </w:r>
    </w:p>
    <w:p w14:paraId="6A1C15CF" w14:textId="77777777" w:rsidR="00EE1CF5" w:rsidRPr="00740B07" w:rsidRDefault="00EE1CF5" w:rsidP="00EE1CF5">
      <w:pPr>
        <w:jc w:val="left"/>
      </w:pPr>
    </w:p>
    <w:p w14:paraId="527DA5E0" w14:textId="77777777" w:rsidR="00EE1CF5" w:rsidRPr="00C75AE3" w:rsidRDefault="00EE1CF5" w:rsidP="00EE1CF5">
      <w:pPr>
        <w:jc w:val="right"/>
        <w:rPr>
          <w:i/>
        </w:rPr>
      </w:pPr>
      <w:r w:rsidRPr="00C75AE3">
        <w:rPr>
          <w:i/>
          <w:szCs w:val="26"/>
        </w:rPr>
        <w:t>20.tabula</w:t>
      </w:r>
    </w:p>
    <w:p w14:paraId="39516FFF" w14:textId="77777777" w:rsidR="00EE1CF5" w:rsidRPr="004C36B1" w:rsidRDefault="00EE1CF5" w:rsidP="00EE1CF5">
      <w:pPr>
        <w:jc w:val="center"/>
        <w:rPr>
          <w:b/>
        </w:rPr>
      </w:pPr>
      <w:r>
        <w:rPr>
          <w:b/>
        </w:rPr>
        <w:t>3</w:t>
      </w:r>
      <w:r w:rsidRPr="004C36B1">
        <w:rPr>
          <w:b/>
        </w:rPr>
        <w:t>. risinājuma ieviešana un ietekme</w:t>
      </w:r>
    </w:p>
    <w:tbl>
      <w:tblPr>
        <w:tblStyle w:val="TableGrid"/>
        <w:tblW w:w="0" w:type="auto"/>
        <w:jc w:val="center"/>
        <w:tblLook w:val="04A0" w:firstRow="1" w:lastRow="0" w:firstColumn="1" w:lastColumn="0" w:noHBand="0" w:noVBand="1"/>
      </w:tblPr>
      <w:tblGrid>
        <w:gridCol w:w="2927"/>
        <w:gridCol w:w="2455"/>
        <w:gridCol w:w="1984"/>
        <w:gridCol w:w="2256"/>
        <w:gridCol w:w="1427"/>
        <w:gridCol w:w="968"/>
        <w:gridCol w:w="860"/>
        <w:gridCol w:w="847"/>
        <w:gridCol w:w="836"/>
      </w:tblGrid>
      <w:tr w:rsidR="00EE1CF5" w14:paraId="178380A0" w14:textId="77777777" w:rsidTr="00263AB1">
        <w:trPr>
          <w:trHeight w:val="567"/>
          <w:jc w:val="center"/>
        </w:trPr>
        <w:tc>
          <w:tcPr>
            <w:tcW w:w="2927" w:type="dxa"/>
            <w:vMerge w:val="restart"/>
            <w:vAlign w:val="center"/>
          </w:tcPr>
          <w:p w14:paraId="04425984"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Instruments</w:t>
            </w:r>
          </w:p>
        </w:tc>
        <w:tc>
          <w:tcPr>
            <w:tcW w:w="2455" w:type="dxa"/>
            <w:vMerge w:val="restart"/>
            <w:vAlign w:val="center"/>
          </w:tcPr>
          <w:p w14:paraId="0070C232"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Izstrādes periods</w:t>
            </w:r>
          </w:p>
        </w:tc>
        <w:tc>
          <w:tcPr>
            <w:tcW w:w="1984" w:type="dxa"/>
            <w:vMerge w:val="restart"/>
            <w:vAlign w:val="center"/>
          </w:tcPr>
          <w:p w14:paraId="00D6B635"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Ieviešanas gads</w:t>
            </w:r>
          </w:p>
        </w:tc>
        <w:tc>
          <w:tcPr>
            <w:tcW w:w="2256" w:type="dxa"/>
            <w:vMerge w:val="restart"/>
            <w:vAlign w:val="center"/>
          </w:tcPr>
          <w:p w14:paraId="4818D204"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Efekts uz OI atbalsta maksājumiem</w:t>
            </w:r>
          </w:p>
        </w:tc>
        <w:tc>
          <w:tcPr>
            <w:tcW w:w="1427" w:type="dxa"/>
            <w:vMerge w:val="restart"/>
            <w:vAlign w:val="center"/>
          </w:tcPr>
          <w:p w14:paraId="7B3DC2B8"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Efekts uz OIK</w:t>
            </w:r>
          </w:p>
        </w:tc>
        <w:tc>
          <w:tcPr>
            <w:tcW w:w="3511" w:type="dxa"/>
            <w:gridSpan w:val="4"/>
            <w:vAlign w:val="center"/>
          </w:tcPr>
          <w:p w14:paraId="0B640794" w14:textId="77777777" w:rsidR="00EE1CF5" w:rsidRPr="00B9490E" w:rsidRDefault="00EE1CF5" w:rsidP="00263AB1">
            <w:pPr>
              <w:jc w:val="center"/>
              <w:rPr>
                <w:rFonts w:cs="Times New Roman"/>
                <w:b/>
                <w:sz w:val="20"/>
                <w:szCs w:val="20"/>
              </w:rPr>
            </w:pPr>
            <w:r w:rsidRPr="00B9490E">
              <w:rPr>
                <w:rFonts w:ascii="Times New Roman" w:hAnsi="Times New Roman" w:cs="Times New Roman"/>
                <w:b/>
                <w:sz w:val="20"/>
                <w:szCs w:val="20"/>
              </w:rPr>
              <w:t>OIK vidējā vērtība, EUR/MWh</w:t>
            </w:r>
          </w:p>
        </w:tc>
      </w:tr>
      <w:tr w:rsidR="00EE1CF5" w14:paraId="7EA81BEF" w14:textId="77777777" w:rsidTr="00263AB1">
        <w:trPr>
          <w:trHeight w:val="293"/>
          <w:jc w:val="center"/>
        </w:trPr>
        <w:tc>
          <w:tcPr>
            <w:tcW w:w="2927" w:type="dxa"/>
            <w:vMerge/>
            <w:vAlign w:val="center"/>
          </w:tcPr>
          <w:p w14:paraId="2AEA3505" w14:textId="77777777" w:rsidR="00EE1CF5" w:rsidRPr="00B9490E" w:rsidRDefault="00EE1CF5" w:rsidP="00263AB1">
            <w:pPr>
              <w:rPr>
                <w:rFonts w:ascii="Times New Roman" w:hAnsi="Times New Roman" w:cs="Times New Roman"/>
                <w:b/>
                <w:sz w:val="20"/>
                <w:szCs w:val="20"/>
              </w:rPr>
            </w:pPr>
          </w:p>
        </w:tc>
        <w:tc>
          <w:tcPr>
            <w:tcW w:w="2455" w:type="dxa"/>
            <w:vMerge/>
            <w:vAlign w:val="center"/>
          </w:tcPr>
          <w:p w14:paraId="7600D1D0" w14:textId="77777777" w:rsidR="00EE1CF5" w:rsidRPr="00B9490E" w:rsidRDefault="00EE1CF5" w:rsidP="00263AB1">
            <w:pPr>
              <w:rPr>
                <w:rFonts w:ascii="Times New Roman" w:hAnsi="Times New Roman" w:cs="Times New Roman"/>
                <w:b/>
                <w:sz w:val="20"/>
                <w:szCs w:val="20"/>
              </w:rPr>
            </w:pPr>
          </w:p>
        </w:tc>
        <w:tc>
          <w:tcPr>
            <w:tcW w:w="1984" w:type="dxa"/>
            <w:vMerge/>
            <w:vAlign w:val="center"/>
          </w:tcPr>
          <w:p w14:paraId="187DFFF7" w14:textId="77777777" w:rsidR="00EE1CF5" w:rsidRPr="00B9490E" w:rsidRDefault="00EE1CF5" w:rsidP="00263AB1">
            <w:pPr>
              <w:rPr>
                <w:rFonts w:ascii="Times New Roman" w:hAnsi="Times New Roman" w:cs="Times New Roman"/>
                <w:b/>
                <w:sz w:val="20"/>
                <w:szCs w:val="20"/>
              </w:rPr>
            </w:pPr>
          </w:p>
        </w:tc>
        <w:tc>
          <w:tcPr>
            <w:tcW w:w="2256" w:type="dxa"/>
            <w:vMerge/>
            <w:vAlign w:val="center"/>
          </w:tcPr>
          <w:p w14:paraId="34D173AF" w14:textId="77777777" w:rsidR="00EE1CF5" w:rsidRPr="00B9490E" w:rsidRDefault="00EE1CF5" w:rsidP="00263AB1">
            <w:pPr>
              <w:rPr>
                <w:rFonts w:ascii="Times New Roman" w:hAnsi="Times New Roman" w:cs="Times New Roman"/>
                <w:b/>
                <w:sz w:val="20"/>
                <w:szCs w:val="20"/>
              </w:rPr>
            </w:pPr>
          </w:p>
        </w:tc>
        <w:tc>
          <w:tcPr>
            <w:tcW w:w="1427" w:type="dxa"/>
            <w:vMerge/>
            <w:vAlign w:val="center"/>
          </w:tcPr>
          <w:p w14:paraId="624FC8F4" w14:textId="77777777" w:rsidR="00EE1CF5" w:rsidRPr="00B9490E" w:rsidRDefault="00EE1CF5" w:rsidP="00263AB1">
            <w:pPr>
              <w:rPr>
                <w:rFonts w:ascii="Times New Roman" w:hAnsi="Times New Roman" w:cs="Times New Roman"/>
                <w:b/>
                <w:sz w:val="20"/>
                <w:szCs w:val="20"/>
              </w:rPr>
            </w:pPr>
          </w:p>
        </w:tc>
        <w:tc>
          <w:tcPr>
            <w:tcW w:w="968" w:type="dxa"/>
            <w:vMerge w:val="restart"/>
            <w:vAlign w:val="center"/>
          </w:tcPr>
          <w:p w14:paraId="29DD2450" w14:textId="77777777" w:rsidR="00EE1CF5" w:rsidRPr="00B9490E" w:rsidRDefault="00EE1CF5" w:rsidP="00263AB1">
            <w:pPr>
              <w:rPr>
                <w:rFonts w:ascii="Times New Roman" w:hAnsi="Times New Roman" w:cs="Times New Roman"/>
                <w:b/>
                <w:sz w:val="20"/>
                <w:szCs w:val="20"/>
              </w:rPr>
            </w:pPr>
            <w:r w:rsidRPr="00B9490E">
              <w:rPr>
                <w:rFonts w:ascii="Times New Roman" w:hAnsi="Times New Roman" w:cs="Times New Roman"/>
                <w:sz w:val="20"/>
                <w:szCs w:val="20"/>
              </w:rPr>
              <w:t>2019</w:t>
            </w:r>
          </w:p>
        </w:tc>
        <w:tc>
          <w:tcPr>
            <w:tcW w:w="860" w:type="dxa"/>
            <w:vMerge w:val="restart"/>
            <w:vAlign w:val="center"/>
          </w:tcPr>
          <w:p w14:paraId="23C6EB94" w14:textId="77777777" w:rsidR="00EE1CF5" w:rsidRPr="00B9490E" w:rsidRDefault="00EE1CF5" w:rsidP="00263AB1">
            <w:pPr>
              <w:rPr>
                <w:rFonts w:ascii="Times New Roman" w:hAnsi="Times New Roman" w:cs="Times New Roman"/>
                <w:b/>
                <w:sz w:val="20"/>
                <w:szCs w:val="20"/>
              </w:rPr>
            </w:pPr>
            <w:r w:rsidRPr="00B9490E">
              <w:rPr>
                <w:rFonts w:ascii="Times New Roman" w:hAnsi="Times New Roman" w:cs="Times New Roman"/>
                <w:sz w:val="20"/>
                <w:szCs w:val="20"/>
              </w:rPr>
              <w:t>2020</w:t>
            </w:r>
          </w:p>
        </w:tc>
        <w:tc>
          <w:tcPr>
            <w:tcW w:w="847" w:type="dxa"/>
            <w:vMerge w:val="restart"/>
            <w:vAlign w:val="center"/>
          </w:tcPr>
          <w:p w14:paraId="2148506E" w14:textId="77777777" w:rsidR="00EE1CF5" w:rsidRPr="00B9490E" w:rsidRDefault="00EE1CF5" w:rsidP="00263AB1">
            <w:pPr>
              <w:rPr>
                <w:rFonts w:ascii="Times New Roman" w:hAnsi="Times New Roman" w:cs="Times New Roman"/>
                <w:b/>
                <w:sz w:val="20"/>
                <w:szCs w:val="20"/>
              </w:rPr>
            </w:pPr>
            <w:r w:rsidRPr="00B9490E">
              <w:rPr>
                <w:rFonts w:ascii="Times New Roman" w:hAnsi="Times New Roman" w:cs="Times New Roman"/>
                <w:sz w:val="20"/>
                <w:szCs w:val="20"/>
              </w:rPr>
              <w:t>2021</w:t>
            </w:r>
          </w:p>
        </w:tc>
        <w:tc>
          <w:tcPr>
            <w:tcW w:w="836" w:type="dxa"/>
            <w:vMerge w:val="restart"/>
            <w:vAlign w:val="center"/>
          </w:tcPr>
          <w:p w14:paraId="6E424042" w14:textId="77777777" w:rsidR="00EE1CF5" w:rsidRPr="00B9490E" w:rsidRDefault="00EE1CF5" w:rsidP="00263AB1">
            <w:pPr>
              <w:jc w:val="center"/>
              <w:rPr>
                <w:rFonts w:ascii="Times New Roman" w:hAnsi="Times New Roman" w:cs="Times New Roman"/>
                <w:sz w:val="20"/>
                <w:szCs w:val="20"/>
              </w:rPr>
            </w:pPr>
            <w:r w:rsidRPr="00B9490E">
              <w:rPr>
                <w:rFonts w:ascii="Times New Roman" w:hAnsi="Times New Roman" w:cs="Times New Roman"/>
                <w:sz w:val="20"/>
                <w:szCs w:val="20"/>
              </w:rPr>
              <w:t>2022</w:t>
            </w:r>
          </w:p>
        </w:tc>
      </w:tr>
      <w:tr w:rsidR="00EE1CF5" w14:paraId="2B6A3F4E" w14:textId="77777777" w:rsidTr="00263AB1">
        <w:trPr>
          <w:trHeight w:val="267"/>
          <w:jc w:val="center"/>
        </w:trPr>
        <w:tc>
          <w:tcPr>
            <w:tcW w:w="2927" w:type="dxa"/>
            <w:vAlign w:val="center"/>
          </w:tcPr>
          <w:p w14:paraId="124498B0"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1. SEN</w:t>
            </w:r>
          </w:p>
        </w:tc>
        <w:tc>
          <w:tcPr>
            <w:tcW w:w="2455" w:type="dxa"/>
            <w:vAlign w:val="center"/>
          </w:tcPr>
          <w:p w14:paraId="6CA24AF6"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2018.g. </w:t>
            </w:r>
            <w:r>
              <w:rPr>
                <w:rFonts w:ascii="Times New Roman" w:hAnsi="Times New Roman" w:cs="Times New Roman"/>
                <w:sz w:val="20"/>
                <w:szCs w:val="20"/>
              </w:rPr>
              <w:t>ziema</w:t>
            </w:r>
          </w:p>
        </w:tc>
        <w:tc>
          <w:tcPr>
            <w:tcW w:w="1984" w:type="dxa"/>
            <w:vAlign w:val="center"/>
          </w:tcPr>
          <w:p w14:paraId="2922B3F5"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2256" w:type="dxa"/>
            <w:vAlign w:val="center"/>
          </w:tcPr>
          <w:p w14:paraId="335E89C2"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1427" w:type="dxa"/>
            <w:vAlign w:val="center"/>
          </w:tcPr>
          <w:p w14:paraId="4CD7A374"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968" w:type="dxa"/>
            <w:vMerge/>
            <w:vAlign w:val="center"/>
          </w:tcPr>
          <w:p w14:paraId="07A67A07" w14:textId="77777777" w:rsidR="00EE1CF5" w:rsidRPr="00B9490E" w:rsidRDefault="00EE1CF5" w:rsidP="00263AB1">
            <w:pPr>
              <w:rPr>
                <w:rFonts w:ascii="Times New Roman" w:hAnsi="Times New Roman" w:cs="Times New Roman"/>
                <w:sz w:val="20"/>
                <w:szCs w:val="20"/>
              </w:rPr>
            </w:pPr>
          </w:p>
        </w:tc>
        <w:tc>
          <w:tcPr>
            <w:tcW w:w="860" w:type="dxa"/>
            <w:vMerge/>
            <w:vAlign w:val="center"/>
          </w:tcPr>
          <w:p w14:paraId="18A40CB4" w14:textId="77777777" w:rsidR="00EE1CF5" w:rsidRPr="00B9490E" w:rsidRDefault="00EE1CF5" w:rsidP="00263AB1">
            <w:pPr>
              <w:rPr>
                <w:rFonts w:ascii="Times New Roman" w:hAnsi="Times New Roman" w:cs="Times New Roman"/>
                <w:sz w:val="20"/>
                <w:szCs w:val="20"/>
              </w:rPr>
            </w:pPr>
          </w:p>
        </w:tc>
        <w:tc>
          <w:tcPr>
            <w:tcW w:w="847" w:type="dxa"/>
            <w:vMerge/>
            <w:vAlign w:val="center"/>
          </w:tcPr>
          <w:p w14:paraId="688804AB" w14:textId="77777777" w:rsidR="00EE1CF5" w:rsidRPr="00B9490E" w:rsidRDefault="00EE1CF5" w:rsidP="00263AB1">
            <w:pPr>
              <w:rPr>
                <w:rFonts w:ascii="Times New Roman" w:hAnsi="Times New Roman" w:cs="Times New Roman"/>
                <w:sz w:val="20"/>
                <w:szCs w:val="20"/>
              </w:rPr>
            </w:pPr>
          </w:p>
        </w:tc>
        <w:tc>
          <w:tcPr>
            <w:tcW w:w="836" w:type="dxa"/>
            <w:vMerge/>
          </w:tcPr>
          <w:p w14:paraId="45280590" w14:textId="77777777" w:rsidR="00EE1CF5" w:rsidRPr="00B9490E" w:rsidRDefault="00EE1CF5" w:rsidP="00263AB1">
            <w:pPr>
              <w:rPr>
                <w:rFonts w:cs="Times New Roman"/>
                <w:sz w:val="20"/>
                <w:szCs w:val="20"/>
              </w:rPr>
            </w:pPr>
          </w:p>
        </w:tc>
      </w:tr>
      <w:tr w:rsidR="00EE1CF5" w14:paraId="3704390C" w14:textId="77777777" w:rsidTr="00263AB1">
        <w:trPr>
          <w:jc w:val="center"/>
        </w:trPr>
        <w:tc>
          <w:tcPr>
            <w:tcW w:w="2927" w:type="dxa"/>
            <w:vAlign w:val="center"/>
          </w:tcPr>
          <w:p w14:paraId="260B4C95"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 Cenas korekcija</w:t>
            </w:r>
          </w:p>
        </w:tc>
        <w:tc>
          <w:tcPr>
            <w:tcW w:w="2455" w:type="dxa"/>
            <w:vAlign w:val="center"/>
          </w:tcPr>
          <w:p w14:paraId="1A85C147"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2018.g. </w:t>
            </w:r>
            <w:r>
              <w:rPr>
                <w:rFonts w:ascii="Times New Roman" w:hAnsi="Times New Roman" w:cs="Times New Roman"/>
                <w:sz w:val="20"/>
                <w:szCs w:val="20"/>
              </w:rPr>
              <w:t>ziema</w:t>
            </w:r>
          </w:p>
        </w:tc>
        <w:tc>
          <w:tcPr>
            <w:tcW w:w="1984" w:type="dxa"/>
            <w:vAlign w:val="center"/>
          </w:tcPr>
          <w:p w14:paraId="18548FC5"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2256" w:type="dxa"/>
            <w:vAlign w:val="center"/>
          </w:tcPr>
          <w:p w14:paraId="7F1C3D46"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1427" w:type="dxa"/>
            <w:vAlign w:val="center"/>
          </w:tcPr>
          <w:p w14:paraId="796795EB"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2019.g.</w:t>
            </w:r>
          </w:p>
        </w:tc>
        <w:tc>
          <w:tcPr>
            <w:tcW w:w="968" w:type="dxa"/>
            <w:vMerge w:val="restart"/>
            <w:vAlign w:val="center"/>
          </w:tcPr>
          <w:p w14:paraId="15EF635E"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17,30</w:t>
            </w:r>
          </w:p>
        </w:tc>
        <w:tc>
          <w:tcPr>
            <w:tcW w:w="860" w:type="dxa"/>
            <w:vMerge w:val="restart"/>
            <w:vAlign w:val="center"/>
          </w:tcPr>
          <w:p w14:paraId="1BC3BE87"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17,30</w:t>
            </w:r>
          </w:p>
        </w:tc>
        <w:tc>
          <w:tcPr>
            <w:tcW w:w="847" w:type="dxa"/>
            <w:vMerge w:val="restart"/>
            <w:vAlign w:val="center"/>
          </w:tcPr>
          <w:p w14:paraId="3F710F6B" w14:textId="77777777" w:rsidR="00EE1CF5" w:rsidRPr="00B9490E" w:rsidRDefault="00EE1CF5" w:rsidP="00263AB1">
            <w:pPr>
              <w:jc w:val="center"/>
              <w:rPr>
                <w:rFonts w:ascii="Times New Roman" w:hAnsi="Times New Roman" w:cs="Times New Roman"/>
                <w:sz w:val="20"/>
                <w:szCs w:val="20"/>
              </w:rPr>
            </w:pPr>
            <w:r>
              <w:rPr>
                <w:rFonts w:ascii="Times New Roman" w:hAnsi="Times New Roman" w:cs="Times New Roman"/>
                <w:sz w:val="20"/>
                <w:szCs w:val="20"/>
              </w:rPr>
              <w:t>14,29</w:t>
            </w:r>
          </w:p>
        </w:tc>
        <w:tc>
          <w:tcPr>
            <w:tcW w:w="836" w:type="dxa"/>
            <w:vMerge w:val="restart"/>
            <w:vAlign w:val="center"/>
          </w:tcPr>
          <w:p w14:paraId="6F69558F" w14:textId="77777777" w:rsidR="00EE1CF5" w:rsidRPr="00DB3D3A" w:rsidRDefault="00EE1CF5" w:rsidP="00263AB1">
            <w:pPr>
              <w:jc w:val="center"/>
              <w:rPr>
                <w:rFonts w:ascii="Times New Roman" w:hAnsi="Times New Roman" w:cs="Times New Roman"/>
                <w:sz w:val="20"/>
                <w:szCs w:val="20"/>
              </w:rPr>
            </w:pPr>
            <w:r>
              <w:rPr>
                <w:rFonts w:ascii="Times New Roman" w:hAnsi="Times New Roman" w:cs="Times New Roman"/>
                <w:sz w:val="20"/>
                <w:szCs w:val="20"/>
              </w:rPr>
              <w:t>0,00</w:t>
            </w:r>
          </w:p>
        </w:tc>
      </w:tr>
      <w:tr w:rsidR="00EE1CF5" w14:paraId="339AF62D" w14:textId="77777777" w:rsidTr="00263AB1">
        <w:trPr>
          <w:jc w:val="center"/>
        </w:trPr>
        <w:tc>
          <w:tcPr>
            <w:tcW w:w="2927" w:type="dxa"/>
            <w:vAlign w:val="center"/>
          </w:tcPr>
          <w:p w14:paraId="380D62FE"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3. IRR</w:t>
            </w:r>
          </w:p>
        </w:tc>
        <w:tc>
          <w:tcPr>
            <w:tcW w:w="2455" w:type="dxa"/>
            <w:vAlign w:val="center"/>
          </w:tcPr>
          <w:p w14:paraId="749B77BF"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2018.g. ziema – 2019.g. vidus</w:t>
            </w:r>
          </w:p>
        </w:tc>
        <w:tc>
          <w:tcPr>
            <w:tcW w:w="1984" w:type="dxa"/>
            <w:vAlign w:val="center"/>
          </w:tcPr>
          <w:p w14:paraId="0B4DD38D"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2256" w:type="dxa"/>
            <w:vAlign w:val="center"/>
          </w:tcPr>
          <w:p w14:paraId="43B970C2"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2020.g.</w:t>
            </w:r>
          </w:p>
        </w:tc>
        <w:tc>
          <w:tcPr>
            <w:tcW w:w="1427" w:type="dxa"/>
            <w:vAlign w:val="center"/>
          </w:tcPr>
          <w:p w14:paraId="3C27A695"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2020.g.</w:t>
            </w:r>
          </w:p>
        </w:tc>
        <w:tc>
          <w:tcPr>
            <w:tcW w:w="968" w:type="dxa"/>
            <w:vMerge/>
            <w:vAlign w:val="center"/>
          </w:tcPr>
          <w:p w14:paraId="582E6F61" w14:textId="77777777" w:rsidR="00EE1CF5" w:rsidRPr="00B9490E" w:rsidRDefault="00EE1CF5" w:rsidP="00263AB1">
            <w:pPr>
              <w:rPr>
                <w:rFonts w:ascii="Times New Roman" w:hAnsi="Times New Roman" w:cs="Times New Roman"/>
                <w:sz w:val="20"/>
                <w:szCs w:val="20"/>
              </w:rPr>
            </w:pPr>
          </w:p>
        </w:tc>
        <w:tc>
          <w:tcPr>
            <w:tcW w:w="860" w:type="dxa"/>
            <w:vMerge/>
            <w:vAlign w:val="center"/>
          </w:tcPr>
          <w:p w14:paraId="0873C07F" w14:textId="77777777" w:rsidR="00EE1CF5" w:rsidRPr="00B9490E" w:rsidRDefault="00EE1CF5" w:rsidP="00263AB1">
            <w:pPr>
              <w:rPr>
                <w:rFonts w:ascii="Times New Roman" w:hAnsi="Times New Roman" w:cs="Times New Roman"/>
                <w:sz w:val="20"/>
                <w:szCs w:val="20"/>
              </w:rPr>
            </w:pPr>
          </w:p>
        </w:tc>
        <w:tc>
          <w:tcPr>
            <w:tcW w:w="847" w:type="dxa"/>
            <w:vMerge/>
            <w:vAlign w:val="center"/>
          </w:tcPr>
          <w:p w14:paraId="5BAC7CF6" w14:textId="77777777" w:rsidR="00EE1CF5" w:rsidRPr="00B9490E" w:rsidRDefault="00EE1CF5" w:rsidP="00263AB1">
            <w:pPr>
              <w:rPr>
                <w:rFonts w:ascii="Times New Roman" w:hAnsi="Times New Roman" w:cs="Times New Roman"/>
                <w:sz w:val="20"/>
                <w:szCs w:val="20"/>
              </w:rPr>
            </w:pPr>
          </w:p>
        </w:tc>
        <w:tc>
          <w:tcPr>
            <w:tcW w:w="836" w:type="dxa"/>
            <w:vMerge/>
          </w:tcPr>
          <w:p w14:paraId="0342C562" w14:textId="77777777" w:rsidR="00EE1CF5" w:rsidRPr="00DB3D3A" w:rsidRDefault="00EE1CF5" w:rsidP="00263AB1">
            <w:pPr>
              <w:rPr>
                <w:rFonts w:ascii="Times New Roman" w:hAnsi="Times New Roman" w:cs="Times New Roman"/>
                <w:sz w:val="20"/>
                <w:szCs w:val="20"/>
              </w:rPr>
            </w:pPr>
          </w:p>
        </w:tc>
      </w:tr>
      <w:tr w:rsidR="00EE1CF5" w14:paraId="5C668A83" w14:textId="77777777" w:rsidTr="00263AB1">
        <w:trPr>
          <w:jc w:val="center"/>
        </w:trPr>
        <w:tc>
          <w:tcPr>
            <w:tcW w:w="2927" w:type="dxa"/>
            <w:vAlign w:val="center"/>
          </w:tcPr>
          <w:p w14:paraId="5AE2F151"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4. Biogāzes izejvielu kritēriji</w:t>
            </w:r>
          </w:p>
        </w:tc>
        <w:tc>
          <w:tcPr>
            <w:tcW w:w="2455" w:type="dxa"/>
            <w:vAlign w:val="center"/>
          </w:tcPr>
          <w:p w14:paraId="4F50A085"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2018.g. ziema – 2019.g. vidus</w:t>
            </w:r>
          </w:p>
        </w:tc>
        <w:tc>
          <w:tcPr>
            <w:tcW w:w="1984" w:type="dxa"/>
            <w:vAlign w:val="center"/>
          </w:tcPr>
          <w:p w14:paraId="632ADDF7"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202</w:t>
            </w:r>
            <w:r>
              <w:rPr>
                <w:rFonts w:ascii="Times New Roman" w:hAnsi="Times New Roman" w:cs="Times New Roman"/>
                <w:sz w:val="20"/>
                <w:szCs w:val="20"/>
              </w:rPr>
              <w:t>2</w:t>
            </w:r>
            <w:r w:rsidRPr="00B9490E">
              <w:rPr>
                <w:rFonts w:ascii="Times New Roman" w:hAnsi="Times New Roman" w:cs="Times New Roman"/>
                <w:sz w:val="20"/>
                <w:szCs w:val="20"/>
              </w:rPr>
              <w:t xml:space="preserve">.g. </w:t>
            </w:r>
          </w:p>
        </w:tc>
        <w:tc>
          <w:tcPr>
            <w:tcW w:w="2256" w:type="dxa"/>
            <w:vAlign w:val="center"/>
          </w:tcPr>
          <w:p w14:paraId="7E9229CA"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202</w:t>
            </w:r>
            <w:r>
              <w:rPr>
                <w:rFonts w:ascii="Times New Roman" w:hAnsi="Times New Roman" w:cs="Times New Roman"/>
                <w:sz w:val="20"/>
                <w:szCs w:val="20"/>
              </w:rPr>
              <w:t>2</w:t>
            </w:r>
            <w:r w:rsidRPr="00B9490E">
              <w:rPr>
                <w:rFonts w:ascii="Times New Roman" w:hAnsi="Times New Roman" w:cs="Times New Roman"/>
                <w:sz w:val="20"/>
                <w:szCs w:val="20"/>
              </w:rPr>
              <w:t xml:space="preserve">.g. </w:t>
            </w:r>
          </w:p>
        </w:tc>
        <w:tc>
          <w:tcPr>
            <w:tcW w:w="1427" w:type="dxa"/>
            <w:vAlign w:val="center"/>
          </w:tcPr>
          <w:p w14:paraId="485A1B26"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2020.g.</w:t>
            </w:r>
          </w:p>
        </w:tc>
        <w:tc>
          <w:tcPr>
            <w:tcW w:w="968" w:type="dxa"/>
            <w:vMerge/>
            <w:vAlign w:val="center"/>
          </w:tcPr>
          <w:p w14:paraId="43D068E1" w14:textId="77777777" w:rsidR="00EE1CF5" w:rsidRPr="00B9490E" w:rsidRDefault="00EE1CF5" w:rsidP="00263AB1">
            <w:pPr>
              <w:rPr>
                <w:rFonts w:ascii="Times New Roman" w:hAnsi="Times New Roman" w:cs="Times New Roman"/>
                <w:sz w:val="20"/>
                <w:szCs w:val="20"/>
              </w:rPr>
            </w:pPr>
          </w:p>
        </w:tc>
        <w:tc>
          <w:tcPr>
            <w:tcW w:w="860" w:type="dxa"/>
            <w:vMerge/>
            <w:vAlign w:val="center"/>
          </w:tcPr>
          <w:p w14:paraId="2D54650B" w14:textId="77777777" w:rsidR="00EE1CF5" w:rsidRPr="00B9490E" w:rsidRDefault="00EE1CF5" w:rsidP="00263AB1">
            <w:pPr>
              <w:rPr>
                <w:rFonts w:ascii="Times New Roman" w:hAnsi="Times New Roman" w:cs="Times New Roman"/>
                <w:sz w:val="20"/>
                <w:szCs w:val="20"/>
              </w:rPr>
            </w:pPr>
          </w:p>
        </w:tc>
        <w:tc>
          <w:tcPr>
            <w:tcW w:w="847" w:type="dxa"/>
            <w:vMerge/>
            <w:vAlign w:val="center"/>
          </w:tcPr>
          <w:p w14:paraId="19B520A7" w14:textId="77777777" w:rsidR="00EE1CF5" w:rsidRPr="00B9490E" w:rsidRDefault="00EE1CF5" w:rsidP="00263AB1">
            <w:pPr>
              <w:rPr>
                <w:rFonts w:ascii="Times New Roman" w:hAnsi="Times New Roman" w:cs="Times New Roman"/>
                <w:sz w:val="20"/>
                <w:szCs w:val="20"/>
              </w:rPr>
            </w:pPr>
          </w:p>
        </w:tc>
        <w:tc>
          <w:tcPr>
            <w:tcW w:w="836" w:type="dxa"/>
            <w:vMerge/>
          </w:tcPr>
          <w:p w14:paraId="54B26F59" w14:textId="77777777" w:rsidR="00EE1CF5" w:rsidRPr="00DB3D3A" w:rsidRDefault="00EE1CF5" w:rsidP="00263AB1">
            <w:pPr>
              <w:rPr>
                <w:rFonts w:ascii="Times New Roman" w:hAnsi="Times New Roman" w:cs="Times New Roman"/>
                <w:sz w:val="20"/>
                <w:szCs w:val="20"/>
              </w:rPr>
            </w:pPr>
          </w:p>
        </w:tc>
      </w:tr>
      <w:tr w:rsidR="00EE1CF5" w14:paraId="423D0222" w14:textId="77777777" w:rsidTr="00263AB1">
        <w:trPr>
          <w:jc w:val="center"/>
        </w:trPr>
        <w:tc>
          <w:tcPr>
            <w:tcW w:w="2927" w:type="dxa"/>
            <w:vAlign w:val="center"/>
          </w:tcPr>
          <w:p w14:paraId="64DCB3FB" w14:textId="77777777" w:rsidR="00EE1CF5" w:rsidRPr="00B9490E" w:rsidRDefault="00EE1CF5" w:rsidP="00263AB1">
            <w:pPr>
              <w:rPr>
                <w:rFonts w:cs="Times New Roman"/>
                <w:sz w:val="20"/>
                <w:szCs w:val="20"/>
              </w:rPr>
            </w:pPr>
            <w:r w:rsidRPr="00B9490E">
              <w:rPr>
                <w:rFonts w:ascii="Times New Roman" w:hAnsi="Times New Roman" w:cs="Times New Roman"/>
                <w:sz w:val="20"/>
                <w:szCs w:val="20"/>
              </w:rPr>
              <w:t>5. OI mehānisma atcelšana un “zaļo sertifikātu” sistēmas ieviešana</w:t>
            </w:r>
          </w:p>
        </w:tc>
        <w:tc>
          <w:tcPr>
            <w:tcW w:w="2455" w:type="dxa"/>
            <w:vAlign w:val="center"/>
          </w:tcPr>
          <w:p w14:paraId="01F18FB6" w14:textId="77777777" w:rsidR="00EE1CF5" w:rsidRPr="009153A1" w:rsidRDefault="00EE1CF5" w:rsidP="00263AB1">
            <w:pPr>
              <w:rPr>
                <w:rFonts w:ascii="Times New Roman" w:hAnsi="Times New Roman" w:cs="Times New Roman"/>
                <w:sz w:val="20"/>
                <w:szCs w:val="20"/>
              </w:rPr>
            </w:pPr>
            <w:r w:rsidRPr="009153A1">
              <w:rPr>
                <w:rFonts w:ascii="Times New Roman" w:hAnsi="Times New Roman" w:cs="Times New Roman"/>
                <w:sz w:val="20"/>
                <w:szCs w:val="20"/>
              </w:rPr>
              <w:t>2019. – 2020.g.</w:t>
            </w:r>
          </w:p>
        </w:tc>
        <w:tc>
          <w:tcPr>
            <w:tcW w:w="1984" w:type="dxa"/>
            <w:vAlign w:val="center"/>
          </w:tcPr>
          <w:p w14:paraId="2B22DF55" w14:textId="77777777" w:rsidR="00EE1CF5" w:rsidRPr="009153A1"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2021.g.</w:t>
            </w:r>
          </w:p>
        </w:tc>
        <w:tc>
          <w:tcPr>
            <w:tcW w:w="2256" w:type="dxa"/>
            <w:vAlign w:val="center"/>
          </w:tcPr>
          <w:p w14:paraId="73DE8BC8" w14:textId="77777777" w:rsidR="00EE1CF5" w:rsidRPr="009153A1" w:rsidRDefault="00EE1CF5" w:rsidP="00263AB1">
            <w:pPr>
              <w:rPr>
                <w:rFonts w:ascii="Times New Roman" w:hAnsi="Times New Roman" w:cs="Times New Roman"/>
                <w:sz w:val="20"/>
                <w:szCs w:val="20"/>
              </w:rPr>
            </w:pPr>
            <w:r w:rsidRPr="009153A1">
              <w:rPr>
                <w:rFonts w:ascii="Times New Roman" w:hAnsi="Times New Roman" w:cs="Times New Roman"/>
                <w:sz w:val="20"/>
                <w:szCs w:val="20"/>
              </w:rPr>
              <w:t>2021.g.</w:t>
            </w:r>
          </w:p>
        </w:tc>
        <w:tc>
          <w:tcPr>
            <w:tcW w:w="1427" w:type="dxa"/>
            <w:vAlign w:val="center"/>
          </w:tcPr>
          <w:p w14:paraId="3BA56893" w14:textId="77777777" w:rsidR="00EE1CF5" w:rsidRPr="009153A1" w:rsidRDefault="00EE1CF5" w:rsidP="00263AB1">
            <w:pPr>
              <w:rPr>
                <w:rFonts w:ascii="Times New Roman" w:hAnsi="Times New Roman" w:cs="Times New Roman"/>
                <w:sz w:val="20"/>
                <w:szCs w:val="20"/>
              </w:rPr>
            </w:pPr>
            <w:r>
              <w:rPr>
                <w:rFonts w:ascii="Times New Roman" w:hAnsi="Times New Roman" w:cs="Times New Roman"/>
                <w:sz w:val="20"/>
                <w:szCs w:val="20"/>
              </w:rPr>
              <w:t>2021</w:t>
            </w:r>
            <w:r w:rsidRPr="009153A1">
              <w:rPr>
                <w:rFonts w:ascii="Times New Roman" w:hAnsi="Times New Roman" w:cs="Times New Roman"/>
                <w:sz w:val="20"/>
                <w:szCs w:val="20"/>
              </w:rPr>
              <w:t>.g</w:t>
            </w:r>
          </w:p>
        </w:tc>
        <w:tc>
          <w:tcPr>
            <w:tcW w:w="968" w:type="dxa"/>
            <w:vMerge/>
            <w:vAlign w:val="center"/>
          </w:tcPr>
          <w:p w14:paraId="53A99F0D" w14:textId="77777777" w:rsidR="00EE1CF5" w:rsidRPr="00B9490E" w:rsidRDefault="00EE1CF5" w:rsidP="00263AB1">
            <w:pPr>
              <w:rPr>
                <w:rFonts w:cs="Times New Roman"/>
                <w:sz w:val="20"/>
                <w:szCs w:val="20"/>
              </w:rPr>
            </w:pPr>
          </w:p>
        </w:tc>
        <w:tc>
          <w:tcPr>
            <w:tcW w:w="860" w:type="dxa"/>
            <w:vMerge/>
            <w:vAlign w:val="center"/>
          </w:tcPr>
          <w:p w14:paraId="2D4792C9" w14:textId="77777777" w:rsidR="00EE1CF5" w:rsidRPr="00B9490E" w:rsidRDefault="00EE1CF5" w:rsidP="00263AB1">
            <w:pPr>
              <w:rPr>
                <w:rFonts w:cs="Times New Roman"/>
                <w:sz w:val="20"/>
                <w:szCs w:val="20"/>
              </w:rPr>
            </w:pPr>
          </w:p>
        </w:tc>
        <w:tc>
          <w:tcPr>
            <w:tcW w:w="847" w:type="dxa"/>
            <w:vMerge/>
            <w:vAlign w:val="center"/>
          </w:tcPr>
          <w:p w14:paraId="2DD6F36D" w14:textId="77777777" w:rsidR="00EE1CF5" w:rsidRPr="00B9490E" w:rsidRDefault="00EE1CF5" w:rsidP="00263AB1">
            <w:pPr>
              <w:rPr>
                <w:rFonts w:cs="Times New Roman"/>
                <w:sz w:val="20"/>
                <w:szCs w:val="20"/>
              </w:rPr>
            </w:pPr>
          </w:p>
        </w:tc>
        <w:tc>
          <w:tcPr>
            <w:tcW w:w="836" w:type="dxa"/>
            <w:vMerge/>
          </w:tcPr>
          <w:p w14:paraId="2A455E3D" w14:textId="77777777" w:rsidR="00EE1CF5" w:rsidRPr="00B9490E" w:rsidRDefault="00EE1CF5" w:rsidP="00263AB1">
            <w:pPr>
              <w:rPr>
                <w:rFonts w:cs="Times New Roman"/>
                <w:sz w:val="20"/>
                <w:szCs w:val="20"/>
              </w:rPr>
            </w:pPr>
          </w:p>
        </w:tc>
      </w:tr>
    </w:tbl>
    <w:p w14:paraId="3987A021" w14:textId="77777777" w:rsidR="00EE1CF5" w:rsidRDefault="00EE1CF5" w:rsidP="00EE1CF5">
      <w:pPr>
        <w:jc w:val="left"/>
      </w:pPr>
    </w:p>
    <w:p w14:paraId="2316DA4C" w14:textId="77777777" w:rsidR="00EE1CF5" w:rsidRDefault="00EE1CF5" w:rsidP="00EE1CF5">
      <w:pPr>
        <w:jc w:val="left"/>
      </w:pPr>
    </w:p>
    <w:p w14:paraId="3EC153F3" w14:textId="77777777" w:rsidR="00EE1CF5" w:rsidRPr="00C75AE3" w:rsidRDefault="00EE1CF5" w:rsidP="00EE1CF5">
      <w:pPr>
        <w:pStyle w:val="Caption"/>
        <w:keepNext/>
        <w:spacing w:after="0" w:line="240" w:lineRule="auto"/>
        <w:jc w:val="right"/>
        <w:rPr>
          <w:rFonts w:ascii="Times New Roman" w:hAnsi="Times New Roman"/>
          <w:b w:val="0"/>
          <w:i/>
          <w:sz w:val="24"/>
          <w:szCs w:val="24"/>
        </w:rPr>
      </w:pPr>
      <w:r w:rsidRPr="00C75AE3">
        <w:rPr>
          <w:rFonts w:ascii="Times New Roman" w:hAnsi="Times New Roman"/>
          <w:b w:val="0"/>
          <w:i/>
          <w:sz w:val="24"/>
          <w:szCs w:val="24"/>
        </w:rPr>
        <w:lastRenderedPageBreak/>
        <w:t>21</w:t>
      </w:r>
      <w:r>
        <w:rPr>
          <w:rFonts w:ascii="Times New Roman" w:hAnsi="Times New Roman"/>
          <w:b w:val="0"/>
          <w:i/>
          <w:sz w:val="24"/>
          <w:szCs w:val="24"/>
        </w:rPr>
        <w:t>.</w:t>
      </w:r>
      <w:r w:rsidRPr="00C75AE3">
        <w:rPr>
          <w:rFonts w:ascii="Times New Roman" w:hAnsi="Times New Roman"/>
          <w:b w:val="0"/>
          <w:i/>
          <w:sz w:val="24"/>
          <w:szCs w:val="24"/>
        </w:rPr>
        <w:t>tabula</w:t>
      </w:r>
    </w:p>
    <w:p w14:paraId="19BE6FEA" w14:textId="77777777" w:rsidR="00EE1CF5" w:rsidRPr="00E936FD" w:rsidRDefault="00EE1CF5" w:rsidP="00EE1CF5">
      <w:pPr>
        <w:pStyle w:val="Caption"/>
        <w:keepNext/>
        <w:keepLines/>
        <w:widowControl/>
        <w:jc w:val="center"/>
        <w:rPr>
          <w:rFonts w:ascii="Times New Roman" w:hAnsi="Times New Roman"/>
          <w:sz w:val="24"/>
          <w:szCs w:val="24"/>
        </w:rPr>
      </w:pPr>
      <w:r>
        <w:rPr>
          <w:rFonts w:ascii="Times New Roman" w:hAnsi="Times New Roman"/>
          <w:sz w:val="24"/>
          <w:szCs w:val="24"/>
        </w:rPr>
        <w:t>3.</w:t>
      </w:r>
      <w:r w:rsidRPr="00E936FD">
        <w:rPr>
          <w:rFonts w:ascii="Times New Roman" w:hAnsi="Times New Roman"/>
          <w:sz w:val="24"/>
          <w:szCs w:val="24"/>
        </w:rPr>
        <w:t xml:space="preserve"> risinājuma ietekme uz valsts budžetu pēc Eiropas Nacionālo Kontu Sistēmas, EUR</w:t>
      </w:r>
    </w:p>
    <w:tbl>
      <w:tblPr>
        <w:tblW w:w="13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275"/>
        <w:gridCol w:w="1342"/>
        <w:gridCol w:w="1242"/>
        <w:gridCol w:w="1150"/>
        <w:gridCol w:w="1316"/>
        <w:gridCol w:w="1329"/>
        <w:gridCol w:w="1237"/>
      </w:tblGrid>
      <w:tr w:rsidR="00EE1CF5" w14:paraId="3A39E810" w14:textId="77777777" w:rsidTr="00263AB1">
        <w:trPr>
          <w:trHeight w:val="288"/>
          <w:jc w:val="center"/>
        </w:trPr>
        <w:tc>
          <w:tcPr>
            <w:tcW w:w="4390" w:type="dxa"/>
            <w:shd w:val="clear" w:color="auto" w:fill="auto"/>
            <w:noWrap/>
            <w:vAlign w:val="bottom"/>
          </w:tcPr>
          <w:p w14:paraId="39D8274B" w14:textId="77777777" w:rsidR="00EE1CF5" w:rsidRPr="00E936FD" w:rsidRDefault="00EE1CF5" w:rsidP="00263AB1">
            <w:pPr>
              <w:ind w:firstLine="34"/>
              <w:jc w:val="center"/>
              <w:rPr>
                <w:rFonts w:cs="Times New Roman"/>
                <w:b/>
                <w:bCs/>
                <w:sz w:val="20"/>
                <w:szCs w:val="20"/>
              </w:rPr>
            </w:pPr>
          </w:p>
        </w:tc>
        <w:tc>
          <w:tcPr>
            <w:tcW w:w="2617" w:type="dxa"/>
            <w:gridSpan w:val="2"/>
          </w:tcPr>
          <w:p w14:paraId="3468466F" w14:textId="77777777" w:rsidR="00EE1CF5" w:rsidRDefault="00EE1CF5" w:rsidP="00263AB1">
            <w:pPr>
              <w:ind w:firstLine="34"/>
              <w:jc w:val="center"/>
              <w:rPr>
                <w:b/>
                <w:bCs/>
                <w:color w:val="000000"/>
                <w:sz w:val="20"/>
                <w:szCs w:val="20"/>
              </w:rPr>
            </w:pPr>
            <w:r>
              <w:rPr>
                <w:b/>
                <w:bCs/>
                <w:color w:val="000000"/>
                <w:sz w:val="20"/>
                <w:szCs w:val="20"/>
              </w:rPr>
              <w:t>2018</w:t>
            </w:r>
          </w:p>
        </w:tc>
        <w:tc>
          <w:tcPr>
            <w:tcW w:w="2392" w:type="dxa"/>
            <w:gridSpan w:val="2"/>
            <w:shd w:val="clear" w:color="auto" w:fill="auto"/>
            <w:noWrap/>
            <w:vAlign w:val="center"/>
          </w:tcPr>
          <w:p w14:paraId="1F62D02A" w14:textId="77777777" w:rsidR="00EE1CF5" w:rsidRDefault="00EE1CF5" w:rsidP="00263AB1">
            <w:pPr>
              <w:ind w:firstLine="34"/>
              <w:jc w:val="center"/>
              <w:rPr>
                <w:b/>
                <w:bCs/>
                <w:color w:val="000000"/>
                <w:sz w:val="20"/>
                <w:szCs w:val="20"/>
              </w:rPr>
            </w:pPr>
            <w:r>
              <w:rPr>
                <w:b/>
                <w:bCs/>
                <w:color w:val="000000"/>
                <w:sz w:val="20"/>
                <w:szCs w:val="20"/>
              </w:rPr>
              <w:t>2019</w:t>
            </w:r>
          </w:p>
        </w:tc>
        <w:tc>
          <w:tcPr>
            <w:tcW w:w="2645" w:type="dxa"/>
            <w:gridSpan w:val="2"/>
            <w:tcBorders>
              <w:top w:val="single" w:sz="4" w:space="0" w:color="auto"/>
            </w:tcBorders>
            <w:shd w:val="clear" w:color="auto" w:fill="auto"/>
            <w:noWrap/>
            <w:vAlign w:val="center"/>
          </w:tcPr>
          <w:p w14:paraId="2CD8ABCF" w14:textId="77777777" w:rsidR="00EE1CF5" w:rsidRDefault="00EE1CF5" w:rsidP="00263AB1">
            <w:pPr>
              <w:jc w:val="center"/>
              <w:rPr>
                <w:b/>
                <w:bCs/>
                <w:color w:val="000000"/>
                <w:sz w:val="20"/>
                <w:szCs w:val="20"/>
              </w:rPr>
            </w:pPr>
            <w:r>
              <w:rPr>
                <w:b/>
                <w:bCs/>
                <w:color w:val="000000"/>
                <w:sz w:val="20"/>
                <w:szCs w:val="20"/>
              </w:rPr>
              <w:t>2020</w:t>
            </w:r>
          </w:p>
        </w:tc>
        <w:tc>
          <w:tcPr>
            <w:tcW w:w="1237" w:type="dxa"/>
            <w:tcBorders>
              <w:top w:val="single" w:sz="4" w:space="0" w:color="auto"/>
              <w:bottom w:val="single" w:sz="4" w:space="0" w:color="auto"/>
              <w:right w:val="single" w:sz="4" w:space="0" w:color="auto"/>
            </w:tcBorders>
            <w:shd w:val="clear" w:color="auto" w:fill="auto"/>
            <w:noWrap/>
            <w:vAlign w:val="center"/>
          </w:tcPr>
          <w:p w14:paraId="0F43E1CB" w14:textId="77777777" w:rsidR="00EE1CF5" w:rsidRDefault="00EE1CF5" w:rsidP="00263AB1">
            <w:pPr>
              <w:jc w:val="center"/>
              <w:rPr>
                <w:b/>
                <w:bCs/>
                <w:color w:val="000000"/>
                <w:sz w:val="20"/>
                <w:szCs w:val="20"/>
              </w:rPr>
            </w:pPr>
            <w:r>
              <w:rPr>
                <w:b/>
                <w:bCs/>
                <w:color w:val="000000"/>
                <w:sz w:val="20"/>
                <w:szCs w:val="20"/>
              </w:rPr>
              <w:t>2021</w:t>
            </w:r>
          </w:p>
        </w:tc>
      </w:tr>
      <w:tr w:rsidR="00EE1CF5" w14:paraId="6AFBE79F" w14:textId="77777777" w:rsidTr="00263AB1">
        <w:trPr>
          <w:trHeight w:val="288"/>
          <w:jc w:val="center"/>
        </w:trPr>
        <w:tc>
          <w:tcPr>
            <w:tcW w:w="4390" w:type="dxa"/>
            <w:shd w:val="clear" w:color="auto" w:fill="auto"/>
            <w:noWrap/>
            <w:vAlign w:val="bottom"/>
          </w:tcPr>
          <w:p w14:paraId="5A8873F2" w14:textId="77777777" w:rsidR="00EE1CF5" w:rsidRPr="00E936FD" w:rsidRDefault="00EE1CF5" w:rsidP="00263AB1">
            <w:pPr>
              <w:ind w:firstLine="34"/>
              <w:jc w:val="center"/>
              <w:rPr>
                <w:rFonts w:cs="Times New Roman"/>
                <w:b/>
                <w:bCs/>
                <w:sz w:val="20"/>
                <w:szCs w:val="20"/>
              </w:rPr>
            </w:pPr>
          </w:p>
        </w:tc>
        <w:tc>
          <w:tcPr>
            <w:tcW w:w="1275" w:type="dxa"/>
          </w:tcPr>
          <w:p w14:paraId="3FD4E55A" w14:textId="77777777" w:rsidR="00EE1CF5" w:rsidRDefault="00EE1CF5" w:rsidP="00263AB1">
            <w:pPr>
              <w:ind w:firstLine="34"/>
              <w:jc w:val="center"/>
              <w:rPr>
                <w:b/>
                <w:bCs/>
                <w:color w:val="000000"/>
                <w:sz w:val="20"/>
                <w:szCs w:val="20"/>
              </w:rPr>
            </w:pPr>
            <w:r>
              <w:rPr>
                <w:b/>
                <w:bCs/>
                <w:color w:val="000000"/>
                <w:sz w:val="20"/>
                <w:szCs w:val="20"/>
              </w:rPr>
              <w:t>2017. gada prognoze</w:t>
            </w:r>
          </w:p>
        </w:tc>
        <w:tc>
          <w:tcPr>
            <w:tcW w:w="1342" w:type="dxa"/>
            <w:vAlign w:val="center"/>
          </w:tcPr>
          <w:p w14:paraId="656F90C0" w14:textId="77777777" w:rsidR="00EE1CF5" w:rsidRDefault="00EE1CF5" w:rsidP="00263AB1">
            <w:pPr>
              <w:ind w:firstLine="34"/>
              <w:jc w:val="center"/>
              <w:rPr>
                <w:b/>
                <w:bCs/>
                <w:color w:val="000000"/>
                <w:sz w:val="20"/>
                <w:szCs w:val="20"/>
              </w:rPr>
            </w:pPr>
            <w:r>
              <w:rPr>
                <w:b/>
                <w:bCs/>
                <w:color w:val="000000"/>
                <w:sz w:val="20"/>
                <w:szCs w:val="20"/>
              </w:rPr>
              <w:t>Prognoze</w:t>
            </w:r>
          </w:p>
        </w:tc>
        <w:tc>
          <w:tcPr>
            <w:tcW w:w="1242" w:type="dxa"/>
            <w:shd w:val="clear" w:color="auto" w:fill="auto"/>
            <w:noWrap/>
            <w:vAlign w:val="center"/>
          </w:tcPr>
          <w:p w14:paraId="0410F48A" w14:textId="77777777" w:rsidR="00EE1CF5" w:rsidRDefault="00EE1CF5" w:rsidP="00263AB1">
            <w:pPr>
              <w:ind w:firstLine="34"/>
              <w:jc w:val="center"/>
              <w:rPr>
                <w:b/>
                <w:bCs/>
                <w:color w:val="000000"/>
                <w:sz w:val="20"/>
                <w:szCs w:val="20"/>
              </w:rPr>
            </w:pPr>
            <w:r>
              <w:rPr>
                <w:b/>
                <w:bCs/>
                <w:color w:val="000000"/>
                <w:sz w:val="20"/>
                <w:szCs w:val="20"/>
              </w:rPr>
              <w:t>2017. gada prognoze</w:t>
            </w:r>
          </w:p>
        </w:tc>
        <w:tc>
          <w:tcPr>
            <w:tcW w:w="1150" w:type="dxa"/>
            <w:vAlign w:val="center"/>
          </w:tcPr>
          <w:p w14:paraId="1981FCFF"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316" w:type="dxa"/>
            <w:tcBorders>
              <w:top w:val="single" w:sz="4" w:space="0" w:color="auto"/>
            </w:tcBorders>
            <w:shd w:val="clear" w:color="auto" w:fill="auto"/>
            <w:noWrap/>
            <w:vAlign w:val="center"/>
          </w:tcPr>
          <w:p w14:paraId="2AD37238" w14:textId="77777777" w:rsidR="00EE1CF5" w:rsidRPr="00E936FD" w:rsidRDefault="00EE1CF5" w:rsidP="00263AB1">
            <w:pPr>
              <w:ind w:firstLine="34"/>
              <w:jc w:val="center"/>
              <w:rPr>
                <w:b/>
                <w:bCs/>
                <w:color w:val="000000"/>
                <w:sz w:val="20"/>
                <w:szCs w:val="20"/>
              </w:rPr>
            </w:pPr>
            <w:r>
              <w:rPr>
                <w:b/>
                <w:bCs/>
                <w:color w:val="000000"/>
                <w:sz w:val="20"/>
                <w:szCs w:val="20"/>
              </w:rPr>
              <w:t>2017. gada prognoze</w:t>
            </w:r>
          </w:p>
        </w:tc>
        <w:tc>
          <w:tcPr>
            <w:tcW w:w="1329" w:type="dxa"/>
            <w:tcBorders>
              <w:top w:val="single" w:sz="4" w:space="0" w:color="auto"/>
            </w:tcBorders>
            <w:vAlign w:val="center"/>
          </w:tcPr>
          <w:p w14:paraId="0CD18EEF" w14:textId="77777777" w:rsidR="00EE1CF5" w:rsidRPr="00E936FD" w:rsidRDefault="00EE1CF5" w:rsidP="00263AB1">
            <w:pPr>
              <w:jc w:val="center"/>
              <w:rPr>
                <w:b/>
                <w:bCs/>
                <w:color w:val="000000"/>
                <w:sz w:val="20"/>
                <w:szCs w:val="20"/>
              </w:rPr>
            </w:pPr>
            <w:r>
              <w:rPr>
                <w:b/>
                <w:bCs/>
                <w:color w:val="000000"/>
                <w:sz w:val="20"/>
                <w:szCs w:val="20"/>
              </w:rPr>
              <w:t>Prognoze</w:t>
            </w:r>
          </w:p>
        </w:tc>
        <w:tc>
          <w:tcPr>
            <w:tcW w:w="1237" w:type="dxa"/>
            <w:tcBorders>
              <w:top w:val="single" w:sz="4" w:space="0" w:color="auto"/>
              <w:bottom w:val="single" w:sz="4" w:space="0" w:color="auto"/>
              <w:right w:val="single" w:sz="4" w:space="0" w:color="auto"/>
            </w:tcBorders>
            <w:shd w:val="clear" w:color="auto" w:fill="auto"/>
            <w:noWrap/>
            <w:vAlign w:val="center"/>
          </w:tcPr>
          <w:p w14:paraId="5E653054" w14:textId="77777777" w:rsidR="00EE1CF5" w:rsidRPr="00E936FD" w:rsidRDefault="00EE1CF5" w:rsidP="00263AB1">
            <w:pPr>
              <w:jc w:val="center"/>
              <w:rPr>
                <w:b/>
                <w:bCs/>
                <w:color w:val="000000"/>
                <w:sz w:val="20"/>
                <w:szCs w:val="20"/>
              </w:rPr>
            </w:pPr>
            <w:r>
              <w:rPr>
                <w:b/>
                <w:bCs/>
                <w:color w:val="000000"/>
                <w:sz w:val="20"/>
                <w:szCs w:val="20"/>
              </w:rPr>
              <w:t>Prognoze</w:t>
            </w:r>
          </w:p>
        </w:tc>
      </w:tr>
      <w:tr w:rsidR="00EE1CF5" w14:paraId="497438AA" w14:textId="77777777" w:rsidTr="00263AB1">
        <w:trPr>
          <w:trHeight w:val="288"/>
          <w:jc w:val="center"/>
        </w:trPr>
        <w:tc>
          <w:tcPr>
            <w:tcW w:w="4390" w:type="dxa"/>
            <w:shd w:val="clear" w:color="auto" w:fill="auto"/>
            <w:noWrap/>
            <w:vAlign w:val="bottom"/>
            <w:hideMark/>
          </w:tcPr>
          <w:p w14:paraId="5CF1A82F"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Valsts budžeta izdevumi</w:t>
            </w:r>
          </w:p>
        </w:tc>
        <w:tc>
          <w:tcPr>
            <w:tcW w:w="1275" w:type="dxa"/>
            <w:vAlign w:val="center"/>
          </w:tcPr>
          <w:p w14:paraId="3DCE02CB" w14:textId="77777777" w:rsidR="00EE1CF5" w:rsidRDefault="00EE1CF5" w:rsidP="00263AB1">
            <w:pPr>
              <w:ind w:firstLine="34"/>
              <w:jc w:val="center"/>
              <w:rPr>
                <w:b/>
                <w:bCs/>
                <w:color w:val="000000"/>
                <w:sz w:val="20"/>
                <w:szCs w:val="20"/>
              </w:rPr>
            </w:pPr>
            <w:r>
              <w:rPr>
                <w:b/>
                <w:bCs/>
                <w:color w:val="000000"/>
                <w:sz w:val="20"/>
                <w:szCs w:val="20"/>
              </w:rPr>
              <w:t>48</w:t>
            </w:r>
            <w:r w:rsidRPr="00E936FD">
              <w:rPr>
                <w:b/>
                <w:bCs/>
                <w:color w:val="000000"/>
                <w:sz w:val="20"/>
                <w:szCs w:val="20"/>
              </w:rPr>
              <w:t xml:space="preserve"> 808</w:t>
            </w:r>
            <w:r>
              <w:rPr>
                <w:b/>
                <w:bCs/>
                <w:color w:val="000000"/>
                <w:sz w:val="20"/>
                <w:szCs w:val="20"/>
              </w:rPr>
              <w:t> </w:t>
            </w:r>
            <w:r w:rsidRPr="00E936FD">
              <w:rPr>
                <w:b/>
                <w:bCs/>
                <w:color w:val="000000"/>
                <w:sz w:val="20"/>
                <w:szCs w:val="20"/>
              </w:rPr>
              <w:t>711</w:t>
            </w:r>
          </w:p>
        </w:tc>
        <w:tc>
          <w:tcPr>
            <w:tcW w:w="1342" w:type="dxa"/>
            <w:vAlign w:val="center"/>
          </w:tcPr>
          <w:p w14:paraId="234DF8EB" w14:textId="77777777" w:rsidR="00EE1CF5" w:rsidRDefault="00EE1CF5" w:rsidP="00263AB1">
            <w:pPr>
              <w:ind w:firstLine="34"/>
              <w:jc w:val="center"/>
              <w:rPr>
                <w:b/>
                <w:bCs/>
                <w:color w:val="000000"/>
                <w:sz w:val="20"/>
                <w:szCs w:val="20"/>
              </w:rPr>
            </w:pPr>
            <w:r w:rsidRPr="00277951">
              <w:rPr>
                <w:rFonts w:cs="Times New Roman"/>
                <w:b/>
                <w:bCs/>
                <w:color w:val="000000"/>
                <w:sz w:val="20"/>
                <w:szCs w:val="20"/>
              </w:rPr>
              <w:t>103 966 771</w:t>
            </w:r>
          </w:p>
        </w:tc>
        <w:tc>
          <w:tcPr>
            <w:tcW w:w="1242" w:type="dxa"/>
            <w:shd w:val="clear" w:color="auto" w:fill="auto"/>
            <w:noWrap/>
          </w:tcPr>
          <w:p w14:paraId="01531AAE" w14:textId="77777777" w:rsidR="00EE1CF5" w:rsidRPr="00E936FD" w:rsidRDefault="00EE1CF5" w:rsidP="00263AB1">
            <w:pPr>
              <w:ind w:firstLine="34"/>
              <w:jc w:val="center"/>
              <w:rPr>
                <w:rFonts w:cs="Times New Roman"/>
                <w:b/>
                <w:bCs/>
                <w:color w:val="000000"/>
                <w:sz w:val="20"/>
                <w:szCs w:val="20"/>
              </w:rPr>
            </w:pPr>
            <w:r w:rsidRPr="002F1349">
              <w:rPr>
                <w:rFonts w:cs="Times New Roman"/>
                <w:b/>
                <w:bCs/>
                <w:color w:val="000000"/>
                <w:sz w:val="20"/>
                <w:szCs w:val="20"/>
              </w:rPr>
              <w:t>49 406 416</w:t>
            </w:r>
          </w:p>
        </w:tc>
        <w:tc>
          <w:tcPr>
            <w:tcW w:w="1150" w:type="dxa"/>
          </w:tcPr>
          <w:p w14:paraId="6C332760" w14:textId="77777777" w:rsidR="00EE1CF5" w:rsidRPr="00EA0A92" w:rsidRDefault="00EE1CF5" w:rsidP="00263AB1">
            <w:pPr>
              <w:rPr>
                <w:b/>
                <w:bCs/>
                <w:color w:val="000000"/>
                <w:sz w:val="20"/>
                <w:szCs w:val="20"/>
              </w:rPr>
            </w:pPr>
            <w:r>
              <w:rPr>
                <w:b/>
                <w:bCs/>
                <w:color w:val="000000"/>
                <w:sz w:val="20"/>
                <w:szCs w:val="20"/>
              </w:rPr>
              <w:t>100 70 221</w:t>
            </w:r>
          </w:p>
        </w:tc>
        <w:tc>
          <w:tcPr>
            <w:tcW w:w="1316" w:type="dxa"/>
            <w:tcBorders>
              <w:top w:val="single" w:sz="4" w:space="0" w:color="auto"/>
            </w:tcBorders>
            <w:shd w:val="clear" w:color="auto" w:fill="auto"/>
            <w:noWrap/>
          </w:tcPr>
          <w:p w14:paraId="017A877D" w14:textId="77777777" w:rsidR="00EE1CF5" w:rsidRPr="002F1349" w:rsidRDefault="00EE1CF5" w:rsidP="00263AB1">
            <w:pPr>
              <w:ind w:firstLine="34"/>
              <w:jc w:val="center"/>
              <w:rPr>
                <w:rFonts w:cs="Times New Roman"/>
                <w:b/>
                <w:bCs/>
                <w:color w:val="000000"/>
                <w:sz w:val="20"/>
                <w:szCs w:val="20"/>
              </w:rPr>
            </w:pPr>
            <w:r w:rsidRPr="002F1349">
              <w:rPr>
                <w:rFonts w:cs="Times New Roman"/>
                <w:b/>
                <w:bCs/>
                <w:color w:val="000000"/>
                <w:sz w:val="20"/>
                <w:szCs w:val="20"/>
              </w:rPr>
              <w:t>58 684 672</w:t>
            </w:r>
          </w:p>
        </w:tc>
        <w:tc>
          <w:tcPr>
            <w:tcW w:w="1329" w:type="dxa"/>
            <w:tcBorders>
              <w:top w:val="single" w:sz="4" w:space="0" w:color="auto"/>
            </w:tcBorders>
            <w:vAlign w:val="center"/>
          </w:tcPr>
          <w:p w14:paraId="54AC7DEE" w14:textId="77777777" w:rsidR="00EE1CF5" w:rsidRPr="00347A21" w:rsidRDefault="00EE1CF5" w:rsidP="00263AB1">
            <w:pPr>
              <w:ind w:firstLine="34"/>
              <w:jc w:val="center"/>
              <w:rPr>
                <w:rFonts w:cs="Times New Roman"/>
                <w:b/>
                <w:bCs/>
                <w:color w:val="000000"/>
                <w:sz w:val="20"/>
                <w:szCs w:val="20"/>
                <w:highlight w:val="yellow"/>
              </w:rPr>
            </w:pPr>
            <w:r>
              <w:rPr>
                <w:b/>
                <w:bCs/>
                <w:color w:val="000000"/>
                <w:sz w:val="20"/>
                <w:szCs w:val="20"/>
              </w:rPr>
              <w:t>70 670 221</w:t>
            </w:r>
          </w:p>
        </w:tc>
        <w:tc>
          <w:tcPr>
            <w:tcW w:w="1237" w:type="dxa"/>
            <w:tcBorders>
              <w:top w:val="single" w:sz="4" w:space="0" w:color="auto"/>
              <w:bottom w:val="single" w:sz="4" w:space="0" w:color="auto"/>
              <w:right w:val="single" w:sz="4" w:space="0" w:color="auto"/>
            </w:tcBorders>
            <w:shd w:val="clear" w:color="auto" w:fill="auto"/>
            <w:noWrap/>
            <w:vAlign w:val="center"/>
          </w:tcPr>
          <w:p w14:paraId="78680427" w14:textId="77777777" w:rsidR="00EE1CF5" w:rsidRPr="00E936FD" w:rsidRDefault="00EE1CF5" w:rsidP="00263AB1">
            <w:pPr>
              <w:jc w:val="center"/>
              <w:rPr>
                <w:rFonts w:cs="Times New Roman"/>
                <w:b/>
                <w:bCs/>
                <w:color w:val="000000"/>
                <w:sz w:val="20"/>
                <w:szCs w:val="20"/>
              </w:rPr>
            </w:pPr>
            <w:r>
              <w:rPr>
                <w:b/>
                <w:bCs/>
                <w:color w:val="000000"/>
                <w:sz w:val="20"/>
                <w:szCs w:val="20"/>
              </w:rPr>
              <w:t>39 970 221</w:t>
            </w:r>
          </w:p>
        </w:tc>
      </w:tr>
      <w:tr w:rsidR="00EE1CF5" w14:paraId="5552C9CF" w14:textId="77777777" w:rsidTr="00263AB1">
        <w:trPr>
          <w:trHeight w:val="288"/>
          <w:jc w:val="center"/>
        </w:trPr>
        <w:tc>
          <w:tcPr>
            <w:tcW w:w="4390" w:type="dxa"/>
            <w:shd w:val="clear" w:color="auto" w:fill="auto"/>
            <w:noWrap/>
            <w:vAlign w:val="bottom"/>
          </w:tcPr>
          <w:p w14:paraId="0AAEAC33" w14:textId="77777777" w:rsidR="00EE1CF5" w:rsidRPr="00E936FD" w:rsidRDefault="00EE1CF5" w:rsidP="00263AB1">
            <w:pPr>
              <w:rPr>
                <w:rFonts w:cs="Times New Roman"/>
                <w:sz w:val="20"/>
                <w:szCs w:val="20"/>
              </w:rPr>
            </w:pPr>
            <w:r w:rsidRPr="00E936FD">
              <w:rPr>
                <w:rFonts w:cs="Times New Roman"/>
                <w:sz w:val="20"/>
                <w:szCs w:val="20"/>
              </w:rPr>
              <w:t>OIK dotācija, t.sk. administrēšanas vajadzībām (Ietekme)</w:t>
            </w:r>
          </w:p>
        </w:tc>
        <w:tc>
          <w:tcPr>
            <w:tcW w:w="1275" w:type="dxa"/>
            <w:vAlign w:val="center"/>
          </w:tcPr>
          <w:p w14:paraId="6A10DD38" w14:textId="77777777" w:rsidR="00EE1CF5" w:rsidRDefault="00EE1CF5" w:rsidP="00263AB1">
            <w:pPr>
              <w:ind w:firstLine="34"/>
              <w:jc w:val="center"/>
              <w:rPr>
                <w:color w:val="000000" w:themeColor="text1"/>
                <w:sz w:val="20"/>
                <w:szCs w:val="20"/>
              </w:rPr>
            </w:pPr>
            <w:r>
              <w:rPr>
                <w:color w:val="000000" w:themeColor="text1"/>
                <w:sz w:val="20"/>
                <w:szCs w:val="20"/>
              </w:rPr>
              <w:t>9</w:t>
            </w:r>
            <w:r w:rsidRPr="00E936FD">
              <w:rPr>
                <w:color w:val="000000" w:themeColor="text1"/>
                <w:sz w:val="20"/>
                <w:szCs w:val="20"/>
              </w:rPr>
              <w:t xml:space="preserve"> 085 684</w:t>
            </w:r>
          </w:p>
        </w:tc>
        <w:tc>
          <w:tcPr>
            <w:tcW w:w="1342" w:type="dxa"/>
            <w:vAlign w:val="center"/>
          </w:tcPr>
          <w:p w14:paraId="24038C21" w14:textId="77777777" w:rsidR="00EE1CF5" w:rsidRPr="00584095" w:rsidRDefault="00EE1CF5" w:rsidP="00263AB1">
            <w:pPr>
              <w:ind w:firstLine="34"/>
              <w:jc w:val="center"/>
              <w:rPr>
                <w:color w:val="000000" w:themeColor="text1"/>
                <w:sz w:val="20"/>
                <w:szCs w:val="20"/>
              </w:rPr>
            </w:pPr>
            <w:r w:rsidRPr="00584095">
              <w:rPr>
                <w:rFonts w:cs="Times New Roman"/>
                <w:color w:val="000000"/>
                <w:sz w:val="20"/>
                <w:szCs w:val="20"/>
              </w:rPr>
              <w:t>8 463 215</w:t>
            </w:r>
          </w:p>
        </w:tc>
        <w:tc>
          <w:tcPr>
            <w:tcW w:w="1242" w:type="dxa"/>
            <w:shd w:val="clear" w:color="auto" w:fill="auto"/>
            <w:noWrap/>
            <w:vAlign w:val="center"/>
          </w:tcPr>
          <w:p w14:paraId="37239F36" w14:textId="77777777" w:rsidR="00EE1CF5" w:rsidRPr="00584095" w:rsidRDefault="00EE1CF5" w:rsidP="00263AB1">
            <w:pPr>
              <w:ind w:firstLine="34"/>
              <w:jc w:val="center"/>
              <w:rPr>
                <w:rFonts w:cs="Times New Roman"/>
                <w:color w:val="000000" w:themeColor="text1"/>
                <w:sz w:val="20"/>
                <w:szCs w:val="20"/>
              </w:rPr>
            </w:pPr>
            <w:r w:rsidRPr="00584095">
              <w:rPr>
                <w:color w:val="000000" w:themeColor="text1"/>
                <w:sz w:val="20"/>
                <w:szCs w:val="20"/>
              </w:rPr>
              <w:t>9 683 389</w:t>
            </w:r>
          </w:p>
        </w:tc>
        <w:tc>
          <w:tcPr>
            <w:tcW w:w="1150" w:type="dxa"/>
            <w:vAlign w:val="center"/>
          </w:tcPr>
          <w:p w14:paraId="6C9FB08F" w14:textId="77777777" w:rsidR="00EE1CF5" w:rsidRPr="00584095" w:rsidRDefault="00EE1CF5" w:rsidP="00263AB1">
            <w:pPr>
              <w:ind w:firstLine="34"/>
              <w:jc w:val="center"/>
              <w:rPr>
                <w:color w:val="000000" w:themeColor="text1"/>
                <w:sz w:val="20"/>
                <w:szCs w:val="20"/>
              </w:rPr>
            </w:pPr>
            <w:r w:rsidRPr="00584095">
              <w:rPr>
                <w:color w:val="000000" w:themeColor="text1"/>
                <w:sz w:val="20"/>
                <w:szCs w:val="20"/>
              </w:rPr>
              <w:t>61 063 215</w:t>
            </w:r>
          </w:p>
        </w:tc>
        <w:tc>
          <w:tcPr>
            <w:tcW w:w="1316" w:type="dxa"/>
            <w:shd w:val="clear" w:color="auto" w:fill="auto"/>
            <w:noWrap/>
            <w:vAlign w:val="center"/>
          </w:tcPr>
          <w:p w14:paraId="454544E7" w14:textId="77777777" w:rsidR="00EE1CF5" w:rsidRPr="00E936FD" w:rsidRDefault="00EE1CF5" w:rsidP="00263AB1">
            <w:pPr>
              <w:ind w:firstLine="34"/>
              <w:jc w:val="center"/>
              <w:rPr>
                <w:rFonts w:cs="Times New Roman"/>
                <w:color w:val="000000" w:themeColor="text1"/>
                <w:sz w:val="20"/>
                <w:szCs w:val="20"/>
              </w:rPr>
            </w:pPr>
            <w:r w:rsidRPr="00E936FD">
              <w:rPr>
                <w:color w:val="000000" w:themeColor="text1"/>
                <w:sz w:val="20"/>
                <w:szCs w:val="20"/>
              </w:rPr>
              <w:t>18 961 646</w:t>
            </w:r>
          </w:p>
        </w:tc>
        <w:tc>
          <w:tcPr>
            <w:tcW w:w="1329" w:type="dxa"/>
            <w:vAlign w:val="center"/>
          </w:tcPr>
          <w:p w14:paraId="0D711B93" w14:textId="77777777" w:rsidR="00EE1CF5" w:rsidRPr="00347A21" w:rsidRDefault="00EE1CF5" w:rsidP="00263AB1">
            <w:pPr>
              <w:ind w:firstLine="34"/>
              <w:jc w:val="center"/>
              <w:rPr>
                <w:color w:val="000000" w:themeColor="text1"/>
                <w:sz w:val="20"/>
                <w:szCs w:val="20"/>
                <w:highlight w:val="yellow"/>
              </w:rPr>
            </w:pPr>
            <w:r w:rsidRPr="00FB4352">
              <w:rPr>
                <w:color w:val="000000" w:themeColor="text1"/>
                <w:sz w:val="20"/>
                <w:szCs w:val="20"/>
              </w:rPr>
              <w:t>30</w:t>
            </w:r>
            <w:r>
              <w:rPr>
                <w:color w:val="000000" w:themeColor="text1"/>
                <w:sz w:val="20"/>
                <w:szCs w:val="20"/>
              </w:rPr>
              <w:t> </w:t>
            </w:r>
            <w:r w:rsidRPr="00FB4352">
              <w:rPr>
                <w:color w:val="000000" w:themeColor="text1"/>
                <w:sz w:val="20"/>
                <w:szCs w:val="20"/>
              </w:rPr>
              <w:t>963</w:t>
            </w:r>
            <w:r>
              <w:rPr>
                <w:color w:val="000000" w:themeColor="text1"/>
                <w:sz w:val="20"/>
                <w:szCs w:val="20"/>
              </w:rPr>
              <w:t> </w:t>
            </w:r>
            <w:r w:rsidRPr="00FB4352">
              <w:rPr>
                <w:color w:val="000000" w:themeColor="text1"/>
                <w:sz w:val="20"/>
                <w:szCs w:val="20"/>
              </w:rPr>
              <w:t>215</w:t>
            </w:r>
          </w:p>
        </w:tc>
        <w:tc>
          <w:tcPr>
            <w:tcW w:w="1237" w:type="dxa"/>
            <w:shd w:val="clear" w:color="auto" w:fill="auto"/>
            <w:noWrap/>
            <w:vAlign w:val="center"/>
          </w:tcPr>
          <w:p w14:paraId="473B9F15" w14:textId="77777777" w:rsidR="00EE1CF5" w:rsidRPr="00FC20B2" w:rsidRDefault="00EE1CF5" w:rsidP="00263AB1">
            <w:pPr>
              <w:ind w:firstLine="34"/>
              <w:jc w:val="center"/>
              <w:rPr>
                <w:rFonts w:ascii="Calibri" w:hAnsi="Calibri"/>
                <w:color w:val="000000"/>
                <w:sz w:val="20"/>
                <w:szCs w:val="20"/>
              </w:rPr>
            </w:pPr>
            <w:r w:rsidRPr="00FC20B2">
              <w:rPr>
                <w:color w:val="000000"/>
                <w:sz w:val="20"/>
                <w:szCs w:val="20"/>
              </w:rPr>
              <w:t>263 215</w:t>
            </w:r>
          </w:p>
        </w:tc>
      </w:tr>
      <w:tr w:rsidR="00EE1CF5" w14:paraId="109139C1" w14:textId="77777777" w:rsidTr="00263AB1">
        <w:trPr>
          <w:trHeight w:val="288"/>
          <w:jc w:val="center"/>
        </w:trPr>
        <w:tc>
          <w:tcPr>
            <w:tcW w:w="4390" w:type="dxa"/>
            <w:shd w:val="clear" w:color="auto" w:fill="auto"/>
            <w:noWrap/>
            <w:vAlign w:val="bottom"/>
            <w:hideMark/>
          </w:tcPr>
          <w:p w14:paraId="6414FA97" w14:textId="77777777" w:rsidR="00EE1CF5" w:rsidRPr="00584095" w:rsidRDefault="00EE1CF5" w:rsidP="00263AB1">
            <w:pPr>
              <w:ind w:firstLine="34"/>
              <w:rPr>
                <w:rFonts w:cs="Times New Roman"/>
                <w:sz w:val="20"/>
                <w:szCs w:val="20"/>
              </w:rPr>
            </w:pPr>
            <w:r w:rsidRPr="00584095">
              <w:rPr>
                <w:rFonts w:cs="Times New Roman"/>
                <w:sz w:val="20"/>
                <w:szCs w:val="20"/>
              </w:rPr>
              <w:t>OIK dotācija energoietilpīgo uzņēmumu atbalstam</w:t>
            </w:r>
          </w:p>
        </w:tc>
        <w:tc>
          <w:tcPr>
            <w:tcW w:w="1275" w:type="dxa"/>
            <w:vAlign w:val="center"/>
          </w:tcPr>
          <w:p w14:paraId="13DE5E61" w14:textId="77777777" w:rsidR="00EE1CF5" w:rsidRPr="00E936FD" w:rsidRDefault="00EE1CF5" w:rsidP="00263AB1">
            <w:pPr>
              <w:ind w:firstLine="34"/>
              <w:jc w:val="center"/>
              <w:rPr>
                <w:color w:val="000000"/>
                <w:sz w:val="20"/>
                <w:szCs w:val="20"/>
              </w:rPr>
            </w:pPr>
            <w:r w:rsidRPr="00E936FD">
              <w:rPr>
                <w:color w:val="000000"/>
                <w:sz w:val="20"/>
                <w:szCs w:val="20"/>
              </w:rPr>
              <w:t>3 370 000</w:t>
            </w:r>
          </w:p>
        </w:tc>
        <w:tc>
          <w:tcPr>
            <w:tcW w:w="1342" w:type="dxa"/>
            <w:vAlign w:val="center"/>
          </w:tcPr>
          <w:p w14:paraId="54D77BD0" w14:textId="77777777" w:rsidR="00EE1CF5" w:rsidRPr="00584095" w:rsidRDefault="00EE1CF5" w:rsidP="00263AB1">
            <w:pPr>
              <w:ind w:firstLine="34"/>
              <w:jc w:val="center"/>
              <w:rPr>
                <w:color w:val="000000"/>
                <w:sz w:val="20"/>
                <w:szCs w:val="20"/>
              </w:rPr>
            </w:pPr>
            <w:r w:rsidRPr="00584095">
              <w:rPr>
                <w:rFonts w:cs="Times New Roman"/>
                <w:color w:val="000000"/>
                <w:sz w:val="20"/>
                <w:szCs w:val="20"/>
              </w:rPr>
              <w:t>7 000 000</w:t>
            </w:r>
          </w:p>
        </w:tc>
        <w:tc>
          <w:tcPr>
            <w:tcW w:w="1242" w:type="dxa"/>
            <w:shd w:val="clear" w:color="auto" w:fill="auto"/>
            <w:noWrap/>
            <w:vAlign w:val="center"/>
          </w:tcPr>
          <w:p w14:paraId="69B5CCD3" w14:textId="77777777" w:rsidR="00EE1CF5" w:rsidRPr="00584095" w:rsidRDefault="00EE1CF5" w:rsidP="00263AB1">
            <w:pPr>
              <w:ind w:firstLine="34"/>
              <w:jc w:val="center"/>
              <w:rPr>
                <w:rFonts w:cs="Times New Roman"/>
                <w:sz w:val="20"/>
                <w:szCs w:val="20"/>
              </w:rPr>
            </w:pPr>
            <w:r w:rsidRPr="00584095">
              <w:rPr>
                <w:color w:val="000000"/>
                <w:sz w:val="20"/>
                <w:szCs w:val="20"/>
              </w:rPr>
              <w:t>3 370 000</w:t>
            </w:r>
          </w:p>
        </w:tc>
        <w:tc>
          <w:tcPr>
            <w:tcW w:w="1150" w:type="dxa"/>
            <w:vAlign w:val="center"/>
          </w:tcPr>
          <w:p w14:paraId="7E7FBAED" w14:textId="77777777" w:rsidR="00EE1CF5" w:rsidRPr="00584095" w:rsidRDefault="00EE1CF5" w:rsidP="00263AB1">
            <w:pPr>
              <w:ind w:firstLine="34"/>
              <w:jc w:val="center"/>
              <w:rPr>
                <w:color w:val="000000"/>
                <w:sz w:val="20"/>
                <w:szCs w:val="20"/>
              </w:rPr>
            </w:pPr>
            <w:r w:rsidRPr="00584095">
              <w:rPr>
                <w:color w:val="000000"/>
                <w:sz w:val="20"/>
                <w:szCs w:val="20"/>
              </w:rPr>
              <w:t>7 000 000</w:t>
            </w:r>
          </w:p>
        </w:tc>
        <w:tc>
          <w:tcPr>
            <w:tcW w:w="1316" w:type="dxa"/>
            <w:shd w:val="clear" w:color="auto" w:fill="auto"/>
            <w:noWrap/>
            <w:vAlign w:val="center"/>
          </w:tcPr>
          <w:p w14:paraId="0533151B" w14:textId="77777777" w:rsidR="00EE1CF5" w:rsidRPr="00E936FD" w:rsidRDefault="00EE1CF5" w:rsidP="00263AB1">
            <w:pPr>
              <w:ind w:firstLine="34"/>
              <w:jc w:val="center"/>
              <w:rPr>
                <w:rFonts w:cs="Times New Roman"/>
                <w:sz w:val="20"/>
                <w:szCs w:val="20"/>
              </w:rPr>
            </w:pPr>
            <w:r w:rsidRPr="00E936FD">
              <w:rPr>
                <w:color w:val="000000"/>
                <w:sz w:val="20"/>
                <w:szCs w:val="20"/>
              </w:rPr>
              <w:t>3 370 000</w:t>
            </w:r>
          </w:p>
        </w:tc>
        <w:tc>
          <w:tcPr>
            <w:tcW w:w="1329" w:type="dxa"/>
            <w:vAlign w:val="center"/>
          </w:tcPr>
          <w:p w14:paraId="13BD5BCB" w14:textId="77777777" w:rsidR="00EE1CF5" w:rsidRPr="00FB4352" w:rsidRDefault="00EE1CF5" w:rsidP="00263AB1">
            <w:pPr>
              <w:ind w:firstLine="34"/>
              <w:jc w:val="center"/>
              <w:rPr>
                <w:color w:val="000000"/>
                <w:sz w:val="20"/>
                <w:szCs w:val="20"/>
              </w:rPr>
            </w:pPr>
            <w:r w:rsidRPr="00FB4352">
              <w:rPr>
                <w:color w:val="000000"/>
                <w:sz w:val="20"/>
                <w:szCs w:val="20"/>
              </w:rPr>
              <w:t>7 000 000</w:t>
            </w:r>
          </w:p>
        </w:tc>
        <w:tc>
          <w:tcPr>
            <w:tcW w:w="1237" w:type="dxa"/>
            <w:tcBorders>
              <w:right w:val="single" w:sz="4" w:space="0" w:color="auto"/>
            </w:tcBorders>
            <w:shd w:val="clear" w:color="auto" w:fill="auto"/>
            <w:noWrap/>
            <w:vAlign w:val="center"/>
          </w:tcPr>
          <w:p w14:paraId="627729F3" w14:textId="77777777" w:rsidR="00EE1CF5" w:rsidRPr="00E936FD" w:rsidRDefault="00EE1CF5" w:rsidP="00263AB1">
            <w:pPr>
              <w:ind w:firstLine="34"/>
              <w:jc w:val="center"/>
              <w:rPr>
                <w:rFonts w:cs="Times New Roman"/>
                <w:sz w:val="20"/>
                <w:szCs w:val="20"/>
              </w:rPr>
            </w:pPr>
            <w:r w:rsidRPr="00A730B6">
              <w:rPr>
                <w:color w:val="000000"/>
                <w:sz w:val="20"/>
                <w:szCs w:val="20"/>
              </w:rPr>
              <w:t>7 000 000</w:t>
            </w:r>
          </w:p>
        </w:tc>
      </w:tr>
      <w:tr w:rsidR="00EE1CF5" w14:paraId="56CE89F0" w14:textId="77777777" w:rsidTr="00263AB1">
        <w:trPr>
          <w:trHeight w:val="201"/>
          <w:jc w:val="center"/>
        </w:trPr>
        <w:tc>
          <w:tcPr>
            <w:tcW w:w="4390" w:type="dxa"/>
            <w:shd w:val="clear" w:color="auto" w:fill="auto"/>
            <w:vAlign w:val="center"/>
          </w:tcPr>
          <w:p w14:paraId="2E6158DD" w14:textId="77777777" w:rsidR="00EE1CF5" w:rsidRPr="00584095" w:rsidRDefault="00EE1CF5" w:rsidP="00263AB1">
            <w:pPr>
              <w:ind w:firstLine="34"/>
              <w:rPr>
                <w:rFonts w:eastAsia="Times New Roman"/>
                <w:color w:val="000000"/>
                <w:sz w:val="20"/>
                <w:szCs w:val="20"/>
              </w:rPr>
            </w:pPr>
            <w:r w:rsidRPr="00584095">
              <w:rPr>
                <w:rFonts w:cs="Times New Roman"/>
                <w:sz w:val="20"/>
                <w:szCs w:val="20"/>
              </w:rPr>
              <w:t>Avansa maksājums jaudas maksājuma kompensācijai</w:t>
            </w:r>
          </w:p>
        </w:tc>
        <w:tc>
          <w:tcPr>
            <w:tcW w:w="1275" w:type="dxa"/>
            <w:vAlign w:val="center"/>
          </w:tcPr>
          <w:p w14:paraId="679ACF27" w14:textId="77777777" w:rsidR="00EE1CF5" w:rsidRPr="00584095" w:rsidRDefault="00EE1CF5" w:rsidP="00263AB1">
            <w:pPr>
              <w:ind w:firstLine="34"/>
              <w:jc w:val="center"/>
              <w:rPr>
                <w:color w:val="000000"/>
                <w:sz w:val="20"/>
                <w:szCs w:val="20"/>
              </w:rPr>
            </w:pPr>
            <w:r w:rsidRPr="00584095">
              <w:rPr>
                <w:color w:val="000000"/>
                <w:sz w:val="20"/>
                <w:szCs w:val="20"/>
              </w:rPr>
              <w:t>28 570 909</w:t>
            </w:r>
          </w:p>
        </w:tc>
        <w:tc>
          <w:tcPr>
            <w:tcW w:w="1342" w:type="dxa"/>
            <w:vAlign w:val="center"/>
          </w:tcPr>
          <w:p w14:paraId="390A0633" w14:textId="77777777" w:rsidR="00EE1CF5" w:rsidRPr="00584095" w:rsidRDefault="00EE1CF5" w:rsidP="00263AB1">
            <w:pPr>
              <w:ind w:firstLine="34"/>
              <w:jc w:val="center"/>
              <w:rPr>
                <w:color w:val="000000"/>
                <w:sz w:val="20"/>
                <w:szCs w:val="20"/>
              </w:rPr>
            </w:pPr>
            <w:r w:rsidRPr="00584095">
              <w:rPr>
                <w:rFonts w:cs="Times New Roman"/>
                <w:color w:val="000000"/>
                <w:sz w:val="20"/>
                <w:szCs w:val="20"/>
              </w:rPr>
              <w:t>81 003 556</w:t>
            </w:r>
          </w:p>
        </w:tc>
        <w:tc>
          <w:tcPr>
            <w:tcW w:w="1242" w:type="dxa"/>
            <w:shd w:val="clear" w:color="auto" w:fill="auto"/>
            <w:noWrap/>
            <w:vAlign w:val="center"/>
          </w:tcPr>
          <w:p w14:paraId="509CB61B" w14:textId="77777777" w:rsidR="00EE1CF5" w:rsidRPr="00584095" w:rsidRDefault="00EE1CF5" w:rsidP="00263AB1">
            <w:pPr>
              <w:ind w:firstLine="34"/>
              <w:jc w:val="center"/>
              <w:rPr>
                <w:rFonts w:cs="Times New Roman"/>
                <w:sz w:val="20"/>
                <w:szCs w:val="20"/>
              </w:rPr>
            </w:pPr>
            <w:r w:rsidRPr="00584095">
              <w:rPr>
                <w:color w:val="000000"/>
                <w:sz w:val="20"/>
                <w:szCs w:val="20"/>
              </w:rPr>
              <w:t>28 570 909</w:t>
            </w:r>
          </w:p>
        </w:tc>
        <w:tc>
          <w:tcPr>
            <w:tcW w:w="1150" w:type="dxa"/>
            <w:vAlign w:val="center"/>
          </w:tcPr>
          <w:p w14:paraId="27031302" w14:textId="77777777" w:rsidR="00EE1CF5" w:rsidRPr="00584095" w:rsidRDefault="00EE1CF5" w:rsidP="00263AB1">
            <w:pPr>
              <w:ind w:firstLine="34"/>
              <w:jc w:val="center"/>
              <w:rPr>
                <w:color w:val="000000"/>
                <w:sz w:val="20"/>
                <w:szCs w:val="20"/>
              </w:rPr>
            </w:pPr>
            <w:r w:rsidRPr="00584095">
              <w:rPr>
                <w:color w:val="000000"/>
                <w:sz w:val="20"/>
                <w:szCs w:val="20"/>
              </w:rPr>
              <w:t>24 000 992</w:t>
            </w:r>
          </w:p>
        </w:tc>
        <w:tc>
          <w:tcPr>
            <w:tcW w:w="1316" w:type="dxa"/>
            <w:shd w:val="clear" w:color="auto" w:fill="auto"/>
            <w:noWrap/>
            <w:vAlign w:val="center"/>
          </w:tcPr>
          <w:p w14:paraId="3BFD0E77" w14:textId="77777777" w:rsidR="00EE1CF5" w:rsidRPr="00584095" w:rsidRDefault="00EE1CF5" w:rsidP="00263AB1">
            <w:pPr>
              <w:ind w:firstLine="34"/>
              <w:jc w:val="center"/>
              <w:rPr>
                <w:rFonts w:cs="Times New Roman"/>
                <w:sz w:val="20"/>
                <w:szCs w:val="20"/>
              </w:rPr>
            </w:pPr>
            <w:r w:rsidRPr="00584095">
              <w:rPr>
                <w:color w:val="000000"/>
                <w:sz w:val="20"/>
                <w:szCs w:val="20"/>
              </w:rPr>
              <w:t>28 570 909</w:t>
            </w:r>
          </w:p>
        </w:tc>
        <w:tc>
          <w:tcPr>
            <w:tcW w:w="1329" w:type="dxa"/>
            <w:vAlign w:val="center"/>
          </w:tcPr>
          <w:p w14:paraId="7620C3CB" w14:textId="77777777" w:rsidR="00EE1CF5" w:rsidRPr="00FB4352" w:rsidRDefault="00EE1CF5" w:rsidP="00263AB1">
            <w:pPr>
              <w:ind w:firstLine="34"/>
              <w:jc w:val="center"/>
              <w:rPr>
                <w:color w:val="000000"/>
                <w:sz w:val="20"/>
                <w:szCs w:val="20"/>
              </w:rPr>
            </w:pPr>
            <w:r w:rsidRPr="00FB4352">
              <w:rPr>
                <w:color w:val="000000"/>
                <w:sz w:val="20"/>
                <w:szCs w:val="20"/>
              </w:rPr>
              <w:t>24 000 992</w:t>
            </w:r>
          </w:p>
        </w:tc>
        <w:tc>
          <w:tcPr>
            <w:tcW w:w="1237" w:type="dxa"/>
            <w:tcBorders>
              <w:right w:val="single" w:sz="4" w:space="0" w:color="auto"/>
            </w:tcBorders>
            <w:shd w:val="clear" w:color="auto" w:fill="auto"/>
            <w:noWrap/>
            <w:vAlign w:val="center"/>
          </w:tcPr>
          <w:p w14:paraId="62043768" w14:textId="77777777" w:rsidR="00EE1CF5" w:rsidRPr="00584095" w:rsidRDefault="00EE1CF5" w:rsidP="00263AB1">
            <w:pPr>
              <w:ind w:firstLine="34"/>
              <w:jc w:val="center"/>
              <w:rPr>
                <w:rFonts w:cs="Times New Roman"/>
                <w:sz w:val="20"/>
                <w:szCs w:val="20"/>
              </w:rPr>
            </w:pPr>
            <w:r w:rsidRPr="00584095">
              <w:rPr>
                <w:color w:val="000000"/>
                <w:sz w:val="20"/>
                <w:szCs w:val="20"/>
              </w:rPr>
              <w:t>24 000 992</w:t>
            </w:r>
          </w:p>
        </w:tc>
      </w:tr>
      <w:tr w:rsidR="00EE1CF5" w14:paraId="14B6B928" w14:textId="77777777" w:rsidTr="00263AB1">
        <w:trPr>
          <w:trHeight w:val="201"/>
          <w:jc w:val="center"/>
        </w:trPr>
        <w:tc>
          <w:tcPr>
            <w:tcW w:w="4390" w:type="dxa"/>
            <w:shd w:val="clear" w:color="auto" w:fill="auto"/>
            <w:vAlign w:val="center"/>
            <w:hideMark/>
          </w:tcPr>
          <w:p w14:paraId="4C8EB160" w14:textId="77777777" w:rsidR="00EE1CF5" w:rsidRPr="00584095" w:rsidRDefault="00EE1CF5" w:rsidP="00263AB1">
            <w:pPr>
              <w:ind w:firstLine="34"/>
              <w:jc w:val="left"/>
              <w:rPr>
                <w:rFonts w:cs="Times New Roman"/>
                <w:sz w:val="20"/>
                <w:szCs w:val="20"/>
              </w:rPr>
            </w:pPr>
            <w:r w:rsidRPr="00584095">
              <w:rPr>
                <w:rFonts w:cs="Times New Roman"/>
                <w:sz w:val="20"/>
                <w:szCs w:val="20"/>
              </w:rPr>
              <w:t>Aizsargātie lietotāji</w:t>
            </w:r>
          </w:p>
        </w:tc>
        <w:tc>
          <w:tcPr>
            <w:tcW w:w="1275" w:type="dxa"/>
            <w:vAlign w:val="center"/>
          </w:tcPr>
          <w:p w14:paraId="19378D03" w14:textId="77777777" w:rsidR="00EE1CF5" w:rsidRPr="00584095" w:rsidRDefault="00EE1CF5" w:rsidP="00263AB1">
            <w:pPr>
              <w:ind w:firstLine="34"/>
              <w:jc w:val="center"/>
              <w:rPr>
                <w:color w:val="000000"/>
                <w:sz w:val="20"/>
                <w:szCs w:val="20"/>
              </w:rPr>
            </w:pPr>
            <w:r w:rsidRPr="00584095">
              <w:rPr>
                <w:color w:val="000000"/>
                <w:sz w:val="20"/>
                <w:szCs w:val="20"/>
              </w:rPr>
              <w:t>5 782 117</w:t>
            </w:r>
          </w:p>
        </w:tc>
        <w:tc>
          <w:tcPr>
            <w:tcW w:w="1342" w:type="dxa"/>
          </w:tcPr>
          <w:p w14:paraId="03297D77" w14:textId="77777777" w:rsidR="00EE1CF5" w:rsidRPr="00584095" w:rsidRDefault="00EE1CF5" w:rsidP="00263AB1">
            <w:pPr>
              <w:ind w:firstLine="34"/>
              <w:jc w:val="center"/>
              <w:rPr>
                <w:color w:val="000000"/>
                <w:sz w:val="20"/>
                <w:szCs w:val="20"/>
              </w:rPr>
            </w:pPr>
            <w:r w:rsidRPr="00584095">
              <w:rPr>
                <w:color w:val="000000"/>
                <w:sz w:val="20"/>
                <w:szCs w:val="20"/>
              </w:rPr>
              <w:t>5 782 117</w:t>
            </w:r>
          </w:p>
        </w:tc>
        <w:tc>
          <w:tcPr>
            <w:tcW w:w="1242" w:type="dxa"/>
            <w:shd w:val="clear" w:color="auto" w:fill="auto"/>
            <w:noWrap/>
          </w:tcPr>
          <w:p w14:paraId="69BEFBBF" w14:textId="77777777" w:rsidR="00EE1CF5" w:rsidRPr="00584095" w:rsidRDefault="00EE1CF5" w:rsidP="00263AB1">
            <w:pPr>
              <w:ind w:firstLine="34"/>
              <w:jc w:val="center"/>
              <w:rPr>
                <w:rFonts w:cs="Times New Roman"/>
                <w:sz w:val="20"/>
                <w:szCs w:val="20"/>
              </w:rPr>
            </w:pPr>
            <w:r w:rsidRPr="00584095">
              <w:rPr>
                <w:color w:val="000000"/>
                <w:sz w:val="20"/>
                <w:szCs w:val="20"/>
              </w:rPr>
              <w:t>5 782 117</w:t>
            </w:r>
          </w:p>
        </w:tc>
        <w:tc>
          <w:tcPr>
            <w:tcW w:w="1150" w:type="dxa"/>
          </w:tcPr>
          <w:p w14:paraId="5ECCAD19" w14:textId="77777777" w:rsidR="00EE1CF5" w:rsidRPr="00584095" w:rsidRDefault="00EE1CF5" w:rsidP="00263AB1">
            <w:pPr>
              <w:rPr>
                <w:color w:val="000000"/>
                <w:sz w:val="20"/>
                <w:szCs w:val="20"/>
              </w:rPr>
            </w:pPr>
            <w:r>
              <w:rPr>
                <w:color w:val="000000"/>
                <w:sz w:val="20"/>
                <w:szCs w:val="20"/>
              </w:rPr>
              <w:t xml:space="preserve">6 706 014 </w:t>
            </w:r>
          </w:p>
        </w:tc>
        <w:tc>
          <w:tcPr>
            <w:tcW w:w="1316" w:type="dxa"/>
            <w:shd w:val="clear" w:color="auto" w:fill="auto"/>
            <w:noWrap/>
          </w:tcPr>
          <w:p w14:paraId="6D197956" w14:textId="77777777" w:rsidR="00EE1CF5" w:rsidRPr="00584095" w:rsidRDefault="00EE1CF5" w:rsidP="00263AB1">
            <w:pPr>
              <w:ind w:firstLine="34"/>
              <w:jc w:val="center"/>
              <w:rPr>
                <w:rFonts w:cs="Times New Roman"/>
                <w:sz w:val="20"/>
                <w:szCs w:val="20"/>
              </w:rPr>
            </w:pPr>
            <w:r w:rsidRPr="00584095">
              <w:rPr>
                <w:color w:val="000000"/>
                <w:sz w:val="20"/>
                <w:szCs w:val="20"/>
              </w:rPr>
              <w:t>5 782 117</w:t>
            </w:r>
          </w:p>
        </w:tc>
        <w:tc>
          <w:tcPr>
            <w:tcW w:w="1329" w:type="dxa"/>
          </w:tcPr>
          <w:p w14:paraId="0550CF9B" w14:textId="77777777" w:rsidR="00EE1CF5" w:rsidRPr="00FB4352" w:rsidRDefault="00EE1CF5" w:rsidP="00263AB1">
            <w:pPr>
              <w:ind w:firstLine="34"/>
              <w:jc w:val="center"/>
              <w:rPr>
                <w:color w:val="000000"/>
                <w:sz w:val="20"/>
                <w:szCs w:val="20"/>
              </w:rPr>
            </w:pPr>
            <w:r w:rsidRPr="00884C91">
              <w:rPr>
                <w:color w:val="000000"/>
                <w:sz w:val="20"/>
                <w:szCs w:val="20"/>
              </w:rPr>
              <w:t xml:space="preserve">6 706 014 </w:t>
            </w:r>
          </w:p>
        </w:tc>
        <w:tc>
          <w:tcPr>
            <w:tcW w:w="1237" w:type="dxa"/>
            <w:tcBorders>
              <w:right w:val="single" w:sz="4" w:space="0" w:color="auto"/>
            </w:tcBorders>
            <w:shd w:val="clear" w:color="auto" w:fill="auto"/>
            <w:noWrap/>
          </w:tcPr>
          <w:p w14:paraId="08392E6D" w14:textId="77777777" w:rsidR="00EE1CF5" w:rsidRPr="00584095" w:rsidRDefault="00EE1CF5" w:rsidP="00263AB1">
            <w:pPr>
              <w:ind w:firstLine="34"/>
              <w:jc w:val="center"/>
              <w:rPr>
                <w:rFonts w:cs="Times New Roman"/>
                <w:sz w:val="20"/>
                <w:szCs w:val="20"/>
              </w:rPr>
            </w:pPr>
            <w:r w:rsidRPr="00884C91">
              <w:rPr>
                <w:color w:val="000000"/>
                <w:sz w:val="20"/>
                <w:szCs w:val="20"/>
              </w:rPr>
              <w:t xml:space="preserve">6 706 014 </w:t>
            </w:r>
          </w:p>
        </w:tc>
      </w:tr>
      <w:tr w:rsidR="00EE1CF5" w14:paraId="4370124D" w14:textId="77777777" w:rsidTr="00263AB1">
        <w:trPr>
          <w:trHeight w:val="288"/>
          <w:jc w:val="center"/>
        </w:trPr>
        <w:tc>
          <w:tcPr>
            <w:tcW w:w="4390" w:type="dxa"/>
            <w:shd w:val="clear" w:color="auto" w:fill="auto"/>
            <w:noWrap/>
            <w:vAlign w:val="bottom"/>
          </w:tcPr>
          <w:p w14:paraId="40E9F7CB" w14:textId="77777777" w:rsidR="00EE1CF5" w:rsidRPr="00584095" w:rsidRDefault="00EE1CF5" w:rsidP="00263AB1">
            <w:pPr>
              <w:ind w:firstLine="34"/>
              <w:jc w:val="left"/>
              <w:rPr>
                <w:rFonts w:cs="Times New Roman"/>
                <w:bCs/>
                <w:sz w:val="20"/>
                <w:szCs w:val="20"/>
              </w:rPr>
            </w:pPr>
            <w:r w:rsidRPr="00584095">
              <w:rPr>
                <w:rFonts w:cs="Times New Roman"/>
                <w:bCs/>
                <w:sz w:val="20"/>
                <w:szCs w:val="20"/>
              </w:rPr>
              <w:t>VPP enerģētikā, t.sk. izveides un administrēšanas vajadzībām</w:t>
            </w:r>
          </w:p>
        </w:tc>
        <w:tc>
          <w:tcPr>
            <w:tcW w:w="1275" w:type="dxa"/>
            <w:vAlign w:val="center"/>
          </w:tcPr>
          <w:p w14:paraId="6AD3EC6D" w14:textId="77777777" w:rsidR="00EE1CF5" w:rsidRPr="00584095" w:rsidRDefault="00EE1CF5" w:rsidP="00263AB1">
            <w:pPr>
              <w:ind w:firstLine="34"/>
              <w:jc w:val="center"/>
              <w:rPr>
                <w:color w:val="000000"/>
                <w:sz w:val="20"/>
                <w:szCs w:val="20"/>
              </w:rPr>
            </w:pPr>
            <w:r w:rsidRPr="00584095">
              <w:rPr>
                <w:color w:val="000000"/>
                <w:sz w:val="20"/>
                <w:szCs w:val="20"/>
              </w:rPr>
              <w:t>2 000 000</w:t>
            </w:r>
          </w:p>
        </w:tc>
        <w:tc>
          <w:tcPr>
            <w:tcW w:w="1342" w:type="dxa"/>
            <w:vAlign w:val="center"/>
          </w:tcPr>
          <w:p w14:paraId="5F220EF3" w14:textId="77777777" w:rsidR="00EE1CF5" w:rsidRPr="00584095" w:rsidRDefault="00EE1CF5" w:rsidP="00263AB1">
            <w:pPr>
              <w:ind w:firstLine="34"/>
              <w:jc w:val="center"/>
              <w:rPr>
                <w:color w:val="000000"/>
                <w:sz w:val="20"/>
                <w:szCs w:val="20"/>
              </w:rPr>
            </w:pPr>
            <w:r w:rsidRPr="00584095">
              <w:rPr>
                <w:rFonts w:cs="Times New Roman"/>
                <w:color w:val="000000"/>
                <w:sz w:val="20"/>
                <w:szCs w:val="20"/>
              </w:rPr>
              <w:t>2 000 000</w:t>
            </w:r>
          </w:p>
        </w:tc>
        <w:tc>
          <w:tcPr>
            <w:tcW w:w="1242" w:type="dxa"/>
            <w:shd w:val="clear" w:color="auto" w:fill="auto"/>
            <w:noWrap/>
            <w:vAlign w:val="center"/>
          </w:tcPr>
          <w:p w14:paraId="38A47C22" w14:textId="77777777" w:rsidR="00EE1CF5" w:rsidRPr="00584095" w:rsidRDefault="00EE1CF5" w:rsidP="00263AB1">
            <w:pPr>
              <w:ind w:firstLine="34"/>
              <w:jc w:val="center"/>
              <w:rPr>
                <w:rFonts w:cs="Times New Roman"/>
                <w:sz w:val="20"/>
                <w:szCs w:val="20"/>
              </w:rPr>
            </w:pPr>
            <w:r w:rsidRPr="00584095">
              <w:rPr>
                <w:color w:val="000000"/>
                <w:sz w:val="20"/>
                <w:szCs w:val="20"/>
              </w:rPr>
              <w:t>2 000 000</w:t>
            </w:r>
          </w:p>
        </w:tc>
        <w:tc>
          <w:tcPr>
            <w:tcW w:w="1150" w:type="dxa"/>
            <w:vAlign w:val="center"/>
          </w:tcPr>
          <w:p w14:paraId="193B07DC" w14:textId="77777777" w:rsidR="00EE1CF5" w:rsidRPr="00584095" w:rsidRDefault="00EE1CF5" w:rsidP="00263AB1">
            <w:pPr>
              <w:ind w:firstLine="34"/>
              <w:jc w:val="center"/>
              <w:rPr>
                <w:color w:val="000000"/>
                <w:sz w:val="20"/>
                <w:szCs w:val="20"/>
              </w:rPr>
            </w:pPr>
            <w:r w:rsidRPr="00584095">
              <w:rPr>
                <w:color w:val="000000"/>
                <w:sz w:val="20"/>
                <w:szCs w:val="20"/>
              </w:rPr>
              <w:t>2 000 000</w:t>
            </w:r>
          </w:p>
        </w:tc>
        <w:tc>
          <w:tcPr>
            <w:tcW w:w="1316" w:type="dxa"/>
            <w:shd w:val="clear" w:color="auto" w:fill="auto"/>
            <w:noWrap/>
            <w:vAlign w:val="center"/>
          </w:tcPr>
          <w:p w14:paraId="08A93ECB" w14:textId="77777777" w:rsidR="00EE1CF5" w:rsidRPr="00584095" w:rsidRDefault="00EE1CF5" w:rsidP="00263AB1">
            <w:pPr>
              <w:ind w:firstLine="34"/>
              <w:jc w:val="center"/>
              <w:rPr>
                <w:rFonts w:cs="Times New Roman"/>
                <w:sz w:val="20"/>
                <w:szCs w:val="20"/>
              </w:rPr>
            </w:pPr>
            <w:r w:rsidRPr="00584095">
              <w:rPr>
                <w:color w:val="000000"/>
                <w:sz w:val="20"/>
                <w:szCs w:val="20"/>
              </w:rPr>
              <w:t>2 000 000</w:t>
            </w:r>
          </w:p>
        </w:tc>
        <w:tc>
          <w:tcPr>
            <w:tcW w:w="1329" w:type="dxa"/>
            <w:vAlign w:val="center"/>
          </w:tcPr>
          <w:p w14:paraId="5FDAAA3E" w14:textId="77777777" w:rsidR="00EE1CF5" w:rsidRPr="00FE5738" w:rsidRDefault="00EE1CF5" w:rsidP="00263AB1">
            <w:pPr>
              <w:ind w:firstLine="34"/>
              <w:jc w:val="center"/>
              <w:rPr>
                <w:color w:val="000000"/>
                <w:sz w:val="20"/>
                <w:szCs w:val="20"/>
              </w:rPr>
            </w:pPr>
            <w:r w:rsidRPr="00FE5738">
              <w:rPr>
                <w:color w:val="000000"/>
                <w:sz w:val="20"/>
                <w:szCs w:val="20"/>
              </w:rPr>
              <w:t>2 000 000</w:t>
            </w:r>
          </w:p>
        </w:tc>
        <w:tc>
          <w:tcPr>
            <w:tcW w:w="1237" w:type="dxa"/>
            <w:tcBorders>
              <w:right w:val="single" w:sz="4" w:space="0" w:color="auto"/>
            </w:tcBorders>
            <w:shd w:val="clear" w:color="auto" w:fill="auto"/>
            <w:noWrap/>
            <w:vAlign w:val="center"/>
          </w:tcPr>
          <w:p w14:paraId="62C1E4B6" w14:textId="77777777" w:rsidR="00EE1CF5" w:rsidRPr="00584095" w:rsidRDefault="00EE1CF5" w:rsidP="00263AB1">
            <w:pPr>
              <w:ind w:firstLine="34"/>
              <w:jc w:val="center"/>
              <w:rPr>
                <w:rFonts w:cs="Times New Roman"/>
                <w:sz w:val="20"/>
                <w:szCs w:val="20"/>
              </w:rPr>
            </w:pPr>
            <w:r w:rsidRPr="00584095">
              <w:rPr>
                <w:color w:val="000000"/>
                <w:sz w:val="20"/>
                <w:szCs w:val="20"/>
              </w:rPr>
              <w:t>2 000 000</w:t>
            </w:r>
          </w:p>
        </w:tc>
      </w:tr>
      <w:tr w:rsidR="00EE1CF5" w14:paraId="4FA367D8" w14:textId="77777777" w:rsidTr="00263AB1">
        <w:trPr>
          <w:trHeight w:val="288"/>
          <w:jc w:val="center"/>
        </w:trPr>
        <w:tc>
          <w:tcPr>
            <w:tcW w:w="4390" w:type="dxa"/>
            <w:shd w:val="clear" w:color="auto" w:fill="auto"/>
            <w:noWrap/>
            <w:vAlign w:val="bottom"/>
            <w:hideMark/>
          </w:tcPr>
          <w:p w14:paraId="3D7AFB4D"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Valsts budžeta ieņēmumi</w:t>
            </w:r>
          </w:p>
        </w:tc>
        <w:tc>
          <w:tcPr>
            <w:tcW w:w="1275" w:type="dxa"/>
            <w:vAlign w:val="center"/>
          </w:tcPr>
          <w:p w14:paraId="32077EF5" w14:textId="77777777" w:rsidR="00EE1CF5" w:rsidRDefault="00EE1CF5" w:rsidP="00263AB1">
            <w:pPr>
              <w:ind w:firstLine="34"/>
              <w:jc w:val="center"/>
              <w:rPr>
                <w:b/>
                <w:bCs/>
                <w:color w:val="000000"/>
                <w:sz w:val="20"/>
                <w:szCs w:val="20"/>
              </w:rPr>
            </w:pPr>
            <w:r>
              <w:rPr>
                <w:b/>
                <w:bCs/>
                <w:color w:val="000000"/>
                <w:sz w:val="20"/>
                <w:szCs w:val="20"/>
              </w:rPr>
              <w:t>48</w:t>
            </w:r>
            <w:r w:rsidRPr="00E936FD">
              <w:rPr>
                <w:b/>
                <w:bCs/>
                <w:color w:val="000000"/>
                <w:sz w:val="20"/>
                <w:szCs w:val="20"/>
              </w:rPr>
              <w:t xml:space="preserve"> 808 711</w:t>
            </w:r>
          </w:p>
        </w:tc>
        <w:tc>
          <w:tcPr>
            <w:tcW w:w="1342" w:type="dxa"/>
            <w:vAlign w:val="center"/>
          </w:tcPr>
          <w:p w14:paraId="649E4981" w14:textId="77777777" w:rsidR="00EE1CF5" w:rsidRDefault="00EE1CF5" w:rsidP="00263AB1">
            <w:pPr>
              <w:ind w:firstLine="34"/>
              <w:jc w:val="center"/>
              <w:rPr>
                <w:b/>
                <w:bCs/>
                <w:color w:val="000000"/>
                <w:sz w:val="20"/>
                <w:szCs w:val="20"/>
              </w:rPr>
            </w:pPr>
            <w:r w:rsidRPr="00277951">
              <w:rPr>
                <w:rFonts w:cs="Times New Roman"/>
                <w:b/>
                <w:bCs/>
                <w:color w:val="000000"/>
                <w:sz w:val="20"/>
                <w:szCs w:val="20"/>
              </w:rPr>
              <w:t>103 966 771</w:t>
            </w:r>
          </w:p>
        </w:tc>
        <w:tc>
          <w:tcPr>
            <w:tcW w:w="1242" w:type="dxa"/>
            <w:shd w:val="clear" w:color="auto" w:fill="auto"/>
            <w:noWrap/>
          </w:tcPr>
          <w:p w14:paraId="2776C52A" w14:textId="77777777" w:rsidR="00EE1CF5" w:rsidRPr="00E936FD" w:rsidRDefault="00EE1CF5" w:rsidP="00263AB1">
            <w:pPr>
              <w:ind w:firstLine="34"/>
              <w:jc w:val="center"/>
              <w:rPr>
                <w:rFonts w:cs="Times New Roman"/>
                <w:b/>
                <w:bCs/>
                <w:color w:val="000000"/>
                <w:sz w:val="20"/>
                <w:szCs w:val="20"/>
              </w:rPr>
            </w:pPr>
            <w:r w:rsidRPr="002F1349">
              <w:rPr>
                <w:rFonts w:cs="Times New Roman"/>
                <w:b/>
                <w:bCs/>
                <w:color w:val="000000"/>
                <w:sz w:val="20"/>
                <w:szCs w:val="20"/>
              </w:rPr>
              <w:t>49 406 416</w:t>
            </w:r>
          </w:p>
        </w:tc>
        <w:tc>
          <w:tcPr>
            <w:tcW w:w="1150" w:type="dxa"/>
          </w:tcPr>
          <w:p w14:paraId="127693EF" w14:textId="77777777" w:rsidR="00EE1CF5" w:rsidRPr="00E936FD" w:rsidRDefault="00EE1CF5" w:rsidP="00263AB1">
            <w:pPr>
              <w:ind w:firstLine="34"/>
              <w:jc w:val="center"/>
              <w:rPr>
                <w:b/>
                <w:bCs/>
                <w:color w:val="000000"/>
                <w:sz w:val="20"/>
                <w:szCs w:val="20"/>
              </w:rPr>
            </w:pPr>
            <w:r>
              <w:rPr>
                <w:b/>
                <w:bCs/>
                <w:color w:val="000000"/>
                <w:sz w:val="20"/>
                <w:szCs w:val="20"/>
              </w:rPr>
              <w:t>100 70 221</w:t>
            </w:r>
          </w:p>
        </w:tc>
        <w:tc>
          <w:tcPr>
            <w:tcW w:w="1316" w:type="dxa"/>
            <w:shd w:val="clear" w:color="auto" w:fill="auto"/>
            <w:noWrap/>
          </w:tcPr>
          <w:p w14:paraId="6A15E9B9" w14:textId="77777777" w:rsidR="00EE1CF5" w:rsidRPr="00E936FD" w:rsidRDefault="00EE1CF5" w:rsidP="00263AB1">
            <w:pPr>
              <w:ind w:firstLine="34"/>
              <w:jc w:val="center"/>
              <w:rPr>
                <w:rFonts w:cs="Times New Roman"/>
                <w:b/>
                <w:bCs/>
                <w:color w:val="000000"/>
                <w:sz w:val="20"/>
                <w:szCs w:val="20"/>
              </w:rPr>
            </w:pPr>
            <w:r w:rsidRPr="002F1349">
              <w:rPr>
                <w:rFonts w:cs="Times New Roman"/>
                <w:b/>
                <w:bCs/>
                <w:color w:val="000000"/>
                <w:sz w:val="20"/>
                <w:szCs w:val="20"/>
              </w:rPr>
              <w:t>58 684 672</w:t>
            </w:r>
          </w:p>
        </w:tc>
        <w:tc>
          <w:tcPr>
            <w:tcW w:w="1329" w:type="dxa"/>
            <w:vAlign w:val="center"/>
          </w:tcPr>
          <w:p w14:paraId="65B45D5C" w14:textId="77777777" w:rsidR="00EE1CF5" w:rsidRPr="00FE5738" w:rsidRDefault="00EE1CF5" w:rsidP="00263AB1">
            <w:pPr>
              <w:ind w:firstLine="34"/>
              <w:jc w:val="center"/>
              <w:rPr>
                <w:b/>
                <w:bCs/>
                <w:color w:val="000000"/>
                <w:sz w:val="20"/>
                <w:szCs w:val="20"/>
              </w:rPr>
            </w:pPr>
            <w:r>
              <w:rPr>
                <w:b/>
                <w:bCs/>
                <w:color w:val="000000"/>
                <w:sz w:val="20"/>
                <w:szCs w:val="20"/>
              </w:rPr>
              <w:t>70 670 221</w:t>
            </w:r>
          </w:p>
        </w:tc>
        <w:tc>
          <w:tcPr>
            <w:tcW w:w="1237" w:type="dxa"/>
            <w:tcBorders>
              <w:right w:val="single" w:sz="4" w:space="0" w:color="auto"/>
            </w:tcBorders>
            <w:shd w:val="clear" w:color="auto" w:fill="auto"/>
            <w:noWrap/>
            <w:vAlign w:val="center"/>
          </w:tcPr>
          <w:p w14:paraId="536E75A0" w14:textId="77777777" w:rsidR="00EE1CF5" w:rsidRPr="00E936FD" w:rsidRDefault="00EE1CF5" w:rsidP="00263AB1">
            <w:pPr>
              <w:ind w:firstLine="34"/>
              <w:jc w:val="center"/>
              <w:rPr>
                <w:rFonts w:cs="Times New Roman"/>
                <w:b/>
                <w:bCs/>
                <w:color w:val="000000"/>
                <w:sz w:val="20"/>
                <w:szCs w:val="20"/>
              </w:rPr>
            </w:pPr>
            <w:r>
              <w:rPr>
                <w:b/>
                <w:bCs/>
                <w:color w:val="000000"/>
                <w:sz w:val="20"/>
                <w:szCs w:val="20"/>
              </w:rPr>
              <w:t>39 970 221</w:t>
            </w:r>
          </w:p>
        </w:tc>
      </w:tr>
      <w:tr w:rsidR="00EE1CF5" w14:paraId="368BC116" w14:textId="77777777" w:rsidTr="00263AB1">
        <w:trPr>
          <w:trHeight w:val="288"/>
          <w:jc w:val="center"/>
        </w:trPr>
        <w:tc>
          <w:tcPr>
            <w:tcW w:w="4390" w:type="dxa"/>
            <w:shd w:val="clear" w:color="auto" w:fill="auto"/>
            <w:noWrap/>
            <w:vAlign w:val="bottom"/>
            <w:hideMark/>
          </w:tcPr>
          <w:p w14:paraId="4AD3B8D0" w14:textId="77777777" w:rsidR="00EE1CF5" w:rsidRPr="00E936FD" w:rsidRDefault="00EE1CF5" w:rsidP="00263AB1">
            <w:pPr>
              <w:ind w:firstLine="34"/>
              <w:rPr>
                <w:rFonts w:cs="Times New Roman"/>
                <w:sz w:val="20"/>
                <w:szCs w:val="20"/>
              </w:rPr>
            </w:pPr>
            <w:r w:rsidRPr="00E936FD">
              <w:rPr>
                <w:rFonts w:cs="Times New Roman"/>
                <w:sz w:val="20"/>
                <w:szCs w:val="20"/>
              </w:rPr>
              <w:t>SEN</w:t>
            </w:r>
          </w:p>
        </w:tc>
        <w:tc>
          <w:tcPr>
            <w:tcW w:w="1275" w:type="dxa"/>
            <w:shd w:val="clear" w:color="000000" w:fill="FFFFFF"/>
            <w:vAlign w:val="center"/>
          </w:tcPr>
          <w:p w14:paraId="3765DA41" w14:textId="77777777" w:rsidR="00EE1CF5" w:rsidRPr="00E936FD" w:rsidRDefault="00EE1CF5" w:rsidP="00263AB1">
            <w:pPr>
              <w:ind w:firstLine="34"/>
              <w:jc w:val="center"/>
              <w:rPr>
                <w:color w:val="000000"/>
                <w:sz w:val="20"/>
                <w:szCs w:val="20"/>
              </w:rPr>
            </w:pPr>
            <w:r w:rsidRPr="00E936FD">
              <w:rPr>
                <w:color w:val="000000"/>
                <w:sz w:val="20"/>
                <w:szCs w:val="20"/>
              </w:rPr>
              <w:t>0</w:t>
            </w:r>
          </w:p>
        </w:tc>
        <w:tc>
          <w:tcPr>
            <w:tcW w:w="1342" w:type="dxa"/>
            <w:shd w:val="clear" w:color="000000" w:fill="FFFFFF"/>
            <w:vAlign w:val="center"/>
          </w:tcPr>
          <w:p w14:paraId="5972CF85"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0</w:t>
            </w:r>
          </w:p>
        </w:tc>
        <w:tc>
          <w:tcPr>
            <w:tcW w:w="1242" w:type="dxa"/>
            <w:shd w:val="clear" w:color="000000" w:fill="FFFFFF"/>
            <w:noWrap/>
            <w:vAlign w:val="center"/>
          </w:tcPr>
          <w:p w14:paraId="24900E57"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150" w:type="dxa"/>
            <w:shd w:val="clear" w:color="000000" w:fill="FFFFFF"/>
            <w:vAlign w:val="center"/>
          </w:tcPr>
          <w:p w14:paraId="4582DE18" w14:textId="77777777" w:rsidR="00EE1CF5" w:rsidRPr="00296D50" w:rsidRDefault="00EE1CF5" w:rsidP="00263AB1">
            <w:pPr>
              <w:ind w:firstLine="34"/>
              <w:jc w:val="center"/>
              <w:rPr>
                <w:color w:val="000000"/>
                <w:sz w:val="20"/>
                <w:szCs w:val="20"/>
              </w:rPr>
            </w:pPr>
            <w:r w:rsidRPr="00296D50">
              <w:rPr>
                <w:color w:val="000000"/>
                <w:sz w:val="20"/>
                <w:szCs w:val="20"/>
              </w:rPr>
              <w:t>36 400 000</w:t>
            </w:r>
          </w:p>
        </w:tc>
        <w:tc>
          <w:tcPr>
            <w:tcW w:w="1316" w:type="dxa"/>
            <w:shd w:val="clear" w:color="000000" w:fill="FFFFFF"/>
            <w:noWrap/>
            <w:vAlign w:val="center"/>
          </w:tcPr>
          <w:p w14:paraId="488F2B4A" w14:textId="77777777" w:rsidR="00EE1CF5" w:rsidRPr="00296D50" w:rsidRDefault="00EE1CF5" w:rsidP="00263AB1">
            <w:pPr>
              <w:ind w:firstLine="34"/>
              <w:jc w:val="center"/>
              <w:rPr>
                <w:rFonts w:cs="Times New Roman"/>
                <w:bCs/>
                <w:color w:val="000000"/>
                <w:sz w:val="20"/>
                <w:szCs w:val="20"/>
              </w:rPr>
            </w:pPr>
            <w:r w:rsidRPr="00296D50">
              <w:rPr>
                <w:color w:val="000000"/>
                <w:sz w:val="20"/>
                <w:szCs w:val="20"/>
              </w:rPr>
              <w:t>0</w:t>
            </w:r>
          </w:p>
        </w:tc>
        <w:tc>
          <w:tcPr>
            <w:tcW w:w="1329" w:type="dxa"/>
            <w:vAlign w:val="center"/>
          </w:tcPr>
          <w:p w14:paraId="377C974A" w14:textId="77777777" w:rsidR="00EE1CF5" w:rsidRPr="00FE5738" w:rsidRDefault="00EE1CF5" w:rsidP="00263AB1">
            <w:pPr>
              <w:ind w:firstLine="34"/>
              <w:jc w:val="center"/>
              <w:rPr>
                <w:color w:val="000000"/>
                <w:sz w:val="20"/>
                <w:szCs w:val="20"/>
              </w:rPr>
            </w:pPr>
            <w:r w:rsidRPr="00FE5738">
              <w:rPr>
                <w:color w:val="000000"/>
                <w:sz w:val="20"/>
                <w:szCs w:val="20"/>
              </w:rPr>
              <w:t>30 700 000</w:t>
            </w:r>
          </w:p>
        </w:tc>
        <w:tc>
          <w:tcPr>
            <w:tcW w:w="1237" w:type="dxa"/>
            <w:tcBorders>
              <w:right w:val="single" w:sz="4" w:space="0" w:color="auto"/>
            </w:tcBorders>
            <w:shd w:val="clear" w:color="auto" w:fill="auto"/>
            <w:noWrap/>
            <w:vAlign w:val="center"/>
          </w:tcPr>
          <w:p w14:paraId="41C4D0D1" w14:textId="77777777" w:rsidR="00EE1CF5" w:rsidRPr="00E936FD" w:rsidRDefault="00EE1CF5" w:rsidP="00263AB1">
            <w:pPr>
              <w:ind w:firstLine="34"/>
              <w:jc w:val="center"/>
              <w:rPr>
                <w:rFonts w:cs="Times New Roman"/>
                <w:bCs/>
                <w:color w:val="000000"/>
                <w:sz w:val="20"/>
                <w:szCs w:val="20"/>
              </w:rPr>
            </w:pPr>
            <w:r>
              <w:rPr>
                <w:rFonts w:cs="Times New Roman"/>
                <w:bCs/>
                <w:color w:val="000000"/>
                <w:sz w:val="20"/>
                <w:szCs w:val="20"/>
              </w:rPr>
              <w:t>0</w:t>
            </w:r>
          </w:p>
        </w:tc>
      </w:tr>
      <w:tr w:rsidR="00EE1CF5" w14:paraId="410B81F7" w14:textId="77777777" w:rsidTr="00263AB1">
        <w:trPr>
          <w:trHeight w:val="288"/>
          <w:jc w:val="center"/>
        </w:trPr>
        <w:tc>
          <w:tcPr>
            <w:tcW w:w="4390" w:type="dxa"/>
            <w:shd w:val="clear" w:color="auto" w:fill="auto"/>
            <w:noWrap/>
            <w:vAlign w:val="bottom"/>
            <w:hideMark/>
          </w:tcPr>
          <w:p w14:paraId="2A7B36B2" w14:textId="77777777" w:rsidR="00EE1CF5" w:rsidRPr="00E936FD" w:rsidRDefault="00EE1CF5" w:rsidP="00263AB1">
            <w:pPr>
              <w:ind w:firstLine="34"/>
              <w:rPr>
                <w:rFonts w:cs="Times New Roman"/>
                <w:sz w:val="20"/>
                <w:szCs w:val="20"/>
              </w:rPr>
            </w:pPr>
            <w:r w:rsidRPr="00E936FD">
              <w:rPr>
                <w:rFonts w:cs="Times New Roman"/>
                <w:sz w:val="20"/>
                <w:szCs w:val="20"/>
              </w:rPr>
              <w:t>PVN</w:t>
            </w:r>
          </w:p>
        </w:tc>
        <w:tc>
          <w:tcPr>
            <w:tcW w:w="1275" w:type="dxa"/>
            <w:vAlign w:val="center"/>
          </w:tcPr>
          <w:p w14:paraId="53EE0C00" w14:textId="77777777" w:rsidR="00EE1CF5" w:rsidRPr="00E936FD" w:rsidRDefault="00EE1CF5" w:rsidP="00263AB1">
            <w:pPr>
              <w:ind w:firstLine="34"/>
              <w:jc w:val="center"/>
              <w:rPr>
                <w:color w:val="000000"/>
                <w:sz w:val="20"/>
                <w:szCs w:val="20"/>
              </w:rPr>
            </w:pPr>
            <w:r w:rsidRPr="00E936FD">
              <w:rPr>
                <w:color w:val="000000"/>
                <w:sz w:val="20"/>
                <w:szCs w:val="20"/>
              </w:rPr>
              <w:t>9 533 241</w:t>
            </w:r>
          </w:p>
        </w:tc>
        <w:tc>
          <w:tcPr>
            <w:tcW w:w="1342" w:type="dxa"/>
            <w:vAlign w:val="center"/>
          </w:tcPr>
          <w:p w14:paraId="6E4F44D2"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9 533 241</w:t>
            </w:r>
          </w:p>
        </w:tc>
        <w:tc>
          <w:tcPr>
            <w:tcW w:w="1242" w:type="dxa"/>
            <w:shd w:val="clear" w:color="auto" w:fill="auto"/>
            <w:noWrap/>
            <w:vAlign w:val="center"/>
          </w:tcPr>
          <w:p w14:paraId="721030E9"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150" w:type="dxa"/>
            <w:vAlign w:val="center"/>
          </w:tcPr>
          <w:p w14:paraId="723147F6" w14:textId="77777777" w:rsidR="00EE1CF5" w:rsidRPr="00E936FD" w:rsidRDefault="00EE1CF5" w:rsidP="00263AB1">
            <w:pPr>
              <w:ind w:firstLine="34"/>
              <w:jc w:val="center"/>
              <w:rPr>
                <w:color w:val="000000"/>
                <w:sz w:val="20"/>
                <w:szCs w:val="20"/>
              </w:rPr>
            </w:pPr>
            <w:r w:rsidRPr="00E936FD">
              <w:rPr>
                <w:color w:val="000000"/>
                <w:sz w:val="20"/>
                <w:szCs w:val="20"/>
              </w:rPr>
              <w:t>0</w:t>
            </w:r>
          </w:p>
        </w:tc>
        <w:tc>
          <w:tcPr>
            <w:tcW w:w="1316" w:type="dxa"/>
            <w:shd w:val="clear" w:color="auto" w:fill="auto"/>
            <w:noWrap/>
            <w:vAlign w:val="center"/>
          </w:tcPr>
          <w:p w14:paraId="67A2A92B"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329" w:type="dxa"/>
            <w:vAlign w:val="center"/>
          </w:tcPr>
          <w:p w14:paraId="6640B9C0" w14:textId="77777777" w:rsidR="00EE1CF5" w:rsidRPr="00FE5738" w:rsidRDefault="00EE1CF5" w:rsidP="00263AB1">
            <w:pPr>
              <w:ind w:firstLine="34"/>
              <w:jc w:val="center"/>
              <w:rPr>
                <w:color w:val="000000"/>
                <w:sz w:val="20"/>
                <w:szCs w:val="20"/>
              </w:rPr>
            </w:pPr>
            <w:r w:rsidRPr="00FE5738">
              <w:rPr>
                <w:color w:val="000000"/>
                <w:sz w:val="20"/>
                <w:szCs w:val="20"/>
              </w:rPr>
              <w:t>0</w:t>
            </w:r>
          </w:p>
        </w:tc>
        <w:tc>
          <w:tcPr>
            <w:tcW w:w="1237" w:type="dxa"/>
            <w:tcBorders>
              <w:right w:val="single" w:sz="4" w:space="0" w:color="auto"/>
            </w:tcBorders>
            <w:shd w:val="clear" w:color="auto" w:fill="auto"/>
            <w:noWrap/>
            <w:vAlign w:val="center"/>
          </w:tcPr>
          <w:p w14:paraId="5C22E080"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r>
      <w:tr w:rsidR="00EE1CF5" w14:paraId="6F9C60F5" w14:textId="77777777" w:rsidTr="00263AB1">
        <w:trPr>
          <w:trHeight w:val="288"/>
          <w:jc w:val="center"/>
        </w:trPr>
        <w:tc>
          <w:tcPr>
            <w:tcW w:w="4390" w:type="dxa"/>
            <w:shd w:val="clear" w:color="auto" w:fill="auto"/>
            <w:noWrap/>
            <w:vAlign w:val="bottom"/>
            <w:hideMark/>
          </w:tcPr>
          <w:p w14:paraId="7185B70C" w14:textId="77777777" w:rsidR="00EE1CF5" w:rsidRPr="00E936FD" w:rsidRDefault="00EE1CF5" w:rsidP="00263AB1">
            <w:pPr>
              <w:ind w:firstLine="34"/>
              <w:rPr>
                <w:rFonts w:cs="Times New Roman"/>
                <w:sz w:val="20"/>
                <w:szCs w:val="20"/>
              </w:rPr>
            </w:pPr>
            <w:r w:rsidRPr="00E936FD">
              <w:rPr>
                <w:rFonts w:cs="Times New Roman"/>
                <w:sz w:val="20"/>
                <w:szCs w:val="20"/>
              </w:rPr>
              <w:t>PVN (aizsargātie lietotāji)</w:t>
            </w:r>
          </w:p>
        </w:tc>
        <w:tc>
          <w:tcPr>
            <w:tcW w:w="1275" w:type="dxa"/>
            <w:vAlign w:val="center"/>
          </w:tcPr>
          <w:p w14:paraId="31CC2ACA" w14:textId="77777777" w:rsidR="00EE1CF5" w:rsidRPr="00E936FD" w:rsidRDefault="00EE1CF5" w:rsidP="00263AB1">
            <w:pPr>
              <w:ind w:firstLine="34"/>
              <w:jc w:val="center"/>
              <w:rPr>
                <w:color w:val="000000"/>
                <w:sz w:val="20"/>
                <w:szCs w:val="20"/>
              </w:rPr>
            </w:pPr>
            <w:r w:rsidRPr="00E936FD">
              <w:rPr>
                <w:color w:val="000000"/>
                <w:sz w:val="20"/>
                <w:szCs w:val="20"/>
              </w:rPr>
              <w:t>1 287 604</w:t>
            </w:r>
          </w:p>
        </w:tc>
        <w:tc>
          <w:tcPr>
            <w:tcW w:w="1342" w:type="dxa"/>
            <w:vAlign w:val="center"/>
          </w:tcPr>
          <w:p w14:paraId="009262B9"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1 287 604</w:t>
            </w:r>
          </w:p>
        </w:tc>
        <w:tc>
          <w:tcPr>
            <w:tcW w:w="1242" w:type="dxa"/>
            <w:shd w:val="clear" w:color="auto" w:fill="auto"/>
            <w:noWrap/>
            <w:vAlign w:val="center"/>
          </w:tcPr>
          <w:p w14:paraId="0AE216CC"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150" w:type="dxa"/>
            <w:vAlign w:val="center"/>
          </w:tcPr>
          <w:p w14:paraId="1E913D72" w14:textId="77777777" w:rsidR="00EE1CF5" w:rsidRPr="00E936FD" w:rsidRDefault="00EE1CF5" w:rsidP="00263AB1">
            <w:pPr>
              <w:ind w:firstLine="34"/>
              <w:jc w:val="center"/>
              <w:rPr>
                <w:color w:val="000000"/>
                <w:sz w:val="20"/>
                <w:szCs w:val="20"/>
              </w:rPr>
            </w:pPr>
            <w:r w:rsidRPr="00E936FD">
              <w:rPr>
                <w:color w:val="000000"/>
                <w:sz w:val="20"/>
                <w:szCs w:val="20"/>
              </w:rPr>
              <w:t>0</w:t>
            </w:r>
          </w:p>
        </w:tc>
        <w:tc>
          <w:tcPr>
            <w:tcW w:w="1316" w:type="dxa"/>
            <w:shd w:val="clear" w:color="auto" w:fill="auto"/>
            <w:noWrap/>
            <w:vAlign w:val="center"/>
          </w:tcPr>
          <w:p w14:paraId="44EEF945"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329" w:type="dxa"/>
            <w:vAlign w:val="center"/>
          </w:tcPr>
          <w:p w14:paraId="1EDDACC4" w14:textId="77777777" w:rsidR="00EE1CF5" w:rsidRPr="00FE5738" w:rsidRDefault="00EE1CF5" w:rsidP="00263AB1">
            <w:pPr>
              <w:ind w:firstLine="34"/>
              <w:jc w:val="center"/>
              <w:rPr>
                <w:color w:val="000000"/>
                <w:sz w:val="20"/>
                <w:szCs w:val="20"/>
              </w:rPr>
            </w:pPr>
            <w:r w:rsidRPr="00FE5738">
              <w:rPr>
                <w:color w:val="000000"/>
                <w:sz w:val="20"/>
                <w:szCs w:val="20"/>
              </w:rPr>
              <w:t>0</w:t>
            </w:r>
          </w:p>
        </w:tc>
        <w:tc>
          <w:tcPr>
            <w:tcW w:w="1237" w:type="dxa"/>
            <w:tcBorders>
              <w:right w:val="single" w:sz="4" w:space="0" w:color="auto"/>
            </w:tcBorders>
            <w:shd w:val="clear" w:color="auto" w:fill="auto"/>
            <w:noWrap/>
            <w:vAlign w:val="center"/>
          </w:tcPr>
          <w:p w14:paraId="39398B28"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r>
      <w:tr w:rsidR="00EE1CF5" w14:paraId="74AFFCC2" w14:textId="77777777" w:rsidTr="00263AB1">
        <w:trPr>
          <w:trHeight w:val="464"/>
          <w:jc w:val="center"/>
        </w:trPr>
        <w:tc>
          <w:tcPr>
            <w:tcW w:w="4390" w:type="dxa"/>
            <w:shd w:val="clear" w:color="auto" w:fill="auto"/>
            <w:vAlign w:val="bottom"/>
            <w:hideMark/>
          </w:tcPr>
          <w:p w14:paraId="5D4098A1" w14:textId="77777777" w:rsidR="00EE1CF5" w:rsidRPr="00E936FD" w:rsidRDefault="00EE1CF5" w:rsidP="00263AB1">
            <w:pPr>
              <w:ind w:firstLine="34"/>
              <w:rPr>
                <w:rFonts w:cs="Times New Roman"/>
                <w:sz w:val="20"/>
                <w:szCs w:val="20"/>
              </w:rPr>
            </w:pPr>
            <w:r w:rsidRPr="00E936FD">
              <w:rPr>
                <w:rFonts w:cs="Times New Roman"/>
                <w:sz w:val="20"/>
                <w:szCs w:val="20"/>
              </w:rPr>
              <w:t>AS „Latvenergo” dividendes komplekso risinājumu elektroenerģijas tirgū novirzāmā daļa</w:t>
            </w:r>
          </w:p>
        </w:tc>
        <w:tc>
          <w:tcPr>
            <w:tcW w:w="1275" w:type="dxa"/>
            <w:vAlign w:val="center"/>
          </w:tcPr>
          <w:p w14:paraId="122C3B9F" w14:textId="77777777" w:rsidR="00EE1CF5" w:rsidRDefault="00EE1CF5" w:rsidP="00263AB1">
            <w:pPr>
              <w:ind w:firstLine="34"/>
              <w:jc w:val="center"/>
              <w:rPr>
                <w:color w:val="000000"/>
                <w:sz w:val="20"/>
                <w:szCs w:val="20"/>
              </w:rPr>
            </w:pPr>
            <w:r>
              <w:rPr>
                <w:color w:val="000000"/>
                <w:sz w:val="20"/>
                <w:szCs w:val="20"/>
              </w:rPr>
              <w:t>35</w:t>
            </w:r>
            <w:r w:rsidRPr="00E936FD">
              <w:rPr>
                <w:color w:val="000000"/>
                <w:sz w:val="20"/>
                <w:szCs w:val="20"/>
              </w:rPr>
              <w:t xml:space="preserve"> 987 866</w:t>
            </w:r>
          </w:p>
        </w:tc>
        <w:tc>
          <w:tcPr>
            <w:tcW w:w="1342" w:type="dxa"/>
            <w:vAlign w:val="center"/>
          </w:tcPr>
          <w:p w14:paraId="45F80227" w14:textId="77777777" w:rsidR="00EE1CF5" w:rsidRDefault="00EE1CF5" w:rsidP="00263AB1">
            <w:pPr>
              <w:ind w:firstLine="34"/>
              <w:jc w:val="center"/>
              <w:rPr>
                <w:color w:val="000000"/>
                <w:sz w:val="20"/>
                <w:szCs w:val="20"/>
              </w:rPr>
            </w:pPr>
            <w:r w:rsidRPr="00347A21">
              <w:rPr>
                <w:rFonts w:cs="Times New Roman"/>
                <w:color w:val="000000"/>
                <w:sz w:val="20"/>
                <w:szCs w:val="20"/>
              </w:rPr>
              <w:t>91 428 043</w:t>
            </w:r>
          </w:p>
        </w:tc>
        <w:tc>
          <w:tcPr>
            <w:tcW w:w="1242" w:type="dxa"/>
            <w:shd w:val="clear" w:color="auto" w:fill="auto"/>
            <w:noWrap/>
          </w:tcPr>
          <w:p w14:paraId="56775F45" w14:textId="77777777" w:rsidR="00EE1CF5" w:rsidRPr="00347A21" w:rsidRDefault="00EE1CF5" w:rsidP="00263AB1">
            <w:pPr>
              <w:ind w:firstLine="34"/>
              <w:jc w:val="center"/>
              <w:rPr>
                <w:color w:val="000000"/>
                <w:sz w:val="20"/>
                <w:szCs w:val="20"/>
              </w:rPr>
            </w:pPr>
            <w:r w:rsidRPr="00347A21">
              <w:rPr>
                <w:color w:val="000000"/>
                <w:sz w:val="20"/>
                <w:szCs w:val="20"/>
              </w:rPr>
              <w:t>47 406 416</w:t>
            </w:r>
          </w:p>
        </w:tc>
        <w:tc>
          <w:tcPr>
            <w:tcW w:w="1150" w:type="dxa"/>
          </w:tcPr>
          <w:p w14:paraId="3C8EB062" w14:textId="77777777" w:rsidR="00EE1CF5" w:rsidRDefault="00EE1CF5" w:rsidP="00263AB1">
            <w:pPr>
              <w:jc w:val="center"/>
              <w:rPr>
                <w:color w:val="000000"/>
                <w:sz w:val="20"/>
                <w:szCs w:val="20"/>
              </w:rPr>
            </w:pPr>
            <w:r>
              <w:rPr>
                <w:color w:val="000000"/>
                <w:sz w:val="20"/>
                <w:szCs w:val="20"/>
              </w:rPr>
              <w:t>62 370 221</w:t>
            </w:r>
          </w:p>
        </w:tc>
        <w:tc>
          <w:tcPr>
            <w:tcW w:w="1316" w:type="dxa"/>
            <w:shd w:val="clear" w:color="auto" w:fill="auto"/>
            <w:noWrap/>
          </w:tcPr>
          <w:p w14:paraId="49118308" w14:textId="77777777" w:rsidR="00EE1CF5" w:rsidRPr="00347A21" w:rsidRDefault="00EE1CF5" w:rsidP="00263AB1">
            <w:pPr>
              <w:ind w:firstLine="34"/>
              <w:jc w:val="center"/>
              <w:rPr>
                <w:color w:val="000000"/>
                <w:sz w:val="20"/>
                <w:szCs w:val="20"/>
              </w:rPr>
            </w:pPr>
            <w:r w:rsidRPr="00347A21">
              <w:rPr>
                <w:color w:val="000000"/>
                <w:sz w:val="20"/>
                <w:szCs w:val="20"/>
              </w:rPr>
              <w:t>56 684 672</w:t>
            </w:r>
          </w:p>
        </w:tc>
        <w:tc>
          <w:tcPr>
            <w:tcW w:w="1329" w:type="dxa"/>
          </w:tcPr>
          <w:p w14:paraId="3FDCA52B" w14:textId="77777777" w:rsidR="00EE1CF5" w:rsidRPr="00FE5738" w:rsidRDefault="00EE1CF5" w:rsidP="00263AB1">
            <w:pPr>
              <w:ind w:firstLine="34"/>
              <w:jc w:val="center"/>
              <w:rPr>
                <w:color w:val="000000"/>
                <w:sz w:val="20"/>
                <w:szCs w:val="20"/>
              </w:rPr>
            </w:pPr>
            <w:r w:rsidRPr="00FE5738">
              <w:rPr>
                <w:color w:val="000000"/>
                <w:sz w:val="20"/>
                <w:szCs w:val="20"/>
              </w:rPr>
              <w:t>37 046 324</w:t>
            </w:r>
          </w:p>
        </w:tc>
        <w:tc>
          <w:tcPr>
            <w:tcW w:w="1237" w:type="dxa"/>
            <w:tcBorders>
              <w:right w:val="single" w:sz="4" w:space="0" w:color="auto"/>
            </w:tcBorders>
            <w:shd w:val="clear" w:color="auto" w:fill="auto"/>
            <w:noWrap/>
          </w:tcPr>
          <w:p w14:paraId="0EB9459B" w14:textId="77777777" w:rsidR="00EE1CF5" w:rsidRPr="00347A21" w:rsidRDefault="00EE1CF5" w:rsidP="00263AB1">
            <w:pPr>
              <w:ind w:firstLine="34"/>
              <w:jc w:val="center"/>
              <w:rPr>
                <w:color w:val="000000"/>
                <w:sz w:val="20"/>
                <w:szCs w:val="20"/>
              </w:rPr>
            </w:pPr>
            <w:r w:rsidRPr="00347A21">
              <w:rPr>
                <w:color w:val="000000"/>
                <w:sz w:val="20"/>
                <w:szCs w:val="20"/>
              </w:rPr>
              <w:t>37 046 324</w:t>
            </w:r>
          </w:p>
        </w:tc>
      </w:tr>
      <w:tr w:rsidR="00EE1CF5" w14:paraId="749930E8" w14:textId="77777777" w:rsidTr="00263AB1">
        <w:trPr>
          <w:trHeight w:val="288"/>
          <w:jc w:val="center"/>
        </w:trPr>
        <w:tc>
          <w:tcPr>
            <w:tcW w:w="4390" w:type="dxa"/>
            <w:shd w:val="clear" w:color="auto" w:fill="auto"/>
            <w:noWrap/>
            <w:vAlign w:val="bottom"/>
          </w:tcPr>
          <w:p w14:paraId="1E809A2F" w14:textId="77777777" w:rsidR="00EE1CF5" w:rsidRPr="00E936FD" w:rsidRDefault="00EE1CF5" w:rsidP="00263AB1">
            <w:pPr>
              <w:ind w:firstLine="34"/>
              <w:jc w:val="left"/>
              <w:rPr>
                <w:rFonts w:cs="Times New Roman"/>
                <w:b/>
                <w:bCs/>
                <w:sz w:val="20"/>
                <w:szCs w:val="20"/>
              </w:rPr>
            </w:pPr>
            <w:r w:rsidRPr="00E936FD">
              <w:rPr>
                <w:rFonts w:cs="Times New Roman"/>
                <w:sz w:val="20"/>
                <w:szCs w:val="20"/>
              </w:rPr>
              <w:t>AS „Latvenergo” dividendes VPP enerģētikā vajadzībām</w:t>
            </w:r>
          </w:p>
        </w:tc>
        <w:tc>
          <w:tcPr>
            <w:tcW w:w="1275" w:type="dxa"/>
            <w:vAlign w:val="center"/>
          </w:tcPr>
          <w:p w14:paraId="46A7D2B8" w14:textId="77777777" w:rsidR="00EE1CF5" w:rsidRPr="00E936FD" w:rsidRDefault="00EE1CF5" w:rsidP="00263AB1">
            <w:pPr>
              <w:ind w:firstLine="34"/>
              <w:jc w:val="center"/>
              <w:rPr>
                <w:color w:val="000000"/>
                <w:sz w:val="20"/>
                <w:szCs w:val="20"/>
              </w:rPr>
            </w:pPr>
            <w:r w:rsidRPr="00E936FD">
              <w:rPr>
                <w:color w:val="000000"/>
                <w:sz w:val="20"/>
                <w:szCs w:val="20"/>
              </w:rPr>
              <w:t>2 000 000</w:t>
            </w:r>
          </w:p>
        </w:tc>
        <w:tc>
          <w:tcPr>
            <w:tcW w:w="1342" w:type="dxa"/>
            <w:vAlign w:val="center"/>
          </w:tcPr>
          <w:p w14:paraId="2F4BA7EC"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2 000 000</w:t>
            </w:r>
          </w:p>
        </w:tc>
        <w:tc>
          <w:tcPr>
            <w:tcW w:w="1242" w:type="dxa"/>
            <w:shd w:val="clear" w:color="auto" w:fill="auto"/>
            <w:noWrap/>
            <w:vAlign w:val="center"/>
          </w:tcPr>
          <w:p w14:paraId="0475E2BA"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150" w:type="dxa"/>
            <w:vAlign w:val="center"/>
          </w:tcPr>
          <w:p w14:paraId="3987B2D1"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2 000 000</w:t>
            </w:r>
          </w:p>
        </w:tc>
        <w:tc>
          <w:tcPr>
            <w:tcW w:w="1316" w:type="dxa"/>
            <w:shd w:val="clear" w:color="auto" w:fill="auto"/>
            <w:noWrap/>
            <w:vAlign w:val="center"/>
          </w:tcPr>
          <w:p w14:paraId="25E3CD13"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329" w:type="dxa"/>
            <w:vAlign w:val="center"/>
          </w:tcPr>
          <w:p w14:paraId="2F3F20E1" w14:textId="77777777" w:rsidR="00EE1CF5" w:rsidRPr="00FE5738" w:rsidRDefault="00EE1CF5" w:rsidP="00263AB1">
            <w:pPr>
              <w:ind w:firstLine="34"/>
              <w:jc w:val="center"/>
              <w:rPr>
                <w:color w:val="000000"/>
                <w:sz w:val="20"/>
                <w:szCs w:val="20"/>
              </w:rPr>
            </w:pPr>
            <w:r w:rsidRPr="00FE5738">
              <w:rPr>
                <w:color w:val="000000"/>
                <w:sz w:val="20"/>
                <w:szCs w:val="20"/>
              </w:rPr>
              <w:t>2 000 000</w:t>
            </w:r>
          </w:p>
        </w:tc>
        <w:tc>
          <w:tcPr>
            <w:tcW w:w="1237" w:type="dxa"/>
            <w:tcBorders>
              <w:right w:val="single" w:sz="4" w:space="0" w:color="auto"/>
            </w:tcBorders>
            <w:shd w:val="clear" w:color="auto" w:fill="auto"/>
            <w:noWrap/>
            <w:vAlign w:val="center"/>
          </w:tcPr>
          <w:p w14:paraId="23DD1C73"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r>
      <w:tr w:rsidR="00EE1CF5" w14:paraId="56FA544A" w14:textId="77777777" w:rsidTr="00263AB1">
        <w:trPr>
          <w:trHeight w:val="288"/>
          <w:jc w:val="center"/>
        </w:trPr>
        <w:tc>
          <w:tcPr>
            <w:tcW w:w="4390" w:type="dxa"/>
            <w:shd w:val="clear" w:color="auto" w:fill="auto"/>
            <w:noWrap/>
            <w:vAlign w:val="bottom"/>
            <w:hideMark/>
          </w:tcPr>
          <w:p w14:paraId="33F618E9"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Bilance</w:t>
            </w:r>
          </w:p>
        </w:tc>
        <w:tc>
          <w:tcPr>
            <w:tcW w:w="1275" w:type="dxa"/>
            <w:vAlign w:val="center"/>
          </w:tcPr>
          <w:p w14:paraId="03267A64" w14:textId="77777777" w:rsidR="00EE1CF5" w:rsidRPr="00E936FD" w:rsidRDefault="00EE1CF5" w:rsidP="00263AB1">
            <w:pPr>
              <w:ind w:firstLine="34"/>
              <w:jc w:val="center"/>
              <w:rPr>
                <w:b/>
                <w:bCs/>
                <w:color w:val="000000"/>
                <w:sz w:val="20"/>
                <w:szCs w:val="20"/>
              </w:rPr>
            </w:pPr>
            <w:r w:rsidRPr="00E936FD">
              <w:rPr>
                <w:b/>
                <w:bCs/>
                <w:color w:val="000000"/>
                <w:sz w:val="20"/>
                <w:szCs w:val="20"/>
              </w:rPr>
              <w:t>0</w:t>
            </w:r>
          </w:p>
        </w:tc>
        <w:tc>
          <w:tcPr>
            <w:tcW w:w="1342" w:type="dxa"/>
            <w:vAlign w:val="center"/>
          </w:tcPr>
          <w:p w14:paraId="7631F656" w14:textId="77777777" w:rsidR="00EE1CF5" w:rsidRPr="00E936FD" w:rsidRDefault="00EE1CF5" w:rsidP="00263AB1">
            <w:pPr>
              <w:ind w:firstLine="34"/>
              <w:jc w:val="center"/>
              <w:rPr>
                <w:b/>
                <w:bCs/>
                <w:color w:val="000000"/>
                <w:sz w:val="20"/>
                <w:szCs w:val="20"/>
              </w:rPr>
            </w:pPr>
            <w:r w:rsidRPr="00F931D3">
              <w:rPr>
                <w:rFonts w:cs="Times New Roman"/>
                <w:b/>
                <w:bCs/>
                <w:color w:val="000000"/>
                <w:sz w:val="20"/>
                <w:szCs w:val="20"/>
              </w:rPr>
              <w:t>0</w:t>
            </w:r>
          </w:p>
        </w:tc>
        <w:tc>
          <w:tcPr>
            <w:tcW w:w="1242" w:type="dxa"/>
            <w:shd w:val="clear" w:color="auto" w:fill="auto"/>
            <w:noWrap/>
          </w:tcPr>
          <w:p w14:paraId="75C4414B" w14:textId="77777777" w:rsidR="00EE1CF5" w:rsidRPr="00E936FD" w:rsidRDefault="00EE1CF5" w:rsidP="00263AB1">
            <w:pPr>
              <w:ind w:firstLine="34"/>
              <w:jc w:val="center"/>
              <w:rPr>
                <w:rFonts w:cs="Times New Roman"/>
                <w:b/>
                <w:bCs/>
                <w:color w:val="000000"/>
                <w:sz w:val="20"/>
                <w:szCs w:val="20"/>
              </w:rPr>
            </w:pPr>
            <w:r w:rsidRPr="00172681">
              <w:rPr>
                <w:b/>
                <w:bCs/>
                <w:color w:val="000000"/>
                <w:sz w:val="20"/>
                <w:szCs w:val="20"/>
              </w:rPr>
              <w:t>0</w:t>
            </w:r>
          </w:p>
        </w:tc>
        <w:tc>
          <w:tcPr>
            <w:tcW w:w="1150" w:type="dxa"/>
          </w:tcPr>
          <w:p w14:paraId="0509DB5A" w14:textId="77777777" w:rsidR="00EE1CF5" w:rsidRPr="00E936FD" w:rsidRDefault="00EE1CF5" w:rsidP="00263AB1">
            <w:pPr>
              <w:ind w:firstLine="34"/>
              <w:jc w:val="center"/>
              <w:rPr>
                <w:b/>
                <w:bCs/>
                <w:color w:val="000000"/>
                <w:sz w:val="20"/>
                <w:szCs w:val="20"/>
              </w:rPr>
            </w:pPr>
            <w:r w:rsidRPr="00172681">
              <w:rPr>
                <w:b/>
                <w:bCs/>
                <w:color w:val="000000"/>
                <w:sz w:val="20"/>
                <w:szCs w:val="20"/>
              </w:rPr>
              <w:t>0</w:t>
            </w:r>
          </w:p>
        </w:tc>
        <w:tc>
          <w:tcPr>
            <w:tcW w:w="1316" w:type="dxa"/>
            <w:shd w:val="clear" w:color="auto" w:fill="auto"/>
            <w:noWrap/>
          </w:tcPr>
          <w:p w14:paraId="6630BDF8" w14:textId="77777777" w:rsidR="00EE1CF5" w:rsidRPr="00E936FD" w:rsidRDefault="00EE1CF5" w:rsidP="00263AB1">
            <w:pPr>
              <w:ind w:firstLine="34"/>
              <w:jc w:val="center"/>
              <w:rPr>
                <w:rFonts w:cs="Times New Roman"/>
                <w:b/>
                <w:bCs/>
                <w:color w:val="000000"/>
                <w:sz w:val="20"/>
                <w:szCs w:val="20"/>
              </w:rPr>
            </w:pPr>
            <w:r w:rsidRPr="00172681">
              <w:rPr>
                <w:b/>
                <w:bCs/>
                <w:color w:val="000000"/>
                <w:sz w:val="20"/>
                <w:szCs w:val="20"/>
              </w:rPr>
              <w:t>0</w:t>
            </w:r>
          </w:p>
        </w:tc>
        <w:tc>
          <w:tcPr>
            <w:tcW w:w="1329" w:type="dxa"/>
          </w:tcPr>
          <w:p w14:paraId="76F4CEB9" w14:textId="77777777" w:rsidR="00EE1CF5" w:rsidRPr="00FE5738" w:rsidRDefault="00EE1CF5" w:rsidP="00263AB1">
            <w:pPr>
              <w:ind w:firstLine="34"/>
              <w:jc w:val="center"/>
              <w:rPr>
                <w:b/>
                <w:bCs/>
                <w:color w:val="000000"/>
                <w:sz w:val="20"/>
                <w:szCs w:val="20"/>
              </w:rPr>
            </w:pPr>
            <w:r w:rsidRPr="00FE5738">
              <w:rPr>
                <w:b/>
                <w:bCs/>
                <w:color w:val="000000"/>
                <w:sz w:val="20"/>
                <w:szCs w:val="20"/>
              </w:rPr>
              <w:t>0</w:t>
            </w:r>
          </w:p>
        </w:tc>
        <w:tc>
          <w:tcPr>
            <w:tcW w:w="1237" w:type="dxa"/>
            <w:tcBorders>
              <w:right w:val="single" w:sz="4" w:space="0" w:color="auto"/>
            </w:tcBorders>
            <w:shd w:val="clear" w:color="auto" w:fill="auto"/>
            <w:noWrap/>
          </w:tcPr>
          <w:p w14:paraId="28AB842C" w14:textId="77777777" w:rsidR="00EE1CF5" w:rsidRPr="00E936FD" w:rsidRDefault="00EE1CF5" w:rsidP="00263AB1">
            <w:pPr>
              <w:ind w:firstLine="34"/>
              <w:jc w:val="center"/>
              <w:rPr>
                <w:rFonts w:cs="Times New Roman"/>
                <w:b/>
                <w:bCs/>
                <w:color w:val="000000"/>
                <w:sz w:val="20"/>
                <w:szCs w:val="20"/>
              </w:rPr>
            </w:pPr>
            <w:r w:rsidRPr="00172681">
              <w:rPr>
                <w:b/>
                <w:bCs/>
                <w:color w:val="000000"/>
                <w:sz w:val="20"/>
                <w:szCs w:val="20"/>
              </w:rPr>
              <w:t>0</w:t>
            </w:r>
          </w:p>
        </w:tc>
      </w:tr>
      <w:tr w:rsidR="00EE1CF5" w14:paraId="4BE044D3" w14:textId="77777777" w:rsidTr="00263AB1">
        <w:trPr>
          <w:trHeight w:val="288"/>
          <w:jc w:val="center"/>
        </w:trPr>
        <w:tc>
          <w:tcPr>
            <w:tcW w:w="4390" w:type="dxa"/>
            <w:shd w:val="clear" w:color="auto" w:fill="auto"/>
            <w:noWrap/>
            <w:vAlign w:val="bottom"/>
          </w:tcPr>
          <w:p w14:paraId="5C807F96" w14:textId="77777777" w:rsidR="00EE1CF5" w:rsidRPr="00E936FD" w:rsidRDefault="00EE1CF5" w:rsidP="00263AB1">
            <w:pPr>
              <w:ind w:firstLine="34"/>
              <w:jc w:val="center"/>
              <w:rPr>
                <w:rFonts w:cs="Times New Roman"/>
                <w:b/>
                <w:bCs/>
                <w:sz w:val="20"/>
                <w:szCs w:val="20"/>
              </w:rPr>
            </w:pPr>
            <w:r w:rsidRPr="00E936FD">
              <w:rPr>
                <w:rFonts w:cs="Times New Roman"/>
                <w:b/>
                <w:sz w:val="20"/>
                <w:szCs w:val="20"/>
              </w:rPr>
              <w:t>Vidējais OIK, EUR/MWh</w:t>
            </w:r>
          </w:p>
        </w:tc>
        <w:tc>
          <w:tcPr>
            <w:tcW w:w="1275" w:type="dxa"/>
            <w:vAlign w:val="center"/>
          </w:tcPr>
          <w:p w14:paraId="48AB7C20" w14:textId="77777777" w:rsidR="00EE1CF5" w:rsidRPr="00E936FD" w:rsidRDefault="00EE1CF5" w:rsidP="00263AB1">
            <w:pPr>
              <w:ind w:firstLine="34"/>
              <w:jc w:val="center"/>
              <w:rPr>
                <w:rFonts w:cs="Times New Roman"/>
                <w:b/>
                <w:sz w:val="20"/>
                <w:szCs w:val="20"/>
              </w:rPr>
            </w:pPr>
            <w:r w:rsidRPr="00E936FD">
              <w:rPr>
                <w:rFonts w:cs="Times New Roman"/>
                <w:b/>
                <w:sz w:val="20"/>
                <w:szCs w:val="20"/>
              </w:rPr>
              <w:t>25,79</w:t>
            </w:r>
          </w:p>
        </w:tc>
        <w:tc>
          <w:tcPr>
            <w:tcW w:w="1342" w:type="dxa"/>
            <w:vAlign w:val="center"/>
          </w:tcPr>
          <w:p w14:paraId="75C5C145" w14:textId="77777777" w:rsidR="00EE1CF5" w:rsidRPr="00E936FD" w:rsidRDefault="00EE1CF5" w:rsidP="00263AB1">
            <w:pPr>
              <w:ind w:firstLine="34"/>
              <w:jc w:val="center"/>
              <w:rPr>
                <w:rFonts w:cs="Times New Roman"/>
                <w:b/>
                <w:sz w:val="20"/>
                <w:szCs w:val="20"/>
              </w:rPr>
            </w:pPr>
            <w:r w:rsidRPr="00F931D3">
              <w:rPr>
                <w:rFonts w:cs="Times New Roman"/>
                <w:b/>
                <w:sz w:val="20"/>
                <w:szCs w:val="20"/>
              </w:rPr>
              <w:t>2</w:t>
            </w:r>
            <w:r>
              <w:rPr>
                <w:rFonts w:cs="Times New Roman"/>
                <w:b/>
                <w:sz w:val="20"/>
                <w:szCs w:val="20"/>
              </w:rPr>
              <w:t>4</w:t>
            </w:r>
            <w:r w:rsidRPr="00F931D3">
              <w:rPr>
                <w:rFonts w:cs="Times New Roman"/>
                <w:b/>
                <w:sz w:val="20"/>
                <w:szCs w:val="20"/>
              </w:rPr>
              <w:t>,</w:t>
            </w:r>
            <w:r>
              <w:rPr>
                <w:rFonts w:cs="Times New Roman"/>
                <w:b/>
                <w:sz w:val="20"/>
                <w:szCs w:val="20"/>
              </w:rPr>
              <w:t>24</w:t>
            </w:r>
          </w:p>
        </w:tc>
        <w:tc>
          <w:tcPr>
            <w:tcW w:w="1242" w:type="dxa"/>
            <w:tcBorders>
              <w:right w:val="single" w:sz="4" w:space="0" w:color="auto"/>
            </w:tcBorders>
            <w:shd w:val="clear" w:color="auto" w:fill="auto"/>
            <w:vAlign w:val="center"/>
          </w:tcPr>
          <w:p w14:paraId="3E94789D" w14:textId="77777777" w:rsidR="00EE1CF5" w:rsidRPr="00E936FD" w:rsidRDefault="00EE1CF5" w:rsidP="00263AB1">
            <w:pPr>
              <w:ind w:firstLine="34"/>
              <w:jc w:val="center"/>
              <w:rPr>
                <w:rFonts w:cs="Times New Roman"/>
                <w:b/>
                <w:sz w:val="20"/>
                <w:szCs w:val="20"/>
              </w:rPr>
            </w:pPr>
            <w:r w:rsidRPr="00E936FD">
              <w:rPr>
                <w:rFonts w:cs="Times New Roman"/>
                <w:b/>
                <w:sz w:val="20"/>
                <w:szCs w:val="20"/>
              </w:rPr>
              <w:t>25,79</w:t>
            </w:r>
          </w:p>
        </w:tc>
        <w:tc>
          <w:tcPr>
            <w:tcW w:w="1150" w:type="dxa"/>
            <w:vAlign w:val="center"/>
          </w:tcPr>
          <w:p w14:paraId="60E40550" w14:textId="77777777" w:rsidR="00EE1CF5" w:rsidRPr="00E936FD" w:rsidRDefault="00EE1CF5" w:rsidP="00263AB1">
            <w:pPr>
              <w:ind w:firstLine="34"/>
              <w:jc w:val="center"/>
              <w:rPr>
                <w:rFonts w:cs="Times New Roman"/>
                <w:b/>
                <w:sz w:val="20"/>
                <w:szCs w:val="20"/>
              </w:rPr>
            </w:pPr>
            <w:r>
              <w:rPr>
                <w:rFonts w:cs="Times New Roman"/>
                <w:b/>
                <w:sz w:val="20"/>
                <w:szCs w:val="20"/>
              </w:rPr>
              <w:t>17,30</w:t>
            </w:r>
          </w:p>
        </w:tc>
        <w:tc>
          <w:tcPr>
            <w:tcW w:w="1316" w:type="dxa"/>
            <w:tcBorders>
              <w:right w:val="single" w:sz="4" w:space="0" w:color="auto"/>
            </w:tcBorders>
            <w:shd w:val="clear" w:color="auto" w:fill="auto"/>
            <w:vAlign w:val="center"/>
          </w:tcPr>
          <w:p w14:paraId="26ACA595" w14:textId="77777777" w:rsidR="00EE1CF5" w:rsidRPr="00E936FD" w:rsidRDefault="00EE1CF5" w:rsidP="00263AB1">
            <w:pPr>
              <w:ind w:firstLine="34"/>
              <w:jc w:val="center"/>
              <w:rPr>
                <w:rFonts w:cs="Times New Roman"/>
                <w:b/>
                <w:sz w:val="20"/>
                <w:szCs w:val="20"/>
              </w:rPr>
            </w:pPr>
            <w:r w:rsidRPr="00E936FD">
              <w:rPr>
                <w:rFonts w:cs="Times New Roman"/>
                <w:b/>
                <w:sz w:val="20"/>
                <w:szCs w:val="20"/>
              </w:rPr>
              <w:t>24,92</w:t>
            </w:r>
          </w:p>
        </w:tc>
        <w:tc>
          <w:tcPr>
            <w:tcW w:w="1329" w:type="dxa"/>
            <w:vAlign w:val="center"/>
          </w:tcPr>
          <w:p w14:paraId="4858FE99" w14:textId="77777777" w:rsidR="00EE1CF5" w:rsidRPr="00E936FD" w:rsidRDefault="00EE1CF5" w:rsidP="00263AB1">
            <w:pPr>
              <w:ind w:firstLine="34"/>
              <w:jc w:val="center"/>
              <w:rPr>
                <w:rFonts w:cs="Times New Roman"/>
                <w:b/>
                <w:sz w:val="20"/>
                <w:szCs w:val="20"/>
              </w:rPr>
            </w:pPr>
            <w:r w:rsidRPr="00FE5738">
              <w:rPr>
                <w:rFonts w:cs="Times New Roman"/>
                <w:b/>
                <w:sz w:val="20"/>
                <w:szCs w:val="20"/>
              </w:rPr>
              <w:t>17,30</w:t>
            </w:r>
          </w:p>
        </w:tc>
        <w:tc>
          <w:tcPr>
            <w:tcW w:w="1237" w:type="dxa"/>
            <w:tcBorders>
              <w:right w:val="single" w:sz="4" w:space="0" w:color="auto"/>
            </w:tcBorders>
            <w:shd w:val="clear" w:color="auto" w:fill="auto"/>
            <w:vAlign w:val="center"/>
          </w:tcPr>
          <w:p w14:paraId="192C19A3" w14:textId="77777777" w:rsidR="00EE1CF5" w:rsidRPr="00E936FD" w:rsidRDefault="00EE1CF5" w:rsidP="00263AB1">
            <w:pPr>
              <w:ind w:firstLine="34"/>
              <w:jc w:val="center"/>
              <w:rPr>
                <w:rFonts w:cs="Times New Roman"/>
                <w:b/>
                <w:sz w:val="20"/>
                <w:szCs w:val="20"/>
              </w:rPr>
            </w:pPr>
            <w:r>
              <w:rPr>
                <w:rFonts w:cs="Times New Roman"/>
                <w:b/>
                <w:sz w:val="20"/>
                <w:szCs w:val="20"/>
              </w:rPr>
              <w:t>14,29</w:t>
            </w:r>
          </w:p>
        </w:tc>
      </w:tr>
    </w:tbl>
    <w:p w14:paraId="75BD3ED9" w14:textId="77777777" w:rsidR="00EE1CF5" w:rsidRDefault="00EE1CF5" w:rsidP="00EE1CF5">
      <w:pPr>
        <w:pStyle w:val="Caption"/>
        <w:keepNext/>
        <w:spacing w:line="240" w:lineRule="auto"/>
        <w:rPr>
          <w:rFonts w:ascii="Times New Roman" w:hAnsi="Times New Roman"/>
          <w:b w:val="0"/>
          <w:i/>
          <w:sz w:val="24"/>
          <w:szCs w:val="24"/>
        </w:rPr>
      </w:pPr>
    </w:p>
    <w:p w14:paraId="7820EFC2" w14:textId="77777777" w:rsidR="00EE1CF5" w:rsidRPr="00784E62" w:rsidRDefault="00EE1CF5" w:rsidP="00EE1CF5">
      <w:pPr>
        <w:pStyle w:val="Caption"/>
        <w:keepNext/>
        <w:spacing w:line="240" w:lineRule="auto"/>
        <w:jc w:val="right"/>
        <w:rPr>
          <w:rFonts w:ascii="Times New Roman" w:hAnsi="Times New Roman"/>
          <w:b w:val="0"/>
          <w:i/>
          <w:sz w:val="24"/>
          <w:szCs w:val="24"/>
        </w:rPr>
      </w:pPr>
      <w:r w:rsidRPr="00784E62">
        <w:rPr>
          <w:rFonts w:ascii="Times New Roman" w:hAnsi="Times New Roman"/>
          <w:b w:val="0"/>
          <w:i/>
          <w:sz w:val="24"/>
          <w:szCs w:val="24"/>
        </w:rPr>
        <w:t>22</w:t>
      </w:r>
      <w:r>
        <w:rPr>
          <w:rFonts w:ascii="Times New Roman" w:hAnsi="Times New Roman"/>
          <w:b w:val="0"/>
          <w:i/>
          <w:sz w:val="24"/>
          <w:szCs w:val="24"/>
        </w:rPr>
        <w:t>.</w:t>
      </w:r>
      <w:r w:rsidRPr="00784E62">
        <w:rPr>
          <w:rFonts w:ascii="Times New Roman" w:hAnsi="Times New Roman"/>
          <w:b w:val="0"/>
          <w:i/>
          <w:sz w:val="24"/>
          <w:szCs w:val="24"/>
        </w:rPr>
        <w:t>tabula</w:t>
      </w:r>
    </w:p>
    <w:p w14:paraId="229AD918" w14:textId="77777777" w:rsidR="00EE1CF5" w:rsidRPr="00E936FD" w:rsidRDefault="00EE1CF5" w:rsidP="00EE1CF5">
      <w:pPr>
        <w:pStyle w:val="Caption"/>
        <w:keepNext/>
        <w:keepLines/>
        <w:widowControl/>
        <w:jc w:val="center"/>
        <w:rPr>
          <w:rFonts w:ascii="Times New Roman" w:hAnsi="Times New Roman"/>
          <w:sz w:val="24"/>
          <w:szCs w:val="24"/>
        </w:rPr>
      </w:pPr>
      <w:r w:rsidRPr="00E936FD">
        <w:rPr>
          <w:rFonts w:ascii="Times New Roman" w:hAnsi="Times New Roman"/>
          <w:sz w:val="24"/>
          <w:szCs w:val="24"/>
        </w:rPr>
        <w:t>Valsts budžetā iemaksājamās AS "Latvenergo" dividendes, EUR</w:t>
      </w: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1434"/>
        <w:gridCol w:w="1250"/>
        <w:gridCol w:w="1392"/>
        <w:gridCol w:w="1325"/>
        <w:gridCol w:w="1771"/>
        <w:gridCol w:w="1325"/>
        <w:gridCol w:w="1250"/>
      </w:tblGrid>
      <w:tr w:rsidR="00EE1CF5" w14:paraId="65BEFF32" w14:textId="77777777" w:rsidTr="00263AB1">
        <w:trPr>
          <w:trHeight w:val="288"/>
          <w:jc w:val="center"/>
        </w:trPr>
        <w:tc>
          <w:tcPr>
            <w:tcW w:w="4813" w:type="dxa"/>
            <w:shd w:val="clear" w:color="auto" w:fill="auto"/>
            <w:noWrap/>
            <w:vAlign w:val="bottom"/>
            <w:hideMark/>
          </w:tcPr>
          <w:p w14:paraId="29872BB0" w14:textId="77777777" w:rsidR="00EE1CF5" w:rsidRPr="00E936FD" w:rsidRDefault="00EE1CF5" w:rsidP="00263AB1">
            <w:pPr>
              <w:ind w:firstLine="34"/>
              <w:rPr>
                <w:rFonts w:cs="Times New Roman"/>
                <w:sz w:val="20"/>
                <w:szCs w:val="20"/>
              </w:rPr>
            </w:pPr>
          </w:p>
        </w:tc>
        <w:tc>
          <w:tcPr>
            <w:tcW w:w="2684" w:type="dxa"/>
            <w:gridSpan w:val="2"/>
            <w:shd w:val="clear" w:color="auto" w:fill="auto"/>
            <w:noWrap/>
            <w:vAlign w:val="center"/>
            <w:hideMark/>
          </w:tcPr>
          <w:p w14:paraId="41A3BABB"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2018</w:t>
            </w:r>
          </w:p>
        </w:tc>
        <w:tc>
          <w:tcPr>
            <w:tcW w:w="2717" w:type="dxa"/>
            <w:gridSpan w:val="2"/>
            <w:shd w:val="clear" w:color="auto" w:fill="auto"/>
            <w:noWrap/>
            <w:vAlign w:val="center"/>
            <w:hideMark/>
          </w:tcPr>
          <w:p w14:paraId="413F6FD3"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2019</w:t>
            </w:r>
          </w:p>
        </w:tc>
        <w:tc>
          <w:tcPr>
            <w:tcW w:w="3096" w:type="dxa"/>
            <w:gridSpan w:val="2"/>
            <w:tcBorders>
              <w:right w:val="single" w:sz="4" w:space="0" w:color="auto"/>
            </w:tcBorders>
            <w:shd w:val="clear" w:color="auto" w:fill="auto"/>
            <w:noWrap/>
            <w:vAlign w:val="center"/>
            <w:hideMark/>
          </w:tcPr>
          <w:p w14:paraId="39B1CDF7"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2020</w:t>
            </w:r>
          </w:p>
        </w:tc>
        <w:tc>
          <w:tcPr>
            <w:tcW w:w="1250" w:type="dxa"/>
            <w:tcBorders>
              <w:right w:val="single" w:sz="4" w:space="0" w:color="auto"/>
            </w:tcBorders>
          </w:tcPr>
          <w:p w14:paraId="75374E2D" w14:textId="77777777" w:rsidR="00EE1CF5" w:rsidRPr="00E936FD" w:rsidRDefault="00EE1CF5" w:rsidP="00263AB1">
            <w:pPr>
              <w:ind w:firstLine="34"/>
              <w:jc w:val="center"/>
              <w:rPr>
                <w:rFonts w:cs="Times New Roman"/>
                <w:b/>
                <w:bCs/>
                <w:sz w:val="20"/>
                <w:szCs w:val="20"/>
              </w:rPr>
            </w:pPr>
            <w:r>
              <w:rPr>
                <w:rFonts w:cs="Times New Roman"/>
                <w:b/>
                <w:bCs/>
                <w:sz w:val="20"/>
                <w:szCs w:val="20"/>
              </w:rPr>
              <w:t>2021</w:t>
            </w:r>
          </w:p>
        </w:tc>
      </w:tr>
      <w:tr w:rsidR="00EE1CF5" w14:paraId="3CA19DE2" w14:textId="77777777" w:rsidTr="00263AB1">
        <w:trPr>
          <w:trHeight w:val="288"/>
          <w:jc w:val="center"/>
        </w:trPr>
        <w:tc>
          <w:tcPr>
            <w:tcW w:w="4813" w:type="dxa"/>
            <w:shd w:val="clear" w:color="auto" w:fill="auto"/>
            <w:noWrap/>
            <w:vAlign w:val="center"/>
          </w:tcPr>
          <w:p w14:paraId="6B50FBE6" w14:textId="77777777" w:rsidR="00EE1CF5" w:rsidRPr="00E936FD" w:rsidRDefault="00EE1CF5" w:rsidP="00263AB1">
            <w:pPr>
              <w:ind w:firstLine="34"/>
              <w:jc w:val="center"/>
              <w:rPr>
                <w:rFonts w:cs="Times New Roman"/>
                <w:b/>
                <w:bCs/>
                <w:sz w:val="20"/>
                <w:szCs w:val="20"/>
              </w:rPr>
            </w:pPr>
          </w:p>
        </w:tc>
        <w:tc>
          <w:tcPr>
            <w:tcW w:w="1434" w:type="dxa"/>
            <w:shd w:val="clear" w:color="auto" w:fill="auto"/>
            <w:noWrap/>
            <w:vAlign w:val="center"/>
          </w:tcPr>
          <w:p w14:paraId="1CDCA57C" w14:textId="77777777" w:rsidR="00EE1CF5" w:rsidRPr="00E936FD" w:rsidRDefault="00EE1CF5" w:rsidP="00263AB1">
            <w:pPr>
              <w:ind w:firstLine="34"/>
              <w:jc w:val="center"/>
              <w:rPr>
                <w:b/>
                <w:bCs/>
                <w:color w:val="000000"/>
                <w:sz w:val="20"/>
                <w:szCs w:val="20"/>
              </w:rPr>
            </w:pPr>
            <w:r>
              <w:rPr>
                <w:b/>
                <w:bCs/>
                <w:color w:val="000000"/>
                <w:sz w:val="20"/>
                <w:szCs w:val="20"/>
              </w:rPr>
              <w:t>Budžets</w:t>
            </w:r>
          </w:p>
        </w:tc>
        <w:tc>
          <w:tcPr>
            <w:tcW w:w="1250" w:type="dxa"/>
          </w:tcPr>
          <w:p w14:paraId="57C5547F"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392" w:type="dxa"/>
            <w:shd w:val="clear" w:color="auto" w:fill="auto"/>
            <w:noWrap/>
            <w:vAlign w:val="center"/>
          </w:tcPr>
          <w:p w14:paraId="48476CCB" w14:textId="77777777" w:rsidR="00EE1CF5" w:rsidRPr="00E936FD" w:rsidRDefault="00EE1CF5" w:rsidP="00263AB1">
            <w:pPr>
              <w:ind w:firstLine="34"/>
              <w:jc w:val="center"/>
              <w:rPr>
                <w:b/>
                <w:bCs/>
                <w:color w:val="000000"/>
                <w:sz w:val="20"/>
                <w:szCs w:val="20"/>
              </w:rPr>
            </w:pPr>
            <w:r>
              <w:rPr>
                <w:b/>
                <w:bCs/>
                <w:color w:val="000000"/>
                <w:sz w:val="20"/>
                <w:szCs w:val="20"/>
              </w:rPr>
              <w:t>2017. gada prognoze</w:t>
            </w:r>
          </w:p>
        </w:tc>
        <w:tc>
          <w:tcPr>
            <w:tcW w:w="1325" w:type="dxa"/>
          </w:tcPr>
          <w:p w14:paraId="77258DB8"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771" w:type="dxa"/>
            <w:tcBorders>
              <w:right w:val="single" w:sz="4" w:space="0" w:color="auto"/>
            </w:tcBorders>
            <w:shd w:val="clear" w:color="auto" w:fill="auto"/>
            <w:noWrap/>
            <w:vAlign w:val="center"/>
          </w:tcPr>
          <w:p w14:paraId="76BAD436" w14:textId="77777777" w:rsidR="00EE1CF5" w:rsidRPr="00E936FD" w:rsidRDefault="00EE1CF5" w:rsidP="00263AB1">
            <w:pPr>
              <w:ind w:firstLine="34"/>
              <w:jc w:val="center"/>
              <w:rPr>
                <w:b/>
                <w:bCs/>
                <w:color w:val="000000"/>
                <w:sz w:val="20"/>
                <w:szCs w:val="20"/>
              </w:rPr>
            </w:pPr>
            <w:r>
              <w:rPr>
                <w:b/>
                <w:bCs/>
                <w:color w:val="000000"/>
                <w:sz w:val="20"/>
                <w:szCs w:val="20"/>
              </w:rPr>
              <w:t>2017. gada prognoze</w:t>
            </w:r>
          </w:p>
        </w:tc>
        <w:tc>
          <w:tcPr>
            <w:tcW w:w="1325" w:type="dxa"/>
            <w:tcBorders>
              <w:right w:val="single" w:sz="4" w:space="0" w:color="auto"/>
            </w:tcBorders>
          </w:tcPr>
          <w:p w14:paraId="786C0BEE" w14:textId="77777777" w:rsidR="00EE1CF5" w:rsidRPr="00B42B2B" w:rsidRDefault="00EE1CF5" w:rsidP="00263AB1">
            <w:pPr>
              <w:ind w:firstLine="34"/>
              <w:jc w:val="center"/>
              <w:rPr>
                <w:b/>
                <w:bCs/>
                <w:color w:val="000000"/>
                <w:sz w:val="20"/>
                <w:szCs w:val="20"/>
              </w:rPr>
            </w:pPr>
            <w:r w:rsidRPr="00B42B2B">
              <w:rPr>
                <w:b/>
                <w:bCs/>
                <w:color w:val="000000"/>
                <w:sz w:val="20"/>
                <w:szCs w:val="20"/>
              </w:rPr>
              <w:t>Prognoze</w:t>
            </w:r>
          </w:p>
        </w:tc>
        <w:tc>
          <w:tcPr>
            <w:tcW w:w="1250" w:type="dxa"/>
            <w:tcBorders>
              <w:right w:val="single" w:sz="4" w:space="0" w:color="auto"/>
            </w:tcBorders>
          </w:tcPr>
          <w:p w14:paraId="6412B473" w14:textId="77777777" w:rsidR="00EE1CF5" w:rsidRPr="00E936FD" w:rsidRDefault="00EE1CF5" w:rsidP="00263AB1">
            <w:pPr>
              <w:ind w:firstLine="34"/>
              <w:jc w:val="center"/>
              <w:rPr>
                <w:b/>
                <w:bCs/>
                <w:color w:val="000000"/>
                <w:sz w:val="20"/>
                <w:szCs w:val="20"/>
              </w:rPr>
            </w:pPr>
            <w:r>
              <w:rPr>
                <w:b/>
                <w:bCs/>
                <w:color w:val="000000"/>
                <w:sz w:val="20"/>
                <w:szCs w:val="20"/>
              </w:rPr>
              <w:t>Prognoze</w:t>
            </w:r>
          </w:p>
        </w:tc>
      </w:tr>
      <w:tr w:rsidR="00EE1CF5" w14:paraId="199DBD55" w14:textId="77777777" w:rsidTr="00263AB1">
        <w:trPr>
          <w:trHeight w:val="288"/>
          <w:jc w:val="center"/>
        </w:trPr>
        <w:tc>
          <w:tcPr>
            <w:tcW w:w="4813" w:type="dxa"/>
            <w:shd w:val="clear" w:color="auto" w:fill="auto"/>
            <w:noWrap/>
            <w:vAlign w:val="center"/>
            <w:hideMark/>
          </w:tcPr>
          <w:p w14:paraId="1F32B57B"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 xml:space="preserve">AS </w:t>
            </w:r>
            <w:r w:rsidRPr="00E936FD">
              <w:rPr>
                <w:rFonts w:cs="Times New Roman"/>
                <w:b/>
                <w:sz w:val="20"/>
                <w:szCs w:val="20"/>
              </w:rPr>
              <w:t xml:space="preserve">„Latvenergo” </w:t>
            </w:r>
            <w:r w:rsidRPr="00E936FD">
              <w:rPr>
                <w:rFonts w:cs="Times New Roman"/>
                <w:b/>
                <w:bCs/>
                <w:sz w:val="20"/>
                <w:szCs w:val="20"/>
              </w:rPr>
              <w:t>dividendes, tajā skaitā</w:t>
            </w:r>
          </w:p>
        </w:tc>
        <w:tc>
          <w:tcPr>
            <w:tcW w:w="1434" w:type="dxa"/>
            <w:shd w:val="clear" w:color="auto" w:fill="auto"/>
            <w:noWrap/>
            <w:vAlign w:val="center"/>
            <w:hideMark/>
          </w:tcPr>
          <w:p w14:paraId="7768E302" w14:textId="77777777" w:rsidR="00EE1CF5" w:rsidRPr="00E936FD" w:rsidRDefault="00EE1CF5" w:rsidP="00263AB1">
            <w:pPr>
              <w:ind w:firstLine="34"/>
              <w:jc w:val="center"/>
              <w:rPr>
                <w:rFonts w:cs="Times New Roman"/>
                <w:b/>
                <w:bCs/>
                <w:color w:val="000000"/>
                <w:sz w:val="20"/>
                <w:szCs w:val="20"/>
              </w:rPr>
            </w:pPr>
            <w:r w:rsidRPr="00E936FD">
              <w:rPr>
                <w:b/>
                <w:bCs/>
                <w:color w:val="000000"/>
                <w:sz w:val="20"/>
                <w:szCs w:val="20"/>
              </w:rPr>
              <w:t>94 217 866</w:t>
            </w:r>
          </w:p>
        </w:tc>
        <w:tc>
          <w:tcPr>
            <w:tcW w:w="1250" w:type="dxa"/>
            <w:vAlign w:val="center"/>
          </w:tcPr>
          <w:p w14:paraId="0DD9ADD4" w14:textId="77777777" w:rsidR="00EE1CF5" w:rsidRPr="00E936FD" w:rsidRDefault="00EE1CF5" w:rsidP="00263AB1">
            <w:pPr>
              <w:ind w:firstLine="34"/>
              <w:jc w:val="center"/>
              <w:rPr>
                <w:b/>
                <w:bCs/>
                <w:color w:val="000000"/>
                <w:sz w:val="20"/>
                <w:szCs w:val="20"/>
              </w:rPr>
            </w:pPr>
            <w:r w:rsidRPr="007F00E3">
              <w:rPr>
                <w:b/>
                <w:bCs/>
                <w:color w:val="000000"/>
                <w:sz w:val="20"/>
                <w:szCs w:val="20"/>
              </w:rPr>
              <w:t>156</w:t>
            </w:r>
            <w:r>
              <w:rPr>
                <w:b/>
                <w:bCs/>
                <w:color w:val="000000"/>
                <w:sz w:val="20"/>
                <w:szCs w:val="20"/>
              </w:rPr>
              <w:t> </w:t>
            </w:r>
            <w:r w:rsidRPr="007F00E3">
              <w:rPr>
                <w:b/>
                <w:bCs/>
                <w:color w:val="000000"/>
                <w:sz w:val="20"/>
                <w:szCs w:val="20"/>
              </w:rPr>
              <w:t>417</w:t>
            </w:r>
            <w:r>
              <w:rPr>
                <w:b/>
                <w:bCs/>
                <w:color w:val="000000"/>
                <w:sz w:val="20"/>
                <w:szCs w:val="20"/>
              </w:rPr>
              <w:t> </w:t>
            </w:r>
            <w:r w:rsidRPr="007F00E3">
              <w:rPr>
                <w:b/>
                <w:bCs/>
                <w:color w:val="000000"/>
                <w:sz w:val="20"/>
                <w:szCs w:val="20"/>
              </w:rPr>
              <w:t>866</w:t>
            </w:r>
          </w:p>
        </w:tc>
        <w:tc>
          <w:tcPr>
            <w:tcW w:w="1392" w:type="dxa"/>
            <w:shd w:val="clear" w:color="auto" w:fill="auto"/>
            <w:noWrap/>
            <w:vAlign w:val="center"/>
            <w:hideMark/>
          </w:tcPr>
          <w:p w14:paraId="72EE5948" w14:textId="77777777" w:rsidR="00EE1CF5" w:rsidRPr="00E936FD" w:rsidRDefault="00EE1CF5" w:rsidP="00263AB1">
            <w:pPr>
              <w:ind w:firstLine="34"/>
              <w:jc w:val="center"/>
              <w:rPr>
                <w:rFonts w:eastAsia="Times New Roman"/>
                <w:b/>
                <w:bCs/>
                <w:color w:val="000000"/>
                <w:sz w:val="20"/>
                <w:szCs w:val="20"/>
              </w:rPr>
            </w:pPr>
            <w:r w:rsidRPr="00E936FD">
              <w:rPr>
                <w:b/>
                <w:bCs/>
                <w:color w:val="000000"/>
                <w:sz w:val="20"/>
                <w:szCs w:val="20"/>
              </w:rPr>
              <w:t>132 936 416</w:t>
            </w:r>
          </w:p>
        </w:tc>
        <w:tc>
          <w:tcPr>
            <w:tcW w:w="1325" w:type="dxa"/>
            <w:vAlign w:val="center"/>
          </w:tcPr>
          <w:p w14:paraId="3CE412FF" w14:textId="77777777" w:rsidR="00EE1CF5" w:rsidRPr="00E936FD" w:rsidRDefault="00EE1CF5" w:rsidP="00263AB1">
            <w:pPr>
              <w:ind w:firstLine="34"/>
              <w:jc w:val="center"/>
              <w:rPr>
                <w:b/>
                <w:bCs/>
                <w:color w:val="000000"/>
                <w:sz w:val="20"/>
                <w:szCs w:val="20"/>
              </w:rPr>
            </w:pPr>
            <w:r w:rsidRPr="00A96ECF">
              <w:rPr>
                <w:b/>
                <w:bCs/>
                <w:color w:val="000000"/>
                <w:sz w:val="20"/>
                <w:szCs w:val="20"/>
              </w:rPr>
              <w:t>122 400 000</w:t>
            </w:r>
          </w:p>
        </w:tc>
        <w:tc>
          <w:tcPr>
            <w:tcW w:w="1771" w:type="dxa"/>
            <w:tcBorders>
              <w:right w:val="single" w:sz="4" w:space="0" w:color="auto"/>
            </w:tcBorders>
            <w:shd w:val="clear" w:color="auto" w:fill="auto"/>
            <w:noWrap/>
            <w:vAlign w:val="center"/>
            <w:hideMark/>
          </w:tcPr>
          <w:p w14:paraId="14B99396" w14:textId="77777777" w:rsidR="00EE1CF5" w:rsidRPr="00E936FD" w:rsidRDefault="00EE1CF5" w:rsidP="00263AB1">
            <w:pPr>
              <w:ind w:firstLine="34"/>
              <w:jc w:val="center"/>
              <w:rPr>
                <w:rFonts w:cs="Times New Roman"/>
                <w:b/>
                <w:bCs/>
                <w:color w:val="000000"/>
                <w:sz w:val="20"/>
                <w:szCs w:val="20"/>
              </w:rPr>
            </w:pPr>
            <w:r w:rsidRPr="00E936FD">
              <w:rPr>
                <w:b/>
                <w:bCs/>
                <w:color w:val="000000"/>
                <w:sz w:val="20"/>
                <w:szCs w:val="20"/>
              </w:rPr>
              <w:t>127 070 731</w:t>
            </w:r>
          </w:p>
        </w:tc>
        <w:tc>
          <w:tcPr>
            <w:tcW w:w="1325" w:type="dxa"/>
            <w:tcBorders>
              <w:right w:val="single" w:sz="4" w:space="0" w:color="auto"/>
            </w:tcBorders>
            <w:vAlign w:val="center"/>
          </w:tcPr>
          <w:p w14:paraId="2E5F97E4" w14:textId="77777777" w:rsidR="00EE1CF5" w:rsidRPr="00B42B2B" w:rsidRDefault="00EE1CF5" w:rsidP="00263AB1">
            <w:pPr>
              <w:ind w:firstLine="34"/>
              <w:jc w:val="center"/>
              <w:rPr>
                <w:b/>
                <w:bCs/>
                <w:color w:val="000000"/>
                <w:sz w:val="20"/>
                <w:szCs w:val="20"/>
              </w:rPr>
            </w:pPr>
            <w:r w:rsidRPr="00B42B2B">
              <w:rPr>
                <w:b/>
                <w:bCs/>
                <w:color w:val="000000"/>
                <w:sz w:val="20"/>
                <w:szCs w:val="20"/>
              </w:rPr>
              <w:t>119 800 000</w:t>
            </w:r>
          </w:p>
        </w:tc>
        <w:tc>
          <w:tcPr>
            <w:tcW w:w="1250" w:type="dxa"/>
            <w:tcBorders>
              <w:right w:val="single" w:sz="4" w:space="0" w:color="auto"/>
            </w:tcBorders>
            <w:vAlign w:val="center"/>
          </w:tcPr>
          <w:p w14:paraId="2452DAB9" w14:textId="77777777" w:rsidR="00EE1CF5" w:rsidRPr="00E936FD" w:rsidRDefault="00EE1CF5" w:rsidP="00263AB1">
            <w:pPr>
              <w:ind w:firstLine="34"/>
              <w:jc w:val="center"/>
              <w:rPr>
                <w:b/>
                <w:bCs/>
                <w:color w:val="000000"/>
                <w:sz w:val="20"/>
                <w:szCs w:val="20"/>
              </w:rPr>
            </w:pPr>
            <w:r w:rsidRPr="008F7646">
              <w:rPr>
                <w:b/>
                <w:bCs/>
                <w:color w:val="000000"/>
                <w:sz w:val="20"/>
                <w:szCs w:val="20"/>
              </w:rPr>
              <w:t>104 200 000</w:t>
            </w:r>
          </w:p>
        </w:tc>
      </w:tr>
      <w:tr w:rsidR="00EE1CF5" w14:paraId="5C3B6691" w14:textId="77777777" w:rsidTr="00263AB1">
        <w:trPr>
          <w:trHeight w:val="288"/>
          <w:jc w:val="center"/>
        </w:trPr>
        <w:tc>
          <w:tcPr>
            <w:tcW w:w="4813" w:type="dxa"/>
            <w:shd w:val="clear" w:color="auto" w:fill="auto"/>
            <w:noWrap/>
            <w:vAlign w:val="center"/>
          </w:tcPr>
          <w:p w14:paraId="53751C5A" w14:textId="77777777" w:rsidR="00EE1CF5" w:rsidRPr="00E936FD" w:rsidRDefault="00EE1CF5" w:rsidP="00263AB1">
            <w:pPr>
              <w:ind w:firstLine="34"/>
              <w:jc w:val="left"/>
              <w:rPr>
                <w:rFonts w:cs="Times New Roman"/>
                <w:bCs/>
                <w:sz w:val="20"/>
                <w:szCs w:val="20"/>
              </w:rPr>
            </w:pPr>
            <w:r w:rsidRPr="00E936FD">
              <w:rPr>
                <w:rFonts w:cs="Times New Roman"/>
                <w:sz w:val="20"/>
                <w:szCs w:val="20"/>
              </w:rPr>
              <w:lastRenderedPageBreak/>
              <w:t>VPP enerģētikā</w:t>
            </w:r>
          </w:p>
        </w:tc>
        <w:tc>
          <w:tcPr>
            <w:tcW w:w="1434" w:type="dxa"/>
            <w:shd w:val="clear" w:color="auto" w:fill="auto"/>
            <w:noWrap/>
            <w:vAlign w:val="center"/>
          </w:tcPr>
          <w:p w14:paraId="4ECD848F"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250" w:type="dxa"/>
          </w:tcPr>
          <w:p w14:paraId="3D632FF3" w14:textId="77777777" w:rsidR="00EE1CF5" w:rsidRPr="00E936FD" w:rsidRDefault="00EE1CF5" w:rsidP="00263AB1">
            <w:pPr>
              <w:ind w:firstLine="34"/>
              <w:jc w:val="center"/>
              <w:rPr>
                <w:color w:val="000000"/>
                <w:sz w:val="20"/>
                <w:szCs w:val="20"/>
              </w:rPr>
            </w:pPr>
            <w:r w:rsidRPr="009857DF">
              <w:rPr>
                <w:color w:val="000000"/>
                <w:sz w:val="20"/>
                <w:szCs w:val="20"/>
              </w:rPr>
              <w:t>2 000 000</w:t>
            </w:r>
          </w:p>
        </w:tc>
        <w:tc>
          <w:tcPr>
            <w:tcW w:w="1392" w:type="dxa"/>
            <w:shd w:val="clear" w:color="auto" w:fill="auto"/>
            <w:noWrap/>
          </w:tcPr>
          <w:p w14:paraId="21335A7E" w14:textId="77777777" w:rsidR="00EE1CF5" w:rsidRPr="009857DF" w:rsidRDefault="00EE1CF5" w:rsidP="00263AB1">
            <w:pPr>
              <w:ind w:firstLine="34"/>
              <w:jc w:val="center"/>
              <w:rPr>
                <w:color w:val="000000"/>
                <w:sz w:val="20"/>
                <w:szCs w:val="20"/>
              </w:rPr>
            </w:pPr>
            <w:r w:rsidRPr="009857DF">
              <w:rPr>
                <w:color w:val="000000"/>
                <w:sz w:val="20"/>
                <w:szCs w:val="20"/>
              </w:rPr>
              <w:t>2 000 000</w:t>
            </w:r>
          </w:p>
        </w:tc>
        <w:tc>
          <w:tcPr>
            <w:tcW w:w="1325" w:type="dxa"/>
          </w:tcPr>
          <w:p w14:paraId="4A2345C0" w14:textId="77777777" w:rsidR="00EE1CF5" w:rsidRPr="00E936FD" w:rsidRDefault="00EE1CF5" w:rsidP="00263AB1">
            <w:pPr>
              <w:ind w:firstLine="34"/>
              <w:jc w:val="center"/>
              <w:rPr>
                <w:color w:val="000000"/>
                <w:sz w:val="20"/>
                <w:szCs w:val="20"/>
              </w:rPr>
            </w:pPr>
            <w:r w:rsidRPr="009857DF">
              <w:rPr>
                <w:color w:val="000000"/>
                <w:sz w:val="20"/>
                <w:szCs w:val="20"/>
              </w:rPr>
              <w:t>2 000 000</w:t>
            </w:r>
          </w:p>
        </w:tc>
        <w:tc>
          <w:tcPr>
            <w:tcW w:w="1771" w:type="dxa"/>
            <w:tcBorders>
              <w:right w:val="single" w:sz="4" w:space="0" w:color="auto"/>
            </w:tcBorders>
            <w:shd w:val="clear" w:color="auto" w:fill="auto"/>
            <w:noWrap/>
          </w:tcPr>
          <w:p w14:paraId="4637B682" w14:textId="77777777" w:rsidR="00EE1CF5" w:rsidRPr="009857DF" w:rsidRDefault="00EE1CF5" w:rsidP="00263AB1">
            <w:pPr>
              <w:ind w:firstLine="34"/>
              <w:jc w:val="center"/>
              <w:rPr>
                <w:color w:val="000000"/>
                <w:sz w:val="20"/>
                <w:szCs w:val="20"/>
              </w:rPr>
            </w:pPr>
            <w:r w:rsidRPr="009857DF">
              <w:rPr>
                <w:color w:val="000000"/>
                <w:sz w:val="20"/>
                <w:szCs w:val="20"/>
              </w:rPr>
              <w:t>2 000 000</w:t>
            </w:r>
          </w:p>
        </w:tc>
        <w:tc>
          <w:tcPr>
            <w:tcW w:w="1325" w:type="dxa"/>
            <w:tcBorders>
              <w:right w:val="single" w:sz="4" w:space="0" w:color="auto"/>
            </w:tcBorders>
          </w:tcPr>
          <w:p w14:paraId="6261784F" w14:textId="77777777" w:rsidR="00EE1CF5" w:rsidRPr="00B42B2B" w:rsidRDefault="00EE1CF5" w:rsidP="00263AB1">
            <w:pPr>
              <w:ind w:firstLine="34"/>
              <w:jc w:val="center"/>
              <w:rPr>
                <w:color w:val="000000"/>
                <w:sz w:val="20"/>
                <w:szCs w:val="20"/>
              </w:rPr>
            </w:pPr>
            <w:r w:rsidRPr="00B42B2B">
              <w:rPr>
                <w:color w:val="000000"/>
                <w:sz w:val="20"/>
                <w:szCs w:val="20"/>
              </w:rPr>
              <w:t>2 000 000</w:t>
            </w:r>
          </w:p>
        </w:tc>
        <w:tc>
          <w:tcPr>
            <w:tcW w:w="1250" w:type="dxa"/>
            <w:tcBorders>
              <w:right w:val="single" w:sz="4" w:space="0" w:color="auto"/>
            </w:tcBorders>
          </w:tcPr>
          <w:p w14:paraId="50515BCB" w14:textId="77777777" w:rsidR="00EE1CF5" w:rsidRPr="00E936FD" w:rsidRDefault="00EE1CF5" w:rsidP="00263AB1">
            <w:pPr>
              <w:ind w:firstLine="34"/>
              <w:jc w:val="center"/>
              <w:rPr>
                <w:color w:val="000000"/>
                <w:sz w:val="20"/>
                <w:szCs w:val="20"/>
              </w:rPr>
            </w:pPr>
            <w:r w:rsidRPr="009857DF">
              <w:rPr>
                <w:color w:val="000000"/>
                <w:sz w:val="20"/>
                <w:szCs w:val="20"/>
              </w:rPr>
              <w:t>2 000 000</w:t>
            </w:r>
          </w:p>
        </w:tc>
      </w:tr>
      <w:tr w:rsidR="00EE1CF5" w14:paraId="4BCC6727" w14:textId="77777777" w:rsidTr="00263AB1">
        <w:trPr>
          <w:trHeight w:val="288"/>
          <w:jc w:val="center"/>
        </w:trPr>
        <w:tc>
          <w:tcPr>
            <w:tcW w:w="4813" w:type="dxa"/>
            <w:shd w:val="clear" w:color="auto" w:fill="auto"/>
            <w:noWrap/>
            <w:vAlign w:val="center"/>
            <w:hideMark/>
          </w:tcPr>
          <w:p w14:paraId="6DDAB120" w14:textId="77777777" w:rsidR="00EE1CF5" w:rsidRPr="00E936FD" w:rsidRDefault="00EE1CF5" w:rsidP="00263AB1">
            <w:pPr>
              <w:ind w:firstLine="34"/>
              <w:jc w:val="left"/>
              <w:rPr>
                <w:rFonts w:cs="Times New Roman"/>
                <w:sz w:val="20"/>
                <w:szCs w:val="20"/>
              </w:rPr>
            </w:pPr>
            <w:r w:rsidRPr="00E936FD">
              <w:rPr>
                <w:rFonts w:cs="Times New Roman"/>
                <w:sz w:val="20"/>
                <w:szCs w:val="20"/>
              </w:rPr>
              <w:t>tostarp komplekso risinājumu elektroenerģijas tirgū novirzāmā daļa</w:t>
            </w:r>
          </w:p>
        </w:tc>
        <w:tc>
          <w:tcPr>
            <w:tcW w:w="1434" w:type="dxa"/>
            <w:shd w:val="clear" w:color="auto" w:fill="auto"/>
            <w:noWrap/>
            <w:vAlign w:val="center"/>
            <w:hideMark/>
          </w:tcPr>
          <w:p w14:paraId="79C9FA67" w14:textId="77777777" w:rsidR="00EE1CF5" w:rsidRPr="00E936FD" w:rsidRDefault="00EE1CF5" w:rsidP="00263AB1">
            <w:pPr>
              <w:ind w:firstLine="34"/>
              <w:jc w:val="center"/>
              <w:rPr>
                <w:rFonts w:cs="Times New Roman"/>
                <w:sz w:val="20"/>
                <w:szCs w:val="20"/>
              </w:rPr>
            </w:pPr>
            <w:r>
              <w:rPr>
                <w:color w:val="000000"/>
                <w:sz w:val="20"/>
                <w:szCs w:val="20"/>
              </w:rPr>
              <w:t>35</w:t>
            </w:r>
            <w:r w:rsidRPr="00E936FD">
              <w:rPr>
                <w:color w:val="000000"/>
                <w:sz w:val="20"/>
                <w:szCs w:val="20"/>
              </w:rPr>
              <w:t xml:space="preserve"> 987 866</w:t>
            </w:r>
          </w:p>
        </w:tc>
        <w:tc>
          <w:tcPr>
            <w:tcW w:w="1250" w:type="dxa"/>
          </w:tcPr>
          <w:p w14:paraId="54984345" w14:textId="77777777" w:rsidR="00EE1CF5" w:rsidRDefault="00EE1CF5" w:rsidP="00263AB1">
            <w:pPr>
              <w:ind w:firstLine="34"/>
              <w:jc w:val="center"/>
              <w:rPr>
                <w:color w:val="000000"/>
                <w:sz w:val="20"/>
                <w:szCs w:val="20"/>
              </w:rPr>
            </w:pPr>
            <w:r w:rsidRPr="009857DF">
              <w:rPr>
                <w:color w:val="000000"/>
                <w:sz w:val="20"/>
                <w:szCs w:val="20"/>
              </w:rPr>
              <w:t>91 428 043</w:t>
            </w:r>
          </w:p>
        </w:tc>
        <w:tc>
          <w:tcPr>
            <w:tcW w:w="1392" w:type="dxa"/>
            <w:shd w:val="clear" w:color="auto" w:fill="auto"/>
            <w:noWrap/>
            <w:hideMark/>
          </w:tcPr>
          <w:p w14:paraId="70597FA9" w14:textId="77777777" w:rsidR="00EE1CF5" w:rsidRPr="009857DF" w:rsidRDefault="00EE1CF5" w:rsidP="00263AB1">
            <w:pPr>
              <w:ind w:firstLine="34"/>
              <w:jc w:val="center"/>
              <w:rPr>
                <w:color w:val="000000"/>
                <w:sz w:val="20"/>
                <w:szCs w:val="20"/>
              </w:rPr>
            </w:pPr>
            <w:r w:rsidRPr="009857DF">
              <w:rPr>
                <w:color w:val="000000"/>
                <w:sz w:val="20"/>
                <w:szCs w:val="20"/>
              </w:rPr>
              <w:t>47 406 416</w:t>
            </w:r>
          </w:p>
        </w:tc>
        <w:tc>
          <w:tcPr>
            <w:tcW w:w="1325" w:type="dxa"/>
            <w:vAlign w:val="center"/>
          </w:tcPr>
          <w:p w14:paraId="34836F2E" w14:textId="77777777" w:rsidR="00EE1CF5" w:rsidRPr="00E936FD" w:rsidRDefault="00EE1CF5" w:rsidP="00263AB1">
            <w:pPr>
              <w:rPr>
                <w:color w:val="000000"/>
                <w:sz w:val="20"/>
                <w:szCs w:val="20"/>
              </w:rPr>
            </w:pPr>
            <w:r>
              <w:rPr>
                <w:color w:val="000000"/>
                <w:sz w:val="20"/>
                <w:szCs w:val="20"/>
              </w:rPr>
              <w:t>62 370 221</w:t>
            </w:r>
          </w:p>
        </w:tc>
        <w:tc>
          <w:tcPr>
            <w:tcW w:w="1771" w:type="dxa"/>
            <w:tcBorders>
              <w:right w:val="single" w:sz="4" w:space="0" w:color="auto"/>
            </w:tcBorders>
            <w:shd w:val="clear" w:color="auto" w:fill="auto"/>
            <w:noWrap/>
            <w:hideMark/>
          </w:tcPr>
          <w:p w14:paraId="314D0A0F" w14:textId="77777777" w:rsidR="00EE1CF5" w:rsidRPr="009857DF" w:rsidRDefault="00EE1CF5" w:rsidP="00263AB1">
            <w:pPr>
              <w:ind w:firstLine="34"/>
              <w:jc w:val="center"/>
              <w:rPr>
                <w:color w:val="000000"/>
                <w:sz w:val="20"/>
                <w:szCs w:val="20"/>
              </w:rPr>
            </w:pPr>
            <w:r w:rsidRPr="009857DF">
              <w:rPr>
                <w:color w:val="000000"/>
                <w:sz w:val="20"/>
                <w:szCs w:val="20"/>
              </w:rPr>
              <w:t>51 684 672</w:t>
            </w:r>
          </w:p>
        </w:tc>
        <w:tc>
          <w:tcPr>
            <w:tcW w:w="1325" w:type="dxa"/>
            <w:tcBorders>
              <w:right w:val="single" w:sz="4" w:space="0" w:color="auto"/>
            </w:tcBorders>
            <w:vAlign w:val="center"/>
          </w:tcPr>
          <w:p w14:paraId="7387ACD3" w14:textId="77777777" w:rsidR="00EE1CF5" w:rsidRPr="00B42B2B" w:rsidRDefault="00EE1CF5" w:rsidP="00263AB1">
            <w:pPr>
              <w:ind w:firstLine="34"/>
              <w:jc w:val="center"/>
              <w:rPr>
                <w:color w:val="000000"/>
                <w:sz w:val="20"/>
                <w:szCs w:val="20"/>
              </w:rPr>
            </w:pPr>
            <w:r>
              <w:rPr>
                <w:color w:val="000000"/>
                <w:sz w:val="20"/>
                <w:szCs w:val="20"/>
              </w:rPr>
              <w:t>37 970 221</w:t>
            </w:r>
          </w:p>
        </w:tc>
        <w:tc>
          <w:tcPr>
            <w:tcW w:w="1250" w:type="dxa"/>
            <w:tcBorders>
              <w:right w:val="single" w:sz="4" w:space="0" w:color="auto"/>
            </w:tcBorders>
            <w:vAlign w:val="center"/>
          </w:tcPr>
          <w:p w14:paraId="36FE1084" w14:textId="77777777" w:rsidR="00EE1CF5" w:rsidRPr="009857DF" w:rsidRDefault="00EE1CF5" w:rsidP="00263AB1">
            <w:pPr>
              <w:ind w:firstLine="34"/>
              <w:jc w:val="center"/>
              <w:rPr>
                <w:color w:val="000000"/>
                <w:sz w:val="20"/>
                <w:szCs w:val="20"/>
              </w:rPr>
            </w:pPr>
            <w:r>
              <w:rPr>
                <w:color w:val="000000"/>
                <w:sz w:val="20"/>
                <w:szCs w:val="20"/>
              </w:rPr>
              <w:t>37 970 221</w:t>
            </w:r>
          </w:p>
        </w:tc>
      </w:tr>
      <w:tr w:rsidR="00EE1CF5" w14:paraId="630B046C" w14:textId="77777777" w:rsidTr="00263AB1">
        <w:trPr>
          <w:trHeight w:val="288"/>
          <w:jc w:val="center"/>
        </w:trPr>
        <w:tc>
          <w:tcPr>
            <w:tcW w:w="4813" w:type="dxa"/>
            <w:shd w:val="clear" w:color="auto" w:fill="auto"/>
            <w:noWrap/>
            <w:vAlign w:val="center"/>
            <w:hideMark/>
          </w:tcPr>
          <w:p w14:paraId="7B9E1CC7" w14:textId="77777777" w:rsidR="00EE1CF5" w:rsidRPr="00E936FD" w:rsidRDefault="00EE1CF5" w:rsidP="00263AB1">
            <w:pPr>
              <w:ind w:firstLine="34"/>
              <w:jc w:val="left"/>
              <w:rPr>
                <w:rFonts w:cs="Times New Roman"/>
                <w:sz w:val="20"/>
                <w:szCs w:val="20"/>
              </w:rPr>
            </w:pPr>
            <w:r w:rsidRPr="00E936FD">
              <w:rPr>
                <w:rFonts w:cs="Times New Roman"/>
                <w:sz w:val="20"/>
                <w:szCs w:val="20"/>
              </w:rPr>
              <w:t>tostarp pārējās budžeta vajadzības</w:t>
            </w:r>
          </w:p>
        </w:tc>
        <w:tc>
          <w:tcPr>
            <w:tcW w:w="1434" w:type="dxa"/>
            <w:shd w:val="clear" w:color="auto" w:fill="auto"/>
            <w:noWrap/>
            <w:vAlign w:val="center"/>
            <w:hideMark/>
          </w:tcPr>
          <w:p w14:paraId="7BC307C8" w14:textId="77777777" w:rsidR="00EE1CF5" w:rsidRPr="00E936FD" w:rsidRDefault="00EE1CF5" w:rsidP="00263AB1">
            <w:pPr>
              <w:ind w:firstLine="34"/>
              <w:jc w:val="center"/>
              <w:rPr>
                <w:rFonts w:cs="Times New Roman"/>
                <w:sz w:val="20"/>
                <w:szCs w:val="20"/>
              </w:rPr>
            </w:pPr>
            <w:r w:rsidRPr="00E936FD">
              <w:rPr>
                <w:color w:val="000000"/>
                <w:sz w:val="20"/>
                <w:szCs w:val="20"/>
              </w:rPr>
              <w:t>5</w:t>
            </w:r>
            <w:r>
              <w:rPr>
                <w:color w:val="000000"/>
                <w:sz w:val="20"/>
                <w:szCs w:val="20"/>
              </w:rPr>
              <w:t>6</w:t>
            </w:r>
            <w:r w:rsidRPr="00E936FD">
              <w:rPr>
                <w:color w:val="000000"/>
                <w:sz w:val="20"/>
                <w:szCs w:val="20"/>
              </w:rPr>
              <w:t xml:space="preserve"> 230 000</w:t>
            </w:r>
          </w:p>
        </w:tc>
        <w:tc>
          <w:tcPr>
            <w:tcW w:w="1250" w:type="dxa"/>
          </w:tcPr>
          <w:p w14:paraId="040E8FDA" w14:textId="77777777" w:rsidR="00EE1CF5" w:rsidRPr="00E936FD" w:rsidRDefault="00EE1CF5" w:rsidP="00263AB1">
            <w:pPr>
              <w:ind w:firstLine="34"/>
              <w:jc w:val="center"/>
              <w:rPr>
                <w:color w:val="000000"/>
                <w:sz w:val="20"/>
                <w:szCs w:val="20"/>
              </w:rPr>
            </w:pPr>
            <w:r w:rsidRPr="009857DF">
              <w:rPr>
                <w:color w:val="000000"/>
                <w:sz w:val="20"/>
                <w:szCs w:val="20"/>
              </w:rPr>
              <w:t>62 989 823</w:t>
            </w:r>
          </w:p>
        </w:tc>
        <w:tc>
          <w:tcPr>
            <w:tcW w:w="1392" w:type="dxa"/>
            <w:shd w:val="clear" w:color="auto" w:fill="auto"/>
            <w:noWrap/>
            <w:hideMark/>
          </w:tcPr>
          <w:p w14:paraId="3DB14BFA" w14:textId="77777777" w:rsidR="00EE1CF5" w:rsidRPr="009857DF" w:rsidRDefault="00EE1CF5" w:rsidP="00263AB1">
            <w:pPr>
              <w:ind w:firstLine="34"/>
              <w:jc w:val="center"/>
              <w:rPr>
                <w:color w:val="000000"/>
                <w:sz w:val="20"/>
                <w:szCs w:val="20"/>
              </w:rPr>
            </w:pPr>
            <w:r w:rsidRPr="009857DF">
              <w:rPr>
                <w:color w:val="000000"/>
                <w:sz w:val="20"/>
                <w:szCs w:val="20"/>
              </w:rPr>
              <w:t>83 530 000</w:t>
            </w:r>
          </w:p>
        </w:tc>
        <w:tc>
          <w:tcPr>
            <w:tcW w:w="1325" w:type="dxa"/>
            <w:vAlign w:val="center"/>
          </w:tcPr>
          <w:p w14:paraId="55BC8EFC" w14:textId="77777777" w:rsidR="00EE1CF5" w:rsidRDefault="00EE1CF5" w:rsidP="00263AB1">
            <w:pPr>
              <w:ind w:firstLine="34"/>
              <w:jc w:val="center"/>
              <w:rPr>
                <w:color w:val="000000"/>
                <w:sz w:val="20"/>
                <w:szCs w:val="20"/>
              </w:rPr>
            </w:pPr>
            <w:r>
              <w:rPr>
                <w:color w:val="000000"/>
                <w:sz w:val="20"/>
                <w:szCs w:val="20"/>
              </w:rPr>
              <w:t>58 029 779</w:t>
            </w:r>
          </w:p>
        </w:tc>
        <w:tc>
          <w:tcPr>
            <w:tcW w:w="1771" w:type="dxa"/>
            <w:tcBorders>
              <w:right w:val="single" w:sz="4" w:space="0" w:color="auto"/>
            </w:tcBorders>
            <w:shd w:val="clear" w:color="auto" w:fill="auto"/>
            <w:noWrap/>
            <w:hideMark/>
          </w:tcPr>
          <w:p w14:paraId="3DC6393B" w14:textId="77777777" w:rsidR="00EE1CF5" w:rsidRPr="009857DF" w:rsidRDefault="00EE1CF5" w:rsidP="00263AB1">
            <w:pPr>
              <w:ind w:firstLine="34"/>
              <w:jc w:val="center"/>
              <w:rPr>
                <w:color w:val="000000"/>
                <w:sz w:val="20"/>
                <w:szCs w:val="20"/>
              </w:rPr>
            </w:pPr>
            <w:r w:rsidRPr="009857DF">
              <w:rPr>
                <w:color w:val="000000"/>
                <w:sz w:val="20"/>
                <w:szCs w:val="20"/>
              </w:rPr>
              <w:t>73 386 059</w:t>
            </w:r>
          </w:p>
        </w:tc>
        <w:tc>
          <w:tcPr>
            <w:tcW w:w="1325" w:type="dxa"/>
            <w:tcBorders>
              <w:right w:val="single" w:sz="4" w:space="0" w:color="auto"/>
            </w:tcBorders>
            <w:vAlign w:val="center"/>
          </w:tcPr>
          <w:p w14:paraId="788E648C" w14:textId="77777777" w:rsidR="00EE1CF5" w:rsidRPr="00B42B2B" w:rsidRDefault="00EE1CF5" w:rsidP="00263AB1">
            <w:pPr>
              <w:ind w:firstLine="34"/>
              <w:jc w:val="center"/>
              <w:rPr>
                <w:color w:val="000000"/>
                <w:sz w:val="20"/>
                <w:szCs w:val="20"/>
              </w:rPr>
            </w:pPr>
            <w:r>
              <w:rPr>
                <w:color w:val="000000"/>
                <w:sz w:val="20"/>
                <w:szCs w:val="20"/>
              </w:rPr>
              <w:t>79 829 779</w:t>
            </w:r>
          </w:p>
        </w:tc>
        <w:tc>
          <w:tcPr>
            <w:tcW w:w="1250" w:type="dxa"/>
            <w:tcBorders>
              <w:right w:val="single" w:sz="4" w:space="0" w:color="auto"/>
            </w:tcBorders>
            <w:vAlign w:val="center"/>
          </w:tcPr>
          <w:p w14:paraId="09B44014" w14:textId="77777777" w:rsidR="00EE1CF5" w:rsidRPr="009857DF" w:rsidRDefault="00EE1CF5" w:rsidP="00263AB1">
            <w:pPr>
              <w:ind w:firstLine="34"/>
              <w:jc w:val="center"/>
              <w:rPr>
                <w:color w:val="000000"/>
                <w:sz w:val="20"/>
                <w:szCs w:val="20"/>
              </w:rPr>
            </w:pPr>
            <w:r>
              <w:rPr>
                <w:color w:val="000000"/>
                <w:sz w:val="20"/>
                <w:szCs w:val="20"/>
              </w:rPr>
              <w:t>64 229 779</w:t>
            </w:r>
          </w:p>
        </w:tc>
      </w:tr>
    </w:tbl>
    <w:p w14:paraId="38B5962D" w14:textId="77777777" w:rsidR="00EE1CF5" w:rsidRPr="00724971" w:rsidRDefault="00EE1CF5" w:rsidP="00EE1CF5"/>
    <w:p w14:paraId="294F0840" w14:textId="77777777" w:rsidR="00EE1CF5" w:rsidRPr="00784E62" w:rsidRDefault="00EE1CF5" w:rsidP="00EE1CF5">
      <w:pPr>
        <w:pStyle w:val="Caption"/>
        <w:keepNext/>
        <w:spacing w:line="240" w:lineRule="auto"/>
        <w:jc w:val="right"/>
        <w:rPr>
          <w:rFonts w:ascii="Times New Roman" w:hAnsi="Times New Roman"/>
          <w:b w:val="0"/>
          <w:i/>
          <w:sz w:val="24"/>
          <w:szCs w:val="24"/>
        </w:rPr>
      </w:pPr>
      <w:r w:rsidRPr="00784E62">
        <w:rPr>
          <w:rFonts w:ascii="Times New Roman" w:hAnsi="Times New Roman"/>
          <w:b w:val="0"/>
          <w:i/>
          <w:sz w:val="24"/>
          <w:szCs w:val="24"/>
        </w:rPr>
        <w:t>23.tabula</w:t>
      </w:r>
    </w:p>
    <w:p w14:paraId="57FC592A" w14:textId="77777777" w:rsidR="00EE1CF5" w:rsidRDefault="00EE1CF5" w:rsidP="00EE1CF5">
      <w:pPr>
        <w:pStyle w:val="Caption"/>
        <w:keepNext/>
        <w:keepLines/>
        <w:widowControl/>
        <w:jc w:val="center"/>
      </w:pPr>
      <w:r w:rsidRPr="00E936FD">
        <w:rPr>
          <w:rFonts w:ascii="Times New Roman" w:hAnsi="Times New Roman"/>
          <w:sz w:val="24"/>
          <w:szCs w:val="24"/>
        </w:rPr>
        <w:t>Valsts budžetā paredzamais finansējums kompleksā risinājuma īstenošanai pēc naudas plūsmas metodes, EUR</w:t>
      </w:r>
    </w:p>
    <w:tbl>
      <w:tblPr>
        <w:tblW w:w="12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9"/>
        <w:gridCol w:w="1402"/>
        <w:gridCol w:w="1903"/>
        <w:gridCol w:w="1396"/>
        <w:gridCol w:w="1396"/>
        <w:gridCol w:w="1150"/>
      </w:tblGrid>
      <w:tr w:rsidR="00EE1CF5" w14:paraId="506F9634" w14:textId="77777777" w:rsidTr="00263AB1">
        <w:trPr>
          <w:trHeight w:val="288"/>
          <w:jc w:val="center"/>
        </w:trPr>
        <w:tc>
          <w:tcPr>
            <w:tcW w:w="5399" w:type="dxa"/>
            <w:shd w:val="clear" w:color="auto" w:fill="auto"/>
            <w:noWrap/>
            <w:vAlign w:val="bottom"/>
            <w:hideMark/>
          </w:tcPr>
          <w:p w14:paraId="06F578E7" w14:textId="77777777" w:rsidR="00EE1CF5" w:rsidRPr="00E936FD" w:rsidRDefault="00EE1CF5" w:rsidP="00263AB1">
            <w:pPr>
              <w:ind w:firstLine="34"/>
              <w:rPr>
                <w:rFonts w:cs="Times New Roman"/>
                <w:sz w:val="20"/>
                <w:szCs w:val="20"/>
              </w:rPr>
            </w:pPr>
          </w:p>
        </w:tc>
        <w:tc>
          <w:tcPr>
            <w:tcW w:w="3305" w:type="dxa"/>
            <w:gridSpan w:val="2"/>
            <w:shd w:val="clear" w:color="auto" w:fill="auto"/>
            <w:noWrap/>
            <w:vAlign w:val="center"/>
            <w:hideMark/>
          </w:tcPr>
          <w:p w14:paraId="122BE4D4"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2019</w:t>
            </w:r>
          </w:p>
        </w:tc>
        <w:tc>
          <w:tcPr>
            <w:tcW w:w="2792" w:type="dxa"/>
            <w:gridSpan w:val="2"/>
            <w:tcBorders>
              <w:right w:val="single" w:sz="4" w:space="0" w:color="auto"/>
            </w:tcBorders>
            <w:shd w:val="clear" w:color="auto" w:fill="auto"/>
            <w:noWrap/>
            <w:vAlign w:val="center"/>
            <w:hideMark/>
          </w:tcPr>
          <w:p w14:paraId="38F64141"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2020</w:t>
            </w:r>
          </w:p>
        </w:tc>
        <w:tc>
          <w:tcPr>
            <w:tcW w:w="1150" w:type="dxa"/>
            <w:tcBorders>
              <w:right w:val="single" w:sz="4" w:space="0" w:color="auto"/>
            </w:tcBorders>
          </w:tcPr>
          <w:p w14:paraId="5A3222D8" w14:textId="77777777" w:rsidR="00EE1CF5" w:rsidRPr="00E936FD" w:rsidRDefault="00EE1CF5" w:rsidP="00263AB1">
            <w:pPr>
              <w:ind w:firstLine="34"/>
              <w:jc w:val="center"/>
              <w:rPr>
                <w:rFonts w:cs="Times New Roman"/>
                <w:b/>
                <w:bCs/>
                <w:sz w:val="20"/>
                <w:szCs w:val="20"/>
              </w:rPr>
            </w:pPr>
            <w:r>
              <w:rPr>
                <w:rFonts w:cs="Times New Roman"/>
                <w:b/>
                <w:bCs/>
                <w:sz w:val="20"/>
                <w:szCs w:val="20"/>
              </w:rPr>
              <w:t>2021</w:t>
            </w:r>
          </w:p>
        </w:tc>
      </w:tr>
      <w:tr w:rsidR="00EE1CF5" w14:paraId="6EECAEF6" w14:textId="77777777" w:rsidTr="00263AB1">
        <w:trPr>
          <w:trHeight w:val="288"/>
          <w:jc w:val="center"/>
        </w:trPr>
        <w:tc>
          <w:tcPr>
            <w:tcW w:w="5399" w:type="dxa"/>
            <w:shd w:val="clear" w:color="auto" w:fill="auto"/>
            <w:noWrap/>
            <w:vAlign w:val="center"/>
          </w:tcPr>
          <w:p w14:paraId="63E22BA5" w14:textId="77777777" w:rsidR="00EE1CF5" w:rsidRPr="00E936FD" w:rsidRDefault="00EE1CF5" w:rsidP="00263AB1">
            <w:pPr>
              <w:ind w:firstLine="34"/>
              <w:rPr>
                <w:rFonts w:cs="Times New Roman"/>
                <w:bCs/>
                <w:sz w:val="20"/>
                <w:szCs w:val="20"/>
              </w:rPr>
            </w:pPr>
          </w:p>
        </w:tc>
        <w:tc>
          <w:tcPr>
            <w:tcW w:w="1402" w:type="dxa"/>
            <w:shd w:val="clear" w:color="auto" w:fill="auto"/>
            <w:noWrap/>
            <w:vAlign w:val="center"/>
          </w:tcPr>
          <w:p w14:paraId="76B14236" w14:textId="77777777" w:rsidR="00EE1CF5" w:rsidRDefault="00EE1CF5" w:rsidP="00263AB1">
            <w:pPr>
              <w:ind w:firstLine="34"/>
              <w:jc w:val="center"/>
              <w:rPr>
                <w:sz w:val="20"/>
                <w:szCs w:val="20"/>
              </w:rPr>
            </w:pPr>
            <w:r>
              <w:rPr>
                <w:sz w:val="20"/>
                <w:szCs w:val="20"/>
              </w:rPr>
              <w:t>2017. gada prognoze</w:t>
            </w:r>
          </w:p>
        </w:tc>
        <w:tc>
          <w:tcPr>
            <w:tcW w:w="1903" w:type="dxa"/>
          </w:tcPr>
          <w:p w14:paraId="094619B1" w14:textId="77777777" w:rsidR="00EE1CF5" w:rsidRDefault="00EE1CF5" w:rsidP="00263AB1">
            <w:pPr>
              <w:ind w:firstLine="34"/>
              <w:jc w:val="center"/>
              <w:rPr>
                <w:color w:val="000000" w:themeColor="text1"/>
                <w:sz w:val="20"/>
                <w:szCs w:val="20"/>
              </w:rPr>
            </w:pPr>
            <w:r>
              <w:rPr>
                <w:color w:val="000000" w:themeColor="text1"/>
                <w:sz w:val="20"/>
                <w:szCs w:val="20"/>
              </w:rPr>
              <w:t>Prognoze</w:t>
            </w:r>
          </w:p>
        </w:tc>
        <w:tc>
          <w:tcPr>
            <w:tcW w:w="1396" w:type="dxa"/>
            <w:tcBorders>
              <w:right w:val="single" w:sz="4" w:space="0" w:color="auto"/>
            </w:tcBorders>
            <w:shd w:val="clear" w:color="auto" w:fill="auto"/>
            <w:noWrap/>
            <w:vAlign w:val="center"/>
          </w:tcPr>
          <w:p w14:paraId="61544961" w14:textId="77777777" w:rsidR="00EE1CF5" w:rsidRPr="008E50DC" w:rsidRDefault="00EE1CF5" w:rsidP="00263AB1">
            <w:pPr>
              <w:ind w:firstLine="34"/>
              <w:jc w:val="center"/>
              <w:rPr>
                <w:color w:val="000000" w:themeColor="text1"/>
                <w:sz w:val="20"/>
                <w:szCs w:val="20"/>
              </w:rPr>
            </w:pPr>
            <w:r w:rsidRPr="008E50DC">
              <w:rPr>
                <w:sz w:val="20"/>
                <w:szCs w:val="20"/>
              </w:rPr>
              <w:t>2017. gada prognoze</w:t>
            </w:r>
          </w:p>
        </w:tc>
        <w:tc>
          <w:tcPr>
            <w:tcW w:w="1396" w:type="dxa"/>
            <w:tcBorders>
              <w:right w:val="single" w:sz="4" w:space="0" w:color="auto"/>
            </w:tcBorders>
          </w:tcPr>
          <w:p w14:paraId="79900346" w14:textId="77777777" w:rsidR="00EE1CF5" w:rsidRPr="008E50DC" w:rsidRDefault="00EE1CF5" w:rsidP="00263AB1">
            <w:pPr>
              <w:ind w:firstLine="34"/>
              <w:jc w:val="center"/>
              <w:rPr>
                <w:color w:val="000000" w:themeColor="text1"/>
                <w:sz w:val="20"/>
                <w:szCs w:val="20"/>
              </w:rPr>
            </w:pPr>
            <w:r w:rsidRPr="008E50DC">
              <w:rPr>
                <w:color w:val="000000" w:themeColor="text1"/>
                <w:sz w:val="20"/>
                <w:szCs w:val="20"/>
              </w:rPr>
              <w:t>Prognoze</w:t>
            </w:r>
          </w:p>
        </w:tc>
        <w:tc>
          <w:tcPr>
            <w:tcW w:w="1150" w:type="dxa"/>
            <w:tcBorders>
              <w:right w:val="single" w:sz="4" w:space="0" w:color="auto"/>
            </w:tcBorders>
          </w:tcPr>
          <w:p w14:paraId="24DA89FF" w14:textId="77777777" w:rsidR="00EE1CF5" w:rsidRPr="008E50DC" w:rsidRDefault="00EE1CF5" w:rsidP="00263AB1">
            <w:pPr>
              <w:ind w:firstLine="34"/>
              <w:jc w:val="center"/>
              <w:rPr>
                <w:color w:val="000000" w:themeColor="text1"/>
                <w:sz w:val="20"/>
                <w:szCs w:val="20"/>
              </w:rPr>
            </w:pPr>
            <w:r w:rsidRPr="008E50DC">
              <w:rPr>
                <w:color w:val="000000" w:themeColor="text1"/>
                <w:sz w:val="20"/>
                <w:szCs w:val="20"/>
              </w:rPr>
              <w:t>Prognoze</w:t>
            </w:r>
          </w:p>
        </w:tc>
      </w:tr>
      <w:tr w:rsidR="00EE1CF5" w14:paraId="1AC523F1" w14:textId="77777777" w:rsidTr="00263AB1">
        <w:trPr>
          <w:trHeight w:val="288"/>
          <w:jc w:val="center"/>
        </w:trPr>
        <w:tc>
          <w:tcPr>
            <w:tcW w:w="5399" w:type="dxa"/>
            <w:shd w:val="clear" w:color="auto" w:fill="auto"/>
            <w:noWrap/>
            <w:vAlign w:val="center"/>
            <w:hideMark/>
          </w:tcPr>
          <w:p w14:paraId="0900FD78" w14:textId="77777777" w:rsidR="00EE1CF5" w:rsidRPr="00E936FD" w:rsidRDefault="00EE1CF5" w:rsidP="00263AB1">
            <w:pPr>
              <w:ind w:firstLine="34"/>
              <w:rPr>
                <w:rFonts w:cs="Times New Roman"/>
                <w:bCs/>
                <w:sz w:val="20"/>
                <w:szCs w:val="20"/>
              </w:rPr>
            </w:pPr>
            <w:r w:rsidRPr="00E936FD">
              <w:rPr>
                <w:rFonts w:cs="Times New Roman"/>
                <w:bCs/>
                <w:sz w:val="20"/>
                <w:szCs w:val="20"/>
              </w:rPr>
              <w:t>Finansējums OIK apmēra mazināšanai, t.sk. administrēšanas vajadzībām</w:t>
            </w:r>
          </w:p>
        </w:tc>
        <w:tc>
          <w:tcPr>
            <w:tcW w:w="1402" w:type="dxa"/>
            <w:shd w:val="clear" w:color="auto" w:fill="auto"/>
            <w:noWrap/>
            <w:vAlign w:val="center"/>
            <w:hideMark/>
          </w:tcPr>
          <w:p w14:paraId="06089FDE" w14:textId="77777777" w:rsidR="00EE1CF5" w:rsidRPr="00CD623C" w:rsidRDefault="00EE1CF5" w:rsidP="00263AB1">
            <w:pPr>
              <w:ind w:firstLine="34"/>
              <w:jc w:val="center"/>
              <w:rPr>
                <w:color w:val="000000"/>
                <w:sz w:val="20"/>
                <w:szCs w:val="20"/>
              </w:rPr>
            </w:pPr>
            <w:r w:rsidRPr="00CD623C">
              <w:rPr>
                <w:color w:val="000000"/>
                <w:sz w:val="20"/>
                <w:szCs w:val="20"/>
              </w:rPr>
              <w:t>9 085 684</w:t>
            </w:r>
          </w:p>
        </w:tc>
        <w:tc>
          <w:tcPr>
            <w:tcW w:w="1903" w:type="dxa"/>
            <w:vAlign w:val="center"/>
          </w:tcPr>
          <w:p w14:paraId="13E9AEC4" w14:textId="77777777" w:rsidR="00EE1CF5" w:rsidRPr="005748C6" w:rsidRDefault="00EE1CF5" w:rsidP="00263AB1">
            <w:pPr>
              <w:jc w:val="center"/>
              <w:rPr>
                <w:color w:val="000000"/>
                <w:sz w:val="20"/>
                <w:szCs w:val="20"/>
              </w:rPr>
            </w:pPr>
            <w:r>
              <w:rPr>
                <w:color w:val="000000"/>
                <w:sz w:val="20"/>
                <w:szCs w:val="20"/>
              </w:rPr>
              <w:t>8 463 215</w:t>
            </w:r>
            <w:r>
              <w:rPr>
                <w:color w:val="000000"/>
                <w:sz w:val="20"/>
                <w:szCs w:val="20"/>
                <w:vertAlign w:val="superscript"/>
              </w:rPr>
              <w:t>35</w:t>
            </w:r>
          </w:p>
        </w:tc>
        <w:tc>
          <w:tcPr>
            <w:tcW w:w="1396" w:type="dxa"/>
            <w:tcBorders>
              <w:right w:val="single" w:sz="4" w:space="0" w:color="auto"/>
            </w:tcBorders>
            <w:shd w:val="clear" w:color="auto" w:fill="auto"/>
            <w:noWrap/>
            <w:vAlign w:val="center"/>
            <w:hideMark/>
          </w:tcPr>
          <w:p w14:paraId="06E241A4" w14:textId="77777777" w:rsidR="00EE1CF5" w:rsidRPr="008E50DC" w:rsidRDefault="00EE1CF5" w:rsidP="00263AB1">
            <w:pPr>
              <w:ind w:firstLine="34"/>
              <w:jc w:val="center"/>
              <w:rPr>
                <w:color w:val="000000"/>
                <w:sz w:val="20"/>
                <w:szCs w:val="20"/>
              </w:rPr>
            </w:pPr>
            <w:r w:rsidRPr="008E50DC">
              <w:rPr>
                <w:color w:val="000000" w:themeColor="text1"/>
                <w:sz w:val="20"/>
                <w:szCs w:val="20"/>
              </w:rPr>
              <w:t>9 683 389</w:t>
            </w:r>
          </w:p>
        </w:tc>
        <w:tc>
          <w:tcPr>
            <w:tcW w:w="1396" w:type="dxa"/>
            <w:tcBorders>
              <w:right w:val="single" w:sz="4" w:space="0" w:color="auto"/>
            </w:tcBorders>
            <w:vAlign w:val="center"/>
          </w:tcPr>
          <w:p w14:paraId="30FCD90A" w14:textId="77777777" w:rsidR="00EE1CF5" w:rsidRPr="003D6696" w:rsidRDefault="00EE1CF5" w:rsidP="00263AB1">
            <w:pPr>
              <w:ind w:firstLine="34"/>
              <w:jc w:val="center"/>
              <w:rPr>
                <w:color w:val="000000"/>
                <w:sz w:val="20"/>
                <w:szCs w:val="20"/>
              </w:rPr>
            </w:pPr>
            <w:r w:rsidRPr="003D6696">
              <w:rPr>
                <w:color w:val="000000"/>
                <w:sz w:val="20"/>
                <w:szCs w:val="20"/>
              </w:rPr>
              <w:t>61 063 215</w:t>
            </w:r>
          </w:p>
        </w:tc>
        <w:tc>
          <w:tcPr>
            <w:tcW w:w="1150" w:type="dxa"/>
            <w:tcBorders>
              <w:right w:val="single" w:sz="4" w:space="0" w:color="auto"/>
            </w:tcBorders>
            <w:vAlign w:val="center"/>
          </w:tcPr>
          <w:p w14:paraId="6F1F31C4" w14:textId="77777777" w:rsidR="00EE1CF5" w:rsidRPr="008E50DC" w:rsidRDefault="00EE1CF5" w:rsidP="00263AB1">
            <w:pPr>
              <w:ind w:firstLine="34"/>
              <w:jc w:val="center"/>
              <w:rPr>
                <w:color w:val="000000"/>
                <w:sz w:val="20"/>
                <w:szCs w:val="20"/>
              </w:rPr>
            </w:pPr>
            <w:r>
              <w:rPr>
                <w:color w:val="000000"/>
                <w:sz w:val="20"/>
                <w:szCs w:val="20"/>
              </w:rPr>
              <w:t>30 963 215</w:t>
            </w:r>
          </w:p>
        </w:tc>
      </w:tr>
      <w:tr w:rsidR="00EE1CF5" w14:paraId="1511F5CF" w14:textId="77777777" w:rsidTr="00263AB1">
        <w:trPr>
          <w:trHeight w:val="288"/>
          <w:jc w:val="center"/>
        </w:trPr>
        <w:tc>
          <w:tcPr>
            <w:tcW w:w="5399" w:type="dxa"/>
            <w:shd w:val="clear" w:color="auto" w:fill="auto"/>
            <w:noWrap/>
            <w:vAlign w:val="center"/>
          </w:tcPr>
          <w:p w14:paraId="18009238" w14:textId="77777777" w:rsidR="00EE1CF5" w:rsidRPr="00E936FD" w:rsidRDefault="00EE1CF5" w:rsidP="00263AB1">
            <w:pPr>
              <w:ind w:firstLine="34"/>
              <w:jc w:val="left"/>
              <w:rPr>
                <w:rFonts w:cs="Times New Roman"/>
                <w:bCs/>
                <w:sz w:val="20"/>
                <w:szCs w:val="20"/>
              </w:rPr>
            </w:pPr>
            <w:r w:rsidRPr="00E936FD">
              <w:rPr>
                <w:rFonts w:cs="Times New Roman"/>
                <w:sz w:val="20"/>
                <w:szCs w:val="20"/>
              </w:rPr>
              <w:t>Energoietilpīgo uzņēmumu atbalsta finansēšana</w:t>
            </w:r>
          </w:p>
        </w:tc>
        <w:tc>
          <w:tcPr>
            <w:tcW w:w="1402" w:type="dxa"/>
            <w:shd w:val="clear" w:color="auto" w:fill="auto"/>
            <w:noWrap/>
            <w:vAlign w:val="center"/>
          </w:tcPr>
          <w:p w14:paraId="68F634A0"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3 370</w:t>
            </w:r>
            <w:r>
              <w:rPr>
                <w:color w:val="000000"/>
                <w:sz w:val="20"/>
                <w:szCs w:val="20"/>
              </w:rPr>
              <w:t> </w:t>
            </w:r>
            <w:r w:rsidRPr="00E936FD">
              <w:rPr>
                <w:color w:val="000000"/>
                <w:sz w:val="20"/>
                <w:szCs w:val="20"/>
              </w:rPr>
              <w:t>000</w:t>
            </w:r>
          </w:p>
        </w:tc>
        <w:tc>
          <w:tcPr>
            <w:tcW w:w="1903" w:type="dxa"/>
            <w:vAlign w:val="center"/>
          </w:tcPr>
          <w:p w14:paraId="484DC680" w14:textId="77777777" w:rsidR="00EE1CF5" w:rsidRPr="00E936FD" w:rsidRDefault="00EE1CF5" w:rsidP="00263AB1">
            <w:pPr>
              <w:ind w:firstLine="34"/>
              <w:jc w:val="center"/>
              <w:rPr>
                <w:color w:val="000000"/>
                <w:sz w:val="20"/>
                <w:szCs w:val="20"/>
              </w:rPr>
            </w:pPr>
            <w:r w:rsidRPr="004316BB">
              <w:rPr>
                <w:color w:val="000000"/>
                <w:sz w:val="20"/>
                <w:szCs w:val="20"/>
              </w:rPr>
              <w:t>7</w:t>
            </w:r>
            <w:r>
              <w:rPr>
                <w:color w:val="000000"/>
                <w:sz w:val="20"/>
                <w:szCs w:val="20"/>
              </w:rPr>
              <w:t> </w:t>
            </w:r>
            <w:r w:rsidRPr="004316BB">
              <w:rPr>
                <w:color w:val="000000"/>
                <w:sz w:val="20"/>
                <w:szCs w:val="20"/>
              </w:rPr>
              <w:t>000</w:t>
            </w:r>
            <w:r>
              <w:rPr>
                <w:color w:val="000000"/>
                <w:sz w:val="20"/>
                <w:szCs w:val="20"/>
              </w:rPr>
              <w:t> </w:t>
            </w:r>
            <w:r w:rsidRPr="004316BB">
              <w:rPr>
                <w:color w:val="000000"/>
                <w:sz w:val="20"/>
                <w:szCs w:val="20"/>
              </w:rPr>
              <w:t>000</w:t>
            </w:r>
          </w:p>
        </w:tc>
        <w:tc>
          <w:tcPr>
            <w:tcW w:w="1396" w:type="dxa"/>
            <w:tcBorders>
              <w:right w:val="single" w:sz="4" w:space="0" w:color="auto"/>
            </w:tcBorders>
            <w:shd w:val="clear" w:color="auto" w:fill="auto"/>
            <w:noWrap/>
            <w:vAlign w:val="center"/>
          </w:tcPr>
          <w:p w14:paraId="6AC4F750" w14:textId="77777777" w:rsidR="00EE1CF5" w:rsidRPr="008E50DC" w:rsidRDefault="00EE1CF5" w:rsidP="00263AB1">
            <w:pPr>
              <w:ind w:firstLine="34"/>
              <w:jc w:val="center"/>
              <w:rPr>
                <w:rFonts w:cs="Times New Roman"/>
                <w:bCs/>
                <w:color w:val="000000"/>
                <w:sz w:val="20"/>
                <w:szCs w:val="20"/>
              </w:rPr>
            </w:pPr>
            <w:r w:rsidRPr="008E50DC">
              <w:rPr>
                <w:color w:val="000000"/>
                <w:sz w:val="20"/>
                <w:szCs w:val="20"/>
              </w:rPr>
              <w:t>3 370 000</w:t>
            </w:r>
          </w:p>
        </w:tc>
        <w:tc>
          <w:tcPr>
            <w:tcW w:w="1396" w:type="dxa"/>
            <w:tcBorders>
              <w:right w:val="single" w:sz="4" w:space="0" w:color="auto"/>
            </w:tcBorders>
            <w:vAlign w:val="center"/>
          </w:tcPr>
          <w:p w14:paraId="21509799" w14:textId="77777777" w:rsidR="00EE1CF5" w:rsidRPr="003D6696" w:rsidRDefault="00EE1CF5" w:rsidP="00263AB1">
            <w:pPr>
              <w:ind w:firstLine="34"/>
              <w:jc w:val="center"/>
              <w:rPr>
                <w:color w:val="000000"/>
                <w:sz w:val="20"/>
                <w:szCs w:val="20"/>
              </w:rPr>
            </w:pPr>
            <w:r w:rsidRPr="003D6696">
              <w:rPr>
                <w:color w:val="000000"/>
                <w:sz w:val="20"/>
                <w:szCs w:val="20"/>
              </w:rPr>
              <w:t>7 000 000</w:t>
            </w:r>
          </w:p>
        </w:tc>
        <w:tc>
          <w:tcPr>
            <w:tcW w:w="1150" w:type="dxa"/>
            <w:tcBorders>
              <w:right w:val="single" w:sz="4" w:space="0" w:color="auto"/>
            </w:tcBorders>
            <w:vAlign w:val="center"/>
          </w:tcPr>
          <w:p w14:paraId="2BD492D6" w14:textId="77777777" w:rsidR="00EE1CF5" w:rsidRPr="008E50DC" w:rsidRDefault="00EE1CF5" w:rsidP="00263AB1">
            <w:pPr>
              <w:ind w:firstLine="34"/>
              <w:jc w:val="center"/>
              <w:rPr>
                <w:color w:val="000000"/>
                <w:sz w:val="20"/>
                <w:szCs w:val="20"/>
              </w:rPr>
            </w:pPr>
            <w:r>
              <w:rPr>
                <w:color w:val="000000"/>
                <w:sz w:val="20"/>
                <w:szCs w:val="20"/>
              </w:rPr>
              <w:t>7 000 000</w:t>
            </w:r>
          </w:p>
        </w:tc>
      </w:tr>
      <w:tr w:rsidR="00EE1CF5" w14:paraId="27E15466" w14:textId="77777777" w:rsidTr="00263AB1">
        <w:trPr>
          <w:trHeight w:val="288"/>
          <w:jc w:val="center"/>
        </w:trPr>
        <w:tc>
          <w:tcPr>
            <w:tcW w:w="5399" w:type="dxa"/>
            <w:shd w:val="clear" w:color="auto" w:fill="auto"/>
            <w:noWrap/>
            <w:vAlign w:val="center"/>
            <w:hideMark/>
          </w:tcPr>
          <w:p w14:paraId="6D0FC669" w14:textId="77777777" w:rsidR="00EE1CF5" w:rsidRPr="00E936FD" w:rsidRDefault="00EE1CF5" w:rsidP="00263AB1">
            <w:pPr>
              <w:ind w:firstLine="34"/>
              <w:jc w:val="left"/>
              <w:rPr>
                <w:rFonts w:cs="Times New Roman"/>
                <w:sz w:val="20"/>
                <w:szCs w:val="20"/>
              </w:rPr>
            </w:pPr>
            <w:r w:rsidRPr="00E936FD">
              <w:rPr>
                <w:rFonts w:cs="Times New Roman"/>
                <w:sz w:val="20"/>
                <w:szCs w:val="20"/>
              </w:rPr>
              <w:t>VPP enerģētikā finansēšana</w:t>
            </w:r>
          </w:p>
        </w:tc>
        <w:tc>
          <w:tcPr>
            <w:tcW w:w="1402" w:type="dxa"/>
            <w:shd w:val="clear" w:color="auto" w:fill="auto"/>
            <w:noWrap/>
            <w:vAlign w:val="center"/>
            <w:hideMark/>
          </w:tcPr>
          <w:p w14:paraId="113B9D8A"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903" w:type="dxa"/>
            <w:vAlign w:val="center"/>
          </w:tcPr>
          <w:p w14:paraId="3717601F" w14:textId="77777777" w:rsidR="00EE1CF5" w:rsidRPr="00E936FD" w:rsidRDefault="00EE1CF5" w:rsidP="00263AB1">
            <w:pPr>
              <w:ind w:firstLine="34"/>
              <w:jc w:val="center"/>
              <w:rPr>
                <w:color w:val="000000"/>
                <w:sz w:val="20"/>
                <w:szCs w:val="20"/>
              </w:rPr>
            </w:pPr>
            <w:r w:rsidRPr="004316BB">
              <w:rPr>
                <w:color w:val="000000"/>
                <w:sz w:val="20"/>
                <w:szCs w:val="20"/>
              </w:rPr>
              <w:t>2 000 000</w:t>
            </w:r>
          </w:p>
        </w:tc>
        <w:tc>
          <w:tcPr>
            <w:tcW w:w="1396" w:type="dxa"/>
            <w:tcBorders>
              <w:right w:val="single" w:sz="4" w:space="0" w:color="auto"/>
            </w:tcBorders>
            <w:shd w:val="clear" w:color="auto" w:fill="auto"/>
            <w:noWrap/>
            <w:vAlign w:val="center"/>
            <w:hideMark/>
          </w:tcPr>
          <w:p w14:paraId="16CF4674" w14:textId="77777777" w:rsidR="00EE1CF5" w:rsidRPr="008E50DC" w:rsidRDefault="00EE1CF5" w:rsidP="00263AB1">
            <w:pPr>
              <w:ind w:firstLine="34"/>
              <w:jc w:val="center"/>
              <w:rPr>
                <w:rFonts w:cs="Times New Roman"/>
                <w:bCs/>
                <w:color w:val="000000"/>
                <w:sz w:val="20"/>
                <w:szCs w:val="20"/>
              </w:rPr>
            </w:pPr>
            <w:r w:rsidRPr="008E50DC">
              <w:rPr>
                <w:color w:val="000000"/>
                <w:sz w:val="20"/>
                <w:szCs w:val="20"/>
              </w:rPr>
              <w:t>2 000 000</w:t>
            </w:r>
          </w:p>
        </w:tc>
        <w:tc>
          <w:tcPr>
            <w:tcW w:w="1396" w:type="dxa"/>
            <w:tcBorders>
              <w:right w:val="single" w:sz="4" w:space="0" w:color="auto"/>
            </w:tcBorders>
            <w:vAlign w:val="center"/>
          </w:tcPr>
          <w:p w14:paraId="28CE84AB" w14:textId="77777777" w:rsidR="00EE1CF5" w:rsidRPr="003D6696" w:rsidRDefault="00EE1CF5" w:rsidP="00263AB1">
            <w:pPr>
              <w:ind w:firstLine="34"/>
              <w:jc w:val="center"/>
              <w:rPr>
                <w:color w:val="000000"/>
                <w:sz w:val="20"/>
                <w:szCs w:val="20"/>
              </w:rPr>
            </w:pPr>
            <w:r w:rsidRPr="003D6696">
              <w:rPr>
                <w:color w:val="000000"/>
                <w:sz w:val="20"/>
                <w:szCs w:val="20"/>
              </w:rPr>
              <w:t>2 000 000</w:t>
            </w:r>
          </w:p>
        </w:tc>
        <w:tc>
          <w:tcPr>
            <w:tcW w:w="1150" w:type="dxa"/>
            <w:tcBorders>
              <w:right w:val="single" w:sz="4" w:space="0" w:color="auto"/>
            </w:tcBorders>
            <w:vAlign w:val="center"/>
          </w:tcPr>
          <w:p w14:paraId="15C45443" w14:textId="77777777" w:rsidR="00EE1CF5" w:rsidRPr="008E50DC" w:rsidRDefault="00EE1CF5" w:rsidP="00263AB1">
            <w:pPr>
              <w:ind w:firstLine="34"/>
              <w:jc w:val="center"/>
              <w:rPr>
                <w:color w:val="000000"/>
                <w:sz w:val="20"/>
                <w:szCs w:val="20"/>
              </w:rPr>
            </w:pPr>
            <w:r>
              <w:rPr>
                <w:color w:val="000000"/>
                <w:sz w:val="20"/>
                <w:szCs w:val="20"/>
              </w:rPr>
              <w:t>2 000 000</w:t>
            </w:r>
          </w:p>
        </w:tc>
      </w:tr>
      <w:tr w:rsidR="00EE1CF5" w14:paraId="3B6F5739" w14:textId="77777777" w:rsidTr="00263AB1">
        <w:trPr>
          <w:trHeight w:val="288"/>
          <w:jc w:val="center"/>
        </w:trPr>
        <w:tc>
          <w:tcPr>
            <w:tcW w:w="5399" w:type="dxa"/>
            <w:shd w:val="clear" w:color="auto" w:fill="auto"/>
            <w:noWrap/>
            <w:vAlign w:val="center"/>
            <w:hideMark/>
          </w:tcPr>
          <w:p w14:paraId="0A6FA087" w14:textId="77777777" w:rsidR="00EE1CF5" w:rsidRPr="00E936FD" w:rsidRDefault="00EE1CF5" w:rsidP="00263AB1">
            <w:pPr>
              <w:ind w:firstLine="34"/>
              <w:jc w:val="left"/>
              <w:rPr>
                <w:rFonts w:cs="Times New Roman"/>
                <w:sz w:val="20"/>
                <w:szCs w:val="20"/>
              </w:rPr>
            </w:pPr>
            <w:r w:rsidRPr="00E936FD">
              <w:rPr>
                <w:rFonts w:cs="Times New Roman"/>
                <w:sz w:val="20"/>
                <w:szCs w:val="20"/>
              </w:rPr>
              <w:t>Aizsargāto lietotāju atbalsta finansējums</w:t>
            </w:r>
          </w:p>
        </w:tc>
        <w:tc>
          <w:tcPr>
            <w:tcW w:w="1402" w:type="dxa"/>
            <w:shd w:val="clear" w:color="auto" w:fill="auto"/>
            <w:noWrap/>
            <w:vAlign w:val="center"/>
            <w:hideMark/>
          </w:tcPr>
          <w:p w14:paraId="776E1BDA"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5 782 117</w:t>
            </w:r>
          </w:p>
        </w:tc>
        <w:tc>
          <w:tcPr>
            <w:tcW w:w="1903" w:type="dxa"/>
            <w:vAlign w:val="center"/>
          </w:tcPr>
          <w:p w14:paraId="562F7EF8" w14:textId="77777777" w:rsidR="00EE1CF5" w:rsidRPr="00E936FD" w:rsidRDefault="00EE1CF5" w:rsidP="00263AB1">
            <w:pPr>
              <w:jc w:val="center"/>
              <w:rPr>
                <w:color w:val="000000"/>
                <w:sz w:val="20"/>
                <w:szCs w:val="20"/>
              </w:rPr>
            </w:pPr>
            <w:r>
              <w:rPr>
                <w:color w:val="000000"/>
                <w:sz w:val="20"/>
                <w:szCs w:val="20"/>
              </w:rPr>
              <w:t xml:space="preserve">6 706 014 </w:t>
            </w:r>
          </w:p>
        </w:tc>
        <w:tc>
          <w:tcPr>
            <w:tcW w:w="1396" w:type="dxa"/>
            <w:tcBorders>
              <w:right w:val="single" w:sz="4" w:space="0" w:color="auto"/>
            </w:tcBorders>
            <w:shd w:val="clear" w:color="auto" w:fill="auto"/>
            <w:noWrap/>
            <w:vAlign w:val="center"/>
            <w:hideMark/>
          </w:tcPr>
          <w:p w14:paraId="7726C4D6" w14:textId="77777777" w:rsidR="00EE1CF5" w:rsidRPr="008E50DC" w:rsidRDefault="00EE1CF5" w:rsidP="00263AB1">
            <w:pPr>
              <w:ind w:firstLine="34"/>
              <w:jc w:val="center"/>
              <w:rPr>
                <w:rFonts w:cs="Times New Roman"/>
                <w:bCs/>
                <w:color w:val="000000"/>
                <w:sz w:val="20"/>
                <w:szCs w:val="20"/>
              </w:rPr>
            </w:pPr>
            <w:r w:rsidRPr="008E50DC">
              <w:rPr>
                <w:color w:val="000000"/>
                <w:sz w:val="20"/>
                <w:szCs w:val="20"/>
              </w:rPr>
              <w:t>5 782 117</w:t>
            </w:r>
          </w:p>
        </w:tc>
        <w:tc>
          <w:tcPr>
            <w:tcW w:w="1396" w:type="dxa"/>
            <w:tcBorders>
              <w:right w:val="single" w:sz="4" w:space="0" w:color="auto"/>
            </w:tcBorders>
            <w:vAlign w:val="center"/>
          </w:tcPr>
          <w:p w14:paraId="255A304B" w14:textId="77777777" w:rsidR="00EE1CF5" w:rsidRPr="003D6696" w:rsidRDefault="00EE1CF5" w:rsidP="00263AB1">
            <w:pPr>
              <w:jc w:val="center"/>
              <w:rPr>
                <w:color w:val="000000"/>
                <w:sz w:val="20"/>
                <w:szCs w:val="20"/>
              </w:rPr>
            </w:pPr>
            <w:r>
              <w:rPr>
                <w:color w:val="000000"/>
                <w:sz w:val="20"/>
                <w:szCs w:val="20"/>
              </w:rPr>
              <w:t xml:space="preserve"> 6 706 014</w:t>
            </w:r>
          </w:p>
        </w:tc>
        <w:tc>
          <w:tcPr>
            <w:tcW w:w="1150" w:type="dxa"/>
            <w:tcBorders>
              <w:right w:val="single" w:sz="4" w:space="0" w:color="auto"/>
            </w:tcBorders>
            <w:vAlign w:val="center"/>
          </w:tcPr>
          <w:p w14:paraId="0FFB6C1D" w14:textId="77777777" w:rsidR="00EE1CF5" w:rsidRPr="008E50DC" w:rsidRDefault="00EE1CF5" w:rsidP="00263AB1">
            <w:pPr>
              <w:rPr>
                <w:color w:val="000000"/>
                <w:sz w:val="20"/>
                <w:szCs w:val="20"/>
              </w:rPr>
            </w:pPr>
            <w:r>
              <w:rPr>
                <w:color w:val="000000"/>
                <w:sz w:val="20"/>
                <w:szCs w:val="20"/>
              </w:rPr>
              <w:t>6 706 014</w:t>
            </w:r>
          </w:p>
        </w:tc>
      </w:tr>
      <w:tr w:rsidR="00EE1CF5" w14:paraId="133B01EA" w14:textId="77777777" w:rsidTr="00263AB1">
        <w:trPr>
          <w:trHeight w:val="288"/>
          <w:jc w:val="center"/>
        </w:trPr>
        <w:tc>
          <w:tcPr>
            <w:tcW w:w="5399" w:type="dxa"/>
            <w:shd w:val="clear" w:color="auto" w:fill="auto"/>
            <w:noWrap/>
            <w:vAlign w:val="center"/>
          </w:tcPr>
          <w:p w14:paraId="3971F282" w14:textId="77777777" w:rsidR="00EE1CF5" w:rsidRPr="00E936FD" w:rsidRDefault="00EE1CF5" w:rsidP="00263AB1">
            <w:pPr>
              <w:ind w:firstLine="34"/>
              <w:jc w:val="left"/>
              <w:rPr>
                <w:rFonts w:cs="Times New Roman"/>
                <w:sz w:val="20"/>
                <w:szCs w:val="20"/>
              </w:rPr>
            </w:pPr>
            <w:r w:rsidRPr="00E936FD">
              <w:rPr>
                <w:rFonts w:cs="Times New Roman"/>
                <w:sz w:val="20"/>
                <w:szCs w:val="20"/>
              </w:rPr>
              <w:t>Kopā</w:t>
            </w:r>
          </w:p>
        </w:tc>
        <w:tc>
          <w:tcPr>
            <w:tcW w:w="1402" w:type="dxa"/>
            <w:shd w:val="clear" w:color="auto" w:fill="auto"/>
            <w:noWrap/>
            <w:vAlign w:val="center"/>
          </w:tcPr>
          <w:p w14:paraId="63714608" w14:textId="77777777" w:rsidR="00EE1CF5" w:rsidRPr="00E936FD" w:rsidRDefault="00EE1CF5" w:rsidP="00263AB1">
            <w:pPr>
              <w:ind w:firstLine="34"/>
              <w:jc w:val="center"/>
              <w:rPr>
                <w:b/>
                <w:color w:val="000000"/>
                <w:sz w:val="20"/>
                <w:szCs w:val="20"/>
              </w:rPr>
            </w:pPr>
            <w:r w:rsidRPr="00E936FD">
              <w:rPr>
                <w:b/>
                <w:bCs/>
                <w:color w:val="000000"/>
                <w:sz w:val="20"/>
                <w:szCs w:val="20"/>
              </w:rPr>
              <w:t>2</w:t>
            </w:r>
            <w:r>
              <w:rPr>
                <w:b/>
                <w:bCs/>
                <w:color w:val="000000"/>
                <w:sz w:val="20"/>
                <w:szCs w:val="20"/>
              </w:rPr>
              <w:t>0</w:t>
            </w:r>
            <w:r w:rsidRPr="00E936FD">
              <w:rPr>
                <w:b/>
                <w:bCs/>
                <w:sz w:val="20"/>
                <w:szCs w:val="20"/>
              </w:rPr>
              <w:t> 237 801</w:t>
            </w:r>
          </w:p>
        </w:tc>
        <w:tc>
          <w:tcPr>
            <w:tcW w:w="1903" w:type="dxa"/>
            <w:vAlign w:val="center"/>
          </w:tcPr>
          <w:p w14:paraId="0B9894D3" w14:textId="77777777" w:rsidR="00EE1CF5" w:rsidRPr="005748C6" w:rsidRDefault="00EE1CF5" w:rsidP="00263AB1">
            <w:pPr>
              <w:jc w:val="center"/>
              <w:rPr>
                <w:b/>
                <w:bCs/>
                <w:color w:val="000000"/>
                <w:sz w:val="20"/>
                <w:szCs w:val="20"/>
              </w:rPr>
            </w:pPr>
            <w:r>
              <w:rPr>
                <w:b/>
                <w:bCs/>
                <w:color w:val="000000"/>
                <w:sz w:val="20"/>
                <w:szCs w:val="20"/>
              </w:rPr>
              <w:t>24 169 229</w:t>
            </w:r>
          </w:p>
        </w:tc>
        <w:tc>
          <w:tcPr>
            <w:tcW w:w="1396" w:type="dxa"/>
            <w:tcBorders>
              <w:right w:val="single" w:sz="4" w:space="0" w:color="auto"/>
            </w:tcBorders>
            <w:shd w:val="clear" w:color="auto" w:fill="auto"/>
            <w:noWrap/>
            <w:vAlign w:val="center"/>
          </w:tcPr>
          <w:p w14:paraId="7792160D" w14:textId="77777777" w:rsidR="00EE1CF5" w:rsidRPr="008E50DC" w:rsidRDefault="00EE1CF5" w:rsidP="00263AB1">
            <w:pPr>
              <w:ind w:firstLine="34"/>
              <w:jc w:val="center"/>
              <w:rPr>
                <w:b/>
                <w:color w:val="000000"/>
                <w:sz w:val="20"/>
                <w:szCs w:val="20"/>
              </w:rPr>
            </w:pPr>
            <w:r w:rsidRPr="008E50DC">
              <w:rPr>
                <w:b/>
                <w:bCs/>
                <w:color w:val="000000"/>
                <w:sz w:val="20"/>
                <w:szCs w:val="20"/>
              </w:rPr>
              <w:t>20 835 506</w:t>
            </w:r>
          </w:p>
        </w:tc>
        <w:tc>
          <w:tcPr>
            <w:tcW w:w="1396" w:type="dxa"/>
            <w:tcBorders>
              <w:right w:val="single" w:sz="4" w:space="0" w:color="auto"/>
            </w:tcBorders>
            <w:vAlign w:val="center"/>
          </w:tcPr>
          <w:p w14:paraId="3A64E1CA" w14:textId="77777777" w:rsidR="00EE1CF5" w:rsidRPr="005748C6" w:rsidRDefault="00EE1CF5" w:rsidP="00263AB1">
            <w:pPr>
              <w:jc w:val="center"/>
              <w:rPr>
                <w:b/>
                <w:bCs/>
                <w:color w:val="000000"/>
                <w:sz w:val="20"/>
                <w:szCs w:val="20"/>
              </w:rPr>
            </w:pPr>
            <w:r>
              <w:rPr>
                <w:b/>
                <w:bCs/>
                <w:color w:val="000000"/>
                <w:sz w:val="20"/>
                <w:szCs w:val="20"/>
              </w:rPr>
              <w:t>76 769 229</w:t>
            </w:r>
          </w:p>
        </w:tc>
        <w:tc>
          <w:tcPr>
            <w:tcW w:w="1150" w:type="dxa"/>
            <w:tcBorders>
              <w:right w:val="single" w:sz="4" w:space="0" w:color="auto"/>
            </w:tcBorders>
            <w:vAlign w:val="center"/>
          </w:tcPr>
          <w:p w14:paraId="4B36DFF8" w14:textId="77777777" w:rsidR="00EE1CF5" w:rsidRPr="005748C6" w:rsidRDefault="00EE1CF5" w:rsidP="00263AB1">
            <w:pPr>
              <w:jc w:val="center"/>
              <w:rPr>
                <w:b/>
                <w:bCs/>
                <w:color w:val="000000"/>
                <w:sz w:val="20"/>
                <w:szCs w:val="20"/>
              </w:rPr>
            </w:pPr>
            <w:r>
              <w:rPr>
                <w:b/>
                <w:bCs/>
                <w:color w:val="000000"/>
                <w:sz w:val="20"/>
                <w:szCs w:val="20"/>
              </w:rPr>
              <w:t>46 669 229</w:t>
            </w:r>
          </w:p>
        </w:tc>
      </w:tr>
    </w:tbl>
    <w:p w14:paraId="59C53929" w14:textId="77777777" w:rsidR="00EE1CF5" w:rsidRDefault="00EE1CF5" w:rsidP="00EE1CF5">
      <w:pPr>
        <w:jc w:val="left"/>
      </w:pPr>
    </w:p>
    <w:p w14:paraId="7E2EBAD9" w14:textId="77777777" w:rsidR="00EE1CF5" w:rsidRDefault="00EE1CF5" w:rsidP="00EE1CF5">
      <w:pPr>
        <w:spacing w:before="240" w:line="259" w:lineRule="auto"/>
        <w:ind w:firstLine="720"/>
        <w:rPr>
          <w:szCs w:val="26"/>
        </w:rPr>
      </w:pPr>
      <w:r w:rsidRPr="00416261">
        <w:rPr>
          <w:szCs w:val="26"/>
        </w:rPr>
        <w:t xml:space="preserve">Šis risinājums atbilst Deklarācijā par Māra Kučinska vadītā </w:t>
      </w:r>
      <w:r>
        <w:rPr>
          <w:szCs w:val="26"/>
        </w:rPr>
        <w:t>MK</w:t>
      </w:r>
      <w:r w:rsidRPr="00416261">
        <w:rPr>
          <w:szCs w:val="26"/>
        </w:rPr>
        <w:t xml:space="preserve"> iecerēto darbību noteiktajam – nepaaugstināt vidējo OIK virs 26,79 EUR/MWh</w:t>
      </w:r>
      <w:r>
        <w:rPr>
          <w:szCs w:val="26"/>
        </w:rPr>
        <w:t xml:space="preserve">, jo tā īstenošanas rezultātā OIK tiks atcelta, kas ir saskaņā arī </w:t>
      </w:r>
      <w:r w:rsidRPr="00ED6DA8">
        <w:rPr>
          <w:szCs w:val="26"/>
        </w:rPr>
        <w:t>ar MK 2018. gada 24. aprīļa rīkojumu Nr. 172 “Par darba grupu elektroenerģijas obligātā iepirkuma maksājumu sistēmas atcelšanai”.</w:t>
      </w:r>
    </w:p>
    <w:p w14:paraId="61C318AE" w14:textId="77777777" w:rsidR="00EE1CF5" w:rsidRPr="00256DA1" w:rsidRDefault="00EE1CF5" w:rsidP="00EE1CF5">
      <w:pPr>
        <w:spacing w:before="240" w:line="259" w:lineRule="auto"/>
        <w:ind w:firstLine="720"/>
        <w:rPr>
          <w:szCs w:val="26"/>
        </w:rPr>
      </w:pPr>
      <w:r>
        <w:rPr>
          <w:szCs w:val="26"/>
        </w:rPr>
        <w:t xml:space="preserve">Nav paredzams, ka šī risinājuma ieviešanai būs izšķiroša ietekme uz 2020.gada AER mērķu sasniegšanu. </w:t>
      </w:r>
    </w:p>
    <w:p w14:paraId="1496C32D" w14:textId="77777777" w:rsidR="00EE1CF5" w:rsidRDefault="00EE1CF5" w:rsidP="00EE1CF5">
      <w:pPr>
        <w:spacing w:before="240" w:line="259" w:lineRule="auto"/>
        <w:ind w:firstLine="720"/>
        <w:rPr>
          <w:szCs w:val="26"/>
        </w:rPr>
      </w:pPr>
    </w:p>
    <w:p w14:paraId="76CA4167" w14:textId="77777777" w:rsidR="00EE1CF5" w:rsidRDefault="00EE1CF5" w:rsidP="00EE1CF5">
      <w:pPr>
        <w:jc w:val="left"/>
        <w:rPr>
          <w:szCs w:val="26"/>
        </w:rPr>
      </w:pPr>
      <w:bookmarkStart w:id="222" w:name="_Toc256000078"/>
      <w:bookmarkStart w:id="223" w:name="_Toc256000052"/>
      <w:bookmarkStart w:id="224" w:name="_Toc523492944"/>
      <w:bookmarkStart w:id="225" w:name="_Toc528585682"/>
      <w:bookmarkStart w:id="226" w:name="_GoBack"/>
      <w:bookmarkEnd w:id="226"/>
      <w:r>
        <w:rPr>
          <w:b/>
          <w:szCs w:val="26"/>
        </w:rPr>
        <w:br w:type="page"/>
      </w:r>
    </w:p>
    <w:p w14:paraId="483C0521" w14:textId="77777777" w:rsidR="00EE1CF5" w:rsidRPr="00D61ADC" w:rsidRDefault="00EE1CF5" w:rsidP="00EE1CF5">
      <w:pPr>
        <w:pStyle w:val="11apaknodaa"/>
      </w:pPr>
      <w:bookmarkStart w:id="227" w:name="_Toc531798595"/>
      <w:r w:rsidRPr="00146583">
        <w:lastRenderedPageBreak/>
        <w:t>4.risinājums</w:t>
      </w:r>
      <w:bookmarkEnd w:id="222"/>
      <w:bookmarkEnd w:id="223"/>
      <w:bookmarkEnd w:id="224"/>
      <w:bookmarkEnd w:id="225"/>
      <w:bookmarkEnd w:id="227"/>
    </w:p>
    <w:p w14:paraId="419D8E71" w14:textId="77777777" w:rsidR="00EE1CF5" w:rsidRDefault="00EE1CF5" w:rsidP="00EE1CF5"/>
    <w:p w14:paraId="546E5B84" w14:textId="77777777" w:rsidR="00EE1CF5" w:rsidRDefault="00EE1CF5" w:rsidP="00EE1CF5">
      <w:r w:rsidRPr="00DB7706">
        <w:tab/>
      </w:r>
      <w:r>
        <w:t>4.</w:t>
      </w:r>
      <w:r w:rsidRPr="00DB7706">
        <w:t>risinājums paredz tos pašus OIK mazināšanas instrumen</w:t>
      </w:r>
      <w:r>
        <w:t>tus kā 2</w:t>
      </w:r>
      <w:r w:rsidRPr="00DB7706">
        <w:t xml:space="preserve">.risinājumus, </w:t>
      </w:r>
      <w:r>
        <w:t xml:space="preserve">bet bez SEN ieviešanas, </w:t>
      </w:r>
      <w:r w:rsidRPr="00DB7706">
        <w:t>papildus paredzot pašreizējā OI mehānisma nomaiņu uz mehānismu, kas balstīts uz elektroenerģijas tirgus principiem</w:t>
      </w:r>
      <w:r>
        <w:t xml:space="preserve"> – OI mehānisma nomaiņu uz piemaksas noteikšanu virs elektroenerģijas tirgus cenas, kā arī d</w:t>
      </w:r>
      <w:r w:rsidRPr="00B13449">
        <w:t>abasgāzes staciju atbalsta izmaksu segšan</w:t>
      </w:r>
      <w:r>
        <w:t>u</w:t>
      </w:r>
      <w:r w:rsidRPr="00B13449">
        <w:t xml:space="preserve"> no valsts budžeta līdzekļie</w:t>
      </w:r>
      <w:r>
        <w:t>m un  b</w:t>
      </w:r>
      <w:r w:rsidRPr="00B13449">
        <w:t>rīvprātīg</w:t>
      </w:r>
      <w:r>
        <w:t>u</w:t>
      </w:r>
      <w:r w:rsidRPr="00B13449">
        <w:t xml:space="preserve"> atteikšan</w:t>
      </w:r>
      <w:r>
        <w:t>o</w:t>
      </w:r>
      <w:r w:rsidRPr="00B13449">
        <w:t>s no elektroenerģijas obligātā iepirkuma vai garantētās maksas trīs gadu laikā pēc kopējo kapitālieguldījumu IRR aprēķina veikšanas</w:t>
      </w:r>
    </w:p>
    <w:p w14:paraId="28B9C852" w14:textId="77777777" w:rsidR="00EE1CF5" w:rsidRDefault="00EE1CF5" w:rsidP="00EE1CF5"/>
    <w:p w14:paraId="7A46C4CE" w14:textId="77777777" w:rsidR="00EE1CF5" w:rsidRPr="00B36472" w:rsidRDefault="00EE1CF5" w:rsidP="00EE1CF5">
      <w:pPr>
        <w:ind w:firstLine="720"/>
        <w:rPr>
          <w:b/>
        </w:rPr>
      </w:pPr>
      <w:r w:rsidRPr="00A86D67">
        <w:rPr>
          <w:b/>
        </w:rPr>
        <w:t>Risinājuma īstenošanai nepieciešamie grozījumi normatīvajos aktos:</w:t>
      </w:r>
    </w:p>
    <w:p w14:paraId="07F91CEF" w14:textId="77777777" w:rsidR="00EE1CF5" w:rsidRPr="00534225" w:rsidRDefault="00EE1CF5" w:rsidP="00EE1CF5">
      <w:pPr>
        <w:rPr>
          <w:b/>
        </w:rPr>
      </w:pPr>
      <w:r>
        <w:rPr>
          <w:b/>
        </w:rPr>
        <w:t xml:space="preserve">Elektroenerģijas iepirkuma cenas </w:t>
      </w:r>
      <w:r w:rsidRPr="00534225">
        <w:rPr>
          <w:b/>
        </w:rPr>
        <w:t>korekcija</w:t>
      </w:r>
    </w:p>
    <w:p w14:paraId="7AD7A74E" w14:textId="77777777" w:rsidR="00EE1CF5" w:rsidRDefault="00EE1CF5" w:rsidP="00EE1CF5">
      <w:pPr>
        <w:ind w:firstLine="720"/>
      </w:pPr>
      <w:r>
        <w:t>1) Grozījumi MK noteikumu Nr.262 37.3. un 37.4.apakšpunktā – attiecībā uz elektroenerģijas iepirkuma cenu ekspluatācijā nenodotām vēja elektrostacijām;</w:t>
      </w:r>
    </w:p>
    <w:p w14:paraId="3E3A5B2A" w14:textId="77777777" w:rsidR="00EE1CF5" w:rsidRPr="00534225" w:rsidRDefault="00EE1CF5" w:rsidP="00EE1CF5">
      <w:pPr>
        <w:ind w:firstLine="720"/>
        <w:rPr>
          <w:b/>
        </w:rPr>
      </w:pPr>
      <w:r>
        <w:rPr>
          <w:b/>
        </w:rPr>
        <w:t xml:space="preserve">Kopējo kapitālieguldījumu </w:t>
      </w:r>
      <w:r w:rsidRPr="00534225">
        <w:rPr>
          <w:b/>
        </w:rPr>
        <w:t>IRR</w:t>
      </w:r>
      <w:r>
        <w:rPr>
          <w:b/>
        </w:rPr>
        <w:tab/>
      </w:r>
    </w:p>
    <w:p w14:paraId="5FC82F99" w14:textId="77777777" w:rsidR="00EE1CF5" w:rsidRDefault="00EE1CF5" w:rsidP="00EE1CF5">
      <w:pPr>
        <w:ind w:firstLine="720"/>
      </w:pPr>
      <w:r>
        <w:t>2) Grozījumi ETL, nosakot deleģējumu MK veikt IRR aprēķinu vēja elektrostacijām, kurām tas pašlaik netiek veikts;</w:t>
      </w:r>
    </w:p>
    <w:p w14:paraId="1DD6FC84" w14:textId="77777777" w:rsidR="00EE1CF5" w:rsidRDefault="00EE1CF5" w:rsidP="00EE1CF5">
      <w:pPr>
        <w:ind w:firstLine="720"/>
      </w:pPr>
      <w:r>
        <w:t xml:space="preserve">3) Grozījumi MK noteikumos Nr.221 –  dzēšams </w:t>
      </w:r>
      <w:r w:rsidRPr="00596B4F">
        <w:t>56.</w:t>
      </w:r>
      <w:r w:rsidRPr="00596B4F">
        <w:rPr>
          <w:vertAlign w:val="superscript"/>
        </w:rPr>
        <w:t>3</w:t>
      </w:r>
      <w:r>
        <w:rPr>
          <w:vertAlign w:val="superscript"/>
        </w:rPr>
        <w:t xml:space="preserve"> </w:t>
      </w:r>
      <w:r>
        <w:t>punkts attiecībā uz zvērināta revidenta aprēķina iesniegšanu</w:t>
      </w:r>
      <w:r w:rsidRPr="00596B4F">
        <w:t> </w:t>
      </w:r>
      <w:r>
        <w:t>un 56.</w:t>
      </w:r>
      <w:r>
        <w:rPr>
          <w:vertAlign w:val="superscript"/>
        </w:rPr>
        <w:t>1</w:t>
      </w:r>
      <w:r w:rsidRPr="005B03C3">
        <w:rPr>
          <w:vertAlign w:val="superscript"/>
        </w:rPr>
        <w:t>6</w:t>
      </w:r>
      <w:r>
        <w:rPr>
          <w:vertAlign w:val="superscript"/>
        </w:rPr>
        <w:t xml:space="preserve"> </w:t>
      </w:r>
      <w:r>
        <w:t>punkts attiecībā uz atbrīvojuma atcelšanu un ar tiem saistītās normas, grozījumi 8.pielikumā attiecībā uz vēsturiskā atbalsta iekļaušanu, līmeņatzīmju pārskatīšanu;</w:t>
      </w:r>
    </w:p>
    <w:p w14:paraId="5BA21810" w14:textId="77777777" w:rsidR="00EE1CF5" w:rsidRPr="008D7B46" w:rsidRDefault="00EE1CF5" w:rsidP="00EE1CF5">
      <w:pPr>
        <w:ind w:firstLine="720"/>
      </w:pPr>
      <w:r>
        <w:t xml:space="preserve">4) Grozījumi MK noteikumos Nr.262 - </w:t>
      </w:r>
      <w:r w:rsidRPr="008D7B46">
        <w:t>63.</w:t>
      </w:r>
      <w:r w:rsidRPr="008D7B46">
        <w:rPr>
          <w:vertAlign w:val="superscript"/>
        </w:rPr>
        <w:t>8</w:t>
      </w:r>
      <w:r>
        <w:rPr>
          <w:vertAlign w:val="superscript"/>
        </w:rPr>
        <w:t xml:space="preserve"> </w:t>
      </w:r>
      <w:r>
        <w:t xml:space="preserve">punkts papildināms ar stacijām, kurām veic IRR izvērtējumu (sekojoši ETL grozījumiem), dzēšams </w:t>
      </w:r>
      <w:r w:rsidRPr="008D7B46">
        <w:t>63.</w:t>
      </w:r>
      <w:r w:rsidRPr="008D7B46">
        <w:rPr>
          <w:vertAlign w:val="superscript"/>
        </w:rPr>
        <w:t>9</w:t>
      </w:r>
      <w:r>
        <w:rPr>
          <w:vertAlign w:val="superscript"/>
        </w:rPr>
        <w:t xml:space="preserve"> </w:t>
      </w:r>
      <w:r>
        <w:t xml:space="preserve">attiecībā uz atbrīvojuma atcelšanu un ar to saistītās normas, dzēšams </w:t>
      </w:r>
      <w:r w:rsidRPr="009F5B48">
        <w:t xml:space="preserve"> 63.</w:t>
      </w:r>
      <w:r w:rsidRPr="009F5B48">
        <w:rPr>
          <w:vertAlign w:val="superscript"/>
        </w:rPr>
        <w:t>18</w:t>
      </w:r>
      <w:r>
        <w:t xml:space="preserve"> punkts attiecībā uz </w:t>
      </w:r>
      <w:r w:rsidRPr="009F5B48">
        <w:t xml:space="preserve"> zvērināta revidenta </w:t>
      </w:r>
      <w:r>
        <w:t>aprēķina iesniegšanu, grozījumi 10.pielikumā attiecībā uz vēsturiskā atbalsta iekļaušanu, līmeņatzīmju pārskatīšanu;</w:t>
      </w:r>
    </w:p>
    <w:p w14:paraId="7481FBEB" w14:textId="77777777" w:rsidR="00EE1CF5" w:rsidRDefault="00EE1CF5" w:rsidP="00EE1CF5">
      <w:pPr>
        <w:ind w:firstLine="720"/>
        <w:rPr>
          <w:rFonts w:cs="Times New Roman"/>
          <w:b/>
          <w:szCs w:val="26"/>
        </w:rPr>
      </w:pPr>
      <w:r w:rsidRPr="009C6732">
        <w:rPr>
          <w:rFonts w:cs="Times New Roman"/>
          <w:b/>
          <w:szCs w:val="26"/>
        </w:rPr>
        <w:t>Biogāzes izejvielu kritēriji</w:t>
      </w:r>
    </w:p>
    <w:p w14:paraId="39AA6BF8" w14:textId="77777777" w:rsidR="00EE1CF5" w:rsidRDefault="00EE1CF5" w:rsidP="00EE1CF5">
      <w:pPr>
        <w:ind w:firstLine="720"/>
        <w:rPr>
          <w:rFonts w:cs="Times New Roman"/>
          <w:szCs w:val="26"/>
        </w:rPr>
      </w:pPr>
      <w:r>
        <w:rPr>
          <w:rFonts w:cs="Times New Roman"/>
          <w:szCs w:val="26"/>
        </w:rPr>
        <w:t>5</w:t>
      </w:r>
      <w:r w:rsidRPr="009C6732">
        <w:rPr>
          <w:rFonts w:cs="Times New Roman"/>
          <w:szCs w:val="26"/>
        </w:rPr>
        <w:t xml:space="preserve">) </w:t>
      </w:r>
      <w:r>
        <w:rPr>
          <w:rFonts w:cs="Times New Roman"/>
          <w:szCs w:val="26"/>
        </w:rPr>
        <w:t>MK noteikumi Nr.262 papildināmi ar normām, kas nosaka prasības izejvielu kvalitātes kritērijiem biogāzes stacijām un piemērojamās sankcijas nosacījumu neizpildes gadījumā, dzēšamas normas par izejvielu kritērijiem, kas attiecas tikai uz tām stacijām, kas konkursa ietvaros ieguvušās punktus, veicami grozījumi 9.pielikumā attiecībā uz norādāmo informāciju par biogāzes ražošanā izmantotajām izejvielām, noteikumi papildināmi ar pielikumu, kurā atspoguļojama ikmēneša informācija par biogāzes ražošanā izmantotajām izejvielām, veicami grozījumi elektroenerģijas iepirkuma cenas formulās 37.9. un 37.10 apakšpunktā;</w:t>
      </w:r>
    </w:p>
    <w:p w14:paraId="59FCDDD6" w14:textId="77777777" w:rsidR="00EE1CF5" w:rsidRDefault="00EE1CF5" w:rsidP="00EE1CF5">
      <w:pPr>
        <w:ind w:firstLine="720"/>
        <w:rPr>
          <w:rFonts w:cs="Times New Roman"/>
          <w:szCs w:val="26"/>
        </w:rPr>
      </w:pPr>
      <w:r>
        <w:rPr>
          <w:rFonts w:cs="Times New Roman"/>
          <w:szCs w:val="26"/>
        </w:rPr>
        <w:t xml:space="preserve">6) MK noteikumi Nr.221 papildināmi ar normām, kas nosaka prasības izejvielu kvalitātes kritērijiem biogāzes stacijām un piemērojamās sankcijas nosacījumu neizpildes gadījumā, veicami grozījumi 5.pielikumā attiecībā uz norādāmo informāciju par biogāzes ražošanā izmantotajām izejvielām, noteikumi papildināmi ar pielikumu, kurā atspoguļojama ikmēneša informācija par biogāzes ražošanā </w:t>
      </w:r>
      <w:r>
        <w:rPr>
          <w:rFonts w:cs="Times New Roman"/>
          <w:szCs w:val="26"/>
        </w:rPr>
        <w:lastRenderedPageBreak/>
        <w:t>izmantotajām izejvielām, veicami grozījumi elektroenerģijas iepirkuma cenas formulā</w:t>
      </w:r>
      <w:r w:rsidRPr="005D0C19">
        <w:rPr>
          <w:rFonts w:ascii="Arial" w:hAnsi="Arial" w:cs="Arial"/>
          <w:color w:val="414142"/>
          <w:sz w:val="20"/>
          <w:szCs w:val="20"/>
          <w:shd w:val="clear" w:color="auto" w:fill="FFFFFF"/>
        </w:rPr>
        <w:t xml:space="preserve"> </w:t>
      </w:r>
      <w:r w:rsidRPr="005D0C19">
        <w:rPr>
          <w:rFonts w:cs="Times New Roman"/>
          <w:szCs w:val="26"/>
        </w:rPr>
        <w:t>53.1.</w:t>
      </w:r>
      <w:r>
        <w:rPr>
          <w:rFonts w:cs="Times New Roman"/>
          <w:szCs w:val="26"/>
        </w:rPr>
        <w:t xml:space="preserve"> apakšpunktā un noteikumi papildināmi ar formulu, ar kuru diferencē elektroenerģijas iepirkuma cenu biogāzes koģenerācijas stacijām atkarībā no noteiktā izejvielu īpatsvara;</w:t>
      </w:r>
    </w:p>
    <w:p w14:paraId="54D7454A" w14:textId="77777777" w:rsidR="00EE1CF5" w:rsidRPr="00DE4728" w:rsidRDefault="00EE1CF5" w:rsidP="00EE1CF5">
      <w:pPr>
        <w:ind w:firstLine="720"/>
        <w:jc w:val="left"/>
        <w:rPr>
          <w:b/>
          <w:szCs w:val="26"/>
        </w:rPr>
      </w:pPr>
      <w:r w:rsidRPr="00DE4728">
        <w:rPr>
          <w:b/>
          <w:szCs w:val="26"/>
        </w:rPr>
        <w:t>OI mehānisma pāreja uz piemaksu virs tirgus cenas</w:t>
      </w:r>
    </w:p>
    <w:p w14:paraId="618A0CF6" w14:textId="77777777" w:rsidR="00EE1CF5" w:rsidRDefault="00EE1CF5" w:rsidP="00EE1CF5">
      <w:pPr>
        <w:ind w:firstLine="720"/>
        <w:jc w:val="left"/>
        <w:rPr>
          <w:szCs w:val="26"/>
        </w:rPr>
      </w:pPr>
      <w:r>
        <w:rPr>
          <w:szCs w:val="26"/>
        </w:rPr>
        <w:t>7</w:t>
      </w:r>
      <w:r w:rsidRPr="00715375">
        <w:rPr>
          <w:szCs w:val="26"/>
        </w:rPr>
        <w:t>)</w:t>
      </w:r>
      <w:r w:rsidRPr="00A123DB">
        <w:rPr>
          <w:szCs w:val="26"/>
        </w:rPr>
        <w:t xml:space="preserve"> </w:t>
      </w:r>
      <w:r>
        <w:rPr>
          <w:szCs w:val="26"/>
        </w:rPr>
        <w:t>Grozījumi ETL attiecībā uz OI tiesībām, OI mehānisma darbību un publiskā tirgotāja funkcijām;</w:t>
      </w:r>
    </w:p>
    <w:p w14:paraId="0820147C" w14:textId="77777777" w:rsidR="00EE1CF5" w:rsidRDefault="00EE1CF5" w:rsidP="00EE1CF5">
      <w:pPr>
        <w:ind w:firstLine="720"/>
        <w:jc w:val="left"/>
        <w:rPr>
          <w:szCs w:val="26"/>
        </w:rPr>
      </w:pPr>
      <w:r>
        <w:rPr>
          <w:szCs w:val="26"/>
        </w:rPr>
        <w:t xml:space="preserve">8) Grozījumi MK noteikumos Nr.262 un MK noteikumos Nr.221 attiecībā uz elektroenerģijas OI mehānismu un elektroenerģijas iepirkuma cenu formulām </w:t>
      </w:r>
    </w:p>
    <w:p w14:paraId="51BE87BA" w14:textId="77777777" w:rsidR="00EE1CF5" w:rsidRDefault="00EE1CF5" w:rsidP="00EE1CF5">
      <w:pPr>
        <w:ind w:firstLine="720"/>
        <w:jc w:val="left"/>
        <w:rPr>
          <w:szCs w:val="26"/>
        </w:rPr>
      </w:pPr>
    </w:p>
    <w:p w14:paraId="1569CAA2" w14:textId="77777777" w:rsidR="00EE1CF5" w:rsidRPr="00EF73EA" w:rsidRDefault="00EE1CF5" w:rsidP="00EE1CF5">
      <w:pPr>
        <w:ind w:firstLine="720"/>
        <w:jc w:val="left"/>
        <w:rPr>
          <w:rFonts w:eastAsia="Times New Roman" w:cs="Times New Roman"/>
          <w:b/>
          <w:szCs w:val="26"/>
        </w:rPr>
      </w:pPr>
      <w:r w:rsidRPr="00EF73EA">
        <w:rPr>
          <w:rFonts w:eastAsia="Times New Roman" w:cs="Times New Roman"/>
          <w:b/>
          <w:szCs w:val="26"/>
        </w:rPr>
        <w:t>Dabasgāzes staciju atbalsta izmaksu segšana no valsts budžeta līdzekļiem</w:t>
      </w:r>
    </w:p>
    <w:p w14:paraId="168F5716" w14:textId="77777777" w:rsidR="00EE1CF5" w:rsidRDefault="00EE1CF5" w:rsidP="00EE1CF5">
      <w:pPr>
        <w:ind w:firstLine="720"/>
        <w:jc w:val="left"/>
        <w:rPr>
          <w:szCs w:val="26"/>
        </w:rPr>
      </w:pPr>
      <w:r>
        <w:rPr>
          <w:rFonts w:eastAsia="Times New Roman" w:cs="Times New Roman"/>
          <w:szCs w:val="26"/>
        </w:rPr>
        <w:t>9) Grozījumi ETL paredzot, ka i</w:t>
      </w:r>
      <w:r w:rsidRPr="000F311A">
        <w:rPr>
          <w:rFonts w:eastAsia="Times New Roman" w:cs="Times New Roman"/>
          <w:szCs w:val="26"/>
        </w:rPr>
        <w:t xml:space="preserve">zmaksas, kas radušās par atbalsta sniegšanu elektroenerģijas ražošanai no </w:t>
      </w:r>
      <w:r>
        <w:rPr>
          <w:rFonts w:eastAsia="Times New Roman" w:cs="Times New Roman"/>
          <w:szCs w:val="26"/>
        </w:rPr>
        <w:t>dabasgāzes</w:t>
      </w:r>
      <w:r w:rsidRPr="000F311A">
        <w:rPr>
          <w:rFonts w:eastAsia="Times New Roman" w:cs="Times New Roman"/>
          <w:szCs w:val="26"/>
        </w:rPr>
        <w:t>, izņemot attiecībā uz sist</w:t>
      </w:r>
      <w:r>
        <w:rPr>
          <w:rFonts w:eastAsia="Times New Roman" w:cs="Times New Roman"/>
          <w:szCs w:val="26"/>
        </w:rPr>
        <w:t>ē</w:t>
      </w:r>
      <w:r w:rsidRPr="000F311A">
        <w:rPr>
          <w:rFonts w:eastAsia="Times New Roman" w:cs="Times New Roman"/>
          <w:szCs w:val="26"/>
        </w:rPr>
        <w:t>miski svarīgām stacijām, tiek piedāvāts ar 2022. gadu segt no valsts budžeta līdzekļiem</w:t>
      </w:r>
      <w:r>
        <w:rPr>
          <w:rFonts w:eastAsia="Times New Roman" w:cs="Times New Roman"/>
          <w:szCs w:val="26"/>
        </w:rPr>
        <w:t>.</w:t>
      </w:r>
    </w:p>
    <w:p w14:paraId="140C9D3E" w14:textId="77777777" w:rsidR="00EE1CF5" w:rsidRDefault="00EE1CF5" w:rsidP="00EE1CF5">
      <w:pPr>
        <w:ind w:firstLine="720"/>
        <w:jc w:val="left"/>
        <w:rPr>
          <w:szCs w:val="26"/>
        </w:rPr>
      </w:pPr>
    </w:p>
    <w:p w14:paraId="42F91A7B" w14:textId="77777777" w:rsidR="00EE1CF5" w:rsidRPr="00452581" w:rsidRDefault="00EE1CF5" w:rsidP="00EE1CF5">
      <w:pPr>
        <w:ind w:firstLine="720"/>
        <w:jc w:val="left"/>
        <w:rPr>
          <w:b/>
          <w:szCs w:val="26"/>
        </w:rPr>
      </w:pPr>
      <w:r w:rsidRPr="00452581">
        <w:rPr>
          <w:b/>
          <w:szCs w:val="26"/>
        </w:rPr>
        <w:t>Brīvprātīga atteikšanās no elektroenerģijas obligātā iepirkuma vai garantētās maksas trīs gadu laikā pēc kopējo kapitālieguldījumu IRR aprēķina veikšanas</w:t>
      </w:r>
    </w:p>
    <w:p w14:paraId="6979BB0B" w14:textId="77777777" w:rsidR="00EE1CF5" w:rsidRPr="00A123DB" w:rsidRDefault="00EE1CF5" w:rsidP="00EE1CF5">
      <w:pPr>
        <w:ind w:firstLine="720"/>
        <w:jc w:val="left"/>
        <w:rPr>
          <w:szCs w:val="26"/>
        </w:rPr>
      </w:pPr>
      <w:r>
        <w:rPr>
          <w:szCs w:val="26"/>
        </w:rPr>
        <w:t>10) Grozījumi normatīvajos aktos,</w:t>
      </w:r>
      <w:r w:rsidRPr="00A27244">
        <w:rPr>
          <w:szCs w:val="26"/>
        </w:rPr>
        <w:t xml:space="preserve"> paredzot ražotājiem brīvprātīgu atteikšanos no elektroenerģijas obligātā iepirkuma vai garantētās maksas trīs gadu laikā, sākot ar gadu, kad veikts kopējo kapitālieguldījumu iekšējās peļņas normas aprēķins, ņemot vērā šī rīkojuma 11. punktā paredzētās izmaiņas.</w:t>
      </w:r>
    </w:p>
    <w:p w14:paraId="7E099771" w14:textId="77777777" w:rsidR="00EE1CF5" w:rsidRPr="00F709B1" w:rsidRDefault="00EE1CF5" w:rsidP="00EE1CF5">
      <w:pPr>
        <w:jc w:val="right"/>
        <w:rPr>
          <w:i/>
        </w:rPr>
      </w:pPr>
      <w:r w:rsidRPr="00F709B1">
        <w:rPr>
          <w:i/>
          <w:szCs w:val="26"/>
        </w:rPr>
        <w:t>24.tabula</w:t>
      </w:r>
    </w:p>
    <w:p w14:paraId="5103D352" w14:textId="77777777" w:rsidR="00EE1CF5" w:rsidRPr="00E410CA" w:rsidRDefault="00EE1CF5" w:rsidP="00EE1CF5">
      <w:pPr>
        <w:jc w:val="center"/>
      </w:pPr>
      <w:r>
        <w:rPr>
          <w:b/>
        </w:rPr>
        <w:t>4</w:t>
      </w:r>
      <w:r w:rsidRPr="004C36B1">
        <w:rPr>
          <w:b/>
        </w:rPr>
        <w:t>. risinājuma ieviešana un ietekme</w:t>
      </w:r>
      <w:r>
        <w:rPr>
          <w:b/>
        </w:rPr>
        <w:t xml:space="preserve"> </w:t>
      </w:r>
    </w:p>
    <w:tbl>
      <w:tblPr>
        <w:tblStyle w:val="TableGrid"/>
        <w:tblW w:w="0" w:type="auto"/>
        <w:jc w:val="center"/>
        <w:tblLook w:val="04A0" w:firstRow="1" w:lastRow="0" w:firstColumn="1" w:lastColumn="0" w:noHBand="0" w:noVBand="1"/>
      </w:tblPr>
      <w:tblGrid>
        <w:gridCol w:w="2841"/>
        <w:gridCol w:w="2305"/>
        <w:gridCol w:w="1787"/>
        <w:gridCol w:w="2444"/>
        <w:gridCol w:w="1396"/>
        <w:gridCol w:w="953"/>
        <w:gridCol w:w="850"/>
        <w:gridCol w:w="838"/>
        <w:gridCol w:w="1146"/>
      </w:tblGrid>
      <w:tr w:rsidR="00EE1CF5" w14:paraId="2E956F4E" w14:textId="77777777" w:rsidTr="00263AB1">
        <w:trPr>
          <w:trHeight w:val="567"/>
          <w:jc w:val="center"/>
        </w:trPr>
        <w:tc>
          <w:tcPr>
            <w:tcW w:w="2841" w:type="dxa"/>
            <w:vMerge w:val="restart"/>
            <w:vAlign w:val="center"/>
          </w:tcPr>
          <w:p w14:paraId="1ACEC1A4"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Instruments</w:t>
            </w:r>
          </w:p>
        </w:tc>
        <w:tc>
          <w:tcPr>
            <w:tcW w:w="2305" w:type="dxa"/>
            <w:vMerge w:val="restart"/>
            <w:vAlign w:val="center"/>
          </w:tcPr>
          <w:p w14:paraId="08E763AF"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Izstrādes periods</w:t>
            </w:r>
          </w:p>
        </w:tc>
        <w:tc>
          <w:tcPr>
            <w:tcW w:w="1787" w:type="dxa"/>
            <w:vMerge w:val="restart"/>
            <w:vAlign w:val="center"/>
          </w:tcPr>
          <w:p w14:paraId="2FE7DF68"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Ieviešanas gads</w:t>
            </w:r>
          </w:p>
        </w:tc>
        <w:tc>
          <w:tcPr>
            <w:tcW w:w="2444" w:type="dxa"/>
            <w:vMerge w:val="restart"/>
            <w:vAlign w:val="center"/>
          </w:tcPr>
          <w:p w14:paraId="6D726069"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Efekts uz OI atbalsta maksājumiem</w:t>
            </w:r>
          </w:p>
        </w:tc>
        <w:tc>
          <w:tcPr>
            <w:tcW w:w="1396" w:type="dxa"/>
            <w:vMerge w:val="restart"/>
            <w:vAlign w:val="center"/>
          </w:tcPr>
          <w:p w14:paraId="57E98EDC" w14:textId="77777777" w:rsidR="00EE1CF5" w:rsidRPr="00B9490E" w:rsidRDefault="00EE1CF5" w:rsidP="00263AB1">
            <w:pPr>
              <w:jc w:val="center"/>
              <w:rPr>
                <w:rFonts w:ascii="Times New Roman" w:hAnsi="Times New Roman" w:cs="Times New Roman"/>
                <w:b/>
                <w:sz w:val="20"/>
                <w:szCs w:val="20"/>
              </w:rPr>
            </w:pPr>
            <w:r w:rsidRPr="00B9490E">
              <w:rPr>
                <w:rFonts w:ascii="Times New Roman" w:hAnsi="Times New Roman" w:cs="Times New Roman"/>
                <w:b/>
                <w:sz w:val="20"/>
                <w:szCs w:val="20"/>
              </w:rPr>
              <w:t>Efekts uz OIK</w:t>
            </w:r>
          </w:p>
        </w:tc>
        <w:tc>
          <w:tcPr>
            <w:tcW w:w="3787" w:type="dxa"/>
            <w:gridSpan w:val="4"/>
            <w:vAlign w:val="center"/>
          </w:tcPr>
          <w:p w14:paraId="361A6B5C" w14:textId="77777777" w:rsidR="00EE1CF5" w:rsidRPr="00B9490E" w:rsidRDefault="00EE1CF5" w:rsidP="00263AB1">
            <w:pPr>
              <w:jc w:val="center"/>
              <w:rPr>
                <w:rFonts w:cs="Times New Roman"/>
                <w:b/>
                <w:sz w:val="20"/>
                <w:szCs w:val="20"/>
              </w:rPr>
            </w:pPr>
            <w:r w:rsidRPr="00B9490E">
              <w:rPr>
                <w:rFonts w:ascii="Times New Roman" w:hAnsi="Times New Roman" w:cs="Times New Roman"/>
                <w:b/>
                <w:sz w:val="20"/>
                <w:szCs w:val="20"/>
              </w:rPr>
              <w:t>OIK vidējā vērtība, EUR/MWh</w:t>
            </w:r>
          </w:p>
        </w:tc>
      </w:tr>
      <w:tr w:rsidR="00EE1CF5" w14:paraId="68481200" w14:textId="77777777" w:rsidTr="00263AB1">
        <w:trPr>
          <w:trHeight w:val="293"/>
          <w:jc w:val="center"/>
        </w:trPr>
        <w:tc>
          <w:tcPr>
            <w:tcW w:w="2841" w:type="dxa"/>
            <w:vMerge/>
            <w:vAlign w:val="center"/>
          </w:tcPr>
          <w:p w14:paraId="35DBD6BB" w14:textId="77777777" w:rsidR="00EE1CF5" w:rsidRPr="00B9490E" w:rsidRDefault="00EE1CF5" w:rsidP="00263AB1">
            <w:pPr>
              <w:rPr>
                <w:rFonts w:ascii="Times New Roman" w:hAnsi="Times New Roman" w:cs="Times New Roman"/>
                <w:b/>
                <w:sz w:val="20"/>
                <w:szCs w:val="20"/>
              </w:rPr>
            </w:pPr>
          </w:p>
        </w:tc>
        <w:tc>
          <w:tcPr>
            <w:tcW w:w="2305" w:type="dxa"/>
            <w:vMerge/>
            <w:vAlign w:val="center"/>
          </w:tcPr>
          <w:p w14:paraId="4DC9A424" w14:textId="77777777" w:rsidR="00EE1CF5" w:rsidRPr="00B9490E" w:rsidRDefault="00EE1CF5" w:rsidP="00263AB1">
            <w:pPr>
              <w:rPr>
                <w:rFonts w:ascii="Times New Roman" w:hAnsi="Times New Roman" w:cs="Times New Roman"/>
                <w:b/>
                <w:sz w:val="20"/>
                <w:szCs w:val="20"/>
              </w:rPr>
            </w:pPr>
          </w:p>
        </w:tc>
        <w:tc>
          <w:tcPr>
            <w:tcW w:w="1787" w:type="dxa"/>
            <w:vMerge/>
            <w:vAlign w:val="center"/>
          </w:tcPr>
          <w:p w14:paraId="4BAADB9C" w14:textId="77777777" w:rsidR="00EE1CF5" w:rsidRPr="00B9490E" w:rsidRDefault="00EE1CF5" w:rsidP="00263AB1">
            <w:pPr>
              <w:rPr>
                <w:rFonts w:ascii="Times New Roman" w:hAnsi="Times New Roman" w:cs="Times New Roman"/>
                <w:b/>
                <w:sz w:val="20"/>
                <w:szCs w:val="20"/>
              </w:rPr>
            </w:pPr>
          </w:p>
        </w:tc>
        <w:tc>
          <w:tcPr>
            <w:tcW w:w="2444" w:type="dxa"/>
            <w:vMerge/>
            <w:vAlign w:val="center"/>
          </w:tcPr>
          <w:p w14:paraId="74B7C40A" w14:textId="77777777" w:rsidR="00EE1CF5" w:rsidRPr="00B9490E" w:rsidRDefault="00EE1CF5" w:rsidP="00263AB1">
            <w:pPr>
              <w:rPr>
                <w:rFonts w:ascii="Times New Roman" w:hAnsi="Times New Roman" w:cs="Times New Roman"/>
                <w:b/>
                <w:sz w:val="20"/>
                <w:szCs w:val="20"/>
              </w:rPr>
            </w:pPr>
          </w:p>
        </w:tc>
        <w:tc>
          <w:tcPr>
            <w:tcW w:w="1396" w:type="dxa"/>
            <w:vMerge/>
            <w:vAlign w:val="center"/>
          </w:tcPr>
          <w:p w14:paraId="48E8A1B4" w14:textId="77777777" w:rsidR="00EE1CF5" w:rsidRPr="00B9490E" w:rsidRDefault="00EE1CF5" w:rsidP="00263AB1">
            <w:pPr>
              <w:rPr>
                <w:rFonts w:ascii="Times New Roman" w:hAnsi="Times New Roman" w:cs="Times New Roman"/>
                <w:b/>
                <w:sz w:val="20"/>
                <w:szCs w:val="20"/>
              </w:rPr>
            </w:pPr>
          </w:p>
        </w:tc>
        <w:tc>
          <w:tcPr>
            <w:tcW w:w="953" w:type="dxa"/>
            <w:vMerge w:val="restart"/>
            <w:vAlign w:val="center"/>
          </w:tcPr>
          <w:p w14:paraId="1F9049CA" w14:textId="77777777" w:rsidR="00EE1CF5" w:rsidRPr="00B9490E" w:rsidRDefault="00EE1CF5" w:rsidP="00263AB1">
            <w:pPr>
              <w:rPr>
                <w:rFonts w:ascii="Times New Roman" w:hAnsi="Times New Roman" w:cs="Times New Roman"/>
                <w:b/>
                <w:sz w:val="20"/>
                <w:szCs w:val="20"/>
              </w:rPr>
            </w:pPr>
            <w:r w:rsidRPr="00B9490E">
              <w:rPr>
                <w:rFonts w:ascii="Times New Roman" w:hAnsi="Times New Roman" w:cs="Times New Roman"/>
                <w:sz w:val="20"/>
                <w:szCs w:val="20"/>
              </w:rPr>
              <w:t>2019</w:t>
            </w:r>
          </w:p>
        </w:tc>
        <w:tc>
          <w:tcPr>
            <w:tcW w:w="850" w:type="dxa"/>
            <w:vMerge w:val="restart"/>
            <w:vAlign w:val="center"/>
          </w:tcPr>
          <w:p w14:paraId="7D6B8439" w14:textId="77777777" w:rsidR="00EE1CF5" w:rsidRPr="00B9490E" w:rsidRDefault="00EE1CF5" w:rsidP="00263AB1">
            <w:pPr>
              <w:rPr>
                <w:rFonts w:ascii="Times New Roman" w:hAnsi="Times New Roman" w:cs="Times New Roman"/>
                <w:b/>
                <w:sz w:val="20"/>
                <w:szCs w:val="20"/>
              </w:rPr>
            </w:pPr>
            <w:r w:rsidRPr="00B9490E">
              <w:rPr>
                <w:rFonts w:ascii="Times New Roman" w:hAnsi="Times New Roman" w:cs="Times New Roman"/>
                <w:sz w:val="20"/>
                <w:szCs w:val="20"/>
              </w:rPr>
              <w:t>2020</w:t>
            </w:r>
          </w:p>
        </w:tc>
        <w:tc>
          <w:tcPr>
            <w:tcW w:w="838" w:type="dxa"/>
            <w:vMerge w:val="restart"/>
            <w:vAlign w:val="center"/>
          </w:tcPr>
          <w:p w14:paraId="20BC879A" w14:textId="77777777" w:rsidR="00EE1CF5" w:rsidRPr="00B9490E" w:rsidRDefault="00EE1CF5" w:rsidP="00263AB1">
            <w:pPr>
              <w:rPr>
                <w:rFonts w:ascii="Times New Roman" w:hAnsi="Times New Roman" w:cs="Times New Roman"/>
                <w:b/>
                <w:sz w:val="20"/>
                <w:szCs w:val="20"/>
              </w:rPr>
            </w:pPr>
            <w:r w:rsidRPr="00B9490E">
              <w:rPr>
                <w:rFonts w:ascii="Times New Roman" w:hAnsi="Times New Roman" w:cs="Times New Roman"/>
                <w:sz w:val="20"/>
                <w:szCs w:val="20"/>
              </w:rPr>
              <w:t>2021</w:t>
            </w:r>
          </w:p>
        </w:tc>
        <w:tc>
          <w:tcPr>
            <w:tcW w:w="1146" w:type="dxa"/>
            <w:vMerge w:val="restart"/>
            <w:vAlign w:val="center"/>
          </w:tcPr>
          <w:p w14:paraId="7BAAF363" w14:textId="77777777" w:rsidR="00EE1CF5" w:rsidRPr="00B9490E" w:rsidRDefault="00EE1CF5" w:rsidP="00263AB1">
            <w:pPr>
              <w:jc w:val="center"/>
              <w:rPr>
                <w:rFonts w:ascii="Times New Roman" w:hAnsi="Times New Roman" w:cs="Times New Roman"/>
                <w:sz w:val="20"/>
                <w:szCs w:val="20"/>
              </w:rPr>
            </w:pPr>
            <w:r w:rsidRPr="00B9490E">
              <w:rPr>
                <w:rFonts w:ascii="Times New Roman" w:hAnsi="Times New Roman" w:cs="Times New Roman"/>
                <w:sz w:val="20"/>
                <w:szCs w:val="20"/>
              </w:rPr>
              <w:t>2022</w:t>
            </w:r>
            <w:r>
              <w:rPr>
                <w:rStyle w:val="FootnoteReference"/>
                <w:rFonts w:ascii="Times New Roman" w:hAnsi="Times New Roman" w:cs="Times New Roman"/>
                <w:sz w:val="20"/>
                <w:szCs w:val="20"/>
              </w:rPr>
              <w:footnoteReference w:id="46"/>
            </w:r>
          </w:p>
        </w:tc>
      </w:tr>
      <w:tr w:rsidR="00EE1CF5" w14:paraId="1B43DD83" w14:textId="77777777" w:rsidTr="00263AB1">
        <w:trPr>
          <w:trHeight w:val="267"/>
          <w:jc w:val="center"/>
        </w:trPr>
        <w:tc>
          <w:tcPr>
            <w:tcW w:w="2841" w:type="dxa"/>
            <w:vAlign w:val="center"/>
          </w:tcPr>
          <w:p w14:paraId="2FE77FB7"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1</w:t>
            </w:r>
            <w:r w:rsidRPr="00B9490E">
              <w:rPr>
                <w:rFonts w:ascii="Times New Roman" w:hAnsi="Times New Roman" w:cs="Times New Roman"/>
                <w:sz w:val="20"/>
                <w:szCs w:val="20"/>
              </w:rPr>
              <w:t>. Cenas korekcija</w:t>
            </w:r>
          </w:p>
        </w:tc>
        <w:tc>
          <w:tcPr>
            <w:tcW w:w="2305" w:type="dxa"/>
            <w:vAlign w:val="center"/>
          </w:tcPr>
          <w:p w14:paraId="5F1B50AB"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2018.g. </w:t>
            </w:r>
            <w:r>
              <w:rPr>
                <w:rFonts w:ascii="Times New Roman" w:hAnsi="Times New Roman" w:cs="Times New Roman"/>
                <w:sz w:val="20"/>
                <w:szCs w:val="20"/>
              </w:rPr>
              <w:t xml:space="preserve"> ziema</w:t>
            </w:r>
          </w:p>
        </w:tc>
        <w:tc>
          <w:tcPr>
            <w:tcW w:w="1787" w:type="dxa"/>
            <w:vAlign w:val="center"/>
          </w:tcPr>
          <w:p w14:paraId="35F28B03"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2444" w:type="dxa"/>
            <w:vAlign w:val="center"/>
          </w:tcPr>
          <w:p w14:paraId="34CBB23B"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1396" w:type="dxa"/>
            <w:vAlign w:val="center"/>
          </w:tcPr>
          <w:p w14:paraId="0581477F"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2019.g.</w:t>
            </w:r>
          </w:p>
        </w:tc>
        <w:tc>
          <w:tcPr>
            <w:tcW w:w="953" w:type="dxa"/>
            <w:vMerge/>
            <w:vAlign w:val="center"/>
          </w:tcPr>
          <w:p w14:paraId="4BA0803E" w14:textId="77777777" w:rsidR="00EE1CF5" w:rsidRPr="00B9490E" w:rsidRDefault="00EE1CF5" w:rsidP="00263AB1">
            <w:pPr>
              <w:rPr>
                <w:rFonts w:ascii="Times New Roman" w:hAnsi="Times New Roman" w:cs="Times New Roman"/>
                <w:sz w:val="20"/>
                <w:szCs w:val="20"/>
              </w:rPr>
            </w:pPr>
          </w:p>
        </w:tc>
        <w:tc>
          <w:tcPr>
            <w:tcW w:w="850" w:type="dxa"/>
            <w:vMerge/>
            <w:vAlign w:val="center"/>
          </w:tcPr>
          <w:p w14:paraId="6764B1B3" w14:textId="77777777" w:rsidR="00EE1CF5" w:rsidRPr="00B9490E" w:rsidRDefault="00EE1CF5" w:rsidP="00263AB1">
            <w:pPr>
              <w:rPr>
                <w:rFonts w:ascii="Times New Roman" w:hAnsi="Times New Roman" w:cs="Times New Roman"/>
                <w:sz w:val="20"/>
                <w:szCs w:val="20"/>
              </w:rPr>
            </w:pPr>
          </w:p>
        </w:tc>
        <w:tc>
          <w:tcPr>
            <w:tcW w:w="838" w:type="dxa"/>
            <w:vMerge/>
            <w:vAlign w:val="center"/>
          </w:tcPr>
          <w:p w14:paraId="1D01FE70" w14:textId="77777777" w:rsidR="00EE1CF5" w:rsidRPr="00B9490E" w:rsidRDefault="00EE1CF5" w:rsidP="00263AB1">
            <w:pPr>
              <w:rPr>
                <w:rFonts w:ascii="Times New Roman" w:hAnsi="Times New Roman" w:cs="Times New Roman"/>
                <w:sz w:val="20"/>
                <w:szCs w:val="20"/>
              </w:rPr>
            </w:pPr>
          </w:p>
        </w:tc>
        <w:tc>
          <w:tcPr>
            <w:tcW w:w="1146" w:type="dxa"/>
            <w:vMerge/>
          </w:tcPr>
          <w:p w14:paraId="708AE36E" w14:textId="77777777" w:rsidR="00EE1CF5" w:rsidRPr="00B9490E" w:rsidRDefault="00EE1CF5" w:rsidP="00263AB1">
            <w:pPr>
              <w:rPr>
                <w:rFonts w:cs="Times New Roman"/>
                <w:sz w:val="20"/>
                <w:szCs w:val="20"/>
              </w:rPr>
            </w:pPr>
          </w:p>
        </w:tc>
      </w:tr>
      <w:tr w:rsidR="00EE1CF5" w14:paraId="6B9E9700" w14:textId="77777777" w:rsidTr="00263AB1">
        <w:trPr>
          <w:jc w:val="center"/>
        </w:trPr>
        <w:tc>
          <w:tcPr>
            <w:tcW w:w="2841" w:type="dxa"/>
            <w:vAlign w:val="center"/>
          </w:tcPr>
          <w:p w14:paraId="1595A975"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w:t>
            </w:r>
            <w:r w:rsidRPr="00B9490E">
              <w:rPr>
                <w:rFonts w:ascii="Times New Roman" w:hAnsi="Times New Roman" w:cs="Times New Roman"/>
                <w:sz w:val="20"/>
                <w:szCs w:val="20"/>
              </w:rPr>
              <w:t>. IRR</w:t>
            </w:r>
          </w:p>
        </w:tc>
        <w:tc>
          <w:tcPr>
            <w:tcW w:w="2305" w:type="dxa"/>
            <w:vAlign w:val="center"/>
          </w:tcPr>
          <w:p w14:paraId="2992B031"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2018.g. ziema – 2019.g. vidus</w:t>
            </w:r>
          </w:p>
        </w:tc>
        <w:tc>
          <w:tcPr>
            <w:tcW w:w="1787" w:type="dxa"/>
            <w:vAlign w:val="center"/>
          </w:tcPr>
          <w:p w14:paraId="7B7E1499"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 xml:space="preserve">2019.g. </w:t>
            </w:r>
          </w:p>
        </w:tc>
        <w:tc>
          <w:tcPr>
            <w:tcW w:w="2444" w:type="dxa"/>
            <w:vAlign w:val="center"/>
          </w:tcPr>
          <w:p w14:paraId="2EE938C1"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2020.g.</w:t>
            </w:r>
          </w:p>
        </w:tc>
        <w:tc>
          <w:tcPr>
            <w:tcW w:w="1396" w:type="dxa"/>
            <w:vAlign w:val="center"/>
          </w:tcPr>
          <w:p w14:paraId="443311AA"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2020.g.</w:t>
            </w:r>
          </w:p>
        </w:tc>
        <w:tc>
          <w:tcPr>
            <w:tcW w:w="953" w:type="dxa"/>
            <w:vMerge w:val="restart"/>
            <w:vAlign w:val="center"/>
          </w:tcPr>
          <w:p w14:paraId="76398085" w14:textId="77777777" w:rsidR="00EE1CF5" w:rsidRPr="006844EF" w:rsidRDefault="00EE1CF5" w:rsidP="00263AB1">
            <w:pPr>
              <w:jc w:val="center"/>
              <w:rPr>
                <w:rFonts w:ascii="Times New Roman" w:hAnsi="Times New Roman" w:cs="Times New Roman"/>
                <w:color w:val="000000" w:themeColor="text1"/>
                <w:sz w:val="20"/>
                <w:szCs w:val="20"/>
              </w:rPr>
            </w:pPr>
          </w:p>
          <w:p w14:paraId="17045F63" w14:textId="77777777" w:rsidR="00EE1CF5" w:rsidRPr="006844EF" w:rsidRDefault="00EE1CF5" w:rsidP="00263AB1">
            <w:pPr>
              <w:jc w:val="center"/>
              <w:rPr>
                <w:rFonts w:ascii="Times New Roman" w:hAnsi="Times New Roman" w:cs="Times New Roman"/>
                <w:color w:val="000000" w:themeColor="text1"/>
                <w:sz w:val="20"/>
                <w:szCs w:val="20"/>
              </w:rPr>
            </w:pPr>
            <w:r w:rsidRPr="006844EF">
              <w:rPr>
                <w:rFonts w:ascii="Times New Roman" w:hAnsi="Times New Roman" w:cs="Times New Roman"/>
                <w:color w:val="000000" w:themeColor="text1"/>
                <w:sz w:val="20"/>
                <w:szCs w:val="20"/>
              </w:rPr>
              <w:t>22,68</w:t>
            </w:r>
          </w:p>
        </w:tc>
        <w:tc>
          <w:tcPr>
            <w:tcW w:w="850" w:type="dxa"/>
            <w:vMerge w:val="restart"/>
            <w:vAlign w:val="center"/>
          </w:tcPr>
          <w:p w14:paraId="1DCC1030" w14:textId="77777777" w:rsidR="00EE1CF5" w:rsidRPr="006844EF" w:rsidRDefault="00EE1CF5" w:rsidP="00263AB1">
            <w:pPr>
              <w:jc w:val="center"/>
              <w:rPr>
                <w:rFonts w:ascii="Times New Roman" w:hAnsi="Times New Roman" w:cs="Times New Roman"/>
                <w:color w:val="000000" w:themeColor="text1"/>
                <w:sz w:val="20"/>
                <w:szCs w:val="20"/>
              </w:rPr>
            </w:pPr>
          </w:p>
          <w:p w14:paraId="3895D642" w14:textId="77777777" w:rsidR="00EE1CF5" w:rsidRPr="006844EF" w:rsidRDefault="00EE1CF5" w:rsidP="00263AB1">
            <w:pPr>
              <w:jc w:val="center"/>
              <w:rPr>
                <w:rFonts w:ascii="Times New Roman" w:hAnsi="Times New Roman" w:cs="Times New Roman"/>
                <w:color w:val="000000" w:themeColor="text1"/>
                <w:sz w:val="20"/>
                <w:szCs w:val="20"/>
              </w:rPr>
            </w:pPr>
            <w:r w:rsidRPr="006844EF">
              <w:rPr>
                <w:rFonts w:ascii="Times New Roman" w:hAnsi="Times New Roman" w:cs="Times New Roman"/>
                <w:color w:val="000000" w:themeColor="text1"/>
                <w:sz w:val="20"/>
                <w:szCs w:val="20"/>
              </w:rPr>
              <w:t>15,86</w:t>
            </w:r>
          </w:p>
        </w:tc>
        <w:tc>
          <w:tcPr>
            <w:tcW w:w="838" w:type="dxa"/>
            <w:vMerge w:val="restart"/>
            <w:vAlign w:val="center"/>
          </w:tcPr>
          <w:p w14:paraId="67496D21" w14:textId="77777777" w:rsidR="00EE1CF5" w:rsidRPr="006844EF" w:rsidRDefault="00EE1CF5" w:rsidP="00263AB1">
            <w:pPr>
              <w:jc w:val="center"/>
              <w:rPr>
                <w:rFonts w:ascii="Times New Roman" w:hAnsi="Times New Roman" w:cs="Times New Roman"/>
                <w:color w:val="000000" w:themeColor="text1"/>
                <w:sz w:val="20"/>
                <w:szCs w:val="20"/>
              </w:rPr>
            </w:pPr>
          </w:p>
          <w:p w14:paraId="06EC6BF3" w14:textId="77777777" w:rsidR="00EE1CF5" w:rsidRPr="006844EF" w:rsidRDefault="00EE1CF5" w:rsidP="00263AB1">
            <w:pPr>
              <w:jc w:val="center"/>
              <w:rPr>
                <w:rFonts w:ascii="Times New Roman" w:hAnsi="Times New Roman" w:cs="Times New Roman"/>
                <w:color w:val="000000" w:themeColor="text1"/>
                <w:sz w:val="20"/>
                <w:szCs w:val="20"/>
              </w:rPr>
            </w:pPr>
            <w:r w:rsidRPr="006844EF">
              <w:rPr>
                <w:rFonts w:ascii="Times New Roman" w:hAnsi="Times New Roman" w:cs="Times New Roman"/>
                <w:color w:val="000000" w:themeColor="text1"/>
                <w:sz w:val="20"/>
                <w:szCs w:val="20"/>
              </w:rPr>
              <w:t>15,33</w:t>
            </w:r>
          </w:p>
        </w:tc>
        <w:tc>
          <w:tcPr>
            <w:tcW w:w="1146" w:type="dxa"/>
            <w:vMerge w:val="restart"/>
            <w:vAlign w:val="center"/>
          </w:tcPr>
          <w:p w14:paraId="36F5FE67" w14:textId="77777777" w:rsidR="00EE1CF5" w:rsidRPr="006844EF" w:rsidRDefault="00EE1CF5" w:rsidP="00263AB1">
            <w:pPr>
              <w:jc w:val="center"/>
              <w:rPr>
                <w:rFonts w:ascii="Times New Roman" w:hAnsi="Times New Roman" w:cs="Times New Roman"/>
                <w:color w:val="000000" w:themeColor="text1"/>
                <w:sz w:val="20"/>
                <w:szCs w:val="20"/>
              </w:rPr>
            </w:pPr>
          </w:p>
          <w:p w14:paraId="162D86F1" w14:textId="77777777" w:rsidR="00EE1CF5" w:rsidRPr="006844EF" w:rsidRDefault="00EE1CF5" w:rsidP="00263AB1">
            <w:pPr>
              <w:jc w:val="center"/>
              <w:rPr>
                <w:rFonts w:ascii="Times New Roman" w:hAnsi="Times New Roman" w:cs="Times New Roman"/>
                <w:color w:val="000000" w:themeColor="text1"/>
                <w:sz w:val="20"/>
                <w:szCs w:val="20"/>
              </w:rPr>
            </w:pPr>
            <w:r w:rsidRPr="006844EF">
              <w:rPr>
                <w:rFonts w:ascii="Times New Roman" w:hAnsi="Times New Roman" w:cs="Times New Roman"/>
                <w:color w:val="000000" w:themeColor="text1"/>
                <w:sz w:val="20"/>
                <w:szCs w:val="20"/>
              </w:rPr>
              <w:t>11,75</w:t>
            </w:r>
          </w:p>
        </w:tc>
      </w:tr>
      <w:tr w:rsidR="00EE1CF5" w14:paraId="6DD6EB0C" w14:textId="77777777" w:rsidTr="00263AB1">
        <w:trPr>
          <w:jc w:val="center"/>
        </w:trPr>
        <w:tc>
          <w:tcPr>
            <w:tcW w:w="2841" w:type="dxa"/>
            <w:vAlign w:val="center"/>
          </w:tcPr>
          <w:p w14:paraId="3E13D7D5"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3</w:t>
            </w:r>
            <w:r w:rsidRPr="00B9490E">
              <w:rPr>
                <w:rFonts w:ascii="Times New Roman" w:hAnsi="Times New Roman" w:cs="Times New Roman"/>
                <w:sz w:val="20"/>
                <w:szCs w:val="20"/>
              </w:rPr>
              <w:t>. Biogāzes izejvielu kritēriji</w:t>
            </w:r>
          </w:p>
        </w:tc>
        <w:tc>
          <w:tcPr>
            <w:tcW w:w="2305" w:type="dxa"/>
            <w:vAlign w:val="center"/>
          </w:tcPr>
          <w:p w14:paraId="1A4BD189"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2018.g. ziema – 2019.g. vidus</w:t>
            </w:r>
          </w:p>
        </w:tc>
        <w:tc>
          <w:tcPr>
            <w:tcW w:w="1787" w:type="dxa"/>
            <w:vAlign w:val="center"/>
          </w:tcPr>
          <w:p w14:paraId="69B22F5C"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202</w:t>
            </w:r>
            <w:r>
              <w:rPr>
                <w:rFonts w:ascii="Times New Roman" w:hAnsi="Times New Roman" w:cs="Times New Roman"/>
                <w:sz w:val="20"/>
                <w:szCs w:val="20"/>
              </w:rPr>
              <w:t>2</w:t>
            </w:r>
            <w:r w:rsidRPr="00B9490E">
              <w:rPr>
                <w:rFonts w:ascii="Times New Roman" w:hAnsi="Times New Roman" w:cs="Times New Roman"/>
                <w:sz w:val="20"/>
                <w:szCs w:val="20"/>
              </w:rPr>
              <w:t xml:space="preserve">.g. </w:t>
            </w:r>
          </w:p>
        </w:tc>
        <w:tc>
          <w:tcPr>
            <w:tcW w:w="2444" w:type="dxa"/>
            <w:vAlign w:val="center"/>
          </w:tcPr>
          <w:p w14:paraId="73CFDE45"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202</w:t>
            </w:r>
            <w:r>
              <w:rPr>
                <w:rFonts w:ascii="Times New Roman" w:hAnsi="Times New Roman" w:cs="Times New Roman"/>
                <w:sz w:val="20"/>
                <w:szCs w:val="20"/>
              </w:rPr>
              <w:t>2</w:t>
            </w:r>
            <w:r w:rsidRPr="00B9490E">
              <w:rPr>
                <w:rFonts w:ascii="Times New Roman" w:hAnsi="Times New Roman" w:cs="Times New Roman"/>
                <w:sz w:val="20"/>
                <w:szCs w:val="20"/>
              </w:rPr>
              <w:t xml:space="preserve">.g. </w:t>
            </w:r>
          </w:p>
        </w:tc>
        <w:tc>
          <w:tcPr>
            <w:tcW w:w="1396" w:type="dxa"/>
            <w:vAlign w:val="center"/>
          </w:tcPr>
          <w:p w14:paraId="088EF4F5"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2022.g.</w:t>
            </w:r>
          </w:p>
        </w:tc>
        <w:tc>
          <w:tcPr>
            <w:tcW w:w="953" w:type="dxa"/>
            <w:vMerge/>
            <w:vAlign w:val="center"/>
          </w:tcPr>
          <w:p w14:paraId="6F580017" w14:textId="77777777" w:rsidR="00EE1CF5" w:rsidRPr="00B9490E" w:rsidRDefault="00EE1CF5" w:rsidP="00263AB1">
            <w:pPr>
              <w:rPr>
                <w:rFonts w:ascii="Times New Roman" w:hAnsi="Times New Roman" w:cs="Times New Roman"/>
                <w:sz w:val="20"/>
                <w:szCs w:val="20"/>
              </w:rPr>
            </w:pPr>
          </w:p>
        </w:tc>
        <w:tc>
          <w:tcPr>
            <w:tcW w:w="850" w:type="dxa"/>
            <w:vMerge/>
            <w:vAlign w:val="center"/>
          </w:tcPr>
          <w:p w14:paraId="1E086F30" w14:textId="77777777" w:rsidR="00EE1CF5" w:rsidRPr="00B9490E" w:rsidRDefault="00EE1CF5" w:rsidP="00263AB1">
            <w:pPr>
              <w:rPr>
                <w:rFonts w:ascii="Times New Roman" w:hAnsi="Times New Roman" w:cs="Times New Roman"/>
                <w:sz w:val="20"/>
                <w:szCs w:val="20"/>
              </w:rPr>
            </w:pPr>
          </w:p>
        </w:tc>
        <w:tc>
          <w:tcPr>
            <w:tcW w:w="838" w:type="dxa"/>
            <w:vMerge/>
            <w:vAlign w:val="center"/>
          </w:tcPr>
          <w:p w14:paraId="449E4F97" w14:textId="77777777" w:rsidR="00EE1CF5" w:rsidRPr="00B9490E" w:rsidRDefault="00EE1CF5" w:rsidP="00263AB1">
            <w:pPr>
              <w:rPr>
                <w:rFonts w:ascii="Times New Roman" w:hAnsi="Times New Roman" w:cs="Times New Roman"/>
                <w:sz w:val="20"/>
                <w:szCs w:val="20"/>
              </w:rPr>
            </w:pPr>
          </w:p>
        </w:tc>
        <w:tc>
          <w:tcPr>
            <w:tcW w:w="1146" w:type="dxa"/>
            <w:vMerge/>
          </w:tcPr>
          <w:p w14:paraId="086034D1" w14:textId="77777777" w:rsidR="00EE1CF5" w:rsidRPr="00441887" w:rsidRDefault="00EE1CF5" w:rsidP="00263AB1">
            <w:pPr>
              <w:rPr>
                <w:rFonts w:ascii="Times New Roman" w:hAnsi="Times New Roman" w:cs="Times New Roman"/>
                <w:sz w:val="20"/>
                <w:szCs w:val="20"/>
              </w:rPr>
            </w:pPr>
          </w:p>
        </w:tc>
      </w:tr>
      <w:tr w:rsidR="00EE1CF5" w14:paraId="5A7444FF" w14:textId="77777777" w:rsidTr="00263AB1">
        <w:trPr>
          <w:jc w:val="center"/>
        </w:trPr>
        <w:tc>
          <w:tcPr>
            <w:tcW w:w="2841" w:type="dxa"/>
            <w:vAlign w:val="center"/>
          </w:tcPr>
          <w:p w14:paraId="6904233E" w14:textId="77777777" w:rsidR="00EE1CF5" w:rsidRPr="00B9490E" w:rsidRDefault="00EE1CF5" w:rsidP="00263AB1">
            <w:pPr>
              <w:rPr>
                <w:rFonts w:ascii="Times New Roman" w:hAnsi="Times New Roman" w:cs="Times New Roman"/>
                <w:sz w:val="20"/>
                <w:szCs w:val="20"/>
              </w:rPr>
            </w:pPr>
            <w:r>
              <w:rPr>
                <w:rFonts w:ascii="Times New Roman" w:hAnsi="Times New Roman" w:cs="Times New Roman"/>
                <w:sz w:val="20"/>
                <w:szCs w:val="20"/>
              </w:rPr>
              <w:t>4</w:t>
            </w:r>
            <w:r w:rsidRPr="00B9490E">
              <w:rPr>
                <w:rFonts w:ascii="Times New Roman" w:hAnsi="Times New Roman" w:cs="Times New Roman"/>
                <w:sz w:val="20"/>
                <w:szCs w:val="20"/>
              </w:rPr>
              <w:t xml:space="preserve">. OI mehānisma atcelšana un </w:t>
            </w:r>
            <w:r>
              <w:rPr>
                <w:rFonts w:ascii="Times New Roman" w:hAnsi="Times New Roman" w:cs="Times New Roman"/>
                <w:sz w:val="20"/>
                <w:szCs w:val="20"/>
              </w:rPr>
              <w:t>piemaksas pie tirgus cenas noteikšana</w:t>
            </w:r>
          </w:p>
        </w:tc>
        <w:tc>
          <w:tcPr>
            <w:tcW w:w="2305" w:type="dxa"/>
            <w:vAlign w:val="center"/>
          </w:tcPr>
          <w:p w14:paraId="5EC8F357" w14:textId="77777777" w:rsidR="00EE1CF5" w:rsidRPr="00B9490E" w:rsidRDefault="00EE1CF5" w:rsidP="00263AB1">
            <w:pPr>
              <w:rPr>
                <w:rFonts w:ascii="Times New Roman" w:hAnsi="Times New Roman" w:cs="Times New Roman"/>
                <w:sz w:val="20"/>
                <w:szCs w:val="20"/>
              </w:rPr>
            </w:pPr>
            <w:r w:rsidRPr="00636634">
              <w:rPr>
                <w:rFonts w:ascii="Times New Roman" w:hAnsi="Times New Roman" w:cs="Times New Roman"/>
                <w:sz w:val="20"/>
                <w:szCs w:val="20"/>
              </w:rPr>
              <w:t>20</w:t>
            </w:r>
            <w:r>
              <w:rPr>
                <w:rFonts w:ascii="Times New Roman" w:hAnsi="Times New Roman" w:cs="Times New Roman"/>
                <w:sz w:val="20"/>
                <w:szCs w:val="20"/>
              </w:rPr>
              <w:t>20</w:t>
            </w:r>
            <w:r w:rsidRPr="00636634">
              <w:rPr>
                <w:rFonts w:ascii="Times New Roman" w:hAnsi="Times New Roman" w:cs="Times New Roman"/>
                <w:sz w:val="20"/>
                <w:szCs w:val="20"/>
              </w:rPr>
              <w:t>.g. – 202</w:t>
            </w:r>
            <w:r>
              <w:rPr>
                <w:rFonts w:ascii="Times New Roman" w:hAnsi="Times New Roman" w:cs="Times New Roman"/>
                <w:sz w:val="20"/>
                <w:szCs w:val="20"/>
              </w:rPr>
              <w:t>1</w:t>
            </w:r>
            <w:r w:rsidRPr="00636634">
              <w:rPr>
                <w:rFonts w:ascii="Times New Roman" w:hAnsi="Times New Roman" w:cs="Times New Roman"/>
                <w:sz w:val="20"/>
                <w:szCs w:val="20"/>
              </w:rPr>
              <w:t>.g.</w:t>
            </w:r>
          </w:p>
        </w:tc>
        <w:tc>
          <w:tcPr>
            <w:tcW w:w="1787" w:type="dxa"/>
            <w:vAlign w:val="center"/>
          </w:tcPr>
          <w:p w14:paraId="5E2C2712" w14:textId="77777777" w:rsidR="00EE1CF5" w:rsidRPr="00B9490E" w:rsidRDefault="00EE1CF5" w:rsidP="00263AB1">
            <w:pPr>
              <w:rPr>
                <w:rFonts w:ascii="Times New Roman" w:hAnsi="Times New Roman" w:cs="Times New Roman"/>
                <w:sz w:val="20"/>
                <w:szCs w:val="20"/>
              </w:rPr>
            </w:pPr>
            <w:r w:rsidRPr="00B9490E">
              <w:rPr>
                <w:rFonts w:ascii="Times New Roman" w:hAnsi="Times New Roman" w:cs="Times New Roman"/>
                <w:sz w:val="20"/>
                <w:szCs w:val="20"/>
              </w:rPr>
              <w:t>202</w:t>
            </w:r>
            <w:r>
              <w:rPr>
                <w:rFonts w:ascii="Times New Roman" w:hAnsi="Times New Roman" w:cs="Times New Roman"/>
                <w:sz w:val="20"/>
                <w:szCs w:val="20"/>
              </w:rPr>
              <w:t>2</w:t>
            </w:r>
            <w:r w:rsidRPr="00B9490E">
              <w:rPr>
                <w:rFonts w:ascii="Times New Roman" w:hAnsi="Times New Roman" w:cs="Times New Roman"/>
                <w:sz w:val="20"/>
                <w:szCs w:val="20"/>
              </w:rPr>
              <w:t>.g.</w:t>
            </w:r>
          </w:p>
        </w:tc>
        <w:tc>
          <w:tcPr>
            <w:tcW w:w="2444" w:type="dxa"/>
            <w:vAlign w:val="center"/>
          </w:tcPr>
          <w:p w14:paraId="5EE3CEE7" w14:textId="77777777" w:rsidR="00EE1CF5" w:rsidRPr="00B9490E" w:rsidRDefault="00EE1CF5" w:rsidP="00263AB1">
            <w:pPr>
              <w:rPr>
                <w:rFonts w:ascii="Times New Roman" w:hAnsi="Times New Roman" w:cs="Times New Roman"/>
                <w:sz w:val="20"/>
                <w:szCs w:val="20"/>
              </w:rPr>
            </w:pPr>
            <w:r w:rsidRPr="00636634">
              <w:rPr>
                <w:rFonts w:ascii="Times New Roman" w:hAnsi="Times New Roman" w:cs="Times New Roman"/>
                <w:sz w:val="20"/>
                <w:szCs w:val="20"/>
              </w:rPr>
              <w:t>202</w:t>
            </w:r>
            <w:r>
              <w:rPr>
                <w:rFonts w:ascii="Times New Roman" w:hAnsi="Times New Roman" w:cs="Times New Roman"/>
                <w:sz w:val="20"/>
                <w:szCs w:val="20"/>
              </w:rPr>
              <w:t>2</w:t>
            </w:r>
            <w:r w:rsidRPr="00636634">
              <w:rPr>
                <w:rFonts w:ascii="Times New Roman" w:hAnsi="Times New Roman" w:cs="Times New Roman"/>
                <w:sz w:val="20"/>
                <w:szCs w:val="20"/>
              </w:rPr>
              <w:t>.g.</w:t>
            </w:r>
          </w:p>
        </w:tc>
        <w:tc>
          <w:tcPr>
            <w:tcW w:w="1396" w:type="dxa"/>
            <w:vAlign w:val="center"/>
          </w:tcPr>
          <w:p w14:paraId="64856D4D" w14:textId="77777777" w:rsidR="00EE1CF5" w:rsidRPr="00B9490E" w:rsidRDefault="00EE1CF5" w:rsidP="00263AB1">
            <w:pPr>
              <w:rPr>
                <w:rFonts w:ascii="Times New Roman" w:hAnsi="Times New Roman" w:cs="Times New Roman"/>
                <w:sz w:val="20"/>
                <w:szCs w:val="20"/>
              </w:rPr>
            </w:pPr>
            <w:r w:rsidRPr="00636634">
              <w:rPr>
                <w:rFonts w:ascii="Times New Roman" w:hAnsi="Times New Roman" w:cs="Times New Roman"/>
                <w:sz w:val="20"/>
                <w:szCs w:val="20"/>
              </w:rPr>
              <w:t>202</w:t>
            </w:r>
            <w:r>
              <w:rPr>
                <w:rFonts w:ascii="Times New Roman" w:hAnsi="Times New Roman" w:cs="Times New Roman"/>
                <w:sz w:val="20"/>
                <w:szCs w:val="20"/>
              </w:rPr>
              <w:t>2</w:t>
            </w:r>
            <w:r w:rsidRPr="00636634">
              <w:rPr>
                <w:rFonts w:ascii="Times New Roman" w:hAnsi="Times New Roman" w:cs="Times New Roman"/>
                <w:sz w:val="20"/>
                <w:szCs w:val="20"/>
              </w:rPr>
              <w:t>.g.</w:t>
            </w:r>
          </w:p>
        </w:tc>
        <w:tc>
          <w:tcPr>
            <w:tcW w:w="953" w:type="dxa"/>
            <w:vMerge/>
            <w:vAlign w:val="center"/>
          </w:tcPr>
          <w:p w14:paraId="6DBF06B3" w14:textId="77777777" w:rsidR="00EE1CF5" w:rsidRPr="00B9490E" w:rsidRDefault="00EE1CF5" w:rsidP="00263AB1">
            <w:pPr>
              <w:rPr>
                <w:rFonts w:ascii="Times New Roman" w:hAnsi="Times New Roman" w:cs="Times New Roman"/>
                <w:sz w:val="20"/>
                <w:szCs w:val="20"/>
              </w:rPr>
            </w:pPr>
          </w:p>
        </w:tc>
        <w:tc>
          <w:tcPr>
            <w:tcW w:w="850" w:type="dxa"/>
            <w:vMerge/>
            <w:vAlign w:val="center"/>
          </w:tcPr>
          <w:p w14:paraId="5470F82A" w14:textId="77777777" w:rsidR="00EE1CF5" w:rsidRPr="00B9490E" w:rsidRDefault="00EE1CF5" w:rsidP="00263AB1">
            <w:pPr>
              <w:rPr>
                <w:rFonts w:ascii="Times New Roman" w:hAnsi="Times New Roman" w:cs="Times New Roman"/>
                <w:sz w:val="20"/>
                <w:szCs w:val="20"/>
              </w:rPr>
            </w:pPr>
          </w:p>
        </w:tc>
        <w:tc>
          <w:tcPr>
            <w:tcW w:w="838" w:type="dxa"/>
            <w:vMerge/>
            <w:vAlign w:val="center"/>
          </w:tcPr>
          <w:p w14:paraId="0CED35E8" w14:textId="77777777" w:rsidR="00EE1CF5" w:rsidRPr="00B9490E" w:rsidRDefault="00EE1CF5" w:rsidP="00263AB1">
            <w:pPr>
              <w:rPr>
                <w:rFonts w:ascii="Times New Roman" w:hAnsi="Times New Roman" w:cs="Times New Roman"/>
                <w:sz w:val="20"/>
                <w:szCs w:val="20"/>
              </w:rPr>
            </w:pPr>
          </w:p>
        </w:tc>
        <w:tc>
          <w:tcPr>
            <w:tcW w:w="1146" w:type="dxa"/>
            <w:vMerge/>
          </w:tcPr>
          <w:p w14:paraId="0339C62C" w14:textId="77777777" w:rsidR="00EE1CF5" w:rsidRPr="00B9490E" w:rsidRDefault="00EE1CF5" w:rsidP="00263AB1">
            <w:pPr>
              <w:rPr>
                <w:rFonts w:cs="Times New Roman"/>
                <w:sz w:val="20"/>
                <w:szCs w:val="20"/>
              </w:rPr>
            </w:pPr>
          </w:p>
        </w:tc>
      </w:tr>
    </w:tbl>
    <w:p w14:paraId="3987E1A0" w14:textId="77777777" w:rsidR="00EE1CF5" w:rsidRDefault="00EE1CF5" w:rsidP="00EE1CF5">
      <w:pPr>
        <w:pStyle w:val="Caption"/>
        <w:keepNext/>
        <w:spacing w:after="0" w:line="240" w:lineRule="auto"/>
        <w:jc w:val="center"/>
        <w:rPr>
          <w:rFonts w:ascii="Times New Roman" w:hAnsi="Times New Roman"/>
          <w:b w:val="0"/>
          <w:bCs w:val="0"/>
          <w:i/>
          <w:sz w:val="24"/>
          <w:szCs w:val="24"/>
        </w:rPr>
      </w:pPr>
    </w:p>
    <w:p w14:paraId="2CE792B0" w14:textId="77777777" w:rsidR="00EE1CF5" w:rsidRPr="00A21F08" w:rsidRDefault="00EE1CF5" w:rsidP="00EE1CF5">
      <w:pPr>
        <w:pStyle w:val="Caption"/>
        <w:keepNext/>
        <w:spacing w:after="0" w:line="240" w:lineRule="auto"/>
        <w:jc w:val="right"/>
        <w:rPr>
          <w:rFonts w:ascii="Times New Roman" w:hAnsi="Times New Roman"/>
          <w:b w:val="0"/>
          <w:i/>
          <w:sz w:val="24"/>
          <w:szCs w:val="24"/>
        </w:rPr>
      </w:pPr>
      <w:r>
        <w:rPr>
          <w:rFonts w:ascii="Times New Roman" w:eastAsiaTheme="minorHAnsi" w:hAnsi="Times New Roman" w:cstheme="minorBidi"/>
          <w:b w:val="0"/>
          <w:bCs w:val="0"/>
          <w:color w:val="auto"/>
          <w:sz w:val="26"/>
          <w:szCs w:val="22"/>
        </w:rPr>
        <w:br/>
      </w:r>
      <w:r w:rsidRPr="00A21F08">
        <w:rPr>
          <w:rFonts w:ascii="Times New Roman" w:hAnsi="Times New Roman"/>
          <w:b w:val="0"/>
          <w:i/>
          <w:sz w:val="24"/>
          <w:szCs w:val="24"/>
        </w:rPr>
        <w:t>25.tabula</w:t>
      </w:r>
    </w:p>
    <w:p w14:paraId="4AF3426D" w14:textId="77777777" w:rsidR="00EE1CF5" w:rsidRPr="00E936FD" w:rsidRDefault="00EE1CF5" w:rsidP="00EE1CF5">
      <w:pPr>
        <w:pStyle w:val="Caption"/>
        <w:keepNext/>
        <w:keepLines/>
        <w:widowControl/>
        <w:jc w:val="center"/>
        <w:rPr>
          <w:rFonts w:ascii="Times New Roman" w:hAnsi="Times New Roman"/>
          <w:sz w:val="24"/>
          <w:szCs w:val="24"/>
        </w:rPr>
      </w:pPr>
      <w:bookmarkStart w:id="228" w:name="_Hlk530502402"/>
      <w:r>
        <w:rPr>
          <w:rFonts w:ascii="Times New Roman" w:hAnsi="Times New Roman"/>
          <w:sz w:val="24"/>
          <w:szCs w:val="24"/>
        </w:rPr>
        <w:t xml:space="preserve">4. </w:t>
      </w:r>
      <w:r w:rsidRPr="00E936FD">
        <w:rPr>
          <w:rFonts w:ascii="Times New Roman" w:hAnsi="Times New Roman"/>
          <w:sz w:val="24"/>
          <w:szCs w:val="24"/>
        </w:rPr>
        <w:t xml:space="preserve"> risinājuma ietekme uz valsts budžetu pēc Eiropas Nacionālo Kontu Sistēmas, EUR</w:t>
      </w:r>
    </w:p>
    <w:tbl>
      <w:tblPr>
        <w:tblW w:w="13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149"/>
        <w:gridCol w:w="1252"/>
        <w:gridCol w:w="1242"/>
        <w:gridCol w:w="1150"/>
        <w:gridCol w:w="1316"/>
        <w:gridCol w:w="1329"/>
        <w:gridCol w:w="1237"/>
      </w:tblGrid>
      <w:tr w:rsidR="00EE1CF5" w14:paraId="39268DFE" w14:textId="77777777" w:rsidTr="00263AB1">
        <w:trPr>
          <w:trHeight w:val="288"/>
          <w:jc w:val="center"/>
        </w:trPr>
        <w:tc>
          <w:tcPr>
            <w:tcW w:w="4390" w:type="dxa"/>
            <w:shd w:val="clear" w:color="auto" w:fill="auto"/>
            <w:noWrap/>
            <w:vAlign w:val="bottom"/>
          </w:tcPr>
          <w:p w14:paraId="71483D4A" w14:textId="77777777" w:rsidR="00EE1CF5" w:rsidRPr="00E936FD" w:rsidRDefault="00EE1CF5" w:rsidP="00263AB1">
            <w:pPr>
              <w:ind w:firstLine="34"/>
              <w:jc w:val="center"/>
              <w:rPr>
                <w:rFonts w:cs="Times New Roman"/>
                <w:b/>
                <w:bCs/>
                <w:sz w:val="20"/>
                <w:szCs w:val="20"/>
              </w:rPr>
            </w:pPr>
          </w:p>
        </w:tc>
        <w:tc>
          <w:tcPr>
            <w:tcW w:w="2401" w:type="dxa"/>
            <w:gridSpan w:val="2"/>
          </w:tcPr>
          <w:p w14:paraId="7B643D16" w14:textId="77777777" w:rsidR="00EE1CF5" w:rsidRDefault="00EE1CF5" w:rsidP="00263AB1">
            <w:pPr>
              <w:ind w:firstLine="34"/>
              <w:jc w:val="center"/>
              <w:rPr>
                <w:b/>
                <w:bCs/>
                <w:color w:val="000000"/>
                <w:sz w:val="20"/>
                <w:szCs w:val="20"/>
              </w:rPr>
            </w:pPr>
            <w:r>
              <w:rPr>
                <w:b/>
                <w:bCs/>
                <w:color w:val="000000"/>
                <w:sz w:val="20"/>
                <w:szCs w:val="20"/>
              </w:rPr>
              <w:t>2018</w:t>
            </w:r>
          </w:p>
        </w:tc>
        <w:tc>
          <w:tcPr>
            <w:tcW w:w="2392" w:type="dxa"/>
            <w:gridSpan w:val="2"/>
            <w:shd w:val="clear" w:color="auto" w:fill="auto"/>
            <w:noWrap/>
            <w:vAlign w:val="center"/>
          </w:tcPr>
          <w:p w14:paraId="4F8862E9" w14:textId="77777777" w:rsidR="00EE1CF5" w:rsidRDefault="00EE1CF5" w:rsidP="00263AB1">
            <w:pPr>
              <w:ind w:firstLine="34"/>
              <w:jc w:val="center"/>
              <w:rPr>
                <w:b/>
                <w:bCs/>
                <w:color w:val="000000"/>
                <w:sz w:val="20"/>
                <w:szCs w:val="20"/>
              </w:rPr>
            </w:pPr>
            <w:r>
              <w:rPr>
                <w:b/>
                <w:bCs/>
                <w:color w:val="000000"/>
                <w:sz w:val="20"/>
                <w:szCs w:val="20"/>
              </w:rPr>
              <w:t>2019</w:t>
            </w:r>
          </w:p>
        </w:tc>
        <w:tc>
          <w:tcPr>
            <w:tcW w:w="2645" w:type="dxa"/>
            <w:gridSpan w:val="2"/>
            <w:tcBorders>
              <w:top w:val="single" w:sz="4" w:space="0" w:color="auto"/>
            </w:tcBorders>
            <w:shd w:val="clear" w:color="auto" w:fill="auto"/>
            <w:noWrap/>
            <w:vAlign w:val="center"/>
          </w:tcPr>
          <w:p w14:paraId="3E477077" w14:textId="77777777" w:rsidR="00EE1CF5" w:rsidRDefault="00EE1CF5" w:rsidP="00263AB1">
            <w:pPr>
              <w:jc w:val="center"/>
              <w:rPr>
                <w:b/>
                <w:bCs/>
                <w:color w:val="000000"/>
                <w:sz w:val="20"/>
                <w:szCs w:val="20"/>
              </w:rPr>
            </w:pPr>
            <w:r>
              <w:rPr>
                <w:b/>
                <w:bCs/>
                <w:color w:val="000000"/>
                <w:sz w:val="20"/>
                <w:szCs w:val="20"/>
              </w:rPr>
              <w:t>2020</w:t>
            </w:r>
          </w:p>
        </w:tc>
        <w:tc>
          <w:tcPr>
            <w:tcW w:w="1237" w:type="dxa"/>
            <w:tcBorders>
              <w:top w:val="single" w:sz="4" w:space="0" w:color="auto"/>
              <w:bottom w:val="single" w:sz="4" w:space="0" w:color="auto"/>
              <w:right w:val="single" w:sz="4" w:space="0" w:color="auto"/>
            </w:tcBorders>
            <w:shd w:val="clear" w:color="auto" w:fill="auto"/>
            <w:noWrap/>
            <w:vAlign w:val="center"/>
          </w:tcPr>
          <w:p w14:paraId="55B26DAE" w14:textId="77777777" w:rsidR="00EE1CF5" w:rsidRDefault="00EE1CF5" w:rsidP="00263AB1">
            <w:pPr>
              <w:jc w:val="center"/>
              <w:rPr>
                <w:b/>
                <w:bCs/>
                <w:color w:val="000000"/>
                <w:sz w:val="20"/>
                <w:szCs w:val="20"/>
              </w:rPr>
            </w:pPr>
            <w:r>
              <w:rPr>
                <w:b/>
                <w:bCs/>
                <w:color w:val="000000"/>
                <w:sz w:val="20"/>
                <w:szCs w:val="20"/>
              </w:rPr>
              <w:t>2021</w:t>
            </w:r>
          </w:p>
        </w:tc>
      </w:tr>
      <w:tr w:rsidR="00EE1CF5" w14:paraId="57243BB6" w14:textId="77777777" w:rsidTr="00263AB1">
        <w:trPr>
          <w:trHeight w:val="288"/>
          <w:jc w:val="center"/>
        </w:trPr>
        <w:tc>
          <w:tcPr>
            <w:tcW w:w="4390" w:type="dxa"/>
            <w:shd w:val="clear" w:color="auto" w:fill="auto"/>
            <w:noWrap/>
            <w:vAlign w:val="bottom"/>
          </w:tcPr>
          <w:p w14:paraId="172224B0" w14:textId="77777777" w:rsidR="00EE1CF5" w:rsidRPr="00E936FD" w:rsidRDefault="00EE1CF5" w:rsidP="00263AB1">
            <w:pPr>
              <w:ind w:firstLine="34"/>
              <w:jc w:val="center"/>
              <w:rPr>
                <w:rFonts w:cs="Times New Roman"/>
                <w:b/>
                <w:bCs/>
                <w:sz w:val="20"/>
                <w:szCs w:val="20"/>
              </w:rPr>
            </w:pPr>
          </w:p>
        </w:tc>
        <w:tc>
          <w:tcPr>
            <w:tcW w:w="1149" w:type="dxa"/>
            <w:vAlign w:val="center"/>
          </w:tcPr>
          <w:p w14:paraId="13E63E7F" w14:textId="77777777" w:rsidR="00EE1CF5" w:rsidRDefault="00EE1CF5" w:rsidP="00263AB1">
            <w:pPr>
              <w:ind w:firstLine="34"/>
              <w:jc w:val="center"/>
              <w:rPr>
                <w:b/>
                <w:bCs/>
                <w:color w:val="000000"/>
                <w:sz w:val="20"/>
                <w:szCs w:val="20"/>
              </w:rPr>
            </w:pPr>
            <w:r>
              <w:rPr>
                <w:b/>
                <w:bCs/>
                <w:color w:val="000000"/>
                <w:sz w:val="20"/>
                <w:szCs w:val="20"/>
              </w:rPr>
              <w:t>2017. gada prognoze</w:t>
            </w:r>
          </w:p>
        </w:tc>
        <w:tc>
          <w:tcPr>
            <w:tcW w:w="1252" w:type="dxa"/>
            <w:vAlign w:val="center"/>
          </w:tcPr>
          <w:p w14:paraId="02F8375A" w14:textId="77777777" w:rsidR="00EE1CF5" w:rsidRDefault="00EE1CF5" w:rsidP="00263AB1">
            <w:pPr>
              <w:ind w:firstLine="34"/>
              <w:jc w:val="center"/>
              <w:rPr>
                <w:b/>
                <w:bCs/>
                <w:color w:val="000000"/>
                <w:sz w:val="20"/>
                <w:szCs w:val="20"/>
              </w:rPr>
            </w:pPr>
            <w:r>
              <w:rPr>
                <w:b/>
                <w:bCs/>
                <w:color w:val="000000"/>
                <w:sz w:val="20"/>
                <w:szCs w:val="20"/>
              </w:rPr>
              <w:t>Prognoze</w:t>
            </w:r>
          </w:p>
        </w:tc>
        <w:tc>
          <w:tcPr>
            <w:tcW w:w="1242" w:type="dxa"/>
            <w:shd w:val="clear" w:color="auto" w:fill="auto"/>
            <w:noWrap/>
            <w:vAlign w:val="center"/>
          </w:tcPr>
          <w:p w14:paraId="0770276E" w14:textId="77777777" w:rsidR="00EE1CF5" w:rsidRDefault="00EE1CF5" w:rsidP="00263AB1">
            <w:pPr>
              <w:ind w:firstLine="34"/>
              <w:jc w:val="center"/>
              <w:rPr>
                <w:b/>
                <w:bCs/>
                <w:color w:val="000000"/>
                <w:sz w:val="20"/>
                <w:szCs w:val="20"/>
              </w:rPr>
            </w:pPr>
            <w:r>
              <w:rPr>
                <w:b/>
                <w:bCs/>
                <w:color w:val="000000"/>
                <w:sz w:val="20"/>
                <w:szCs w:val="20"/>
              </w:rPr>
              <w:t>2017. gada prognoze</w:t>
            </w:r>
          </w:p>
        </w:tc>
        <w:tc>
          <w:tcPr>
            <w:tcW w:w="1150" w:type="dxa"/>
            <w:vAlign w:val="center"/>
          </w:tcPr>
          <w:p w14:paraId="74A54F1F"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316" w:type="dxa"/>
            <w:tcBorders>
              <w:top w:val="single" w:sz="4" w:space="0" w:color="auto"/>
            </w:tcBorders>
            <w:shd w:val="clear" w:color="auto" w:fill="auto"/>
            <w:noWrap/>
            <w:vAlign w:val="center"/>
          </w:tcPr>
          <w:p w14:paraId="04D956E3" w14:textId="77777777" w:rsidR="00EE1CF5" w:rsidRPr="00E936FD" w:rsidRDefault="00EE1CF5" w:rsidP="00263AB1">
            <w:pPr>
              <w:ind w:firstLine="34"/>
              <w:jc w:val="center"/>
              <w:rPr>
                <w:b/>
                <w:bCs/>
                <w:color w:val="000000"/>
                <w:sz w:val="20"/>
                <w:szCs w:val="20"/>
              </w:rPr>
            </w:pPr>
            <w:r>
              <w:rPr>
                <w:b/>
                <w:bCs/>
                <w:color w:val="000000"/>
                <w:sz w:val="20"/>
                <w:szCs w:val="20"/>
              </w:rPr>
              <w:t>2017. gada prognoze</w:t>
            </w:r>
          </w:p>
        </w:tc>
        <w:tc>
          <w:tcPr>
            <w:tcW w:w="1329" w:type="dxa"/>
            <w:tcBorders>
              <w:top w:val="single" w:sz="4" w:space="0" w:color="auto"/>
            </w:tcBorders>
            <w:vAlign w:val="center"/>
          </w:tcPr>
          <w:p w14:paraId="20E6E5C2" w14:textId="77777777" w:rsidR="00EE1CF5" w:rsidRPr="00E936FD" w:rsidRDefault="00EE1CF5" w:rsidP="00263AB1">
            <w:pPr>
              <w:jc w:val="center"/>
              <w:rPr>
                <w:b/>
                <w:bCs/>
                <w:color w:val="000000"/>
                <w:sz w:val="20"/>
                <w:szCs w:val="20"/>
              </w:rPr>
            </w:pPr>
            <w:r>
              <w:rPr>
                <w:b/>
                <w:bCs/>
                <w:color w:val="000000"/>
                <w:sz w:val="20"/>
                <w:szCs w:val="20"/>
              </w:rPr>
              <w:t>Prognoze</w:t>
            </w:r>
          </w:p>
        </w:tc>
        <w:tc>
          <w:tcPr>
            <w:tcW w:w="1237" w:type="dxa"/>
            <w:tcBorders>
              <w:top w:val="single" w:sz="4" w:space="0" w:color="auto"/>
              <w:bottom w:val="single" w:sz="4" w:space="0" w:color="auto"/>
              <w:right w:val="single" w:sz="4" w:space="0" w:color="auto"/>
            </w:tcBorders>
            <w:shd w:val="clear" w:color="auto" w:fill="auto"/>
            <w:noWrap/>
            <w:vAlign w:val="center"/>
          </w:tcPr>
          <w:p w14:paraId="55090C28" w14:textId="77777777" w:rsidR="00EE1CF5" w:rsidRPr="00E936FD" w:rsidRDefault="00EE1CF5" w:rsidP="00263AB1">
            <w:pPr>
              <w:jc w:val="center"/>
              <w:rPr>
                <w:b/>
                <w:bCs/>
                <w:color w:val="000000"/>
                <w:sz w:val="20"/>
                <w:szCs w:val="20"/>
              </w:rPr>
            </w:pPr>
            <w:r>
              <w:rPr>
                <w:b/>
                <w:bCs/>
                <w:color w:val="000000"/>
                <w:sz w:val="20"/>
                <w:szCs w:val="20"/>
              </w:rPr>
              <w:t>Prognoze</w:t>
            </w:r>
          </w:p>
        </w:tc>
      </w:tr>
      <w:tr w:rsidR="00EE1CF5" w14:paraId="60CE9216" w14:textId="77777777" w:rsidTr="00263AB1">
        <w:trPr>
          <w:trHeight w:val="288"/>
          <w:jc w:val="center"/>
        </w:trPr>
        <w:tc>
          <w:tcPr>
            <w:tcW w:w="4390" w:type="dxa"/>
            <w:shd w:val="clear" w:color="auto" w:fill="auto"/>
            <w:noWrap/>
            <w:vAlign w:val="bottom"/>
            <w:hideMark/>
          </w:tcPr>
          <w:p w14:paraId="2413A583"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Valsts budžeta izdevumi</w:t>
            </w:r>
          </w:p>
        </w:tc>
        <w:tc>
          <w:tcPr>
            <w:tcW w:w="1149" w:type="dxa"/>
            <w:vAlign w:val="center"/>
          </w:tcPr>
          <w:p w14:paraId="20C157C0" w14:textId="77777777" w:rsidR="00EE1CF5" w:rsidRDefault="00EE1CF5" w:rsidP="00263AB1">
            <w:pPr>
              <w:ind w:firstLine="34"/>
              <w:jc w:val="center"/>
              <w:rPr>
                <w:b/>
                <w:bCs/>
                <w:color w:val="000000"/>
                <w:sz w:val="20"/>
                <w:szCs w:val="20"/>
              </w:rPr>
            </w:pPr>
            <w:r>
              <w:rPr>
                <w:b/>
                <w:bCs/>
                <w:color w:val="000000"/>
                <w:sz w:val="20"/>
                <w:szCs w:val="20"/>
              </w:rPr>
              <w:t>48</w:t>
            </w:r>
            <w:r w:rsidRPr="00E936FD">
              <w:rPr>
                <w:b/>
                <w:bCs/>
                <w:color w:val="000000"/>
                <w:sz w:val="20"/>
                <w:szCs w:val="20"/>
              </w:rPr>
              <w:t xml:space="preserve"> 808</w:t>
            </w:r>
            <w:r>
              <w:rPr>
                <w:b/>
                <w:bCs/>
                <w:color w:val="000000"/>
                <w:sz w:val="20"/>
                <w:szCs w:val="20"/>
              </w:rPr>
              <w:t> </w:t>
            </w:r>
            <w:r w:rsidRPr="00E936FD">
              <w:rPr>
                <w:b/>
                <w:bCs/>
                <w:color w:val="000000"/>
                <w:sz w:val="20"/>
                <w:szCs w:val="20"/>
              </w:rPr>
              <w:t>711</w:t>
            </w:r>
          </w:p>
        </w:tc>
        <w:tc>
          <w:tcPr>
            <w:tcW w:w="1252" w:type="dxa"/>
            <w:vAlign w:val="center"/>
          </w:tcPr>
          <w:p w14:paraId="34502D54" w14:textId="77777777" w:rsidR="00EE1CF5" w:rsidRDefault="00EE1CF5" w:rsidP="00263AB1">
            <w:pPr>
              <w:ind w:firstLine="34"/>
              <w:jc w:val="center"/>
              <w:rPr>
                <w:b/>
                <w:bCs/>
                <w:color w:val="000000"/>
                <w:sz w:val="20"/>
                <w:szCs w:val="20"/>
              </w:rPr>
            </w:pPr>
            <w:r w:rsidRPr="00CC1961">
              <w:rPr>
                <w:b/>
                <w:bCs/>
                <w:color w:val="000000"/>
                <w:sz w:val="20"/>
                <w:szCs w:val="20"/>
              </w:rPr>
              <w:t>104 248 888</w:t>
            </w:r>
          </w:p>
        </w:tc>
        <w:tc>
          <w:tcPr>
            <w:tcW w:w="1242" w:type="dxa"/>
            <w:shd w:val="clear" w:color="auto" w:fill="auto"/>
            <w:noWrap/>
            <w:vAlign w:val="center"/>
          </w:tcPr>
          <w:p w14:paraId="02E7BB6C" w14:textId="77777777" w:rsidR="00EE1CF5" w:rsidRPr="00CC1961" w:rsidRDefault="00EE1CF5" w:rsidP="00263AB1">
            <w:pPr>
              <w:ind w:firstLine="34"/>
              <w:jc w:val="center"/>
              <w:rPr>
                <w:b/>
                <w:bCs/>
                <w:color w:val="000000"/>
                <w:sz w:val="20"/>
                <w:szCs w:val="20"/>
              </w:rPr>
            </w:pPr>
            <w:r w:rsidRPr="00CC1961">
              <w:rPr>
                <w:b/>
                <w:bCs/>
                <w:color w:val="000000"/>
                <w:sz w:val="20"/>
                <w:szCs w:val="20"/>
              </w:rPr>
              <w:t>49 406 416</w:t>
            </w:r>
          </w:p>
        </w:tc>
        <w:tc>
          <w:tcPr>
            <w:tcW w:w="1150" w:type="dxa"/>
            <w:vAlign w:val="center"/>
          </w:tcPr>
          <w:p w14:paraId="0F0DD1CA" w14:textId="77777777" w:rsidR="00EE1CF5" w:rsidRPr="00E936FD" w:rsidRDefault="00EE1CF5" w:rsidP="00263AB1">
            <w:pPr>
              <w:ind w:firstLine="34"/>
              <w:jc w:val="center"/>
              <w:rPr>
                <w:b/>
                <w:bCs/>
                <w:color w:val="000000"/>
                <w:sz w:val="20"/>
                <w:szCs w:val="20"/>
              </w:rPr>
            </w:pPr>
            <w:r>
              <w:rPr>
                <w:b/>
                <w:bCs/>
                <w:color w:val="000000"/>
                <w:sz w:val="20"/>
                <w:szCs w:val="20"/>
              </w:rPr>
              <w:t>64 307 006</w:t>
            </w:r>
          </w:p>
        </w:tc>
        <w:tc>
          <w:tcPr>
            <w:tcW w:w="1316" w:type="dxa"/>
            <w:tcBorders>
              <w:top w:val="single" w:sz="4" w:space="0" w:color="auto"/>
            </w:tcBorders>
            <w:shd w:val="clear" w:color="auto" w:fill="auto"/>
            <w:noWrap/>
            <w:vAlign w:val="center"/>
          </w:tcPr>
          <w:p w14:paraId="2035E4AA" w14:textId="77777777" w:rsidR="00EE1CF5" w:rsidRPr="00CC1961" w:rsidRDefault="00EE1CF5" w:rsidP="00263AB1">
            <w:pPr>
              <w:ind w:firstLine="34"/>
              <w:jc w:val="center"/>
              <w:rPr>
                <w:b/>
                <w:bCs/>
                <w:color w:val="000000"/>
                <w:sz w:val="20"/>
                <w:szCs w:val="20"/>
              </w:rPr>
            </w:pPr>
            <w:r w:rsidRPr="00CC1961">
              <w:rPr>
                <w:b/>
                <w:bCs/>
                <w:color w:val="000000"/>
                <w:sz w:val="20"/>
                <w:szCs w:val="20"/>
              </w:rPr>
              <w:t>58 684 672</w:t>
            </w:r>
          </w:p>
        </w:tc>
        <w:tc>
          <w:tcPr>
            <w:tcW w:w="1329" w:type="dxa"/>
            <w:tcBorders>
              <w:top w:val="single" w:sz="4" w:space="0" w:color="auto"/>
            </w:tcBorders>
            <w:vAlign w:val="center"/>
          </w:tcPr>
          <w:p w14:paraId="4E9213AA" w14:textId="77777777" w:rsidR="00EE1CF5" w:rsidRPr="00823E5F" w:rsidRDefault="00EE1CF5" w:rsidP="00263AB1">
            <w:pPr>
              <w:jc w:val="center"/>
              <w:rPr>
                <w:b/>
                <w:bCs/>
                <w:color w:val="000000"/>
                <w:sz w:val="20"/>
                <w:szCs w:val="20"/>
              </w:rPr>
            </w:pPr>
            <w:r>
              <w:rPr>
                <w:b/>
                <w:bCs/>
                <w:color w:val="000000"/>
                <w:sz w:val="20"/>
                <w:szCs w:val="20"/>
              </w:rPr>
              <w:t>51 627 006</w:t>
            </w:r>
          </w:p>
        </w:tc>
        <w:tc>
          <w:tcPr>
            <w:tcW w:w="1237" w:type="dxa"/>
            <w:tcBorders>
              <w:top w:val="single" w:sz="4" w:space="0" w:color="auto"/>
              <w:bottom w:val="single" w:sz="4" w:space="0" w:color="auto"/>
              <w:right w:val="single" w:sz="4" w:space="0" w:color="auto"/>
            </w:tcBorders>
            <w:shd w:val="clear" w:color="auto" w:fill="auto"/>
            <w:noWrap/>
            <w:vAlign w:val="center"/>
          </w:tcPr>
          <w:p w14:paraId="55094CA7" w14:textId="77777777" w:rsidR="00EE1CF5" w:rsidRPr="002E6BBE" w:rsidRDefault="00EE1CF5" w:rsidP="00263AB1">
            <w:pPr>
              <w:jc w:val="center"/>
              <w:rPr>
                <w:b/>
                <w:bCs/>
                <w:color w:val="000000"/>
                <w:sz w:val="20"/>
                <w:szCs w:val="20"/>
              </w:rPr>
            </w:pPr>
            <w:r>
              <w:rPr>
                <w:b/>
                <w:bCs/>
                <w:color w:val="000000"/>
                <w:sz w:val="20"/>
                <w:szCs w:val="20"/>
              </w:rPr>
              <w:t>66 207 006</w:t>
            </w:r>
          </w:p>
        </w:tc>
      </w:tr>
      <w:tr w:rsidR="00EE1CF5" w14:paraId="0C4F193B" w14:textId="77777777" w:rsidTr="00263AB1">
        <w:trPr>
          <w:trHeight w:val="288"/>
          <w:jc w:val="center"/>
        </w:trPr>
        <w:tc>
          <w:tcPr>
            <w:tcW w:w="4390" w:type="dxa"/>
            <w:shd w:val="clear" w:color="auto" w:fill="auto"/>
            <w:noWrap/>
            <w:vAlign w:val="bottom"/>
          </w:tcPr>
          <w:p w14:paraId="6FC733A6" w14:textId="77777777" w:rsidR="00EE1CF5" w:rsidRPr="00BD5363" w:rsidRDefault="00EE1CF5" w:rsidP="00263AB1">
            <w:pPr>
              <w:rPr>
                <w:rFonts w:cs="Times New Roman"/>
                <w:sz w:val="20"/>
                <w:szCs w:val="20"/>
              </w:rPr>
            </w:pPr>
            <w:r w:rsidRPr="00BD5363">
              <w:rPr>
                <w:rFonts w:cs="Times New Roman"/>
                <w:sz w:val="20"/>
                <w:szCs w:val="20"/>
              </w:rPr>
              <w:t>OIK dotācija, t.sk. administrēšanas vajadzībām (Ietekme)</w:t>
            </w:r>
          </w:p>
        </w:tc>
        <w:tc>
          <w:tcPr>
            <w:tcW w:w="1149" w:type="dxa"/>
            <w:vAlign w:val="center"/>
          </w:tcPr>
          <w:p w14:paraId="48156974" w14:textId="77777777" w:rsidR="00EE1CF5" w:rsidRPr="00BD5363" w:rsidRDefault="00EE1CF5" w:rsidP="00263AB1">
            <w:pPr>
              <w:ind w:firstLine="34"/>
              <w:jc w:val="center"/>
              <w:rPr>
                <w:color w:val="000000" w:themeColor="text1"/>
                <w:sz w:val="20"/>
                <w:szCs w:val="20"/>
              </w:rPr>
            </w:pPr>
            <w:r w:rsidRPr="00BD5363">
              <w:rPr>
                <w:color w:val="000000" w:themeColor="text1"/>
                <w:sz w:val="20"/>
                <w:szCs w:val="20"/>
              </w:rPr>
              <w:t>9 085 684</w:t>
            </w:r>
          </w:p>
        </w:tc>
        <w:tc>
          <w:tcPr>
            <w:tcW w:w="1252" w:type="dxa"/>
            <w:vAlign w:val="center"/>
          </w:tcPr>
          <w:p w14:paraId="787B749C" w14:textId="77777777" w:rsidR="00EE1CF5" w:rsidRPr="00BD5363" w:rsidRDefault="00EE1CF5" w:rsidP="00263AB1">
            <w:pPr>
              <w:ind w:firstLine="34"/>
              <w:jc w:val="center"/>
              <w:rPr>
                <w:color w:val="000000" w:themeColor="text1"/>
                <w:sz w:val="20"/>
                <w:szCs w:val="20"/>
              </w:rPr>
            </w:pPr>
            <w:r w:rsidRPr="00BD5363">
              <w:rPr>
                <w:rFonts w:cs="Times New Roman"/>
                <w:color w:val="000000"/>
                <w:sz w:val="20"/>
                <w:szCs w:val="20"/>
              </w:rPr>
              <w:t>8 463 215</w:t>
            </w:r>
          </w:p>
        </w:tc>
        <w:tc>
          <w:tcPr>
            <w:tcW w:w="1242" w:type="dxa"/>
            <w:shd w:val="clear" w:color="auto" w:fill="auto"/>
            <w:noWrap/>
            <w:vAlign w:val="center"/>
          </w:tcPr>
          <w:p w14:paraId="33356CF9" w14:textId="77777777" w:rsidR="00EE1CF5" w:rsidRPr="00FB007D" w:rsidRDefault="00EE1CF5" w:rsidP="00263AB1">
            <w:pPr>
              <w:ind w:firstLine="34"/>
              <w:jc w:val="center"/>
              <w:rPr>
                <w:rFonts w:cs="Times New Roman"/>
                <w:color w:val="000000" w:themeColor="text1"/>
                <w:sz w:val="20"/>
                <w:szCs w:val="20"/>
                <w:highlight w:val="yellow"/>
              </w:rPr>
            </w:pPr>
            <w:r w:rsidRPr="004F58C9">
              <w:rPr>
                <w:color w:val="000000" w:themeColor="text1"/>
                <w:sz w:val="20"/>
                <w:szCs w:val="20"/>
              </w:rPr>
              <w:t>9 683 389</w:t>
            </w:r>
          </w:p>
        </w:tc>
        <w:tc>
          <w:tcPr>
            <w:tcW w:w="1150" w:type="dxa"/>
            <w:vAlign w:val="center"/>
          </w:tcPr>
          <w:p w14:paraId="23A2604E" w14:textId="77777777" w:rsidR="00EE1CF5" w:rsidRPr="00FB007D" w:rsidRDefault="00EE1CF5" w:rsidP="00263AB1">
            <w:pPr>
              <w:ind w:firstLine="34"/>
              <w:jc w:val="center"/>
              <w:rPr>
                <w:color w:val="000000" w:themeColor="text1"/>
                <w:sz w:val="20"/>
                <w:szCs w:val="20"/>
                <w:highlight w:val="yellow"/>
              </w:rPr>
            </w:pPr>
            <w:r>
              <w:rPr>
                <w:color w:val="000000"/>
                <w:sz w:val="20"/>
                <w:szCs w:val="20"/>
              </w:rPr>
              <w:t>24 600 000</w:t>
            </w:r>
          </w:p>
        </w:tc>
        <w:tc>
          <w:tcPr>
            <w:tcW w:w="1316" w:type="dxa"/>
            <w:shd w:val="clear" w:color="auto" w:fill="auto"/>
            <w:noWrap/>
            <w:vAlign w:val="center"/>
          </w:tcPr>
          <w:p w14:paraId="27554DA1" w14:textId="77777777" w:rsidR="00EE1CF5" w:rsidRPr="00FB007D" w:rsidRDefault="00EE1CF5" w:rsidP="00263AB1">
            <w:pPr>
              <w:ind w:firstLine="34"/>
              <w:jc w:val="center"/>
              <w:rPr>
                <w:rFonts w:cs="Times New Roman"/>
                <w:color w:val="000000" w:themeColor="text1"/>
                <w:sz w:val="20"/>
                <w:szCs w:val="20"/>
                <w:highlight w:val="yellow"/>
              </w:rPr>
            </w:pPr>
            <w:r w:rsidRPr="004F58C9">
              <w:rPr>
                <w:color w:val="000000" w:themeColor="text1"/>
                <w:sz w:val="20"/>
                <w:szCs w:val="20"/>
              </w:rPr>
              <w:t>18 961 646</w:t>
            </w:r>
          </w:p>
        </w:tc>
        <w:tc>
          <w:tcPr>
            <w:tcW w:w="1329" w:type="dxa"/>
            <w:vAlign w:val="center"/>
          </w:tcPr>
          <w:p w14:paraId="0E8FE34C" w14:textId="77777777" w:rsidR="00EE1CF5" w:rsidRPr="00FB007D" w:rsidRDefault="00EE1CF5" w:rsidP="00263AB1">
            <w:pPr>
              <w:ind w:firstLine="34"/>
              <w:jc w:val="center"/>
              <w:rPr>
                <w:rFonts w:ascii="Calibri" w:hAnsi="Calibri"/>
                <w:color w:val="000000"/>
                <w:sz w:val="20"/>
                <w:szCs w:val="20"/>
                <w:highlight w:val="yellow"/>
              </w:rPr>
            </w:pPr>
            <w:r>
              <w:rPr>
                <w:color w:val="000000"/>
                <w:sz w:val="20"/>
                <w:szCs w:val="20"/>
              </w:rPr>
              <w:t>11 920 000</w:t>
            </w:r>
          </w:p>
        </w:tc>
        <w:tc>
          <w:tcPr>
            <w:tcW w:w="1237" w:type="dxa"/>
            <w:shd w:val="clear" w:color="auto" w:fill="auto"/>
            <w:noWrap/>
            <w:vAlign w:val="center"/>
          </w:tcPr>
          <w:p w14:paraId="410F8ADD" w14:textId="77777777" w:rsidR="00EE1CF5" w:rsidRPr="00FB007D" w:rsidRDefault="00EE1CF5" w:rsidP="00263AB1">
            <w:pPr>
              <w:ind w:firstLine="34"/>
              <w:jc w:val="center"/>
              <w:rPr>
                <w:rFonts w:ascii="Calibri" w:hAnsi="Calibri"/>
                <w:color w:val="000000"/>
                <w:sz w:val="20"/>
                <w:szCs w:val="20"/>
                <w:highlight w:val="yellow"/>
              </w:rPr>
            </w:pPr>
            <w:r>
              <w:rPr>
                <w:color w:val="000000"/>
                <w:sz w:val="20"/>
                <w:szCs w:val="20"/>
              </w:rPr>
              <w:t>26 500 000</w:t>
            </w:r>
          </w:p>
        </w:tc>
      </w:tr>
      <w:tr w:rsidR="00EE1CF5" w14:paraId="515380AC" w14:textId="77777777" w:rsidTr="00263AB1">
        <w:trPr>
          <w:trHeight w:val="288"/>
          <w:jc w:val="center"/>
        </w:trPr>
        <w:tc>
          <w:tcPr>
            <w:tcW w:w="4390" w:type="dxa"/>
            <w:shd w:val="clear" w:color="auto" w:fill="auto"/>
            <w:noWrap/>
            <w:vAlign w:val="bottom"/>
            <w:hideMark/>
          </w:tcPr>
          <w:p w14:paraId="518790D9" w14:textId="77777777" w:rsidR="00EE1CF5" w:rsidRPr="00E936FD" w:rsidRDefault="00EE1CF5" w:rsidP="00263AB1">
            <w:pPr>
              <w:ind w:firstLine="34"/>
              <w:rPr>
                <w:rFonts w:cs="Times New Roman"/>
                <w:sz w:val="20"/>
                <w:szCs w:val="20"/>
              </w:rPr>
            </w:pPr>
            <w:r w:rsidRPr="00E936FD">
              <w:rPr>
                <w:rFonts w:cs="Times New Roman"/>
                <w:sz w:val="20"/>
                <w:szCs w:val="20"/>
              </w:rPr>
              <w:t>OIK dotācija energoietilpīgo uzņēmumu atbalstam</w:t>
            </w:r>
          </w:p>
        </w:tc>
        <w:tc>
          <w:tcPr>
            <w:tcW w:w="1149" w:type="dxa"/>
            <w:vAlign w:val="center"/>
          </w:tcPr>
          <w:p w14:paraId="58CCB94F" w14:textId="77777777" w:rsidR="00EE1CF5" w:rsidRPr="00E936FD" w:rsidRDefault="00EE1CF5" w:rsidP="00263AB1">
            <w:pPr>
              <w:ind w:firstLine="34"/>
              <w:jc w:val="center"/>
              <w:rPr>
                <w:color w:val="000000"/>
                <w:sz w:val="20"/>
                <w:szCs w:val="20"/>
              </w:rPr>
            </w:pPr>
            <w:r w:rsidRPr="00E936FD">
              <w:rPr>
                <w:color w:val="000000"/>
                <w:sz w:val="20"/>
                <w:szCs w:val="20"/>
              </w:rPr>
              <w:t>3 370 000</w:t>
            </w:r>
          </w:p>
        </w:tc>
        <w:tc>
          <w:tcPr>
            <w:tcW w:w="1252" w:type="dxa"/>
            <w:vAlign w:val="center"/>
          </w:tcPr>
          <w:p w14:paraId="40EDFBCB" w14:textId="77777777" w:rsidR="00EE1CF5" w:rsidRPr="00E936FD" w:rsidRDefault="00EE1CF5" w:rsidP="00263AB1">
            <w:pPr>
              <w:ind w:firstLine="34"/>
              <w:jc w:val="center"/>
              <w:rPr>
                <w:color w:val="000000"/>
                <w:sz w:val="20"/>
                <w:szCs w:val="20"/>
              </w:rPr>
            </w:pPr>
            <w:r w:rsidRPr="00CC1961">
              <w:rPr>
                <w:rFonts w:cs="Times New Roman"/>
                <w:color w:val="000000"/>
                <w:sz w:val="20"/>
                <w:szCs w:val="20"/>
              </w:rPr>
              <w:t>7 000 000</w:t>
            </w:r>
          </w:p>
        </w:tc>
        <w:tc>
          <w:tcPr>
            <w:tcW w:w="1242" w:type="dxa"/>
            <w:shd w:val="clear" w:color="auto" w:fill="auto"/>
            <w:noWrap/>
            <w:vAlign w:val="center"/>
          </w:tcPr>
          <w:p w14:paraId="04E16A66" w14:textId="77777777" w:rsidR="00EE1CF5" w:rsidRPr="00E936FD" w:rsidRDefault="00EE1CF5" w:rsidP="00263AB1">
            <w:pPr>
              <w:ind w:firstLine="34"/>
              <w:jc w:val="center"/>
              <w:rPr>
                <w:rFonts w:cs="Times New Roman"/>
                <w:sz w:val="20"/>
                <w:szCs w:val="20"/>
              </w:rPr>
            </w:pPr>
            <w:r w:rsidRPr="00E936FD">
              <w:rPr>
                <w:color w:val="000000"/>
                <w:sz w:val="20"/>
                <w:szCs w:val="20"/>
              </w:rPr>
              <w:t>3 370 000</w:t>
            </w:r>
          </w:p>
        </w:tc>
        <w:tc>
          <w:tcPr>
            <w:tcW w:w="1150" w:type="dxa"/>
            <w:vAlign w:val="center"/>
          </w:tcPr>
          <w:p w14:paraId="56BB81C0" w14:textId="77777777" w:rsidR="00EE1CF5" w:rsidRPr="00E936FD" w:rsidRDefault="00EE1CF5" w:rsidP="00263AB1">
            <w:pPr>
              <w:ind w:firstLine="34"/>
              <w:jc w:val="center"/>
              <w:rPr>
                <w:color w:val="000000"/>
                <w:sz w:val="20"/>
                <w:szCs w:val="20"/>
              </w:rPr>
            </w:pPr>
            <w:r>
              <w:rPr>
                <w:color w:val="000000"/>
                <w:sz w:val="20"/>
                <w:szCs w:val="20"/>
              </w:rPr>
              <w:t>7 000 000</w:t>
            </w:r>
          </w:p>
        </w:tc>
        <w:tc>
          <w:tcPr>
            <w:tcW w:w="1316" w:type="dxa"/>
            <w:shd w:val="clear" w:color="auto" w:fill="auto"/>
            <w:noWrap/>
            <w:vAlign w:val="center"/>
          </w:tcPr>
          <w:p w14:paraId="726D9384" w14:textId="77777777" w:rsidR="00EE1CF5" w:rsidRPr="00E936FD" w:rsidRDefault="00EE1CF5" w:rsidP="00263AB1">
            <w:pPr>
              <w:ind w:firstLine="34"/>
              <w:jc w:val="center"/>
              <w:rPr>
                <w:rFonts w:cs="Times New Roman"/>
                <w:sz w:val="20"/>
                <w:szCs w:val="20"/>
              </w:rPr>
            </w:pPr>
            <w:r w:rsidRPr="00E936FD">
              <w:rPr>
                <w:color w:val="000000"/>
                <w:sz w:val="20"/>
                <w:szCs w:val="20"/>
              </w:rPr>
              <w:t>3 370 000</w:t>
            </w:r>
          </w:p>
        </w:tc>
        <w:tc>
          <w:tcPr>
            <w:tcW w:w="1329" w:type="dxa"/>
            <w:vAlign w:val="center"/>
          </w:tcPr>
          <w:p w14:paraId="70C116F3" w14:textId="77777777" w:rsidR="00EE1CF5" w:rsidRPr="002E6BBE" w:rsidRDefault="00EE1CF5" w:rsidP="00263AB1">
            <w:pPr>
              <w:ind w:firstLine="34"/>
              <w:jc w:val="center"/>
              <w:rPr>
                <w:color w:val="000000"/>
                <w:sz w:val="20"/>
                <w:szCs w:val="20"/>
              </w:rPr>
            </w:pPr>
            <w:r w:rsidRPr="002E6BBE">
              <w:rPr>
                <w:color w:val="000000"/>
                <w:sz w:val="20"/>
                <w:szCs w:val="20"/>
              </w:rPr>
              <w:t>7 000 000</w:t>
            </w:r>
          </w:p>
        </w:tc>
        <w:tc>
          <w:tcPr>
            <w:tcW w:w="1237" w:type="dxa"/>
            <w:tcBorders>
              <w:right w:val="single" w:sz="4" w:space="0" w:color="auto"/>
            </w:tcBorders>
            <w:shd w:val="clear" w:color="auto" w:fill="auto"/>
            <w:noWrap/>
            <w:vAlign w:val="center"/>
          </w:tcPr>
          <w:p w14:paraId="3A9A6CFA" w14:textId="77777777" w:rsidR="00EE1CF5" w:rsidRPr="002E6BBE" w:rsidRDefault="00EE1CF5" w:rsidP="00263AB1">
            <w:pPr>
              <w:ind w:firstLine="34"/>
              <w:jc w:val="center"/>
              <w:rPr>
                <w:rFonts w:cs="Times New Roman"/>
                <w:sz w:val="20"/>
                <w:szCs w:val="20"/>
              </w:rPr>
            </w:pPr>
            <w:r w:rsidRPr="002E6BBE">
              <w:rPr>
                <w:color w:val="000000"/>
                <w:sz w:val="20"/>
                <w:szCs w:val="20"/>
              </w:rPr>
              <w:t>7 000 000</w:t>
            </w:r>
          </w:p>
        </w:tc>
      </w:tr>
      <w:tr w:rsidR="00EE1CF5" w14:paraId="47B26680" w14:textId="77777777" w:rsidTr="00263AB1">
        <w:trPr>
          <w:trHeight w:val="201"/>
          <w:jc w:val="center"/>
        </w:trPr>
        <w:tc>
          <w:tcPr>
            <w:tcW w:w="4390" w:type="dxa"/>
            <w:shd w:val="clear" w:color="auto" w:fill="auto"/>
            <w:vAlign w:val="center"/>
          </w:tcPr>
          <w:p w14:paraId="0B7C15C3" w14:textId="77777777" w:rsidR="00EE1CF5" w:rsidRPr="00BD5363" w:rsidRDefault="00EE1CF5" w:rsidP="00263AB1">
            <w:pPr>
              <w:ind w:firstLine="34"/>
              <w:rPr>
                <w:rFonts w:eastAsia="Times New Roman"/>
                <w:color w:val="000000"/>
                <w:sz w:val="20"/>
                <w:szCs w:val="20"/>
              </w:rPr>
            </w:pPr>
            <w:r w:rsidRPr="00BD5363">
              <w:rPr>
                <w:rFonts w:cs="Times New Roman"/>
                <w:sz w:val="20"/>
                <w:szCs w:val="20"/>
              </w:rPr>
              <w:t>Avansa maksājums jaudas maksājuma kompensācijai</w:t>
            </w:r>
          </w:p>
        </w:tc>
        <w:tc>
          <w:tcPr>
            <w:tcW w:w="1149" w:type="dxa"/>
            <w:vAlign w:val="center"/>
          </w:tcPr>
          <w:p w14:paraId="325B940F" w14:textId="77777777" w:rsidR="00EE1CF5" w:rsidRPr="00BD5363" w:rsidRDefault="00EE1CF5" w:rsidP="00263AB1">
            <w:pPr>
              <w:ind w:firstLine="34"/>
              <w:jc w:val="center"/>
              <w:rPr>
                <w:color w:val="000000"/>
                <w:sz w:val="20"/>
                <w:szCs w:val="20"/>
              </w:rPr>
            </w:pPr>
            <w:r w:rsidRPr="00BD5363">
              <w:rPr>
                <w:color w:val="000000"/>
                <w:sz w:val="20"/>
                <w:szCs w:val="20"/>
              </w:rPr>
              <w:t>28 570 909</w:t>
            </w:r>
          </w:p>
        </w:tc>
        <w:tc>
          <w:tcPr>
            <w:tcW w:w="1252" w:type="dxa"/>
            <w:vAlign w:val="center"/>
          </w:tcPr>
          <w:p w14:paraId="7E4BE274" w14:textId="77777777" w:rsidR="00EE1CF5" w:rsidRPr="00BD5363" w:rsidRDefault="00EE1CF5" w:rsidP="00263AB1">
            <w:pPr>
              <w:ind w:firstLine="34"/>
              <w:jc w:val="center"/>
              <w:rPr>
                <w:color w:val="000000"/>
                <w:sz w:val="20"/>
                <w:szCs w:val="20"/>
              </w:rPr>
            </w:pPr>
            <w:r w:rsidRPr="00BD5363">
              <w:rPr>
                <w:rFonts w:cs="Times New Roman"/>
                <w:color w:val="000000"/>
                <w:sz w:val="20"/>
                <w:szCs w:val="20"/>
              </w:rPr>
              <w:t>81 003 556</w:t>
            </w:r>
          </w:p>
        </w:tc>
        <w:tc>
          <w:tcPr>
            <w:tcW w:w="1242" w:type="dxa"/>
            <w:shd w:val="clear" w:color="auto" w:fill="auto"/>
            <w:noWrap/>
            <w:vAlign w:val="center"/>
          </w:tcPr>
          <w:p w14:paraId="403B88A2" w14:textId="77777777" w:rsidR="00EE1CF5" w:rsidRPr="00BD5363" w:rsidRDefault="00EE1CF5" w:rsidP="00263AB1">
            <w:pPr>
              <w:ind w:firstLine="34"/>
              <w:jc w:val="center"/>
              <w:rPr>
                <w:rFonts w:cs="Times New Roman"/>
                <w:sz w:val="20"/>
                <w:szCs w:val="20"/>
              </w:rPr>
            </w:pPr>
            <w:r w:rsidRPr="00BD5363">
              <w:rPr>
                <w:color w:val="000000"/>
                <w:sz w:val="20"/>
                <w:szCs w:val="20"/>
              </w:rPr>
              <w:t>28 570 909</w:t>
            </w:r>
          </w:p>
        </w:tc>
        <w:tc>
          <w:tcPr>
            <w:tcW w:w="1150" w:type="dxa"/>
            <w:vAlign w:val="center"/>
          </w:tcPr>
          <w:p w14:paraId="46F57882" w14:textId="77777777" w:rsidR="00EE1CF5" w:rsidRPr="00BD5363" w:rsidRDefault="00EE1CF5" w:rsidP="00263AB1">
            <w:pPr>
              <w:ind w:firstLine="34"/>
              <w:jc w:val="center"/>
              <w:rPr>
                <w:color w:val="000000"/>
                <w:sz w:val="20"/>
                <w:szCs w:val="20"/>
              </w:rPr>
            </w:pPr>
            <w:r w:rsidRPr="00BD5363">
              <w:rPr>
                <w:color w:val="000000"/>
                <w:sz w:val="20"/>
                <w:szCs w:val="20"/>
              </w:rPr>
              <w:t>24 000 992</w:t>
            </w:r>
          </w:p>
        </w:tc>
        <w:tc>
          <w:tcPr>
            <w:tcW w:w="1316" w:type="dxa"/>
            <w:shd w:val="clear" w:color="auto" w:fill="auto"/>
            <w:noWrap/>
            <w:vAlign w:val="center"/>
          </w:tcPr>
          <w:p w14:paraId="521CDBE8" w14:textId="77777777" w:rsidR="00EE1CF5" w:rsidRPr="00BD5363" w:rsidRDefault="00EE1CF5" w:rsidP="00263AB1">
            <w:pPr>
              <w:ind w:firstLine="34"/>
              <w:jc w:val="center"/>
              <w:rPr>
                <w:rFonts w:cs="Times New Roman"/>
                <w:sz w:val="20"/>
                <w:szCs w:val="20"/>
              </w:rPr>
            </w:pPr>
            <w:r w:rsidRPr="00BD5363">
              <w:rPr>
                <w:color w:val="000000"/>
                <w:sz w:val="20"/>
                <w:szCs w:val="20"/>
              </w:rPr>
              <w:t>28 570 909</w:t>
            </w:r>
          </w:p>
        </w:tc>
        <w:tc>
          <w:tcPr>
            <w:tcW w:w="1329" w:type="dxa"/>
            <w:vAlign w:val="center"/>
          </w:tcPr>
          <w:p w14:paraId="382D3477" w14:textId="77777777" w:rsidR="00EE1CF5" w:rsidRPr="002E6BBE" w:rsidRDefault="00EE1CF5" w:rsidP="00263AB1">
            <w:pPr>
              <w:ind w:firstLine="34"/>
              <w:jc w:val="center"/>
              <w:rPr>
                <w:color w:val="000000"/>
                <w:sz w:val="20"/>
                <w:szCs w:val="20"/>
              </w:rPr>
            </w:pPr>
            <w:r w:rsidRPr="002E6BBE">
              <w:rPr>
                <w:color w:val="000000"/>
                <w:sz w:val="20"/>
                <w:szCs w:val="20"/>
              </w:rPr>
              <w:t>24 000 992</w:t>
            </w:r>
          </w:p>
        </w:tc>
        <w:tc>
          <w:tcPr>
            <w:tcW w:w="1237" w:type="dxa"/>
            <w:tcBorders>
              <w:right w:val="single" w:sz="4" w:space="0" w:color="auto"/>
            </w:tcBorders>
            <w:shd w:val="clear" w:color="auto" w:fill="auto"/>
            <w:noWrap/>
            <w:vAlign w:val="center"/>
          </w:tcPr>
          <w:p w14:paraId="39428343" w14:textId="77777777" w:rsidR="00EE1CF5" w:rsidRPr="002E6BBE" w:rsidRDefault="00EE1CF5" w:rsidP="00263AB1">
            <w:pPr>
              <w:ind w:firstLine="34"/>
              <w:jc w:val="center"/>
              <w:rPr>
                <w:rFonts w:cs="Times New Roman"/>
                <w:sz w:val="20"/>
                <w:szCs w:val="20"/>
              </w:rPr>
            </w:pPr>
            <w:r w:rsidRPr="002E6BBE">
              <w:rPr>
                <w:color w:val="000000"/>
                <w:sz w:val="20"/>
                <w:szCs w:val="20"/>
              </w:rPr>
              <w:t>24 000 992</w:t>
            </w:r>
          </w:p>
        </w:tc>
      </w:tr>
      <w:tr w:rsidR="00EE1CF5" w14:paraId="6BE956EC" w14:textId="77777777" w:rsidTr="00263AB1">
        <w:trPr>
          <w:trHeight w:val="201"/>
          <w:jc w:val="center"/>
        </w:trPr>
        <w:tc>
          <w:tcPr>
            <w:tcW w:w="4390" w:type="dxa"/>
            <w:shd w:val="clear" w:color="auto" w:fill="auto"/>
            <w:vAlign w:val="center"/>
            <w:hideMark/>
          </w:tcPr>
          <w:p w14:paraId="22130914" w14:textId="77777777" w:rsidR="00EE1CF5" w:rsidRPr="00BD5363" w:rsidRDefault="00EE1CF5" w:rsidP="00263AB1">
            <w:pPr>
              <w:ind w:firstLine="34"/>
              <w:jc w:val="left"/>
              <w:rPr>
                <w:rFonts w:cs="Times New Roman"/>
                <w:sz w:val="20"/>
                <w:szCs w:val="20"/>
              </w:rPr>
            </w:pPr>
            <w:r w:rsidRPr="00BD5363">
              <w:rPr>
                <w:rFonts w:cs="Times New Roman"/>
                <w:sz w:val="20"/>
                <w:szCs w:val="20"/>
              </w:rPr>
              <w:t>Aizsargātie lietotāji</w:t>
            </w:r>
          </w:p>
        </w:tc>
        <w:tc>
          <w:tcPr>
            <w:tcW w:w="1149" w:type="dxa"/>
            <w:vAlign w:val="center"/>
          </w:tcPr>
          <w:p w14:paraId="4F50102B" w14:textId="77777777" w:rsidR="00EE1CF5" w:rsidRPr="00BD5363" w:rsidRDefault="00EE1CF5" w:rsidP="00263AB1">
            <w:pPr>
              <w:ind w:firstLine="34"/>
              <w:jc w:val="center"/>
              <w:rPr>
                <w:color w:val="000000"/>
                <w:sz w:val="20"/>
                <w:szCs w:val="20"/>
              </w:rPr>
            </w:pPr>
            <w:r w:rsidRPr="00BD5363">
              <w:rPr>
                <w:color w:val="000000"/>
                <w:sz w:val="20"/>
                <w:szCs w:val="20"/>
              </w:rPr>
              <w:t>5 782 117</w:t>
            </w:r>
          </w:p>
        </w:tc>
        <w:tc>
          <w:tcPr>
            <w:tcW w:w="1252" w:type="dxa"/>
            <w:vAlign w:val="center"/>
          </w:tcPr>
          <w:p w14:paraId="4D891B89" w14:textId="77777777" w:rsidR="00EE1CF5" w:rsidRPr="00BD5363" w:rsidRDefault="00EE1CF5" w:rsidP="00263AB1">
            <w:pPr>
              <w:ind w:firstLine="34"/>
              <w:jc w:val="center"/>
              <w:rPr>
                <w:color w:val="000000"/>
                <w:sz w:val="20"/>
                <w:szCs w:val="20"/>
              </w:rPr>
            </w:pPr>
            <w:r w:rsidRPr="00BD5363">
              <w:rPr>
                <w:color w:val="000000"/>
                <w:sz w:val="20"/>
                <w:szCs w:val="20"/>
              </w:rPr>
              <w:t>5 782 117</w:t>
            </w:r>
          </w:p>
        </w:tc>
        <w:tc>
          <w:tcPr>
            <w:tcW w:w="1242" w:type="dxa"/>
            <w:shd w:val="clear" w:color="auto" w:fill="auto"/>
            <w:noWrap/>
            <w:vAlign w:val="center"/>
          </w:tcPr>
          <w:p w14:paraId="1FF22F69" w14:textId="77777777" w:rsidR="00EE1CF5" w:rsidRPr="00BD5363" w:rsidRDefault="00EE1CF5" w:rsidP="00263AB1">
            <w:pPr>
              <w:ind w:firstLine="34"/>
              <w:jc w:val="center"/>
              <w:rPr>
                <w:rFonts w:cs="Times New Roman"/>
                <w:sz w:val="20"/>
                <w:szCs w:val="20"/>
              </w:rPr>
            </w:pPr>
            <w:r w:rsidRPr="00BD5363">
              <w:rPr>
                <w:color w:val="000000"/>
                <w:sz w:val="20"/>
                <w:szCs w:val="20"/>
              </w:rPr>
              <w:t>5 782 117</w:t>
            </w:r>
          </w:p>
        </w:tc>
        <w:tc>
          <w:tcPr>
            <w:tcW w:w="1150" w:type="dxa"/>
            <w:vAlign w:val="center"/>
          </w:tcPr>
          <w:p w14:paraId="2911A46A" w14:textId="77777777" w:rsidR="00EE1CF5" w:rsidRPr="00BD5363" w:rsidRDefault="00EE1CF5" w:rsidP="00263AB1">
            <w:pPr>
              <w:ind w:firstLine="34"/>
              <w:jc w:val="center"/>
              <w:rPr>
                <w:color w:val="000000"/>
                <w:sz w:val="20"/>
                <w:szCs w:val="20"/>
              </w:rPr>
            </w:pPr>
            <w:r w:rsidRPr="00823E5F">
              <w:rPr>
                <w:color w:val="000000"/>
                <w:sz w:val="20"/>
                <w:szCs w:val="20"/>
              </w:rPr>
              <w:t>6 706 014</w:t>
            </w:r>
          </w:p>
        </w:tc>
        <w:tc>
          <w:tcPr>
            <w:tcW w:w="1316" w:type="dxa"/>
            <w:shd w:val="clear" w:color="auto" w:fill="auto"/>
            <w:noWrap/>
            <w:vAlign w:val="center"/>
          </w:tcPr>
          <w:p w14:paraId="24DD451C" w14:textId="77777777" w:rsidR="00EE1CF5" w:rsidRPr="00BD5363" w:rsidRDefault="00EE1CF5" w:rsidP="00263AB1">
            <w:pPr>
              <w:ind w:firstLine="34"/>
              <w:jc w:val="center"/>
              <w:rPr>
                <w:rFonts w:cs="Times New Roman"/>
                <w:sz w:val="20"/>
                <w:szCs w:val="20"/>
              </w:rPr>
            </w:pPr>
            <w:r w:rsidRPr="00BD5363">
              <w:rPr>
                <w:color w:val="000000"/>
                <w:sz w:val="20"/>
                <w:szCs w:val="20"/>
              </w:rPr>
              <w:t>5 782 117</w:t>
            </w:r>
          </w:p>
        </w:tc>
        <w:tc>
          <w:tcPr>
            <w:tcW w:w="1329" w:type="dxa"/>
            <w:vAlign w:val="center"/>
          </w:tcPr>
          <w:p w14:paraId="57B10B67" w14:textId="77777777" w:rsidR="00EE1CF5" w:rsidRPr="002E6BBE" w:rsidRDefault="00EE1CF5" w:rsidP="00263AB1">
            <w:pPr>
              <w:ind w:firstLine="34"/>
              <w:jc w:val="center"/>
              <w:rPr>
                <w:color w:val="000000"/>
                <w:sz w:val="20"/>
                <w:szCs w:val="20"/>
              </w:rPr>
            </w:pPr>
            <w:r w:rsidRPr="00823E5F">
              <w:rPr>
                <w:color w:val="000000"/>
                <w:sz w:val="20"/>
                <w:szCs w:val="20"/>
              </w:rPr>
              <w:t>6 706 014</w:t>
            </w:r>
          </w:p>
        </w:tc>
        <w:tc>
          <w:tcPr>
            <w:tcW w:w="1237" w:type="dxa"/>
            <w:tcBorders>
              <w:right w:val="single" w:sz="4" w:space="0" w:color="auto"/>
            </w:tcBorders>
            <w:shd w:val="clear" w:color="auto" w:fill="auto"/>
            <w:noWrap/>
            <w:vAlign w:val="center"/>
          </w:tcPr>
          <w:p w14:paraId="3E0F4C27" w14:textId="77777777" w:rsidR="00EE1CF5" w:rsidRPr="002E6BBE" w:rsidRDefault="00EE1CF5" w:rsidP="00263AB1">
            <w:pPr>
              <w:ind w:firstLine="34"/>
              <w:jc w:val="center"/>
              <w:rPr>
                <w:rFonts w:cs="Times New Roman"/>
                <w:sz w:val="20"/>
                <w:szCs w:val="20"/>
              </w:rPr>
            </w:pPr>
            <w:r w:rsidRPr="00823E5F">
              <w:rPr>
                <w:color w:val="000000"/>
                <w:sz w:val="20"/>
                <w:szCs w:val="20"/>
              </w:rPr>
              <w:t>6 706 014</w:t>
            </w:r>
          </w:p>
        </w:tc>
      </w:tr>
      <w:tr w:rsidR="00EE1CF5" w14:paraId="2441154E" w14:textId="77777777" w:rsidTr="00263AB1">
        <w:trPr>
          <w:trHeight w:val="288"/>
          <w:jc w:val="center"/>
        </w:trPr>
        <w:tc>
          <w:tcPr>
            <w:tcW w:w="4390" w:type="dxa"/>
            <w:shd w:val="clear" w:color="auto" w:fill="auto"/>
            <w:noWrap/>
            <w:vAlign w:val="bottom"/>
          </w:tcPr>
          <w:p w14:paraId="71B88502" w14:textId="77777777" w:rsidR="00EE1CF5" w:rsidRPr="00E936FD" w:rsidRDefault="00EE1CF5" w:rsidP="00263AB1">
            <w:pPr>
              <w:ind w:firstLine="34"/>
              <w:jc w:val="left"/>
              <w:rPr>
                <w:rFonts w:cs="Times New Roman"/>
                <w:bCs/>
                <w:sz w:val="20"/>
                <w:szCs w:val="20"/>
              </w:rPr>
            </w:pPr>
            <w:r w:rsidRPr="00E936FD">
              <w:rPr>
                <w:rFonts w:cs="Times New Roman"/>
                <w:bCs/>
                <w:sz w:val="20"/>
                <w:szCs w:val="20"/>
              </w:rPr>
              <w:t>VPP enerģētikā, t.sk. izveides un administrēšanas vajadzībām</w:t>
            </w:r>
          </w:p>
        </w:tc>
        <w:tc>
          <w:tcPr>
            <w:tcW w:w="1149" w:type="dxa"/>
            <w:vAlign w:val="center"/>
          </w:tcPr>
          <w:p w14:paraId="4ED37F82" w14:textId="77777777" w:rsidR="00EE1CF5" w:rsidRPr="00E936FD" w:rsidRDefault="00EE1CF5" w:rsidP="00263AB1">
            <w:pPr>
              <w:ind w:firstLine="34"/>
              <w:jc w:val="center"/>
              <w:rPr>
                <w:color w:val="000000"/>
                <w:sz w:val="20"/>
                <w:szCs w:val="20"/>
              </w:rPr>
            </w:pPr>
            <w:r w:rsidRPr="00E936FD">
              <w:rPr>
                <w:color w:val="000000"/>
                <w:sz w:val="20"/>
                <w:szCs w:val="20"/>
              </w:rPr>
              <w:t>2 000 000</w:t>
            </w:r>
          </w:p>
        </w:tc>
        <w:tc>
          <w:tcPr>
            <w:tcW w:w="1252" w:type="dxa"/>
            <w:vAlign w:val="center"/>
          </w:tcPr>
          <w:p w14:paraId="22CF79B7"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2 000 000</w:t>
            </w:r>
          </w:p>
        </w:tc>
        <w:tc>
          <w:tcPr>
            <w:tcW w:w="1242" w:type="dxa"/>
            <w:shd w:val="clear" w:color="auto" w:fill="auto"/>
            <w:noWrap/>
            <w:vAlign w:val="center"/>
          </w:tcPr>
          <w:p w14:paraId="0C7D3302" w14:textId="77777777" w:rsidR="00EE1CF5" w:rsidRPr="00E936FD" w:rsidRDefault="00EE1CF5" w:rsidP="00263AB1">
            <w:pPr>
              <w:ind w:firstLine="34"/>
              <w:jc w:val="center"/>
              <w:rPr>
                <w:rFonts w:cs="Times New Roman"/>
                <w:sz w:val="20"/>
                <w:szCs w:val="20"/>
              </w:rPr>
            </w:pPr>
            <w:r w:rsidRPr="004821E5">
              <w:rPr>
                <w:color w:val="000000"/>
                <w:sz w:val="20"/>
                <w:szCs w:val="20"/>
              </w:rPr>
              <w:t>2 000 000</w:t>
            </w:r>
          </w:p>
        </w:tc>
        <w:tc>
          <w:tcPr>
            <w:tcW w:w="1150" w:type="dxa"/>
            <w:vAlign w:val="center"/>
          </w:tcPr>
          <w:p w14:paraId="3A1A78D1" w14:textId="77777777" w:rsidR="00EE1CF5" w:rsidRPr="00E936FD" w:rsidRDefault="00EE1CF5" w:rsidP="00263AB1">
            <w:pPr>
              <w:ind w:firstLine="34"/>
              <w:jc w:val="center"/>
              <w:rPr>
                <w:color w:val="000000"/>
                <w:sz w:val="20"/>
                <w:szCs w:val="20"/>
              </w:rPr>
            </w:pPr>
            <w:r w:rsidRPr="004821E5">
              <w:rPr>
                <w:color w:val="000000"/>
                <w:sz w:val="20"/>
                <w:szCs w:val="20"/>
              </w:rPr>
              <w:t>2 000 000</w:t>
            </w:r>
          </w:p>
        </w:tc>
        <w:tc>
          <w:tcPr>
            <w:tcW w:w="1316" w:type="dxa"/>
            <w:shd w:val="clear" w:color="auto" w:fill="auto"/>
            <w:noWrap/>
            <w:vAlign w:val="center"/>
          </w:tcPr>
          <w:p w14:paraId="2499C065" w14:textId="77777777" w:rsidR="00EE1CF5" w:rsidRPr="00E936FD" w:rsidRDefault="00EE1CF5" w:rsidP="00263AB1">
            <w:pPr>
              <w:ind w:firstLine="34"/>
              <w:jc w:val="center"/>
              <w:rPr>
                <w:rFonts w:cs="Times New Roman"/>
                <w:sz w:val="20"/>
                <w:szCs w:val="20"/>
              </w:rPr>
            </w:pPr>
            <w:r w:rsidRPr="004821E5">
              <w:rPr>
                <w:color w:val="000000"/>
                <w:sz w:val="20"/>
                <w:szCs w:val="20"/>
              </w:rPr>
              <w:t>2 000 000</w:t>
            </w:r>
          </w:p>
        </w:tc>
        <w:tc>
          <w:tcPr>
            <w:tcW w:w="1329" w:type="dxa"/>
            <w:vAlign w:val="center"/>
          </w:tcPr>
          <w:p w14:paraId="3976ADB2" w14:textId="77777777" w:rsidR="00EE1CF5" w:rsidRPr="002E6BBE" w:rsidRDefault="00EE1CF5" w:rsidP="00263AB1">
            <w:pPr>
              <w:ind w:firstLine="34"/>
              <w:jc w:val="center"/>
              <w:rPr>
                <w:color w:val="000000"/>
                <w:sz w:val="20"/>
                <w:szCs w:val="20"/>
              </w:rPr>
            </w:pPr>
            <w:r w:rsidRPr="002E6BBE">
              <w:rPr>
                <w:color w:val="000000"/>
                <w:sz w:val="20"/>
                <w:szCs w:val="20"/>
              </w:rPr>
              <w:t>2 000 000</w:t>
            </w:r>
          </w:p>
        </w:tc>
        <w:tc>
          <w:tcPr>
            <w:tcW w:w="1237" w:type="dxa"/>
            <w:tcBorders>
              <w:right w:val="single" w:sz="4" w:space="0" w:color="auto"/>
            </w:tcBorders>
            <w:shd w:val="clear" w:color="auto" w:fill="auto"/>
            <w:noWrap/>
            <w:vAlign w:val="center"/>
          </w:tcPr>
          <w:p w14:paraId="18F258B0" w14:textId="77777777" w:rsidR="00EE1CF5" w:rsidRPr="002E6BBE" w:rsidRDefault="00EE1CF5" w:rsidP="00263AB1">
            <w:pPr>
              <w:ind w:firstLine="34"/>
              <w:jc w:val="center"/>
              <w:rPr>
                <w:rFonts w:cs="Times New Roman"/>
                <w:sz w:val="20"/>
                <w:szCs w:val="20"/>
              </w:rPr>
            </w:pPr>
            <w:r w:rsidRPr="002E6BBE">
              <w:rPr>
                <w:color w:val="000000"/>
                <w:sz w:val="20"/>
                <w:szCs w:val="20"/>
              </w:rPr>
              <w:t>2 000 000</w:t>
            </w:r>
          </w:p>
        </w:tc>
      </w:tr>
      <w:tr w:rsidR="00EE1CF5" w14:paraId="2022E637" w14:textId="77777777" w:rsidTr="00263AB1">
        <w:trPr>
          <w:trHeight w:val="288"/>
          <w:jc w:val="center"/>
        </w:trPr>
        <w:tc>
          <w:tcPr>
            <w:tcW w:w="4390" w:type="dxa"/>
            <w:shd w:val="clear" w:color="auto" w:fill="auto"/>
            <w:noWrap/>
            <w:vAlign w:val="bottom"/>
            <w:hideMark/>
          </w:tcPr>
          <w:p w14:paraId="6FDB221B"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Valsts budžeta ieņēmumi</w:t>
            </w:r>
          </w:p>
        </w:tc>
        <w:tc>
          <w:tcPr>
            <w:tcW w:w="1149" w:type="dxa"/>
            <w:vAlign w:val="center"/>
          </w:tcPr>
          <w:p w14:paraId="44B85EAB" w14:textId="77777777" w:rsidR="00EE1CF5" w:rsidRDefault="00EE1CF5" w:rsidP="00263AB1">
            <w:pPr>
              <w:ind w:firstLine="34"/>
              <w:jc w:val="center"/>
              <w:rPr>
                <w:b/>
                <w:bCs/>
                <w:color w:val="000000"/>
                <w:sz w:val="20"/>
                <w:szCs w:val="20"/>
              </w:rPr>
            </w:pPr>
            <w:r>
              <w:rPr>
                <w:b/>
                <w:bCs/>
                <w:color w:val="000000"/>
                <w:sz w:val="20"/>
                <w:szCs w:val="20"/>
              </w:rPr>
              <w:t>48</w:t>
            </w:r>
            <w:r w:rsidRPr="00E936FD">
              <w:rPr>
                <w:b/>
                <w:bCs/>
                <w:color w:val="000000"/>
                <w:sz w:val="20"/>
                <w:szCs w:val="20"/>
              </w:rPr>
              <w:t xml:space="preserve"> 808 711</w:t>
            </w:r>
          </w:p>
        </w:tc>
        <w:tc>
          <w:tcPr>
            <w:tcW w:w="1252" w:type="dxa"/>
            <w:vAlign w:val="center"/>
          </w:tcPr>
          <w:p w14:paraId="70149F82" w14:textId="77777777" w:rsidR="00EE1CF5" w:rsidRDefault="00EE1CF5" w:rsidP="00263AB1">
            <w:pPr>
              <w:ind w:firstLine="34"/>
              <w:jc w:val="center"/>
              <w:rPr>
                <w:b/>
                <w:bCs/>
                <w:color w:val="000000"/>
                <w:sz w:val="20"/>
                <w:szCs w:val="20"/>
              </w:rPr>
            </w:pPr>
            <w:r w:rsidRPr="00CC1961">
              <w:rPr>
                <w:b/>
                <w:bCs/>
                <w:color w:val="000000"/>
                <w:sz w:val="20"/>
                <w:szCs w:val="20"/>
              </w:rPr>
              <w:t>104 248 888</w:t>
            </w:r>
          </w:p>
        </w:tc>
        <w:tc>
          <w:tcPr>
            <w:tcW w:w="1242" w:type="dxa"/>
            <w:shd w:val="clear" w:color="auto" w:fill="auto"/>
            <w:noWrap/>
            <w:vAlign w:val="center"/>
          </w:tcPr>
          <w:p w14:paraId="623832D0" w14:textId="77777777" w:rsidR="00EE1CF5" w:rsidRPr="00E936FD" w:rsidRDefault="00EE1CF5" w:rsidP="00263AB1">
            <w:pPr>
              <w:ind w:firstLine="34"/>
              <w:jc w:val="center"/>
              <w:rPr>
                <w:rFonts w:cs="Times New Roman"/>
                <w:b/>
                <w:bCs/>
                <w:color w:val="000000"/>
                <w:sz w:val="20"/>
                <w:szCs w:val="20"/>
              </w:rPr>
            </w:pPr>
            <w:r w:rsidRPr="00CC1961">
              <w:rPr>
                <w:b/>
                <w:bCs/>
                <w:color w:val="000000"/>
                <w:sz w:val="20"/>
                <w:szCs w:val="20"/>
              </w:rPr>
              <w:t>49 406 416</w:t>
            </w:r>
          </w:p>
        </w:tc>
        <w:tc>
          <w:tcPr>
            <w:tcW w:w="1150" w:type="dxa"/>
            <w:vAlign w:val="center"/>
          </w:tcPr>
          <w:p w14:paraId="210247AE" w14:textId="77777777" w:rsidR="00EE1CF5" w:rsidRPr="00E936FD" w:rsidRDefault="00EE1CF5" w:rsidP="00263AB1">
            <w:pPr>
              <w:jc w:val="center"/>
              <w:rPr>
                <w:b/>
                <w:bCs/>
                <w:color w:val="000000"/>
                <w:sz w:val="20"/>
                <w:szCs w:val="20"/>
              </w:rPr>
            </w:pPr>
            <w:r>
              <w:rPr>
                <w:b/>
                <w:bCs/>
                <w:color w:val="000000"/>
                <w:sz w:val="20"/>
                <w:szCs w:val="20"/>
              </w:rPr>
              <w:t>64 307 006</w:t>
            </w:r>
          </w:p>
        </w:tc>
        <w:tc>
          <w:tcPr>
            <w:tcW w:w="1316" w:type="dxa"/>
            <w:shd w:val="clear" w:color="auto" w:fill="auto"/>
            <w:noWrap/>
            <w:vAlign w:val="center"/>
          </w:tcPr>
          <w:p w14:paraId="6F84AA30" w14:textId="77777777" w:rsidR="00EE1CF5" w:rsidRPr="00E936FD" w:rsidRDefault="00EE1CF5" w:rsidP="00263AB1">
            <w:pPr>
              <w:ind w:firstLine="34"/>
              <w:jc w:val="center"/>
              <w:rPr>
                <w:rFonts w:cs="Times New Roman"/>
                <w:b/>
                <w:bCs/>
                <w:color w:val="000000"/>
                <w:sz w:val="20"/>
                <w:szCs w:val="20"/>
              </w:rPr>
            </w:pPr>
            <w:r w:rsidRPr="00CC1961">
              <w:rPr>
                <w:b/>
                <w:bCs/>
                <w:color w:val="000000"/>
                <w:sz w:val="20"/>
                <w:szCs w:val="20"/>
              </w:rPr>
              <w:t>58 684 672</w:t>
            </w:r>
          </w:p>
        </w:tc>
        <w:tc>
          <w:tcPr>
            <w:tcW w:w="1329" w:type="dxa"/>
            <w:vAlign w:val="center"/>
          </w:tcPr>
          <w:p w14:paraId="4F81D452" w14:textId="77777777" w:rsidR="00EE1CF5" w:rsidRPr="002E6BBE" w:rsidRDefault="00EE1CF5" w:rsidP="00263AB1">
            <w:pPr>
              <w:ind w:firstLine="34"/>
              <w:jc w:val="center"/>
              <w:rPr>
                <w:b/>
                <w:bCs/>
                <w:color w:val="000000"/>
                <w:sz w:val="20"/>
                <w:szCs w:val="20"/>
              </w:rPr>
            </w:pPr>
            <w:r>
              <w:rPr>
                <w:b/>
                <w:bCs/>
                <w:color w:val="000000"/>
                <w:sz w:val="20"/>
                <w:szCs w:val="20"/>
              </w:rPr>
              <w:t>51 627 006</w:t>
            </w:r>
          </w:p>
        </w:tc>
        <w:tc>
          <w:tcPr>
            <w:tcW w:w="1237" w:type="dxa"/>
            <w:tcBorders>
              <w:right w:val="single" w:sz="4" w:space="0" w:color="auto"/>
            </w:tcBorders>
            <w:shd w:val="clear" w:color="auto" w:fill="auto"/>
            <w:noWrap/>
            <w:vAlign w:val="center"/>
          </w:tcPr>
          <w:p w14:paraId="42BB2262" w14:textId="77777777" w:rsidR="00EE1CF5" w:rsidRPr="002E6BBE" w:rsidRDefault="00EE1CF5" w:rsidP="00263AB1">
            <w:pPr>
              <w:ind w:firstLine="34"/>
              <w:jc w:val="center"/>
              <w:rPr>
                <w:rFonts w:cs="Times New Roman"/>
                <w:b/>
                <w:bCs/>
                <w:color w:val="000000"/>
                <w:sz w:val="20"/>
                <w:szCs w:val="20"/>
              </w:rPr>
            </w:pPr>
            <w:r>
              <w:rPr>
                <w:b/>
                <w:bCs/>
                <w:color w:val="000000"/>
                <w:sz w:val="20"/>
                <w:szCs w:val="20"/>
              </w:rPr>
              <w:t>66 207 006</w:t>
            </w:r>
          </w:p>
        </w:tc>
      </w:tr>
      <w:tr w:rsidR="00EE1CF5" w14:paraId="4BFD377D" w14:textId="77777777" w:rsidTr="00263AB1">
        <w:trPr>
          <w:trHeight w:val="288"/>
          <w:jc w:val="center"/>
        </w:trPr>
        <w:tc>
          <w:tcPr>
            <w:tcW w:w="4390" w:type="dxa"/>
            <w:shd w:val="clear" w:color="auto" w:fill="auto"/>
            <w:noWrap/>
            <w:vAlign w:val="bottom"/>
            <w:hideMark/>
          </w:tcPr>
          <w:p w14:paraId="75E692EF" w14:textId="77777777" w:rsidR="00EE1CF5" w:rsidRPr="00E936FD" w:rsidRDefault="00EE1CF5" w:rsidP="00263AB1">
            <w:pPr>
              <w:ind w:firstLine="34"/>
              <w:rPr>
                <w:rFonts w:cs="Times New Roman"/>
                <w:sz w:val="20"/>
                <w:szCs w:val="20"/>
              </w:rPr>
            </w:pPr>
            <w:r w:rsidRPr="00E936FD">
              <w:rPr>
                <w:rFonts w:cs="Times New Roman"/>
                <w:sz w:val="20"/>
                <w:szCs w:val="20"/>
              </w:rPr>
              <w:t>SEN</w:t>
            </w:r>
          </w:p>
        </w:tc>
        <w:tc>
          <w:tcPr>
            <w:tcW w:w="1149" w:type="dxa"/>
            <w:shd w:val="clear" w:color="000000" w:fill="FFFFFF"/>
            <w:vAlign w:val="center"/>
          </w:tcPr>
          <w:p w14:paraId="299FDB8D" w14:textId="77777777" w:rsidR="00EE1CF5" w:rsidRPr="00E936FD" w:rsidRDefault="00EE1CF5" w:rsidP="00263AB1">
            <w:pPr>
              <w:ind w:firstLine="34"/>
              <w:jc w:val="center"/>
              <w:rPr>
                <w:color w:val="000000"/>
                <w:sz w:val="20"/>
                <w:szCs w:val="20"/>
              </w:rPr>
            </w:pPr>
            <w:r w:rsidRPr="00E936FD">
              <w:rPr>
                <w:color w:val="000000"/>
                <w:sz w:val="20"/>
                <w:szCs w:val="20"/>
              </w:rPr>
              <w:t>0</w:t>
            </w:r>
          </w:p>
        </w:tc>
        <w:tc>
          <w:tcPr>
            <w:tcW w:w="1252" w:type="dxa"/>
            <w:shd w:val="clear" w:color="000000" w:fill="FFFFFF"/>
            <w:vAlign w:val="center"/>
          </w:tcPr>
          <w:p w14:paraId="74B68C75"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0</w:t>
            </w:r>
          </w:p>
        </w:tc>
        <w:tc>
          <w:tcPr>
            <w:tcW w:w="1242" w:type="dxa"/>
            <w:shd w:val="clear" w:color="000000" w:fill="FFFFFF"/>
            <w:noWrap/>
            <w:vAlign w:val="center"/>
          </w:tcPr>
          <w:p w14:paraId="1A375559"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150" w:type="dxa"/>
            <w:shd w:val="clear" w:color="000000" w:fill="FFFFFF"/>
            <w:vAlign w:val="center"/>
          </w:tcPr>
          <w:p w14:paraId="57D20016" w14:textId="77777777" w:rsidR="00EE1CF5" w:rsidRPr="00FB007D" w:rsidRDefault="00EE1CF5" w:rsidP="00263AB1">
            <w:pPr>
              <w:ind w:firstLine="34"/>
              <w:jc w:val="center"/>
              <w:rPr>
                <w:color w:val="000000"/>
                <w:sz w:val="20"/>
                <w:szCs w:val="20"/>
                <w:highlight w:val="yellow"/>
              </w:rPr>
            </w:pPr>
            <w:r>
              <w:rPr>
                <w:color w:val="000000"/>
                <w:sz w:val="20"/>
                <w:szCs w:val="20"/>
              </w:rPr>
              <w:t>0</w:t>
            </w:r>
          </w:p>
        </w:tc>
        <w:tc>
          <w:tcPr>
            <w:tcW w:w="1316" w:type="dxa"/>
            <w:shd w:val="clear" w:color="000000" w:fill="FFFFFF"/>
            <w:noWrap/>
            <w:vAlign w:val="center"/>
          </w:tcPr>
          <w:p w14:paraId="2E5A3425" w14:textId="77777777" w:rsidR="00EE1CF5" w:rsidRPr="00EC5641" w:rsidRDefault="00EE1CF5" w:rsidP="00263AB1">
            <w:pPr>
              <w:ind w:firstLine="34"/>
              <w:jc w:val="center"/>
              <w:rPr>
                <w:rFonts w:cs="Times New Roman"/>
                <w:bCs/>
                <w:color w:val="000000"/>
                <w:sz w:val="20"/>
                <w:szCs w:val="20"/>
              </w:rPr>
            </w:pPr>
            <w:r w:rsidRPr="00EC5641">
              <w:rPr>
                <w:color w:val="000000"/>
                <w:sz w:val="20"/>
                <w:szCs w:val="20"/>
              </w:rPr>
              <w:t>0</w:t>
            </w:r>
          </w:p>
        </w:tc>
        <w:tc>
          <w:tcPr>
            <w:tcW w:w="1329" w:type="dxa"/>
            <w:vAlign w:val="center"/>
          </w:tcPr>
          <w:p w14:paraId="558F3559" w14:textId="77777777" w:rsidR="00EE1CF5" w:rsidRPr="00EC5641" w:rsidRDefault="00EE1CF5" w:rsidP="00263AB1">
            <w:pPr>
              <w:ind w:firstLine="34"/>
              <w:jc w:val="center"/>
              <w:rPr>
                <w:color w:val="000000"/>
                <w:sz w:val="20"/>
                <w:szCs w:val="20"/>
              </w:rPr>
            </w:pPr>
            <w:r w:rsidRPr="00EC5641">
              <w:rPr>
                <w:color w:val="000000"/>
                <w:sz w:val="20"/>
                <w:szCs w:val="20"/>
              </w:rPr>
              <w:t>0</w:t>
            </w:r>
          </w:p>
        </w:tc>
        <w:tc>
          <w:tcPr>
            <w:tcW w:w="1237" w:type="dxa"/>
            <w:tcBorders>
              <w:right w:val="single" w:sz="4" w:space="0" w:color="auto"/>
            </w:tcBorders>
            <w:shd w:val="clear" w:color="auto" w:fill="auto"/>
            <w:noWrap/>
            <w:vAlign w:val="center"/>
          </w:tcPr>
          <w:p w14:paraId="71FE833A" w14:textId="77777777" w:rsidR="00EE1CF5" w:rsidRPr="00EC5641" w:rsidRDefault="00EE1CF5" w:rsidP="00263AB1">
            <w:pPr>
              <w:ind w:firstLine="34"/>
              <w:jc w:val="center"/>
              <w:rPr>
                <w:rFonts w:cs="Times New Roman"/>
                <w:bCs/>
                <w:color w:val="000000"/>
                <w:sz w:val="20"/>
                <w:szCs w:val="20"/>
              </w:rPr>
            </w:pPr>
            <w:r w:rsidRPr="00EC5641">
              <w:rPr>
                <w:rFonts w:cs="Times New Roman"/>
                <w:bCs/>
                <w:color w:val="000000"/>
                <w:sz w:val="20"/>
                <w:szCs w:val="20"/>
              </w:rPr>
              <w:t>0</w:t>
            </w:r>
          </w:p>
        </w:tc>
      </w:tr>
      <w:tr w:rsidR="00EE1CF5" w14:paraId="49402A29" w14:textId="77777777" w:rsidTr="00263AB1">
        <w:trPr>
          <w:trHeight w:val="288"/>
          <w:jc w:val="center"/>
        </w:trPr>
        <w:tc>
          <w:tcPr>
            <w:tcW w:w="4390" w:type="dxa"/>
            <w:shd w:val="clear" w:color="auto" w:fill="auto"/>
            <w:noWrap/>
            <w:vAlign w:val="bottom"/>
            <w:hideMark/>
          </w:tcPr>
          <w:p w14:paraId="4C469425" w14:textId="77777777" w:rsidR="00EE1CF5" w:rsidRPr="00E936FD" w:rsidRDefault="00EE1CF5" w:rsidP="00263AB1">
            <w:pPr>
              <w:ind w:firstLine="34"/>
              <w:rPr>
                <w:rFonts w:cs="Times New Roman"/>
                <w:sz w:val="20"/>
                <w:szCs w:val="20"/>
              </w:rPr>
            </w:pPr>
            <w:r w:rsidRPr="00E936FD">
              <w:rPr>
                <w:rFonts w:cs="Times New Roman"/>
                <w:sz w:val="20"/>
                <w:szCs w:val="20"/>
              </w:rPr>
              <w:t>PVN</w:t>
            </w:r>
          </w:p>
        </w:tc>
        <w:tc>
          <w:tcPr>
            <w:tcW w:w="1149" w:type="dxa"/>
            <w:vAlign w:val="center"/>
          </w:tcPr>
          <w:p w14:paraId="4AAE3232" w14:textId="77777777" w:rsidR="00EE1CF5" w:rsidRPr="00E936FD" w:rsidRDefault="00EE1CF5" w:rsidP="00263AB1">
            <w:pPr>
              <w:ind w:firstLine="34"/>
              <w:jc w:val="center"/>
              <w:rPr>
                <w:color w:val="000000"/>
                <w:sz w:val="20"/>
                <w:szCs w:val="20"/>
              </w:rPr>
            </w:pPr>
            <w:r w:rsidRPr="00E936FD">
              <w:rPr>
                <w:color w:val="000000"/>
                <w:sz w:val="20"/>
                <w:szCs w:val="20"/>
              </w:rPr>
              <w:t>9 533 241</w:t>
            </w:r>
          </w:p>
        </w:tc>
        <w:tc>
          <w:tcPr>
            <w:tcW w:w="1252" w:type="dxa"/>
            <w:vAlign w:val="center"/>
          </w:tcPr>
          <w:p w14:paraId="17C89171"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9 533 241</w:t>
            </w:r>
          </w:p>
        </w:tc>
        <w:tc>
          <w:tcPr>
            <w:tcW w:w="1242" w:type="dxa"/>
            <w:shd w:val="clear" w:color="auto" w:fill="auto"/>
            <w:noWrap/>
            <w:vAlign w:val="center"/>
          </w:tcPr>
          <w:p w14:paraId="04805766"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150" w:type="dxa"/>
            <w:vAlign w:val="center"/>
          </w:tcPr>
          <w:p w14:paraId="4AA59223" w14:textId="77777777" w:rsidR="00EE1CF5" w:rsidRPr="00E936FD" w:rsidRDefault="00EE1CF5" w:rsidP="00263AB1">
            <w:pPr>
              <w:ind w:firstLine="34"/>
              <w:jc w:val="center"/>
              <w:rPr>
                <w:color w:val="000000"/>
                <w:sz w:val="20"/>
                <w:szCs w:val="20"/>
              </w:rPr>
            </w:pPr>
            <w:r>
              <w:rPr>
                <w:color w:val="000000"/>
                <w:sz w:val="20"/>
                <w:szCs w:val="20"/>
              </w:rPr>
              <w:t>0</w:t>
            </w:r>
          </w:p>
        </w:tc>
        <w:tc>
          <w:tcPr>
            <w:tcW w:w="1316" w:type="dxa"/>
            <w:shd w:val="clear" w:color="auto" w:fill="auto"/>
            <w:noWrap/>
            <w:vAlign w:val="center"/>
          </w:tcPr>
          <w:p w14:paraId="4CE41764"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329" w:type="dxa"/>
            <w:vAlign w:val="center"/>
          </w:tcPr>
          <w:p w14:paraId="65622686" w14:textId="77777777" w:rsidR="00EE1CF5" w:rsidRPr="002E6BBE" w:rsidRDefault="00EE1CF5" w:rsidP="00263AB1">
            <w:pPr>
              <w:ind w:firstLine="34"/>
              <w:jc w:val="center"/>
              <w:rPr>
                <w:color w:val="000000"/>
                <w:sz w:val="20"/>
                <w:szCs w:val="20"/>
              </w:rPr>
            </w:pPr>
            <w:r w:rsidRPr="002E6BBE">
              <w:rPr>
                <w:color w:val="000000"/>
                <w:sz w:val="20"/>
                <w:szCs w:val="20"/>
              </w:rPr>
              <w:t>0</w:t>
            </w:r>
          </w:p>
        </w:tc>
        <w:tc>
          <w:tcPr>
            <w:tcW w:w="1237" w:type="dxa"/>
            <w:tcBorders>
              <w:right w:val="single" w:sz="4" w:space="0" w:color="auto"/>
            </w:tcBorders>
            <w:shd w:val="clear" w:color="auto" w:fill="auto"/>
            <w:noWrap/>
            <w:vAlign w:val="center"/>
          </w:tcPr>
          <w:p w14:paraId="016CE2A9" w14:textId="77777777" w:rsidR="00EE1CF5" w:rsidRPr="002E6BBE" w:rsidRDefault="00EE1CF5" w:rsidP="00263AB1">
            <w:pPr>
              <w:ind w:firstLine="34"/>
              <w:jc w:val="center"/>
              <w:rPr>
                <w:rFonts w:cs="Times New Roman"/>
                <w:bCs/>
                <w:color w:val="000000"/>
                <w:sz w:val="20"/>
                <w:szCs w:val="20"/>
              </w:rPr>
            </w:pPr>
            <w:r w:rsidRPr="002E6BBE">
              <w:rPr>
                <w:color w:val="000000"/>
                <w:sz w:val="20"/>
                <w:szCs w:val="20"/>
              </w:rPr>
              <w:t>0</w:t>
            </w:r>
          </w:p>
        </w:tc>
      </w:tr>
      <w:tr w:rsidR="00EE1CF5" w14:paraId="410370BB" w14:textId="77777777" w:rsidTr="00263AB1">
        <w:trPr>
          <w:trHeight w:val="288"/>
          <w:jc w:val="center"/>
        </w:trPr>
        <w:tc>
          <w:tcPr>
            <w:tcW w:w="4390" w:type="dxa"/>
            <w:shd w:val="clear" w:color="auto" w:fill="auto"/>
            <w:noWrap/>
            <w:vAlign w:val="bottom"/>
            <w:hideMark/>
          </w:tcPr>
          <w:p w14:paraId="3D9E4CA6" w14:textId="77777777" w:rsidR="00EE1CF5" w:rsidRPr="00E936FD" w:rsidRDefault="00EE1CF5" w:rsidP="00263AB1">
            <w:pPr>
              <w:ind w:firstLine="34"/>
              <w:rPr>
                <w:rFonts w:cs="Times New Roman"/>
                <w:sz w:val="20"/>
                <w:szCs w:val="20"/>
              </w:rPr>
            </w:pPr>
            <w:r w:rsidRPr="00E936FD">
              <w:rPr>
                <w:rFonts w:cs="Times New Roman"/>
                <w:sz w:val="20"/>
                <w:szCs w:val="20"/>
              </w:rPr>
              <w:t>PVN (aizsargātie lietotāji)</w:t>
            </w:r>
          </w:p>
        </w:tc>
        <w:tc>
          <w:tcPr>
            <w:tcW w:w="1149" w:type="dxa"/>
            <w:vAlign w:val="center"/>
          </w:tcPr>
          <w:p w14:paraId="7CEF54DE" w14:textId="77777777" w:rsidR="00EE1CF5" w:rsidRPr="00E936FD" w:rsidRDefault="00EE1CF5" w:rsidP="00263AB1">
            <w:pPr>
              <w:ind w:firstLine="34"/>
              <w:jc w:val="center"/>
              <w:rPr>
                <w:color w:val="000000"/>
                <w:sz w:val="20"/>
                <w:szCs w:val="20"/>
              </w:rPr>
            </w:pPr>
            <w:r w:rsidRPr="00E936FD">
              <w:rPr>
                <w:color w:val="000000"/>
                <w:sz w:val="20"/>
                <w:szCs w:val="20"/>
              </w:rPr>
              <w:t>1 287 604</w:t>
            </w:r>
          </w:p>
        </w:tc>
        <w:tc>
          <w:tcPr>
            <w:tcW w:w="1252" w:type="dxa"/>
            <w:vAlign w:val="center"/>
          </w:tcPr>
          <w:p w14:paraId="0497BD51"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1 287 604</w:t>
            </w:r>
          </w:p>
        </w:tc>
        <w:tc>
          <w:tcPr>
            <w:tcW w:w="1242" w:type="dxa"/>
            <w:shd w:val="clear" w:color="auto" w:fill="auto"/>
            <w:noWrap/>
            <w:vAlign w:val="center"/>
          </w:tcPr>
          <w:p w14:paraId="4C4678DC"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150" w:type="dxa"/>
            <w:vAlign w:val="center"/>
          </w:tcPr>
          <w:p w14:paraId="46975EBF" w14:textId="77777777" w:rsidR="00EE1CF5" w:rsidRPr="00E936FD" w:rsidRDefault="00EE1CF5" w:rsidP="00263AB1">
            <w:pPr>
              <w:ind w:firstLine="34"/>
              <w:jc w:val="center"/>
              <w:rPr>
                <w:color w:val="000000"/>
                <w:sz w:val="20"/>
                <w:szCs w:val="20"/>
              </w:rPr>
            </w:pPr>
            <w:r>
              <w:rPr>
                <w:color w:val="000000"/>
                <w:sz w:val="20"/>
                <w:szCs w:val="20"/>
              </w:rPr>
              <w:t>0</w:t>
            </w:r>
          </w:p>
        </w:tc>
        <w:tc>
          <w:tcPr>
            <w:tcW w:w="1316" w:type="dxa"/>
            <w:shd w:val="clear" w:color="auto" w:fill="auto"/>
            <w:noWrap/>
            <w:vAlign w:val="center"/>
          </w:tcPr>
          <w:p w14:paraId="381AA286"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0</w:t>
            </w:r>
          </w:p>
        </w:tc>
        <w:tc>
          <w:tcPr>
            <w:tcW w:w="1329" w:type="dxa"/>
            <w:vAlign w:val="center"/>
          </w:tcPr>
          <w:p w14:paraId="70D9C00D" w14:textId="77777777" w:rsidR="00EE1CF5" w:rsidRPr="002E6BBE" w:rsidRDefault="00EE1CF5" w:rsidP="00263AB1">
            <w:pPr>
              <w:ind w:firstLine="34"/>
              <w:jc w:val="center"/>
              <w:rPr>
                <w:color w:val="000000"/>
                <w:sz w:val="20"/>
                <w:szCs w:val="20"/>
              </w:rPr>
            </w:pPr>
            <w:r w:rsidRPr="002E6BBE">
              <w:rPr>
                <w:color w:val="000000"/>
                <w:sz w:val="20"/>
                <w:szCs w:val="20"/>
              </w:rPr>
              <w:t>0</w:t>
            </w:r>
          </w:p>
        </w:tc>
        <w:tc>
          <w:tcPr>
            <w:tcW w:w="1237" w:type="dxa"/>
            <w:tcBorders>
              <w:right w:val="single" w:sz="4" w:space="0" w:color="auto"/>
            </w:tcBorders>
            <w:shd w:val="clear" w:color="auto" w:fill="auto"/>
            <w:noWrap/>
            <w:vAlign w:val="center"/>
          </w:tcPr>
          <w:p w14:paraId="6CA9969A" w14:textId="77777777" w:rsidR="00EE1CF5" w:rsidRPr="002E6BBE" w:rsidRDefault="00EE1CF5" w:rsidP="00263AB1">
            <w:pPr>
              <w:ind w:firstLine="34"/>
              <w:jc w:val="center"/>
              <w:rPr>
                <w:rFonts w:cs="Times New Roman"/>
                <w:bCs/>
                <w:color w:val="000000"/>
                <w:sz w:val="20"/>
                <w:szCs w:val="20"/>
              </w:rPr>
            </w:pPr>
            <w:r w:rsidRPr="002E6BBE">
              <w:rPr>
                <w:color w:val="000000"/>
                <w:sz w:val="20"/>
                <w:szCs w:val="20"/>
              </w:rPr>
              <w:t>0</w:t>
            </w:r>
          </w:p>
        </w:tc>
      </w:tr>
      <w:tr w:rsidR="00EE1CF5" w14:paraId="35E0C5FC" w14:textId="77777777" w:rsidTr="00263AB1">
        <w:trPr>
          <w:trHeight w:val="464"/>
          <w:jc w:val="center"/>
        </w:trPr>
        <w:tc>
          <w:tcPr>
            <w:tcW w:w="4390" w:type="dxa"/>
            <w:shd w:val="clear" w:color="auto" w:fill="auto"/>
            <w:vAlign w:val="bottom"/>
            <w:hideMark/>
          </w:tcPr>
          <w:p w14:paraId="3C08873B" w14:textId="77777777" w:rsidR="00EE1CF5" w:rsidRPr="00E936FD" w:rsidRDefault="00EE1CF5" w:rsidP="00263AB1">
            <w:pPr>
              <w:ind w:firstLine="34"/>
              <w:rPr>
                <w:rFonts w:cs="Times New Roman"/>
                <w:sz w:val="20"/>
                <w:szCs w:val="20"/>
              </w:rPr>
            </w:pPr>
            <w:r w:rsidRPr="00E936FD">
              <w:rPr>
                <w:rFonts w:cs="Times New Roman"/>
                <w:sz w:val="20"/>
                <w:szCs w:val="20"/>
              </w:rPr>
              <w:t>AS „Latvenergo” dividendes komplekso risinājumu elektroenerģijas tirgū novirzāmā daļa</w:t>
            </w:r>
          </w:p>
        </w:tc>
        <w:tc>
          <w:tcPr>
            <w:tcW w:w="1149" w:type="dxa"/>
            <w:vAlign w:val="center"/>
          </w:tcPr>
          <w:p w14:paraId="2E38BF59" w14:textId="77777777" w:rsidR="00EE1CF5" w:rsidRDefault="00EE1CF5" w:rsidP="00263AB1">
            <w:pPr>
              <w:ind w:firstLine="34"/>
              <w:jc w:val="center"/>
              <w:rPr>
                <w:color w:val="000000"/>
                <w:sz w:val="20"/>
                <w:szCs w:val="20"/>
              </w:rPr>
            </w:pPr>
            <w:r>
              <w:rPr>
                <w:color w:val="000000"/>
                <w:sz w:val="20"/>
                <w:szCs w:val="20"/>
              </w:rPr>
              <w:t>35</w:t>
            </w:r>
            <w:r w:rsidRPr="00E936FD">
              <w:rPr>
                <w:color w:val="000000"/>
                <w:sz w:val="20"/>
                <w:szCs w:val="20"/>
              </w:rPr>
              <w:t xml:space="preserve"> 987 866</w:t>
            </w:r>
          </w:p>
        </w:tc>
        <w:tc>
          <w:tcPr>
            <w:tcW w:w="1252" w:type="dxa"/>
            <w:vAlign w:val="center"/>
          </w:tcPr>
          <w:p w14:paraId="521175CC" w14:textId="77777777" w:rsidR="00EE1CF5" w:rsidRDefault="00EE1CF5" w:rsidP="00263AB1">
            <w:pPr>
              <w:ind w:firstLine="34"/>
              <w:jc w:val="center"/>
              <w:rPr>
                <w:color w:val="000000"/>
                <w:sz w:val="20"/>
                <w:szCs w:val="20"/>
              </w:rPr>
            </w:pPr>
            <w:r w:rsidRPr="00EE0A2B">
              <w:rPr>
                <w:rFonts w:cs="Times New Roman"/>
                <w:color w:val="000000"/>
                <w:sz w:val="20"/>
                <w:szCs w:val="20"/>
              </w:rPr>
              <w:t>91 428 043</w:t>
            </w:r>
          </w:p>
        </w:tc>
        <w:tc>
          <w:tcPr>
            <w:tcW w:w="1242" w:type="dxa"/>
            <w:shd w:val="clear" w:color="auto" w:fill="auto"/>
            <w:noWrap/>
            <w:vAlign w:val="center"/>
          </w:tcPr>
          <w:p w14:paraId="02E1035B" w14:textId="77777777" w:rsidR="00EE1CF5" w:rsidRPr="00E936FD" w:rsidRDefault="00EE1CF5" w:rsidP="00263AB1">
            <w:pPr>
              <w:ind w:firstLine="34"/>
              <w:jc w:val="center"/>
              <w:rPr>
                <w:rFonts w:cs="Times New Roman"/>
                <w:bCs/>
                <w:color w:val="000000"/>
                <w:sz w:val="20"/>
                <w:szCs w:val="20"/>
              </w:rPr>
            </w:pPr>
            <w:r>
              <w:rPr>
                <w:color w:val="000000"/>
                <w:sz w:val="20"/>
                <w:szCs w:val="20"/>
              </w:rPr>
              <w:t>47</w:t>
            </w:r>
            <w:r w:rsidRPr="00E936FD">
              <w:rPr>
                <w:color w:val="000000"/>
                <w:sz w:val="20"/>
                <w:szCs w:val="20"/>
              </w:rPr>
              <w:t xml:space="preserve"> 406 416</w:t>
            </w:r>
          </w:p>
        </w:tc>
        <w:tc>
          <w:tcPr>
            <w:tcW w:w="1150" w:type="dxa"/>
            <w:vAlign w:val="center"/>
          </w:tcPr>
          <w:p w14:paraId="0D4A7149" w14:textId="77777777" w:rsidR="00EE1CF5" w:rsidRPr="00823E5F" w:rsidRDefault="00EE1CF5" w:rsidP="00263AB1">
            <w:pPr>
              <w:jc w:val="center"/>
              <w:rPr>
                <w:color w:val="000000"/>
                <w:sz w:val="20"/>
                <w:szCs w:val="20"/>
              </w:rPr>
            </w:pPr>
            <w:r>
              <w:rPr>
                <w:color w:val="000000"/>
                <w:sz w:val="20"/>
                <w:szCs w:val="20"/>
              </w:rPr>
              <w:t>62 307 006</w:t>
            </w:r>
          </w:p>
        </w:tc>
        <w:tc>
          <w:tcPr>
            <w:tcW w:w="1316" w:type="dxa"/>
            <w:shd w:val="clear" w:color="auto" w:fill="auto"/>
            <w:noWrap/>
            <w:vAlign w:val="center"/>
          </w:tcPr>
          <w:p w14:paraId="7BE8ABF9" w14:textId="77777777" w:rsidR="00EE1CF5" w:rsidRPr="00DE3E9B" w:rsidRDefault="00EE1CF5" w:rsidP="00263AB1">
            <w:pPr>
              <w:ind w:firstLine="34"/>
              <w:jc w:val="center"/>
              <w:rPr>
                <w:color w:val="000000"/>
                <w:sz w:val="20"/>
                <w:szCs w:val="20"/>
              </w:rPr>
            </w:pPr>
            <w:r w:rsidRPr="00DE3E9B">
              <w:rPr>
                <w:color w:val="000000"/>
                <w:sz w:val="20"/>
                <w:szCs w:val="20"/>
              </w:rPr>
              <w:t>56 684 672</w:t>
            </w:r>
          </w:p>
        </w:tc>
        <w:tc>
          <w:tcPr>
            <w:tcW w:w="1329" w:type="dxa"/>
            <w:vAlign w:val="center"/>
          </w:tcPr>
          <w:p w14:paraId="281A77F8" w14:textId="77777777" w:rsidR="00EE1CF5" w:rsidRPr="00823E5F" w:rsidRDefault="00EE1CF5" w:rsidP="00263AB1">
            <w:pPr>
              <w:jc w:val="center"/>
              <w:rPr>
                <w:color w:val="000000"/>
                <w:sz w:val="20"/>
                <w:szCs w:val="20"/>
              </w:rPr>
            </w:pPr>
            <w:r>
              <w:rPr>
                <w:color w:val="000000"/>
                <w:sz w:val="20"/>
                <w:szCs w:val="20"/>
              </w:rPr>
              <w:t>49 627 006</w:t>
            </w:r>
          </w:p>
        </w:tc>
        <w:tc>
          <w:tcPr>
            <w:tcW w:w="1237" w:type="dxa"/>
            <w:tcBorders>
              <w:right w:val="single" w:sz="4" w:space="0" w:color="auto"/>
            </w:tcBorders>
            <w:shd w:val="clear" w:color="auto" w:fill="auto"/>
            <w:noWrap/>
            <w:vAlign w:val="center"/>
          </w:tcPr>
          <w:p w14:paraId="1A792DDA" w14:textId="77777777" w:rsidR="00EE1CF5" w:rsidRPr="00823E5F" w:rsidRDefault="00EE1CF5" w:rsidP="00263AB1">
            <w:pPr>
              <w:jc w:val="center"/>
              <w:rPr>
                <w:color w:val="000000"/>
                <w:sz w:val="20"/>
                <w:szCs w:val="20"/>
              </w:rPr>
            </w:pPr>
            <w:r>
              <w:rPr>
                <w:color w:val="000000"/>
                <w:sz w:val="20"/>
                <w:szCs w:val="20"/>
              </w:rPr>
              <w:t>64 207 006</w:t>
            </w:r>
          </w:p>
        </w:tc>
      </w:tr>
      <w:tr w:rsidR="00EE1CF5" w14:paraId="1C47B278" w14:textId="77777777" w:rsidTr="00263AB1">
        <w:trPr>
          <w:trHeight w:val="288"/>
          <w:jc w:val="center"/>
        </w:trPr>
        <w:tc>
          <w:tcPr>
            <w:tcW w:w="4390" w:type="dxa"/>
            <w:shd w:val="clear" w:color="auto" w:fill="auto"/>
            <w:noWrap/>
            <w:vAlign w:val="bottom"/>
          </w:tcPr>
          <w:p w14:paraId="0B181A75" w14:textId="77777777" w:rsidR="00EE1CF5" w:rsidRPr="00E936FD" w:rsidRDefault="00EE1CF5" w:rsidP="00263AB1">
            <w:pPr>
              <w:ind w:firstLine="34"/>
              <w:jc w:val="left"/>
              <w:rPr>
                <w:rFonts w:cs="Times New Roman"/>
                <w:b/>
                <w:bCs/>
                <w:sz w:val="20"/>
                <w:szCs w:val="20"/>
              </w:rPr>
            </w:pPr>
            <w:r w:rsidRPr="00E936FD">
              <w:rPr>
                <w:rFonts w:cs="Times New Roman"/>
                <w:sz w:val="20"/>
                <w:szCs w:val="20"/>
              </w:rPr>
              <w:t>AS „Latvenergo” dividendes VPP enerģētikā vajadzībām</w:t>
            </w:r>
          </w:p>
        </w:tc>
        <w:tc>
          <w:tcPr>
            <w:tcW w:w="1149" w:type="dxa"/>
            <w:vAlign w:val="center"/>
          </w:tcPr>
          <w:p w14:paraId="36BBC00A" w14:textId="77777777" w:rsidR="00EE1CF5" w:rsidRPr="00E936FD" w:rsidRDefault="00EE1CF5" w:rsidP="00263AB1">
            <w:pPr>
              <w:ind w:firstLine="34"/>
              <w:jc w:val="center"/>
              <w:rPr>
                <w:color w:val="000000"/>
                <w:sz w:val="20"/>
                <w:szCs w:val="20"/>
              </w:rPr>
            </w:pPr>
            <w:r w:rsidRPr="00E936FD">
              <w:rPr>
                <w:color w:val="000000"/>
                <w:sz w:val="20"/>
                <w:szCs w:val="20"/>
              </w:rPr>
              <w:t>2 000 000</w:t>
            </w:r>
          </w:p>
        </w:tc>
        <w:tc>
          <w:tcPr>
            <w:tcW w:w="1252" w:type="dxa"/>
            <w:vAlign w:val="center"/>
          </w:tcPr>
          <w:p w14:paraId="5BC308B0"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2 000 000</w:t>
            </w:r>
          </w:p>
        </w:tc>
        <w:tc>
          <w:tcPr>
            <w:tcW w:w="1242" w:type="dxa"/>
            <w:shd w:val="clear" w:color="auto" w:fill="auto"/>
            <w:noWrap/>
            <w:vAlign w:val="center"/>
          </w:tcPr>
          <w:p w14:paraId="64312599"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150" w:type="dxa"/>
            <w:vAlign w:val="center"/>
          </w:tcPr>
          <w:p w14:paraId="4C7C3A5E" w14:textId="77777777" w:rsidR="00EE1CF5" w:rsidRPr="00E936FD" w:rsidRDefault="00EE1CF5" w:rsidP="00263AB1">
            <w:pPr>
              <w:ind w:firstLine="34"/>
              <w:jc w:val="center"/>
              <w:rPr>
                <w:color w:val="000000"/>
                <w:sz w:val="20"/>
                <w:szCs w:val="20"/>
              </w:rPr>
            </w:pPr>
            <w:r w:rsidRPr="00F931D3">
              <w:rPr>
                <w:rFonts w:cs="Times New Roman"/>
                <w:color w:val="000000"/>
                <w:sz w:val="20"/>
                <w:szCs w:val="20"/>
              </w:rPr>
              <w:t>2 000 000</w:t>
            </w:r>
          </w:p>
        </w:tc>
        <w:tc>
          <w:tcPr>
            <w:tcW w:w="1316" w:type="dxa"/>
            <w:shd w:val="clear" w:color="auto" w:fill="auto"/>
            <w:noWrap/>
            <w:vAlign w:val="center"/>
          </w:tcPr>
          <w:p w14:paraId="54D8158B"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329" w:type="dxa"/>
            <w:vAlign w:val="center"/>
          </w:tcPr>
          <w:p w14:paraId="00BF56D5" w14:textId="77777777" w:rsidR="00EE1CF5" w:rsidRPr="002E6BBE" w:rsidRDefault="00EE1CF5" w:rsidP="00263AB1">
            <w:pPr>
              <w:ind w:firstLine="34"/>
              <w:jc w:val="center"/>
              <w:rPr>
                <w:color w:val="000000"/>
                <w:sz w:val="20"/>
                <w:szCs w:val="20"/>
              </w:rPr>
            </w:pPr>
            <w:r w:rsidRPr="002E6BBE">
              <w:rPr>
                <w:color w:val="000000"/>
                <w:sz w:val="20"/>
                <w:szCs w:val="20"/>
              </w:rPr>
              <w:t>2 000 000</w:t>
            </w:r>
          </w:p>
        </w:tc>
        <w:tc>
          <w:tcPr>
            <w:tcW w:w="1237" w:type="dxa"/>
            <w:tcBorders>
              <w:right w:val="single" w:sz="4" w:space="0" w:color="auto"/>
            </w:tcBorders>
            <w:shd w:val="clear" w:color="auto" w:fill="auto"/>
            <w:noWrap/>
            <w:vAlign w:val="center"/>
          </w:tcPr>
          <w:p w14:paraId="4772DAFB" w14:textId="77777777" w:rsidR="00EE1CF5" w:rsidRPr="002E6BBE" w:rsidRDefault="00EE1CF5" w:rsidP="00263AB1">
            <w:pPr>
              <w:ind w:firstLine="34"/>
              <w:jc w:val="center"/>
              <w:rPr>
                <w:rFonts w:cs="Times New Roman"/>
                <w:bCs/>
                <w:color w:val="000000"/>
                <w:sz w:val="20"/>
                <w:szCs w:val="20"/>
              </w:rPr>
            </w:pPr>
            <w:r w:rsidRPr="002E6BBE">
              <w:rPr>
                <w:color w:val="000000"/>
                <w:sz w:val="20"/>
                <w:szCs w:val="20"/>
              </w:rPr>
              <w:t>2 000 000</w:t>
            </w:r>
          </w:p>
        </w:tc>
      </w:tr>
      <w:tr w:rsidR="00EE1CF5" w14:paraId="6F40D20D" w14:textId="77777777" w:rsidTr="00263AB1">
        <w:trPr>
          <w:trHeight w:val="288"/>
          <w:jc w:val="center"/>
        </w:trPr>
        <w:tc>
          <w:tcPr>
            <w:tcW w:w="4390" w:type="dxa"/>
            <w:shd w:val="clear" w:color="auto" w:fill="auto"/>
            <w:noWrap/>
            <w:vAlign w:val="bottom"/>
            <w:hideMark/>
          </w:tcPr>
          <w:p w14:paraId="05965806"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Bilance</w:t>
            </w:r>
          </w:p>
        </w:tc>
        <w:tc>
          <w:tcPr>
            <w:tcW w:w="1149" w:type="dxa"/>
            <w:vAlign w:val="center"/>
          </w:tcPr>
          <w:p w14:paraId="73BB9B05" w14:textId="77777777" w:rsidR="00EE1CF5" w:rsidRPr="00E936FD" w:rsidRDefault="00EE1CF5" w:rsidP="00263AB1">
            <w:pPr>
              <w:ind w:firstLine="34"/>
              <w:jc w:val="center"/>
              <w:rPr>
                <w:b/>
                <w:bCs/>
                <w:color w:val="000000"/>
                <w:sz w:val="20"/>
                <w:szCs w:val="20"/>
              </w:rPr>
            </w:pPr>
            <w:r w:rsidRPr="00E936FD">
              <w:rPr>
                <w:b/>
                <w:bCs/>
                <w:color w:val="000000"/>
                <w:sz w:val="20"/>
                <w:szCs w:val="20"/>
              </w:rPr>
              <w:t>0</w:t>
            </w:r>
          </w:p>
        </w:tc>
        <w:tc>
          <w:tcPr>
            <w:tcW w:w="1252" w:type="dxa"/>
            <w:vAlign w:val="center"/>
          </w:tcPr>
          <w:p w14:paraId="7F36FB89" w14:textId="77777777" w:rsidR="00EE1CF5" w:rsidRPr="00E936FD" w:rsidRDefault="00EE1CF5" w:rsidP="00263AB1">
            <w:pPr>
              <w:ind w:firstLine="34"/>
              <w:jc w:val="center"/>
              <w:rPr>
                <w:b/>
                <w:bCs/>
                <w:color w:val="000000"/>
                <w:sz w:val="20"/>
                <w:szCs w:val="20"/>
              </w:rPr>
            </w:pPr>
            <w:r w:rsidRPr="00F931D3">
              <w:rPr>
                <w:rFonts w:cs="Times New Roman"/>
                <w:b/>
                <w:bCs/>
                <w:color w:val="000000"/>
                <w:sz w:val="20"/>
                <w:szCs w:val="20"/>
              </w:rPr>
              <w:t>0</w:t>
            </w:r>
          </w:p>
        </w:tc>
        <w:tc>
          <w:tcPr>
            <w:tcW w:w="1242" w:type="dxa"/>
            <w:shd w:val="clear" w:color="auto" w:fill="auto"/>
            <w:noWrap/>
            <w:vAlign w:val="center"/>
          </w:tcPr>
          <w:p w14:paraId="7B5CA62F" w14:textId="77777777" w:rsidR="00EE1CF5" w:rsidRPr="00E936FD" w:rsidRDefault="00EE1CF5" w:rsidP="00263AB1">
            <w:pPr>
              <w:ind w:firstLine="34"/>
              <w:jc w:val="center"/>
              <w:rPr>
                <w:rFonts w:cs="Times New Roman"/>
                <w:b/>
                <w:bCs/>
                <w:color w:val="000000"/>
                <w:sz w:val="20"/>
                <w:szCs w:val="20"/>
              </w:rPr>
            </w:pPr>
            <w:r w:rsidRPr="00172681">
              <w:rPr>
                <w:b/>
                <w:bCs/>
                <w:color w:val="000000"/>
                <w:sz w:val="20"/>
                <w:szCs w:val="20"/>
              </w:rPr>
              <w:t>0</w:t>
            </w:r>
          </w:p>
        </w:tc>
        <w:tc>
          <w:tcPr>
            <w:tcW w:w="1150" w:type="dxa"/>
            <w:vAlign w:val="center"/>
          </w:tcPr>
          <w:p w14:paraId="2C605D2D" w14:textId="77777777" w:rsidR="00EE1CF5" w:rsidRPr="00E936FD" w:rsidRDefault="00EE1CF5" w:rsidP="00263AB1">
            <w:pPr>
              <w:ind w:firstLine="34"/>
              <w:jc w:val="center"/>
              <w:rPr>
                <w:b/>
                <w:bCs/>
                <w:color w:val="000000"/>
                <w:sz w:val="20"/>
                <w:szCs w:val="20"/>
              </w:rPr>
            </w:pPr>
            <w:r w:rsidRPr="00172681">
              <w:rPr>
                <w:b/>
                <w:bCs/>
                <w:color w:val="000000"/>
                <w:sz w:val="20"/>
                <w:szCs w:val="20"/>
              </w:rPr>
              <w:t>0</w:t>
            </w:r>
          </w:p>
        </w:tc>
        <w:tc>
          <w:tcPr>
            <w:tcW w:w="1316" w:type="dxa"/>
            <w:shd w:val="clear" w:color="auto" w:fill="auto"/>
            <w:noWrap/>
            <w:vAlign w:val="center"/>
          </w:tcPr>
          <w:p w14:paraId="07E343D2" w14:textId="77777777" w:rsidR="00EE1CF5" w:rsidRPr="00E936FD" w:rsidRDefault="00EE1CF5" w:rsidP="00263AB1">
            <w:pPr>
              <w:ind w:firstLine="34"/>
              <w:jc w:val="center"/>
              <w:rPr>
                <w:rFonts w:cs="Times New Roman"/>
                <w:b/>
                <w:bCs/>
                <w:color w:val="000000"/>
                <w:sz w:val="20"/>
                <w:szCs w:val="20"/>
              </w:rPr>
            </w:pPr>
            <w:r w:rsidRPr="00172681">
              <w:rPr>
                <w:b/>
                <w:bCs/>
                <w:color w:val="000000"/>
                <w:sz w:val="20"/>
                <w:szCs w:val="20"/>
              </w:rPr>
              <w:t>0</w:t>
            </w:r>
          </w:p>
        </w:tc>
        <w:tc>
          <w:tcPr>
            <w:tcW w:w="1329" w:type="dxa"/>
            <w:vAlign w:val="center"/>
          </w:tcPr>
          <w:p w14:paraId="34AD72CE" w14:textId="77777777" w:rsidR="00EE1CF5" w:rsidRPr="002E6BBE" w:rsidRDefault="00EE1CF5" w:rsidP="00263AB1">
            <w:pPr>
              <w:ind w:firstLine="34"/>
              <w:jc w:val="center"/>
              <w:rPr>
                <w:b/>
                <w:bCs/>
                <w:color w:val="000000"/>
                <w:sz w:val="20"/>
                <w:szCs w:val="20"/>
              </w:rPr>
            </w:pPr>
            <w:r w:rsidRPr="002E6BBE">
              <w:rPr>
                <w:b/>
                <w:bCs/>
                <w:color w:val="000000"/>
                <w:sz w:val="20"/>
                <w:szCs w:val="20"/>
              </w:rPr>
              <w:t>0</w:t>
            </w:r>
          </w:p>
        </w:tc>
        <w:tc>
          <w:tcPr>
            <w:tcW w:w="1237" w:type="dxa"/>
            <w:tcBorders>
              <w:right w:val="single" w:sz="4" w:space="0" w:color="auto"/>
            </w:tcBorders>
            <w:shd w:val="clear" w:color="auto" w:fill="auto"/>
            <w:noWrap/>
            <w:vAlign w:val="center"/>
          </w:tcPr>
          <w:p w14:paraId="7D1A266B" w14:textId="77777777" w:rsidR="00EE1CF5" w:rsidRPr="002E6BBE" w:rsidRDefault="00EE1CF5" w:rsidP="00263AB1">
            <w:pPr>
              <w:ind w:firstLine="34"/>
              <w:jc w:val="center"/>
              <w:rPr>
                <w:rFonts w:cs="Times New Roman"/>
                <w:b/>
                <w:bCs/>
                <w:color w:val="000000"/>
                <w:sz w:val="20"/>
                <w:szCs w:val="20"/>
              </w:rPr>
            </w:pPr>
            <w:r w:rsidRPr="002E6BBE">
              <w:rPr>
                <w:b/>
                <w:bCs/>
                <w:color w:val="000000"/>
                <w:sz w:val="20"/>
                <w:szCs w:val="20"/>
              </w:rPr>
              <w:t>0</w:t>
            </w:r>
          </w:p>
        </w:tc>
      </w:tr>
      <w:tr w:rsidR="00EE1CF5" w14:paraId="3A01F199" w14:textId="77777777" w:rsidTr="00263AB1">
        <w:trPr>
          <w:trHeight w:val="288"/>
          <w:jc w:val="center"/>
        </w:trPr>
        <w:tc>
          <w:tcPr>
            <w:tcW w:w="4390" w:type="dxa"/>
            <w:shd w:val="clear" w:color="auto" w:fill="auto"/>
            <w:noWrap/>
            <w:vAlign w:val="bottom"/>
          </w:tcPr>
          <w:p w14:paraId="24C72E3E" w14:textId="77777777" w:rsidR="00EE1CF5" w:rsidRPr="00E936FD" w:rsidRDefault="00EE1CF5" w:rsidP="00263AB1">
            <w:pPr>
              <w:ind w:firstLine="34"/>
              <w:jc w:val="center"/>
              <w:rPr>
                <w:rFonts w:cs="Times New Roman"/>
                <w:b/>
                <w:bCs/>
                <w:sz w:val="20"/>
                <w:szCs w:val="20"/>
              </w:rPr>
            </w:pPr>
            <w:r w:rsidRPr="00E936FD">
              <w:rPr>
                <w:rFonts w:cs="Times New Roman"/>
                <w:b/>
                <w:sz w:val="20"/>
                <w:szCs w:val="20"/>
              </w:rPr>
              <w:t>Vidējais OIK, EUR/MWh</w:t>
            </w:r>
          </w:p>
        </w:tc>
        <w:tc>
          <w:tcPr>
            <w:tcW w:w="1149" w:type="dxa"/>
            <w:vAlign w:val="center"/>
          </w:tcPr>
          <w:p w14:paraId="0845BB32" w14:textId="77777777" w:rsidR="00EE1CF5" w:rsidRPr="00E936FD" w:rsidRDefault="00EE1CF5" w:rsidP="00263AB1">
            <w:pPr>
              <w:ind w:firstLine="34"/>
              <w:jc w:val="center"/>
              <w:rPr>
                <w:rFonts w:cs="Times New Roman"/>
                <w:b/>
                <w:sz w:val="20"/>
                <w:szCs w:val="20"/>
              </w:rPr>
            </w:pPr>
            <w:r w:rsidRPr="00E936FD">
              <w:rPr>
                <w:rFonts w:cs="Times New Roman"/>
                <w:b/>
                <w:sz w:val="20"/>
                <w:szCs w:val="20"/>
              </w:rPr>
              <w:t>25,79</w:t>
            </w:r>
          </w:p>
        </w:tc>
        <w:tc>
          <w:tcPr>
            <w:tcW w:w="1252" w:type="dxa"/>
            <w:vAlign w:val="center"/>
          </w:tcPr>
          <w:p w14:paraId="762B2941" w14:textId="77777777" w:rsidR="00EE1CF5" w:rsidRPr="00E936FD" w:rsidRDefault="00EE1CF5" w:rsidP="00263AB1">
            <w:pPr>
              <w:ind w:firstLine="34"/>
              <w:jc w:val="center"/>
              <w:rPr>
                <w:rFonts w:cs="Times New Roman"/>
                <w:b/>
                <w:sz w:val="20"/>
                <w:szCs w:val="20"/>
              </w:rPr>
            </w:pPr>
            <w:r w:rsidRPr="00F931D3">
              <w:rPr>
                <w:rFonts w:cs="Times New Roman"/>
                <w:b/>
                <w:sz w:val="20"/>
                <w:szCs w:val="20"/>
              </w:rPr>
              <w:t>2</w:t>
            </w:r>
            <w:r>
              <w:rPr>
                <w:rFonts w:cs="Times New Roman"/>
                <w:b/>
                <w:sz w:val="20"/>
                <w:szCs w:val="20"/>
              </w:rPr>
              <w:t>4</w:t>
            </w:r>
            <w:r w:rsidRPr="00F931D3">
              <w:rPr>
                <w:rFonts w:cs="Times New Roman"/>
                <w:b/>
                <w:sz w:val="20"/>
                <w:szCs w:val="20"/>
              </w:rPr>
              <w:t>,</w:t>
            </w:r>
            <w:r>
              <w:rPr>
                <w:rFonts w:cs="Times New Roman"/>
                <w:b/>
                <w:sz w:val="20"/>
                <w:szCs w:val="20"/>
              </w:rPr>
              <w:t>24</w:t>
            </w:r>
          </w:p>
        </w:tc>
        <w:tc>
          <w:tcPr>
            <w:tcW w:w="1242" w:type="dxa"/>
            <w:tcBorders>
              <w:right w:val="single" w:sz="4" w:space="0" w:color="auto"/>
            </w:tcBorders>
            <w:shd w:val="clear" w:color="auto" w:fill="auto"/>
            <w:vAlign w:val="center"/>
          </w:tcPr>
          <w:p w14:paraId="70DA9660" w14:textId="77777777" w:rsidR="00EE1CF5" w:rsidRPr="00E936FD" w:rsidRDefault="00EE1CF5" w:rsidP="00263AB1">
            <w:pPr>
              <w:ind w:firstLine="34"/>
              <w:jc w:val="center"/>
              <w:rPr>
                <w:rFonts w:cs="Times New Roman"/>
                <w:b/>
                <w:sz w:val="20"/>
                <w:szCs w:val="20"/>
              </w:rPr>
            </w:pPr>
            <w:r w:rsidRPr="00E936FD">
              <w:rPr>
                <w:rFonts w:cs="Times New Roman"/>
                <w:b/>
                <w:sz w:val="20"/>
                <w:szCs w:val="20"/>
              </w:rPr>
              <w:t>25,79</w:t>
            </w:r>
          </w:p>
        </w:tc>
        <w:tc>
          <w:tcPr>
            <w:tcW w:w="1150" w:type="dxa"/>
            <w:vAlign w:val="center"/>
          </w:tcPr>
          <w:p w14:paraId="0CC7D325" w14:textId="77777777" w:rsidR="00EE1CF5" w:rsidRPr="008475E9" w:rsidRDefault="00EE1CF5" w:rsidP="00263AB1">
            <w:pPr>
              <w:ind w:firstLine="34"/>
              <w:jc w:val="center"/>
              <w:rPr>
                <w:rFonts w:cs="Times New Roman"/>
                <w:b/>
                <w:sz w:val="20"/>
                <w:szCs w:val="20"/>
              </w:rPr>
            </w:pPr>
            <w:r w:rsidRPr="008475E9">
              <w:rPr>
                <w:rFonts w:cs="Times New Roman"/>
                <w:b/>
                <w:sz w:val="20"/>
                <w:szCs w:val="20"/>
              </w:rPr>
              <w:t>22,68</w:t>
            </w:r>
          </w:p>
        </w:tc>
        <w:tc>
          <w:tcPr>
            <w:tcW w:w="1316" w:type="dxa"/>
            <w:tcBorders>
              <w:right w:val="single" w:sz="4" w:space="0" w:color="auto"/>
            </w:tcBorders>
            <w:shd w:val="clear" w:color="auto" w:fill="auto"/>
            <w:vAlign w:val="center"/>
          </w:tcPr>
          <w:p w14:paraId="68FBE611" w14:textId="77777777" w:rsidR="00EE1CF5" w:rsidRPr="008475E9" w:rsidRDefault="00EE1CF5" w:rsidP="00263AB1">
            <w:pPr>
              <w:ind w:firstLine="34"/>
              <w:jc w:val="center"/>
              <w:rPr>
                <w:rFonts w:cs="Times New Roman"/>
                <w:b/>
                <w:sz w:val="20"/>
                <w:szCs w:val="20"/>
              </w:rPr>
            </w:pPr>
            <w:r w:rsidRPr="008475E9">
              <w:rPr>
                <w:rFonts w:cs="Times New Roman"/>
                <w:b/>
                <w:sz w:val="20"/>
                <w:szCs w:val="20"/>
              </w:rPr>
              <w:t>24,92</w:t>
            </w:r>
          </w:p>
        </w:tc>
        <w:tc>
          <w:tcPr>
            <w:tcW w:w="1329" w:type="dxa"/>
            <w:vAlign w:val="center"/>
          </w:tcPr>
          <w:p w14:paraId="22B5F9C9" w14:textId="77777777" w:rsidR="00EE1CF5" w:rsidRPr="00111577" w:rsidRDefault="00EE1CF5" w:rsidP="00263AB1">
            <w:pPr>
              <w:ind w:firstLine="34"/>
              <w:jc w:val="center"/>
              <w:rPr>
                <w:rFonts w:cs="Times New Roman"/>
                <w:b/>
                <w:sz w:val="20"/>
                <w:szCs w:val="20"/>
              </w:rPr>
            </w:pPr>
            <w:r>
              <w:rPr>
                <w:rFonts w:cs="Times New Roman"/>
                <w:b/>
                <w:sz w:val="20"/>
                <w:szCs w:val="20"/>
              </w:rPr>
              <w:t>15,86</w:t>
            </w:r>
          </w:p>
        </w:tc>
        <w:tc>
          <w:tcPr>
            <w:tcW w:w="1237" w:type="dxa"/>
            <w:tcBorders>
              <w:right w:val="single" w:sz="4" w:space="0" w:color="auto"/>
            </w:tcBorders>
            <w:shd w:val="clear" w:color="auto" w:fill="auto"/>
            <w:vAlign w:val="center"/>
          </w:tcPr>
          <w:p w14:paraId="3A3C652B" w14:textId="77777777" w:rsidR="00EE1CF5" w:rsidRPr="00111577" w:rsidRDefault="00EE1CF5" w:rsidP="00263AB1">
            <w:pPr>
              <w:ind w:firstLine="34"/>
              <w:jc w:val="center"/>
              <w:rPr>
                <w:rFonts w:cs="Times New Roman"/>
                <w:b/>
                <w:sz w:val="20"/>
                <w:szCs w:val="20"/>
              </w:rPr>
            </w:pPr>
            <w:r>
              <w:rPr>
                <w:rFonts w:cs="Times New Roman"/>
                <w:b/>
                <w:sz w:val="20"/>
                <w:szCs w:val="20"/>
              </w:rPr>
              <w:t>15,33</w:t>
            </w:r>
          </w:p>
        </w:tc>
      </w:tr>
    </w:tbl>
    <w:p w14:paraId="779E3F4A" w14:textId="77777777" w:rsidR="00EE1CF5" w:rsidRDefault="00EE1CF5" w:rsidP="00EE1CF5">
      <w:pPr>
        <w:pStyle w:val="Caption"/>
        <w:keepNext/>
        <w:spacing w:line="240" w:lineRule="auto"/>
        <w:jc w:val="right"/>
        <w:rPr>
          <w:rFonts w:ascii="Times New Roman" w:hAnsi="Times New Roman"/>
          <w:b w:val="0"/>
          <w:i/>
          <w:sz w:val="24"/>
          <w:szCs w:val="24"/>
        </w:rPr>
      </w:pPr>
    </w:p>
    <w:p w14:paraId="0CEEE961" w14:textId="77777777" w:rsidR="00EE1CF5" w:rsidRDefault="00EE1CF5" w:rsidP="00EE1CF5">
      <w:pPr>
        <w:jc w:val="left"/>
        <w:rPr>
          <w:rFonts w:eastAsia="Times New Roman" w:cs="Times New Roman"/>
          <w:bCs/>
          <w:i/>
          <w:color w:val="000000"/>
          <w:sz w:val="24"/>
          <w:szCs w:val="24"/>
        </w:rPr>
      </w:pPr>
      <w:r>
        <w:rPr>
          <w:b/>
          <w:i/>
          <w:sz w:val="24"/>
          <w:szCs w:val="24"/>
        </w:rPr>
        <w:br w:type="page"/>
      </w:r>
    </w:p>
    <w:p w14:paraId="447BEC81" w14:textId="77777777" w:rsidR="00EE1CF5" w:rsidRPr="004B1EF3" w:rsidRDefault="00EE1CF5" w:rsidP="00EE1CF5">
      <w:pPr>
        <w:pStyle w:val="Caption"/>
        <w:keepNext/>
        <w:spacing w:line="240" w:lineRule="auto"/>
        <w:jc w:val="right"/>
        <w:rPr>
          <w:rFonts w:ascii="Times New Roman" w:hAnsi="Times New Roman"/>
          <w:b w:val="0"/>
          <w:i/>
          <w:sz w:val="24"/>
          <w:szCs w:val="24"/>
        </w:rPr>
      </w:pPr>
      <w:r w:rsidRPr="004B1EF3">
        <w:rPr>
          <w:rFonts w:ascii="Times New Roman" w:hAnsi="Times New Roman"/>
          <w:b w:val="0"/>
          <w:i/>
          <w:sz w:val="24"/>
          <w:szCs w:val="24"/>
        </w:rPr>
        <w:lastRenderedPageBreak/>
        <w:t>26.tabula</w:t>
      </w:r>
    </w:p>
    <w:p w14:paraId="612CE887" w14:textId="77777777" w:rsidR="00EE1CF5" w:rsidRDefault="00EE1CF5" w:rsidP="00EE1CF5">
      <w:pPr>
        <w:pStyle w:val="Caption"/>
        <w:keepNext/>
        <w:keepLines/>
        <w:widowControl/>
        <w:jc w:val="center"/>
        <w:rPr>
          <w:rFonts w:ascii="Times New Roman" w:hAnsi="Times New Roman"/>
          <w:sz w:val="24"/>
          <w:szCs w:val="24"/>
        </w:rPr>
      </w:pPr>
      <w:r w:rsidRPr="00E936FD">
        <w:rPr>
          <w:rFonts w:ascii="Times New Roman" w:hAnsi="Times New Roman"/>
          <w:sz w:val="24"/>
          <w:szCs w:val="24"/>
        </w:rPr>
        <w:t>Valsts budžetā iemaksājamās AS "Latvenergo" dividendes, EUR</w:t>
      </w: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1434"/>
        <w:gridCol w:w="1250"/>
        <w:gridCol w:w="1392"/>
        <w:gridCol w:w="1325"/>
        <w:gridCol w:w="1771"/>
        <w:gridCol w:w="1325"/>
        <w:gridCol w:w="1250"/>
      </w:tblGrid>
      <w:tr w:rsidR="00EE1CF5" w14:paraId="0458D93D" w14:textId="77777777" w:rsidTr="00263AB1">
        <w:trPr>
          <w:trHeight w:val="288"/>
          <w:jc w:val="center"/>
        </w:trPr>
        <w:tc>
          <w:tcPr>
            <w:tcW w:w="4813" w:type="dxa"/>
            <w:shd w:val="clear" w:color="auto" w:fill="auto"/>
            <w:noWrap/>
            <w:vAlign w:val="bottom"/>
            <w:hideMark/>
          </w:tcPr>
          <w:p w14:paraId="12E170D1" w14:textId="77777777" w:rsidR="00EE1CF5" w:rsidRPr="00E936FD" w:rsidRDefault="00EE1CF5" w:rsidP="00263AB1">
            <w:pPr>
              <w:ind w:firstLine="34"/>
              <w:rPr>
                <w:rFonts w:cs="Times New Roman"/>
                <w:sz w:val="20"/>
                <w:szCs w:val="20"/>
              </w:rPr>
            </w:pPr>
          </w:p>
        </w:tc>
        <w:tc>
          <w:tcPr>
            <w:tcW w:w="2684" w:type="dxa"/>
            <w:gridSpan w:val="2"/>
            <w:shd w:val="clear" w:color="auto" w:fill="auto"/>
            <w:noWrap/>
            <w:vAlign w:val="center"/>
            <w:hideMark/>
          </w:tcPr>
          <w:p w14:paraId="6DB1B95F"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2018</w:t>
            </w:r>
          </w:p>
        </w:tc>
        <w:tc>
          <w:tcPr>
            <w:tcW w:w="2717" w:type="dxa"/>
            <w:gridSpan w:val="2"/>
            <w:shd w:val="clear" w:color="auto" w:fill="auto"/>
            <w:noWrap/>
            <w:vAlign w:val="center"/>
            <w:hideMark/>
          </w:tcPr>
          <w:p w14:paraId="56215B3C"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2019</w:t>
            </w:r>
          </w:p>
        </w:tc>
        <w:tc>
          <w:tcPr>
            <w:tcW w:w="3096" w:type="dxa"/>
            <w:gridSpan w:val="2"/>
            <w:tcBorders>
              <w:right w:val="single" w:sz="4" w:space="0" w:color="auto"/>
            </w:tcBorders>
            <w:shd w:val="clear" w:color="auto" w:fill="auto"/>
            <w:noWrap/>
            <w:vAlign w:val="center"/>
            <w:hideMark/>
          </w:tcPr>
          <w:p w14:paraId="58B5F206"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2020</w:t>
            </w:r>
          </w:p>
        </w:tc>
        <w:tc>
          <w:tcPr>
            <w:tcW w:w="1250" w:type="dxa"/>
            <w:tcBorders>
              <w:right w:val="single" w:sz="4" w:space="0" w:color="auto"/>
            </w:tcBorders>
          </w:tcPr>
          <w:p w14:paraId="5712B93A" w14:textId="77777777" w:rsidR="00EE1CF5" w:rsidRPr="00E936FD" w:rsidRDefault="00EE1CF5" w:rsidP="00263AB1">
            <w:pPr>
              <w:ind w:firstLine="34"/>
              <w:jc w:val="center"/>
              <w:rPr>
                <w:rFonts w:cs="Times New Roman"/>
                <w:b/>
                <w:bCs/>
                <w:sz w:val="20"/>
                <w:szCs w:val="20"/>
              </w:rPr>
            </w:pPr>
            <w:r>
              <w:rPr>
                <w:rFonts w:cs="Times New Roman"/>
                <w:b/>
                <w:bCs/>
                <w:sz w:val="20"/>
                <w:szCs w:val="20"/>
              </w:rPr>
              <w:t>2021</w:t>
            </w:r>
          </w:p>
        </w:tc>
      </w:tr>
      <w:tr w:rsidR="00EE1CF5" w14:paraId="665D5A35" w14:textId="77777777" w:rsidTr="00263AB1">
        <w:trPr>
          <w:trHeight w:val="288"/>
          <w:jc w:val="center"/>
        </w:trPr>
        <w:tc>
          <w:tcPr>
            <w:tcW w:w="4813" w:type="dxa"/>
            <w:shd w:val="clear" w:color="auto" w:fill="auto"/>
            <w:noWrap/>
            <w:vAlign w:val="center"/>
          </w:tcPr>
          <w:p w14:paraId="5F92B39A" w14:textId="77777777" w:rsidR="00EE1CF5" w:rsidRPr="00E936FD" w:rsidRDefault="00EE1CF5" w:rsidP="00263AB1">
            <w:pPr>
              <w:ind w:firstLine="34"/>
              <w:jc w:val="center"/>
              <w:rPr>
                <w:rFonts w:cs="Times New Roman"/>
                <w:b/>
                <w:bCs/>
                <w:sz w:val="20"/>
                <w:szCs w:val="20"/>
              </w:rPr>
            </w:pPr>
          </w:p>
        </w:tc>
        <w:tc>
          <w:tcPr>
            <w:tcW w:w="1434" w:type="dxa"/>
            <w:shd w:val="clear" w:color="auto" w:fill="auto"/>
            <w:noWrap/>
            <w:vAlign w:val="center"/>
          </w:tcPr>
          <w:p w14:paraId="1A010EDD" w14:textId="77777777" w:rsidR="00EE1CF5" w:rsidRPr="00E936FD" w:rsidRDefault="00EE1CF5" w:rsidP="00263AB1">
            <w:pPr>
              <w:ind w:firstLine="34"/>
              <w:jc w:val="center"/>
              <w:rPr>
                <w:b/>
                <w:bCs/>
                <w:color w:val="000000"/>
                <w:sz w:val="20"/>
                <w:szCs w:val="20"/>
              </w:rPr>
            </w:pPr>
            <w:r>
              <w:rPr>
                <w:b/>
                <w:bCs/>
                <w:color w:val="000000"/>
                <w:sz w:val="20"/>
                <w:szCs w:val="20"/>
              </w:rPr>
              <w:t>Budžets</w:t>
            </w:r>
          </w:p>
        </w:tc>
        <w:tc>
          <w:tcPr>
            <w:tcW w:w="1250" w:type="dxa"/>
            <w:vAlign w:val="center"/>
          </w:tcPr>
          <w:p w14:paraId="35A3E7B0"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392" w:type="dxa"/>
            <w:shd w:val="clear" w:color="auto" w:fill="auto"/>
            <w:noWrap/>
            <w:vAlign w:val="center"/>
          </w:tcPr>
          <w:p w14:paraId="6BFC15A3" w14:textId="77777777" w:rsidR="00EE1CF5" w:rsidRPr="00E936FD" w:rsidRDefault="00EE1CF5" w:rsidP="00263AB1">
            <w:pPr>
              <w:ind w:firstLine="34"/>
              <w:jc w:val="center"/>
              <w:rPr>
                <w:b/>
                <w:bCs/>
                <w:color w:val="000000"/>
                <w:sz w:val="20"/>
                <w:szCs w:val="20"/>
              </w:rPr>
            </w:pPr>
            <w:r>
              <w:rPr>
                <w:b/>
                <w:bCs/>
                <w:color w:val="000000"/>
                <w:sz w:val="20"/>
                <w:szCs w:val="20"/>
              </w:rPr>
              <w:t>2017. gada prognoze</w:t>
            </w:r>
          </w:p>
        </w:tc>
        <w:tc>
          <w:tcPr>
            <w:tcW w:w="1325" w:type="dxa"/>
            <w:vAlign w:val="center"/>
          </w:tcPr>
          <w:p w14:paraId="40D71217"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771" w:type="dxa"/>
            <w:tcBorders>
              <w:right w:val="single" w:sz="4" w:space="0" w:color="auto"/>
            </w:tcBorders>
            <w:shd w:val="clear" w:color="auto" w:fill="auto"/>
            <w:noWrap/>
            <w:vAlign w:val="center"/>
          </w:tcPr>
          <w:p w14:paraId="15DDCA35" w14:textId="77777777" w:rsidR="00EE1CF5" w:rsidRPr="00E936FD" w:rsidRDefault="00EE1CF5" w:rsidP="00263AB1">
            <w:pPr>
              <w:ind w:firstLine="34"/>
              <w:jc w:val="center"/>
              <w:rPr>
                <w:b/>
                <w:bCs/>
                <w:color w:val="000000"/>
                <w:sz w:val="20"/>
                <w:szCs w:val="20"/>
              </w:rPr>
            </w:pPr>
            <w:r>
              <w:rPr>
                <w:b/>
                <w:bCs/>
                <w:color w:val="000000"/>
                <w:sz w:val="20"/>
                <w:szCs w:val="20"/>
              </w:rPr>
              <w:t>2017. gada prognoze</w:t>
            </w:r>
          </w:p>
        </w:tc>
        <w:tc>
          <w:tcPr>
            <w:tcW w:w="1325" w:type="dxa"/>
            <w:tcBorders>
              <w:right w:val="single" w:sz="4" w:space="0" w:color="auto"/>
            </w:tcBorders>
            <w:vAlign w:val="center"/>
          </w:tcPr>
          <w:p w14:paraId="78A32286" w14:textId="77777777" w:rsidR="00EE1CF5" w:rsidRPr="00E936FD" w:rsidRDefault="00EE1CF5" w:rsidP="00263AB1">
            <w:pPr>
              <w:ind w:firstLine="34"/>
              <w:jc w:val="center"/>
              <w:rPr>
                <w:b/>
                <w:bCs/>
                <w:color w:val="000000"/>
                <w:sz w:val="20"/>
                <w:szCs w:val="20"/>
              </w:rPr>
            </w:pPr>
            <w:r>
              <w:rPr>
                <w:b/>
                <w:bCs/>
                <w:color w:val="000000"/>
                <w:sz w:val="20"/>
                <w:szCs w:val="20"/>
              </w:rPr>
              <w:t>Prognoze</w:t>
            </w:r>
          </w:p>
        </w:tc>
        <w:tc>
          <w:tcPr>
            <w:tcW w:w="1250" w:type="dxa"/>
            <w:tcBorders>
              <w:right w:val="single" w:sz="4" w:space="0" w:color="auto"/>
            </w:tcBorders>
            <w:vAlign w:val="center"/>
          </w:tcPr>
          <w:p w14:paraId="257075A1" w14:textId="77777777" w:rsidR="00EE1CF5" w:rsidRPr="00E936FD" w:rsidRDefault="00EE1CF5" w:rsidP="00263AB1">
            <w:pPr>
              <w:ind w:firstLine="34"/>
              <w:jc w:val="center"/>
              <w:rPr>
                <w:b/>
                <w:bCs/>
                <w:color w:val="000000"/>
                <w:sz w:val="20"/>
                <w:szCs w:val="20"/>
              </w:rPr>
            </w:pPr>
            <w:r>
              <w:rPr>
                <w:b/>
                <w:bCs/>
                <w:color w:val="000000"/>
                <w:sz w:val="20"/>
                <w:szCs w:val="20"/>
              </w:rPr>
              <w:t>Prognoze</w:t>
            </w:r>
          </w:p>
        </w:tc>
      </w:tr>
      <w:tr w:rsidR="00EE1CF5" w14:paraId="40303222" w14:textId="77777777" w:rsidTr="00263AB1">
        <w:trPr>
          <w:trHeight w:val="288"/>
          <w:jc w:val="center"/>
        </w:trPr>
        <w:tc>
          <w:tcPr>
            <w:tcW w:w="4813" w:type="dxa"/>
            <w:shd w:val="clear" w:color="auto" w:fill="auto"/>
            <w:noWrap/>
            <w:vAlign w:val="center"/>
            <w:hideMark/>
          </w:tcPr>
          <w:p w14:paraId="265A905A"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 xml:space="preserve">AS </w:t>
            </w:r>
            <w:r w:rsidRPr="00E936FD">
              <w:rPr>
                <w:rFonts w:cs="Times New Roman"/>
                <w:b/>
                <w:sz w:val="20"/>
                <w:szCs w:val="20"/>
              </w:rPr>
              <w:t xml:space="preserve">„Latvenergo” </w:t>
            </w:r>
            <w:r w:rsidRPr="00E936FD">
              <w:rPr>
                <w:rFonts w:cs="Times New Roman"/>
                <w:b/>
                <w:bCs/>
                <w:sz w:val="20"/>
                <w:szCs w:val="20"/>
              </w:rPr>
              <w:t>dividendes, tajā skaitā</w:t>
            </w:r>
          </w:p>
        </w:tc>
        <w:tc>
          <w:tcPr>
            <w:tcW w:w="1434" w:type="dxa"/>
            <w:shd w:val="clear" w:color="auto" w:fill="auto"/>
            <w:noWrap/>
            <w:vAlign w:val="center"/>
            <w:hideMark/>
          </w:tcPr>
          <w:p w14:paraId="7B609227" w14:textId="77777777" w:rsidR="00EE1CF5" w:rsidRPr="00E936FD" w:rsidRDefault="00EE1CF5" w:rsidP="00263AB1">
            <w:pPr>
              <w:ind w:firstLine="34"/>
              <w:jc w:val="center"/>
              <w:rPr>
                <w:rFonts w:cs="Times New Roman"/>
                <w:b/>
                <w:bCs/>
                <w:color w:val="000000"/>
                <w:sz w:val="20"/>
                <w:szCs w:val="20"/>
              </w:rPr>
            </w:pPr>
            <w:r w:rsidRPr="00E936FD">
              <w:rPr>
                <w:b/>
                <w:bCs/>
                <w:color w:val="000000"/>
                <w:sz w:val="20"/>
                <w:szCs w:val="20"/>
              </w:rPr>
              <w:t>94 217 866</w:t>
            </w:r>
          </w:p>
        </w:tc>
        <w:tc>
          <w:tcPr>
            <w:tcW w:w="1250" w:type="dxa"/>
            <w:vAlign w:val="center"/>
          </w:tcPr>
          <w:p w14:paraId="42D3CA9E" w14:textId="77777777" w:rsidR="00EE1CF5" w:rsidRPr="00E936FD" w:rsidRDefault="00EE1CF5" w:rsidP="00263AB1">
            <w:pPr>
              <w:ind w:firstLine="34"/>
              <w:jc w:val="center"/>
              <w:rPr>
                <w:b/>
                <w:bCs/>
                <w:color w:val="000000"/>
                <w:sz w:val="20"/>
                <w:szCs w:val="20"/>
              </w:rPr>
            </w:pPr>
            <w:r w:rsidRPr="007F00E3">
              <w:rPr>
                <w:b/>
                <w:bCs/>
                <w:color w:val="000000"/>
                <w:sz w:val="20"/>
                <w:szCs w:val="20"/>
              </w:rPr>
              <w:t>156</w:t>
            </w:r>
            <w:r>
              <w:rPr>
                <w:b/>
                <w:bCs/>
                <w:color w:val="000000"/>
                <w:sz w:val="20"/>
                <w:szCs w:val="20"/>
              </w:rPr>
              <w:t> </w:t>
            </w:r>
            <w:r w:rsidRPr="007F00E3">
              <w:rPr>
                <w:b/>
                <w:bCs/>
                <w:color w:val="000000"/>
                <w:sz w:val="20"/>
                <w:szCs w:val="20"/>
              </w:rPr>
              <w:t>417</w:t>
            </w:r>
            <w:r>
              <w:rPr>
                <w:b/>
                <w:bCs/>
                <w:color w:val="000000"/>
                <w:sz w:val="20"/>
                <w:szCs w:val="20"/>
              </w:rPr>
              <w:t> </w:t>
            </w:r>
            <w:r w:rsidRPr="007F00E3">
              <w:rPr>
                <w:b/>
                <w:bCs/>
                <w:color w:val="000000"/>
                <w:sz w:val="20"/>
                <w:szCs w:val="20"/>
              </w:rPr>
              <w:t>866</w:t>
            </w:r>
          </w:p>
        </w:tc>
        <w:tc>
          <w:tcPr>
            <w:tcW w:w="1392" w:type="dxa"/>
            <w:shd w:val="clear" w:color="auto" w:fill="auto"/>
            <w:noWrap/>
            <w:vAlign w:val="center"/>
            <w:hideMark/>
          </w:tcPr>
          <w:p w14:paraId="5210F154" w14:textId="77777777" w:rsidR="00EE1CF5" w:rsidRPr="00E936FD" w:rsidRDefault="00EE1CF5" w:rsidP="00263AB1">
            <w:pPr>
              <w:ind w:firstLine="34"/>
              <w:jc w:val="center"/>
              <w:rPr>
                <w:rFonts w:eastAsia="Times New Roman"/>
                <w:b/>
                <w:bCs/>
                <w:color w:val="000000"/>
                <w:sz w:val="20"/>
                <w:szCs w:val="20"/>
              </w:rPr>
            </w:pPr>
            <w:r w:rsidRPr="00E936FD">
              <w:rPr>
                <w:b/>
                <w:bCs/>
                <w:color w:val="000000"/>
                <w:sz w:val="20"/>
                <w:szCs w:val="20"/>
              </w:rPr>
              <w:t>132 936 416</w:t>
            </w:r>
          </w:p>
        </w:tc>
        <w:tc>
          <w:tcPr>
            <w:tcW w:w="1325" w:type="dxa"/>
            <w:vAlign w:val="center"/>
          </w:tcPr>
          <w:p w14:paraId="6F070CDD" w14:textId="77777777" w:rsidR="00EE1CF5" w:rsidRPr="00E936FD" w:rsidRDefault="00EE1CF5" w:rsidP="00263AB1">
            <w:pPr>
              <w:ind w:firstLine="34"/>
              <w:jc w:val="center"/>
              <w:rPr>
                <w:b/>
                <w:bCs/>
                <w:color w:val="000000"/>
                <w:sz w:val="20"/>
                <w:szCs w:val="20"/>
              </w:rPr>
            </w:pPr>
            <w:r w:rsidRPr="00A96ECF">
              <w:rPr>
                <w:b/>
                <w:bCs/>
                <w:color w:val="000000"/>
                <w:sz w:val="20"/>
                <w:szCs w:val="20"/>
              </w:rPr>
              <w:t>122 400 000</w:t>
            </w:r>
          </w:p>
        </w:tc>
        <w:tc>
          <w:tcPr>
            <w:tcW w:w="1771" w:type="dxa"/>
            <w:tcBorders>
              <w:right w:val="single" w:sz="4" w:space="0" w:color="auto"/>
            </w:tcBorders>
            <w:shd w:val="clear" w:color="auto" w:fill="auto"/>
            <w:noWrap/>
            <w:vAlign w:val="center"/>
            <w:hideMark/>
          </w:tcPr>
          <w:p w14:paraId="7C8562F5" w14:textId="77777777" w:rsidR="00EE1CF5" w:rsidRPr="00E936FD" w:rsidRDefault="00EE1CF5" w:rsidP="00263AB1">
            <w:pPr>
              <w:ind w:firstLine="34"/>
              <w:jc w:val="center"/>
              <w:rPr>
                <w:rFonts w:cs="Times New Roman"/>
                <w:b/>
                <w:bCs/>
                <w:color w:val="000000"/>
                <w:sz w:val="20"/>
                <w:szCs w:val="20"/>
              </w:rPr>
            </w:pPr>
            <w:r w:rsidRPr="00E936FD">
              <w:rPr>
                <w:b/>
                <w:bCs/>
                <w:color w:val="000000"/>
                <w:sz w:val="20"/>
                <w:szCs w:val="20"/>
              </w:rPr>
              <w:t>127 070 731</w:t>
            </w:r>
          </w:p>
        </w:tc>
        <w:tc>
          <w:tcPr>
            <w:tcW w:w="1325" w:type="dxa"/>
            <w:tcBorders>
              <w:right w:val="single" w:sz="4" w:space="0" w:color="auto"/>
            </w:tcBorders>
            <w:vAlign w:val="center"/>
          </w:tcPr>
          <w:p w14:paraId="243247C4" w14:textId="77777777" w:rsidR="00EE1CF5" w:rsidRPr="00112755" w:rsidRDefault="00EE1CF5" w:rsidP="00263AB1">
            <w:pPr>
              <w:ind w:firstLine="34"/>
              <w:jc w:val="center"/>
              <w:rPr>
                <w:b/>
                <w:bCs/>
                <w:color w:val="000000"/>
                <w:sz w:val="20"/>
                <w:szCs w:val="20"/>
              </w:rPr>
            </w:pPr>
            <w:r w:rsidRPr="00112755">
              <w:rPr>
                <w:b/>
                <w:bCs/>
                <w:color w:val="000000"/>
                <w:sz w:val="20"/>
                <w:szCs w:val="20"/>
              </w:rPr>
              <w:t>119 800 000</w:t>
            </w:r>
          </w:p>
        </w:tc>
        <w:tc>
          <w:tcPr>
            <w:tcW w:w="1250" w:type="dxa"/>
            <w:tcBorders>
              <w:right w:val="single" w:sz="4" w:space="0" w:color="auto"/>
            </w:tcBorders>
            <w:vAlign w:val="center"/>
          </w:tcPr>
          <w:p w14:paraId="37F8004C" w14:textId="77777777" w:rsidR="00EE1CF5" w:rsidRPr="00112755" w:rsidRDefault="00EE1CF5" w:rsidP="00263AB1">
            <w:pPr>
              <w:ind w:firstLine="34"/>
              <w:jc w:val="center"/>
              <w:rPr>
                <w:b/>
                <w:bCs/>
                <w:color w:val="000000"/>
                <w:sz w:val="20"/>
                <w:szCs w:val="20"/>
              </w:rPr>
            </w:pPr>
            <w:r w:rsidRPr="00112755">
              <w:rPr>
                <w:b/>
                <w:bCs/>
                <w:color w:val="000000"/>
                <w:sz w:val="20"/>
                <w:szCs w:val="20"/>
              </w:rPr>
              <w:t>104 200 000</w:t>
            </w:r>
          </w:p>
        </w:tc>
      </w:tr>
      <w:tr w:rsidR="00EE1CF5" w14:paraId="3540D5D3" w14:textId="77777777" w:rsidTr="00263AB1">
        <w:trPr>
          <w:trHeight w:val="288"/>
          <w:jc w:val="center"/>
        </w:trPr>
        <w:tc>
          <w:tcPr>
            <w:tcW w:w="4813" w:type="dxa"/>
            <w:shd w:val="clear" w:color="auto" w:fill="auto"/>
            <w:noWrap/>
            <w:vAlign w:val="center"/>
          </w:tcPr>
          <w:p w14:paraId="140029FB" w14:textId="77777777" w:rsidR="00EE1CF5" w:rsidRPr="00E936FD" w:rsidRDefault="00EE1CF5" w:rsidP="00263AB1">
            <w:pPr>
              <w:ind w:firstLine="34"/>
              <w:jc w:val="left"/>
              <w:rPr>
                <w:rFonts w:cs="Times New Roman"/>
                <w:bCs/>
                <w:sz w:val="20"/>
                <w:szCs w:val="20"/>
              </w:rPr>
            </w:pPr>
            <w:r w:rsidRPr="00E936FD">
              <w:rPr>
                <w:rFonts w:cs="Times New Roman"/>
                <w:sz w:val="20"/>
                <w:szCs w:val="20"/>
              </w:rPr>
              <w:t>VPP enerģētikā</w:t>
            </w:r>
          </w:p>
        </w:tc>
        <w:tc>
          <w:tcPr>
            <w:tcW w:w="1434" w:type="dxa"/>
            <w:shd w:val="clear" w:color="auto" w:fill="auto"/>
            <w:noWrap/>
            <w:vAlign w:val="center"/>
          </w:tcPr>
          <w:p w14:paraId="65573DAD"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250" w:type="dxa"/>
            <w:vAlign w:val="center"/>
          </w:tcPr>
          <w:p w14:paraId="5EE5F83A" w14:textId="77777777" w:rsidR="00EE1CF5" w:rsidRPr="00E936FD" w:rsidRDefault="00EE1CF5" w:rsidP="00263AB1">
            <w:pPr>
              <w:ind w:firstLine="34"/>
              <w:jc w:val="center"/>
              <w:rPr>
                <w:color w:val="000000"/>
                <w:sz w:val="20"/>
                <w:szCs w:val="20"/>
              </w:rPr>
            </w:pPr>
            <w:r w:rsidRPr="009857DF">
              <w:rPr>
                <w:color w:val="000000"/>
                <w:sz w:val="20"/>
                <w:szCs w:val="20"/>
              </w:rPr>
              <w:t>2 000 000</w:t>
            </w:r>
          </w:p>
        </w:tc>
        <w:tc>
          <w:tcPr>
            <w:tcW w:w="1392" w:type="dxa"/>
            <w:shd w:val="clear" w:color="auto" w:fill="auto"/>
            <w:noWrap/>
            <w:vAlign w:val="center"/>
          </w:tcPr>
          <w:p w14:paraId="3770B5DE" w14:textId="77777777" w:rsidR="00EE1CF5" w:rsidRPr="009857DF" w:rsidRDefault="00EE1CF5" w:rsidP="00263AB1">
            <w:pPr>
              <w:ind w:firstLine="34"/>
              <w:jc w:val="center"/>
              <w:rPr>
                <w:color w:val="000000"/>
                <w:sz w:val="20"/>
                <w:szCs w:val="20"/>
              </w:rPr>
            </w:pPr>
            <w:r w:rsidRPr="009857DF">
              <w:rPr>
                <w:color w:val="000000"/>
                <w:sz w:val="20"/>
                <w:szCs w:val="20"/>
              </w:rPr>
              <w:t>2 000 000</w:t>
            </w:r>
          </w:p>
        </w:tc>
        <w:tc>
          <w:tcPr>
            <w:tcW w:w="1325" w:type="dxa"/>
            <w:vAlign w:val="center"/>
          </w:tcPr>
          <w:p w14:paraId="79FDD598" w14:textId="77777777" w:rsidR="00EE1CF5" w:rsidRPr="00A24C95" w:rsidRDefault="00EE1CF5" w:rsidP="00263AB1">
            <w:pPr>
              <w:ind w:firstLine="34"/>
              <w:jc w:val="center"/>
              <w:rPr>
                <w:color w:val="000000"/>
                <w:sz w:val="20"/>
                <w:szCs w:val="20"/>
              </w:rPr>
            </w:pPr>
            <w:r w:rsidRPr="00A24C95">
              <w:rPr>
                <w:color w:val="000000"/>
                <w:sz w:val="20"/>
                <w:szCs w:val="20"/>
              </w:rPr>
              <w:t>2 000 000</w:t>
            </w:r>
          </w:p>
        </w:tc>
        <w:tc>
          <w:tcPr>
            <w:tcW w:w="1771" w:type="dxa"/>
            <w:tcBorders>
              <w:right w:val="single" w:sz="4" w:space="0" w:color="auto"/>
            </w:tcBorders>
            <w:shd w:val="clear" w:color="auto" w:fill="auto"/>
            <w:noWrap/>
            <w:vAlign w:val="center"/>
          </w:tcPr>
          <w:p w14:paraId="19F82128" w14:textId="77777777" w:rsidR="00EE1CF5" w:rsidRPr="009857DF" w:rsidRDefault="00EE1CF5" w:rsidP="00263AB1">
            <w:pPr>
              <w:ind w:firstLine="34"/>
              <w:jc w:val="center"/>
              <w:rPr>
                <w:color w:val="000000"/>
                <w:sz w:val="20"/>
                <w:szCs w:val="20"/>
              </w:rPr>
            </w:pPr>
            <w:r w:rsidRPr="009857DF">
              <w:rPr>
                <w:color w:val="000000"/>
                <w:sz w:val="20"/>
                <w:szCs w:val="20"/>
              </w:rPr>
              <w:t>2 000 000</w:t>
            </w:r>
          </w:p>
        </w:tc>
        <w:tc>
          <w:tcPr>
            <w:tcW w:w="1325" w:type="dxa"/>
            <w:tcBorders>
              <w:right w:val="single" w:sz="4" w:space="0" w:color="auto"/>
            </w:tcBorders>
            <w:vAlign w:val="center"/>
          </w:tcPr>
          <w:p w14:paraId="5F1CB599" w14:textId="77777777" w:rsidR="00EE1CF5" w:rsidRPr="00112755" w:rsidRDefault="00EE1CF5" w:rsidP="00263AB1">
            <w:pPr>
              <w:ind w:firstLine="34"/>
              <w:jc w:val="center"/>
              <w:rPr>
                <w:color w:val="000000"/>
                <w:sz w:val="20"/>
                <w:szCs w:val="20"/>
              </w:rPr>
            </w:pPr>
            <w:r w:rsidRPr="00112755">
              <w:rPr>
                <w:color w:val="000000"/>
                <w:sz w:val="20"/>
                <w:szCs w:val="20"/>
              </w:rPr>
              <w:t>2 000 000</w:t>
            </w:r>
          </w:p>
        </w:tc>
        <w:tc>
          <w:tcPr>
            <w:tcW w:w="1250" w:type="dxa"/>
            <w:tcBorders>
              <w:right w:val="single" w:sz="4" w:space="0" w:color="auto"/>
            </w:tcBorders>
            <w:vAlign w:val="center"/>
          </w:tcPr>
          <w:p w14:paraId="6B6FA604" w14:textId="77777777" w:rsidR="00EE1CF5" w:rsidRPr="00112755" w:rsidRDefault="00EE1CF5" w:rsidP="00263AB1">
            <w:pPr>
              <w:ind w:firstLine="34"/>
              <w:jc w:val="center"/>
              <w:rPr>
                <w:color w:val="000000"/>
                <w:sz w:val="20"/>
                <w:szCs w:val="20"/>
              </w:rPr>
            </w:pPr>
            <w:r w:rsidRPr="00112755">
              <w:rPr>
                <w:color w:val="000000"/>
                <w:sz w:val="20"/>
                <w:szCs w:val="20"/>
              </w:rPr>
              <w:t>2 000 000</w:t>
            </w:r>
          </w:p>
        </w:tc>
      </w:tr>
      <w:tr w:rsidR="00EE1CF5" w14:paraId="1497FE5C" w14:textId="77777777" w:rsidTr="00263AB1">
        <w:trPr>
          <w:trHeight w:val="288"/>
          <w:jc w:val="center"/>
        </w:trPr>
        <w:tc>
          <w:tcPr>
            <w:tcW w:w="4813" w:type="dxa"/>
            <w:shd w:val="clear" w:color="auto" w:fill="auto"/>
            <w:noWrap/>
            <w:vAlign w:val="center"/>
            <w:hideMark/>
          </w:tcPr>
          <w:p w14:paraId="1357C890" w14:textId="77777777" w:rsidR="00EE1CF5" w:rsidRPr="00E936FD" w:rsidRDefault="00EE1CF5" w:rsidP="00263AB1">
            <w:pPr>
              <w:ind w:firstLine="34"/>
              <w:jc w:val="left"/>
              <w:rPr>
                <w:rFonts w:cs="Times New Roman"/>
                <w:sz w:val="20"/>
                <w:szCs w:val="20"/>
              </w:rPr>
            </w:pPr>
            <w:r w:rsidRPr="00E936FD">
              <w:rPr>
                <w:rFonts w:cs="Times New Roman"/>
                <w:sz w:val="20"/>
                <w:szCs w:val="20"/>
              </w:rPr>
              <w:t>tostarp komplekso risinājumu elektroenerģijas tirgū novirzāmā daļa</w:t>
            </w:r>
          </w:p>
        </w:tc>
        <w:tc>
          <w:tcPr>
            <w:tcW w:w="1434" w:type="dxa"/>
            <w:shd w:val="clear" w:color="auto" w:fill="auto"/>
            <w:noWrap/>
            <w:vAlign w:val="center"/>
            <w:hideMark/>
          </w:tcPr>
          <w:p w14:paraId="29B5E5AD" w14:textId="77777777" w:rsidR="00EE1CF5" w:rsidRPr="00E936FD" w:rsidRDefault="00EE1CF5" w:rsidP="00263AB1">
            <w:pPr>
              <w:ind w:firstLine="34"/>
              <w:jc w:val="center"/>
              <w:rPr>
                <w:rFonts w:cs="Times New Roman"/>
                <w:sz w:val="20"/>
                <w:szCs w:val="20"/>
              </w:rPr>
            </w:pPr>
            <w:r>
              <w:rPr>
                <w:color w:val="000000"/>
                <w:sz w:val="20"/>
                <w:szCs w:val="20"/>
              </w:rPr>
              <w:t>35</w:t>
            </w:r>
            <w:r w:rsidRPr="00E936FD">
              <w:rPr>
                <w:color w:val="000000"/>
                <w:sz w:val="20"/>
                <w:szCs w:val="20"/>
              </w:rPr>
              <w:t xml:space="preserve"> 987 866</w:t>
            </w:r>
          </w:p>
        </w:tc>
        <w:tc>
          <w:tcPr>
            <w:tcW w:w="1250" w:type="dxa"/>
            <w:vAlign w:val="center"/>
          </w:tcPr>
          <w:p w14:paraId="4238DB84" w14:textId="77777777" w:rsidR="00EE1CF5" w:rsidRDefault="00EE1CF5" w:rsidP="00263AB1">
            <w:pPr>
              <w:ind w:firstLine="34"/>
              <w:jc w:val="center"/>
              <w:rPr>
                <w:color w:val="000000"/>
                <w:sz w:val="20"/>
                <w:szCs w:val="20"/>
              </w:rPr>
            </w:pPr>
            <w:r w:rsidRPr="009857DF">
              <w:rPr>
                <w:color w:val="000000"/>
                <w:sz w:val="20"/>
                <w:szCs w:val="20"/>
              </w:rPr>
              <w:t>91 428 043</w:t>
            </w:r>
          </w:p>
        </w:tc>
        <w:tc>
          <w:tcPr>
            <w:tcW w:w="1392" w:type="dxa"/>
            <w:shd w:val="clear" w:color="auto" w:fill="auto"/>
            <w:noWrap/>
            <w:vAlign w:val="center"/>
            <w:hideMark/>
          </w:tcPr>
          <w:p w14:paraId="1A4A1D3D" w14:textId="77777777" w:rsidR="00EE1CF5" w:rsidRPr="009857DF" w:rsidRDefault="00EE1CF5" w:rsidP="00263AB1">
            <w:pPr>
              <w:ind w:firstLine="34"/>
              <w:jc w:val="center"/>
              <w:rPr>
                <w:color w:val="000000"/>
                <w:sz w:val="20"/>
                <w:szCs w:val="20"/>
              </w:rPr>
            </w:pPr>
            <w:r w:rsidRPr="009857DF">
              <w:rPr>
                <w:color w:val="000000"/>
                <w:sz w:val="20"/>
                <w:szCs w:val="20"/>
              </w:rPr>
              <w:t>47 406 416</w:t>
            </w:r>
          </w:p>
        </w:tc>
        <w:tc>
          <w:tcPr>
            <w:tcW w:w="1325" w:type="dxa"/>
            <w:vAlign w:val="center"/>
          </w:tcPr>
          <w:p w14:paraId="28506F2C" w14:textId="77777777" w:rsidR="00EE1CF5" w:rsidRPr="00A24C95" w:rsidRDefault="00EE1CF5" w:rsidP="00263AB1">
            <w:pPr>
              <w:jc w:val="center"/>
              <w:rPr>
                <w:color w:val="000000"/>
                <w:sz w:val="20"/>
                <w:szCs w:val="20"/>
              </w:rPr>
            </w:pPr>
            <w:r>
              <w:rPr>
                <w:color w:val="000000"/>
                <w:sz w:val="20"/>
                <w:szCs w:val="20"/>
              </w:rPr>
              <w:t>62 307 006</w:t>
            </w:r>
          </w:p>
        </w:tc>
        <w:tc>
          <w:tcPr>
            <w:tcW w:w="1771" w:type="dxa"/>
            <w:tcBorders>
              <w:right w:val="single" w:sz="4" w:space="0" w:color="auto"/>
            </w:tcBorders>
            <w:shd w:val="clear" w:color="auto" w:fill="auto"/>
            <w:noWrap/>
            <w:vAlign w:val="center"/>
            <w:hideMark/>
          </w:tcPr>
          <w:p w14:paraId="30C5C5CC" w14:textId="77777777" w:rsidR="00EE1CF5" w:rsidRPr="009857DF" w:rsidRDefault="00EE1CF5" w:rsidP="00263AB1">
            <w:pPr>
              <w:ind w:firstLine="34"/>
              <w:jc w:val="center"/>
              <w:rPr>
                <w:color w:val="000000"/>
                <w:sz w:val="20"/>
                <w:szCs w:val="20"/>
              </w:rPr>
            </w:pPr>
            <w:r w:rsidRPr="009857DF">
              <w:rPr>
                <w:color w:val="000000"/>
                <w:sz w:val="20"/>
                <w:szCs w:val="20"/>
              </w:rPr>
              <w:t>51 684 672</w:t>
            </w:r>
          </w:p>
        </w:tc>
        <w:tc>
          <w:tcPr>
            <w:tcW w:w="1325" w:type="dxa"/>
            <w:tcBorders>
              <w:right w:val="single" w:sz="4" w:space="0" w:color="auto"/>
            </w:tcBorders>
            <w:vAlign w:val="center"/>
          </w:tcPr>
          <w:p w14:paraId="2E4202A5" w14:textId="77777777" w:rsidR="00EE1CF5" w:rsidRPr="004641B2" w:rsidRDefault="00EE1CF5" w:rsidP="00263AB1">
            <w:pPr>
              <w:jc w:val="center"/>
              <w:rPr>
                <w:color w:val="000000"/>
                <w:sz w:val="20"/>
                <w:szCs w:val="20"/>
              </w:rPr>
            </w:pPr>
            <w:r>
              <w:rPr>
                <w:color w:val="000000"/>
                <w:sz w:val="20"/>
                <w:szCs w:val="20"/>
              </w:rPr>
              <w:t>49 627 006</w:t>
            </w:r>
          </w:p>
        </w:tc>
        <w:tc>
          <w:tcPr>
            <w:tcW w:w="1250" w:type="dxa"/>
            <w:tcBorders>
              <w:right w:val="single" w:sz="4" w:space="0" w:color="auto"/>
            </w:tcBorders>
            <w:vAlign w:val="center"/>
          </w:tcPr>
          <w:p w14:paraId="356C3E1F" w14:textId="77777777" w:rsidR="00EE1CF5" w:rsidRPr="004641B2" w:rsidRDefault="00EE1CF5" w:rsidP="00263AB1">
            <w:pPr>
              <w:jc w:val="center"/>
              <w:rPr>
                <w:color w:val="000000"/>
                <w:sz w:val="20"/>
                <w:szCs w:val="20"/>
              </w:rPr>
            </w:pPr>
            <w:r>
              <w:rPr>
                <w:color w:val="000000"/>
                <w:sz w:val="20"/>
                <w:szCs w:val="20"/>
              </w:rPr>
              <w:t>64 207 006</w:t>
            </w:r>
          </w:p>
        </w:tc>
      </w:tr>
      <w:tr w:rsidR="00EE1CF5" w14:paraId="39B85F96" w14:textId="77777777" w:rsidTr="00263AB1">
        <w:trPr>
          <w:trHeight w:val="288"/>
          <w:jc w:val="center"/>
        </w:trPr>
        <w:tc>
          <w:tcPr>
            <w:tcW w:w="4813" w:type="dxa"/>
            <w:shd w:val="clear" w:color="auto" w:fill="auto"/>
            <w:noWrap/>
            <w:vAlign w:val="center"/>
            <w:hideMark/>
          </w:tcPr>
          <w:p w14:paraId="2605D3C2" w14:textId="77777777" w:rsidR="00EE1CF5" w:rsidRPr="00E936FD" w:rsidRDefault="00EE1CF5" w:rsidP="00263AB1">
            <w:pPr>
              <w:ind w:firstLine="34"/>
              <w:jc w:val="left"/>
              <w:rPr>
                <w:rFonts w:cs="Times New Roman"/>
                <w:sz w:val="20"/>
                <w:szCs w:val="20"/>
              </w:rPr>
            </w:pPr>
            <w:r w:rsidRPr="00E936FD">
              <w:rPr>
                <w:rFonts w:cs="Times New Roman"/>
                <w:sz w:val="20"/>
                <w:szCs w:val="20"/>
              </w:rPr>
              <w:t>tostarp pārējās budžeta vajadzības</w:t>
            </w:r>
          </w:p>
        </w:tc>
        <w:tc>
          <w:tcPr>
            <w:tcW w:w="1434" w:type="dxa"/>
            <w:shd w:val="clear" w:color="auto" w:fill="auto"/>
            <w:noWrap/>
            <w:vAlign w:val="center"/>
            <w:hideMark/>
          </w:tcPr>
          <w:p w14:paraId="48998621" w14:textId="77777777" w:rsidR="00EE1CF5" w:rsidRPr="00E936FD" w:rsidRDefault="00EE1CF5" w:rsidP="00263AB1">
            <w:pPr>
              <w:ind w:firstLine="34"/>
              <w:jc w:val="center"/>
              <w:rPr>
                <w:rFonts w:cs="Times New Roman"/>
                <w:sz w:val="20"/>
                <w:szCs w:val="20"/>
              </w:rPr>
            </w:pPr>
            <w:r w:rsidRPr="00E936FD">
              <w:rPr>
                <w:color w:val="000000"/>
                <w:sz w:val="20"/>
                <w:szCs w:val="20"/>
              </w:rPr>
              <w:t>5</w:t>
            </w:r>
            <w:r>
              <w:rPr>
                <w:color w:val="000000"/>
                <w:sz w:val="20"/>
                <w:szCs w:val="20"/>
              </w:rPr>
              <w:t>6</w:t>
            </w:r>
            <w:r w:rsidRPr="00E936FD">
              <w:rPr>
                <w:color w:val="000000"/>
                <w:sz w:val="20"/>
                <w:szCs w:val="20"/>
              </w:rPr>
              <w:t xml:space="preserve"> 230 000</w:t>
            </w:r>
          </w:p>
        </w:tc>
        <w:tc>
          <w:tcPr>
            <w:tcW w:w="1250" w:type="dxa"/>
            <w:vAlign w:val="center"/>
          </w:tcPr>
          <w:p w14:paraId="44BB72DC" w14:textId="77777777" w:rsidR="00EE1CF5" w:rsidRPr="00E936FD" w:rsidRDefault="00EE1CF5" w:rsidP="00263AB1">
            <w:pPr>
              <w:ind w:firstLine="34"/>
              <w:jc w:val="center"/>
              <w:rPr>
                <w:color w:val="000000"/>
                <w:sz w:val="20"/>
                <w:szCs w:val="20"/>
              </w:rPr>
            </w:pPr>
            <w:r w:rsidRPr="009857DF">
              <w:rPr>
                <w:color w:val="000000"/>
                <w:sz w:val="20"/>
                <w:szCs w:val="20"/>
              </w:rPr>
              <w:t>62 989 823</w:t>
            </w:r>
          </w:p>
        </w:tc>
        <w:tc>
          <w:tcPr>
            <w:tcW w:w="1392" w:type="dxa"/>
            <w:shd w:val="clear" w:color="auto" w:fill="auto"/>
            <w:noWrap/>
            <w:vAlign w:val="center"/>
            <w:hideMark/>
          </w:tcPr>
          <w:p w14:paraId="663237B6" w14:textId="77777777" w:rsidR="00EE1CF5" w:rsidRPr="009857DF" w:rsidRDefault="00EE1CF5" w:rsidP="00263AB1">
            <w:pPr>
              <w:ind w:firstLine="34"/>
              <w:jc w:val="center"/>
              <w:rPr>
                <w:color w:val="000000"/>
                <w:sz w:val="20"/>
                <w:szCs w:val="20"/>
              </w:rPr>
            </w:pPr>
            <w:r w:rsidRPr="009857DF">
              <w:rPr>
                <w:color w:val="000000"/>
                <w:sz w:val="20"/>
                <w:szCs w:val="20"/>
              </w:rPr>
              <w:t>83 530 000</w:t>
            </w:r>
          </w:p>
        </w:tc>
        <w:tc>
          <w:tcPr>
            <w:tcW w:w="1325" w:type="dxa"/>
            <w:vAlign w:val="center"/>
          </w:tcPr>
          <w:p w14:paraId="2F90407F" w14:textId="77777777" w:rsidR="00EE1CF5" w:rsidRPr="00A24C95" w:rsidRDefault="00EE1CF5" w:rsidP="00263AB1">
            <w:pPr>
              <w:jc w:val="center"/>
              <w:rPr>
                <w:color w:val="000000"/>
                <w:sz w:val="20"/>
                <w:szCs w:val="20"/>
              </w:rPr>
            </w:pPr>
            <w:r>
              <w:rPr>
                <w:color w:val="000000"/>
                <w:sz w:val="20"/>
                <w:szCs w:val="20"/>
              </w:rPr>
              <w:t>58 092 994</w:t>
            </w:r>
          </w:p>
        </w:tc>
        <w:tc>
          <w:tcPr>
            <w:tcW w:w="1771" w:type="dxa"/>
            <w:tcBorders>
              <w:right w:val="single" w:sz="4" w:space="0" w:color="auto"/>
            </w:tcBorders>
            <w:shd w:val="clear" w:color="auto" w:fill="auto"/>
            <w:noWrap/>
            <w:vAlign w:val="center"/>
            <w:hideMark/>
          </w:tcPr>
          <w:p w14:paraId="4C0719E2" w14:textId="77777777" w:rsidR="00EE1CF5" w:rsidRPr="009857DF" w:rsidRDefault="00EE1CF5" w:rsidP="00263AB1">
            <w:pPr>
              <w:ind w:firstLine="34"/>
              <w:jc w:val="center"/>
              <w:rPr>
                <w:color w:val="000000"/>
                <w:sz w:val="20"/>
                <w:szCs w:val="20"/>
              </w:rPr>
            </w:pPr>
            <w:r w:rsidRPr="009857DF">
              <w:rPr>
                <w:color w:val="000000"/>
                <w:sz w:val="20"/>
                <w:szCs w:val="20"/>
              </w:rPr>
              <w:t>73 386 059</w:t>
            </w:r>
          </w:p>
        </w:tc>
        <w:tc>
          <w:tcPr>
            <w:tcW w:w="1325" w:type="dxa"/>
            <w:tcBorders>
              <w:right w:val="single" w:sz="4" w:space="0" w:color="auto"/>
            </w:tcBorders>
            <w:vAlign w:val="center"/>
          </w:tcPr>
          <w:p w14:paraId="4778D376" w14:textId="77777777" w:rsidR="00EE1CF5" w:rsidRPr="004641B2" w:rsidRDefault="00EE1CF5" w:rsidP="00263AB1">
            <w:pPr>
              <w:jc w:val="center"/>
              <w:rPr>
                <w:color w:val="000000"/>
                <w:sz w:val="20"/>
                <w:szCs w:val="20"/>
              </w:rPr>
            </w:pPr>
            <w:r>
              <w:rPr>
                <w:color w:val="000000"/>
                <w:sz w:val="20"/>
                <w:szCs w:val="20"/>
              </w:rPr>
              <w:t>68 172 994</w:t>
            </w:r>
          </w:p>
        </w:tc>
        <w:tc>
          <w:tcPr>
            <w:tcW w:w="1250" w:type="dxa"/>
            <w:tcBorders>
              <w:right w:val="single" w:sz="4" w:space="0" w:color="auto"/>
            </w:tcBorders>
            <w:vAlign w:val="center"/>
          </w:tcPr>
          <w:p w14:paraId="01551FFA" w14:textId="77777777" w:rsidR="00EE1CF5" w:rsidRPr="004641B2" w:rsidRDefault="00EE1CF5" w:rsidP="00263AB1">
            <w:pPr>
              <w:jc w:val="center"/>
              <w:rPr>
                <w:color w:val="000000"/>
                <w:sz w:val="20"/>
                <w:szCs w:val="20"/>
              </w:rPr>
            </w:pPr>
            <w:r>
              <w:rPr>
                <w:color w:val="000000"/>
                <w:sz w:val="20"/>
                <w:szCs w:val="20"/>
              </w:rPr>
              <w:t>37 992 994</w:t>
            </w:r>
          </w:p>
        </w:tc>
      </w:tr>
    </w:tbl>
    <w:p w14:paraId="7137C5F2" w14:textId="77777777" w:rsidR="00EE1CF5" w:rsidRDefault="00EE1CF5" w:rsidP="00EE1CF5">
      <w:pPr>
        <w:pStyle w:val="Caption"/>
        <w:keepNext/>
        <w:spacing w:line="240" w:lineRule="auto"/>
        <w:jc w:val="right"/>
        <w:rPr>
          <w:rFonts w:ascii="Times New Roman" w:hAnsi="Times New Roman"/>
          <w:b w:val="0"/>
          <w:i/>
          <w:sz w:val="24"/>
          <w:szCs w:val="24"/>
        </w:rPr>
      </w:pPr>
    </w:p>
    <w:p w14:paraId="03B1D306" w14:textId="77777777" w:rsidR="00EE1CF5" w:rsidRPr="004B1EF3" w:rsidRDefault="00EE1CF5" w:rsidP="00EE1CF5">
      <w:pPr>
        <w:pStyle w:val="Caption"/>
        <w:keepNext/>
        <w:spacing w:line="240" w:lineRule="auto"/>
        <w:jc w:val="right"/>
        <w:rPr>
          <w:rFonts w:ascii="Times New Roman" w:hAnsi="Times New Roman"/>
          <w:b w:val="0"/>
          <w:i/>
          <w:sz w:val="24"/>
          <w:szCs w:val="24"/>
        </w:rPr>
      </w:pPr>
      <w:r w:rsidRPr="004B1EF3">
        <w:rPr>
          <w:rFonts w:ascii="Times New Roman" w:hAnsi="Times New Roman"/>
          <w:b w:val="0"/>
          <w:i/>
          <w:sz w:val="24"/>
          <w:szCs w:val="24"/>
        </w:rPr>
        <w:t>27.tabula</w:t>
      </w:r>
    </w:p>
    <w:p w14:paraId="57F93544" w14:textId="77777777" w:rsidR="00EE1CF5" w:rsidRPr="00E936FD" w:rsidRDefault="00EE1CF5" w:rsidP="00EE1CF5">
      <w:pPr>
        <w:pStyle w:val="Caption"/>
        <w:keepNext/>
        <w:keepLines/>
        <w:widowControl/>
        <w:jc w:val="center"/>
        <w:rPr>
          <w:rFonts w:ascii="Times New Roman" w:hAnsi="Times New Roman"/>
          <w:sz w:val="24"/>
          <w:szCs w:val="24"/>
        </w:rPr>
      </w:pPr>
      <w:r w:rsidRPr="00E936FD">
        <w:rPr>
          <w:rFonts w:ascii="Times New Roman" w:hAnsi="Times New Roman"/>
          <w:sz w:val="24"/>
          <w:szCs w:val="24"/>
        </w:rPr>
        <w:t>Valsts budžetā paredzamais finansējums kompleksā risinājuma īstenošanai pēc naudas plūsmas metodes, EUR</w:t>
      </w:r>
    </w:p>
    <w:tbl>
      <w:tblPr>
        <w:tblW w:w="12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9"/>
        <w:gridCol w:w="1402"/>
        <w:gridCol w:w="1903"/>
        <w:gridCol w:w="1396"/>
        <w:gridCol w:w="1396"/>
        <w:gridCol w:w="1150"/>
      </w:tblGrid>
      <w:tr w:rsidR="00EE1CF5" w14:paraId="781076D4" w14:textId="77777777" w:rsidTr="00263AB1">
        <w:trPr>
          <w:trHeight w:val="288"/>
          <w:jc w:val="center"/>
        </w:trPr>
        <w:tc>
          <w:tcPr>
            <w:tcW w:w="5399" w:type="dxa"/>
            <w:shd w:val="clear" w:color="auto" w:fill="auto"/>
            <w:noWrap/>
            <w:vAlign w:val="bottom"/>
            <w:hideMark/>
          </w:tcPr>
          <w:p w14:paraId="0E7D525D" w14:textId="77777777" w:rsidR="00EE1CF5" w:rsidRPr="00E936FD" w:rsidRDefault="00EE1CF5" w:rsidP="00263AB1">
            <w:pPr>
              <w:ind w:firstLine="34"/>
              <w:rPr>
                <w:rFonts w:cs="Times New Roman"/>
                <w:sz w:val="20"/>
                <w:szCs w:val="20"/>
              </w:rPr>
            </w:pPr>
          </w:p>
        </w:tc>
        <w:tc>
          <w:tcPr>
            <w:tcW w:w="3305" w:type="dxa"/>
            <w:gridSpan w:val="2"/>
            <w:shd w:val="clear" w:color="auto" w:fill="auto"/>
            <w:noWrap/>
            <w:vAlign w:val="center"/>
            <w:hideMark/>
          </w:tcPr>
          <w:p w14:paraId="78CD7965"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2019</w:t>
            </w:r>
          </w:p>
        </w:tc>
        <w:tc>
          <w:tcPr>
            <w:tcW w:w="2792" w:type="dxa"/>
            <w:gridSpan w:val="2"/>
            <w:tcBorders>
              <w:right w:val="single" w:sz="4" w:space="0" w:color="auto"/>
            </w:tcBorders>
            <w:shd w:val="clear" w:color="auto" w:fill="auto"/>
            <w:noWrap/>
            <w:vAlign w:val="center"/>
            <w:hideMark/>
          </w:tcPr>
          <w:p w14:paraId="7DB7200F" w14:textId="77777777" w:rsidR="00EE1CF5" w:rsidRPr="00E936FD" w:rsidRDefault="00EE1CF5" w:rsidP="00263AB1">
            <w:pPr>
              <w:ind w:firstLine="34"/>
              <w:jc w:val="center"/>
              <w:rPr>
                <w:rFonts w:cs="Times New Roman"/>
                <w:b/>
                <w:bCs/>
                <w:sz w:val="20"/>
                <w:szCs w:val="20"/>
              </w:rPr>
            </w:pPr>
            <w:r w:rsidRPr="00E936FD">
              <w:rPr>
                <w:rFonts w:cs="Times New Roman"/>
                <w:b/>
                <w:bCs/>
                <w:sz w:val="20"/>
                <w:szCs w:val="20"/>
              </w:rPr>
              <w:t>2020</w:t>
            </w:r>
          </w:p>
        </w:tc>
        <w:tc>
          <w:tcPr>
            <w:tcW w:w="1150" w:type="dxa"/>
            <w:tcBorders>
              <w:right w:val="single" w:sz="4" w:space="0" w:color="auto"/>
            </w:tcBorders>
          </w:tcPr>
          <w:p w14:paraId="7555CFC4" w14:textId="77777777" w:rsidR="00EE1CF5" w:rsidRPr="00E936FD" w:rsidRDefault="00EE1CF5" w:rsidP="00263AB1">
            <w:pPr>
              <w:ind w:firstLine="34"/>
              <w:jc w:val="center"/>
              <w:rPr>
                <w:rFonts w:cs="Times New Roman"/>
                <w:b/>
                <w:bCs/>
                <w:sz w:val="20"/>
                <w:szCs w:val="20"/>
              </w:rPr>
            </w:pPr>
            <w:r>
              <w:rPr>
                <w:rFonts w:cs="Times New Roman"/>
                <w:b/>
                <w:bCs/>
                <w:sz w:val="20"/>
                <w:szCs w:val="20"/>
              </w:rPr>
              <w:t>2021</w:t>
            </w:r>
          </w:p>
        </w:tc>
      </w:tr>
      <w:tr w:rsidR="00EE1CF5" w14:paraId="096CB74D" w14:textId="77777777" w:rsidTr="00263AB1">
        <w:trPr>
          <w:trHeight w:val="288"/>
          <w:jc w:val="center"/>
        </w:trPr>
        <w:tc>
          <w:tcPr>
            <w:tcW w:w="5399" w:type="dxa"/>
            <w:shd w:val="clear" w:color="auto" w:fill="auto"/>
            <w:noWrap/>
            <w:vAlign w:val="center"/>
          </w:tcPr>
          <w:p w14:paraId="2AABA11F" w14:textId="77777777" w:rsidR="00EE1CF5" w:rsidRPr="00E936FD" w:rsidRDefault="00EE1CF5" w:rsidP="00263AB1">
            <w:pPr>
              <w:ind w:firstLine="34"/>
              <w:rPr>
                <w:rFonts w:cs="Times New Roman"/>
                <w:bCs/>
                <w:sz w:val="20"/>
                <w:szCs w:val="20"/>
              </w:rPr>
            </w:pPr>
          </w:p>
        </w:tc>
        <w:tc>
          <w:tcPr>
            <w:tcW w:w="1402" w:type="dxa"/>
            <w:shd w:val="clear" w:color="auto" w:fill="auto"/>
            <w:noWrap/>
            <w:vAlign w:val="center"/>
          </w:tcPr>
          <w:p w14:paraId="1550F0B7" w14:textId="77777777" w:rsidR="00EE1CF5" w:rsidRDefault="00EE1CF5" w:rsidP="00263AB1">
            <w:pPr>
              <w:ind w:firstLine="34"/>
              <w:jc w:val="center"/>
              <w:rPr>
                <w:sz w:val="20"/>
                <w:szCs w:val="20"/>
              </w:rPr>
            </w:pPr>
            <w:r>
              <w:rPr>
                <w:sz w:val="20"/>
                <w:szCs w:val="20"/>
              </w:rPr>
              <w:t>2017. gada prognoze</w:t>
            </w:r>
          </w:p>
        </w:tc>
        <w:tc>
          <w:tcPr>
            <w:tcW w:w="1903" w:type="dxa"/>
          </w:tcPr>
          <w:p w14:paraId="5D2F56C6" w14:textId="77777777" w:rsidR="00EE1CF5" w:rsidRDefault="00EE1CF5" w:rsidP="00263AB1">
            <w:pPr>
              <w:ind w:firstLine="34"/>
              <w:jc w:val="center"/>
              <w:rPr>
                <w:color w:val="000000" w:themeColor="text1"/>
                <w:sz w:val="20"/>
                <w:szCs w:val="20"/>
              </w:rPr>
            </w:pPr>
            <w:r>
              <w:rPr>
                <w:color w:val="000000" w:themeColor="text1"/>
                <w:sz w:val="20"/>
                <w:szCs w:val="20"/>
              </w:rPr>
              <w:t>Prognoze</w:t>
            </w:r>
          </w:p>
        </w:tc>
        <w:tc>
          <w:tcPr>
            <w:tcW w:w="1396" w:type="dxa"/>
            <w:tcBorders>
              <w:right w:val="single" w:sz="4" w:space="0" w:color="auto"/>
            </w:tcBorders>
            <w:shd w:val="clear" w:color="auto" w:fill="auto"/>
            <w:noWrap/>
            <w:vAlign w:val="center"/>
          </w:tcPr>
          <w:p w14:paraId="7C20CFE7" w14:textId="77777777" w:rsidR="00EE1CF5" w:rsidRDefault="00EE1CF5" w:rsidP="00263AB1">
            <w:pPr>
              <w:ind w:firstLine="34"/>
              <w:jc w:val="center"/>
              <w:rPr>
                <w:color w:val="000000" w:themeColor="text1"/>
                <w:sz w:val="20"/>
                <w:szCs w:val="20"/>
              </w:rPr>
            </w:pPr>
            <w:r>
              <w:rPr>
                <w:sz w:val="20"/>
                <w:szCs w:val="20"/>
              </w:rPr>
              <w:t>2017. gada prognoze</w:t>
            </w:r>
          </w:p>
        </w:tc>
        <w:tc>
          <w:tcPr>
            <w:tcW w:w="1396" w:type="dxa"/>
            <w:tcBorders>
              <w:right w:val="single" w:sz="4" w:space="0" w:color="auto"/>
            </w:tcBorders>
          </w:tcPr>
          <w:p w14:paraId="11D4D94A" w14:textId="77777777" w:rsidR="00EE1CF5" w:rsidRDefault="00EE1CF5" w:rsidP="00263AB1">
            <w:pPr>
              <w:ind w:firstLine="34"/>
              <w:jc w:val="center"/>
              <w:rPr>
                <w:color w:val="000000" w:themeColor="text1"/>
                <w:sz w:val="20"/>
                <w:szCs w:val="20"/>
              </w:rPr>
            </w:pPr>
            <w:r>
              <w:rPr>
                <w:color w:val="000000" w:themeColor="text1"/>
                <w:sz w:val="20"/>
                <w:szCs w:val="20"/>
              </w:rPr>
              <w:t>Prognoze</w:t>
            </w:r>
          </w:p>
        </w:tc>
        <w:tc>
          <w:tcPr>
            <w:tcW w:w="1150" w:type="dxa"/>
            <w:tcBorders>
              <w:right w:val="single" w:sz="4" w:space="0" w:color="auto"/>
            </w:tcBorders>
          </w:tcPr>
          <w:p w14:paraId="2DA0B5D7" w14:textId="77777777" w:rsidR="00EE1CF5" w:rsidRDefault="00EE1CF5" w:rsidP="00263AB1">
            <w:pPr>
              <w:ind w:firstLine="34"/>
              <w:jc w:val="center"/>
              <w:rPr>
                <w:color w:val="000000" w:themeColor="text1"/>
                <w:sz w:val="20"/>
                <w:szCs w:val="20"/>
              </w:rPr>
            </w:pPr>
            <w:r>
              <w:rPr>
                <w:color w:val="000000" w:themeColor="text1"/>
                <w:sz w:val="20"/>
                <w:szCs w:val="20"/>
              </w:rPr>
              <w:t>Prognoze</w:t>
            </w:r>
          </w:p>
        </w:tc>
      </w:tr>
      <w:tr w:rsidR="00EE1CF5" w14:paraId="1AEABC91" w14:textId="77777777" w:rsidTr="00263AB1">
        <w:trPr>
          <w:trHeight w:val="288"/>
          <w:jc w:val="center"/>
        </w:trPr>
        <w:tc>
          <w:tcPr>
            <w:tcW w:w="5399" w:type="dxa"/>
            <w:shd w:val="clear" w:color="auto" w:fill="auto"/>
            <w:noWrap/>
            <w:vAlign w:val="center"/>
            <w:hideMark/>
          </w:tcPr>
          <w:p w14:paraId="2AC0AF4F" w14:textId="77777777" w:rsidR="00EE1CF5" w:rsidRPr="00E936FD" w:rsidRDefault="00EE1CF5" w:rsidP="00263AB1">
            <w:pPr>
              <w:ind w:firstLine="34"/>
              <w:rPr>
                <w:rFonts w:cs="Times New Roman"/>
                <w:bCs/>
                <w:sz w:val="20"/>
                <w:szCs w:val="20"/>
              </w:rPr>
            </w:pPr>
            <w:r w:rsidRPr="00E936FD">
              <w:rPr>
                <w:rFonts w:cs="Times New Roman"/>
                <w:bCs/>
                <w:sz w:val="20"/>
                <w:szCs w:val="20"/>
              </w:rPr>
              <w:t>Finansējums OIK apmēra mazināšanai, t.sk. administrēšanas vajadzībām</w:t>
            </w:r>
          </w:p>
        </w:tc>
        <w:tc>
          <w:tcPr>
            <w:tcW w:w="1402" w:type="dxa"/>
            <w:shd w:val="clear" w:color="auto" w:fill="auto"/>
            <w:noWrap/>
            <w:vAlign w:val="center"/>
            <w:hideMark/>
          </w:tcPr>
          <w:p w14:paraId="3D12353A" w14:textId="77777777" w:rsidR="00EE1CF5" w:rsidRPr="00CD623C" w:rsidRDefault="00EE1CF5" w:rsidP="00263AB1">
            <w:pPr>
              <w:ind w:firstLine="34"/>
              <w:jc w:val="center"/>
              <w:rPr>
                <w:color w:val="000000"/>
                <w:sz w:val="20"/>
                <w:szCs w:val="20"/>
              </w:rPr>
            </w:pPr>
            <w:r w:rsidRPr="00CD623C">
              <w:rPr>
                <w:color w:val="000000"/>
                <w:sz w:val="20"/>
                <w:szCs w:val="20"/>
              </w:rPr>
              <w:t>9 085 684</w:t>
            </w:r>
          </w:p>
        </w:tc>
        <w:tc>
          <w:tcPr>
            <w:tcW w:w="1903" w:type="dxa"/>
            <w:vAlign w:val="center"/>
          </w:tcPr>
          <w:p w14:paraId="7E90CF81" w14:textId="77777777" w:rsidR="00EE1CF5" w:rsidRPr="00CD623C" w:rsidRDefault="00EE1CF5" w:rsidP="00263AB1">
            <w:pPr>
              <w:jc w:val="center"/>
              <w:rPr>
                <w:color w:val="000000"/>
                <w:sz w:val="20"/>
                <w:szCs w:val="20"/>
              </w:rPr>
            </w:pPr>
            <w:r w:rsidRPr="00DE563F">
              <w:rPr>
                <w:color w:val="000000"/>
                <w:sz w:val="20"/>
                <w:szCs w:val="20"/>
              </w:rPr>
              <w:t>8 463 215</w:t>
            </w:r>
            <w:r>
              <w:rPr>
                <w:rStyle w:val="FootnoteReference"/>
                <w:color w:val="000000"/>
                <w:sz w:val="20"/>
                <w:szCs w:val="20"/>
              </w:rPr>
              <w:footnoteReference w:id="47"/>
            </w:r>
          </w:p>
        </w:tc>
        <w:tc>
          <w:tcPr>
            <w:tcW w:w="1396" w:type="dxa"/>
            <w:tcBorders>
              <w:right w:val="single" w:sz="4" w:space="0" w:color="auto"/>
            </w:tcBorders>
            <w:shd w:val="clear" w:color="auto" w:fill="auto"/>
            <w:noWrap/>
            <w:vAlign w:val="center"/>
            <w:hideMark/>
          </w:tcPr>
          <w:p w14:paraId="1475751D" w14:textId="77777777" w:rsidR="00EE1CF5" w:rsidRPr="00CD623C" w:rsidRDefault="00EE1CF5" w:rsidP="00263AB1">
            <w:pPr>
              <w:ind w:firstLine="34"/>
              <w:jc w:val="center"/>
              <w:rPr>
                <w:color w:val="000000"/>
                <w:sz w:val="20"/>
                <w:szCs w:val="20"/>
              </w:rPr>
            </w:pPr>
            <w:r w:rsidRPr="00CD623C">
              <w:rPr>
                <w:color w:val="000000"/>
                <w:sz w:val="20"/>
                <w:szCs w:val="20"/>
              </w:rPr>
              <w:t>9 683 389</w:t>
            </w:r>
          </w:p>
        </w:tc>
        <w:tc>
          <w:tcPr>
            <w:tcW w:w="1396" w:type="dxa"/>
            <w:tcBorders>
              <w:right w:val="single" w:sz="4" w:space="0" w:color="auto"/>
            </w:tcBorders>
            <w:vAlign w:val="center"/>
          </w:tcPr>
          <w:p w14:paraId="791A86B7" w14:textId="77777777" w:rsidR="00EE1CF5" w:rsidRPr="00CD623C" w:rsidRDefault="00EE1CF5" w:rsidP="00263AB1">
            <w:pPr>
              <w:jc w:val="center"/>
              <w:rPr>
                <w:color w:val="000000"/>
                <w:sz w:val="20"/>
                <w:szCs w:val="20"/>
              </w:rPr>
            </w:pPr>
            <w:r>
              <w:rPr>
                <w:color w:val="000000"/>
                <w:sz w:val="20"/>
                <w:szCs w:val="20"/>
              </w:rPr>
              <w:t>24 600 000</w:t>
            </w:r>
          </w:p>
        </w:tc>
        <w:tc>
          <w:tcPr>
            <w:tcW w:w="1150" w:type="dxa"/>
            <w:tcBorders>
              <w:right w:val="single" w:sz="4" w:space="0" w:color="auto"/>
            </w:tcBorders>
            <w:vAlign w:val="center"/>
          </w:tcPr>
          <w:p w14:paraId="09AF08A1" w14:textId="77777777" w:rsidR="00EE1CF5" w:rsidRPr="00AA4CFF" w:rsidRDefault="00EE1CF5" w:rsidP="00263AB1">
            <w:pPr>
              <w:jc w:val="center"/>
              <w:rPr>
                <w:color w:val="000000"/>
                <w:sz w:val="20"/>
                <w:szCs w:val="20"/>
              </w:rPr>
            </w:pPr>
            <w:r>
              <w:rPr>
                <w:color w:val="000000"/>
                <w:sz w:val="20"/>
                <w:szCs w:val="20"/>
              </w:rPr>
              <w:t>11 920 000</w:t>
            </w:r>
          </w:p>
        </w:tc>
      </w:tr>
      <w:tr w:rsidR="00EE1CF5" w14:paraId="6230390D" w14:textId="77777777" w:rsidTr="00263AB1">
        <w:trPr>
          <w:trHeight w:val="288"/>
          <w:jc w:val="center"/>
        </w:trPr>
        <w:tc>
          <w:tcPr>
            <w:tcW w:w="5399" w:type="dxa"/>
            <w:shd w:val="clear" w:color="auto" w:fill="auto"/>
            <w:noWrap/>
            <w:vAlign w:val="center"/>
          </w:tcPr>
          <w:p w14:paraId="3A50C35E" w14:textId="77777777" w:rsidR="00EE1CF5" w:rsidRPr="00E936FD" w:rsidRDefault="00EE1CF5" w:rsidP="00263AB1">
            <w:pPr>
              <w:ind w:firstLine="34"/>
              <w:jc w:val="left"/>
              <w:rPr>
                <w:rFonts w:cs="Times New Roman"/>
                <w:bCs/>
                <w:sz w:val="20"/>
                <w:szCs w:val="20"/>
              </w:rPr>
            </w:pPr>
            <w:r w:rsidRPr="00E936FD">
              <w:rPr>
                <w:rFonts w:cs="Times New Roman"/>
                <w:sz w:val="20"/>
                <w:szCs w:val="20"/>
              </w:rPr>
              <w:t>Energoietilpīgo uzņēmumu atbalsta finansēšana</w:t>
            </w:r>
          </w:p>
        </w:tc>
        <w:tc>
          <w:tcPr>
            <w:tcW w:w="1402" w:type="dxa"/>
            <w:shd w:val="clear" w:color="auto" w:fill="auto"/>
            <w:noWrap/>
            <w:vAlign w:val="center"/>
          </w:tcPr>
          <w:p w14:paraId="4763CBEF"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3 370</w:t>
            </w:r>
            <w:r>
              <w:rPr>
                <w:color w:val="000000"/>
                <w:sz w:val="20"/>
                <w:szCs w:val="20"/>
              </w:rPr>
              <w:t> </w:t>
            </w:r>
            <w:r w:rsidRPr="00E936FD">
              <w:rPr>
                <w:color w:val="000000"/>
                <w:sz w:val="20"/>
                <w:szCs w:val="20"/>
              </w:rPr>
              <w:t>000</w:t>
            </w:r>
          </w:p>
        </w:tc>
        <w:tc>
          <w:tcPr>
            <w:tcW w:w="1903" w:type="dxa"/>
            <w:vAlign w:val="center"/>
          </w:tcPr>
          <w:p w14:paraId="5A93610C" w14:textId="77777777" w:rsidR="00EE1CF5" w:rsidRPr="00E936FD" w:rsidRDefault="00EE1CF5" w:rsidP="00263AB1">
            <w:pPr>
              <w:ind w:firstLine="34"/>
              <w:jc w:val="center"/>
              <w:rPr>
                <w:color w:val="000000"/>
                <w:sz w:val="20"/>
                <w:szCs w:val="20"/>
              </w:rPr>
            </w:pPr>
            <w:r>
              <w:rPr>
                <w:color w:val="000000"/>
                <w:sz w:val="20"/>
                <w:szCs w:val="20"/>
              </w:rPr>
              <w:t>7</w:t>
            </w:r>
            <w:r w:rsidRPr="00E936FD">
              <w:rPr>
                <w:color w:val="000000"/>
                <w:sz w:val="20"/>
                <w:szCs w:val="20"/>
              </w:rPr>
              <w:t xml:space="preserve"> </w:t>
            </w:r>
            <w:r>
              <w:rPr>
                <w:color w:val="000000"/>
                <w:sz w:val="20"/>
                <w:szCs w:val="20"/>
              </w:rPr>
              <w:t>00</w:t>
            </w:r>
            <w:r w:rsidRPr="00E936FD">
              <w:rPr>
                <w:color w:val="000000"/>
                <w:sz w:val="20"/>
                <w:szCs w:val="20"/>
              </w:rPr>
              <w:t>0</w:t>
            </w:r>
            <w:r>
              <w:rPr>
                <w:color w:val="000000"/>
                <w:sz w:val="20"/>
                <w:szCs w:val="20"/>
              </w:rPr>
              <w:t> </w:t>
            </w:r>
            <w:r w:rsidRPr="00E936FD">
              <w:rPr>
                <w:color w:val="000000"/>
                <w:sz w:val="20"/>
                <w:szCs w:val="20"/>
              </w:rPr>
              <w:t>000</w:t>
            </w:r>
          </w:p>
        </w:tc>
        <w:tc>
          <w:tcPr>
            <w:tcW w:w="1396" w:type="dxa"/>
            <w:tcBorders>
              <w:right w:val="single" w:sz="4" w:space="0" w:color="auto"/>
            </w:tcBorders>
            <w:shd w:val="clear" w:color="auto" w:fill="auto"/>
            <w:noWrap/>
            <w:vAlign w:val="center"/>
          </w:tcPr>
          <w:p w14:paraId="62FEDF4D"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3 370 000</w:t>
            </w:r>
          </w:p>
        </w:tc>
        <w:tc>
          <w:tcPr>
            <w:tcW w:w="1396" w:type="dxa"/>
            <w:tcBorders>
              <w:right w:val="single" w:sz="4" w:space="0" w:color="auto"/>
            </w:tcBorders>
            <w:vAlign w:val="center"/>
          </w:tcPr>
          <w:p w14:paraId="66C973EC" w14:textId="77777777" w:rsidR="00EE1CF5" w:rsidRPr="00E936FD" w:rsidRDefault="00EE1CF5" w:rsidP="00263AB1">
            <w:pPr>
              <w:ind w:firstLine="34"/>
              <w:jc w:val="center"/>
              <w:rPr>
                <w:color w:val="000000"/>
                <w:sz w:val="20"/>
                <w:szCs w:val="20"/>
              </w:rPr>
            </w:pPr>
            <w:r>
              <w:rPr>
                <w:color w:val="000000"/>
                <w:sz w:val="20"/>
                <w:szCs w:val="20"/>
              </w:rPr>
              <w:t>7</w:t>
            </w:r>
            <w:r w:rsidRPr="00E936FD">
              <w:rPr>
                <w:color w:val="000000"/>
                <w:sz w:val="20"/>
                <w:szCs w:val="20"/>
              </w:rPr>
              <w:t xml:space="preserve"> </w:t>
            </w:r>
            <w:r>
              <w:rPr>
                <w:color w:val="000000"/>
                <w:sz w:val="20"/>
                <w:szCs w:val="20"/>
              </w:rPr>
              <w:t>00</w:t>
            </w:r>
            <w:r w:rsidRPr="00E936FD">
              <w:rPr>
                <w:color w:val="000000"/>
                <w:sz w:val="20"/>
                <w:szCs w:val="20"/>
              </w:rPr>
              <w:t>0 000</w:t>
            </w:r>
          </w:p>
        </w:tc>
        <w:tc>
          <w:tcPr>
            <w:tcW w:w="1150" w:type="dxa"/>
            <w:tcBorders>
              <w:right w:val="single" w:sz="4" w:space="0" w:color="auto"/>
            </w:tcBorders>
            <w:vAlign w:val="center"/>
          </w:tcPr>
          <w:p w14:paraId="5971149A" w14:textId="77777777" w:rsidR="00EE1CF5" w:rsidRPr="00E16724" w:rsidRDefault="00EE1CF5" w:rsidP="00263AB1">
            <w:pPr>
              <w:ind w:firstLine="34"/>
              <w:jc w:val="center"/>
              <w:rPr>
                <w:color w:val="000000" w:themeColor="text1"/>
                <w:sz w:val="20"/>
                <w:szCs w:val="20"/>
              </w:rPr>
            </w:pPr>
            <w:r w:rsidRPr="00E16724">
              <w:rPr>
                <w:color w:val="000000" w:themeColor="text1"/>
                <w:sz w:val="20"/>
                <w:szCs w:val="20"/>
              </w:rPr>
              <w:t>7 000 000</w:t>
            </w:r>
          </w:p>
        </w:tc>
      </w:tr>
      <w:tr w:rsidR="00EE1CF5" w14:paraId="5AF37E2C" w14:textId="77777777" w:rsidTr="00263AB1">
        <w:trPr>
          <w:trHeight w:val="288"/>
          <w:jc w:val="center"/>
        </w:trPr>
        <w:tc>
          <w:tcPr>
            <w:tcW w:w="5399" w:type="dxa"/>
            <w:shd w:val="clear" w:color="auto" w:fill="auto"/>
            <w:noWrap/>
            <w:vAlign w:val="center"/>
            <w:hideMark/>
          </w:tcPr>
          <w:p w14:paraId="6F099125" w14:textId="77777777" w:rsidR="00EE1CF5" w:rsidRPr="00E936FD" w:rsidRDefault="00EE1CF5" w:rsidP="00263AB1">
            <w:pPr>
              <w:ind w:firstLine="34"/>
              <w:jc w:val="left"/>
              <w:rPr>
                <w:rFonts w:cs="Times New Roman"/>
                <w:sz w:val="20"/>
                <w:szCs w:val="20"/>
              </w:rPr>
            </w:pPr>
            <w:r w:rsidRPr="00E936FD">
              <w:rPr>
                <w:rFonts w:cs="Times New Roman"/>
                <w:sz w:val="20"/>
                <w:szCs w:val="20"/>
              </w:rPr>
              <w:t>VPP enerģētikā finansēšana</w:t>
            </w:r>
          </w:p>
        </w:tc>
        <w:tc>
          <w:tcPr>
            <w:tcW w:w="1402" w:type="dxa"/>
            <w:shd w:val="clear" w:color="auto" w:fill="auto"/>
            <w:noWrap/>
            <w:vAlign w:val="center"/>
            <w:hideMark/>
          </w:tcPr>
          <w:p w14:paraId="5D122815"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2 000 000</w:t>
            </w:r>
          </w:p>
        </w:tc>
        <w:tc>
          <w:tcPr>
            <w:tcW w:w="1903" w:type="dxa"/>
            <w:vAlign w:val="center"/>
          </w:tcPr>
          <w:p w14:paraId="1C98A059" w14:textId="77777777" w:rsidR="00EE1CF5" w:rsidRPr="00E936FD" w:rsidRDefault="00EE1CF5" w:rsidP="00263AB1">
            <w:pPr>
              <w:ind w:firstLine="34"/>
              <w:jc w:val="center"/>
              <w:rPr>
                <w:color w:val="000000"/>
                <w:sz w:val="20"/>
                <w:szCs w:val="20"/>
              </w:rPr>
            </w:pPr>
            <w:r w:rsidRPr="008B7D1E">
              <w:rPr>
                <w:color w:val="000000"/>
                <w:sz w:val="20"/>
                <w:szCs w:val="20"/>
              </w:rPr>
              <w:t>2 000 000</w:t>
            </w:r>
          </w:p>
        </w:tc>
        <w:tc>
          <w:tcPr>
            <w:tcW w:w="1396" w:type="dxa"/>
            <w:tcBorders>
              <w:right w:val="single" w:sz="4" w:space="0" w:color="auto"/>
            </w:tcBorders>
            <w:shd w:val="clear" w:color="auto" w:fill="auto"/>
            <w:noWrap/>
            <w:vAlign w:val="center"/>
            <w:hideMark/>
          </w:tcPr>
          <w:p w14:paraId="264C2D55" w14:textId="77777777" w:rsidR="00EE1CF5" w:rsidRPr="00E936FD" w:rsidRDefault="00EE1CF5" w:rsidP="00263AB1">
            <w:pPr>
              <w:ind w:firstLine="34"/>
              <w:jc w:val="center"/>
              <w:rPr>
                <w:rFonts w:cs="Times New Roman"/>
                <w:bCs/>
                <w:color w:val="000000"/>
                <w:sz w:val="20"/>
                <w:szCs w:val="20"/>
              </w:rPr>
            </w:pPr>
            <w:r w:rsidRPr="008B7D1E">
              <w:rPr>
                <w:color w:val="000000"/>
                <w:sz w:val="20"/>
                <w:szCs w:val="20"/>
              </w:rPr>
              <w:t>2 000 000</w:t>
            </w:r>
          </w:p>
        </w:tc>
        <w:tc>
          <w:tcPr>
            <w:tcW w:w="1396" w:type="dxa"/>
            <w:tcBorders>
              <w:right w:val="single" w:sz="4" w:space="0" w:color="auto"/>
            </w:tcBorders>
            <w:vAlign w:val="center"/>
          </w:tcPr>
          <w:p w14:paraId="5373D5CB" w14:textId="77777777" w:rsidR="00EE1CF5" w:rsidRPr="00E936FD" w:rsidRDefault="00EE1CF5" w:rsidP="00263AB1">
            <w:pPr>
              <w:ind w:firstLine="34"/>
              <w:jc w:val="center"/>
              <w:rPr>
                <w:color w:val="000000"/>
                <w:sz w:val="20"/>
                <w:szCs w:val="20"/>
              </w:rPr>
            </w:pPr>
            <w:r w:rsidRPr="008B7D1E">
              <w:rPr>
                <w:color w:val="000000"/>
                <w:sz w:val="20"/>
                <w:szCs w:val="20"/>
              </w:rPr>
              <w:t>2 000 000</w:t>
            </w:r>
          </w:p>
        </w:tc>
        <w:tc>
          <w:tcPr>
            <w:tcW w:w="1150" w:type="dxa"/>
            <w:tcBorders>
              <w:right w:val="single" w:sz="4" w:space="0" w:color="auto"/>
            </w:tcBorders>
            <w:vAlign w:val="center"/>
          </w:tcPr>
          <w:p w14:paraId="1DDDA444" w14:textId="77777777" w:rsidR="00EE1CF5" w:rsidRPr="00E16724" w:rsidRDefault="00EE1CF5" w:rsidP="00263AB1">
            <w:pPr>
              <w:ind w:firstLine="34"/>
              <w:jc w:val="center"/>
              <w:rPr>
                <w:color w:val="000000" w:themeColor="text1"/>
                <w:sz w:val="20"/>
                <w:szCs w:val="20"/>
              </w:rPr>
            </w:pPr>
            <w:r w:rsidRPr="00E16724">
              <w:rPr>
                <w:color w:val="000000" w:themeColor="text1"/>
                <w:sz w:val="20"/>
                <w:szCs w:val="20"/>
              </w:rPr>
              <w:t>2 000 000</w:t>
            </w:r>
          </w:p>
        </w:tc>
      </w:tr>
      <w:tr w:rsidR="00EE1CF5" w14:paraId="5BE54507" w14:textId="77777777" w:rsidTr="00263AB1">
        <w:trPr>
          <w:trHeight w:val="288"/>
          <w:jc w:val="center"/>
        </w:trPr>
        <w:tc>
          <w:tcPr>
            <w:tcW w:w="5399" w:type="dxa"/>
            <w:shd w:val="clear" w:color="auto" w:fill="auto"/>
            <w:noWrap/>
            <w:vAlign w:val="center"/>
            <w:hideMark/>
          </w:tcPr>
          <w:p w14:paraId="4A3C4409" w14:textId="77777777" w:rsidR="00EE1CF5" w:rsidRPr="00E936FD" w:rsidRDefault="00EE1CF5" w:rsidP="00263AB1">
            <w:pPr>
              <w:ind w:firstLine="34"/>
              <w:jc w:val="left"/>
              <w:rPr>
                <w:rFonts w:cs="Times New Roman"/>
                <w:sz w:val="20"/>
                <w:szCs w:val="20"/>
              </w:rPr>
            </w:pPr>
            <w:r w:rsidRPr="00E936FD">
              <w:rPr>
                <w:rFonts w:cs="Times New Roman"/>
                <w:sz w:val="20"/>
                <w:szCs w:val="20"/>
              </w:rPr>
              <w:t>Aizsargāto lietotāju atbalsta finansējums</w:t>
            </w:r>
          </w:p>
        </w:tc>
        <w:tc>
          <w:tcPr>
            <w:tcW w:w="1402" w:type="dxa"/>
            <w:shd w:val="clear" w:color="auto" w:fill="auto"/>
            <w:noWrap/>
            <w:vAlign w:val="center"/>
            <w:hideMark/>
          </w:tcPr>
          <w:p w14:paraId="050AF63F" w14:textId="77777777" w:rsidR="00EE1CF5" w:rsidRPr="00E936FD" w:rsidRDefault="00EE1CF5" w:rsidP="00263AB1">
            <w:pPr>
              <w:ind w:firstLine="34"/>
              <w:jc w:val="center"/>
              <w:rPr>
                <w:rFonts w:cs="Times New Roman"/>
                <w:bCs/>
                <w:color w:val="000000"/>
                <w:sz w:val="20"/>
                <w:szCs w:val="20"/>
              </w:rPr>
            </w:pPr>
            <w:r w:rsidRPr="00E936FD">
              <w:rPr>
                <w:color w:val="000000"/>
                <w:sz w:val="20"/>
                <w:szCs w:val="20"/>
              </w:rPr>
              <w:t>5 782 117</w:t>
            </w:r>
          </w:p>
        </w:tc>
        <w:tc>
          <w:tcPr>
            <w:tcW w:w="1903" w:type="dxa"/>
            <w:vAlign w:val="center"/>
          </w:tcPr>
          <w:p w14:paraId="109594B9" w14:textId="77777777" w:rsidR="00EE1CF5" w:rsidRPr="00E936FD" w:rsidRDefault="00EE1CF5" w:rsidP="00263AB1">
            <w:pPr>
              <w:ind w:firstLine="34"/>
              <w:jc w:val="center"/>
              <w:rPr>
                <w:color w:val="000000"/>
                <w:sz w:val="20"/>
                <w:szCs w:val="20"/>
              </w:rPr>
            </w:pPr>
            <w:r w:rsidRPr="00B84D33">
              <w:rPr>
                <w:color w:val="000000"/>
                <w:sz w:val="20"/>
                <w:szCs w:val="20"/>
              </w:rPr>
              <w:t>6 706 014</w:t>
            </w:r>
          </w:p>
        </w:tc>
        <w:tc>
          <w:tcPr>
            <w:tcW w:w="1396" w:type="dxa"/>
            <w:tcBorders>
              <w:right w:val="single" w:sz="4" w:space="0" w:color="auto"/>
            </w:tcBorders>
            <w:shd w:val="clear" w:color="auto" w:fill="auto"/>
            <w:noWrap/>
            <w:vAlign w:val="center"/>
            <w:hideMark/>
          </w:tcPr>
          <w:p w14:paraId="55773BC5" w14:textId="77777777" w:rsidR="00EE1CF5" w:rsidRPr="00E936FD" w:rsidRDefault="00EE1CF5" w:rsidP="00263AB1">
            <w:pPr>
              <w:ind w:firstLine="34"/>
              <w:jc w:val="center"/>
              <w:rPr>
                <w:rFonts w:cs="Times New Roman"/>
                <w:bCs/>
                <w:color w:val="000000"/>
                <w:sz w:val="20"/>
                <w:szCs w:val="20"/>
              </w:rPr>
            </w:pPr>
            <w:r w:rsidRPr="00C8239B">
              <w:rPr>
                <w:color w:val="000000"/>
                <w:sz w:val="20"/>
                <w:szCs w:val="20"/>
              </w:rPr>
              <w:t>5 782 117</w:t>
            </w:r>
          </w:p>
        </w:tc>
        <w:tc>
          <w:tcPr>
            <w:tcW w:w="1396" w:type="dxa"/>
            <w:tcBorders>
              <w:right w:val="single" w:sz="4" w:space="0" w:color="auto"/>
            </w:tcBorders>
            <w:vAlign w:val="center"/>
          </w:tcPr>
          <w:p w14:paraId="5A3CE81B" w14:textId="77777777" w:rsidR="00EE1CF5" w:rsidRPr="00AA4CFF" w:rsidRDefault="00EE1CF5" w:rsidP="00263AB1">
            <w:pPr>
              <w:jc w:val="center"/>
              <w:rPr>
                <w:color w:val="000000"/>
                <w:sz w:val="20"/>
                <w:szCs w:val="20"/>
              </w:rPr>
            </w:pPr>
            <w:r w:rsidRPr="00B84D33">
              <w:rPr>
                <w:color w:val="000000"/>
                <w:sz w:val="20"/>
                <w:szCs w:val="20"/>
              </w:rPr>
              <w:t>6 706 014</w:t>
            </w:r>
          </w:p>
        </w:tc>
        <w:tc>
          <w:tcPr>
            <w:tcW w:w="1150" w:type="dxa"/>
            <w:tcBorders>
              <w:right w:val="single" w:sz="4" w:space="0" w:color="auto"/>
            </w:tcBorders>
            <w:vAlign w:val="center"/>
          </w:tcPr>
          <w:p w14:paraId="6DA13118" w14:textId="77777777" w:rsidR="00EE1CF5" w:rsidRPr="00AA4CFF" w:rsidRDefault="00EE1CF5" w:rsidP="00263AB1">
            <w:pPr>
              <w:jc w:val="center"/>
              <w:rPr>
                <w:color w:val="000000"/>
                <w:sz w:val="20"/>
                <w:szCs w:val="20"/>
              </w:rPr>
            </w:pPr>
            <w:r>
              <w:rPr>
                <w:color w:val="000000"/>
                <w:sz w:val="20"/>
                <w:szCs w:val="20"/>
              </w:rPr>
              <w:t xml:space="preserve"> 6 706 014 </w:t>
            </w:r>
          </w:p>
        </w:tc>
      </w:tr>
      <w:tr w:rsidR="00EE1CF5" w14:paraId="3853D4AC" w14:textId="77777777" w:rsidTr="00263AB1">
        <w:trPr>
          <w:trHeight w:val="288"/>
          <w:jc w:val="center"/>
        </w:trPr>
        <w:tc>
          <w:tcPr>
            <w:tcW w:w="5399" w:type="dxa"/>
            <w:shd w:val="clear" w:color="auto" w:fill="auto"/>
            <w:noWrap/>
            <w:vAlign w:val="center"/>
          </w:tcPr>
          <w:p w14:paraId="0595F92F" w14:textId="77777777" w:rsidR="00EE1CF5" w:rsidRPr="00E936FD" w:rsidRDefault="00EE1CF5" w:rsidP="00263AB1">
            <w:pPr>
              <w:ind w:firstLine="34"/>
              <w:jc w:val="left"/>
              <w:rPr>
                <w:rFonts w:cs="Times New Roman"/>
                <w:sz w:val="20"/>
                <w:szCs w:val="20"/>
              </w:rPr>
            </w:pPr>
            <w:r w:rsidRPr="00E936FD">
              <w:rPr>
                <w:rFonts w:cs="Times New Roman"/>
                <w:sz w:val="20"/>
                <w:szCs w:val="20"/>
              </w:rPr>
              <w:t>Kopā</w:t>
            </w:r>
          </w:p>
        </w:tc>
        <w:tc>
          <w:tcPr>
            <w:tcW w:w="1402" w:type="dxa"/>
            <w:shd w:val="clear" w:color="auto" w:fill="auto"/>
            <w:noWrap/>
            <w:vAlign w:val="center"/>
          </w:tcPr>
          <w:p w14:paraId="6585392B" w14:textId="77777777" w:rsidR="00EE1CF5" w:rsidRPr="00E936FD" w:rsidRDefault="00EE1CF5" w:rsidP="00263AB1">
            <w:pPr>
              <w:ind w:firstLine="34"/>
              <w:jc w:val="center"/>
              <w:rPr>
                <w:b/>
                <w:color w:val="000000"/>
                <w:sz w:val="20"/>
                <w:szCs w:val="20"/>
              </w:rPr>
            </w:pPr>
            <w:r w:rsidRPr="00E936FD">
              <w:rPr>
                <w:b/>
                <w:bCs/>
                <w:color w:val="000000"/>
                <w:sz w:val="20"/>
                <w:szCs w:val="20"/>
              </w:rPr>
              <w:t>2</w:t>
            </w:r>
            <w:r>
              <w:rPr>
                <w:b/>
                <w:bCs/>
                <w:color w:val="000000"/>
                <w:sz w:val="20"/>
                <w:szCs w:val="20"/>
              </w:rPr>
              <w:t>0</w:t>
            </w:r>
            <w:r w:rsidRPr="00E936FD">
              <w:rPr>
                <w:b/>
                <w:bCs/>
                <w:sz w:val="20"/>
                <w:szCs w:val="20"/>
              </w:rPr>
              <w:t> 237 801</w:t>
            </w:r>
          </w:p>
        </w:tc>
        <w:tc>
          <w:tcPr>
            <w:tcW w:w="1903" w:type="dxa"/>
            <w:vAlign w:val="center"/>
          </w:tcPr>
          <w:p w14:paraId="42EF1032" w14:textId="77777777" w:rsidR="00EE1CF5" w:rsidRPr="00A15F23" w:rsidRDefault="00EE1CF5" w:rsidP="00263AB1">
            <w:pPr>
              <w:jc w:val="center"/>
              <w:rPr>
                <w:b/>
                <w:bCs/>
                <w:color w:val="000000"/>
                <w:sz w:val="20"/>
                <w:szCs w:val="20"/>
              </w:rPr>
            </w:pPr>
            <w:r>
              <w:rPr>
                <w:b/>
                <w:bCs/>
                <w:color w:val="000000"/>
                <w:sz w:val="20"/>
                <w:szCs w:val="20"/>
              </w:rPr>
              <w:t>24 169 229</w:t>
            </w:r>
          </w:p>
        </w:tc>
        <w:tc>
          <w:tcPr>
            <w:tcW w:w="1396" w:type="dxa"/>
            <w:tcBorders>
              <w:right w:val="single" w:sz="4" w:space="0" w:color="auto"/>
            </w:tcBorders>
            <w:shd w:val="clear" w:color="auto" w:fill="auto"/>
            <w:noWrap/>
            <w:vAlign w:val="center"/>
          </w:tcPr>
          <w:p w14:paraId="684D2561" w14:textId="77777777" w:rsidR="00EE1CF5" w:rsidRPr="00A15F23" w:rsidRDefault="00EE1CF5" w:rsidP="00263AB1">
            <w:pPr>
              <w:ind w:firstLine="34"/>
              <w:jc w:val="center"/>
              <w:rPr>
                <w:b/>
                <w:color w:val="000000"/>
                <w:sz w:val="20"/>
                <w:szCs w:val="20"/>
              </w:rPr>
            </w:pPr>
            <w:r w:rsidRPr="00A15F23">
              <w:rPr>
                <w:b/>
                <w:color w:val="000000"/>
                <w:sz w:val="20"/>
                <w:szCs w:val="20"/>
              </w:rPr>
              <w:t>20 835 506</w:t>
            </w:r>
          </w:p>
        </w:tc>
        <w:tc>
          <w:tcPr>
            <w:tcW w:w="1396" w:type="dxa"/>
            <w:tcBorders>
              <w:right w:val="single" w:sz="4" w:space="0" w:color="auto"/>
            </w:tcBorders>
            <w:vAlign w:val="center"/>
          </w:tcPr>
          <w:p w14:paraId="729FE48F" w14:textId="77777777" w:rsidR="00EE1CF5" w:rsidRPr="00A15F23" w:rsidRDefault="00EE1CF5" w:rsidP="00263AB1">
            <w:pPr>
              <w:jc w:val="center"/>
              <w:rPr>
                <w:b/>
                <w:bCs/>
                <w:color w:val="000000"/>
                <w:sz w:val="20"/>
                <w:szCs w:val="20"/>
              </w:rPr>
            </w:pPr>
            <w:r>
              <w:rPr>
                <w:b/>
                <w:bCs/>
                <w:color w:val="000000"/>
                <w:sz w:val="20"/>
                <w:szCs w:val="20"/>
              </w:rPr>
              <w:t>40 306 014</w:t>
            </w:r>
          </w:p>
        </w:tc>
        <w:tc>
          <w:tcPr>
            <w:tcW w:w="1150" w:type="dxa"/>
            <w:tcBorders>
              <w:right w:val="single" w:sz="4" w:space="0" w:color="auto"/>
            </w:tcBorders>
            <w:vAlign w:val="center"/>
          </w:tcPr>
          <w:p w14:paraId="7B10387C" w14:textId="77777777" w:rsidR="00EE1CF5" w:rsidRPr="00A15F23" w:rsidRDefault="00EE1CF5" w:rsidP="00263AB1">
            <w:pPr>
              <w:jc w:val="center"/>
              <w:rPr>
                <w:b/>
                <w:bCs/>
                <w:color w:val="000000"/>
                <w:sz w:val="20"/>
                <w:szCs w:val="20"/>
              </w:rPr>
            </w:pPr>
            <w:r>
              <w:rPr>
                <w:b/>
                <w:bCs/>
                <w:color w:val="000000"/>
                <w:sz w:val="20"/>
                <w:szCs w:val="20"/>
              </w:rPr>
              <w:t>27 626 014</w:t>
            </w:r>
          </w:p>
        </w:tc>
      </w:tr>
      <w:bookmarkEnd w:id="228"/>
    </w:tbl>
    <w:p w14:paraId="0312AC6B" w14:textId="77777777" w:rsidR="00EE1CF5" w:rsidRDefault="00EE1CF5" w:rsidP="00EE1CF5">
      <w:pPr>
        <w:tabs>
          <w:tab w:val="left" w:pos="334"/>
        </w:tabs>
        <w:jc w:val="left"/>
      </w:pPr>
    </w:p>
    <w:p w14:paraId="7E6D47DA" w14:textId="77777777" w:rsidR="00EE1CF5" w:rsidRDefault="00EE1CF5" w:rsidP="00EE1CF5">
      <w:pPr>
        <w:spacing w:before="240" w:line="259" w:lineRule="auto"/>
        <w:ind w:firstLine="720"/>
        <w:rPr>
          <w:szCs w:val="26"/>
        </w:rPr>
      </w:pPr>
      <w:r w:rsidRPr="00416261">
        <w:rPr>
          <w:szCs w:val="26"/>
        </w:rPr>
        <w:t xml:space="preserve">Šis risinājums atbilst Deklarācijā par Māra Kučinska vadītā </w:t>
      </w:r>
      <w:r>
        <w:rPr>
          <w:szCs w:val="26"/>
        </w:rPr>
        <w:t>MK</w:t>
      </w:r>
      <w:r w:rsidRPr="00416261">
        <w:rPr>
          <w:szCs w:val="26"/>
        </w:rPr>
        <w:t xml:space="preserve"> iecerēto darbību noteiktajam – nepaaugstināt vidējo OIK virs 26,79 </w:t>
      </w:r>
      <w:r w:rsidRPr="00FF4F2E">
        <w:rPr>
          <w:szCs w:val="26"/>
        </w:rPr>
        <w:t>EUR/MWh, jo tā īstenošanas rezultātā vidējā OIK vērtība samazināsies no 22,68 EUR/MWh 2019. gadā līdz 15,33 EUR/MWh 2021. gadā,</w:t>
      </w:r>
      <w:r>
        <w:rPr>
          <w:szCs w:val="26"/>
        </w:rPr>
        <w:t xml:space="preserve"> </w:t>
      </w:r>
      <w:r w:rsidRPr="00ED6DA8">
        <w:rPr>
          <w:szCs w:val="26"/>
        </w:rPr>
        <w:t xml:space="preserve">attiecīgi tiks veikta tālāka OIK sloga samazināšana, kas ir saskaņā ar MK 2018. gada 24. aprīļa rīkojumu Nr. 172 “Par darba grupu </w:t>
      </w:r>
      <w:r w:rsidRPr="00ED6DA8">
        <w:rPr>
          <w:szCs w:val="26"/>
        </w:rPr>
        <w:lastRenderedPageBreak/>
        <w:t>elektroenerģijas obligātā iepirkuma maksājumu sistēmas atcelšanai”.</w:t>
      </w:r>
      <w:r>
        <w:rPr>
          <w:szCs w:val="26"/>
        </w:rPr>
        <w:t xml:space="preserve"> Savukārt 2022. gadā, piemērojot piemaksas virs tirgus cenas risinājumu, šis līmenis samazināsies līdz 11,75 EUR/MWh.</w:t>
      </w:r>
    </w:p>
    <w:p w14:paraId="416A853C" w14:textId="77777777" w:rsidR="00EE1CF5" w:rsidRPr="00256DA1" w:rsidRDefault="00EE1CF5" w:rsidP="00EE1CF5">
      <w:pPr>
        <w:spacing w:before="240" w:line="259" w:lineRule="auto"/>
        <w:ind w:firstLine="720"/>
        <w:rPr>
          <w:szCs w:val="26"/>
        </w:rPr>
      </w:pPr>
      <w:r>
        <w:rPr>
          <w:szCs w:val="26"/>
        </w:rPr>
        <w:t xml:space="preserve">Nav paredzams, ka šī risinājuma ieviešanai būs izšķiroša ietekme uz 2020.gada AER mērķu sasniegšanu. </w:t>
      </w:r>
    </w:p>
    <w:p w14:paraId="0356BBFB" w14:textId="298340BC" w:rsidR="0026780D" w:rsidRPr="00EE1CF5" w:rsidRDefault="0026780D" w:rsidP="00EE1CF5">
      <w:r w:rsidRPr="00EE1CF5">
        <w:t xml:space="preserve"> </w:t>
      </w:r>
    </w:p>
    <w:sectPr w:rsidR="0026780D" w:rsidRPr="00EE1CF5" w:rsidSect="00FE6A0B">
      <w:footerReference w:type="default" r:id="rId30"/>
      <w:pgSz w:w="16838" w:h="11906" w:orient="landscape"/>
      <w:pgMar w:top="1701" w:right="1134" w:bottom="1134"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45B1D" w14:textId="77777777" w:rsidR="00E903AA" w:rsidRDefault="00E903AA">
      <w:r>
        <w:separator/>
      </w:r>
    </w:p>
  </w:endnote>
  <w:endnote w:type="continuationSeparator" w:id="0">
    <w:p w14:paraId="55CFA2E0" w14:textId="77777777" w:rsidR="00E903AA" w:rsidRDefault="00E90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Times New Roman,">
    <w:altName w:val="Times New Roman"/>
    <w:panose1 w:val="00000000000000000000"/>
    <w:charset w:val="00"/>
    <w:family w:val="roman"/>
    <w:notTrueType/>
    <w:pitch w:val="default"/>
  </w:font>
  <w:font w:name="Times">
    <w:altName w:val="Times New Roman"/>
    <w:panose1 w:val="02020603050405020304"/>
    <w:charset w:val="BA"/>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870379"/>
      <w:docPartObj>
        <w:docPartGallery w:val="Page Numbers (Bottom of Page)"/>
        <w:docPartUnique/>
      </w:docPartObj>
    </w:sdtPr>
    <w:sdtEndPr>
      <w:rPr>
        <w:noProof/>
        <w:sz w:val="24"/>
      </w:rPr>
    </w:sdtEndPr>
    <w:sdtContent>
      <w:p w14:paraId="2B420193" w14:textId="77777777" w:rsidR="00EE1CF5" w:rsidRPr="00032423" w:rsidRDefault="00EE1CF5">
        <w:pPr>
          <w:jc w:val="center"/>
          <w:rPr>
            <w:sz w:val="24"/>
          </w:rPr>
        </w:pPr>
        <w:r w:rsidRPr="00032423">
          <w:rPr>
            <w:sz w:val="24"/>
          </w:rPr>
          <w:fldChar w:fldCharType="begin"/>
        </w:r>
        <w:r w:rsidRPr="00032423">
          <w:rPr>
            <w:sz w:val="24"/>
          </w:rPr>
          <w:instrText xml:space="preserve"> PAGE   \* MERGEFORMAT </w:instrText>
        </w:r>
        <w:r w:rsidRPr="00032423">
          <w:rPr>
            <w:sz w:val="24"/>
          </w:rPr>
          <w:fldChar w:fldCharType="separate"/>
        </w:r>
        <w:r>
          <w:rPr>
            <w:noProof/>
            <w:sz w:val="24"/>
          </w:rPr>
          <w:t>31</w:t>
        </w:r>
        <w:r w:rsidRPr="00032423">
          <w:rPr>
            <w:noProof/>
            <w:sz w:val="24"/>
          </w:rPr>
          <w:fldChar w:fldCharType="end"/>
        </w:r>
      </w:p>
    </w:sdtContent>
  </w:sdt>
  <w:p w14:paraId="1E43266B" w14:textId="77777777" w:rsidR="00EE1CF5" w:rsidRPr="00DB4E1D" w:rsidRDefault="00EE1CF5" w:rsidP="00E04C10">
    <w:pPr>
      <w:pStyle w:val="Footer"/>
      <w:rPr>
        <w:sz w:val="22"/>
        <w:szCs w:val="20"/>
      </w:rPr>
    </w:pPr>
    <w:r>
      <w:rPr>
        <w:sz w:val="22"/>
        <w:szCs w:val="20"/>
      </w:rPr>
      <w:t>EMKZ_051218</w:t>
    </w:r>
    <w:r w:rsidRPr="00DB4E1D">
      <w:rPr>
        <w:sz w:val="22"/>
        <w:szCs w:val="20"/>
      </w:rPr>
      <w:t>_</w:t>
    </w:r>
    <w:r>
      <w:rPr>
        <w:sz w:val="22"/>
        <w:szCs w:val="20"/>
      </w:rPr>
      <w:t>OIK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439027"/>
      <w:docPartObj>
        <w:docPartGallery w:val="Page Numbers (Bottom of Page)"/>
        <w:docPartUnique/>
      </w:docPartObj>
    </w:sdtPr>
    <w:sdtEndPr>
      <w:rPr>
        <w:noProof/>
        <w:sz w:val="24"/>
      </w:rPr>
    </w:sdtEndPr>
    <w:sdtContent>
      <w:p w14:paraId="25F3F7D9" w14:textId="77777777" w:rsidR="00E903AA" w:rsidRPr="00032423" w:rsidRDefault="00E903AA">
        <w:pPr>
          <w:jc w:val="center"/>
          <w:rPr>
            <w:sz w:val="24"/>
          </w:rPr>
        </w:pPr>
        <w:r w:rsidRPr="00032423">
          <w:rPr>
            <w:sz w:val="24"/>
          </w:rPr>
          <w:fldChar w:fldCharType="begin"/>
        </w:r>
        <w:r w:rsidRPr="00032423">
          <w:rPr>
            <w:sz w:val="24"/>
          </w:rPr>
          <w:instrText xml:space="preserve"> PAGE   \* MERGEFORMAT </w:instrText>
        </w:r>
        <w:r w:rsidRPr="00032423">
          <w:rPr>
            <w:sz w:val="24"/>
          </w:rPr>
          <w:fldChar w:fldCharType="separate"/>
        </w:r>
        <w:r>
          <w:rPr>
            <w:noProof/>
            <w:sz w:val="24"/>
          </w:rPr>
          <w:t>31</w:t>
        </w:r>
        <w:r w:rsidRPr="00032423">
          <w:rPr>
            <w:noProof/>
            <w:sz w:val="24"/>
          </w:rPr>
          <w:fldChar w:fldCharType="end"/>
        </w:r>
      </w:p>
    </w:sdtContent>
  </w:sdt>
  <w:p w14:paraId="1B77FEC6" w14:textId="575765EA" w:rsidR="00E903AA" w:rsidRPr="00DB4E1D" w:rsidRDefault="00E903AA" w:rsidP="00E04C10">
    <w:pPr>
      <w:pStyle w:val="Footer"/>
      <w:rPr>
        <w:sz w:val="22"/>
        <w:szCs w:val="20"/>
      </w:rPr>
    </w:pPr>
    <w:r>
      <w:rPr>
        <w:sz w:val="22"/>
        <w:szCs w:val="20"/>
      </w:rPr>
      <w:t>EMKZ_</w:t>
    </w:r>
    <w:r w:rsidR="00EE1CF5">
      <w:rPr>
        <w:sz w:val="22"/>
        <w:szCs w:val="20"/>
      </w:rPr>
      <w:t>05</w:t>
    </w:r>
    <w:r>
      <w:rPr>
        <w:sz w:val="22"/>
        <w:szCs w:val="20"/>
      </w:rPr>
      <w:t>1</w:t>
    </w:r>
    <w:r w:rsidR="00EE1CF5">
      <w:rPr>
        <w:sz w:val="22"/>
        <w:szCs w:val="20"/>
      </w:rPr>
      <w:t>2</w:t>
    </w:r>
    <w:r>
      <w:rPr>
        <w:sz w:val="22"/>
        <w:szCs w:val="20"/>
      </w:rPr>
      <w:t>18</w:t>
    </w:r>
    <w:r w:rsidRPr="00DB4E1D">
      <w:rPr>
        <w:sz w:val="22"/>
        <w:szCs w:val="20"/>
      </w:rPr>
      <w:t>_</w:t>
    </w:r>
    <w:r>
      <w:rPr>
        <w:sz w:val="22"/>
        <w:szCs w:val="20"/>
      </w:rPr>
      <w:t>OIK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7BEE0" w14:textId="77777777" w:rsidR="00E903AA" w:rsidRDefault="00E903AA" w:rsidP="00E06150">
      <w:r>
        <w:separator/>
      </w:r>
    </w:p>
  </w:footnote>
  <w:footnote w:type="continuationSeparator" w:id="0">
    <w:p w14:paraId="67055187" w14:textId="77777777" w:rsidR="00E903AA" w:rsidRDefault="00E903AA" w:rsidP="00E06150">
      <w:r>
        <w:continuationSeparator/>
      </w:r>
    </w:p>
  </w:footnote>
  <w:footnote w:id="1">
    <w:p w14:paraId="62B03A6F" w14:textId="77777777" w:rsidR="00EE1CF5" w:rsidRDefault="00EE1CF5" w:rsidP="00EE1CF5">
      <w:pPr>
        <w:pStyle w:val="FootnoteText"/>
        <w:ind w:firstLine="0"/>
      </w:pPr>
      <w:r>
        <w:rPr>
          <w:rStyle w:val="FootnoteReference"/>
        </w:rPr>
        <w:footnoteRef/>
      </w:r>
      <w:r>
        <w:t xml:space="preserve"> </w:t>
      </w:r>
      <w:r w:rsidRPr="005C4BDA">
        <w:t>Baltic Energy Technology Scenarios 2018 (</w:t>
      </w:r>
      <w:r w:rsidRPr="00614D88">
        <w:rPr>
          <w:lang w:val="en-GB"/>
        </w:rPr>
        <w:t xml:space="preserve">BENTE), </w:t>
      </w:r>
      <w:r w:rsidRPr="00614D88">
        <w:rPr>
          <w:i/>
          <w:lang w:val="en-GB"/>
        </w:rPr>
        <w:t>Baltic Energy Technology Scenarios 2018  -Targeting low carbon and renewable energy systems</w:t>
      </w:r>
      <w:r w:rsidRPr="00614D88">
        <w:rPr>
          <w:lang w:val="en-GB"/>
        </w:rPr>
        <w:t>,</w:t>
      </w:r>
      <w:r>
        <w:t xml:space="preserve"> aplūkojams: </w:t>
      </w:r>
      <w:hyperlink r:id="rId1" w:history="1">
        <w:r w:rsidRPr="007F383B">
          <w:rPr>
            <w:rStyle w:val="Hyperlink"/>
          </w:rPr>
          <w:t>http://norden.diva-portal.org/smash/record.jsf?aq2=%5B%5B%5D%5D&amp;af=%5B%5D&amp;searchType=SIMPLE&amp;sortOrder2=title_sort_asc&amp;language=no&amp;pid=diva2%3A1195548&amp;aq=%5B%5B%5D%5D&amp;sf=all&amp;aqe=%5B%5D&amp;sortOrder=author_sort_asc&amp;onlyFullText=false&amp;noOfRows=50&amp;dspwid=4691&amp;dswid=8642</w:t>
        </w:r>
      </w:hyperlink>
      <w:r>
        <w:t xml:space="preserve"> </w:t>
      </w:r>
    </w:p>
  </w:footnote>
  <w:footnote w:id="2">
    <w:p w14:paraId="1DBEADA3" w14:textId="77777777" w:rsidR="00EE1CF5" w:rsidRPr="00E76892" w:rsidRDefault="00EE1CF5" w:rsidP="00EE1CF5">
      <w:pPr>
        <w:pStyle w:val="FootnoteText"/>
        <w:ind w:firstLine="0"/>
        <w:rPr>
          <w:rFonts w:ascii="Times New Roman" w:hAnsi="Times New Roman" w:cs="Times New Roman"/>
        </w:rPr>
      </w:pPr>
      <w:r>
        <w:rPr>
          <w:rStyle w:val="FootnoteReference"/>
        </w:rPr>
        <w:footnoteRef/>
      </w:r>
      <w:r>
        <w:t xml:space="preserve"> </w:t>
      </w:r>
      <w:r w:rsidRPr="00E76892">
        <w:rPr>
          <w:rFonts w:ascii="Times New Roman" w:hAnsi="Times New Roman" w:cs="Times New Roman"/>
        </w:rPr>
        <w:t xml:space="preserve">Aplūkojams: </w:t>
      </w:r>
      <w:hyperlink r:id="rId2" w:history="1">
        <w:r w:rsidRPr="00B771A0">
          <w:rPr>
            <w:rStyle w:val="Hyperlink"/>
            <w:rFonts w:ascii="Times New Roman" w:hAnsi="Times New Roman" w:cs="Times New Roman"/>
          </w:rPr>
          <w:t>https://likumi.lv/ta/id/280236-par-energetikas-attistibas-pamatnostadnem-2016-2020-gadam</w:t>
        </w:r>
      </w:hyperlink>
      <w:r>
        <w:rPr>
          <w:rFonts w:ascii="Times New Roman" w:hAnsi="Times New Roman" w:cs="Times New Roman"/>
        </w:rPr>
        <w:t xml:space="preserve"> </w:t>
      </w:r>
    </w:p>
  </w:footnote>
  <w:footnote w:id="3">
    <w:p w14:paraId="3717FC9D" w14:textId="77777777" w:rsidR="00EE1CF5" w:rsidRPr="004173CB" w:rsidRDefault="00EE1CF5" w:rsidP="00EE1CF5">
      <w:pPr>
        <w:pStyle w:val="FootnoteText"/>
        <w:ind w:firstLine="0"/>
        <w:rPr>
          <w:rFonts w:ascii="Times New Roman" w:hAnsi="Times New Roman" w:cs="Times New Roman"/>
        </w:rPr>
      </w:pPr>
      <w:r w:rsidRPr="004173CB">
        <w:rPr>
          <w:rStyle w:val="FootnoteReference"/>
          <w:rFonts w:ascii="Times New Roman" w:hAnsi="Times New Roman" w:cs="Times New Roman"/>
        </w:rPr>
        <w:footnoteRef/>
      </w:r>
      <w:r w:rsidRPr="004173CB">
        <w:rPr>
          <w:rFonts w:ascii="Times New Roman" w:hAnsi="Times New Roman" w:cs="Times New Roman"/>
        </w:rPr>
        <w:t xml:space="preserve"> Aplūkojams: http://tap.mk.gov.lv/lv/mk/tap/?pid=40461316&amp;mode=mk&amp;date=2018-08-14</w:t>
      </w:r>
    </w:p>
  </w:footnote>
  <w:footnote w:id="4">
    <w:p w14:paraId="2E42E7EE" w14:textId="77777777" w:rsidR="00EE1CF5" w:rsidRPr="000D70EA" w:rsidRDefault="00EE1CF5" w:rsidP="00EE1CF5">
      <w:pPr>
        <w:rPr>
          <w:rFonts w:cs="Times New Roman"/>
          <w:sz w:val="20"/>
          <w:szCs w:val="24"/>
        </w:rPr>
      </w:pPr>
      <w:r w:rsidRPr="000D70EA">
        <w:rPr>
          <w:rStyle w:val="CommentTextChar"/>
          <w:rFonts w:cs="Times New Roman"/>
          <w:szCs w:val="24"/>
        </w:rPr>
        <w:footnoteRef/>
      </w:r>
      <w:r w:rsidRPr="000D70EA">
        <w:rPr>
          <w:rFonts w:cs="Times New Roman"/>
          <w:sz w:val="20"/>
          <w:szCs w:val="24"/>
        </w:rPr>
        <w:t xml:space="preserve"> Aplūkojams: </w:t>
      </w:r>
      <w:hyperlink r:id="rId3" w:history="1">
        <w:r w:rsidRPr="000D70EA">
          <w:rPr>
            <w:rFonts w:cs="Times New Roman"/>
            <w:sz w:val="20"/>
            <w:szCs w:val="24"/>
          </w:rPr>
          <w:t>https://likumi.lv/ta/id/293753-par-konceptualo-zinojumu-kompleksi-pasakumi-elektroenergijas-tirgus-attistibai</w:t>
        </w:r>
      </w:hyperlink>
    </w:p>
  </w:footnote>
  <w:footnote w:id="5">
    <w:p w14:paraId="57C86795" w14:textId="77777777" w:rsidR="00EE1CF5" w:rsidRDefault="00EE1CF5" w:rsidP="00EE1CF5">
      <w:pPr>
        <w:pStyle w:val="FootnoteText"/>
        <w:ind w:firstLine="0"/>
      </w:pPr>
      <w:r>
        <w:rPr>
          <w:rStyle w:val="FootnoteReference"/>
        </w:rPr>
        <w:footnoteRef/>
      </w:r>
      <w:r>
        <w:t xml:space="preserve"> </w:t>
      </w:r>
      <w:r w:rsidRPr="007846ED">
        <w:rPr>
          <w:rFonts w:ascii="Times New Roman" w:hAnsi="Times New Roman" w:cs="Times New Roman"/>
        </w:rPr>
        <w:t xml:space="preserve">Pārvades sistēmas operatora ikgadējais novērtējuma ziņojums, 2018, (Aplūkojams: </w:t>
      </w:r>
      <w:hyperlink r:id="rId4" w:history="1">
        <w:r w:rsidRPr="007846ED">
          <w:rPr>
            <w:rStyle w:val="Hyperlink"/>
            <w:rFonts w:ascii="Times New Roman" w:hAnsi="Times New Roman" w:cs="Times New Roman"/>
          </w:rPr>
          <w:t>http://www.ast.lv/sites/default/files/editor/20181001_PSO_Zinojums_2017.pdf</w:t>
        </w:r>
      </w:hyperlink>
      <w:r w:rsidRPr="007846ED">
        <w:rPr>
          <w:rFonts w:ascii="Times New Roman" w:hAnsi="Times New Roman" w:cs="Times New Roman"/>
        </w:rPr>
        <w:t>)</w:t>
      </w:r>
    </w:p>
  </w:footnote>
  <w:footnote w:id="6">
    <w:p w14:paraId="3E3A9BF7" w14:textId="77777777" w:rsidR="00EE1CF5" w:rsidRPr="000D70EA" w:rsidRDefault="00EE1CF5" w:rsidP="00EE1CF5">
      <w:pPr>
        <w:spacing w:before="60"/>
        <w:rPr>
          <w:rFonts w:cs="Times New Roman"/>
          <w:sz w:val="20"/>
          <w:szCs w:val="24"/>
        </w:rPr>
      </w:pPr>
      <w:r w:rsidRPr="000D70EA">
        <w:rPr>
          <w:rStyle w:val="CommentTextChar"/>
          <w:rFonts w:cs="Times New Roman"/>
          <w:szCs w:val="24"/>
          <w:vertAlign w:val="superscript"/>
        </w:rPr>
        <w:footnoteRef/>
      </w:r>
      <w:r w:rsidRPr="000D70EA">
        <w:rPr>
          <w:rFonts w:cs="Times New Roman"/>
          <w:sz w:val="20"/>
          <w:szCs w:val="24"/>
        </w:rPr>
        <w:t xml:space="preserve"> Ņemta vērā OIK maksājumu diferencēšanas ietekme sākot ar 2018. gadu </w:t>
      </w:r>
    </w:p>
  </w:footnote>
  <w:footnote w:id="7">
    <w:p w14:paraId="697E2E97" w14:textId="77777777" w:rsidR="00EE1CF5" w:rsidRPr="000D70EA" w:rsidRDefault="00EE1CF5" w:rsidP="00EE1CF5">
      <w:pPr>
        <w:spacing w:before="60"/>
        <w:rPr>
          <w:rFonts w:cs="Times New Roman"/>
          <w:sz w:val="20"/>
          <w:szCs w:val="24"/>
        </w:rPr>
      </w:pPr>
      <w:r w:rsidRPr="000D70EA">
        <w:rPr>
          <w:rStyle w:val="CommentTextChar"/>
          <w:rFonts w:cs="Times New Roman"/>
          <w:szCs w:val="24"/>
          <w:vertAlign w:val="superscript"/>
        </w:rPr>
        <w:footnoteRef/>
      </w:r>
      <w:r w:rsidRPr="000D70EA">
        <w:rPr>
          <w:rFonts w:cs="Times New Roman"/>
          <w:sz w:val="20"/>
          <w:szCs w:val="24"/>
          <w:vertAlign w:val="superscript"/>
        </w:rPr>
        <w:t xml:space="preserve"> </w:t>
      </w:r>
      <w:r w:rsidRPr="000D70EA">
        <w:rPr>
          <w:rFonts w:cs="Times New Roman"/>
          <w:sz w:val="20"/>
          <w:szCs w:val="24"/>
        </w:rPr>
        <w:t>Bez pārkompensācijas novēršanas efekta</w:t>
      </w:r>
    </w:p>
  </w:footnote>
  <w:footnote w:id="8">
    <w:p w14:paraId="28CE4B39" w14:textId="77777777" w:rsidR="00EE1CF5" w:rsidRPr="000D70EA" w:rsidRDefault="00EE1CF5" w:rsidP="00EE1CF5">
      <w:pPr>
        <w:rPr>
          <w:rFonts w:eastAsia="Times New Roman" w:cs="Times New Roman"/>
          <w:sz w:val="20"/>
          <w:szCs w:val="24"/>
        </w:rPr>
      </w:pPr>
      <w:r w:rsidRPr="000D70EA">
        <w:rPr>
          <w:rStyle w:val="CommentTextChar"/>
          <w:rFonts w:eastAsia="Times New Roman" w:cs="Times New Roman"/>
          <w:szCs w:val="24"/>
          <w:vertAlign w:val="superscript"/>
        </w:rPr>
        <w:footnoteRef/>
      </w:r>
      <w:r w:rsidRPr="000D70EA">
        <w:rPr>
          <w:rFonts w:eastAsia="Times New Roman" w:cs="Times New Roman"/>
          <w:sz w:val="20"/>
          <w:szCs w:val="24"/>
        </w:rPr>
        <w:t xml:space="preserve"> Aplūkojams: </w:t>
      </w:r>
      <w:hyperlink r:id="rId5" w:history="1">
        <w:r w:rsidRPr="000D70EA">
          <w:rPr>
            <w:rFonts w:cs="Times New Roman"/>
            <w:sz w:val="20"/>
            <w:szCs w:val="24"/>
          </w:rPr>
          <w:t>https://likumi.lv/doc.php?id=285195</w:t>
        </w:r>
      </w:hyperlink>
    </w:p>
  </w:footnote>
  <w:footnote w:id="9">
    <w:p w14:paraId="0D28808F" w14:textId="77777777" w:rsidR="00EE1CF5" w:rsidRDefault="00EE1CF5" w:rsidP="00EE1CF5">
      <w:pPr>
        <w:pStyle w:val="FootnoteText"/>
      </w:pPr>
      <w:r w:rsidRPr="00942F77">
        <w:rPr>
          <w:rStyle w:val="FootnoteReference"/>
        </w:rPr>
        <w:footnoteRef/>
      </w:r>
      <w:r w:rsidRPr="00942F77">
        <w:t xml:space="preserve"> Aplūkojams: </w:t>
      </w:r>
      <w:hyperlink r:id="rId6" w:history="1">
        <w:r w:rsidRPr="00942F77">
          <w:rPr>
            <w:rStyle w:val="Hyperlink"/>
            <w:color w:val="auto"/>
          </w:rPr>
          <w:t>https://www.sprk.gov.lv/lapas/Tarifi84</w:t>
        </w:r>
      </w:hyperlink>
    </w:p>
  </w:footnote>
  <w:footnote w:id="10">
    <w:p w14:paraId="65D89FED" w14:textId="77777777" w:rsidR="00EE1CF5" w:rsidRPr="000D70EA" w:rsidRDefault="00EE1CF5" w:rsidP="00EE1CF5">
      <w:pPr>
        <w:spacing w:before="60"/>
        <w:rPr>
          <w:rFonts w:cs="Times New Roman"/>
          <w:sz w:val="20"/>
          <w:szCs w:val="24"/>
        </w:rPr>
      </w:pPr>
      <w:r w:rsidRPr="00670B54">
        <w:rPr>
          <w:rStyle w:val="CommentTextChar"/>
          <w:rFonts w:cs="Times New Roman"/>
          <w:szCs w:val="24"/>
          <w:vertAlign w:val="superscript"/>
        </w:rPr>
        <w:footnoteRef/>
      </w:r>
      <w:r w:rsidRPr="000D70EA">
        <w:rPr>
          <w:rFonts w:cs="Times New Roman"/>
          <w:sz w:val="20"/>
          <w:szCs w:val="24"/>
        </w:rPr>
        <w:t xml:space="preserve"> 2013.gada 13.augusta </w:t>
      </w:r>
      <w:r>
        <w:rPr>
          <w:rFonts w:cs="Times New Roman"/>
          <w:sz w:val="20"/>
          <w:szCs w:val="24"/>
        </w:rPr>
        <w:t>MK</w:t>
      </w:r>
      <w:r w:rsidRPr="000D70EA">
        <w:rPr>
          <w:rFonts w:cs="Times New Roman"/>
          <w:sz w:val="20"/>
          <w:szCs w:val="24"/>
        </w:rPr>
        <w:t xml:space="preserve"> sēdes protokola Nr.44., 156.§; 2014.gada 19.novembra </w:t>
      </w:r>
      <w:r>
        <w:rPr>
          <w:rFonts w:cs="Times New Roman"/>
          <w:sz w:val="20"/>
          <w:szCs w:val="24"/>
        </w:rPr>
        <w:t>MK</w:t>
      </w:r>
      <w:r w:rsidRPr="000D70EA">
        <w:rPr>
          <w:rFonts w:cs="Times New Roman"/>
          <w:sz w:val="20"/>
          <w:szCs w:val="24"/>
        </w:rPr>
        <w:t xml:space="preserve"> sēdes protokola Nr.63., 23.§; 2015.gada 31.augusta </w:t>
      </w:r>
      <w:r>
        <w:rPr>
          <w:rFonts w:cs="Times New Roman"/>
          <w:sz w:val="20"/>
          <w:szCs w:val="24"/>
        </w:rPr>
        <w:t>MK</w:t>
      </w:r>
      <w:r w:rsidRPr="000D70EA">
        <w:rPr>
          <w:rFonts w:cs="Times New Roman"/>
          <w:sz w:val="20"/>
          <w:szCs w:val="24"/>
        </w:rPr>
        <w:t xml:space="preserve"> sēdes protokola Nr.43., 2.§; 2016.gada 4.oktobra </w:t>
      </w:r>
      <w:r>
        <w:rPr>
          <w:rFonts w:cs="Times New Roman"/>
          <w:sz w:val="20"/>
          <w:szCs w:val="24"/>
        </w:rPr>
        <w:t>MK</w:t>
      </w:r>
      <w:r w:rsidRPr="000D70EA">
        <w:rPr>
          <w:rFonts w:cs="Times New Roman"/>
          <w:sz w:val="20"/>
          <w:szCs w:val="24"/>
        </w:rPr>
        <w:t xml:space="preserve"> sēdes protokola Nr.45., 27. §</w:t>
      </w:r>
    </w:p>
  </w:footnote>
  <w:footnote w:id="11">
    <w:p w14:paraId="427C26DB" w14:textId="77777777" w:rsidR="00EE1CF5" w:rsidRPr="000D70EA" w:rsidRDefault="00EE1CF5" w:rsidP="00EE1CF5">
      <w:pPr>
        <w:rPr>
          <w:rFonts w:cs="Times New Roman"/>
          <w:sz w:val="20"/>
          <w:szCs w:val="24"/>
        </w:rPr>
      </w:pPr>
      <w:r w:rsidRPr="00670B54">
        <w:rPr>
          <w:rStyle w:val="CommentTextChar"/>
          <w:rFonts w:cs="Times New Roman"/>
          <w:szCs w:val="24"/>
          <w:vertAlign w:val="superscript"/>
        </w:rPr>
        <w:footnoteRef/>
      </w:r>
      <w:r w:rsidRPr="00670B54">
        <w:rPr>
          <w:rFonts w:cs="Times New Roman"/>
          <w:sz w:val="20"/>
          <w:szCs w:val="24"/>
          <w:vertAlign w:val="superscript"/>
        </w:rPr>
        <w:t xml:space="preserve"> </w:t>
      </w:r>
      <w:r w:rsidRPr="000D70EA">
        <w:rPr>
          <w:rFonts w:cs="Times New Roman"/>
          <w:sz w:val="20"/>
          <w:szCs w:val="24"/>
        </w:rPr>
        <w:t xml:space="preserve">Aplūkojams: </w:t>
      </w:r>
      <w:hyperlink r:id="rId7" w:history="1">
        <w:r w:rsidRPr="000D70EA">
          <w:rPr>
            <w:rFonts w:cs="Times New Roman"/>
            <w:sz w:val="20"/>
            <w:szCs w:val="24"/>
          </w:rPr>
          <w:t>https://likumi.lv/ta/id/293753-par-konceptualo-zinojumu-kompleksi-pasakumi-elektroenergijas-tirgus-attistibai</w:t>
        </w:r>
      </w:hyperlink>
      <w:r w:rsidRPr="000D70EA">
        <w:rPr>
          <w:rFonts w:cs="Times New Roman"/>
          <w:sz w:val="20"/>
          <w:szCs w:val="24"/>
        </w:rPr>
        <w:t xml:space="preserve"> </w:t>
      </w:r>
    </w:p>
  </w:footnote>
  <w:footnote w:id="12">
    <w:p w14:paraId="2FEB7EA5" w14:textId="77777777" w:rsidR="00EE1CF5" w:rsidRPr="000D70EA" w:rsidRDefault="00EE1CF5" w:rsidP="00EE1CF5">
      <w:pPr>
        <w:rPr>
          <w:rFonts w:cs="Times New Roman"/>
          <w:color w:val="FF0000"/>
          <w:sz w:val="20"/>
          <w:szCs w:val="24"/>
        </w:rPr>
      </w:pPr>
      <w:r w:rsidRPr="00670B54">
        <w:rPr>
          <w:rStyle w:val="CommentTextChar"/>
          <w:rFonts w:cs="Times New Roman"/>
          <w:szCs w:val="24"/>
          <w:vertAlign w:val="superscript"/>
        </w:rPr>
        <w:footnoteRef/>
      </w:r>
      <w:r w:rsidRPr="00670B54">
        <w:rPr>
          <w:rFonts w:cs="Times New Roman"/>
          <w:sz w:val="20"/>
          <w:szCs w:val="24"/>
          <w:vertAlign w:val="superscript"/>
        </w:rPr>
        <w:t xml:space="preserve"> </w:t>
      </w:r>
      <w:r>
        <w:rPr>
          <w:rFonts w:cs="Times New Roman"/>
          <w:sz w:val="20"/>
          <w:szCs w:val="24"/>
        </w:rPr>
        <w:t>MK</w:t>
      </w:r>
      <w:r w:rsidRPr="000D70EA">
        <w:rPr>
          <w:rFonts w:cs="Times New Roman"/>
          <w:sz w:val="20"/>
          <w:szCs w:val="24"/>
        </w:rPr>
        <w:t xml:space="preserve"> 2017.gada 3.oktobra noteikumi Nr. 608 “Grozījumi Ministru kabineta 2009. gada 10. marta noteikumos Nr. 221 “Noteikumi par elektroenerģijas ražošanu un cenu noteikšanu, ražojot elektroenerģiju koģenerācijā””. Aplūkojams:</w:t>
      </w:r>
      <w:r w:rsidRPr="000D70EA">
        <w:rPr>
          <w:rFonts w:cs="Times New Roman"/>
          <w:color w:val="FF0000"/>
          <w:sz w:val="20"/>
          <w:szCs w:val="24"/>
        </w:rPr>
        <w:t xml:space="preserve"> </w:t>
      </w:r>
      <w:hyperlink r:id="rId8" w:history="1">
        <w:r w:rsidRPr="000D70EA">
          <w:rPr>
            <w:rFonts w:cs="Times New Roman"/>
            <w:sz w:val="20"/>
            <w:szCs w:val="24"/>
          </w:rPr>
          <w:t>https://likumi.lv/ta/id/294236-grozijumi-ministru-kabineta-2009-gada-10-marta-noteikumos-nr-221-noteikumi-par-elektroenergijas-razosanu-un-cenu-noteiksanu</w:t>
        </w:r>
      </w:hyperlink>
      <w:r w:rsidRPr="000D70EA">
        <w:rPr>
          <w:rFonts w:cs="Times New Roman"/>
          <w:color w:val="FF0000"/>
          <w:sz w:val="20"/>
          <w:szCs w:val="24"/>
        </w:rPr>
        <w:t xml:space="preserve"> </w:t>
      </w:r>
    </w:p>
  </w:footnote>
  <w:footnote w:id="13">
    <w:p w14:paraId="786646AC" w14:textId="77777777" w:rsidR="00EE1CF5" w:rsidRPr="000D70EA" w:rsidRDefault="00EE1CF5" w:rsidP="00EE1CF5">
      <w:pPr>
        <w:rPr>
          <w:rFonts w:cs="Times New Roman"/>
          <w:sz w:val="20"/>
          <w:szCs w:val="24"/>
        </w:rPr>
      </w:pPr>
      <w:r w:rsidRPr="00670B54">
        <w:rPr>
          <w:rStyle w:val="CommentTextChar"/>
          <w:rFonts w:cs="Times New Roman"/>
          <w:szCs w:val="24"/>
          <w:vertAlign w:val="superscript"/>
        </w:rPr>
        <w:footnoteRef/>
      </w:r>
      <w:r w:rsidRPr="00670B54">
        <w:rPr>
          <w:rFonts w:cs="Times New Roman"/>
          <w:sz w:val="20"/>
          <w:szCs w:val="24"/>
          <w:vertAlign w:val="superscript"/>
        </w:rPr>
        <w:t xml:space="preserve"> </w:t>
      </w:r>
      <w:r w:rsidRPr="000D70EA">
        <w:rPr>
          <w:rFonts w:cs="Times New Roman"/>
          <w:sz w:val="20"/>
          <w:szCs w:val="24"/>
        </w:rPr>
        <w:t xml:space="preserve">Aplūkojams: </w:t>
      </w:r>
      <w:hyperlink r:id="rId9" w:history="1">
        <w:r w:rsidRPr="000D70EA">
          <w:rPr>
            <w:rFonts w:cs="Times New Roman"/>
            <w:sz w:val="20"/>
            <w:szCs w:val="24"/>
          </w:rPr>
          <w:t>http://tap.mk.gov.lv/mk/tap/?pid=40441651</w:t>
        </w:r>
      </w:hyperlink>
    </w:p>
  </w:footnote>
  <w:footnote w:id="14">
    <w:p w14:paraId="06B2204F" w14:textId="77777777" w:rsidR="00EE1CF5" w:rsidRPr="000D70EA" w:rsidRDefault="00EE1CF5" w:rsidP="00EE1CF5">
      <w:pPr>
        <w:rPr>
          <w:rFonts w:cs="Times New Roman"/>
          <w:color w:val="000000"/>
          <w:sz w:val="20"/>
          <w:szCs w:val="24"/>
        </w:rPr>
      </w:pPr>
      <w:r w:rsidRPr="00D0793D">
        <w:rPr>
          <w:rStyle w:val="CommentTextChar"/>
          <w:rFonts w:cs="Times New Roman"/>
          <w:szCs w:val="24"/>
          <w:vertAlign w:val="superscript"/>
        </w:rPr>
        <w:footnoteRef/>
      </w:r>
      <w:r w:rsidRPr="000D70EA">
        <w:rPr>
          <w:rFonts w:cs="Times New Roman"/>
          <w:sz w:val="20"/>
          <w:szCs w:val="24"/>
        </w:rPr>
        <w:t xml:space="preserve"> </w:t>
      </w:r>
      <w:r w:rsidRPr="000D70EA">
        <w:rPr>
          <w:rFonts w:cs="Times New Roman"/>
          <w:color w:val="000000"/>
          <w:sz w:val="20"/>
          <w:szCs w:val="24"/>
        </w:rPr>
        <w:t xml:space="preserve">Aplūkojams: </w:t>
      </w:r>
      <w:hyperlink r:id="rId10" w:history="1">
        <w:r w:rsidRPr="000D70EA">
          <w:rPr>
            <w:rFonts w:cs="Times New Roman"/>
            <w:sz w:val="20"/>
            <w:szCs w:val="24"/>
          </w:rPr>
          <w:t>http://tap.mk.gov.lv/mk/tap/?pid=40453859</w:t>
        </w:r>
      </w:hyperlink>
      <w:r w:rsidRPr="000D70EA">
        <w:rPr>
          <w:rFonts w:cs="Times New Roman"/>
          <w:color w:val="000000"/>
          <w:sz w:val="20"/>
          <w:szCs w:val="24"/>
        </w:rPr>
        <w:t xml:space="preserve"> </w:t>
      </w:r>
    </w:p>
  </w:footnote>
  <w:footnote w:id="15">
    <w:p w14:paraId="7A8E38DC" w14:textId="77777777" w:rsidR="00EE1CF5" w:rsidRPr="003F5681" w:rsidRDefault="00EE1CF5" w:rsidP="00EE1CF5">
      <w:pPr>
        <w:rPr>
          <w:rFonts w:cs="Times New Roman"/>
          <w:color w:val="000000"/>
          <w:sz w:val="20"/>
          <w:szCs w:val="24"/>
        </w:rPr>
      </w:pPr>
      <w:r w:rsidRPr="003F5681">
        <w:rPr>
          <w:rFonts w:cs="Times New Roman"/>
          <w:color w:val="000000"/>
          <w:sz w:val="20"/>
          <w:szCs w:val="24"/>
          <w:vertAlign w:val="superscript"/>
        </w:rPr>
        <w:footnoteRef/>
      </w:r>
      <w:r w:rsidRPr="003F5681">
        <w:rPr>
          <w:rFonts w:cs="Times New Roman"/>
          <w:color w:val="000000"/>
          <w:sz w:val="20"/>
          <w:szCs w:val="24"/>
        </w:rPr>
        <w:t xml:space="preserve"> Pēc naudas plūsmas metodes</w:t>
      </w:r>
    </w:p>
  </w:footnote>
  <w:footnote w:id="16">
    <w:p w14:paraId="3D2838AC" w14:textId="77777777" w:rsidR="00EE1CF5" w:rsidRPr="000D70EA" w:rsidRDefault="00EE1CF5" w:rsidP="00EE1CF5">
      <w:pPr>
        <w:pStyle w:val="FootnoteText"/>
        <w:ind w:firstLine="0"/>
        <w:rPr>
          <w:rFonts w:ascii="Times New Roman" w:hAnsi="Times New Roman" w:cs="Times New Roman"/>
          <w:szCs w:val="24"/>
        </w:rPr>
      </w:pPr>
      <w:r w:rsidRPr="00F45C09">
        <w:rPr>
          <w:vertAlign w:val="superscript"/>
        </w:rPr>
        <w:footnoteRef/>
      </w:r>
      <w:r w:rsidRPr="00F45C09">
        <w:rPr>
          <w:rFonts w:ascii="Times New Roman" w:hAnsi="Times New Roman" w:cs="Times New Roman"/>
          <w:szCs w:val="24"/>
          <w:vertAlign w:val="superscript"/>
        </w:rPr>
        <w:t xml:space="preserve"> </w:t>
      </w:r>
      <w:r w:rsidRPr="00885B08">
        <w:rPr>
          <w:rFonts w:ascii="Times New Roman" w:hAnsi="Times New Roman" w:cs="Times New Roman"/>
          <w:szCs w:val="24"/>
        </w:rPr>
        <w:t>Sīkāka informācija par valsts atbalsta saskaņošanu atspoguļota konceptuālajā ziņojumā “Kompleksi pasākumi elektroenerģijas tirgus attīstībai”” (Ministru kabineta 2017 gada 22.septembra rīkojums Nr.530) )</w:t>
      </w:r>
    </w:p>
  </w:footnote>
  <w:footnote w:id="17">
    <w:p w14:paraId="4B12F5ED" w14:textId="77777777" w:rsidR="00EE1CF5" w:rsidRPr="009C220B" w:rsidRDefault="00EE1CF5" w:rsidP="00EE1CF5">
      <w:pPr>
        <w:pStyle w:val="FootnoteText"/>
        <w:rPr>
          <w:color w:val="0D0D0D" w:themeColor="text1" w:themeTint="F2"/>
        </w:rPr>
      </w:pPr>
      <w:r w:rsidRPr="009C220B">
        <w:rPr>
          <w:rStyle w:val="FootnoteReference"/>
          <w:color w:val="002060"/>
        </w:rPr>
        <w:footnoteRef/>
      </w:r>
      <w:r w:rsidRPr="009C220B">
        <w:rPr>
          <w:color w:val="002060"/>
        </w:rPr>
        <w:t xml:space="preserve"> </w:t>
      </w:r>
      <w:r w:rsidRPr="009C220B">
        <w:rPr>
          <w:rFonts w:ascii="Times New Roman" w:hAnsi="Times New Roman" w:cs="Times New Roman"/>
          <w:color w:val="002060"/>
          <w:szCs w:val="24"/>
        </w:rPr>
        <w:t>Aplūkojams</w:t>
      </w:r>
      <w:r w:rsidRPr="009C220B">
        <w:rPr>
          <w:rFonts w:ascii="Times New Roman" w:hAnsi="Times New Roman" w:cs="Times New Roman"/>
          <w:szCs w:val="24"/>
        </w:rPr>
        <w:t>: https://em.gov.lv/files/attachments/PWC_Zinojums.2018-07-18.pdf</w:t>
      </w:r>
    </w:p>
  </w:footnote>
  <w:footnote w:id="18">
    <w:p w14:paraId="31715DF7" w14:textId="77777777" w:rsidR="00EE1CF5" w:rsidRPr="000D70EA" w:rsidRDefault="00EE1CF5" w:rsidP="00EE1CF5">
      <w:pPr>
        <w:pStyle w:val="FootnoteText"/>
        <w:rPr>
          <w:rFonts w:ascii="Times New Roman" w:hAnsi="Times New Roman" w:cs="Times New Roman"/>
          <w:szCs w:val="24"/>
        </w:rPr>
      </w:pPr>
      <w:r w:rsidRPr="009C220B">
        <w:rPr>
          <w:rStyle w:val="FootnoteReference"/>
          <w:rFonts w:ascii="Times New Roman" w:hAnsi="Times New Roman" w:cs="Times New Roman"/>
          <w:color w:val="0D0D0D" w:themeColor="text1" w:themeTint="F2"/>
          <w:szCs w:val="24"/>
        </w:rPr>
        <w:footnoteRef/>
      </w:r>
      <w:r w:rsidRPr="009C220B">
        <w:rPr>
          <w:rFonts w:ascii="Times New Roman" w:hAnsi="Times New Roman" w:cs="Times New Roman"/>
          <w:color w:val="0D0D0D" w:themeColor="text1" w:themeTint="F2"/>
          <w:szCs w:val="24"/>
        </w:rPr>
        <w:t xml:space="preserve"> Saskaņā ar SPRK lēmumiem OIK </w:t>
      </w:r>
      <w:r>
        <w:rPr>
          <w:rFonts w:ascii="Times New Roman" w:hAnsi="Times New Roman" w:cs="Times New Roman"/>
          <w:color w:val="0D0D0D" w:themeColor="text1" w:themeTint="F2"/>
          <w:szCs w:val="24"/>
        </w:rPr>
        <w:t>AER</w:t>
      </w:r>
      <w:r w:rsidRPr="009C220B">
        <w:rPr>
          <w:rFonts w:ascii="Times New Roman" w:hAnsi="Times New Roman" w:cs="Times New Roman"/>
          <w:color w:val="0D0D0D" w:themeColor="text1" w:themeTint="F2"/>
          <w:szCs w:val="24"/>
        </w:rPr>
        <w:t xml:space="preserve"> daļa, sākot ar 01.04.2015. bija 10,08 EUR/MWh, sākot </w:t>
      </w:r>
      <w:r w:rsidRPr="000D70EA">
        <w:rPr>
          <w:rFonts w:ascii="Times New Roman" w:hAnsi="Times New Roman" w:cs="Times New Roman"/>
          <w:szCs w:val="24"/>
        </w:rPr>
        <w:t>ar 01.04.2016. – 10,54 EUR/MWh, sākot ar 01.04.2017. – 14,94 EUR/MWh, sākot ar 01.01.2018. – 10,29 EUR/MWh.</w:t>
      </w:r>
    </w:p>
  </w:footnote>
  <w:footnote w:id="19">
    <w:p w14:paraId="652E908A" w14:textId="77777777" w:rsidR="00EE1CF5" w:rsidRPr="005209D5" w:rsidRDefault="00EE1CF5" w:rsidP="00EE1CF5">
      <w:pPr>
        <w:pStyle w:val="FootnoteText"/>
        <w:rPr>
          <w:rFonts w:ascii="Times New Roman" w:hAnsi="Times New Roman" w:cs="Times New Roman"/>
        </w:rPr>
      </w:pPr>
      <w:r w:rsidRPr="005209D5">
        <w:rPr>
          <w:rStyle w:val="FootnoteReference"/>
          <w:rFonts w:ascii="Times New Roman" w:hAnsi="Times New Roman" w:cs="Times New Roman"/>
          <w:sz w:val="24"/>
        </w:rPr>
        <w:footnoteRef/>
      </w:r>
      <w:r w:rsidRPr="005209D5">
        <w:rPr>
          <w:rFonts w:ascii="Times New Roman" w:hAnsi="Times New Roman" w:cs="Times New Roman"/>
          <w:sz w:val="24"/>
        </w:rPr>
        <w:t xml:space="preserve"> Sīkāk par šo programmu skatīt sadaļā “Valsts pētījumu programma enerģētikā”</w:t>
      </w:r>
    </w:p>
  </w:footnote>
  <w:footnote w:id="20">
    <w:p w14:paraId="466BE6BC" w14:textId="77777777" w:rsidR="00EE1CF5" w:rsidRPr="000D70EA" w:rsidRDefault="00EE1CF5" w:rsidP="00EE1CF5">
      <w:pPr>
        <w:spacing w:before="120" w:after="120"/>
        <w:ind w:firstLine="851"/>
        <w:rPr>
          <w:rFonts w:cs="Times New Roman"/>
          <w:sz w:val="20"/>
          <w:szCs w:val="24"/>
        </w:rPr>
      </w:pPr>
      <w:r w:rsidRPr="00AE5413">
        <w:rPr>
          <w:rFonts w:cs="Times New Roman"/>
          <w:sz w:val="20"/>
          <w:szCs w:val="24"/>
          <w:vertAlign w:val="superscript"/>
        </w:rPr>
        <w:footnoteRef/>
      </w:r>
      <w:r w:rsidRPr="00AE5413">
        <w:rPr>
          <w:rFonts w:cs="Times New Roman"/>
          <w:sz w:val="20"/>
          <w:szCs w:val="24"/>
          <w:vertAlign w:val="superscript"/>
        </w:rPr>
        <w:t xml:space="preserve"> </w:t>
      </w:r>
      <w:r w:rsidRPr="000D70EA">
        <w:rPr>
          <w:rFonts w:cs="Times New Roman"/>
          <w:sz w:val="20"/>
          <w:szCs w:val="24"/>
        </w:rPr>
        <w:t>Saskaņā ar 2014. gada 7. oktobra MK rīkojumu Nr. 558 “Par valsts pētījumu programmām” līdz Valsts pētījumu programmu ietvaros viens no prioritārajiem virzieniem bija “Enerģētika”, tās ietvaros īstenojot programmu Energoefektīvi un oglekļa mazietilpīgi risinājumi drošai, ilgtspējīgai un klimata mainību mazinošai energoapgādei (LATENERGI),</w:t>
      </w:r>
    </w:p>
  </w:footnote>
  <w:footnote w:id="21">
    <w:p w14:paraId="347F83A7" w14:textId="77777777" w:rsidR="00EE1CF5" w:rsidRPr="000D70EA" w:rsidRDefault="00EE1CF5" w:rsidP="00EE1CF5">
      <w:pPr>
        <w:pStyle w:val="FootnoteText"/>
        <w:rPr>
          <w:rFonts w:ascii="Times New Roman" w:hAnsi="Times New Roman" w:cs="Times New Roman"/>
          <w:szCs w:val="24"/>
        </w:rPr>
      </w:pPr>
      <w:r w:rsidRPr="000D70EA">
        <w:rPr>
          <w:rStyle w:val="FootnoteReference"/>
          <w:rFonts w:ascii="Times New Roman" w:hAnsi="Times New Roman" w:cs="Times New Roman"/>
          <w:szCs w:val="24"/>
        </w:rPr>
        <w:footnoteRef/>
      </w:r>
      <w:r w:rsidRPr="000D70EA">
        <w:rPr>
          <w:rFonts w:ascii="Times New Roman" w:hAnsi="Times New Roman" w:cs="Times New Roman"/>
          <w:szCs w:val="24"/>
        </w:rPr>
        <w:t xml:space="preserve"> Stājās spēkā 2018. gada 12. jūlijā</w:t>
      </w:r>
    </w:p>
  </w:footnote>
  <w:footnote w:id="22">
    <w:p w14:paraId="1AEA70D7" w14:textId="77777777" w:rsidR="00EE1CF5" w:rsidRPr="000D70EA" w:rsidRDefault="00EE1CF5" w:rsidP="00EE1CF5">
      <w:pPr>
        <w:pStyle w:val="FootnoteText"/>
        <w:ind w:firstLine="0"/>
        <w:rPr>
          <w:rFonts w:ascii="Times New Roman" w:hAnsi="Times New Roman" w:cs="Times New Roman"/>
          <w:szCs w:val="24"/>
        </w:rPr>
      </w:pPr>
      <w:r w:rsidRPr="000D70EA">
        <w:rPr>
          <w:rStyle w:val="FootnoteReference"/>
          <w:rFonts w:ascii="Times New Roman" w:hAnsi="Times New Roman" w:cs="Times New Roman"/>
          <w:szCs w:val="24"/>
        </w:rPr>
        <w:footnoteRef/>
      </w:r>
      <w:r w:rsidRPr="000D70EA">
        <w:rPr>
          <w:rFonts w:ascii="Times New Roman" w:hAnsi="Times New Roman" w:cs="Times New Roman"/>
          <w:szCs w:val="24"/>
        </w:rPr>
        <w:t xml:space="preserve"> Satversmes tiesas 2011.gada 3. novembra sprieduma lietā nr. 2011-05-01 15.2.apakšpunkts un 2015.gada 3.jūlija sprieduma lietā Nr. 2014-12-01 21.3. punkts</w:t>
      </w:r>
    </w:p>
  </w:footnote>
  <w:footnote w:id="23">
    <w:p w14:paraId="2EF7B369" w14:textId="77777777" w:rsidR="00EE1CF5" w:rsidRDefault="00EE1CF5" w:rsidP="00EE1CF5">
      <w:pPr>
        <w:pStyle w:val="FootnoteText"/>
        <w:ind w:firstLine="0"/>
      </w:pPr>
      <w:r>
        <w:rPr>
          <w:rStyle w:val="FootnoteReference"/>
        </w:rPr>
        <w:footnoteRef/>
      </w:r>
      <w:r>
        <w:t xml:space="preserve"> </w:t>
      </w:r>
      <w:r w:rsidRPr="004E196D">
        <w:t>http://www.satv.tiesa.gov.lv/articles/satversmes-tiesas-tiesnesa-jana-neimana-priekslasijums-par-nodoklu-tiesibu-normu-konstitucionalitates-parbaudes-apjomu-divpusejas-tiksanas-laika-ar-slovenijas-konstitucionalas-tiesas-tiesnesiem-sloven/</w:t>
      </w:r>
    </w:p>
  </w:footnote>
  <w:footnote w:id="24">
    <w:p w14:paraId="6FAA8BAC" w14:textId="77777777" w:rsidR="00EE1CF5" w:rsidRPr="000D70EA" w:rsidRDefault="00EE1CF5" w:rsidP="00EE1CF5">
      <w:pPr>
        <w:rPr>
          <w:rFonts w:eastAsia="Times New Roman" w:cs="Times New Roman"/>
          <w:sz w:val="20"/>
          <w:szCs w:val="24"/>
        </w:rPr>
      </w:pPr>
      <w:r w:rsidRPr="000D70EA">
        <w:rPr>
          <w:rStyle w:val="CommentTextChar"/>
          <w:rFonts w:eastAsia="Times New Roman" w:cs="Times New Roman"/>
          <w:szCs w:val="24"/>
        </w:rPr>
        <w:footnoteRef/>
      </w:r>
      <w:r w:rsidRPr="000D70EA">
        <w:rPr>
          <w:rFonts w:eastAsia="Times New Roman" w:cs="Times New Roman"/>
          <w:sz w:val="20"/>
          <w:szCs w:val="24"/>
        </w:rPr>
        <w:t xml:space="preserve"> Eiropas Komisija (2014). Komisijas paziņojums. Pamatnostādnes par valsts atbalstu vides aizsardzībai un enerģētikai 2014.-2020. gadam (2014/C 200/01). OJ:C:2014:200, 28.06.2014, 1.-55.lpp. Aplūkojams: </w:t>
      </w:r>
      <w:hyperlink r:id="rId11" w:history="1">
        <w:r w:rsidRPr="000D70EA">
          <w:rPr>
            <w:rFonts w:eastAsia="Times New Roman" w:cs="Times New Roman"/>
            <w:sz w:val="20"/>
            <w:szCs w:val="24"/>
          </w:rPr>
          <w:t>https://eur-lex.europa.eu/legal-content/LV/TXT/?uri=CELEX%3A52014XC0628%2801%29</w:t>
        </w:r>
      </w:hyperlink>
      <w:r w:rsidRPr="000D70EA">
        <w:rPr>
          <w:rFonts w:eastAsia="Times New Roman" w:cs="Times New Roman"/>
          <w:sz w:val="20"/>
          <w:szCs w:val="24"/>
        </w:rPr>
        <w:t xml:space="preserve">. </w:t>
      </w:r>
    </w:p>
  </w:footnote>
  <w:footnote w:id="25">
    <w:p w14:paraId="7CBD3F17" w14:textId="77777777" w:rsidR="00EE1CF5" w:rsidRPr="000D70EA" w:rsidRDefault="00EE1CF5" w:rsidP="00EE1CF5">
      <w:pPr>
        <w:pStyle w:val="FootnoteText"/>
        <w:rPr>
          <w:rFonts w:ascii="Times New Roman" w:hAnsi="Times New Roman" w:cs="Times New Roman"/>
          <w:szCs w:val="24"/>
        </w:rPr>
      </w:pPr>
      <w:r w:rsidRPr="000D70EA">
        <w:rPr>
          <w:rStyle w:val="FootnoteReference"/>
          <w:rFonts w:ascii="Times New Roman" w:hAnsi="Times New Roman" w:cs="Times New Roman"/>
          <w:szCs w:val="24"/>
        </w:rPr>
        <w:footnoteRef/>
      </w:r>
      <w:r w:rsidRPr="000D70EA">
        <w:rPr>
          <w:rFonts w:ascii="Times New Roman" w:hAnsi="Times New Roman" w:cs="Times New Roman"/>
          <w:szCs w:val="24"/>
        </w:rPr>
        <w:t xml:space="preserve"> </w:t>
      </w:r>
      <w:r w:rsidRPr="000D70EA">
        <w:rPr>
          <w:rFonts w:ascii="Times New Roman" w:hAnsi="Times New Roman" w:cs="Times New Roman"/>
          <w:szCs w:val="24"/>
          <w:lang w:val="en-US"/>
        </w:rPr>
        <w:t xml:space="preserve">Eurobserv’er. </w:t>
      </w:r>
      <w:r w:rsidRPr="000D70EA">
        <w:rPr>
          <w:rFonts w:ascii="Times New Roman" w:hAnsi="Times New Roman" w:cs="Times New Roman"/>
          <w:i/>
          <w:szCs w:val="24"/>
          <w:lang w:val="en-US"/>
        </w:rPr>
        <w:t>The State of Renewable Energies in Europe – 2017 Edition</w:t>
      </w:r>
      <w:r w:rsidRPr="000D70EA">
        <w:rPr>
          <w:rFonts w:ascii="Times New Roman" w:hAnsi="Times New Roman" w:cs="Times New Roman"/>
          <w:szCs w:val="24"/>
          <w:lang w:val="en-US"/>
        </w:rPr>
        <w:t>,</w:t>
      </w:r>
      <w:r w:rsidRPr="000D70EA">
        <w:rPr>
          <w:rFonts w:ascii="Times New Roman" w:hAnsi="Times New Roman" w:cs="Times New Roman"/>
          <w:szCs w:val="24"/>
        </w:rPr>
        <w:t xml:space="preserve"> (Iegūts 23.08.2018. no </w:t>
      </w:r>
      <w:hyperlink r:id="rId12" w:history="1">
        <w:r w:rsidRPr="000D70EA">
          <w:rPr>
            <w:rStyle w:val="Hyperlink"/>
            <w:rFonts w:ascii="Times New Roman" w:hAnsi="Times New Roman" w:cs="Times New Roman"/>
            <w:szCs w:val="24"/>
          </w:rPr>
          <w:t>file:///C:/Users/LoginaB/Downloads/EurObservER-Annual-Overview-2017-EN%20(1).pdf</w:t>
        </w:r>
      </w:hyperlink>
      <w:r w:rsidRPr="000D70EA">
        <w:rPr>
          <w:rFonts w:ascii="Times New Roman" w:hAnsi="Times New Roman" w:cs="Times New Roman"/>
          <w:szCs w:val="24"/>
        </w:rPr>
        <w:t>)</w:t>
      </w:r>
    </w:p>
  </w:footnote>
  <w:footnote w:id="26">
    <w:p w14:paraId="032A4E12" w14:textId="77777777" w:rsidR="00EE1CF5" w:rsidRPr="000D70EA" w:rsidRDefault="00EE1CF5" w:rsidP="00EE1CF5">
      <w:pPr>
        <w:pStyle w:val="FootnoteText"/>
        <w:rPr>
          <w:rFonts w:ascii="Times New Roman" w:hAnsi="Times New Roman" w:cs="Times New Roman"/>
          <w:szCs w:val="24"/>
        </w:rPr>
      </w:pPr>
      <w:r w:rsidRPr="000D70EA">
        <w:rPr>
          <w:rStyle w:val="FootnoteReference"/>
          <w:rFonts w:ascii="Times New Roman" w:hAnsi="Times New Roman" w:cs="Times New Roman"/>
          <w:szCs w:val="24"/>
        </w:rPr>
        <w:footnoteRef/>
      </w:r>
      <w:r w:rsidRPr="000D70EA">
        <w:rPr>
          <w:rFonts w:ascii="Times New Roman" w:hAnsi="Times New Roman" w:cs="Times New Roman"/>
          <w:szCs w:val="24"/>
        </w:rPr>
        <w:t xml:space="preserve"> </w:t>
      </w:r>
      <w:r w:rsidRPr="000D70EA">
        <w:rPr>
          <w:rFonts w:ascii="Times New Roman" w:hAnsi="Times New Roman" w:cs="Times New Roman"/>
          <w:i/>
          <w:szCs w:val="24"/>
          <w:lang w:val="en-US"/>
        </w:rPr>
        <w:t xml:space="preserve">The International Renewable Energy Agency, </w:t>
      </w:r>
      <w:r w:rsidRPr="000D70EA">
        <w:rPr>
          <w:rFonts w:ascii="Times New Roman" w:hAnsi="Times New Roman" w:cs="Times New Roman"/>
          <w:szCs w:val="24"/>
        </w:rPr>
        <w:t>https://www.euractiv.com/wp-content/uploads/sites/2/2018/01/IRENA_Renewable_Power_Generation_Costs_embargo_light.pdf</w:t>
      </w:r>
    </w:p>
  </w:footnote>
  <w:footnote w:id="27">
    <w:p w14:paraId="0901ADA2" w14:textId="77777777" w:rsidR="00EE1CF5" w:rsidRPr="000D70EA" w:rsidRDefault="00EE1CF5" w:rsidP="00EE1CF5">
      <w:pPr>
        <w:pStyle w:val="FootnoteText"/>
        <w:rPr>
          <w:rFonts w:ascii="Times New Roman" w:hAnsi="Times New Roman" w:cs="Times New Roman"/>
          <w:szCs w:val="24"/>
        </w:rPr>
      </w:pPr>
      <w:r w:rsidRPr="000D70EA">
        <w:rPr>
          <w:rStyle w:val="FootnoteReference"/>
          <w:rFonts w:ascii="Times New Roman" w:hAnsi="Times New Roman" w:cs="Times New Roman"/>
          <w:szCs w:val="24"/>
        </w:rPr>
        <w:footnoteRef/>
      </w:r>
      <w:r w:rsidRPr="000D70EA">
        <w:rPr>
          <w:rFonts w:ascii="Times New Roman" w:hAnsi="Times New Roman" w:cs="Times New Roman"/>
          <w:szCs w:val="24"/>
        </w:rPr>
        <w:t xml:space="preserve"> LIZARD, </w:t>
      </w:r>
      <w:r w:rsidRPr="000D70EA">
        <w:rPr>
          <w:rFonts w:ascii="Times New Roman" w:hAnsi="Times New Roman" w:cs="Times New Roman"/>
          <w:i/>
          <w:szCs w:val="24"/>
          <w:lang w:val="en-US"/>
        </w:rPr>
        <w:t>Lizard’s Levelized Costs of Energy Analyses</w:t>
      </w:r>
      <w:r w:rsidRPr="000D70EA">
        <w:rPr>
          <w:rFonts w:ascii="Times New Roman" w:hAnsi="Times New Roman" w:cs="Times New Roman"/>
          <w:szCs w:val="24"/>
        </w:rPr>
        <w:t xml:space="preserve">, (Iegūts 23.08.2018. no </w:t>
      </w:r>
      <w:hyperlink r:id="rId13" w:history="1">
        <w:r w:rsidRPr="000D70EA">
          <w:rPr>
            <w:rStyle w:val="Hyperlink"/>
            <w:rFonts w:ascii="Times New Roman" w:hAnsi="Times New Roman" w:cs="Times New Roman"/>
            <w:szCs w:val="24"/>
          </w:rPr>
          <w:t>https://www.lazard.com/perspective/levelized-cost-of-energy-2017/</w:t>
        </w:r>
      </w:hyperlink>
      <w:r w:rsidRPr="000D70EA">
        <w:rPr>
          <w:rFonts w:ascii="Times New Roman" w:hAnsi="Times New Roman" w:cs="Times New Roman"/>
          <w:szCs w:val="24"/>
        </w:rPr>
        <w:t>)</w:t>
      </w:r>
    </w:p>
  </w:footnote>
  <w:footnote w:id="28">
    <w:p w14:paraId="206ECFF6" w14:textId="77777777" w:rsidR="00EE1CF5" w:rsidRPr="000D70EA" w:rsidRDefault="00EE1CF5" w:rsidP="00EE1CF5">
      <w:pPr>
        <w:pStyle w:val="FootnoteText"/>
        <w:rPr>
          <w:rFonts w:ascii="Times New Roman" w:hAnsi="Times New Roman" w:cs="Times New Roman"/>
          <w:szCs w:val="24"/>
          <w:lang w:val="en-US"/>
        </w:rPr>
      </w:pPr>
      <w:r w:rsidRPr="000D70EA">
        <w:rPr>
          <w:rStyle w:val="FootnoteReference"/>
          <w:rFonts w:ascii="Times New Roman" w:hAnsi="Times New Roman" w:cs="Times New Roman"/>
          <w:szCs w:val="24"/>
        </w:rPr>
        <w:footnoteRef/>
      </w:r>
      <w:r w:rsidRPr="000D70EA">
        <w:rPr>
          <w:rFonts w:ascii="Times New Roman" w:hAnsi="Times New Roman" w:cs="Times New Roman"/>
          <w:szCs w:val="24"/>
        </w:rPr>
        <w:t xml:space="preserve"> </w:t>
      </w:r>
      <w:r w:rsidRPr="000D70EA">
        <w:rPr>
          <w:rFonts w:ascii="Times New Roman" w:hAnsi="Times New Roman" w:cs="Times New Roman"/>
          <w:szCs w:val="24"/>
          <w:lang w:val="en-US"/>
        </w:rPr>
        <w:t xml:space="preserve">National Commission for Energy and Prices, </w:t>
      </w:r>
      <w:r w:rsidRPr="000D70EA">
        <w:rPr>
          <w:rFonts w:ascii="Times New Roman" w:hAnsi="Times New Roman" w:cs="Times New Roman"/>
          <w:i/>
          <w:szCs w:val="24"/>
          <w:lang w:val="en-US"/>
        </w:rPr>
        <w:t>Auction</w:t>
      </w:r>
      <w:r w:rsidRPr="000D70EA">
        <w:rPr>
          <w:rFonts w:ascii="Times New Roman" w:hAnsi="Times New Roman" w:cs="Times New Roman"/>
          <w:szCs w:val="24"/>
          <w:lang w:val="en-US"/>
        </w:rPr>
        <w:t xml:space="preserve">, (Iegūts 27.08.2018. no </w:t>
      </w:r>
      <w:hyperlink r:id="rId14" w:history="1">
        <w:r w:rsidRPr="000D70EA">
          <w:rPr>
            <w:rStyle w:val="Hyperlink"/>
            <w:rFonts w:ascii="Times New Roman" w:hAnsi="Times New Roman" w:cs="Times New Roman"/>
            <w:szCs w:val="24"/>
            <w:lang w:val="en-US"/>
          </w:rPr>
          <w:t>https://www.vkekk.lt/en/Pages/auctions-.aspx</w:t>
        </w:r>
      </w:hyperlink>
      <w:r w:rsidRPr="000D70EA">
        <w:rPr>
          <w:rFonts w:ascii="Times New Roman" w:hAnsi="Times New Roman" w:cs="Times New Roman"/>
          <w:szCs w:val="24"/>
          <w:lang w:val="en-US"/>
        </w:rPr>
        <w:t xml:space="preserve">) </w:t>
      </w:r>
    </w:p>
  </w:footnote>
  <w:footnote w:id="29">
    <w:p w14:paraId="562CCC00" w14:textId="77777777" w:rsidR="00EE1CF5" w:rsidRPr="000D70EA" w:rsidRDefault="00EE1CF5" w:rsidP="00EE1CF5">
      <w:pPr>
        <w:pStyle w:val="FootnoteText"/>
        <w:shd w:val="clear" w:color="auto" w:fill="FFFFFF" w:themeFill="background1"/>
        <w:rPr>
          <w:rFonts w:ascii="Times New Roman" w:hAnsi="Times New Roman" w:cs="Times New Roman"/>
          <w:szCs w:val="24"/>
          <w:lang w:val="en-US"/>
        </w:rPr>
      </w:pPr>
      <w:r w:rsidRPr="000D70EA">
        <w:rPr>
          <w:rStyle w:val="FootnoteReference"/>
          <w:rFonts w:ascii="Times New Roman" w:hAnsi="Times New Roman" w:cs="Times New Roman"/>
          <w:szCs w:val="24"/>
          <w:lang w:val="en-US"/>
        </w:rPr>
        <w:footnoteRef/>
      </w:r>
      <w:r w:rsidRPr="000D70EA">
        <w:rPr>
          <w:rFonts w:ascii="Times New Roman" w:hAnsi="Times New Roman" w:cs="Times New Roman"/>
          <w:szCs w:val="24"/>
          <w:lang w:val="en-US"/>
        </w:rPr>
        <w:t xml:space="preserve"> ICIS Power Perspective: Lithuania turns to feed-in premium, 250MW technology-neutral RES auctions, </w:t>
      </w:r>
      <w:hyperlink r:id="rId15" w:history="1">
        <w:r w:rsidRPr="000D70EA">
          <w:rPr>
            <w:rStyle w:val="Hyperlink"/>
            <w:rFonts w:ascii="Times New Roman" w:hAnsi="Times New Roman" w:cs="Times New Roman"/>
            <w:szCs w:val="24"/>
            <w:lang w:val="en-US"/>
          </w:rPr>
          <w:t>https://www.icis.com/resources/news/2018/04/16/10212065/icis-power-perspective-lithuania-turns-to-feed-in-premium-250mw-technology-neutral-res-auctions/</w:t>
        </w:r>
      </w:hyperlink>
      <w:r w:rsidRPr="000D70EA">
        <w:rPr>
          <w:rFonts w:ascii="Times New Roman" w:hAnsi="Times New Roman" w:cs="Times New Roman"/>
          <w:szCs w:val="24"/>
          <w:lang w:val="en-US"/>
        </w:rPr>
        <w:t xml:space="preserve">  </w:t>
      </w:r>
    </w:p>
  </w:footnote>
  <w:footnote w:id="30">
    <w:p w14:paraId="0F9AFD13" w14:textId="77777777" w:rsidR="00EE1CF5" w:rsidRPr="000D70EA" w:rsidRDefault="00EE1CF5" w:rsidP="00EE1CF5">
      <w:pPr>
        <w:pStyle w:val="FootnoteText"/>
        <w:rPr>
          <w:rFonts w:ascii="Times New Roman" w:hAnsi="Times New Roman" w:cs="Times New Roman"/>
          <w:szCs w:val="24"/>
          <w:lang w:val="en-US"/>
        </w:rPr>
      </w:pPr>
      <w:r w:rsidRPr="000D70EA">
        <w:rPr>
          <w:rStyle w:val="FootnoteReference"/>
          <w:rFonts w:ascii="Times New Roman" w:hAnsi="Times New Roman" w:cs="Times New Roman"/>
          <w:szCs w:val="24"/>
        </w:rPr>
        <w:footnoteRef/>
      </w:r>
      <w:r w:rsidRPr="000D70EA">
        <w:rPr>
          <w:rFonts w:ascii="Times New Roman" w:hAnsi="Times New Roman" w:cs="Times New Roman"/>
          <w:szCs w:val="24"/>
        </w:rPr>
        <w:t xml:space="preserve"> </w:t>
      </w:r>
      <w:r w:rsidRPr="000D70EA">
        <w:rPr>
          <w:rFonts w:ascii="Times New Roman" w:hAnsi="Times New Roman" w:cs="Times New Roman"/>
          <w:szCs w:val="24"/>
          <w:lang w:val="en-US"/>
        </w:rPr>
        <w:t>European Commission (02.12.2017). State Aid SA.47354 (2017/NN) – Estonia Amendments to Estonian RES and CHP support scheme. Case SA.47354 (2017/NN). OJ:C: 2017:121, 15.12.2017.</w:t>
      </w:r>
    </w:p>
  </w:footnote>
  <w:footnote w:id="31">
    <w:p w14:paraId="47EB6E42" w14:textId="77777777" w:rsidR="00EE1CF5" w:rsidRPr="000D70EA" w:rsidRDefault="00EE1CF5" w:rsidP="00EE1CF5">
      <w:pPr>
        <w:rPr>
          <w:rFonts w:cs="Times New Roman"/>
          <w:sz w:val="20"/>
          <w:szCs w:val="24"/>
        </w:rPr>
      </w:pPr>
      <w:r w:rsidRPr="000D70EA">
        <w:rPr>
          <w:rStyle w:val="CommentTextChar"/>
          <w:rFonts w:cs="Times New Roman"/>
          <w:szCs w:val="24"/>
        </w:rPr>
        <w:footnoteRef/>
      </w:r>
      <w:r w:rsidRPr="000D70EA">
        <w:rPr>
          <w:rFonts w:cs="Times New Roman"/>
          <w:sz w:val="20"/>
          <w:szCs w:val="24"/>
        </w:rPr>
        <w:t xml:space="preserve"> Satversmes tiesas 2011.gada 3. novembra sprieduma lietā nr. 2011-05-01 15.2.apakšpunkts un 2015.gada 3.jūlija sprieduma lietā Nr. 2014-12-01 21.3. punkts</w:t>
      </w:r>
    </w:p>
  </w:footnote>
  <w:footnote w:id="32">
    <w:p w14:paraId="2DF1C833" w14:textId="77777777" w:rsidR="00EE1CF5" w:rsidRPr="00076396" w:rsidRDefault="00EE1CF5" w:rsidP="00EE1CF5">
      <w:pPr>
        <w:pStyle w:val="FootnoteText"/>
        <w:ind w:firstLine="0"/>
        <w:rPr>
          <w:rFonts w:ascii="Times New Roman" w:hAnsi="Times New Roman" w:cs="Times New Roman"/>
        </w:rPr>
      </w:pPr>
      <w:r w:rsidRPr="00076396">
        <w:rPr>
          <w:rStyle w:val="FootnoteReference"/>
          <w:rFonts w:ascii="Times New Roman" w:hAnsi="Times New Roman" w:cs="Times New Roman"/>
        </w:rPr>
        <w:footnoteRef/>
      </w:r>
      <w:r w:rsidRPr="00076396">
        <w:rPr>
          <w:rFonts w:ascii="Times New Roman" w:hAnsi="Times New Roman" w:cs="Times New Roman"/>
        </w:rPr>
        <w:t xml:space="preserve"> Eiropas Komisija (2008). Kopienas Pamatnostādnes par valsts atbalstu vides aizsardzībai. Publicēts: Oficiālais Vēstnesis, C 82, 01.04.2008, 1.-33.lpp.</w:t>
      </w:r>
    </w:p>
  </w:footnote>
  <w:footnote w:id="33">
    <w:p w14:paraId="2F9A076C" w14:textId="77777777" w:rsidR="00EE1CF5" w:rsidRDefault="00EE1CF5" w:rsidP="00EE1CF5">
      <w:pPr>
        <w:pStyle w:val="FootnoteText"/>
        <w:ind w:firstLine="0"/>
      </w:pPr>
      <w:r w:rsidRPr="00076396">
        <w:rPr>
          <w:rStyle w:val="FootnoteReference"/>
          <w:rFonts w:ascii="Times New Roman" w:hAnsi="Times New Roman" w:cs="Times New Roman"/>
        </w:rPr>
        <w:footnoteRef/>
      </w:r>
      <w:r w:rsidRPr="00076396">
        <w:rPr>
          <w:rFonts w:ascii="Times New Roman" w:hAnsi="Times New Roman" w:cs="Times New Roman"/>
        </w:rPr>
        <w:t xml:space="preserve"> Eiropas Komisija (2014). Komisijas paziņojums. Pamatnostādnes par valsts atbalstu vides aizsardzībai un enerģētikai 2014</w:t>
      </w:r>
      <w:r w:rsidRPr="002F446E">
        <w:t>.-2020</w:t>
      </w:r>
      <w:r>
        <w:t>. gada</w:t>
      </w:r>
      <w:r w:rsidRPr="002F446E">
        <w:t>m (2014/C 200/01). OJ:C:2014:200, 28.06.2014, 1.-55.lpp.</w:t>
      </w:r>
    </w:p>
  </w:footnote>
  <w:footnote w:id="34">
    <w:p w14:paraId="431B8B3B" w14:textId="77777777" w:rsidR="00EE1CF5" w:rsidRPr="000D70EA" w:rsidRDefault="00EE1CF5" w:rsidP="00EE1CF5">
      <w:pPr>
        <w:rPr>
          <w:rFonts w:cs="Times New Roman"/>
          <w:sz w:val="20"/>
          <w:szCs w:val="24"/>
        </w:rPr>
      </w:pPr>
      <w:r w:rsidRPr="000A0112">
        <w:rPr>
          <w:rStyle w:val="CommentTextChar"/>
          <w:rFonts w:cs="Times New Roman"/>
          <w:szCs w:val="24"/>
          <w:vertAlign w:val="superscript"/>
        </w:rPr>
        <w:footnoteRef/>
      </w:r>
      <w:r w:rsidRPr="000D70EA">
        <w:rPr>
          <w:rFonts w:cs="Times New Roman"/>
          <w:sz w:val="20"/>
          <w:szCs w:val="24"/>
        </w:rPr>
        <w:t xml:space="preserve"> Norādītas stacijas, kurām 2017.gadā ir bijušas spēkā tiesības saņemt atbalstu OI ietvaros vai garantētās maksas veidā</w:t>
      </w:r>
    </w:p>
  </w:footnote>
  <w:footnote w:id="35">
    <w:p w14:paraId="12B93DD6" w14:textId="77777777" w:rsidR="00EE1CF5" w:rsidRPr="000D70EA" w:rsidRDefault="00EE1CF5" w:rsidP="00EE1CF5">
      <w:pPr>
        <w:rPr>
          <w:rFonts w:cs="Times New Roman"/>
          <w:sz w:val="20"/>
          <w:szCs w:val="24"/>
        </w:rPr>
      </w:pPr>
      <w:r w:rsidRPr="000D70EA">
        <w:rPr>
          <w:rStyle w:val="CommentTextChar"/>
          <w:rFonts w:cs="Times New Roman"/>
          <w:szCs w:val="24"/>
          <w:vertAlign w:val="superscript"/>
        </w:rPr>
        <w:footnoteRef/>
      </w:r>
      <w:r w:rsidRPr="000D70EA">
        <w:rPr>
          <w:rFonts w:cs="Times New Roman"/>
          <w:sz w:val="20"/>
          <w:szCs w:val="24"/>
        </w:rPr>
        <w:t>Norādītas visas stacijas, no kurām daļai OI tiesības uz šo brīdi var nebūt spēkā</w:t>
      </w:r>
    </w:p>
  </w:footnote>
  <w:footnote w:id="36">
    <w:p w14:paraId="678607B1" w14:textId="77777777" w:rsidR="00EE1CF5" w:rsidRPr="000D70EA" w:rsidRDefault="00EE1CF5" w:rsidP="00EE1CF5">
      <w:pPr>
        <w:rPr>
          <w:rFonts w:eastAsia="Times New Roman" w:cs="Times New Roman"/>
          <w:sz w:val="20"/>
          <w:szCs w:val="24"/>
        </w:rPr>
      </w:pPr>
      <w:r w:rsidRPr="000D70EA">
        <w:rPr>
          <w:rFonts w:eastAsia="Times New Roman" w:cs="Times New Roman"/>
          <w:sz w:val="20"/>
          <w:szCs w:val="24"/>
          <w:vertAlign w:val="superscript"/>
        </w:rPr>
        <w:footnoteRef/>
      </w:r>
      <w:r w:rsidRPr="000D70EA">
        <w:rPr>
          <w:rFonts w:cs="Times New Roman"/>
          <w:sz w:val="20"/>
          <w:szCs w:val="24"/>
        </w:rPr>
        <w:t xml:space="preserve"> Aplūkojams: </w:t>
      </w:r>
      <w:hyperlink r:id="rId16" w:history="1">
        <w:r w:rsidRPr="000D70EA">
          <w:rPr>
            <w:rFonts w:cs="Times New Roman"/>
            <w:sz w:val="20"/>
            <w:szCs w:val="24"/>
          </w:rPr>
          <w:t>https://likumi.lv/doc.php?id=49833</w:t>
        </w:r>
      </w:hyperlink>
    </w:p>
  </w:footnote>
  <w:footnote w:id="37">
    <w:p w14:paraId="1BE2000C" w14:textId="77777777" w:rsidR="00EE1CF5" w:rsidRPr="000D70EA" w:rsidRDefault="00EE1CF5" w:rsidP="00EE1CF5">
      <w:pPr>
        <w:jc w:val="left"/>
        <w:rPr>
          <w:rFonts w:eastAsia="Times New Roman" w:cs="Times New Roman"/>
          <w:sz w:val="20"/>
          <w:szCs w:val="24"/>
        </w:rPr>
      </w:pPr>
      <w:r w:rsidRPr="000D70EA">
        <w:rPr>
          <w:rStyle w:val="CommentTextChar"/>
          <w:rFonts w:eastAsia="Times New Roman" w:cs="Times New Roman"/>
          <w:szCs w:val="24"/>
        </w:rPr>
        <w:footnoteRef/>
      </w:r>
      <w:r w:rsidRPr="000D70EA">
        <w:rPr>
          <w:rFonts w:eastAsia="Times New Roman" w:cs="Times New Roman"/>
          <w:sz w:val="20"/>
          <w:szCs w:val="24"/>
        </w:rPr>
        <w:t xml:space="preserve"> LOSP prezentācija OIK darba grupas 14.06.2018 sēdē. </w:t>
      </w:r>
    </w:p>
  </w:footnote>
  <w:footnote w:id="38">
    <w:p w14:paraId="482891AB" w14:textId="77777777" w:rsidR="00EE1CF5" w:rsidRPr="000D70EA" w:rsidRDefault="00EE1CF5" w:rsidP="00EE1CF5">
      <w:pPr>
        <w:rPr>
          <w:rFonts w:eastAsia="Times New Roman" w:cs="Times New Roman"/>
          <w:sz w:val="20"/>
          <w:szCs w:val="24"/>
        </w:rPr>
      </w:pPr>
      <w:r w:rsidRPr="000D70EA">
        <w:rPr>
          <w:rStyle w:val="CommentTextChar"/>
          <w:rFonts w:eastAsia="Times New Roman" w:cs="Times New Roman"/>
          <w:szCs w:val="24"/>
        </w:rPr>
        <w:footnoteRef/>
      </w:r>
      <w:r w:rsidRPr="000D70EA">
        <w:rPr>
          <w:rFonts w:eastAsia="Times New Roman" w:cs="Times New Roman"/>
          <w:sz w:val="20"/>
          <w:szCs w:val="24"/>
        </w:rPr>
        <w:t xml:space="preserve"> Eiropas Parlamenta un Padomes 2008. gada 19. novembra Direktīva 2008/98/EK par atkritumiem un par dažu direktīvu atcelšanu. Aplūkojama: </w:t>
      </w:r>
      <w:hyperlink r:id="rId17" w:history="1">
        <w:r w:rsidRPr="000D70EA">
          <w:rPr>
            <w:rFonts w:eastAsia="Times New Roman" w:cs="Times New Roman"/>
            <w:sz w:val="20"/>
            <w:szCs w:val="24"/>
          </w:rPr>
          <w:t>https://eur-lex.europa.eu/legal-content/LV/TXT/?uri=celex%3A32008L0098</w:t>
        </w:r>
      </w:hyperlink>
    </w:p>
  </w:footnote>
  <w:footnote w:id="39">
    <w:p w14:paraId="576927A2" w14:textId="77777777" w:rsidR="00EE1CF5" w:rsidRPr="000D70EA" w:rsidRDefault="00EE1CF5" w:rsidP="00EE1CF5">
      <w:pPr>
        <w:rPr>
          <w:rFonts w:eastAsia="Times New Roman" w:cs="Times New Roman"/>
          <w:sz w:val="20"/>
          <w:szCs w:val="24"/>
          <w:lang w:val="en-US"/>
        </w:rPr>
      </w:pPr>
      <w:r w:rsidRPr="000D70EA">
        <w:rPr>
          <w:rStyle w:val="CommentTextChar"/>
          <w:rFonts w:eastAsia="Times New Roman" w:cs="Times New Roman"/>
          <w:szCs w:val="24"/>
        </w:rPr>
        <w:footnoteRef/>
      </w:r>
      <w:r w:rsidRPr="000D70EA">
        <w:rPr>
          <w:rFonts w:eastAsia="Times New Roman" w:cs="Times New Roman"/>
          <w:sz w:val="20"/>
          <w:szCs w:val="24"/>
        </w:rPr>
        <w:t xml:space="preserve"> </w:t>
      </w:r>
      <w:r w:rsidRPr="000D70EA">
        <w:rPr>
          <w:rFonts w:eastAsia="Times New Roman" w:cs="Times New Roman"/>
          <w:sz w:val="20"/>
          <w:szCs w:val="24"/>
          <w:lang w:val="en-US"/>
        </w:rPr>
        <w:t xml:space="preserve">State Aid SA.46013 (2017/N) – Belgium Green electricity certificates and CHP certificates in Flanders. Aplūkojams: </w:t>
      </w:r>
      <w:hyperlink r:id="rId18" w:history="1">
        <w:r w:rsidRPr="000D70EA">
          <w:rPr>
            <w:rFonts w:eastAsia="Times New Roman" w:cs="Times New Roman"/>
            <w:sz w:val="20"/>
            <w:szCs w:val="24"/>
            <w:lang w:val="en-US"/>
          </w:rPr>
          <w:t>http://ec.europa.eu/competition/elojade/isef/case_details.cfm?proc_code=3_SA_46013</w:t>
        </w:r>
      </w:hyperlink>
    </w:p>
  </w:footnote>
  <w:footnote w:id="40">
    <w:p w14:paraId="78225BDF" w14:textId="77777777" w:rsidR="00EE1CF5" w:rsidRPr="000D70EA" w:rsidRDefault="00EE1CF5" w:rsidP="00EE1CF5">
      <w:pPr>
        <w:rPr>
          <w:rFonts w:eastAsia="Times New Roman" w:cs="Times New Roman"/>
          <w:sz w:val="20"/>
          <w:szCs w:val="24"/>
        </w:rPr>
      </w:pPr>
      <w:r w:rsidRPr="000D70EA">
        <w:rPr>
          <w:rStyle w:val="CommentTextChar"/>
          <w:rFonts w:eastAsia="Times New Roman" w:cs="Times New Roman"/>
          <w:szCs w:val="24"/>
        </w:rPr>
        <w:footnoteRef/>
      </w:r>
      <w:r w:rsidRPr="000D70EA">
        <w:rPr>
          <w:rFonts w:eastAsia="Times New Roman" w:cs="Times New Roman"/>
          <w:sz w:val="20"/>
          <w:szCs w:val="24"/>
        </w:rPr>
        <w:t xml:space="preserve"> </w:t>
      </w:r>
      <w:r w:rsidRPr="000D70EA">
        <w:rPr>
          <w:rFonts w:eastAsia="Times New Roman" w:cs="Times New Roman"/>
          <w:sz w:val="20"/>
          <w:szCs w:val="24"/>
          <w:lang w:val="en-US"/>
        </w:rPr>
        <w:t xml:space="preserve">State Aid SA. 37345 (2015/NN) – Poland, Polish certificates of origin system to support renewables and reduction of burdens arising from the renewables certificate obligation for energy intensive users. Aplūkojams: </w:t>
      </w:r>
      <w:hyperlink r:id="rId19" w:history="1">
        <w:r w:rsidRPr="000D70EA">
          <w:rPr>
            <w:rFonts w:eastAsia="Times New Roman" w:cs="Times New Roman"/>
            <w:sz w:val="20"/>
            <w:szCs w:val="24"/>
            <w:lang w:val="en-US"/>
          </w:rPr>
          <w:t>http://ec.europa.eu/competition/elojade/isef/case_details.cfm?proc_code=3_SA_37345</w:t>
        </w:r>
      </w:hyperlink>
    </w:p>
  </w:footnote>
  <w:footnote w:id="41">
    <w:p w14:paraId="592B7B09" w14:textId="77777777" w:rsidR="00EE1CF5" w:rsidRPr="000D70EA" w:rsidRDefault="00EE1CF5" w:rsidP="00EE1CF5">
      <w:pPr>
        <w:rPr>
          <w:rFonts w:eastAsia="Times New Roman" w:cs="Times New Roman"/>
          <w:sz w:val="20"/>
          <w:szCs w:val="24"/>
        </w:rPr>
      </w:pPr>
      <w:r w:rsidRPr="000D70EA">
        <w:rPr>
          <w:rStyle w:val="CommentTextChar"/>
          <w:rFonts w:eastAsia="Times New Roman" w:cs="Times New Roman"/>
          <w:szCs w:val="24"/>
        </w:rPr>
        <w:footnoteRef/>
      </w:r>
      <w:r w:rsidRPr="000D70EA">
        <w:rPr>
          <w:rFonts w:eastAsia="Times New Roman" w:cs="Times New Roman"/>
          <w:sz w:val="20"/>
          <w:szCs w:val="24"/>
        </w:rPr>
        <w:t xml:space="preserve"> Komisijas paziņojums Eiropas Parlamentam un Padomei „Enerģija no atjaunojamiem energoresursiem. Virzība uz 2020. gada mērķi” 2011. gada 31. janvāris. Aplūkojams: </w:t>
      </w:r>
      <w:hyperlink r:id="rId20" w:history="1">
        <w:r w:rsidRPr="000D70EA">
          <w:rPr>
            <w:rFonts w:eastAsia="Times New Roman" w:cs="Times New Roman"/>
            <w:sz w:val="20"/>
            <w:szCs w:val="24"/>
          </w:rPr>
          <w:t>https://eur-lex.europa.eu/legal-content/LV/TXT/?uri=CELEX%3A52011DC0031</w:t>
        </w:r>
      </w:hyperlink>
    </w:p>
  </w:footnote>
  <w:footnote w:id="42">
    <w:p w14:paraId="741C0060" w14:textId="77777777" w:rsidR="00EE1CF5" w:rsidRPr="000D70EA" w:rsidRDefault="00EE1CF5" w:rsidP="00EE1CF5">
      <w:pPr>
        <w:rPr>
          <w:rFonts w:eastAsia="Times New Roman" w:cs="Times New Roman"/>
          <w:sz w:val="20"/>
          <w:szCs w:val="24"/>
        </w:rPr>
      </w:pPr>
      <w:r w:rsidRPr="000D70EA">
        <w:rPr>
          <w:rStyle w:val="CommentTextChar"/>
          <w:rFonts w:eastAsia="Times New Roman" w:cs="Times New Roman"/>
          <w:szCs w:val="24"/>
        </w:rPr>
        <w:footnoteRef/>
      </w:r>
      <w:r w:rsidRPr="000D70EA">
        <w:rPr>
          <w:rFonts w:eastAsia="Times New Roman" w:cs="Times New Roman"/>
          <w:sz w:val="20"/>
          <w:szCs w:val="24"/>
        </w:rPr>
        <w:t xml:space="preserve"> Eiropas Parlamenta un Padomes Direktīva 2012/27/ES ( 2012. gada 25. oktobris ) par energoefektivitāti, ar ko groza Direktīvas 2009/125/EK un 2010/30/ES un atceļ Direktīvas 2004/8/EK un 2006/32/EK, Publicēts: Oficiālais Vēstnesis, L 315, 14.11.2012, 202.-257.lpp. Aplūkoj</w:t>
      </w:r>
      <w:r>
        <w:rPr>
          <w:rFonts w:eastAsia="Times New Roman" w:cs="Times New Roman"/>
          <w:sz w:val="20"/>
          <w:szCs w:val="24"/>
        </w:rPr>
        <w:t>a</w:t>
      </w:r>
      <w:r w:rsidRPr="000D70EA">
        <w:rPr>
          <w:rFonts w:eastAsia="Times New Roman" w:cs="Times New Roman"/>
          <w:sz w:val="20"/>
          <w:szCs w:val="24"/>
        </w:rPr>
        <w:t xml:space="preserve">ma: </w:t>
      </w:r>
      <w:hyperlink r:id="rId21" w:history="1">
        <w:r w:rsidRPr="000D70EA">
          <w:rPr>
            <w:rFonts w:eastAsia="Times New Roman" w:cs="Times New Roman"/>
            <w:sz w:val="20"/>
            <w:szCs w:val="24"/>
          </w:rPr>
          <w:t>https://eur-lex.europa.eu/legal-content/LV/TXT/?uri=celex%3A32012L0027</w:t>
        </w:r>
      </w:hyperlink>
    </w:p>
  </w:footnote>
  <w:footnote w:id="43">
    <w:p w14:paraId="71476998" w14:textId="77777777" w:rsidR="00EE1CF5" w:rsidRPr="00E27407" w:rsidRDefault="00EE1CF5" w:rsidP="00EE1CF5">
      <w:pPr>
        <w:pStyle w:val="FootnoteText"/>
        <w:rPr>
          <w:rFonts w:ascii="Times New Roman" w:hAnsi="Times New Roman" w:cs="Times New Roman"/>
        </w:rPr>
      </w:pPr>
      <w:r w:rsidRPr="00E27407">
        <w:rPr>
          <w:rStyle w:val="FootnoteReference"/>
          <w:rFonts w:ascii="Times New Roman" w:hAnsi="Times New Roman" w:cs="Times New Roman"/>
        </w:rPr>
        <w:footnoteRef/>
      </w:r>
      <w:r w:rsidRPr="00E27407">
        <w:rPr>
          <w:rFonts w:ascii="Times New Roman" w:hAnsi="Times New Roman" w:cs="Times New Roman"/>
        </w:rPr>
        <w:t xml:space="preserve"> </w:t>
      </w:r>
      <w:r>
        <w:rPr>
          <w:rFonts w:ascii="Times New Roman" w:hAnsi="Times New Roman" w:cs="Times New Roman"/>
        </w:rPr>
        <w:t xml:space="preserve">Līdztekus tam vispārējās valdības izdevumos pēc Eiropas Nacionālo Kontu Sistēmas metodoloģijas ir atzīstami arī 2017. gada AS “Latvenergo” vienreizējā valsts atbalsta samazināšanas darījuma ietvaros gadskārtēji valsts izdevumos atzīstamie maksājumi, kas sākot ar 2019. gadu veidos </w:t>
      </w:r>
      <w:r w:rsidRPr="00507BA6">
        <w:rPr>
          <w:rFonts w:ascii="Times New Roman" w:hAnsi="Times New Roman" w:cs="Times New Roman"/>
        </w:rPr>
        <w:t>24 000 992 EUR</w:t>
      </w:r>
      <w:r>
        <w:rPr>
          <w:rFonts w:ascii="Times New Roman" w:hAnsi="Times New Roman" w:cs="Times New Roman"/>
        </w:rPr>
        <w:t xml:space="preserve"> </w:t>
      </w:r>
      <w:r w:rsidRPr="00507BA6">
        <w:rPr>
          <w:rFonts w:ascii="Times New Roman" w:hAnsi="Times New Roman" w:cs="Times New Roman"/>
        </w:rPr>
        <w:t>gadā</w:t>
      </w:r>
    </w:p>
  </w:footnote>
  <w:footnote w:id="44">
    <w:p w14:paraId="5BAADCD6" w14:textId="77777777" w:rsidR="00EE1CF5" w:rsidRPr="000D70EA" w:rsidRDefault="00EE1CF5" w:rsidP="00EE1CF5">
      <w:pPr>
        <w:spacing w:before="60"/>
        <w:rPr>
          <w:rFonts w:cs="Times New Roman"/>
          <w:sz w:val="20"/>
          <w:szCs w:val="24"/>
        </w:rPr>
      </w:pPr>
      <w:r w:rsidRPr="000D70EA">
        <w:rPr>
          <w:rStyle w:val="CommentTextChar"/>
          <w:rFonts w:cs="Times New Roman"/>
          <w:szCs w:val="24"/>
          <w:vertAlign w:val="superscript"/>
        </w:rPr>
        <w:footnoteRef/>
      </w:r>
      <w:r w:rsidRPr="000D70EA">
        <w:rPr>
          <w:rFonts w:cs="Times New Roman"/>
          <w:sz w:val="20"/>
          <w:szCs w:val="24"/>
        </w:rPr>
        <w:t xml:space="preserve"> 2018. gadā notiek e-pakalpojumu un analīzes rīku izstrāde.</w:t>
      </w:r>
    </w:p>
  </w:footnote>
  <w:footnote w:id="45">
    <w:p w14:paraId="44E6D7E2" w14:textId="77777777" w:rsidR="00EE1CF5" w:rsidRPr="000D70EA" w:rsidRDefault="00EE1CF5" w:rsidP="00EE1CF5">
      <w:pPr>
        <w:pStyle w:val="FootnoteText"/>
        <w:rPr>
          <w:rFonts w:ascii="Times New Roman" w:hAnsi="Times New Roman" w:cs="Times New Roman"/>
          <w:szCs w:val="24"/>
        </w:rPr>
      </w:pPr>
      <w:r w:rsidRPr="000D70EA">
        <w:rPr>
          <w:rStyle w:val="FootnoteReference"/>
          <w:rFonts w:ascii="Times New Roman" w:hAnsi="Times New Roman" w:cs="Times New Roman"/>
          <w:szCs w:val="24"/>
        </w:rPr>
        <w:footnoteRef/>
      </w:r>
      <w:r>
        <w:rPr>
          <w:rFonts w:ascii="Times New Roman" w:hAnsi="Times New Roman" w:cs="Times New Roman"/>
          <w:szCs w:val="24"/>
        </w:rPr>
        <w:t xml:space="preserve"> Nei</w:t>
      </w:r>
      <w:r w:rsidRPr="000D70EA">
        <w:rPr>
          <w:rFonts w:ascii="Times New Roman" w:hAnsi="Times New Roman" w:cs="Times New Roman"/>
          <w:szCs w:val="24"/>
        </w:rPr>
        <w:t>eskaitot</w:t>
      </w:r>
      <w:r>
        <w:rPr>
          <w:rFonts w:ascii="Times New Roman" w:hAnsi="Times New Roman" w:cs="Times New Roman"/>
          <w:szCs w:val="24"/>
        </w:rPr>
        <w:t xml:space="preserve"> </w:t>
      </w:r>
      <w:r w:rsidRPr="00AC1EEC">
        <w:rPr>
          <w:rFonts w:ascii="Times New Roman" w:hAnsi="Times New Roman" w:cs="Times New Roman"/>
          <w:szCs w:val="24"/>
        </w:rPr>
        <w:t xml:space="preserve">trūkstošo finansējumu obligātā iepirkuma komponentes vidējā līmeņa ierobežošanai par 2017. gadu 9 198 720 </w:t>
      </w:r>
      <w:r w:rsidRPr="00AC1EEC">
        <w:rPr>
          <w:rFonts w:ascii="Times New Roman" w:hAnsi="Times New Roman" w:cs="Times New Roman"/>
          <w:i/>
          <w:szCs w:val="24"/>
        </w:rPr>
        <w:t>euro</w:t>
      </w:r>
    </w:p>
  </w:footnote>
  <w:footnote w:id="46">
    <w:p w14:paraId="66F4C048" w14:textId="77777777" w:rsidR="00EE1CF5" w:rsidRPr="00A95C9F" w:rsidRDefault="00EE1CF5" w:rsidP="00EE1CF5">
      <w:pPr>
        <w:pStyle w:val="FootnoteText"/>
        <w:rPr>
          <w:rFonts w:ascii="Times New Roman" w:hAnsi="Times New Roman" w:cs="Times New Roman"/>
        </w:rPr>
      </w:pPr>
      <w:r w:rsidRPr="00A95C9F">
        <w:rPr>
          <w:rStyle w:val="FootnoteReference"/>
          <w:rFonts w:ascii="Times New Roman" w:hAnsi="Times New Roman" w:cs="Times New Roman"/>
        </w:rPr>
        <w:footnoteRef/>
      </w:r>
      <w:r w:rsidRPr="00A95C9F">
        <w:rPr>
          <w:rFonts w:ascii="Times New Roman" w:hAnsi="Times New Roman" w:cs="Times New Roman"/>
        </w:rPr>
        <w:t xml:space="preserve"> Ar 2022. gada 1. janvāri piemērojot </w:t>
      </w:r>
      <w:r w:rsidRPr="00A95C9F">
        <w:rPr>
          <w:rFonts w:ascii="Times New Roman" w:hAnsi="Times New Roman" w:cs="Times New Roman"/>
          <w:i/>
        </w:rPr>
        <w:t xml:space="preserve">feed-in premium </w:t>
      </w:r>
      <w:r w:rsidRPr="00A95C9F">
        <w:rPr>
          <w:rFonts w:ascii="Times New Roman" w:hAnsi="Times New Roman" w:cs="Times New Roman"/>
        </w:rPr>
        <w:t>risinājumu</w:t>
      </w:r>
    </w:p>
  </w:footnote>
  <w:footnote w:id="47">
    <w:p w14:paraId="5681796C" w14:textId="77777777" w:rsidR="00EE1CF5" w:rsidRPr="009A7317" w:rsidRDefault="00EE1CF5" w:rsidP="00EE1CF5">
      <w:pPr>
        <w:widowControl w:val="0"/>
        <w:spacing w:before="40" w:after="40"/>
        <w:rPr>
          <w:rFonts w:cs="Times New Roman"/>
        </w:rPr>
      </w:pPr>
      <w:r w:rsidRPr="0058687B">
        <w:rPr>
          <w:rStyle w:val="FootnoteReference"/>
          <w:rFonts w:cs="Times New Roman"/>
          <w:sz w:val="20"/>
        </w:rPr>
        <w:footnoteRef/>
      </w:r>
      <w:r w:rsidRPr="0058687B">
        <w:rPr>
          <w:rFonts w:cs="Times New Roman"/>
          <w:sz w:val="20"/>
        </w:rPr>
        <w:t xml:space="preserve"> Ņemot vērā saskaņošanas procesā saņemto Finanšu ministrijas iebildumu, šeit nav iekļauti Ministru kabineta 2018. gada 23. oktobra protokollēmuma Nr. 49</w:t>
      </w:r>
      <w:r w:rsidRPr="0058687B">
        <w:rPr>
          <w:noProof/>
          <w:sz w:val="20"/>
        </w:rPr>
        <w:t>, 47.§. iekļautie</w:t>
      </w:r>
      <w:r w:rsidRPr="0058687B">
        <w:rPr>
          <w:rFonts w:cs="Times New Roman"/>
          <w:sz w:val="20"/>
        </w:rPr>
        <w:t xml:space="preserve"> 9 198 720 EUR, par ko Finanšu ministrijai ir jāpalielina valsts budžeta dotācija OIK vajadzībām 2019. gadā.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3F6"/>
    <w:multiLevelType w:val="hybridMultilevel"/>
    <w:tmpl w:val="52169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1">
    <w:nsid w:val="05CB7699"/>
    <w:multiLevelType w:val="hybridMultilevel"/>
    <w:tmpl w:val="273EEE08"/>
    <w:lvl w:ilvl="0" w:tplc="B5FE4F06">
      <w:start w:val="1"/>
      <w:numFmt w:val="bullet"/>
      <w:lvlText w:val=""/>
      <w:lvlJc w:val="left"/>
      <w:pPr>
        <w:ind w:left="1069" w:hanging="360"/>
      </w:pPr>
      <w:rPr>
        <w:rFonts w:ascii="Wingdings" w:hAnsi="Wingdings" w:hint="default"/>
      </w:rPr>
    </w:lvl>
    <w:lvl w:ilvl="1" w:tplc="17ACA4C8" w:tentative="1">
      <w:start w:val="1"/>
      <w:numFmt w:val="lowerLetter"/>
      <w:lvlText w:val="%2."/>
      <w:lvlJc w:val="left"/>
      <w:pPr>
        <w:ind w:left="1789" w:hanging="360"/>
      </w:pPr>
    </w:lvl>
    <w:lvl w:ilvl="2" w:tplc="1398ECBA" w:tentative="1">
      <w:start w:val="1"/>
      <w:numFmt w:val="lowerRoman"/>
      <w:lvlText w:val="%3."/>
      <w:lvlJc w:val="right"/>
      <w:pPr>
        <w:ind w:left="2509" w:hanging="180"/>
      </w:pPr>
    </w:lvl>
    <w:lvl w:ilvl="3" w:tplc="4898435E" w:tentative="1">
      <w:start w:val="1"/>
      <w:numFmt w:val="decimal"/>
      <w:lvlText w:val="%4."/>
      <w:lvlJc w:val="left"/>
      <w:pPr>
        <w:ind w:left="3229" w:hanging="360"/>
      </w:pPr>
    </w:lvl>
    <w:lvl w:ilvl="4" w:tplc="D03C443C" w:tentative="1">
      <w:start w:val="1"/>
      <w:numFmt w:val="lowerLetter"/>
      <w:lvlText w:val="%5."/>
      <w:lvlJc w:val="left"/>
      <w:pPr>
        <w:ind w:left="3949" w:hanging="360"/>
      </w:pPr>
    </w:lvl>
    <w:lvl w:ilvl="5" w:tplc="00700934" w:tentative="1">
      <w:start w:val="1"/>
      <w:numFmt w:val="lowerRoman"/>
      <w:lvlText w:val="%6."/>
      <w:lvlJc w:val="right"/>
      <w:pPr>
        <w:ind w:left="4669" w:hanging="180"/>
      </w:pPr>
    </w:lvl>
    <w:lvl w:ilvl="6" w:tplc="78082640" w:tentative="1">
      <w:start w:val="1"/>
      <w:numFmt w:val="decimal"/>
      <w:lvlText w:val="%7."/>
      <w:lvlJc w:val="left"/>
      <w:pPr>
        <w:ind w:left="5389" w:hanging="360"/>
      </w:pPr>
    </w:lvl>
    <w:lvl w:ilvl="7" w:tplc="AB2A0BA4" w:tentative="1">
      <w:start w:val="1"/>
      <w:numFmt w:val="lowerLetter"/>
      <w:lvlText w:val="%8."/>
      <w:lvlJc w:val="left"/>
      <w:pPr>
        <w:ind w:left="6109" w:hanging="360"/>
      </w:pPr>
    </w:lvl>
    <w:lvl w:ilvl="8" w:tplc="181406FE" w:tentative="1">
      <w:start w:val="1"/>
      <w:numFmt w:val="lowerRoman"/>
      <w:lvlText w:val="%9."/>
      <w:lvlJc w:val="right"/>
      <w:pPr>
        <w:ind w:left="6829" w:hanging="180"/>
      </w:pPr>
    </w:lvl>
  </w:abstractNum>
  <w:abstractNum w:abstractNumId="2" w15:restartNumberingAfterBreak="1">
    <w:nsid w:val="06A10B3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1">
    <w:nsid w:val="08170F7E"/>
    <w:multiLevelType w:val="hybridMultilevel"/>
    <w:tmpl w:val="5080A8C8"/>
    <w:lvl w:ilvl="0" w:tplc="5F12B4E0">
      <w:start w:val="1"/>
      <w:numFmt w:val="decimal"/>
      <w:lvlText w:val="%1."/>
      <w:lvlJc w:val="left"/>
      <w:pPr>
        <w:ind w:left="1069" w:hanging="360"/>
      </w:pPr>
      <w:rPr>
        <w:rFonts w:hint="default"/>
      </w:rPr>
    </w:lvl>
    <w:lvl w:ilvl="1" w:tplc="9064CE30" w:tentative="1">
      <w:start w:val="1"/>
      <w:numFmt w:val="lowerLetter"/>
      <w:lvlText w:val="%2."/>
      <w:lvlJc w:val="left"/>
      <w:pPr>
        <w:ind w:left="1789" w:hanging="360"/>
      </w:pPr>
    </w:lvl>
    <w:lvl w:ilvl="2" w:tplc="AEDA611C" w:tentative="1">
      <w:start w:val="1"/>
      <w:numFmt w:val="lowerRoman"/>
      <w:lvlText w:val="%3."/>
      <w:lvlJc w:val="right"/>
      <w:pPr>
        <w:ind w:left="2509" w:hanging="180"/>
      </w:pPr>
    </w:lvl>
    <w:lvl w:ilvl="3" w:tplc="FAE8215C" w:tentative="1">
      <w:start w:val="1"/>
      <w:numFmt w:val="decimal"/>
      <w:lvlText w:val="%4."/>
      <w:lvlJc w:val="left"/>
      <w:pPr>
        <w:ind w:left="3229" w:hanging="360"/>
      </w:pPr>
    </w:lvl>
    <w:lvl w:ilvl="4" w:tplc="3B2A3786" w:tentative="1">
      <w:start w:val="1"/>
      <w:numFmt w:val="lowerLetter"/>
      <w:lvlText w:val="%5."/>
      <w:lvlJc w:val="left"/>
      <w:pPr>
        <w:ind w:left="3949" w:hanging="360"/>
      </w:pPr>
    </w:lvl>
    <w:lvl w:ilvl="5" w:tplc="6AB88982" w:tentative="1">
      <w:start w:val="1"/>
      <w:numFmt w:val="lowerRoman"/>
      <w:lvlText w:val="%6."/>
      <w:lvlJc w:val="right"/>
      <w:pPr>
        <w:ind w:left="4669" w:hanging="180"/>
      </w:pPr>
    </w:lvl>
    <w:lvl w:ilvl="6" w:tplc="BF2C83D6" w:tentative="1">
      <w:start w:val="1"/>
      <w:numFmt w:val="decimal"/>
      <w:lvlText w:val="%7."/>
      <w:lvlJc w:val="left"/>
      <w:pPr>
        <w:ind w:left="5389" w:hanging="360"/>
      </w:pPr>
    </w:lvl>
    <w:lvl w:ilvl="7" w:tplc="0AA6DF86" w:tentative="1">
      <w:start w:val="1"/>
      <w:numFmt w:val="lowerLetter"/>
      <w:lvlText w:val="%8."/>
      <w:lvlJc w:val="left"/>
      <w:pPr>
        <w:ind w:left="6109" w:hanging="360"/>
      </w:pPr>
    </w:lvl>
    <w:lvl w:ilvl="8" w:tplc="D9F08A90" w:tentative="1">
      <w:start w:val="1"/>
      <w:numFmt w:val="lowerRoman"/>
      <w:lvlText w:val="%9."/>
      <w:lvlJc w:val="right"/>
      <w:pPr>
        <w:ind w:left="6829" w:hanging="180"/>
      </w:pPr>
    </w:lvl>
  </w:abstractNum>
  <w:abstractNum w:abstractNumId="4" w15:restartNumberingAfterBreak="1">
    <w:nsid w:val="0874731B"/>
    <w:multiLevelType w:val="hybridMultilevel"/>
    <w:tmpl w:val="22800D40"/>
    <w:lvl w:ilvl="0" w:tplc="6A245DDE">
      <w:start w:val="1"/>
      <w:numFmt w:val="lowerLetter"/>
      <w:lvlText w:val="%1)"/>
      <w:lvlJc w:val="left"/>
      <w:pPr>
        <w:ind w:left="720" w:hanging="360"/>
      </w:pPr>
    </w:lvl>
    <w:lvl w:ilvl="1" w:tplc="6220C6F0" w:tentative="1">
      <w:start w:val="1"/>
      <w:numFmt w:val="lowerLetter"/>
      <w:lvlText w:val="%2."/>
      <w:lvlJc w:val="left"/>
      <w:pPr>
        <w:ind w:left="1440" w:hanging="360"/>
      </w:pPr>
    </w:lvl>
    <w:lvl w:ilvl="2" w:tplc="65C6E60A" w:tentative="1">
      <w:start w:val="1"/>
      <w:numFmt w:val="lowerRoman"/>
      <w:lvlText w:val="%3."/>
      <w:lvlJc w:val="right"/>
      <w:pPr>
        <w:ind w:left="2160" w:hanging="180"/>
      </w:pPr>
    </w:lvl>
    <w:lvl w:ilvl="3" w:tplc="D2209EEA" w:tentative="1">
      <w:start w:val="1"/>
      <w:numFmt w:val="decimal"/>
      <w:lvlText w:val="%4."/>
      <w:lvlJc w:val="left"/>
      <w:pPr>
        <w:ind w:left="2880" w:hanging="360"/>
      </w:pPr>
    </w:lvl>
    <w:lvl w:ilvl="4" w:tplc="0D188C14" w:tentative="1">
      <w:start w:val="1"/>
      <w:numFmt w:val="lowerLetter"/>
      <w:lvlText w:val="%5."/>
      <w:lvlJc w:val="left"/>
      <w:pPr>
        <w:ind w:left="3600" w:hanging="360"/>
      </w:pPr>
    </w:lvl>
    <w:lvl w:ilvl="5" w:tplc="3C9A4D7E" w:tentative="1">
      <w:start w:val="1"/>
      <w:numFmt w:val="lowerRoman"/>
      <w:lvlText w:val="%6."/>
      <w:lvlJc w:val="right"/>
      <w:pPr>
        <w:ind w:left="4320" w:hanging="180"/>
      </w:pPr>
    </w:lvl>
    <w:lvl w:ilvl="6" w:tplc="63EA7FC8" w:tentative="1">
      <w:start w:val="1"/>
      <w:numFmt w:val="decimal"/>
      <w:lvlText w:val="%7."/>
      <w:lvlJc w:val="left"/>
      <w:pPr>
        <w:ind w:left="5040" w:hanging="360"/>
      </w:pPr>
    </w:lvl>
    <w:lvl w:ilvl="7" w:tplc="841A5D50" w:tentative="1">
      <w:start w:val="1"/>
      <w:numFmt w:val="lowerLetter"/>
      <w:lvlText w:val="%8."/>
      <w:lvlJc w:val="left"/>
      <w:pPr>
        <w:ind w:left="5760" w:hanging="360"/>
      </w:pPr>
    </w:lvl>
    <w:lvl w:ilvl="8" w:tplc="1CBEF3DE" w:tentative="1">
      <w:start w:val="1"/>
      <w:numFmt w:val="lowerRoman"/>
      <w:lvlText w:val="%9."/>
      <w:lvlJc w:val="right"/>
      <w:pPr>
        <w:ind w:left="6480" w:hanging="180"/>
      </w:pPr>
    </w:lvl>
  </w:abstractNum>
  <w:abstractNum w:abstractNumId="5" w15:restartNumberingAfterBreak="1">
    <w:nsid w:val="0B131008"/>
    <w:multiLevelType w:val="hybridMultilevel"/>
    <w:tmpl w:val="92065F2C"/>
    <w:lvl w:ilvl="0" w:tplc="DD861D86">
      <w:start w:val="1"/>
      <w:numFmt w:val="decimal"/>
      <w:lvlText w:val="%1."/>
      <w:lvlJc w:val="left"/>
      <w:pPr>
        <w:ind w:left="720" w:hanging="360"/>
      </w:pPr>
    </w:lvl>
    <w:lvl w:ilvl="1" w:tplc="EE000BFC">
      <w:start w:val="1"/>
      <w:numFmt w:val="decimal"/>
      <w:lvlText w:val="%2."/>
      <w:lvlJc w:val="left"/>
      <w:pPr>
        <w:ind w:left="1440" w:hanging="360"/>
      </w:pPr>
    </w:lvl>
    <w:lvl w:ilvl="2" w:tplc="3362950E">
      <w:start w:val="1"/>
      <w:numFmt w:val="lowerRoman"/>
      <w:lvlText w:val="%3."/>
      <w:lvlJc w:val="right"/>
      <w:pPr>
        <w:ind w:left="2160" w:hanging="180"/>
      </w:pPr>
    </w:lvl>
    <w:lvl w:ilvl="3" w:tplc="CA1E5FCC">
      <w:start w:val="1"/>
      <w:numFmt w:val="decimal"/>
      <w:lvlText w:val="%4."/>
      <w:lvlJc w:val="left"/>
      <w:pPr>
        <w:ind w:left="2880" w:hanging="360"/>
      </w:pPr>
    </w:lvl>
    <w:lvl w:ilvl="4" w:tplc="AE686FBC">
      <w:start w:val="1"/>
      <w:numFmt w:val="lowerLetter"/>
      <w:lvlText w:val="%5."/>
      <w:lvlJc w:val="left"/>
      <w:pPr>
        <w:ind w:left="3600" w:hanging="360"/>
      </w:pPr>
    </w:lvl>
    <w:lvl w:ilvl="5" w:tplc="0FDA9FB2">
      <w:start w:val="1"/>
      <w:numFmt w:val="lowerRoman"/>
      <w:lvlText w:val="%6."/>
      <w:lvlJc w:val="right"/>
      <w:pPr>
        <w:ind w:left="4320" w:hanging="180"/>
      </w:pPr>
    </w:lvl>
    <w:lvl w:ilvl="6" w:tplc="F99A33BC">
      <w:start w:val="1"/>
      <w:numFmt w:val="decimal"/>
      <w:lvlText w:val="%7."/>
      <w:lvlJc w:val="left"/>
      <w:pPr>
        <w:ind w:left="5040" w:hanging="360"/>
      </w:pPr>
    </w:lvl>
    <w:lvl w:ilvl="7" w:tplc="293C590E">
      <w:start w:val="1"/>
      <w:numFmt w:val="lowerLetter"/>
      <w:lvlText w:val="%8."/>
      <w:lvlJc w:val="left"/>
      <w:pPr>
        <w:ind w:left="5760" w:hanging="360"/>
      </w:pPr>
    </w:lvl>
    <w:lvl w:ilvl="8" w:tplc="F5A44034">
      <w:start w:val="1"/>
      <w:numFmt w:val="lowerRoman"/>
      <w:lvlText w:val="%9."/>
      <w:lvlJc w:val="right"/>
      <w:pPr>
        <w:ind w:left="6480" w:hanging="180"/>
      </w:pPr>
    </w:lvl>
  </w:abstractNum>
  <w:abstractNum w:abstractNumId="6" w15:restartNumberingAfterBreak="1">
    <w:nsid w:val="0B3E011C"/>
    <w:multiLevelType w:val="hybridMultilevel"/>
    <w:tmpl w:val="55F87F28"/>
    <w:lvl w:ilvl="0" w:tplc="A97680E4">
      <w:start w:val="1"/>
      <w:numFmt w:val="decimal"/>
      <w:lvlText w:val="%1."/>
      <w:lvlJc w:val="left"/>
      <w:pPr>
        <w:ind w:left="1211" w:hanging="360"/>
      </w:pPr>
    </w:lvl>
    <w:lvl w:ilvl="1" w:tplc="29AAE996">
      <w:start w:val="1"/>
      <w:numFmt w:val="lowerLetter"/>
      <w:lvlText w:val="%2."/>
      <w:lvlJc w:val="left"/>
      <w:pPr>
        <w:ind w:left="1931" w:hanging="360"/>
      </w:pPr>
    </w:lvl>
    <w:lvl w:ilvl="2" w:tplc="D74613AE">
      <w:start w:val="1"/>
      <w:numFmt w:val="lowerRoman"/>
      <w:lvlText w:val="%3."/>
      <w:lvlJc w:val="right"/>
      <w:pPr>
        <w:ind w:left="2651" w:hanging="180"/>
      </w:pPr>
    </w:lvl>
    <w:lvl w:ilvl="3" w:tplc="7DE43038" w:tentative="1">
      <w:start w:val="1"/>
      <w:numFmt w:val="decimal"/>
      <w:lvlText w:val="%4."/>
      <w:lvlJc w:val="left"/>
      <w:pPr>
        <w:ind w:left="3371" w:hanging="360"/>
      </w:pPr>
    </w:lvl>
    <w:lvl w:ilvl="4" w:tplc="51A8176A" w:tentative="1">
      <w:start w:val="1"/>
      <w:numFmt w:val="lowerLetter"/>
      <w:lvlText w:val="%5."/>
      <w:lvlJc w:val="left"/>
      <w:pPr>
        <w:ind w:left="4091" w:hanging="360"/>
      </w:pPr>
    </w:lvl>
    <w:lvl w:ilvl="5" w:tplc="C5140D3E" w:tentative="1">
      <w:start w:val="1"/>
      <w:numFmt w:val="lowerRoman"/>
      <w:lvlText w:val="%6."/>
      <w:lvlJc w:val="right"/>
      <w:pPr>
        <w:ind w:left="4811" w:hanging="180"/>
      </w:pPr>
    </w:lvl>
    <w:lvl w:ilvl="6" w:tplc="66D4685A" w:tentative="1">
      <w:start w:val="1"/>
      <w:numFmt w:val="decimal"/>
      <w:lvlText w:val="%7."/>
      <w:lvlJc w:val="left"/>
      <w:pPr>
        <w:ind w:left="5531" w:hanging="360"/>
      </w:pPr>
    </w:lvl>
    <w:lvl w:ilvl="7" w:tplc="BCE4EF86" w:tentative="1">
      <w:start w:val="1"/>
      <w:numFmt w:val="lowerLetter"/>
      <w:lvlText w:val="%8."/>
      <w:lvlJc w:val="left"/>
      <w:pPr>
        <w:ind w:left="6251" w:hanging="360"/>
      </w:pPr>
    </w:lvl>
    <w:lvl w:ilvl="8" w:tplc="663A3FE6" w:tentative="1">
      <w:start w:val="1"/>
      <w:numFmt w:val="lowerRoman"/>
      <w:lvlText w:val="%9."/>
      <w:lvlJc w:val="right"/>
      <w:pPr>
        <w:ind w:left="6971" w:hanging="180"/>
      </w:pPr>
    </w:lvl>
  </w:abstractNum>
  <w:abstractNum w:abstractNumId="7" w15:restartNumberingAfterBreak="0">
    <w:nsid w:val="15F809CF"/>
    <w:multiLevelType w:val="hybridMultilevel"/>
    <w:tmpl w:val="7E20004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1">
    <w:nsid w:val="17EE4753"/>
    <w:multiLevelType w:val="hybridMultilevel"/>
    <w:tmpl w:val="C81430A2"/>
    <w:lvl w:ilvl="0" w:tplc="A7A62824">
      <w:start w:val="1"/>
      <w:numFmt w:val="lowerLetter"/>
      <w:lvlText w:val="%1)"/>
      <w:lvlJc w:val="left"/>
      <w:pPr>
        <w:ind w:left="720" w:hanging="360"/>
      </w:pPr>
    </w:lvl>
    <w:lvl w:ilvl="1" w:tplc="32CE85BC">
      <w:start w:val="1"/>
      <w:numFmt w:val="lowerLetter"/>
      <w:lvlText w:val="%2."/>
      <w:lvlJc w:val="left"/>
      <w:pPr>
        <w:ind w:left="1440" w:hanging="360"/>
      </w:pPr>
    </w:lvl>
    <w:lvl w:ilvl="2" w:tplc="0BF8A44C" w:tentative="1">
      <w:start w:val="1"/>
      <w:numFmt w:val="lowerRoman"/>
      <w:lvlText w:val="%3."/>
      <w:lvlJc w:val="right"/>
      <w:pPr>
        <w:ind w:left="2160" w:hanging="180"/>
      </w:pPr>
    </w:lvl>
    <w:lvl w:ilvl="3" w:tplc="9350DF1A" w:tentative="1">
      <w:start w:val="1"/>
      <w:numFmt w:val="decimal"/>
      <w:lvlText w:val="%4."/>
      <w:lvlJc w:val="left"/>
      <w:pPr>
        <w:ind w:left="2880" w:hanging="360"/>
      </w:pPr>
    </w:lvl>
    <w:lvl w:ilvl="4" w:tplc="744E6A68" w:tentative="1">
      <w:start w:val="1"/>
      <w:numFmt w:val="lowerLetter"/>
      <w:lvlText w:val="%5."/>
      <w:lvlJc w:val="left"/>
      <w:pPr>
        <w:ind w:left="3600" w:hanging="360"/>
      </w:pPr>
    </w:lvl>
    <w:lvl w:ilvl="5" w:tplc="7A406B2A" w:tentative="1">
      <w:start w:val="1"/>
      <w:numFmt w:val="lowerRoman"/>
      <w:lvlText w:val="%6."/>
      <w:lvlJc w:val="right"/>
      <w:pPr>
        <w:ind w:left="4320" w:hanging="180"/>
      </w:pPr>
    </w:lvl>
    <w:lvl w:ilvl="6" w:tplc="B5200792" w:tentative="1">
      <w:start w:val="1"/>
      <w:numFmt w:val="decimal"/>
      <w:lvlText w:val="%7."/>
      <w:lvlJc w:val="left"/>
      <w:pPr>
        <w:ind w:left="5040" w:hanging="360"/>
      </w:pPr>
    </w:lvl>
    <w:lvl w:ilvl="7" w:tplc="E668D51C" w:tentative="1">
      <w:start w:val="1"/>
      <w:numFmt w:val="lowerLetter"/>
      <w:lvlText w:val="%8."/>
      <w:lvlJc w:val="left"/>
      <w:pPr>
        <w:ind w:left="5760" w:hanging="360"/>
      </w:pPr>
    </w:lvl>
    <w:lvl w:ilvl="8" w:tplc="4D1E0FAA" w:tentative="1">
      <w:start w:val="1"/>
      <w:numFmt w:val="lowerRoman"/>
      <w:lvlText w:val="%9."/>
      <w:lvlJc w:val="right"/>
      <w:pPr>
        <w:ind w:left="6480" w:hanging="180"/>
      </w:pPr>
    </w:lvl>
  </w:abstractNum>
  <w:abstractNum w:abstractNumId="9" w15:restartNumberingAfterBreak="1">
    <w:nsid w:val="183E27E9"/>
    <w:multiLevelType w:val="multilevel"/>
    <w:tmpl w:val="2C004864"/>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1">
    <w:nsid w:val="1C3D04FF"/>
    <w:multiLevelType w:val="hybridMultilevel"/>
    <w:tmpl w:val="B5282F64"/>
    <w:lvl w:ilvl="0" w:tplc="A958456C">
      <w:start w:val="1"/>
      <w:numFmt w:val="bullet"/>
      <w:lvlText w:val=""/>
      <w:lvlJc w:val="left"/>
      <w:pPr>
        <w:ind w:left="717" w:hanging="360"/>
      </w:pPr>
      <w:rPr>
        <w:rFonts w:ascii="Wingdings" w:hAnsi="Wingdings" w:hint="default"/>
      </w:rPr>
    </w:lvl>
    <w:lvl w:ilvl="1" w:tplc="D13A17BA" w:tentative="1">
      <w:start w:val="1"/>
      <w:numFmt w:val="bullet"/>
      <w:lvlText w:val="o"/>
      <w:lvlJc w:val="left"/>
      <w:pPr>
        <w:ind w:left="1437" w:hanging="360"/>
      </w:pPr>
      <w:rPr>
        <w:rFonts w:ascii="Courier New" w:hAnsi="Courier New" w:cs="Courier New" w:hint="default"/>
      </w:rPr>
    </w:lvl>
    <w:lvl w:ilvl="2" w:tplc="7964563E" w:tentative="1">
      <w:start w:val="1"/>
      <w:numFmt w:val="bullet"/>
      <w:lvlText w:val=""/>
      <w:lvlJc w:val="left"/>
      <w:pPr>
        <w:ind w:left="2157" w:hanging="360"/>
      </w:pPr>
      <w:rPr>
        <w:rFonts w:ascii="Wingdings" w:hAnsi="Wingdings" w:hint="default"/>
      </w:rPr>
    </w:lvl>
    <w:lvl w:ilvl="3" w:tplc="D9647856" w:tentative="1">
      <w:start w:val="1"/>
      <w:numFmt w:val="bullet"/>
      <w:lvlText w:val=""/>
      <w:lvlJc w:val="left"/>
      <w:pPr>
        <w:ind w:left="2877" w:hanging="360"/>
      </w:pPr>
      <w:rPr>
        <w:rFonts w:ascii="Symbol" w:hAnsi="Symbol" w:hint="default"/>
      </w:rPr>
    </w:lvl>
    <w:lvl w:ilvl="4" w:tplc="DC88CB00" w:tentative="1">
      <w:start w:val="1"/>
      <w:numFmt w:val="bullet"/>
      <w:lvlText w:val="o"/>
      <w:lvlJc w:val="left"/>
      <w:pPr>
        <w:ind w:left="3597" w:hanging="360"/>
      </w:pPr>
      <w:rPr>
        <w:rFonts w:ascii="Courier New" w:hAnsi="Courier New" w:cs="Courier New" w:hint="default"/>
      </w:rPr>
    </w:lvl>
    <w:lvl w:ilvl="5" w:tplc="515825F0" w:tentative="1">
      <w:start w:val="1"/>
      <w:numFmt w:val="bullet"/>
      <w:lvlText w:val=""/>
      <w:lvlJc w:val="left"/>
      <w:pPr>
        <w:ind w:left="4317" w:hanging="360"/>
      </w:pPr>
      <w:rPr>
        <w:rFonts w:ascii="Wingdings" w:hAnsi="Wingdings" w:hint="default"/>
      </w:rPr>
    </w:lvl>
    <w:lvl w:ilvl="6" w:tplc="E5044E60" w:tentative="1">
      <w:start w:val="1"/>
      <w:numFmt w:val="bullet"/>
      <w:lvlText w:val=""/>
      <w:lvlJc w:val="left"/>
      <w:pPr>
        <w:ind w:left="5037" w:hanging="360"/>
      </w:pPr>
      <w:rPr>
        <w:rFonts w:ascii="Symbol" w:hAnsi="Symbol" w:hint="default"/>
      </w:rPr>
    </w:lvl>
    <w:lvl w:ilvl="7" w:tplc="493E1E04" w:tentative="1">
      <w:start w:val="1"/>
      <w:numFmt w:val="bullet"/>
      <w:lvlText w:val="o"/>
      <w:lvlJc w:val="left"/>
      <w:pPr>
        <w:ind w:left="5757" w:hanging="360"/>
      </w:pPr>
      <w:rPr>
        <w:rFonts w:ascii="Courier New" w:hAnsi="Courier New" w:cs="Courier New" w:hint="default"/>
      </w:rPr>
    </w:lvl>
    <w:lvl w:ilvl="8" w:tplc="D5549E0E" w:tentative="1">
      <w:start w:val="1"/>
      <w:numFmt w:val="bullet"/>
      <w:lvlText w:val=""/>
      <w:lvlJc w:val="left"/>
      <w:pPr>
        <w:ind w:left="6477" w:hanging="360"/>
      </w:pPr>
      <w:rPr>
        <w:rFonts w:ascii="Wingdings" w:hAnsi="Wingdings" w:hint="default"/>
      </w:rPr>
    </w:lvl>
  </w:abstractNum>
  <w:abstractNum w:abstractNumId="11" w15:restartNumberingAfterBreak="1">
    <w:nsid w:val="22C5208C"/>
    <w:multiLevelType w:val="hybridMultilevel"/>
    <w:tmpl w:val="5CDAA9D0"/>
    <w:lvl w:ilvl="0" w:tplc="8AA45418">
      <w:start w:val="1"/>
      <w:numFmt w:val="decimal"/>
      <w:lvlText w:val="%1."/>
      <w:lvlJc w:val="left"/>
      <w:pPr>
        <w:ind w:left="1080" w:hanging="360"/>
      </w:pPr>
      <w:rPr>
        <w:rFonts w:hint="default"/>
      </w:rPr>
    </w:lvl>
    <w:lvl w:ilvl="1" w:tplc="935A8208" w:tentative="1">
      <w:start w:val="1"/>
      <w:numFmt w:val="lowerLetter"/>
      <w:lvlText w:val="%2."/>
      <w:lvlJc w:val="left"/>
      <w:pPr>
        <w:ind w:left="1800" w:hanging="360"/>
      </w:pPr>
    </w:lvl>
    <w:lvl w:ilvl="2" w:tplc="E020A57E" w:tentative="1">
      <w:start w:val="1"/>
      <w:numFmt w:val="lowerRoman"/>
      <w:lvlText w:val="%3."/>
      <w:lvlJc w:val="right"/>
      <w:pPr>
        <w:ind w:left="2520" w:hanging="180"/>
      </w:pPr>
    </w:lvl>
    <w:lvl w:ilvl="3" w:tplc="85B03F0E" w:tentative="1">
      <w:start w:val="1"/>
      <w:numFmt w:val="decimal"/>
      <w:lvlText w:val="%4."/>
      <w:lvlJc w:val="left"/>
      <w:pPr>
        <w:ind w:left="3240" w:hanging="360"/>
      </w:pPr>
    </w:lvl>
    <w:lvl w:ilvl="4" w:tplc="62A6DD3C" w:tentative="1">
      <w:start w:val="1"/>
      <w:numFmt w:val="lowerLetter"/>
      <w:lvlText w:val="%5."/>
      <w:lvlJc w:val="left"/>
      <w:pPr>
        <w:ind w:left="3960" w:hanging="360"/>
      </w:pPr>
    </w:lvl>
    <w:lvl w:ilvl="5" w:tplc="F0626C4C" w:tentative="1">
      <w:start w:val="1"/>
      <w:numFmt w:val="lowerRoman"/>
      <w:lvlText w:val="%6."/>
      <w:lvlJc w:val="right"/>
      <w:pPr>
        <w:ind w:left="4680" w:hanging="180"/>
      </w:pPr>
    </w:lvl>
    <w:lvl w:ilvl="6" w:tplc="229C1362" w:tentative="1">
      <w:start w:val="1"/>
      <w:numFmt w:val="decimal"/>
      <w:lvlText w:val="%7."/>
      <w:lvlJc w:val="left"/>
      <w:pPr>
        <w:ind w:left="5400" w:hanging="360"/>
      </w:pPr>
    </w:lvl>
    <w:lvl w:ilvl="7" w:tplc="0EDC7150" w:tentative="1">
      <w:start w:val="1"/>
      <w:numFmt w:val="lowerLetter"/>
      <w:lvlText w:val="%8."/>
      <w:lvlJc w:val="left"/>
      <w:pPr>
        <w:ind w:left="6120" w:hanging="360"/>
      </w:pPr>
    </w:lvl>
    <w:lvl w:ilvl="8" w:tplc="6F64EB80" w:tentative="1">
      <w:start w:val="1"/>
      <w:numFmt w:val="lowerRoman"/>
      <w:lvlText w:val="%9."/>
      <w:lvlJc w:val="right"/>
      <w:pPr>
        <w:ind w:left="6840" w:hanging="180"/>
      </w:pPr>
    </w:lvl>
  </w:abstractNum>
  <w:abstractNum w:abstractNumId="12" w15:restartNumberingAfterBreak="1">
    <w:nsid w:val="28144A0D"/>
    <w:multiLevelType w:val="hybridMultilevel"/>
    <w:tmpl w:val="5A8E4B18"/>
    <w:lvl w:ilvl="0" w:tplc="35F44692">
      <w:start w:val="1"/>
      <w:numFmt w:val="decimal"/>
      <w:lvlText w:val="%1."/>
      <w:lvlJc w:val="left"/>
      <w:pPr>
        <w:ind w:left="1069" w:hanging="360"/>
      </w:pPr>
      <w:rPr>
        <w:rFonts w:hint="default"/>
      </w:rPr>
    </w:lvl>
    <w:lvl w:ilvl="1" w:tplc="B808B520">
      <w:start w:val="1"/>
      <w:numFmt w:val="lowerLetter"/>
      <w:lvlText w:val="%2."/>
      <w:lvlJc w:val="left"/>
      <w:pPr>
        <w:ind w:left="1789" w:hanging="360"/>
      </w:pPr>
    </w:lvl>
    <w:lvl w:ilvl="2" w:tplc="0ED8DEE6" w:tentative="1">
      <w:start w:val="1"/>
      <w:numFmt w:val="lowerRoman"/>
      <w:lvlText w:val="%3."/>
      <w:lvlJc w:val="right"/>
      <w:pPr>
        <w:ind w:left="2509" w:hanging="180"/>
      </w:pPr>
    </w:lvl>
    <w:lvl w:ilvl="3" w:tplc="9BA22DEC" w:tentative="1">
      <w:start w:val="1"/>
      <w:numFmt w:val="decimal"/>
      <w:lvlText w:val="%4."/>
      <w:lvlJc w:val="left"/>
      <w:pPr>
        <w:ind w:left="3229" w:hanging="360"/>
      </w:pPr>
    </w:lvl>
    <w:lvl w:ilvl="4" w:tplc="0E9249BA" w:tentative="1">
      <w:start w:val="1"/>
      <w:numFmt w:val="lowerLetter"/>
      <w:lvlText w:val="%5."/>
      <w:lvlJc w:val="left"/>
      <w:pPr>
        <w:ind w:left="3949" w:hanging="360"/>
      </w:pPr>
    </w:lvl>
    <w:lvl w:ilvl="5" w:tplc="FA5401E6" w:tentative="1">
      <w:start w:val="1"/>
      <w:numFmt w:val="lowerRoman"/>
      <w:lvlText w:val="%6."/>
      <w:lvlJc w:val="right"/>
      <w:pPr>
        <w:ind w:left="4669" w:hanging="180"/>
      </w:pPr>
    </w:lvl>
    <w:lvl w:ilvl="6" w:tplc="17880F46" w:tentative="1">
      <w:start w:val="1"/>
      <w:numFmt w:val="decimal"/>
      <w:lvlText w:val="%7."/>
      <w:lvlJc w:val="left"/>
      <w:pPr>
        <w:ind w:left="5389" w:hanging="360"/>
      </w:pPr>
    </w:lvl>
    <w:lvl w:ilvl="7" w:tplc="75327A30" w:tentative="1">
      <w:start w:val="1"/>
      <w:numFmt w:val="lowerLetter"/>
      <w:lvlText w:val="%8."/>
      <w:lvlJc w:val="left"/>
      <w:pPr>
        <w:ind w:left="6109" w:hanging="360"/>
      </w:pPr>
    </w:lvl>
    <w:lvl w:ilvl="8" w:tplc="E5E08442" w:tentative="1">
      <w:start w:val="1"/>
      <w:numFmt w:val="lowerRoman"/>
      <w:lvlText w:val="%9."/>
      <w:lvlJc w:val="right"/>
      <w:pPr>
        <w:ind w:left="6829" w:hanging="180"/>
      </w:pPr>
    </w:lvl>
  </w:abstractNum>
  <w:abstractNum w:abstractNumId="13" w15:restartNumberingAfterBreak="1">
    <w:nsid w:val="33475FCF"/>
    <w:multiLevelType w:val="hybridMultilevel"/>
    <w:tmpl w:val="F4FAB58A"/>
    <w:lvl w:ilvl="0" w:tplc="0D840390">
      <w:start w:val="4"/>
      <w:numFmt w:val="bullet"/>
      <w:lvlText w:val="-"/>
      <w:lvlJc w:val="left"/>
      <w:pPr>
        <w:ind w:left="1080" w:hanging="360"/>
      </w:pPr>
      <w:rPr>
        <w:rFonts w:ascii="Times New Roman" w:eastAsiaTheme="minorHAnsi" w:hAnsi="Times New Roman" w:cs="Times New Roman" w:hint="default"/>
      </w:rPr>
    </w:lvl>
    <w:lvl w:ilvl="1" w:tplc="18087466" w:tentative="1">
      <w:start w:val="1"/>
      <w:numFmt w:val="bullet"/>
      <w:lvlText w:val="o"/>
      <w:lvlJc w:val="left"/>
      <w:pPr>
        <w:ind w:left="1800" w:hanging="360"/>
      </w:pPr>
      <w:rPr>
        <w:rFonts w:ascii="Courier New" w:hAnsi="Courier New" w:cs="Courier New" w:hint="default"/>
      </w:rPr>
    </w:lvl>
    <w:lvl w:ilvl="2" w:tplc="E0CECE72" w:tentative="1">
      <w:start w:val="1"/>
      <w:numFmt w:val="bullet"/>
      <w:lvlText w:val=""/>
      <w:lvlJc w:val="left"/>
      <w:pPr>
        <w:ind w:left="2520" w:hanging="360"/>
      </w:pPr>
      <w:rPr>
        <w:rFonts w:ascii="Wingdings" w:hAnsi="Wingdings" w:hint="default"/>
      </w:rPr>
    </w:lvl>
    <w:lvl w:ilvl="3" w:tplc="8426355A" w:tentative="1">
      <w:start w:val="1"/>
      <w:numFmt w:val="bullet"/>
      <w:lvlText w:val=""/>
      <w:lvlJc w:val="left"/>
      <w:pPr>
        <w:ind w:left="3240" w:hanging="360"/>
      </w:pPr>
      <w:rPr>
        <w:rFonts w:ascii="Symbol" w:hAnsi="Symbol" w:hint="default"/>
      </w:rPr>
    </w:lvl>
    <w:lvl w:ilvl="4" w:tplc="3998EBA6" w:tentative="1">
      <w:start w:val="1"/>
      <w:numFmt w:val="bullet"/>
      <w:lvlText w:val="o"/>
      <w:lvlJc w:val="left"/>
      <w:pPr>
        <w:ind w:left="3960" w:hanging="360"/>
      </w:pPr>
      <w:rPr>
        <w:rFonts w:ascii="Courier New" w:hAnsi="Courier New" w:cs="Courier New" w:hint="default"/>
      </w:rPr>
    </w:lvl>
    <w:lvl w:ilvl="5" w:tplc="C480DA2E" w:tentative="1">
      <w:start w:val="1"/>
      <w:numFmt w:val="bullet"/>
      <w:lvlText w:val=""/>
      <w:lvlJc w:val="left"/>
      <w:pPr>
        <w:ind w:left="4680" w:hanging="360"/>
      </w:pPr>
      <w:rPr>
        <w:rFonts w:ascii="Wingdings" w:hAnsi="Wingdings" w:hint="default"/>
      </w:rPr>
    </w:lvl>
    <w:lvl w:ilvl="6" w:tplc="CC406EF0" w:tentative="1">
      <w:start w:val="1"/>
      <w:numFmt w:val="bullet"/>
      <w:lvlText w:val=""/>
      <w:lvlJc w:val="left"/>
      <w:pPr>
        <w:ind w:left="5400" w:hanging="360"/>
      </w:pPr>
      <w:rPr>
        <w:rFonts w:ascii="Symbol" w:hAnsi="Symbol" w:hint="default"/>
      </w:rPr>
    </w:lvl>
    <w:lvl w:ilvl="7" w:tplc="607CF36E" w:tentative="1">
      <w:start w:val="1"/>
      <w:numFmt w:val="bullet"/>
      <w:lvlText w:val="o"/>
      <w:lvlJc w:val="left"/>
      <w:pPr>
        <w:ind w:left="6120" w:hanging="360"/>
      </w:pPr>
      <w:rPr>
        <w:rFonts w:ascii="Courier New" w:hAnsi="Courier New" w:cs="Courier New" w:hint="default"/>
      </w:rPr>
    </w:lvl>
    <w:lvl w:ilvl="8" w:tplc="63BC83F0" w:tentative="1">
      <w:start w:val="1"/>
      <w:numFmt w:val="bullet"/>
      <w:lvlText w:val=""/>
      <w:lvlJc w:val="left"/>
      <w:pPr>
        <w:ind w:left="6840" w:hanging="360"/>
      </w:pPr>
      <w:rPr>
        <w:rFonts w:ascii="Wingdings" w:hAnsi="Wingdings" w:hint="default"/>
      </w:rPr>
    </w:lvl>
  </w:abstractNum>
  <w:abstractNum w:abstractNumId="14" w15:restartNumberingAfterBreak="1">
    <w:nsid w:val="37C82E19"/>
    <w:multiLevelType w:val="hybridMultilevel"/>
    <w:tmpl w:val="6422C7DE"/>
    <w:lvl w:ilvl="0" w:tplc="2A48635A">
      <w:start w:val="1"/>
      <w:numFmt w:val="bullet"/>
      <w:lvlText w:val=""/>
      <w:lvlJc w:val="left"/>
      <w:pPr>
        <w:tabs>
          <w:tab w:val="num" w:pos="720"/>
        </w:tabs>
        <w:ind w:left="720" w:hanging="360"/>
      </w:pPr>
      <w:rPr>
        <w:rFonts w:ascii="Wingdings" w:hAnsi="Wingdings" w:hint="default"/>
      </w:rPr>
    </w:lvl>
    <w:lvl w:ilvl="1" w:tplc="E5466C68">
      <w:start w:val="1"/>
      <w:numFmt w:val="bullet"/>
      <w:lvlText w:val=""/>
      <w:lvlJc w:val="left"/>
      <w:pPr>
        <w:tabs>
          <w:tab w:val="num" w:pos="1440"/>
        </w:tabs>
        <w:ind w:left="1440" w:hanging="360"/>
      </w:pPr>
      <w:rPr>
        <w:rFonts w:ascii="Wingdings" w:hAnsi="Wingdings" w:hint="default"/>
      </w:rPr>
    </w:lvl>
    <w:lvl w:ilvl="2" w:tplc="40C2CC86" w:tentative="1">
      <w:start w:val="1"/>
      <w:numFmt w:val="bullet"/>
      <w:lvlText w:val=""/>
      <w:lvlJc w:val="left"/>
      <w:pPr>
        <w:tabs>
          <w:tab w:val="num" w:pos="2160"/>
        </w:tabs>
        <w:ind w:left="2160" w:hanging="360"/>
      </w:pPr>
      <w:rPr>
        <w:rFonts w:ascii="Wingdings" w:hAnsi="Wingdings" w:hint="default"/>
      </w:rPr>
    </w:lvl>
    <w:lvl w:ilvl="3" w:tplc="E0A23E08" w:tentative="1">
      <w:start w:val="1"/>
      <w:numFmt w:val="bullet"/>
      <w:lvlText w:val=""/>
      <w:lvlJc w:val="left"/>
      <w:pPr>
        <w:tabs>
          <w:tab w:val="num" w:pos="2880"/>
        </w:tabs>
        <w:ind w:left="2880" w:hanging="360"/>
      </w:pPr>
      <w:rPr>
        <w:rFonts w:ascii="Wingdings" w:hAnsi="Wingdings" w:hint="default"/>
      </w:rPr>
    </w:lvl>
    <w:lvl w:ilvl="4" w:tplc="1B82A82E" w:tentative="1">
      <w:start w:val="1"/>
      <w:numFmt w:val="bullet"/>
      <w:lvlText w:val=""/>
      <w:lvlJc w:val="left"/>
      <w:pPr>
        <w:tabs>
          <w:tab w:val="num" w:pos="3600"/>
        </w:tabs>
        <w:ind w:left="3600" w:hanging="360"/>
      </w:pPr>
      <w:rPr>
        <w:rFonts w:ascii="Wingdings" w:hAnsi="Wingdings" w:hint="default"/>
      </w:rPr>
    </w:lvl>
    <w:lvl w:ilvl="5" w:tplc="91D07D08" w:tentative="1">
      <w:start w:val="1"/>
      <w:numFmt w:val="bullet"/>
      <w:lvlText w:val=""/>
      <w:lvlJc w:val="left"/>
      <w:pPr>
        <w:tabs>
          <w:tab w:val="num" w:pos="4320"/>
        </w:tabs>
        <w:ind w:left="4320" w:hanging="360"/>
      </w:pPr>
      <w:rPr>
        <w:rFonts w:ascii="Wingdings" w:hAnsi="Wingdings" w:hint="default"/>
      </w:rPr>
    </w:lvl>
    <w:lvl w:ilvl="6" w:tplc="1A04535C" w:tentative="1">
      <w:start w:val="1"/>
      <w:numFmt w:val="bullet"/>
      <w:lvlText w:val=""/>
      <w:lvlJc w:val="left"/>
      <w:pPr>
        <w:tabs>
          <w:tab w:val="num" w:pos="5040"/>
        </w:tabs>
        <w:ind w:left="5040" w:hanging="360"/>
      </w:pPr>
      <w:rPr>
        <w:rFonts w:ascii="Wingdings" w:hAnsi="Wingdings" w:hint="default"/>
      </w:rPr>
    </w:lvl>
    <w:lvl w:ilvl="7" w:tplc="839C8232" w:tentative="1">
      <w:start w:val="1"/>
      <w:numFmt w:val="bullet"/>
      <w:lvlText w:val=""/>
      <w:lvlJc w:val="left"/>
      <w:pPr>
        <w:tabs>
          <w:tab w:val="num" w:pos="5760"/>
        </w:tabs>
        <w:ind w:left="5760" w:hanging="360"/>
      </w:pPr>
      <w:rPr>
        <w:rFonts w:ascii="Wingdings" w:hAnsi="Wingdings" w:hint="default"/>
      </w:rPr>
    </w:lvl>
    <w:lvl w:ilvl="8" w:tplc="263A0B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1">
    <w:nsid w:val="39F769BC"/>
    <w:multiLevelType w:val="hybridMultilevel"/>
    <w:tmpl w:val="61660E28"/>
    <w:lvl w:ilvl="0" w:tplc="A308D0FA">
      <w:start w:val="1"/>
      <w:numFmt w:val="bullet"/>
      <w:lvlText w:val=""/>
      <w:lvlJc w:val="left"/>
      <w:pPr>
        <w:ind w:left="1800" w:hanging="360"/>
      </w:pPr>
      <w:rPr>
        <w:rFonts w:ascii="Symbol" w:hAnsi="Symbol" w:hint="default"/>
      </w:rPr>
    </w:lvl>
    <w:lvl w:ilvl="1" w:tplc="8C1CB10A" w:tentative="1">
      <w:start w:val="1"/>
      <w:numFmt w:val="bullet"/>
      <w:lvlText w:val="o"/>
      <w:lvlJc w:val="left"/>
      <w:pPr>
        <w:ind w:left="2520" w:hanging="360"/>
      </w:pPr>
      <w:rPr>
        <w:rFonts w:ascii="Courier New" w:hAnsi="Courier New" w:cs="Courier New" w:hint="default"/>
      </w:rPr>
    </w:lvl>
    <w:lvl w:ilvl="2" w:tplc="3A8C89F4" w:tentative="1">
      <w:start w:val="1"/>
      <w:numFmt w:val="bullet"/>
      <w:lvlText w:val=""/>
      <w:lvlJc w:val="left"/>
      <w:pPr>
        <w:ind w:left="3240" w:hanging="360"/>
      </w:pPr>
      <w:rPr>
        <w:rFonts w:ascii="Wingdings" w:hAnsi="Wingdings" w:hint="default"/>
      </w:rPr>
    </w:lvl>
    <w:lvl w:ilvl="3" w:tplc="FF366564" w:tentative="1">
      <w:start w:val="1"/>
      <w:numFmt w:val="bullet"/>
      <w:lvlText w:val=""/>
      <w:lvlJc w:val="left"/>
      <w:pPr>
        <w:ind w:left="3960" w:hanging="360"/>
      </w:pPr>
      <w:rPr>
        <w:rFonts w:ascii="Symbol" w:hAnsi="Symbol" w:hint="default"/>
      </w:rPr>
    </w:lvl>
    <w:lvl w:ilvl="4" w:tplc="0BE6B184" w:tentative="1">
      <w:start w:val="1"/>
      <w:numFmt w:val="bullet"/>
      <w:lvlText w:val="o"/>
      <w:lvlJc w:val="left"/>
      <w:pPr>
        <w:ind w:left="4680" w:hanging="360"/>
      </w:pPr>
      <w:rPr>
        <w:rFonts w:ascii="Courier New" w:hAnsi="Courier New" w:cs="Courier New" w:hint="default"/>
      </w:rPr>
    </w:lvl>
    <w:lvl w:ilvl="5" w:tplc="B272362E" w:tentative="1">
      <w:start w:val="1"/>
      <w:numFmt w:val="bullet"/>
      <w:lvlText w:val=""/>
      <w:lvlJc w:val="left"/>
      <w:pPr>
        <w:ind w:left="5400" w:hanging="360"/>
      </w:pPr>
      <w:rPr>
        <w:rFonts w:ascii="Wingdings" w:hAnsi="Wingdings" w:hint="default"/>
      </w:rPr>
    </w:lvl>
    <w:lvl w:ilvl="6" w:tplc="E5C67F70" w:tentative="1">
      <w:start w:val="1"/>
      <w:numFmt w:val="bullet"/>
      <w:lvlText w:val=""/>
      <w:lvlJc w:val="left"/>
      <w:pPr>
        <w:ind w:left="6120" w:hanging="360"/>
      </w:pPr>
      <w:rPr>
        <w:rFonts w:ascii="Symbol" w:hAnsi="Symbol" w:hint="default"/>
      </w:rPr>
    </w:lvl>
    <w:lvl w:ilvl="7" w:tplc="73F6FF34" w:tentative="1">
      <w:start w:val="1"/>
      <w:numFmt w:val="bullet"/>
      <w:lvlText w:val="o"/>
      <w:lvlJc w:val="left"/>
      <w:pPr>
        <w:ind w:left="6840" w:hanging="360"/>
      </w:pPr>
      <w:rPr>
        <w:rFonts w:ascii="Courier New" w:hAnsi="Courier New" w:cs="Courier New" w:hint="default"/>
      </w:rPr>
    </w:lvl>
    <w:lvl w:ilvl="8" w:tplc="053E9836" w:tentative="1">
      <w:start w:val="1"/>
      <w:numFmt w:val="bullet"/>
      <w:lvlText w:val=""/>
      <w:lvlJc w:val="left"/>
      <w:pPr>
        <w:ind w:left="7560" w:hanging="360"/>
      </w:pPr>
      <w:rPr>
        <w:rFonts w:ascii="Wingdings" w:hAnsi="Wingdings" w:hint="default"/>
      </w:rPr>
    </w:lvl>
  </w:abstractNum>
  <w:abstractNum w:abstractNumId="16" w15:restartNumberingAfterBreak="1">
    <w:nsid w:val="3F724B03"/>
    <w:multiLevelType w:val="hybridMultilevel"/>
    <w:tmpl w:val="AFE67A42"/>
    <w:lvl w:ilvl="0" w:tplc="7CE848DE">
      <w:start w:val="1"/>
      <w:numFmt w:val="bullet"/>
      <w:lvlText w:val="-"/>
      <w:lvlJc w:val="left"/>
      <w:pPr>
        <w:ind w:left="717" w:hanging="360"/>
      </w:pPr>
      <w:rPr>
        <w:rFonts w:ascii="Times New Roman" w:eastAsia="Times New Roman" w:hAnsi="Times New Roman" w:cs="Times New Roman" w:hint="default"/>
        <w:b w:val="0"/>
        <w:color w:val="auto"/>
        <w:sz w:val="28"/>
      </w:rPr>
    </w:lvl>
    <w:lvl w:ilvl="1" w:tplc="C45A4798" w:tentative="1">
      <w:start w:val="1"/>
      <w:numFmt w:val="bullet"/>
      <w:lvlText w:val="o"/>
      <w:lvlJc w:val="left"/>
      <w:pPr>
        <w:ind w:left="1437" w:hanging="360"/>
      </w:pPr>
      <w:rPr>
        <w:rFonts w:ascii="Courier New" w:hAnsi="Courier New" w:cs="Courier New" w:hint="default"/>
      </w:rPr>
    </w:lvl>
    <w:lvl w:ilvl="2" w:tplc="FC700FC4" w:tentative="1">
      <w:start w:val="1"/>
      <w:numFmt w:val="bullet"/>
      <w:lvlText w:val=""/>
      <w:lvlJc w:val="left"/>
      <w:pPr>
        <w:ind w:left="2157" w:hanging="360"/>
      </w:pPr>
      <w:rPr>
        <w:rFonts w:ascii="Wingdings" w:hAnsi="Wingdings" w:hint="default"/>
      </w:rPr>
    </w:lvl>
    <w:lvl w:ilvl="3" w:tplc="5588B88C" w:tentative="1">
      <w:start w:val="1"/>
      <w:numFmt w:val="bullet"/>
      <w:lvlText w:val=""/>
      <w:lvlJc w:val="left"/>
      <w:pPr>
        <w:ind w:left="2877" w:hanging="360"/>
      </w:pPr>
      <w:rPr>
        <w:rFonts w:ascii="Symbol" w:hAnsi="Symbol" w:hint="default"/>
      </w:rPr>
    </w:lvl>
    <w:lvl w:ilvl="4" w:tplc="8C065C76" w:tentative="1">
      <w:start w:val="1"/>
      <w:numFmt w:val="bullet"/>
      <w:lvlText w:val="o"/>
      <w:lvlJc w:val="left"/>
      <w:pPr>
        <w:ind w:left="3597" w:hanging="360"/>
      </w:pPr>
      <w:rPr>
        <w:rFonts w:ascii="Courier New" w:hAnsi="Courier New" w:cs="Courier New" w:hint="default"/>
      </w:rPr>
    </w:lvl>
    <w:lvl w:ilvl="5" w:tplc="8F3ECBC4" w:tentative="1">
      <w:start w:val="1"/>
      <w:numFmt w:val="bullet"/>
      <w:lvlText w:val=""/>
      <w:lvlJc w:val="left"/>
      <w:pPr>
        <w:ind w:left="4317" w:hanging="360"/>
      </w:pPr>
      <w:rPr>
        <w:rFonts w:ascii="Wingdings" w:hAnsi="Wingdings" w:hint="default"/>
      </w:rPr>
    </w:lvl>
    <w:lvl w:ilvl="6" w:tplc="B200290E" w:tentative="1">
      <w:start w:val="1"/>
      <w:numFmt w:val="bullet"/>
      <w:lvlText w:val=""/>
      <w:lvlJc w:val="left"/>
      <w:pPr>
        <w:ind w:left="5037" w:hanging="360"/>
      </w:pPr>
      <w:rPr>
        <w:rFonts w:ascii="Symbol" w:hAnsi="Symbol" w:hint="default"/>
      </w:rPr>
    </w:lvl>
    <w:lvl w:ilvl="7" w:tplc="4FCCA34A" w:tentative="1">
      <w:start w:val="1"/>
      <w:numFmt w:val="bullet"/>
      <w:lvlText w:val="o"/>
      <w:lvlJc w:val="left"/>
      <w:pPr>
        <w:ind w:left="5757" w:hanging="360"/>
      </w:pPr>
      <w:rPr>
        <w:rFonts w:ascii="Courier New" w:hAnsi="Courier New" w:cs="Courier New" w:hint="default"/>
      </w:rPr>
    </w:lvl>
    <w:lvl w:ilvl="8" w:tplc="D40EA616" w:tentative="1">
      <w:start w:val="1"/>
      <w:numFmt w:val="bullet"/>
      <w:lvlText w:val=""/>
      <w:lvlJc w:val="left"/>
      <w:pPr>
        <w:ind w:left="6477" w:hanging="360"/>
      </w:pPr>
      <w:rPr>
        <w:rFonts w:ascii="Wingdings" w:hAnsi="Wingdings" w:hint="default"/>
      </w:rPr>
    </w:lvl>
  </w:abstractNum>
  <w:abstractNum w:abstractNumId="17" w15:restartNumberingAfterBreak="1">
    <w:nsid w:val="40512A16"/>
    <w:multiLevelType w:val="hybridMultilevel"/>
    <w:tmpl w:val="6D6A1A0C"/>
    <w:lvl w:ilvl="0" w:tplc="2836F174">
      <w:start w:val="4"/>
      <w:numFmt w:val="bullet"/>
      <w:lvlText w:val="-"/>
      <w:lvlJc w:val="left"/>
      <w:pPr>
        <w:ind w:left="1069" w:hanging="360"/>
      </w:pPr>
      <w:rPr>
        <w:rFonts w:ascii="Times New Roman" w:eastAsiaTheme="minorHAnsi" w:hAnsi="Times New Roman" w:cs="Times New Roman" w:hint="default"/>
      </w:rPr>
    </w:lvl>
    <w:lvl w:ilvl="1" w:tplc="A60E0170" w:tentative="1">
      <w:start w:val="1"/>
      <w:numFmt w:val="lowerLetter"/>
      <w:lvlText w:val="%2."/>
      <w:lvlJc w:val="left"/>
      <w:pPr>
        <w:ind w:left="1789" w:hanging="360"/>
      </w:pPr>
    </w:lvl>
    <w:lvl w:ilvl="2" w:tplc="6714E468" w:tentative="1">
      <w:start w:val="1"/>
      <w:numFmt w:val="lowerRoman"/>
      <w:lvlText w:val="%3."/>
      <w:lvlJc w:val="right"/>
      <w:pPr>
        <w:ind w:left="2509" w:hanging="180"/>
      </w:pPr>
    </w:lvl>
    <w:lvl w:ilvl="3" w:tplc="F7A4E3D4" w:tentative="1">
      <w:start w:val="1"/>
      <w:numFmt w:val="decimal"/>
      <w:lvlText w:val="%4."/>
      <w:lvlJc w:val="left"/>
      <w:pPr>
        <w:ind w:left="3229" w:hanging="360"/>
      </w:pPr>
    </w:lvl>
    <w:lvl w:ilvl="4" w:tplc="E960B39A" w:tentative="1">
      <w:start w:val="1"/>
      <w:numFmt w:val="lowerLetter"/>
      <w:lvlText w:val="%5."/>
      <w:lvlJc w:val="left"/>
      <w:pPr>
        <w:ind w:left="3949" w:hanging="360"/>
      </w:pPr>
    </w:lvl>
    <w:lvl w:ilvl="5" w:tplc="CF82656C" w:tentative="1">
      <w:start w:val="1"/>
      <w:numFmt w:val="lowerRoman"/>
      <w:lvlText w:val="%6."/>
      <w:lvlJc w:val="right"/>
      <w:pPr>
        <w:ind w:left="4669" w:hanging="180"/>
      </w:pPr>
    </w:lvl>
    <w:lvl w:ilvl="6" w:tplc="64C8D92C" w:tentative="1">
      <w:start w:val="1"/>
      <w:numFmt w:val="decimal"/>
      <w:lvlText w:val="%7."/>
      <w:lvlJc w:val="left"/>
      <w:pPr>
        <w:ind w:left="5389" w:hanging="360"/>
      </w:pPr>
    </w:lvl>
    <w:lvl w:ilvl="7" w:tplc="257EC7C8" w:tentative="1">
      <w:start w:val="1"/>
      <w:numFmt w:val="lowerLetter"/>
      <w:lvlText w:val="%8."/>
      <w:lvlJc w:val="left"/>
      <w:pPr>
        <w:ind w:left="6109" w:hanging="360"/>
      </w:pPr>
    </w:lvl>
    <w:lvl w:ilvl="8" w:tplc="E3F01820" w:tentative="1">
      <w:start w:val="1"/>
      <w:numFmt w:val="lowerRoman"/>
      <w:lvlText w:val="%9."/>
      <w:lvlJc w:val="right"/>
      <w:pPr>
        <w:ind w:left="6829" w:hanging="180"/>
      </w:pPr>
    </w:lvl>
  </w:abstractNum>
  <w:abstractNum w:abstractNumId="18" w15:restartNumberingAfterBreak="1">
    <w:nsid w:val="412C75CC"/>
    <w:multiLevelType w:val="hybridMultilevel"/>
    <w:tmpl w:val="633A22EA"/>
    <w:lvl w:ilvl="0" w:tplc="8B62DABE">
      <w:start w:val="1"/>
      <w:numFmt w:val="decimal"/>
      <w:lvlText w:val="%1."/>
      <w:lvlJc w:val="left"/>
      <w:pPr>
        <w:ind w:left="1080" w:hanging="360"/>
      </w:pPr>
      <w:rPr>
        <w:rFonts w:hint="default"/>
      </w:rPr>
    </w:lvl>
    <w:lvl w:ilvl="1" w:tplc="6F349F0E" w:tentative="1">
      <w:start w:val="1"/>
      <w:numFmt w:val="lowerLetter"/>
      <w:lvlText w:val="%2."/>
      <w:lvlJc w:val="left"/>
      <w:pPr>
        <w:ind w:left="1800" w:hanging="360"/>
      </w:pPr>
    </w:lvl>
    <w:lvl w:ilvl="2" w:tplc="49B41476" w:tentative="1">
      <w:start w:val="1"/>
      <w:numFmt w:val="lowerRoman"/>
      <w:lvlText w:val="%3."/>
      <w:lvlJc w:val="right"/>
      <w:pPr>
        <w:ind w:left="2520" w:hanging="180"/>
      </w:pPr>
    </w:lvl>
    <w:lvl w:ilvl="3" w:tplc="4822B2B2" w:tentative="1">
      <w:start w:val="1"/>
      <w:numFmt w:val="decimal"/>
      <w:lvlText w:val="%4."/>
      <w:lvlJc w:val="left"/>
      <w:pPr>
        <w:ind w:left="3240" w:hanging="360"/>
      </w:pPr>
    </w:lvl>
    <w:lvl w:ilvl="4" w:tplc="D0D40C24" w:tentative="1">
      <w:start w:val="1"/>
      <w:numFmt w:val="lowerLetter"/>
      <w:lvlText w:val="%5."/>
      <w:lvlJc w:val="left"/>
      <w:pPr>
        <w:ind w:left="3960" w:hanging="360"/>
      </w:pPr>
    </w:lvl>
    <w:lvl w:ilvl="5" w:tplc="079C6928" w:tentative="1">
      <w:start w:val="1"/>
      <w:numFmt w:val="lowerRoman"/>
      <w:lvlText w:val="%6."/>
      <w:lvlJc w:val="right"/>
      <w:pPr>
        <w:ind w:left="4680" w:hanging="180"/>
      </w:pPr>
    </w:lvl>
    <w:lvl w:ilvl="6" w:tplc="C242E7B2" w:tentative="1">
      <w:start w:val="1"/>
      <w:numFmt w:val="decimal"/>
      <w:lvlText w:val="%7."/>
      <w:lvlJc w:val="left"/>
      <w:pPr>
        <w:ind w:left="5400" w:hanging="360"/>
      </w:pPr>
    </w:lvl>
    <w:lvl w:ilvl="7" w:tplc="206E72B2" w:tentative="1">
      <w:start w:val="1"/>
      <w:numFmt w:val="lowerLetter"/>
      <w:lvlText w:val="%8."/>
      <w:lvlJc w:val="left"/>
      <w:pPr>
        <w:ind w:left="6120" w:hanging="360"/>
      </w:pPr>
    </w:lvl>
    <w:lvl w:ilvl="8" w:tplc="8622633E" w:tentative="1">
      <w:start w:val="1"/>
      <w:numFmt w:val="lowerRoman"/>
      <w:lvlText w:val="%9."/>
      <w:lvlJc w:val="right"/>
      <w:pPr>
        <w:ind w:left="6840" w:hanging="180"/>
      </w:pPr>
    </w:lvl>
  </w:abstractNum>
  <w:abstractNum w:abstractNumId="19" w15:restartNumberingAfterBreak="1">
    <w:nsid w:val="47775680"/>
    <w:multiLevelType w:val="hybridMultilevel"/>
    <w:tmpl w:val="7AC413D6"/>
    <w:lvl w:ilvl="0" w:tplc="C72A4824">
      <w:start w:val="1"/>
      <w:numFmt w:val="bullet"/>
      <w:lvlText w:val=""/>
      <w:lvlJc w:val="left"/>
      <w:pPr>
        <w:tabs>
          <w:tab w:val="num" w:pos="720"/>
        </w:tabs>
        <w:ind w:left="720" w:hanging="360"/>
      </w:pPr>
      <w:rPr>
        <w:rFonts w:ascii="Wingdings" w:hAnsi="Wingdings" w:hint="default"/>
      </w:rPr>
    </w:lvl>
    <w:lvl w:ilvl="1" w:tplc="DAA2085C">
      <w:start w:val="1"/>
      <w:numFmt w:val="bullet"/>
      <w:lvlText w:val=""/>
      <w:lvlJc w:val="left"/>
      <w:pPr>
        <w:tabs>
          <w:tab w:val="num" w:pos="1440"/>
        </w:tabs>
        <w:ind w:left="1440" w:hanging="360"/>
      </w:pPr>
      <w:rPr>
        <w:rFonts w:ascii="Symbol" w:hAnsi="Symbol" w:hint="default"/>
      </w:rPr>
    </w:lvl>
    <w:lvl w:ilvl="2" w:tplc="10D8A916" w:tentative="1">
      <w:start w:val="1"/>
      <w:numFmt w:val="bullet"/>
      <w:lvlText w:val=""/>
      <w:lvlJc w:val="left"/>
      <w:pPr>
        <w:tabs>
          <w:tab w:val="num" w:pos="2160"/>
        </w:tabs>
        <w:ind w:left="2160" w:hanging="360"/>
      </w:pPr>
      <w:rPr>
        <w:rFonts w:ascii="Wingdings" w:hAnsi="Wingdings" w:hint="default"/>
      </w:rPr>
    </w:lvl>
    <w:lvl w:ilvl="3" w:tplc="4976BA36" w:tentative="1">
      <w:start w:val="1"/>
      <w:numFmt w:val="bullet"/>
      <w:lvlText w:val=""/>
      <w:lvlJc w:val="left"/>
      <w:pPr>
        <w:tabs>
          <w:tab w:val="num" w:pos="2880"/>
        </w:tabs>
        <w:ind w:left="2880" w:hanging="360"/>
      </w:pPr>
      <w:rPr>
        <w:rFonts w:ascii="Wingdings" w:hAnsi="Wingdings" w:hint="default"/>
      </w:rPr>
    </w:lvl>
    <w:lvl w:ilvl="4" w:tplc="56AEB666" w:tentative="1">
      <w:start w:val="1"/>
      <w:numFmt w:val="bullet"/>
      <w:lvlText w:val=""/>
      <w:lvlJc w:val="left"/>
      <w:pPr>
        <w:tabs>
          <w:tab w:val="num" w:pos="3600"/>
        </w:tabs>
        <w:ind w:left="3600" w:hanging="360"/>
      </w:pPr>
      <w:rPr>
        <w:rFonts w:ascii="Wingdings" w:hAnsi="Wingdings" w:hint="default"/>
      </w:rPr>
    </w:lvl>
    <w:lvl w:ilvl="5" w:tplc="02A4C744" w:tentative="1">
      <w:start w:val="1"/>
      <w:numFmt w:val="bullet"/>
      <w:lvlText w:val=""/>
      <w:lvlJc w:val="left"/>
      <w:pPr>
        <w:tabs>
          <w:tab w:val="num" w:pos="4320"/>
        </w:tabs>
        <w:ind w:left="4320" w:hanging="360"/>
      </w:pPr>
      <w:rPr>
        <w:rFonts w:ascii="Wingdings" w:hAnsi="Wingdings" w:hint="default"/>
      </w:rPr>
    </w:lvl>
    <w:lvl w:ilvl="6" w:tplc="31669B54" w:tentative="1">
      <w:start w:val="1"/>
      <w:numFmt w:val="bullet"/>
      <w:lvlText w:val=""/>
      <w:lvlJc w:val="left"/>
      <w:pPr>
        <w:tabs>
          <w:tab w:val="num" w:pos="5040"/>
        </w:tabs>
        <w:ind w:left="5040" w:hanging="360"/>
      </w:pPr>
      <w:rPr>
        <w:rFonts w:ascii="Wingdings" w:hAnsi="Wingdings" w:hint="default"/>
      </w:rPr>
    </w:lvl>
    <w:lvl w:ilvl="7" w:tplc="6246B03E" w:tentative="1">
      <w:start w:val="1"/>
      <w:numFmt w:val="bullet"/>
      <w:lvlText w:val=""/>
      <w:lvlJc w:val="left"/>
      <w:pPr>
        <w:tabs>
          <w:tab w:val="num" w:pos="5760"/>
        </w:tabs>
        <w:ind w:left="5760" w:hanging="360"/>
      </w:pPr>
      <w:rPr>
        <w:rFonts w:ascii="Wingdings" w:hAnsi="Wingdings" w:hint="default"/>
      </w:rPr>
    </w:lvl>
    <w:lvl w:ilvl="8" w:tplc="EC90DCA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1">
    <w:nsid w:val="4B0D7552"/>
    <w:multiLevelType w:val="hybridMultilevel"/>
    <w:tmpl w:val="345C202A"/>
    <w:lvl w:ilvl="0" w:tplc="31643B92">
      <w:start w:val="1"/>
      <w:numFmt w:val="bullet"/>
      <w:lvlText w:val="o"/>
      <w:lvlJc w:val="left"/>
      <w:pPr>
        <w:ind w:left="1069" w:hanging="360"/>
      </w:pPr>
      <w:rPr>
        <w:rFonts w:ascii="Courier New" w:hAnsi="Courier New" w:cs="Courier New" w:hint="default"/>
        <w:color w:val="000000"/>
      </w:rPr>
    </w:lvl>
    <w:lvl w:ilvl="1" w:tplc="B6CC5D9A">
      <w:start w:val="1"/>
      <w:numFmt w:val="bullet"/>
      <w:lvlText w:val="o"/>
      <w:lvlJc w:val="left"/>
      <w:pPr>
        <w:ind w:left="1789" w:hanging="360"/>
      </w:pPr>
      <w:rPr>
        <w:rFonts w:ascii="Courier New" w:hAnsi="Courier New" w:cs="Courier New" w:hint="default"/>
      </w:rPr>
    </w:lvl>
    <w:lvl w:ilvl="2" w:tplc="50AA11A8">
      <w:start w:val="1"/>
      <w:numFmt w:val="bullet"/>
      <w:lvlText w:val=""/>
      <w:lvlJc w:val="left"/>
      <w:pPr>
        <w:ind w:left="2509" w:hanging="360"/>
      </w:pPr>
      <w:rPr>
        <w:rFonts w:ascii="Wingdings" w:hAnsi="Wingdings" w:hint="default"/>
      </w:rPr>
    </w:lvl>
    <w:lvl w:ilvl="3" w:tplc="DAC07B96" w:tentative="1">
      <w:start w:val="1"/>
      <w:numFmt w:val="bullet"/>
      <w:lvlText w:val=""/>
      <w:lvlJc w:val="left"/>
      <w:pPr>
        <w:ind w:left="3229" w:hanging="360"/>
      </w:pPr>
      <w:rPr>
        <w:rFonts w:ascii="Symbol" w:hAnsi="Symbol" w:hint="default"/>
      </w:rPr>
    </w:lvl>
    <w:lvl w:ilvl="4" w:tplc="99BC2966" w:tentative="1">
      <w:start w:val="1"/>
      <w:numFmt w:val="bullet"/>
      <w:lvlText w:val="o"/>
      <w:lvlJc w:val="left"/>
      <w:pPr>
        <w:ind w:left="3949" w:hanging="360"/>
      </w:pPr>
      <w:rPr>
        <w:rFonts w:ascii="Courier New" w:hAnsi="Courier New" w:cs="Courier New" w:hint="default"/>
      </w:rPr>
    </w:lvl>
    <w:lvl w:ilvl="5" w:tplc="BAE8F906" w:tentative="1">
      <w:start w:val="1"/>
      <w:numFmt w:val="bullet"/>
      <w:lvlText w:val=""/>
      <w:lvlJc w:val="left"/>
      <w:pPr>
        <w:ind w:left="4669" w:hanging="360"/>
      </w:pPr>
      <w:rPr>
        <w:rFonts w:ascii="Wingdings" w:hAnsi="Wingdings" w:hint="default"/>
      </w:rPr>
    </w:lvl>
    <w:lvl w:ilvl="6" w:tplc="282C74F8" w:tentative="1">
      <w:start w:val="1"/>
      <w:numFmt w:val="bullet"/>
      <w:lvlText w:val=""/>
      <w:lvlJc w:val="left"/>
      <w:pPr>
        <w:ind w:left="5389" w:hanging="360"/>
      </w:pPr>
      <w:rPr>
        <w:rFonts w:ascii="Symbol" w:hAnsi="Symbol" w:hint="default"/>
      </w:rPr>
    </w:lvl>
    <w:lvl w:ilvl="7" w:tplc="D458D954" w:tentative="1">
      <w:start w:val="1"/>
      <w:numFmt w:val="bullet"/>
      <w:lvlText w:val="o"/>
      <w:lvlJc w:val="left"/>
      <w:pPr>
        <w:ind w:left="6109" w:hanging="360"/>
      </w:pPr>
      <w:rPr>
        <w:rFonts w:ascii="Courier New" w:hAnsi="Courier New" w:cs="Courier New" w:hint="default"/>
      </w:rPr>
    </w:lvl>
    <w:lvl w:ilvl="8" w:tplc="017099C6" w:tentative="1">
      <w:start w:val="1"/>
      <w:numFmt w:val="bullet"/>
      <w:lvlText w:val=""/>
      <w:lvlJc w:val="left"/>
      <w:pPr>
        <w:ind w:left="6829" w:hanging="360"/>
      </w:pPr>
      <w:rPr>
        <w:rFonts w:ascii="Wingdings" w:hAnsi="Wingdings" w:hint="default"/>
      </w:rPr>
    </w:lvl>
  </w:abstractNum>
  <w:abstractNum w:abstractNumId="21" w15:restartNumberingAfterBreak="1">
    <w:nsid w:val="4D3A7982"/>
    <w:multiLevelType w:val="hybridMultilevel"/>
    <w:tmpl w:val="FFAE3988"/>
    <w:lvl w:ilvl="0" w:tplc="0C50A0D4">
      <w:start w:val="1"/>
      <w:numFmt w:val="decimal"/>
      <w:lvlText w:val="%1."/>
      <w:lvlJc w:val="left"/>
      <w:pPr>
        <w:ind w:left="720" w:hanging="360"/>
      </w:pPr>
      <w:rPr>
        <w:rFonts w:hint="default"/>
      </w:rPr>
    </w:lvl>
    <w:lvl w:ilvl="1" w:tplc="6B4A625E" w:tentative="1">
      <w:start w:val="1"/>
      <w:numFmt w:val="lowerLetter"/>
      <w:lvlText w:val="%2."/>
      <w:lvlJc w:val="left"/>
      <w:pPr>
        <w:ind w:left="1440" w:hanging="360"/>
      </w:pPr>
    </w:lvl>
    <w:lvl w:ilvl="2" w:tplc="1DE8C33C" w:tentative="1">
      <w:start w:val="1"/>
      <w:numFmt w:val="lowerRoman"/>
      <w:lvlText w:val="%3."/>
      <w:lvlJc w:val="right"/>
      <w:pPr>
        <w:ind w:left="2160" w:hanging="180"/>
      </w:pPr>
    </w:lvl>
    <w:lvl w:ilvl="3" w:tplc="790A1A00" w:tentative="1">
      <w:start w:val="1"/>
      <w:numFmt w:val="decimal"/>
      <w:lvlText w:val="%4."/>
      <w:lvlJc w:val="left"/>
      <w:pPr>
        <w:ind w:left="2880" w:hanging="360"/>
      </w:pPr>
    </w:lvl>
    <w:lvl w:ilvl="4" w:tplc="F6F26516" w:tentative="1">
      <w:start w:val="1"/>
      <w:numFmt w:val="lowerLetter"/>
      <w:lvlText w:val="%5."/>
      <w:lvlJc w:val="left"/>
      <w:pPr>
        <w:ind w:left="3600" w:hanging="360"/>
      </w:pPr>
    </w:lvl>
    <w:lvl w:ilvl="5" w:tplc="553428CE" w:tentative="1">
      <w:start w:val="1"/>
      <w:numFmt w:val="lowerRoman"/>
      <w:lvlText w:val="%6."/>
      <w:lvlJc w:val="right"/>
      <w:pPr>
        <w:ind w:left="4320" w:hanging="180"/>
      </w:pPr>
    </w:lvl>
    <w:lvl w:ilvl="6" w:tplc="DC2CFEA6" w:tentative="1">
      <w:start w:val="1"/>
      <w:numFmt w:val="decimal"/>
      <w:lvlText w:val="%7."/>
      <w:lvlJc w:val="left"/>
      <w:pPr>
        <w:ind w:left="5040" w:hanging="360"/>
      </w:pPr>
    </w:lvl>
    <w:lvl w:ilvl="7" w:tplc="B1E40C48" w:tentative="1">
      <w:start w:val="1"/>
      <w:numFmt w:val="lowerLetter"/>
      <w:lvlText w:val="%8."/>
      <w:lvlJc w:val="left"/>
      <w:pPr>
        <w:ind w:left="5760" w:hanging="360"/>
      </w:pPr>
    </w:lvl>
    <w:lvl w:ilvl="8" w:tplc="8E1C562E" w:tentative="1">
      <w:start w:val="1"/>
      <w:numFmt w:val="lowerRoman"/>
      <w:lvlText w:val="%9."/>
      <w:lvlJc w:val="right"/>
      <w:pPr>
        <w:ind w:left="6480" w:hanging="180"/>
      </w:pPr>
    </w:lvl>
  </w:abstractNum>
  <w:abstractNum w:abstractNumId="22" w15:restartNumberingAfterBreak="1">
    <w:nsid w:val="4D8F27AE"/>
    <w:multiLevelType w:val="multilevel"/>
    <w:tmpl w:val="D0DE7C3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1">
    <w:nsid w:val="548D6A9F"/>
    <w:multiLevelType w:val="hybridMultilevel"/>
    <w:tmpl w:val="5F00117E"/>
    <w:lvl w:ilvl="0" w:tplc="42E6DD56">
      <w:start w:val="1"/>
      <w:numFmt w:val="decimal"/>
      <w:lvlText w:val="%1."/>
      <w:lvlJc w:val="left"/>
      <w:pPr>
        <w:ind w:left="1440" w:hanging="360"/>
      </w:pPr>
    </w:lvl>
    <w:lvl w:ilvl="1" w:tplc="B6FEA904" w:tentative="1">
      <w:start w:val="1"/>
      <w:numFmt w:val="lowerLetter"/>
      <w:lvlText w:val="%2."/>
      <w:lvlJc w:val="left"/>
      <w:pPr>
        <w:ind w:left="2160" w:hanging="360"/>
      </w:pPr>
    </w:lvl>
    <w:lvl w:ilvl="2" w:tplc="83F4BC3E" w:tentative="1">
      <w:start w:val="1"/>
      <w:numFmt w:val="lowerRoman"/>
      <w:lvlText w:val="%3."/>
      <w:lvlJc w:val="right"/>
      <w:pPr>
        <w:ind w:left="2880" w:hanging="180"/>
      </w:pPr>
    </w:lvl>
    <w:lvl w:ilvl="3" w:tplc="0BA87992" w:tentative="1">
      <w:start w:val="1"/>
      <w:numFmt w:val="decimal"/>
      <w:lvlText w:val="%4."/>
      <w:lvlJc w:val="left"/>
      <w:pPr>
        <w:ind w:left="3600" w:hanging="360"/>
      </w:pPr>
    </w:lvl>
    <w:lvl w:ilvl="4" w:tplc="62DAD588" w:tentative="1">
      <w:start w:val="1"/>
      <w:numFmt w:val="lowerLetter"/>
      <w:lvlText w:val="%5."/>
      <w:lvlJc w:val="left"/>
      <w:pPr>
        <w:ind w:left="4320" w:hanging="360"/>
      </w:pPr>
    </w:lvl>
    <w:lvl w:ilvl="5" w:tplc="3C78512A" w:tentative="1">
      <w:start w:val="1"/>
      <w:numFmt w:val="lowerRoman"/>
      <w:lvlText w:val="%6."/>
      <w:lvlJc w:val="right"/>
      <w:pPr>
        <w:ind w:left="5040" w:hanging="180"/>
      </w:pPr>
    </w:lvl>
    <w:lvl w:ilvl="6" w:tplc="48A44212" w:tentative="1">
      <w:start w:val="1"/>
      <w:numFmt w:val="decimal"/>
      <w:lvlText w:val="%7."/>
      <w:lvlJc w:val="left"/>
      <w:pPr>
        <w:ind w:left="5760" w:hanging="360"/>
      </w:pPr>
    </w:lvl>
    <w:lvl w:ilvl="7" w:tplc="22207DB4" w:tentative="1">
      <w:start w:val="1"/>
      <w:numFmt w:val="lowerLetter"/>
      <w:lvlText w:val="%8."/>
      <w:lvlJc w:val="left"/>
      <w:pPr>
        <w:ind w:left="6480" w:hanging="360"/>
      </w:pPr>
    </w:lvl>
    <w:lvl w:ilvl="8" w:tplc="D4C06B88" w:tentative="1">
      <w:start w:val="1"/>
      <w:numFmt w:val="lowerRoman"/>
      <w:lvlText w:val="%9."/>
      <w:lvlJc w:val="right"/>
      <w:pPr>
        <w:ind w:left="7200" w:hanging="180"/>
      </w:pPr>
    </w:lvl>
  </w:abstractNum>
  <w:abstractNum w:abstractNumId="24" w15:restartNumberingAfterBreak="1">
    <w:nsid w:val="56293B19"/>
    <w:multiLevelType w:val="hybridMultilevel"/>
    <w:tmpl w:val="BD38BB7E"/>
    <w:lvl w:ilvl="0" w:tplc="681441CE">
      <w:start w:val="1"/>
      <w:numFmt w:val="decimal"/>
      <w:lvlText w:val="%1."/>
      <w:lvlJc w:val="left"/>
      <w:pPr>
        <w:ind w:left="720" w:hanging="360"/>
      </w:pPr>
    </w:lvl>
    <w:lvl w:ilvl="1" w:tplc="FA5E72F8">
      <w:start w:val="1"/>
      <w:numFmt w:val="lowerLetter"/>
      <w:lvlText w:val="%2."/>
      <w:lvlJc w:val="left"/>
      <w:pPr>
        <w:ind w:left="1440" w:hanging="360"/>
      </w:pPr>
    </w:lvl>
    <w:lvl w:ilvl="2" w:tplc="174066A0">
      <w:start w:val="1"/>
      <w:numFmt w:val="lowerRoman"/>
      <w:lvlText w:val="%3."/>
      <w:lvlJc w:val="right"/>
      <w:pPr>
        <w:ind w:left="2160" w:hanging="180"/>
      </w:pPr>
    </w:lvl>
    <w:lvl w:ilvl="3" w:tplc="9BD4819E">
      <w:start w:val="1"/>
      <w:numFmt w:val="decimal"/>
      <w:lvlText w:val="%4."/>
      <w:lvlJc w:val="left"/>
      <w:pPr>
        <w:ind w:left="2880" w:hanging="360"/>
      </w:pPr>
    </w:lvl>
    <w:lvl w:ilvl="4" w:tplc="30D82A26">
      <w:start w:val="1"/>
      <w:numFmt w:val="lowerLetter"/>
      <w:lvlText w:val="%5."/>
      <w:lvlJc w:val="left"/>
      <w:pPr>
        <w:ind w:left="3600" w:hanging="360"/>
      </w:pPr>
    </w:lvl>
    <w:lvl w:ilvl="5" w:tplc="73282606">
      <w:start w:val="1"/>
      <w:numFmt w:val="lowerRoman"/>
      <w:lvlText w:val="%6."/>
      <w:lvlJc w:val="right"/>
      <w:pPr>
        <w:ind w:left="4320" w:hanging="180"/>
      </w:pPr>
    </w:lvl>
    <w:lvl w:ilvl="6" w:tplc="0EE2704E">
      <w:start w:val="1"/>
      <w:numFmt w:val="decimal"/>
      <w:lvlText w:val="%7."/>
      <w:lvlJc w:val="left"/>
      <w:pPr>
        <w:ind w:left="5040" w:hanging="360"/>
      </w:pPr>
    </w:lvl>
    <w:lvl w:ilvl="7" w:tplc="F628F0E0">
      <w:start w:val="1"/>
      <w:numFmt w:val="lowerLetter"/>
      <w:lvlText w:val="%8."/>
      <w:lvlJc w:val="left"/>
      <w:pPr>
        <w:ind w:left="5760" w:hanging="360"/>
      </w:pPr>
    </w:lvl>
    <w:lvl w:ilvl="8" w:tplc="85429A66">
      <w:start w:val="1"/>
      <w:numFmt w:val="lowerRoman"/>
      <w:lvlText w:val="%9."/>
      <w:lvlJc w:val="right"/>
      <w:pPr>
        <w:ind w:left="6480" w:hanging="180"/>
      </w:pPr>
    </w:lvl>
  </w:abstractNum>
  <w:abstractNum w:abstractNumId="25" w15:restartNumberingAfterBreak="1">
    <w:nsid w:val="577F6354"/>
    <w:multiLevelType w:val="hybridMultilevel"/>
    <w:tmpl w:val="A9824ED0"/>
    <w:lvl w:ilvl="0" w:tplc="AFACD52E">
      <w:start w:val="1"/>
      <w:numFmt w:val="bullet"/>
      <w:lvlText w:val=""/>
      <w:lvlJc w:val="left"/>
      <w:pPr>
        <w:ind w:left="720" w:hanging="360"/>
      </w:pPr>
      <w:rPr>
        <w:rFonts w:ascii="Symbol" w:hAnsi="Symbol" w:hint="default"/>
      </w:rPr>
    </w:lvl>
    <w:lvl w:ilvl="1" w:tplc="E3FA7890">
      <w:start w:val="1"/>
      <w:numFmt w:val="bullet"/>
      <w:lvlText w:val="o"/>
      <w:lvlJc w:val="left"/>
      <w:pPr>
        <w:ind w:left="1440" w:hanging="360"/>
      </w:pPr>
      <w:rPr>
        <w:rFonts w:ascii="Courier New" w:hAnsi="Courier New" w:hint="default"/>
      </w:rPr>
    </w:lvl>
    <w:lvl w:ilvl="2" w:tplc="93603F88">
      <w:start w:val="1"/>
      <w:numFmt w:val="bullet"/>
      <w:lvlText w:val=""/>
      <w:lvlJc w:val="left"/>
      <w:pPr>
        <w:ind w:left="2160" w:hanging="360"/>
      </w:pPr>
      <w:rPr>
        <w:rFonts w:ascii="Wingdings" w:hAnsi="Wingdings" w:hint="default"/>
      </w:rPr>
    </w:lvl>
    <w:lvl w:ilvl="3" w:tplc="AA1A4C6C">
      <w:start w:val="1"/>
      <w:numFmt w:val="bullet"/>
      <w:lvlText w:val=""/>
      <w:lvlJc w:val="left"/>
      <w:pPr>
        <w:ind w:left="2880" w:hanging="360"/>
      </w:pPr>
      <w:rPr>
        <w:rFonts w:ascii="Symbol" w:hAnsi="Symbol" w:hint="default"/>
      </w:rPr>
    </w:lvl>
    <w:lvl w:ilvl="4" w:tplc="1C96F38C">
      <w:start w:val="1"/>
      <w:numFmt w:val="bullet"/>
      <w:lvlText w:val="o"/>
      <w:lvlJc w:val="left"/>
      <w:pPr>
        <w:ind w:left="3600" w:hanging="360"/>
      </w:pPr>
      <w:rPr>
        <w:rFonts w:ascii="Courier New" w:hAnsi="Courier New" w:hint="default"/>
      </w:rPr>
    </w:lvl>
    <w:lvl w:ilvl="5" w:tplc="F0C428BA">
      <w:start w:val="1"/>
      <w:numFmt w:val="bullet"/>
      <w:lvlText w:val=""/>
      <w:lvlJc w:val="left"/>
      <w:pPr>
        <w:ind w:left="4320" w:hanging="360"/>
      </w:pPr>
      <w:rPr>
        <w:rFonts w:ascii="Wingdings" w:hAnsi="Wingdings" w:hint="default"/>
      </w:rPr>
    </w:lvl>
    <w:lvl w:ilvl="6" w:tplc="DBE2FF0A">
      <w:start w:val="1"/>
      <w:numFmt w:val="bullet"/>
      <w:lvlText w:val=""/>
      <w:lvlJc w:val="left"/>
      <w:pPr>
        <w:ind w:left="5040" w:hanging="360"/>
      </w:pPr>
      <w:rPr>
        <w:rFonts w:ascii="Symbol" w:hAnsi="Symbol" w:hint="default"/>
      </w:rPr>
    </w:lvl>
    <w:lvl w:ilvl="7" w:tplc="EE08431E">
      <w:start w:val="1"/>
      <w:numFmt w:val="bullet"/>
      <w:lvlText w:val="o"/>
      <w:lvlJc w:val="left"/>
      <w:pPr>
        <w:ind w:left="5760" w:hanging="360"/>
      </w:pPr>
      <w:rPr>
        <w:rFonts w:ascii="Courier New" w:hAnsi="Courier New" w:hint="default"/>
      </w:rPr>
    </w:lvl>
    <w:lvl w:ilvl="8" w:tplc="394EF6B8">
      <w:start w:val="1"/>
      <w:numFmt w:val="bullet"/>
      <w:lvlText w:val=""/>
      <w:lvlJc w:val="left"/>
      <w:pPr>
        <w:ind w:left="6480" w:hanging="360"/>
      </w:pPr>
      <w:rPr>
        <w:rFonts w:ascii="Wingdings" w:hAnsi="Wingdings" w:hint="default"/>
      </w:rPr>
    </w:lvl>
  </w:abstractNum>
  <w:abstractNum w:abstractNumId="26" w15:restartNumberingAfterBreak="1">
    <w:nsid w:val="602C41BB"/>
    <w:multiLevelType w:val="hybridMultilevel"/>
    <w:tmpl w:val="DB70D394"/>
    <w:lvl w:ilvl="0" w:tplc="AD646F66">
      <w:start w:val="1"/>
      <w:numFmt w:val="decimal"/>
      <w:lvlText w:val="%1."/>
      <w:lvlJc w:val="left"/>
      <w:pPr>
        <w:ind w:left="1069" w:hanging="360"/>
      </w:pPr>
      <w:rPr>
        <w:rFonts w:hint="default"/>
        <w:color w:val="000000"/>
      </w:rPr>
    </w:lvl>
    <w:lvl w:ilvl="1" w:tplc="1BD4D348">
      <w:start w:val="1"/>
      <w:numFmt w:val="decimal"/>
      <w:lvlText w:val="%2)"/>
      <w:lvlJc w:val="left"/>
      <w:pPr>
        <w:ind w:left="1789" w:hanging="360"/>
      </w:pPr>
      <w:rPr>
        <w:rFonts w:hint="default"/>
      </w:rPr>
    </w:lvl>
    <w:lvl w:ilvl="2" w:tplc="EBFA69DA" w:tentative="1">
      <w:start w:val="1"/>
      <w:numFmt w:val="bullet"/>
      <w:lvlText w:val=""/>
      <w:lvlJc w:val="left"/>
      <w:pPr>
        <w:ind w:left="2509" w:hanging="360"/>
      </w:pPr>
      <w:rPr>
        <w:rFonts w:ascii="Wingdings" w:hAnsi="Wingdings" w:hint="default"/>
      </w:rPr>
    </w:lvl>
    <w:lvl w:ilvl="3" w:tplc="548CEB82" w:tentative="1">
      <w:start w:val="1"/>
      <w:numFmt w:val="bullet"/>
      <w:lvlText w:val=""/>
      <w:lvlJc w:val="left"/>
      <w:pPr>
        <w:ind w:left="3229" w:hanging="360"/>
      </w:pPr>
      <w:rPr>
        <w:rFonts w:ascii="Symbol" w:hAnsi="Symbol" w:hint="default"/>
      </w:rPr>
    </w:lvl>
    <w:lvl w:ilvl="4" w:tplc="9BB0415E" w:tentative="1">
      <w:start w:val="1"/>
      <w:numFmt w:val="bullet"/>
      <w:lvlText w:val="o"/>
      <w:lvlJc w:val="left"/>
      <w:pPr>
        <w:ind w:left="3949" w:hanging="360"/>
      </w:pPr>
      <w:rPr>
        <w:rFonts w:ascii="Courier New" w:hAnsi="Courier New" w:cs="Courier New" w:hint="default"/>
      </w:rPr>
    </w:lvl>
    <w:lvl w:ilvl="5" w:tplc="3490C9B8" w:tentative="1">
      <w:start w:val="1"/>
      <w:numFmt w:val="bullet"/>
      <w:lvlText w:val=""/>
      <w:lvlJc w:val="left"/>
      <w:pPr>
        <w:ind w:left="4669" w:hanging="360"/>
      </w:pPr>
      <w:rPr>
        <w:rFonts w:ascii="Wingdings" w:hAnsi="Wingdings" w:hint="default"/>
      </w:rPr>
    </w:lvl>
    <w:lvl w:ilvl="6" w:tplc="300A767A" w:tentative="1">
      <w:start w:val="1"/>
      <w:numFmt w:val="bullet"/>
      <w:lvlText w:val=""/>
      <w:lvlJc w:val="left"/>
      <w:pPr>
        <w:ind w:left="5389" w:hanging="360"/>
      </w:pPr>
      <w:rPr>
        <w:rFonts w:ascii="Symbol" w:hAnsi="Symbol" w:hint="default"/>
      </w:rPr>
    </w:lvl>
    <w:lvl w:ilvl="7" w:tplc="9BA8EDDE" w:tentative="1">
      <w:start w:val="1"/>
      <w:numFmt w:val="bullet"/>
      <w:lvlText w:val="o"/>
      <w:lvlJc w:val="left"/>
      <w:pPr>
        <w:ind w:left="6109" w:hanging="360"/>
      </w:pPr>
      <w:rPr>
        <w:rFonts w:ascii="Courier New" w:hAnsi="Courier New" w:cs="Courier New" w:hint="default"/>
      </w:rPr>
    </w:lvl>
    <w:lvl w:ilvl="8" w:tplc="02108964" w:tentative="1">
      <w:start w:val="1"/>
      <w:numFmt w:val="bullet"/>
      <w:lvlText w:val=""/>
      <w:lvlJc w:val="left"/>
      <w:pPr>
        <w:ind w:left="6829" w:hanging="360"/>
      </w:pPr>
      <w:rPr>
        <w:rFonts w:ascii="Wingdings" w:hAnsi="Wingdings" w:hint="default"/>
      </w:rPr>
    </w:lvl>
  </w:abstractNum>
  <w:abstractNum w:abstractNumId="27" w15:restartNumberingAfterBreak="1">
    <w:nsid w:val="620F31E6"/>
    <w:multiLevelType w:val="hybridMultilevel"/>
    <w:tmpl w:val="404E72BA"/>
    <w:lvl w:ilvl="0" w:tplc="4B16112C">
      <w:start w:val="1"/>
      <w:numFmt w:val="decimal"/>
      <w:lvlText w:val="%1)"/>
      <w:lvlJc w:val="left"/>
      <w:pPr>
        <w:ind w:left="1069" w:hanging="360"/>
      </w:pPr>
      <w:rPr>
        <w:rFonts w:hint="default"/>
      </w:rPr>
    </w:lvl>
    <w:lvl w:ilvl="1" w:tplc="300A402C" w:tentative="1">
      <w:start w:val="1"/>
      <w:numFmt w:val="lowerLetter"/>
      <w:lvlText w:val="%2."/>
      <w:lvlJc w:val="left"/>
      <w:pPr>
        <w:ind w:left="1789" w:hanging="360"/>
      </w:pPr>
    </w:lvl>
    <w:lvl w:ilvl="2" w:tplc="45762D82" w:tentative="1">
      <w:start w:val="1"/>
      <w:numFmt w:val="lowerRoman"/>
      <w:lvlText w:val="%3."/>
      <w:lvlJc w:val="right"/>
      <w:pPr>
        <w:ind w:left="2509" w:hanging="180"/>
      </w:pPr>
    </w:lvl>
    <w:lvl w:ilvl="3" w:tplc="4486517A" w:tentative="1">
      <w:start w:val="1"/>
      <w:numFmt w:val="decimal"/>
      <w:lvlText w:val="%4."/>
      <w:lvlJc w:val="left"/>
      <w:pPr>
        <w:ind w:left="3229" w:hanging="360"/>
      </w:pPr>
    </w:lvl>
    <w:lvl w:ilvl="4" w:tplc="29D4ED6C" w:tentative="1">
      <w:start w:val="1"/>
      <w:numFmt w:val="lowerLetter"/>
      <w:lvlText w:val="%5."/>
      <w:lvlJc w:val="left"/>
      <w:pPr>
        <w:ind w:left="3949" w:hanging="360"/>
      </w:pPr>
    </w:lvl>
    <w:lvl w:ilvl="5" w:tplc="096A8322" w:tentative="1">
      <w:start w:val="1"/>
      <w:numFmt w:val="lowerRoman"/>
      <w:lvlText w:val="%6."/>
      <w:lvlJc w:val="right"/>
      <w:pPr>
        <w:ind w:left="4669" w:hanging="180"/>
      </w:pPr>
    </w:lvl>
    <w:lvl w:ilvl="6" w:tplc="39DE69EE" w:tentative="1">
      <w:start w:val="1"/>
      <w:numFmt w:val="decimal"/>
      <w:lvlText w:val="%7."/>
      <w:lvlJc w:val="left"/>
      <w:pPr>
        <w:ind w:left="5389" w:hanging="360"/>
      </w:pPr>
    </w:lvl>
    <w:lvl w:ilvl="7" w:tplc="2FBA6FCC" w:tentative="1">
      <w:start w:val="1"/>
      <w:numFmt w:val="lowerLetter"/>
      <w:lvlText w:val="%8."/>
      <w:lvlJc w:val="left"/>
      <w:pPr>
        <w:ind w:left="6109" w:hanging="360"/>
      </w:pPr>
    </w:lvl>
    <w:lvl w:ilvl="8" w:tplc="7696BC4E" w:tentative="1">
      <w:start w:val="1"/>
      <w:numFmt w:val="lowerRoman"/>
      <w:lvlText w:val="%9."/>
      <w:lvlJc w:val="right"/>
      <w:pPr>
        <w:ind w:left="6829" w:hanging="180"/>
      </w:pPr>
    </w:lvl>
  </w:abstractNum>
  <w:abstractNum w:abstractNumId="28" w15:restartNumberingAfterBreak="1">
    <w:nsid w:val="62897A1A"/>
    <w:multiLevelType w:val="hybridMultilevel"/>
    <w:tmpl w:val="85A0D568"/>
    <w:lvl w:ilvl="0" w:tplc="7D62B4EA">
      <w:numFmt w:val="bullet"/>
      <w:lvlText w:val="-"/>
      <w:lvlJc w:val="left"/>
      <w:pPr>
        <w:ind w:left="720" w:hanging="360"/>
      </w:pPr>
      <w:rPr>
        <w:rFonts w:ascii="Calibri" w:eastAsiaTheme="minorHAnsi" w:hAnsi="Calibri" w:cs="Times New Roman" w:hint="default"/>
      </w:rPr>
    </w:lvl>
    <w:lvl w:ilvl="1" w:tplc="E34C55EA" w:tentative="1">
      <w:start w:val="1"/>
      <w:numFmt w:val="bullet"/>
      <w:lvlText w:val="o"/>
      <w:lvlJc w:val="left"/>
      <w:pPr>
        <w:ind w:left="1440" w:hanging="360"/>
      </w:pPr>
      <w:rPr>
        <w:rFonts w:ascii="Courier New" w:hAnsi="Courier New" w:cs="Courier New" w:hint="default"/>
      </w:rPr>
    </w:lvl>
    <w:lvl w:ilvl="2" w:tplc="7A663C36" w:tentative="1">
      <w:start w:val="1"/>
      <w:numFmt w:val="bullet"/>
      <w:lvlText w:val=""/>
      <w:lvlJc w:val="left"/>
      <w:pPr>
        <w:ind w:left="2160" w:hanging="360"/>
      </w:pPr>
      <w:rPr>
        <w:rFonts w:ascii="Wingdings" w:hAnsi="Wingdings" w:hint="default"/>
      </w:rPr>
    </w:lvl>
    <w:lvl w:ilvl="3" w:tplc="306CF508" w:tentative="1">
      <w:start w:val="1"/>
      <w:numFmt w:val="bullet"/>
      <w:lvlText w:val=""/>
      <w:lvlJc w:val="left"/>
      <w:pPr>
        <w:ind w:left="2880" w:hanging="360"/>
      </w:pPr>
      <w:rPr>
        <w:rFonts w:ascii="Symbol" w:hAnsi="Symbol" w:hint="default"/>
      </w:rPr>
    </w:lvl>
    <w:lvl w:ilvl="4" w:tplc="FC54BEE4" w:tentative="1">
      <w:start w:val="1"/>
      <w:numFmt w:val="bullet"/>
      <w:lvlText w:val="o"/>
      <w:lvlJc w:val="left"/>
      <w:pPr>
        <w:ind w:left="3600" w:hanging="360"/>
      </w:pPr>
      <w:rPr>
        <w:rFonts w:ascii="Courier New" w:hAnsi="Courier New" w:cs="Courier New" w:hint="default"/>
      </w:rPr>
    </w:lvl>
    <w:lvl w:ilvl="5" w:tplc="E534B99C" w:tentative="1">
      <w:start w:val="1"/>
      <w:numFmt w:val="bullet"/>
      <w:lvlText w:val=""/>
      <w:lvlJc w:val="left"/>
      <w:pPr>
        <w:ind w:left="4320" w:hanging="360"/>
      </w:pPr>
      <w:rPr>
        <w:rFonts w:ascii="Wingdings" w:hAnsi="Wingdings" w:hint="default"/>
      </w:rPr>
    </w:lvl>
    <w:lvl w:ilvl="6" w:tplc="09208486" w:tentative="1">
      <w:start w:val="1"/>
      <w:numFmt w:val="bullet"/>
      <w:lvlText w:val=""/>
      <w:lvlJc w:val="left"/>
      <w:pPr>
        <w:ind w:left="5040" w:hanging="360"/>
      </w:pPr>
      <w:rPr>
        <w:rFonts w:ascii="Symbol" w:hAnsi="Symbol" w:hint="default"/>
      </w:rPr>
    </w:lvl>
    <w:lvl w:ilvl="7" w:tplc="8A125150" w:tentative="1">
      <w:start w:val="1"/>
      <w:numFmt w:val="bullet"/>
      <w:lvlText w:val="o"/>
      <w:lvlJc w:val="left"/>
      <w:pPr>
        <w:ind w:left="5760" w:hanging="360"/>
      </w:pPr>
      <w:rPr>
        <w:rFonts w:ascii="Courier New" w:hAnsi="Courier New" w:cs="Courier New" w:hint="default"/>
      </w:rPr>
    </w:lvl>
    <w:lvl w:ilvl="8" w:tplc="BB7C085E" w:tentative="1">
      <w:start w:val="1"/>
      <w:numFmt w:val="bullet"/>
      <w:lvlText w:val=""/>
      <w:lvlJc w:val="left"/>
      <w:pPr>
        <w:ind w:left="6480" w:hanging="360"/>
      </w:pPr>
      <w:rPr>
        <w:rFonts w:ascii="Wingdings" w:hAnsi="Wingdings" w:hint="default"/>
      </w:rPr>
    </w:lvl>
  </w:abstractNum>
  <w:abstractNum w:abstractNumId="29" w15:restartNumberingAfterBreak="1">
    <w:nsid w:val="662C04FE"/>
    <w:multiLevelType w:val="hybridMultilevel"/>
    <w:tmpl w:val="A7108EC2"/>
    <w:lvl w:ilvl="0" w:tplc="8DB620C6">
      <w:numFmt w:val="bullet"/>
      <w:lvlText w:val="-"/>
      <w:lvlJc w:val="left"/>
      <w:pPr>
        <w:ind w:left="1069" w:hanging="360"/>
      </w:pPr>
      <w:rPr>
        <w:rFonts w:ascii="Times New Roman" w:eastAsiaTheme="minorHAnsi" w:hAnsi="Times New Roman" w:cs="Times New Roman" w:hint="default"/>
        <w:color w:val="000000"/>
      </w:rPr>
    </w:lvl>
    <w:lvl w:ilvl="1" w:tplc="916681A8" w:tentative="1">
      <w:start w:val="1"/>
      <w:numFmt w:val="bullet"/>
      <w:lvlText w:val="o"/>
      <w:lvlJc w:val="left"/>
      <w:pPr>
        <w:ind w:left="1789" w:hanging="360"/>
      </w:pPr>
      <w:rPr>
        <w:rFonts w:ascii="Courier New" w:hAnsi="Courier New" w:cs="Courier New" w:hint="default"/>
      </w:rPr>
    </w:lvl>
    <w:lvl w:ilvl="2" w:tplc="AC0A92FA" w:tentative="1">
      <w:start w:val="1"/>
      <w:numFmt w:val="bullet"/>
      <w:lvlText w:val=""/>
      <w:lvlJc w:val="left"/>
      <w:pPr>
        <w:ind w:left="2509" w:hanging="360"/>
      </w:pPr>
      <w:rPr>
        <w:rFonts w:ascii="Wingdings" w:hAnsi="Wingdings" w:hint="default"/>
      </w:rPr>
    </w:lvl>
    <w:lvl w:ilvl="3" w:tplc="284EA5F0" w:tentative="1">
      <w:start w:val="1"/>
      <w:numFmt w:val="bullet"/>
      <w:lvlText w:val=""/>
      <w:lvlJc w:val="left"/>
      <w:pPr>
        <w:ind w:left="3229" w:hanging="360"/>
      </w:pPr>
      <w:rPr>
        <w:rFonts w:ascii="Symbol" w:hAnsi="Symbol" w:hint="default"/>
      </w:rPr>
    </w:lvl>
    <w:lvl w:ilvl="4" w:tplc="7DBE5ADA" w:tentative="1">
      <w:start w:val="1"/>
      <w:numFmt w:val="bullet"/>
      <w:lvlText w:val="o"/>
      <w:lvlJc w:val="left"/>
      <w:pPr>
        <w:ind w:left="3949" w:hanging="360"/>
      </w:pPr>
      <w:rPr>
        <w:rFonts w:ascii="Courier New" w:hAnsi="Courier New" w:cs="Courier New" w:hint="default"/>
      </w:rPr>
    </w:lvl>
    <w:lvl w:ilvl="5" w:tplc="D86ADA04" w:tentative="1">
      <w:start w:val="1"/>
      <w:numFmt w:val="bullet"/>
      <w:lvlText w:val=""/>
      <w:lvlJc w:val="left"/>
      <w:pPr>
        <w:ind w:left="4669" w:hanging="360"/>
      </w:pPr>
      <w:rPr>
        <w:rFonts w:ascii="Wingdings" w:hAnsi="Wingdings" w:hint="default"/>
      </w:rPr>
    </w:lvl>
    <w:lvl w:ilvl="6" w:tplc="8E028268" w:tentative="1">
      <w:start w:val="1"/>
      <w:numFmt w:val="bullet"/>
      <w:lvlText w:val=""/>
      <w:lvlJc w:val="left"/>
      <w:pPr>
        <w:ind w:left="5389" w:hanging="360"/>
      </w:pPr>
      <w:rPr>
        <w:rFonts w:ascii="Symbol" w:hAnsi="Symbol" w:hint="default"/>
      </w:rPr>
    </w:lvl>
    <w:lvl w:ilvl="7" w:tplc="42D0B33A" w:tentative="1">
      <w:start w:val="1"/>
      <w:numFmt w:val="bullet"/>
      <w:lvlText w:val="o"/>
      <w:lvlJc w:val="left"/>
      <w:pPr>
        <w:ind w:left="6109" w:hanging="360"/>
      </w:pPr>
      <w:rPr>
        <w:rFonts w:ascii="Courier New" w:hAnsi="Courier New" w:cs="Courier New" w:hint="default"/>
      </w:rPr>
    </w:lvl>
    <w:lvl w:ilvl="8" w:tplc="4C9215A0" w:tentative="1">
      <w:start w:val="1"/>
      <w:numFmt w:val="bullet"/>
      <w:lvlText w:val=""/>
      <w:lvlJc w:val="left"/>
      <w:pPr>
        <w:ind w:left="6829" w:hanging="360"/>
      </w:pPr>
      <w:rPr>
        <w:rFonts w:ascii="Wingdings" w:hAnsi="Wingdings" w:hint="default"/>
      </w:rPr>
    </w:lvl>
  </w:abstractNum>
  <w:abstractNum w:abstractNumId="30" w15:restartNumberingAfterBreak="1">
    <w:nsid w:val="66AD477A"/>
    <w:multiLevelType w:val="hybridMultilevel"/>
    <w:tmpl w:val="AC6ADA3E"/>
    <w:lvl w:ilvl="0" w:tplc="C1883B22">
      <w:start w:val="1"/>
      <w:numFmt w:val="bullet"/>
      <w:lvlText w:val=""/>
      <w:lvlJc w:val="left"/>
      <w:pPr>
        <w:tabs>
          <w:tab w:val="num" w:pos="720"/>
        </w:tabs>
        <w:ind w:left="720" w:hanging="360"/>
      </w:pPr>
      <w:rPr>
        <w:rFonts w:ascii="Wingdings" w:hAnsi="Wingdings" w:hint="default"/>
      </w:rPr>
    </w:lvl>
    <w:lvl w:ilvl="1" w:tplc="D9FACE3C">
      <w:start w:val="1"/>
      <w:numFmt w:val="bullet"/>
      <w:lvlText w:val=""/>
      <w:lvlJc w:val="left"/>
      <w:pPr>
        <w:tabs>
          <w:tab w:val="num" w:pos="1440"/>
        </w:tabs>
        <w:ind w:left="1440" w:hanging="360"/>
      </w:pPr>
      <w:rPr>
        <w:rFonts w:ascii="Wingdings" w:hAnsi="Wingdings" w:hint="default"/>
      </w:rPr>
    </w:lvl>
    <w:lvl w:ilvl="2" w:tplc="9300F3F0" w:tentative="1">
      <w:start w:val="1"/>
      <w:numFmt w:val="bullet"/>
      <w:lvlText w:val=""/>
      <w:lvlJc w:val="left"/>
      <w:pPr>
        <w:tabs>
          <w:tab w:val="num" w:pos="2160"/>
        </w:tabs>
        <w:ind w:left="2160" w:hanging="360"/>
      </w:pPr>
      <w:rPr>
        <w:rFonts w:ascii="Wingdings" w:hAnsi="Wingdings" w:hint="default"/>
      </w:rPr>
    </w:lvl>
    <w:lvl w:ilvl="3" w:tplc="CDDAE33C" w:tentative="1">
      <w:start w:val="1"/>
      <w:numFmt w:val="bullet"/>
      <w:lvlText w:val=""/>
      <w:lvlJc w:val="left"/>
      <w:pPr>
        <w:tabs>
          <w:tab w:val="num" w:pos="2880"/>
        </w:tabs>
        <w:ind w:left="2880" w:hanging="360"/>
      </w:pPr>
      <w:rPr>
        <w:rFonts w:ascii="Wingdings" w:hAnsi="Wingdings" w:hint="default"/>
      </w:rPr>
    </w:lvl>
    <w:lvl w:ilvl="4" w:tplc="1BD8B620" w:tentative="1">
      <w:start w:val="1"/>
      <w:numFmt w:val="bullet"/>
      <w:lvlText w:val=""/>
      <w:lvlJc w:val="left"/>
      <w:pPr>
        <w:tabs>
          <w:tab w:val="num" w:pos="3600"/>
        </w:tabs>
        <w:ind w:left="3600" w:hanging="360"/>
      </w:pPr>
      <w:rPr>
        <w:rFonts w:ascii="Wingdings" w:hAnsi="Wingdings" w:hint="default"/>
      </w:rPr>
    </w:lvl>
    <w:lvl w:ilvl="5" w:tplc="660898AA" w:tentative="1">
      <w:start w:val="1"/>
      <w:numFmt w:val="bullet"/>
      <w:lvlText w:val=""/>
      <w:lvlJc w:val="left"/>
      <w:pPr>
        <w:tabs>
          <w:tab w:val="num" w:pos="4320"/>
        </w:tabs>
        <w:ind w:left="4320" w:hanging="360"/>
      </w:pPr>
      <w:rPr>
        <w:rFonts w:ascii="Wingdings" w:hAnsi="Wingdings" w:hint="default"/>
      </w:rPr>
    </w:lvl>
    <w:lvl w:ilvl="6" w:tplc="47AAAA68" w:tentative="1">
      <w:start w:val="1"/>
      <w:numFmt w:val="bullet"/>
      <w:lvlText w:val=""/>
      <w:lvlJc w:val="left"/>
      <w:pPr>
        <w:tabs>
          <w:tab w:val="num" w:pos="5040"/>
        </w:tabs>
        <w:ind w:left="5040" w:hanging="360"/>
      </w:pPr>
      <w:rPr>
        <w:rFonts w:ascii="Wingdings" w:hAnsi="Wingdings" w:hint="default"/>
      </w:rPr>
    </w:lvl>
    <w:lvl w:ilvl="7" w:tplc="DD7C5A50" w:tentative="1">
      <w:start w:val="1"/>
      <w:numFmt w:val="bullet"/>
      <w:lvlText w:val=""/>
      <w:lvlJc w:val="left"/>
      <w:pPr>
        <w:tabs>
          <w:tab w:val="num" w:pos="5760"/>
        </w:tabs>
        <w:ind w:left="5760" w:hanging="360"/>
      </w:pPr>
      <w:rPr>
        <w:rFonts w:ascii="Wingdings" w:hAnsi="Wingdings" w:hint="default"/>
      </w:rPr>
    </w:lvl>
    <w:lvl w:ilvl="8" w:tplc="315ACB6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1">
    <w:nsid w:val="6B8B129A"/>
    <w:multiLevelType w:val="hybridMultilevel"/>
    <w:tmpl w:val="94946E66"/>
    <w:lvl w:ilvl="0" w:tplc="2C1EF3EE">
      <w:start w:val="1"/>
      <w:numFmt w:val="decimal"/>
      <w:lvlText w:val="%1."/>
      <w:lvlJc w:val="left"/>
      <w:pPr>
        <w:ind w:left="720" w:hanging="360"/>
      </w:pPr>
      <w:rPr>
        <w:rFonts w:hint="default"/>
      </w:rPr>
    </w:lvl>
    <w:lvl w:ilvl="1" w:tplc="89F8924C" w:tentative="1">
      <w:start w:val="1"/>
      <w:numFmt w:val="bullet"/>
      <w:lvlText w:val="o"/>
      <w:lvlJc w:val="left"/>
      <w:pPr>
        <w:ind w:left="1440" w:hanging="360"/>
      </w:pPr>
      <w:rPr>
        <w:rFonts w:ascii="Courier New" w:hAnsi="Courier New" w:cs="Courier New" w:hint="default"/>
      </w:rPr>
    </w:lvl>
    <w:lvl w:ilvl="2" w:tplc="0548DC40" w:tentative="1">
      <w:start w:val="1"/>
      <w:numFmt w:val="bullet"/>
      <w:lvlText w:val=""/>
      <w:lvlJc w:val="left"/>
      <w:pPr>
        <w:ind w:left="2160" w:hanging="360"/>
      </w:pPr>
      <w:rPr>
        <w:rFonts w:ascii="Wingdings" w:hAnsi="Wingdings" w:hint="default"/>
      </w:rPr>
    </w:lvl>
    <w:lvl w:ilvl="3" w:tplc="1BEEF620" w:tentative="1">
      <w:start w:val="1"/>
      <w:numFmt w:val="bullet"/>
      <w:lvlText w:val=""/>
      <w:lvlJc w:val="left"/>
      <w:pPr>
        <w:ind w:left="2880" w:hanging="360"/>
      </w:pPr>
      <w:rPr>
        <w:rFonts w:ascii="Symbol" w:hAnsi="Symbol" w:hint="default"/>
      </w:rPr>
    </w:lvl>
    <w:lvl w:ilvl="4" w:tplc="B68C8632" w:tentative="1">
      <w:start w:val="1"/>
      <w:numFmt w:val="bullet"/>
      <w:lvlText w:val="o"/>
      <w:lvlJc w:val="left"/>
      <w:pPr>
        <w:ind w:left="3600" w:hanging="360"/>
      </w:pPr>
      <w:rPr>
        <w:rFonts w:ascii="Courier New" w:hAnsi="Courier New" w:cs="Courier New" w:hint="default"/>
      </w:rPr>
    </w:lvl>
    <w:lvl w:ilvl="5" w:tplc="C2DE738C" w:tentative="1">
      <w:start w:val="1"/>
      <w:numFmt w:val="bullet"/>
      <w:lvlText w:val=""/>
      <w:lvlJc w:val="left"/>
      <w:pPr>
        <w:ind w:left="4320" w:hanging="360"/>
      </w:pPr>
      <w:rPr>
        <w:rFonts w:ascii="Wingdings" w:hAnsi="Wingdings" w:hint="default"/>
      </w:rPr>
    </w:lvl>
    <w:lvl w:ilvl="6" w:tplc="1ABE5504" w:tentative="1">
      <w:start w:val="1"/>
      <w:numFmt w:val="bullet"/>
      <w:lvlText w:val=""/>
      <w:lvlJc w:val="left"/>
      <w:pPr>
        <w:ind w:left="5040" w:hanging="360"/>
      </w:pPr>
      <w:rPr>
        <w:rFonts w:ascii="Symbol" w:hAnsi="Symbol" w:hint="default"/>
      </w:rPr>
    </w:lvl>
    <w:lvl w:ilvl="7" w:tplc="E56E71F0" w:tentative="1">
      <w:start w:val="1"/>
      <w:numFmt w:val="bullet"/>
      <w:lvlText w:val="o"/>
      <w:lvlJc w:val="left"/>
      <w:pPr>
        <w:ind w:left="5760" w:hanging="360"/>
      </w:pPr>
      <w:rPr>
        <w:rFonts w:ascii="Courier New" w:hAnsi="Courier New" w:cs="Courier New" w:hint="default"/>
      </w:rPr>
    </w:lvl>
    <w:lvl w:ilvl="8" w:tplc="860ABC78" w:tentative="1">
      <w:start w:val="1"/>
      <w:numFmt w:val="bullet"/>
      <w:lvlText w:val=""/>
      <w:lvlJc w:val="left"/>
      <w:pPr>
        <w:ind w:left="6480" w:hanging="360"/>
      </w:pPr>
      <w:rPr>
        <w:rFonts w:ascii="Wingdings" w:hAnsi="Wingdings" w:hint="default"/>
      </w:rPr>
    </w:lvl>
  </w:abstractNum>
  <w:abstractNum w:abstractNumId="32" w15:restartNumberingAfterBreak="1">
    <w:nsid w:val="7D9F10EC"/>
    <w:multiLevelType w:val="hybridMultilevel"/>
    <w:tmpl w:val="C81430A2"/>
    <w:lvl w:ilvl="0" w:tplc="27927DEC">
      <w:start w:val="1"/>
      <w:numFmt w:val="lowerLetter"/>
      <w:lvlText w:val="%1)"/>
      <w:lvlJc w:val="left"/>
      <w:pPr>
        <w:ind w:left="720" w:hanging="360"/>
      </w:pPr>
    </w:lvl>
    <w:lvl w:ilvl="1" w:tplc="46B61154">
      <w:start w:val="1"/>
      <w:numFmt w:val="lowerLetter"/>
      <w:lvlText w:val="%2."/>
      <w:lvlJc w:val="left"/>
      <w:pPr>
        <w:ind w:left="1440" w:hanging="360"/>
      </w:pPr>
    </w:lvl>
    <w:lvl w:ilvl="2" w:tplc="30F46968" w:tentative="1">
      <w:start w:val="1"/>
      <w:numFmt w:val="lowerRoman"/>
      <w:lvlText w:val="%3."/>
      <w:lvlJc w:val="right"/>
      <w:pPr>
        <w:ind w:left="2160" w:hanging="180"/>
      </w:pPr>
    </w:lvl>
    <w:lvl w:ilvl="3" w:tplc="3D7668EA" w:tentative="1">
      <w:start w:val="1"/>
      <w:numFmt w:val="decimal"/>
      <w:lvlText w:val="%4."/>
      <w:lvlJc w:val="left"/>
      <w:pPr>
        <w:ind w:left="2880" w:hanging="360"/>
      </w:pPr>
    </w:lvl>
    <w:lvl w:ilvl="4" w:tplc="51269D12" w:tentative="1">
      <w:start w:val="1"/>
      <w:numFmt w:val="lowerLetter"/>
      <w:lvlText w:val="%5."/>
      <w:lvlJc w:val="left"/>
      <w:pPr>
        <w:ind w:left="3600" w:hanging="360"/>
      </w:pPr>
    </w:lvl>
    <w:lvl w:ilvl="5" w:tplc="5D1ECEA6" w:tentative="1">
      <w:start w:val="1"/>
      <w:numFmt w:val="lowerRoman"/>
      <w:lvlText w:val="%6."/>
      <w:lvlJc w:val="right"/>
      <w:pPr>
        <w:ind w:left="4320" w:hanging="180"/>
      </w:pPr>
    </w:lvl>
    <w:lvl w:ilvl="6" w:tplc="4EAECB9C" w:tentative="1">
      <w:start w:val="1"/>
      <w:numFmt w:val="decimal"/>
      <w:lvlText w:val="%7."/>
      <w:lvlJc w:val="left"/>
      <w:pPr>
        <w:ind w:left="5040" w:hanging="360"/>
      </w:pPr>
    </w:lvl>
    <w:lvl w:ilvl="7" w:tplc="A7F4AAF2" w:tentative="1">
      <w:start w:val="1"/>
      <w:numFmt w:val="lowerLetter"/>
      <w:lvlText w:val="%8."/>
      <w:lvlJc w:val="left"/>
      <w:pPr>
        <w:ind w:left="5760" w:hanging="360"/>
      </w:pPr>
    </w:lvl>
    <w:lvl w:ilvl="8" w:tplc="8EF6007C" w:tentative="1">
      <w:start w:val="1"/>
      <w:numFmt w:val="lowerRoman"/>
      <w:lvlText w:val="%9."/>
      <w:lvlJc w:val="right"/>
      <w:pPr>
        <w:ind w:left="6480" w:hanging="180"/>
      </w:pPr>
    </w:lvl>
  </w:abstractNum>
  <w:num w:numId="1">
    <w:abstractNumId w:val="25"/>
  </w:num>
  <w:num w:numId="2">
    <w:abstractNumId w:val="5"/>
  </w:num>
  <w:num w:numId="3">
    <w:abstractNumId w:val="9"/>
  </w:num>
  <w:num w:numId="4">
    <w:abstractNumId w:val="29"/>
  </w:num>
  <w:num w:numId="5">
    <w:abstractNumId w:val="26"/>
  </w:num>
  <w:num w:numId="6">
    <w:abstractNumId w:val="20"/>
  </w:num>
  <w:num w:numId="7">
    <w:abstractNumId w:val="22"/>
  </w:num>
  <w:num w:numId="8">
    <w:abstractNumId w:val="14"/>
  </w:num>
  <w:num w:numId="9">
    <w:abstractNumId w:val="28"/>
  </w:num>
  <w:num w:numId="10">
    <w:abstractNumId w:val="30"/>
  </w:num>
  <w:num w:numId="11">
    <w:abstractNumId w:val="32"/>
  </w:num>
  <w:num w:numId="12">
    <w:abstractNumId w:val="8"/>
  </w:num>
  <w:num w:numId="13">
    <w:abstractNumId w:val="4"/>
  </w:num>
  <w:num w:numId="14">
    <w:abstractNumId w:val="16"/>
  </w:num>
  <w:num w:numId="15">
    <w:abstractNumId w:val="10"/>
  </w:num>
  <w:num w:numId="16">
    <w:abstractNumId w:val="19"/>
  </w:num>
  <w:num w:numId="17">
    <w:abstractNumId w:val="24"/>
  </w:num>
  <w:num w:numId="18">
    <w:abstractNumId w:val="23"/>
  </w:num>
  <w:num w:numId="19">
    <w:abstractNumId w:val="15"/>
  </w:num>
  <w:num w:numId="20">
    <w:abstractNumId w:val="18"/>
  </w:num>
  <w:num w:numId="21">
    <w:abstractNumId w:val="11"/>
  </w:num>
  <w:num w:numId="22">
    <w:abstractNumId w:val="31"/>
  </w:num>
  <w:num w:numId="23">
    <w:abstractNumId w:val="6"/>
  </w:num>
  <w:num w:numId="24">
    <w:abstractNumId w:val="13"/>
  </w:num>
  <w:num w:numId="25">
    <w:abstractNumId w:val="3"/>
  </w:num>
  <w:num w:numId="26">
    <w:abstractNumId w:val="17"/>
  </w:num>
  <w:num w:numId="27">
    <w:abstractNumId w:val="1"/>
  </w:num>
  <w:num w:numId="28">
    <w:abstractNumId w:val="2"/>
  </w:num>
  <w:num w:numId="29">
    <w:abstractNumId w:val="12"/>
  </w:num>
  <w:num w:numId="30">
    <w:abstractNumId w:val="21"/>
  </w:num>
  <w:num w:numId="31">
    <w:abstractNumId w:val="27"/>
  </w:num>
  <w:num w:numId="32">
    <w:abstractNumId w:val="0"/>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Grammatical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8F4"/>
    <w:rsid w:val="0000077A"/>
    <w:rsid w:val="00002562"/>
    <w:rsid w:val="00002A2C"/>
    <w:rsid w:val="00003113"/>
    <w:rsid w:val="000031DD"/>
    <w:rsid w:val="00003870"/>
    <w:rsid w:val="0000416B"/>
    <w:rsid w:val="0000553A"/>
    <w:rsid w:val="00005676"/>
    <w:rsid w:val="0000639C"/>
    <w:rsid w:val="00006674"/>
    <w:rsid w:val="00007DA3"/>
    <w:rsid w:val="00010838"/>
    <w:rsid w:val="00011EE0"/>
    <w:rsid w:val="000139B1"/>
    <w:rsid w:val="00014F6E"/>
    <w:rsid w:val="00016561"/>
    <w:rsid w:val="00017CAB"/>
    <w:rsid w:val="000202B9"/>
    <w:rsid w:val="00020471"/>
    <w:rsid w:val="0002060E"/>
    <w:rsid w:val="000207E2"/>
    <w:rsid w:val="0002382E"/>
    <w:rsid w:val="00025B4C"/>
    <w:rsid w:val="00025FC9"/>
    <w:rsid w:val="000263C9"/>
    <w:rsid w:val="00026B87"/>
    <w:rsid w:val="00031E64"/>
    <w:rsid w:val="00031EDD"/>
    <w:rsid w:val="00032423"/>
    <w:rsid w:val="00034A1D"/>
    <w:rsid w:val="00040D10"/>
    <w:rsid w:val="0004286A"/>
    <w:rsid w:val="00043BAD"/>
    <w:rsid w:val="00043DFE"/>
    <w:rsid w:val="00045287"/>
    <w:rsid w:val="00045CDC"/>
    <w:rsid w:val="00046D62"/>
    <w:rsid w:val="00047030"/>
    <w:rsid w:val="00047A70"/>
    <w:rsid w:val="00050A43"/>
    <w:rsid w:val="00051841"/>
    <w:rsid w:val="00052138"/>
    <w:rsid w:val="00052D75"/>
    <w:rsid w:val="00054363"/>
    <w:rsid w:val="00054647"/>
    <w:rsid w:val="0005521D"/>
    <w:rsid w:val="00055D8F"/>
    <w:rsid w:val="00056B21"/>
    <w:rsid w:val="00060604"/>
    <w:rsid w:val="00060674"/>
    <w:rsid w:val="00062891"/>
    <w:rsid w:val="00063FB0"/>
    <w:rsid w:val="00064D2A"/>
    <w:rsid w:val="00064EA9"/>
    <w:rsid w:val="000651E0"/>
    <w:rsid w:val="00065DBA"/>
    <w:rsid w:val="00065FD4"/>
    <w:rsid w:val="000664F0"/>
    <w:rsid w:val="000707C1"/>
    <w:rsid w:val="00071771"/>
    <w:rsid w:val="000725C6"/>
    <w:rsid w:val="00072653"/>
    <w:rsid w:val="00072A8F"/>
    <w:rsid w:val="00073061"/>
    <w:rsid w:val="000737D0"/>
    <w:rsid w:val="00073B6D"/>
    <w:rsid w:val="00073EEC"/>
    <w:rsid w:val="00074096"/>
    <w:rsid w:val="00075A22"/>
    <w:rsid w:val="00075CE6"/>
    <w:rsid w:val="000760FB"/>
    <w:rsid w:val="00076396"/>
    <w:rsid w:val="0007730E"/>
    <w:rsid w:val="00077749"/>
    <w:rsid w:val="0008043C"/>
    <w:rsid w:val="000808E4"/>
    <w:rsid w:val="00081496"/>
    <w:rsid w:val="000816E2"/>
    <w:rsid w:val="000818EE"/>
    <w:rsid w:val="00082184"/>
    <w:rsid w:val="000822EC"/>
    <w:rsid w:val="00082CA2"/>
    <w:rsid w:val="00082D2C"/>
    <w:rsid w:val="00083536"/>
    <w:rsid w:val="000837CD"/>
    <w:rsid w:val="00084AC4"/>
    <w:rsid w:val="00085817"/>
    <w:rsid w:val="00085FC6"/>
    <w:rsid w:val="000866C4"/>
    <w:rsid w:val="00087049"/>
    <w:rsid w:val="00087949"/>
    <w:rsid w:val="000901FB"/>
    <w:rsid w:val="000912AE"/>
    <w:rsid w:val="00092643"/>
    <w:rsid w:val="00093559"/>
    <w:rsid w:val="00093FE2"/>
    <w:rsid w:val="00095BA9"/>
    <w:rsid w:val="00096C4C"/>
    <w:rsid w:val="000A0112"/>
    <w:rsid w:val="000A1EAD"/>
    <w:rsid w:val="000A1F2B"/>
    <w:rsid w:val="000A214E"/>
    <w:rsid w:val="000A220C"/>
    <w:rsid w:val="000A4413"/>
    <w:rsid w:val="000A4BF6"/>
    <w:rsid w:val="000A4DA5"/>
    <w:rsid w:val="000A52CE"/>
    <w:rsid w:val="000A558E"/>
    <w:rsid w:val="000A5C55"/>
    <w:rsid w:val="000A6855"/>
    <w:rsid w:val="000A7061"/>
    <w:rsid w:val="000A78EF"/>
    <w:rsid w:val="000A7E38"/>
    <w:rsid w:val="000B1BAC"/>
    <w:rsid w:val="000B1BF5"/>
    <w:rsid w:val="000B1EE9"/>
    <w:rsid w:val="000B28CB"/>
    <w:rsid w:val="000B29CA"/>
    <w:rsid w:val="000B3EFA"/>
    <w:rsid w:val="000B44A4"/>
    <w:rsid w:val="000B4796"/>
    <w:rsid w:val="000B510D"/>
    <w:rsid w:val="000B6220"/>
    <w:rsid w:val="000B7668"/>
    <w:rsid w:val="000C19B0"/>
    <w:rsid w:val="000C22FA"/>
    <w:rsid w:val="000C37FE"/>
    <w:rsid w:val="000C4389"/>
    <w:rsid w:val="000C518E"/>
    <w:rsid w:val="000C5B0F"/>
    <w:rsid w:val="000C6543"/>
    <w:rsid w:val="000C6597"/>
    <w:rsid w:val="000C6C6A"/>
    <w:rsid w:val="000C70BD"/>
    <w:rsid w:val="000C7FE3"/>
    <w:rsid w:val="000D0195"/>
    <w:rsid w:val="000D0D64"/>
    <w:rsid w:val="000D15C3"/>
    <w:rsid w:val="000D1B42"/>
    <w:rsid w:val="000D1EB2"/>
    <w:rsid w:val="000D24C3"/>
    <w:rsid w:val="000D38FD"/>
    <w:rsid w:val="000D577E"/>
    <w:rsid w:val="000D6499"/>
    <w:rsid w:val="000D70EA"/>
    <w:rsid w:val="000E00C1"/>
    <w:rsid w:val="000E17B0"/>
    <w:rsid w:val="000E18E3"/>
    <w:rsid w:val="000E22A0"/>
    <w:rsid w:val="000E3F34"/>
    <w:rsid w:val="000E4300"/>
    <w:rsid w:val="000E55AF"/>
    <w:rsid w:val="000E5B3C"/>
    <w:rsid w:val="000E6876"/>
    <w:rsid w:val="000F132C"/>
    <w:rsid w:val="000F2D56"/>
    <w:rsid w:val="000F311A"/>
    <w:rsid w:val="000F341C"/>
    <w:rsid w:val="000F3678"/>
    <w:rsid w:val="000F3CD8"/>
    <w:rsid w:val="000F4821"/>
    <w:rsid w:val="000F50BD"/>
    <w:rsid w:val="000F6526"/>
    <w:rsid w:val="000F662F"/>
    <w:rsid w:val="00100B1B"/>
    <w:rsid w:val="001017C6"/>
    <w:rsid w:val="00103624"/>
    <w:rsid w:val="0010399A"/>
    <w:rsid w:val="0010483F"/>
    <w:rsid w:val="00104FD6"/>
    <w:rsid w:val="00105F9C"/>
    <w:rsid w:val="001067D2"/>
    <w:rsid w:val="001069D2"/>
    <w:rsid w:val="0010703C"/>
    <w:rsid w:val="001072C6"/>
    <w:rsid w:val="00110665"/>
    <w:rsid w:val="00110C82"/>
    <w:rsid w:val="00111577"/>
    <w:rsid w:val="001118CC"/>
    <w:rsid w:val="00112755"/>
    <w:rsid w:val="00112793"/>
    <w:rsid w:val="00113003"/>
    <w:rsid w:val="001134EC"/>
    <w:rsid w:val="001135A8"/>
    <w:rsid w:val="00113D7D"/>
    <w:rsid w:val="00113EE7"/>
    <w:rsid w:val="0011480B"/>
    <w:rsid w:val="00115368"/>
    <w:rsid w:val="00115ECB"/>
    <w:rsid w:val="00120725"/>
    <w:rsid w:val="00121A75"/>
    <w:rsid w:val="001221C4"/>
    <w:rsid w:val="00122E07"/>
    <w:rsid w:val="001236CA"/>
    <w:rsid w:val="00123BB0"/>
    <w:rsid w:val="001256A0"/>
    <w:rsid w:val="00126526"/>
    <w:rsid w:val="001267A3"/>
    <w:rsid w:val="00126A93"/>
    <w:rsid w:val="00127163"/>
    <w:rsid w:val="00130F8A"/>
    <w:rsid w:val="00131270"/>
    <w:rsid w:val="001334F2"/>
    <w:rsid w:val="001335DE"/>
    <w:rsid w:val="0013389A"/>
    <w:rsid w:val="00133C8B"/>
    <w:rsid w:val="00136126"/>
    <w:rsid w:val="0013667A"/>
    <w:rsid w:val="00136B35"/>
    <w:rsid w:val="00137AB6"/>
    <w:rsid w:val="001401FE"/>
    <w:rsid w:val="0014105D"/>
    <w:rsid w:val="00142F76"/>
    <w:rsid w:val="001442D2"/>
    <w:rsid w:val="00144708"/>
    <w:rsid w:val="00144F7F"/>
    <w:rsid w:val="001450EA"/>
    <w:rsid w:val="00145871"/>
    <w:rsid w:val="00146583"/>
    <w:rsid w:val="00146C4F"/>
    <w:rsid w:val="001506D6"/>
    <w:rsid w:val="00150BB4"/>
    <w:rsid w:val="00150D20"/>
    <w:rsid w:val="00151151"/>
    <w:rsid w:val="0015246E"/>
    <w:rsid w:val="001525F5"/>
    <w:rsid w:val="00152DB3"/>
    <w:rsid w:val="00153C87"/>
    <w:rsid w:val="00153F03"/>
    <w:rsid w:val="0015608A"/>
    <w:rsid w:val="00156D4D"/>
    <w:rsid w:val="00157688"/>
    <w:rsid w:val="00160825"/>
    <w:rsid w:val="00160D53"/>
    <w:rsid w:val="00160DD9"/>
    <w:rsid w:val="00163319"/>
    <w:rsid w:val="001636E7"/>
    <w:rsid w:val="0016459F"/>
    <w:rsid w:val="00164DC2"/>
    <w:rsid w:val="001657C9"/>
    <w:rsid w:val="0016584B"/>
    <w:rsid w:val="001660CE"/>
    <w:rsid w:val="00167BF6"/>
    <w:rsid w:val="001707DE"/>
    <w:rsid w:val="00171BFC"/>
    <w:rsid w:val="00172523"/>
    <w:rsid w:val="00172681"/>
    <w:rsid w:val="00172844"/>
    <w:rsid w:val="00174400"/>
    <w:rsid w:val="00175E2D"/>
    <w:rsid w:val="00176694"/>
    <w:rsid w:val="001766B0"/>
    <w:rsid w:val="00177254"/>
    <w:rsid w:val="00177418"/>
    <w:rsid w:val="00177B1A"/>
    <w:rsid w:val="00177BE5"/>
    <w:rsid w:val="00180308"/>
    <w:rsid w:val="001809CB"/>
    <w:rsid w:val="00181D7A"/>
    <w:rsid w:val="00184490"/>
    <w:rsid w:val="0018451D"/>
    <w:rsid w:val="0018504F"/>
    <w:rsid w:val="00185856"/>
    <w:rsid w:val="00185AA0"/>
    <w:rsid w:val="001865B7"/>
    <w:rsid w:val="001865EC"/>
    <w:rsid w:val="00187BF8"/>
    <w:rsid w:val="00191F8C"/>
    <w:rsid w:val="00192A24"/>
    <w:rsid w:val="00192CD8"/>
    <w:rsid w:val="00193B91"/>
    <w:rsid w:val="00193F2D"/>
    <w:rsid w:val="0019491E"/>
    <w:rsid w:val="001950B9"/>
    <w:rsid w:val="00196834"/>
    <w:rsid w:val="00197EDD"/>
    <w:rsid w:val="001A2447"/>
    <w:rsid w:val="001A2EFB"/>
    <w:rsid w:val="001A30D3"/>
    <w:rsid w:val="001A33B6"/>
    <w:rsid w:val="001A3990"/>
    <w:rsid w:val="001B0A59"/>
    <w:rsid w:val="001B0C33"/>
    <w:rsid w:val="001B0DD3"/>
    <w:rsid w:val="001B2878"/>
    <w:rsid w:val="001B2978"/>
    <w:rsid w:val="001B3200"/>
    <w:rsid w:val="001B3466"/>
    <w:rsid w:val="001B42CB"/>
    <w:rsid w:val="001B4B1C"/>
    <w:rsid w:val="001B4BFE"/>
    <w:rsid w:val="001B5FC9"/>
    <w:rsid w:val="001B62BB"/>
    <w:rsid w:val="001B66A3"/>
    <w:rsid w:val="001B67BA"/>
    <w:rsid w:val="001B733D"/>
    <w:rsid w:val="001B75A7"/>
    <w:rsid w:val="001B79BE"/>
    <w:rsid w:val="001C024C"/>
    <w:rsid w:val="001C0D0A"/>
    <w:rsid w:val="001C173F"/>
    <w:rsid w:val="001C2AB3"/>
    <w:rsid w:val="001C2BEF"/>
    <w:rsid w:val="001C2ED2"/>
    <w:rsid w:val="001C4D3C"/>
    <w:rsid w:val="001C5786"/>
    <w:rsid w:val="001C5981"/>
    <w:rsid w:val="001C6806"/>
    <w:rsid w:val="001C762B"/>
    <w:rsid w:val="001D04F0"/>
    <w:rsid w:val="001D1CF4"/>
    <w:rsid w:val="001D1FA3"/>
    <w:rsid w:val="001D2427"/>
    <w:rsid w:val="001D3130"/>
    <w:rsid w:val="001D43C2"/>
    <w:rsid w:val="001D5CA1"/>
    <w:rsid w:val="001D6300"/>
    <w:rsid w:val="001D6DB6"/>
    <w:rsid w:val="001D7EA6"/>
    <w:rsid w:val="001E04AD"/>
    <w:rsid w:val="001E124E"/>
    <w:rsid w:val="001E15CB"/>
    <w:rsid w:val="001E22B7"/>
    <w:rsid w:val="001E421A"/>
    <w:rsid w:val="001E465B"/>
    <w:rsid w:val="001E634C"/>
    <w:rsid w:val="001E685F"/>
    <w:rsid w:val="001F044C"/>
    <w:rsid w:val="001F1625"/>
    <w:rsid w:val="001F20FA"/>
    <w:rsid w:val="001F38F0"/>
    <w:rsid w:val="001F434C"/>
    <w:rsid w:val="001F459B"/>
    <w:rsid w:val="001F4DA0"/>
    <w:rsid w:val="001F4FF7"/>
    <w:rsid w:val="001F6091"/>
    <w:rsid w:val="001F6842"/>
    <w:rsid w:val="001F74E4"/>
    <w:rsid w:val="0020007B"/>
    <w:rsid w:val="0020053E"/>
    <w:rsid w:val="00200A8C"/>
    <w:rsid w:val="00200E67"/>
    <w:rsid w:val="00200F97"/>
    <w:rsid w:val="00201639"/>
    <w:rsid w:val="00201F00"/>
    <w:rsid w:val="00202C99"/>
    <w:rsid w:val="00205EFE"/>
    <w:rsid w:val="00207419"/>
    <w:rsid w:val="002114A7"/>
    <w:rsid w:val="00211914"/>
    <w:rsid w:val="00211FCB"/>
    <w:rsid w:val="00212118"/>
    <w:rsid w:val="00212126"/>
    <w:rsid w:val="0021231F"/>
    <w:rsid w:val="00213898"/>
    <w:rsid w:val="002138D8"/>
    <w:rsid w:val="00215116"/>
    <w:rsid w:val="0021554D"/>
    <w:rsid w:val="00215C76"/>
    <w:rsid w:val="00216E0C"/>
    <w:rsid w:val="002176CF"/>
    <w:rsid w:val="0021785D"/>
    <w:rsid w:val="002179C1"/>
    <w:rsid w:val="002212E9"/>
    <w:rsid w:val="00221914"/>
    <w:rsid w:val="00221A65"/>
    <w:rsid w:val="0022292E"/>
    <w:rsid w:val="00222EBD"/>
    <w:rsid w:val="0022391F"/>
    <w:rsid w:val="00224722"/>
    <w:rsid w:val="002255A7"/>
    <w:rsid w:val="00230691"/>
    <w:rsid w:val="00230F26"/>
    <w:rsid w:val="002318FF"/>
    <w:rsid w:val="00234B3F"/>
    <w:rsid w:val="00234B71"/>
    <w:rsid w:val="00236480"/>
    <w:rsid w:val="0023650F"/>
    <w:rsid w:val="00237BD2"/>
    <w:rsid w:val="00240C60"/>
    <w:rsid w:val="00243081"/>
    <w:rsid w:val="00243B9E"/>
    <w:rsid w:val="0024588F"/>
    <w:rsid w:val="002463D4"/>
    <w:rsid w:val="00250EEB"/>
    <w:rsid w:val="0025111A"/>
    <w:rsid w:val="0025255C"/>
    <w:rsid w:val="002527D9"/>
    <w:rsid w:val="00252CF8"/>
    <w:rsid w:val="0025504C"/>
    <w:rsid w:val="002551A2"/>
    <w:rsid w:val="00255320"/>
    <w:rsid w:val="002556BE"/>
    <w:rsid w:val="002557DE"/>
    <w:rsid w:val="002559A0"/>
    <w:rsid w:val="002567CB"/>
    <w:rsid w:val="002567E9"/>
    <w:rsid w:val="00256DA1"/>
    <w:rsid w:val="00256DB4"/>
    <w:rsid w:val="002576D7"/>
    <w:rsid w:val="0025771E"/>
    <w:rsid w:val="00257967"/>
    <w:rsid w:val="00260172"/>
    <w:rsid w:val="00260FC5"/>
    <w:rsid w:val="002635B3"/>
    <w:rsid w:val="002644F1"/>
    <w:rsid w:val="00264607"/>
    <w:rsid w:val="00264E4F"/>
    <w:rsid w:val="00265915"/>
    <w:rsid w:val="00265B08"/>
    <w:rsid w:val="00266141"/>
    <w:rsid w:val="0026780D"/>
    <w:rsid w:val="00270046"/>
    <w:rsid w:val="002706CC"/>
    <w:rsid w:val="00270E00"/>
    <w:rsid w:val="00273055"/>
    <w:rsid w:val="0027537C"/>
    <w:rsid w:val="002756D0"/>
    <w:rsid w:val="002766B4"/>
    <w:rsid w:val="00276D94"/>
    <w:rsid w:val="0027793E"/>
    <w:rsid w:val="00277951"/>
    <w:rsid w:val="00280D55"/>
    <w:rsid w:val="002818E7"/>
    <w:rsid w:val="00281FC8"/>
    <w:rsid w:val="00282101"/>
    <w:rsid w:val="00283EF1"/>
    <w:rsid w:val="00283FCF"/>
    <w:rsid w:val="002859D8"/>
    <w:rsid w:val="00285A0C"/>
    <w:rsid w:val="00292998"/>
    <w:rsid w:val="00292C5B"/>
    <w:rsid w:val="0029316E"/>
    <w:rsid w:val="00293183"/>
    <w:rsid w:val="0029330E"/>
    <w:rsid w:val="0029416A"/>
    <w:rsid w:val="002943FE"/>
    <w:rsid w:val="00295D41"/>
    <w:rsid w:val="00296603"/>
    <w:rsid w:val="00296D50"/>
    <w:rsid w:val="00297F90"/>
    <w:rsid w:val="002A0969"/>
    <w:rsid w:val="002A09C2"/>
    <w:rsid w:val="002A0A00"/>
    <w:rsid w:val="002A0A37"/>
    <w:rsid w:val="002A1F79"/>
    <w:rsid w:val="002A31A9"/>
    <w:rsid w:val="002A41F9"/>
    <w:rsid w:val="002B0403"/>
    <w:rsid w:val="002B12AA"/>
    <w:rsid w:val="002B1596"/>
    <w:rsid w:val="002B1C77"/>
    <w:rsid w:val="002B2B12"/>
    <w:rsid w:val="002B4031"/>
    <w:rsid w:val="002B493E"/>
    <w:rsid w:val="002B5180"/>
    <w:rsid w:val="002B7DBC"/>
    <w:rsid w:val="002C0137"/>
    <w:rsid w:val="002C46B3"/>
    <w:rsid w:val="002C490F"/>
    <w:rsid w:val="002C5E73"/>
    <w:rsid w:val="002C5E7C"/>
    <w:rsid w:val="002C6705"/>
    <w:rsid w:val="002C69C9"/>
    <w:rsid w:val="002C7F58"/>
    <w:rsid w:val="002D1DDF"/>
    <w:rsid w:val="002D1DE8"/>
    <w:rsid w:val="002D2489"/>
    <w:rsid w:val="002D2F20"/>
    <w:rsid w:val="002D32B9"/>
    <w:rsid w:val="002D32F0"/>
    <w:rsid w:val="002D407B"/>
    <w:rsid w:val="002D596C"/>
    <w:rsid w:val="002D73DC"/>
    <w:rsid w:val="002E09A5"/>
    <w:rsid w:val="002E4DEE"/>
    <w:rsid w:val="002E5D83"/>
    <w:rsid w:val="002E6633"/>
    <w:rsid w:val="002E6BBE"/>
    <w:rsid w:val="002E7A78"/>
    <w:rsid w:val="002E7F73"/>
    <w:rsid w:val="002E7FE8"/>
    <w:rsid w:val="002F045E"/>
    <w:rsid w:val="002F0D37"/>
    <w:rsid w:val="002F12BD"/>
    <w:rsid w:val="002F1349"/>
    <w:rsid w:val="002F2378"/>
    <w:rsid w:val="002F2F58"/>
    <w:rsid w:val="002F30BF"/>
    <w:rsid w:val="002F33AF"/>
    <w:rsid w:val="002F3918"/>
    <w:rsid w:val="002F39A0"/>
    <w:rsid w:val="002F4032"/>
    <w:rsid w:val="002F446E"/>
    <w:rsid w:val="002F49ED"/>
    <w:rsid w:val="002F5642"/>
    <w:rsid w:val="002F67DB"/>
    <w:rsid w:val="002F6911"/>
    <w:rsid w:val="002F6B28"/>
    <w:rsid w:val="002F712B"/>
    <w:rsid w:val="002F72F3"/>
    <w:rsid w:val="00300A35"/>
    <w:rsid w:val="00300B6C"/>
    <w:rsid w:val="00301BED"/>
    <w:rsid w:val="00301CAE"/>
    <w:rsid w:val="003026FE"/>
    <w:rsid w:val="003035DC"/>
    <w:rsid w:val="00303E28"/>
    <w:rsid w:val="00304B7D"/>
    <w:rsid w:val="00305F46"/>
    <w:rsid w:val="00306BB2"/>
    <w:rsid w:val="00307219"/>
    <w:rsid w:val="003079D3"/>
    <w:rsid w:val="00310DE1"/>
    <w:rsid w:val="00311AC4"/>
    <w:rsid w:val="00311F11"/>
    <w:rsid w:val="00312099"/>
    <w:rsid w:val="00312BDD"/>
    <w:rsid w:val="003132F4"/>
    <w:rsid w:val="003134EC"/>
    <w:rsid w:val="00313973"/>
    <w:rsid w:val="003139CF"/>
    <w:rsid w:val="00314FE4"/>
    <w:rsid w:val="00315325"/>
    <w:rsid w:val="00315C3E"/>
    <w:rsid w:val="00315DE9"/>
    <w:rsid w:val="003160EA"/>
    <w:rsid w:val="00316428"/>
    <w:rsid w:val="00320646"/>
    <w:rsid w:val="00320E43"/>
    <w:rsid w:val="00321217"/>
    <w:rsid w:val="003212FB"/>
    <w:rsid w:val="0032136D"/>
    <w:rsid w:val="0032272D"/>
    <w:rsid w:val="003227C3"/>
    <w:rsid w:val="00322C68"/>
    <w:rsid w:val="00323F7F"/>
    <w:rsid w:val="00325BE5"/>
    <w:rsid w:val="003263E9"/>
    <w:rsid w:val="0032694D"/>
    <w:rsid w:val="00326C5B"/>
    <w:rsid w:val="00327117"/>
    <w:rsid w:val="003302C8"/>
    <w:rsid w:val="00331CF2"/>
    <w:rsid w:val="003320D0"/>
    <w:rsid w:val="0033276F"/>
    <w:rsid w:val="0033303B"/>
    <w:rsid w:val="0033483C"/>
    <w:rsid w:val="00336ADA"/>
    <w:rsid w:val="003376B8"/>
    <w:rsid w:val="00340695"/>
    <w:rsid w:val="00342009"/>
    <w:rsid w:val="0034279F"/>
    <w:rsid w:val="00342D50"/>
    <w:rsid w:val="0034337E"/>
    <w:rsid w:val="00344077"/>
    <w:rsid w:val="00344BCD"/>
    <w:rsid w:val="00347A21"/>
    <w:rsid w:val="00347EA2"/>
    <w:rsid w:val="00351084"/>
    <w:rsid w:val="003515EB"/>
    <w:rsid w:val="0035372F"/>
    <w:rsid w:val="00353C71"/>
    <w:rsid w:val="00354995"/>
    <w:rsid w:val="003559B4"/>
    <w:rsid w:val="00356962"/>
    <w:rsid w:val="00356A79"/>
    <w:rsid w:val="00356C5A"/>
    <w:rsid w:val="00357040"/>
    <w:rsid w:val="003578EE"/>
    <w:rsid w:val="003601EF"/>
    <w:rsid w:val="00360675"/>
    <w:rsid w:val="00361157"/>
    <w:rsid w:val="00362248"/>
    <w:rsid w:val="00362441"/>
    <w:rsid w:val="00364B7F"/>
    <w:rsid w:val="0036561E"/>
    <w:rsid w:val="0036701D"/>
    <w:rsid w:val="00370BDA"/>
    <w:rsid w:val="00371690"/>
    <w:rsid w:val="00371A0D"/>
    <w:rsid w:val="00371ADC"/>
    <w:rsid w:val="00371B83"/>
    <w:rsid w:val="00372251"/>
    <w:rsid w:val="00372668"/>
    <w:rsid w:val="00373821"/>
    <w:rsid w:val="00373C68"/>
    <w:rsid w:val="00374D48"/>
    <w:rsid w:val="00376204"/>
    <w:rsid w:val="00377FE5"/>
    <w:rsid w:val="00380EE2"/>
    <w:rsid w:val="003814C5"/>
    <w:rsid w:val="00381A4D"/>
    <w:rsid w:val="00381B0E"/>
    <w:rsid w:val="00383252"/>
    <w:rsid w:val="00383D2A"/>
    <w:rsid w:val="00383DDE"/>
    <w:rsid w:val="00383FAC"/>
    <w:rsid w:val="00384751"/>
    <w:rsid w:val="00384DC3"/>
    <w:rsid w:val="0038552F"/>
    <w:rsid w:val="00390B00"/>
    <w:rsid w:val="0039100E"/>
    <w:rsid w:val="00391432"/>
    <w:rsid w:val="003923F3"/>
    <w:rsid w:val="0039318E"/>
    <w:rsid w:val="00394AB4"/>
    <w:rsid w:val="00394FA7"/>
    <w:rsid w:val="003955CA"/>
    <w:rsid w:val="00395F7B"/>
    <w:rsid w:val="00397006"/>
    <w:rsid w:val="003A01DC"/>
    <w:rsid w:val="003A03C2"/>
    <w:rsid w:val="003A09F8"/>
    <w:rsid w:val="003A0CB6"/>
    <w:rsid w:val="003A3556"/>
    <w:rsid w:val="003A35DD"/>
    <w:rsid w:val="003A5F70"/>
    <w:rsid w:val="003A66BA"/>
    <w:rsid w:val="003A7C6E"/>
    <w:rsid w:val="003B03CC"/>
    <w:rsid w:val="003B0FB7"/>
    <w:rsid w:val="003B11EB"/>
    <w:rsid w:val="003B29B3"/>
    <w:rsid w:val="003B54E7"/>
    <w:rsid w:val="003B7010"/>
    <w:rsid w:val="003B738D"/>
    <w:rsid w:val="003B792B"/>
    <w:rsid w:val="003B7A77"/>
    <w:rsid w:val="003B7CFA"/>
    <w:rsid w:val="003C146D"/>
    <w:rsid w:val="003C1D07"/>
    <w:rsid w:val="003C1FC1"/>
    <w:rsid w:val="003C22F5"/>
    <w:rsid w:val="003C419E"/>
    <w:rsid w:val="003C4770"/>
    <w:rsid w:val="003C4B20"/>
    <w:rsid w:val="003C4F86"/>
    <w:rsid w:val="003C508E"/>
    <w:rsid w:val="003C7B2F"/>
    <w:rsid w:val="003D0F52"/>
    <w:rsid w:val="003D15AA"/>
    <w:rsid w:val="003D1E83"/>
    <w:rsid w:val="003D1F30"/>
    <w:rsid w:val="003D2B28"/>
    <w:rsid w:val="003D2E33"/>
    <w:rsid w:val="003D3604"/>
    <w:rsid w:val="003D4499"/>
    <w:rsid w:val="003D6315"/>
    <w:rsid w:val="003D6696"/>
    <w:rsid w:val="003D6DF2"/>
    <w:rsid w:val="003D70EE"/>
    <w:rsid w:val="003D755B"/>
    <w:rsid w:val="003D7B2F"/>
    <w:rsid w:val="003E03F2"/>
    <w:rsid w:val="003E07CE"/>
    <w:rsid w:val="003E2A1C"/>
    <w:rsid w:val="003E3247"/>
    <w:rsid w:val="003E3F0F"/>
    <w:rsid w:val="003E4B02"/>
    <w:rsid w:val="003E6903"/>
    <w:rsid w:val="003F090A"/>
    <w:rsid w:val="003F2041"/>
    <w:rsid w:val="003F2745"/>
    <w:rsid w:val="003F2C6D"/>
    <w:rsid w:val="003F45F5"/>
    <w:rsid w:val="003F5391"/>
    <w:rsid w:val="003F5667"/>
    <w:rsid w:val="003F5681"/>
    <w:rsid w:val="003F5FC2"/>
    <w:rsid w:val="003F69EB"/>
    <w:rsid w:val="0040070A"/>
    <w:rsid w:val="0040072F"/>
    <w:rsid w:val="00400B29"/>
    <w:rsid w:val="00402405"/>
    <w:rsid w:val="00402C59"/>
    <w:rsid w:val="00403073"/>
    <w:rsid w:val="00403996"/>
    <w:rsid w:val="00404407"/>
    <w:rsid w:val="004049A8"/>
    <w:rsid w:val="00404BA1"/>
    <w:rsid w:val="00405BCC"/>
    <w:rsid w:val="0040711C"/>
    <w:rsid w:val="004072E6"/>
    <w:rsid w:val="00407860"/>
    <w:rsid w:val="0040795B"/>
    <w:rsid w:val="004103BB"/>
    <w:rsid w:val="00410CF2"/>
    <w:rsid w:val="00411275"/>
    <w:rsid w:val="00411F0A"/>
    <w:rsid w:val="00411F2C"/>
    <w:rsid w:val="004135BB"/>
    <w:rsid w:val="00413776"/>
    <w:rsid w:val="00415A10"/>
    <w:rsid w:val="00416261"/>
    <w:rsid w:val="00416563"/>
    <w:rsid w:val="004173CB"/>
    <w:rsid w:val="004202A6"/>
    <w:rsid w:val="00420426"/>
    <w:rsid w:val="00420EEE"/>
    <w:rsid w:val="00421356"/>
    <w:rsid w:val="00422289"/>
    <w:rsid w:val="0042249A"/>
    <w:rsid w:val="00422BE9"/>
    <w:rsid w:val="004235E0"/>
    <w:rsid w:val="004251C5"/>
    <w:rsid w:val="00425A28"/>
    <w:rsid w:val="004264F2"/>
    <w:rsid w:val="00430495"/>
    <w:rsid w:val="004307D2"/>
    <w:rsid w:val="004316BB"/>
    <w:rsid w:val="00432373"/>
    <w:rsid w:val="0043499C"/>
    <w:rsid w:val="00435063"/>
    <w:rsid w:val="00437939"/>
    <w:rsid w:val="00437A50"/>
    <w:rsid w:val="00437A8D"/>
    <w:rsid w:val="004402FE"/>
    <w:rsid w:val="0044081F"/>
    <w:rsid w:val="00441887"/>
    <w:rsid w:val="00442997"/>
    <w:rsid w:val="004441A4"/>
    <w:rsid w:val="0044592D"/>
    <w:rsid w:val="00445BBE"/>
    <w:rsid w:val="00446A45"/>
    <w:rsid w:val="00446AA4"/>
    <w:rsid w:val="00446E18"/>
    <w:rsid w:val="00447814"/>
    <w:rsid w:val="00447D43"/>
    <w:rsid w:val="004501E1"/>
    <w:rsid w:val="00450556"/>
    <w:rsid w:val="00452581"/>
    <w:rsid w:val="00453DC3"/>
    <w:rsid w:val="004546C1"/>
    <w:rsid w:val="00454C17"/>
    <w:rsid w:val="00454D2B"/>
    <w:rsid w:val="00454E29"/>
    <w:rsid w:val="004565A6"/>
    <w:rsid w:val="00456EE3"/>
    <w:rsid w:val="00460677"/>
    <w:rsid w:val="00460C16"/>
    <w:rsid w:val="004613F1"/>
    <w:rsid w:val="004631C7"/>
    <w:rsid w:val="00463884"/>
    <w:rsid w:val="004641B2"/>
    <w:rsid w:val="00464DDF"/>
    <w:rsid w:val="004659BA"/>
    <w:rsid w:val="00467036"/>
    <w:rsid w:val="0046737F"/>
    <w:rsid w:val="0046770B"/>
    <w:rsid w:val="004701A1"/>
    <w:rsid w:val="0047049E"/>
    <w:rsid w:val="00470B26"/>
    <w:rsid w:val="00474B93"/>
    <w:rsid w:val="0047630F"/>
    <w:rsid w:val="00476477"/>
    <w:rsid w:val="0048013E"/>
    <w:rsid w:val="004812EF"/>
    <w:rsid w:val="004821E5"/>
    <w:rsid w:val="004831E4"/>
    <w:rsid w:val="00483F15"/>
    <w:rsid w:val="00485417"/>
    <w:rsid w:val="00485CEF"/>
    <w:rsid w:val="004861C5"/>
    <w:rsid w:val="00487B54"/>
    <w:rsid w:val="00491164"/>
    <w:rsid w:val="00491693"/>
    <w:rsid w:val="0049179D"/>
    <w:rsid w:val="00491F7A"/>
    <w:rsid w:val="00492403"/>
    <w:rsid w:val="00492DB5"/>
    <w:rsid w:val="0049448E"/>
    <w:rsid w:val="0049480E"/>
    <w:rsid w:val="00495B28"/>
    <w:rsid w:val="00495B42"/>
    <w:rsid w:val="00495B67"/>
    <w:rsid w:val="00495E6F"/>
    <w:rsid w:val="00496107"/>
    <w:rsid w:val="00496C83"/>
    <w:rsid w:val="00497DFE"/>
    <w:rsid w:val="004A04FB"/>
    <w:rsid w:val="004A0589"/>
    <w:rsid w:val="004A0746"/>
    <w:rsid w:val="004A0969"/>
    <w:rsid w:val="004A0CC3"/>
    <w:rsid w:val="004A1E97"/>
    <w:rsid w:val="004A2863"/>
    <w:rsid w:val="004A3784"/>
    <w:rsid w:val="004A43BF"/>
    <w:rsid w:val="004A4CD5"/>
    <w:rsid w:val="004A5862"/>
    <w:rsid w:val="004A7D6F"/>
    <w:rsid w:val="004A7F68"/>
    <w:rsid w:val="004B0EF2"/>
    <w:rsid w:val="004B1975"/>
    <w:rsid w:val="004B1D43"/>
    <w:rsid w:val="004B1EF3"/>
    <w:rsid w:val="004B2869"/>
    <w:rsid w:val="004B29A0"/>
    <w:rsid w:val="004B3833"/>
    <w:rsid w:val="004B653A"/>
    <w:rsid w:val="004B73F0"/>
    <w:rsid w:val="004C0733"/>
    <w:rsid w:val="004C226D"/>
    <w:rsid w:val="004C297D"/>
    <w:rsid w:val="004C3492"/>
    <w:rsid w:val="004C3606"/>
    <w:rsid w:val="004C36B1"/>
    <w:rsid w:val="004C456D"/>
    <w:rsid w:val="004C5B49"/>
    <w:rsid w:val="004C5BFB"/>
    <w:rsid w:val="004C7622"/>
    <w:rsid w:val="004C7A08"/>
    <w:rsid w:val="004C7BF5"/>
    <w:rsid w:val="004C7E9F"/>
    <w:rsid w:val="004D01D5"/>
    <w:rsid w:val="004D072E"/>
    <w:rsid w:val="004D2656"/>
    <w:rsid w:val="004D2659"/>
    <w:rsid w:val="004D2BF6"/>
    <w:rsid w:val="004D4BED"/>
    <w:rsid w:val="004D52BA"/>
    <w:rsid w:val="004D5690"/>
    <w:rsid w:val="004D68FA"/>
    <w:rsid w:val="004D6C7B"/>
    <w:rsid w:val="004E0F40"/>
    <w:rsid w:val="004E11F9"/>
    <w:rsid w:val="004E15B3"/>
    <w:rsid w:val="004E1707"/>
    <w:rsid w:val="004E196D"/>
    <w:rsid w:val="004E263D"/>
    <w:rsid w:val="004E27A6"/>
    <w:rsid w:val="004E494A"/>
    <w:rsid w:val="004E4A06"/>
    <w:rsid w:val="004E58FD"/>
    <w:rsid w:val="004E5A62"/>
    <w:rsid w:val="004E736A"/>
    <w:rsid w:val="004E78CF"/>
    <w:rsid w:val="004F02AB"/>
    <w:rsid w:val="004F094D"/>
    <w:rsid w:val="004F0B7F"/>
    <w:rsid w:val="004F0F19"/>
    <w:rsid w:val="004F1F89"/>
    <w:rsid w:val="004F3D3B"/>
    <w:rsid w:val="004F3DA1"/>
    <w:rsid w:val="004F58C9"/>
    <w:rsid w:val="004F675D"/>
    <w:rsid w:val="004F6880"/>
    <w:rsid w:val="004F7111"/>
    <w:rsid w:val="004F7FE7"/>
    <w:rsid w:val="005003E0"/>
    <w:rsid w:val="0050085C"/>
    <w:rsid w:val="005020E3"/>
    <w:rsid w:val="00502736"/>
    <w:rsid w:val="0050339F"/>
    <w:rsid w:val="0050362E"/>
    <w:rsid w:val="0050457C"/>
    <w:rsid w:val="0050670B"/>
    <w:rsid w:val="00507BA6"/>
    <w:rsid w:val="00507C96"/>
    <w:rsid w:val="00511F40"/>
    <w:rsid w:val="00512929"/>
    <w:rsid w:val="00514A7B"/>
    <w:rsid w:val="00515DD7"/>
    <w:rsid w:val="00516237"/>
    <w:rsid w:val="00516631"/>
    <w:rsid w:val="005206D7"/>
    <w:rsid w:val="005208F3"/>
    <w:rsid w:val="005209D5"/>
    <w:rsid w:val="0052165D"/>
    <w:rsid w:val="005219C1"/>
    <w:rsid w:val="005221A2"/>
    <w:rsid w:val="005222B4"/>
    <w:rsid w:val="00522680"/>
    <w:rsid w:val="00523058"/>
    <w:rsid w:val="00523F5C"/>
    <w:rsid w:val="00524D1D"/>
    <w:rsid w:val="00524F83"/>
    <w:rsid w:val="00526AB9"/>
    <w:rsid w:val="0052727A"/>
    <w:rsid w:val="00527CBC"/>
    <w:rsid w:val="00527EC1"/>
    <w:rsid w:val="00530E12"/>
    <w:rsid w:val="005314AE"/>
    <w:rsid w:val="0053263C"/>
    <w:rsid w:val="005341A8"/>
    <w:rsid w:val="00534225"/>
    <w:rsid w:val="005362A2"/>
    <w:rsid w:val="005368C1"/>
    <w:rsid w:val="00537B26"/>
    <w:rsid w:val="00537FA4"/>
    <w:rsid w:val="00540045"/>
    <w:rsid w:val="00540D40"/>
    <w:rsid w:val="00541463"/>
    <w:rsid w:val="0054181E"/>
    <w:rsid w:val="0054307E"/>
    <w:rsid w:val="005447CA"/>
    <w:rsid w:val="00544A94"/>
    <w:rsid w:val="005459E2"/>
    <w:rsid w:val="00545E10"/>
    <w:rsid w:val="0054674A"/>
    <w:rsid w:val="00547CBC"/>
    <w:rsid w:val="005501CF"/>
    <w:rsid w:val="00550C36"/>
    <w:rsid w:val="00551C83"/>
    <w:rsid w:val="00552242"/>
    <w:rsid w:val="0055284E"/>
    <w:rsid w:val="00553B18"/>
    <w:rsid w:val="00554A1C"/>
    <w:rsid w:val="00554C8E"/>
    <w:rsid w:val="005552CC"/>
    <w:rsid w:val="00555E76"/>
    <w:rsid w:val="0055639D"/>
    <w:rsid w:val="00556EE3"/>
    <w:rsid w:val="00557704"/>
    <w:rsid w:val="0055785C"/>
    <w:rsid w:val="00557F6A"/>
    <w:rsid w:val="005607DA"/>
    <w:rsid w:val="00560C40"/>
    <w:rsid w:val="00561724"/>
    <w:rsid w:val="0056210C"/>
    <w:rsid w:val="00562305"/>
    <w:rsid w:val="0056249B"/>
    <w:rsid w:val="00565635"/>
    <w:rsid w:val="0056616B"/>
    <w:rsid w:val="00567BD3"/>
    <w:rsid w:val="00567FFA"/>
    <w:rsid w:val="00570555"/>
    <w:rsid w:val="00570F6B"/>
    <w:rsid w:val="00571290"/>
    <w:rsid w:val="005714E3"/>
    <w:rsid w:val="00571D65"/>
    <w:rsid w:val="005721BF"/>
    <w:rsid w:val="0057338E"/>
    <w:rsid w:val="005733CB"/>
    <w:rsid w:val="005748C6"/>
    <w:rsid w:val="005769D7"/>
    <w:rsid w:val="00576D1C"/>
    <w:rsid w:val="00576D41"/>
    <w:rsid w:val="0057755B"/>
    <w:rsid w:val="00581075"/>
    <w:rsid w:val="0058285D"/>
    <w:rsid w:val="00583717"/>
    <w:rsid w:val="00584095"/>
    <w:rsid w:val="005844FD"/>
    <w:rsid w:val="00585347"/>
    <w:rsid w:val="00585C7B"/>
    <w:rsid w:val="0058636B"/>
    <w:rsid w:val="0058687B"/>
    <w:rsid w:val="00590D66"/>
    <w:rsid w:val="00590D98"/>
    <w:rsid w:val="00591763"/>
    <w:rsid w:val="00591AC9"/>
    <w:rsid w:val="00592509"/>
    <w:rsid w:val="005925FF"/>
    <w:rsid w:val="00593CE7"/>
    <w:rsid w:val="00594B5C"/>
    <w:rsid w:val="00595DE5"/>
    <w:rsid w:val="00596B4F"/>
    <w:rsid w:val="005A00AE"/>
    <w:rsid w:val="005A02AF"/>
    <w:rsid w:val="005A07C8"/>
    <w:rsid w:val="005A0BB1"/>
    <w:rsid w:val="005A13A9"/>
    <w:rsid w:val="005A3268"/>
    <w:rsid w:val="005A384C"/>
    <w:rsid w:val="005A4095"/>
    <w:rsid w:val="005A4F14"/>
    <w:rsid w:val="005A53B7"/>
    <w:rsid w:val="005A5848"/>
    <w:rsid w:val="005A6986"/>
    <w:rsid w:val="005B03C3"/>
    <w:rsid w:val="005B364E"/>
    <w:rsid w:val="005B3D8C"/>
    <w:rsid w:val="005B4086"/>
    <w:rsid w:val="005B5C0C"/>
    <w:rsid w:val="005B5E83"/>
    <w:rsid w:val="005B7781"/>
    <w:rsid w:val="005C162B"/>
    <w:rsid w:val="005C2205"/>
    <w:rsid w:val="005C252E"/>
    <w:rsid w:val="005C2F55"/>
    <w:rsid w:val="005C46C2"/>
    <w:rsid w:val="005C488F"/>
    <w:rsid w:val="005C4BDA"/>
    <w:rsid w:val="005C6C49"/>
    <w:rsid w:val="005C7B46"/>
    <w:rsid w:val="005C7F92"/>
    <w:rsid w:val="005D0377"/>
    <w:rsid w:val="005D0C19"/>
    <w:rsid w:val="005D2FB9"/>
    <w:rsid w:val="005D37BC"/>
    <w:rsid w:val="005D3AD5"/>
    <w:rsid w:val="005D4796"/>
    <w:rsid w:val="005D5801"/>
    <w:rsid w:val="005D65C2"/>
    <w:rsid w:val="005D7957"/>
    <w:rsid w:val="005D7DD4"/>
    <w:rsid w:val="005E03B3"/>
    <w:rsid w:val="005E0C73"/>
    <w:rsid w:val="005E28B6"/>
    <w:rsid w:val="005E2A58"/>
    <w:rsid w:val="005E3D29"/>
    <w:rsid w:val="005E4101"/>
    <w:rsid w:val="005E42FB"/>
    <w:rsid w:val="005E475C"/>
    <w:rsid w:val="005E52DE"/>
    <w:rsid w:val="005E5AF1"/>
    <w:rsid w:val="005E5FE7"/>
    <w:rsid w:val="005E690E"/>
    <w:rsid w:val="005F1E3D"/>
    <w:rsid w:val="005F2201"/>
    <w:rsid w:val="005F25BF"/>
    <w:rsid w:val="005F3223"/>
    <w:rsid w:val="005F32CF"/>
    <w:rsid w:val="005F3C14"/>
    <w:rsid w:val="005F3C21"/>
    <w:rsid w:val="005F3E74"/>
    <w:rsid w:val="005F4B47"/>
    <w:rsid w:val="005F4FFA"/>
    <w:rsid w:val="005F594C"/>
    <w:rsid w:val="005F5C77"/>
    <w:rsid w:val="005F5D5C"/>
    <w:rsid w:val="005F647B"/>
    <w:rsid w:val="005F6540"/>
    <w:rsid w:val="005F6869"/>
    <w:rsid w:val="005F6ED6"/>
    <w:rsid w:val="0060028D"/>
    <w:rsid w:val="006021C5"/>
    <w:rsid w:val="006022C0"/>
    <w:rsid w:val="00602EBF"/>
    <w:rsid w:val="006033C0"/>
    <w:rsid w:val="00604A36"/>
    <w:rsid w:val="00605206"/>
    <w:rsid w:val="006072C6"/>
    <w:rsid w:val="00607689"/>
    <w:rsid w:val="006109D3"/>
    <w:rsid w:val="00610CBC"/>
    <w:rsid w:val="00611547"/>
    <w:rsid w:val="00611C7A"/>
    <w:rsid w:val="006142A7"/>
    <w:rsid w:val="0061472E"/>
    <w:rsid w:val="00614D88"/>
    <w:rsid w:val="00615C16"/>
    <w:rsid w:val="0061623C"/>
    <w:rsid w:val="006165EF"/>
    <w:rsid w:val="00620553"/>
    <w:rsid w:val="00624893"/>
    <w:rsid w:val="00624AEC"/>
    <w:rsid w:val="00624DEA"/>
    <w:rsid w:val="006259DE"/>
    <w:rsid w:val="00625B61"/>
    <w:rsid w:val="0062666E"/>
    <w:rsid w:val="006301FE"/>
    <w:rsid w:val="00630E6A"/>
    <w:rsid w:val="00631E83"/>
    <w:rsid w:val="00632037"/>
    <w:rsid w:val="00632241"/>
    <w:rsid w:val="00632ED6"/>
    <w:rsid w:val="00633379"/>
    <w:rsid w:val="0063400B"/>
    <w:rsid w:val="00635241"/>
    <w:rsid w:val="00636634"/>
    <w:rsid w:val="0063679F"/>
    <w:rsid w:val="00636810"/>
    <w:rsid w:val="00637BBD"/>
    <w:rsid w:val="006404BA"/>
    <w:rsid w:val="0064240D"/>
    <w:rsid w:val="0064479E"/>
    <w:rsid w:val="0064508F"/>
    <w:rsid w:val="00645F5C"/>
    <w:rsid w:val="006462DD"/>
    <w:rsid w:val="0064708F"/>
    <w:rsid w:val="006472AE"/>
    <w:rsid w:val="00647478"/>
    <w:rsid w:val="006475A8"/>
    <w:rsid w:val="00647611"/>
    <w:rsid w:val="00650708"/>
    <w:rsid w:val="0065435F"/>
    <w:rsid w:val="0065488B"/>
    <w:rsid w:val="00655722"/>
    <w:rsid w:val="00657CBD"/>
    <w:rsid w:val="00660039"/>
    <w:rsid w:val="006606F1"/>
    <w:rsid w:val="006615BE"/>
    <w:rsid w:val="0066190B"/>
    <w:rsid w:val="006620B1"/>
    <w:rsid w:val="00662151"/>
    <w:rsid w:val="0066279C"/>
    <w:rsid w:val="006629B9"/>
    <w:rsid w:val="00663B2E"/>
    <w:rsid w:val="00663D72"/>
    <w:rsid w:val="00664351"/>
    <w:rsid w:val="00664928"/>
    <w:rsid w:val="006662F8"/>
    <w:rsid w:val="006674F1"/>
    <w:rsid w:val="00667EA7"/>
    <w:rsid w:val="00667EDA"/>
    <w:rsid w:val="006704FE"/>
    <w:rsid w:val="00670B54"/>
    <w:rsid w:val="0067160E"/>
    <w:rsid w:val="00671E71"/>
    <w:rsid w:val="00672BDC"/>
    <w:rsid w:val="0067417C"/>
    <w:rsid w:val="006744B2"/>
    <w:rsid w:val="0067652B"/>
    <w:rsid w:val="00676C35"/>
    <w:rsid w:val="00677A96"/>
    <w:rsid w:val="00677C5C"/>
    <w:rsid w:val="00680362"/>
    <w:rsid w:val="00682A89"/>
    <w:rsid w:val="00682BE2"/>
    <w:rsid w:val="00684167"/>
    <w:rsid w:val="00684194"/>
    <w:rsid w:val="006844EF"/>
    <w:rsid w:val="0068502A"/>
    <w:rsid w:val="006850DE"/>
    <w:rsid w:val="0068715F"/>
    <w:rsid w:val="0068795B"/>
    <w:rsid w:val="00690221"/>
    <w:rsid w:val="006903C7"/>
    <w:rsid w:val="00690991"/>
    <w:rsid w:val="00694FE7"/>
    <w:rsid w:val="00695700"/>
    <w:rsid w:val="00695A41"/>
    <w:rsid w:val="006970BC"/>
    <w:rsid w:val="00697B58"/>
    <w:rsid w:val="00697BCF"/>
    <w:rsid w:val="006A03B0"/>
    <w:rsid w:val="006A098E"/>
    <w:rsid w:val="006A0DB3"/>
    <w:rsid w:val="006A253A"/>
    <w:rsid w:val="006A3458"/>
    <w:rsid w:val="006A35D6"/>
    <w:rsid w:val="006A4C8D"/>
    <w:rsid w:val="006A54A3"/>
    <w:rsid w:val="006A6A15"/>
    <w:rsid w:val="006A7DE6"/>
    <w:rsid w:val="006B14A8"/>
    <w:rsid w:val="006B1BB9"/>
    <w:rsid w:val="006B31A2"/>
    <w:rsid w:val="006B33E9"/>
    <w:rsid w:val="006B3454"/>
    <w:rsid w:val="006B350D"/>
    <w:rsid w:val="006B37CA"/>
    <w:rsid w:val="006B4FC7"/>
    <w:rsid w:val="006B5A04"/>
    <w:rsid w:val="006B674F"/>
    <w:rsid w:val="006B7314"/>
    <w:rsid w:val="006C050F"/>
    <w:rsid w:val="006C0857"/>
    <w:rsid w:val="006C2327"/>
    <w:rsid w:val="006C2533"/>
    <w:rsid w:val="006C31A9"/>
    <w:rsid w:val="006C3C80"/>
    <w:rsid w:val="006C42BE"/>
    <w:rsid w:val="006C4580"/>
    <w:rsid w:val="006C49FD"/>
    <w:rsid w:val="006C58E3"/>
    <w:rsid w:val="006C5AF1"/>
    <w:rsid w:val="006C5F85"/>
    <w:rsid w:val="006C6BF9"/>
    <w:rsid w:val="006C7336"/>
    <w:rsid w:val="006D0325"/>
    <w:rsid w:val="006D0618"/>
    <w:rsid w:val="006D06CB"/>
    <w:rsid w:val="006D0A32"/>
    <w:rsid w:val="006D10AA"/>
    <w:rsid w:val="006D1C85"/>
    <w:rsid w:val="006D2817"/>
    <w:rsid w:val="006D726E"/>
    <w:rsid w:val="006E005C"/>
    <w:rsid w:val="006E0E8F"/>
    <w:rsid w:val="006E1DFE"/>
    <w:rsid w:val="006E2A50"/>
    <w:rsid w:val="006E351E"/>
    <w:rsid w:val="006E36FA"/>
    <w:rsid w:val="006E3790"/>
    <w:rsid w:val="006E3F0F"/>
    <w:rsid w:val="006E7184"/>
    <w:rsid w:val="006F025A"/>
    <w:rsid w:val="006F056C"/>
    <w:rsid w:val="006F187B"/>
    <w:rsid w:val="006F244D"/>
    <w:rsid w:val="006F24EB"/>
    <w:rsid w:val="006F2CAB"/>
    <w:rsid w:val="006F5766"/>
    <w:rsid w:val="006F694E"/>
    <w:rsid w:val="0070051C"/>
    <w:rsid w:val="00701762"/>
    <w:rsid w:val="00701D32"/>
    <w:rsid w:val="007025C2"/>
    <w:rsid w:val="00702884"/>
    <w:rsid w:val="00702A54"/>
    <w:rsid w:val="00702BFA"/>
    <w:rsid w:val="00702C49"/>
    <w:rsid w:val="007032F4"/>
    <w:rsid w:val="00703327"/>
    <w:rsid w:val="0070339E"/>
    <w:rsid w:val="00704C9F"/>
    <w:rsid w:val="00705070"/>
    <w:rsid w:val="00705456"/>
    <w:rsid w:val="00706097"/>
    <w:rsid w:val="00706BE8"/>
    <w:rsid w:val="00706FBD"/>
    <w:rsid w:val="0070788A"/>
    <w:rsid w:val="0070797C"/>
    <w:rsid w:val="00707990"/>
    <w:rsid w:val="0071034E"/>
    <w:rsid w:val="007113EB"/>
    <w:rsid w:val="0071161B"/>
    <w:rsid w:val="00711D69"/>
    <w:rsid w:val="007132C6"/>
    <w:rsid w:val="00713744"/>
    <w:rsid w:val="00713943"/>
    <w:rsid w:val="00713A47"/>
    <w:rsid w:val="00715375"/>
    <w:rsid w:val="00715C9B"/>
    <w:rsid w:val="007164EC"/>
    <w:rsid w:val="00716D03"/>
    <w:rsid w:val="00720302"/>
    <w:rsid w:val="00720DF3"/>
    <w:rsid w:val="0072130F"/>
    <w:rsid w:val="00722382"/>
    <w:rsid w:val="0072271D"/>
    <w:rsid w:val="00722C64"/>
    <w:rsid w:val="007238BD"/>
    <w:rsid w:val="00724971"/>
    <w:rsid w:val="00724FB3"/>
    <w:rsid w:val="00725010"/>
    <w:rsid w:val="007251DC"/>
    <w:rsid w:val="007259FC"/>
    <w:rsid w:val="00726946"/>
    <w:rsid w:val="00727220"/>
    <w:rsid w:val="00727704"/>
    <w:rsid w:val="00730467"/>
    <w:rsid w:val="00730B09"/>
    <w:rsid w:val="007310D6"/>
    <w:rsid w:val="00732786"/>
    <w:rsid w:val="00733FEC"/>
    <w:rsid w:val="00734086"/>
    <w:rsid w:val="00734837"/>
    <w:rsid w:val="007349EA"/>
    <w:rsid w:val="007362E5"/>
    <w:rsid w:val="0073661B"/>
    <w:rsid w:val="00736DA3"/>
    <w:rsid w:val="00737C82"/>
    <w:rsid w:val="00737FFB"/>
    <w:rsid w:val="007402AA"/>
    <w:rsid w:val="00740B07"/>
    <w:rsid w:val="007413A7"/>
    <w:rsid w:val="00741403"/>
    <w:rsid w:val="007417AF"/>
    <w:rsid w:val="007417EE"/>
    <w:rsid w:val="00741B84"/>
    <w:rsid w:val="007434D5"/>
    <w:rsid w:val="00743600"/>
    <w:rsid w:val="00743EA0"/>
    <w:rsid w:val="00743EE9"/>
    <w:rsid w:val="0074485D"/>
    <w:rsid w:val="00745AA8"/>
    <w:rsid w:val="00745F97"/>
    <w:rsid w:val="00746FEB"/>
    <w:rsid w:val="00747159"/>
    <w:rsid w:val="00750B8A"/>
    <w:rsid w:val="00750E01"/>
    <w:rsid w:val="00751171"/>
    <w:rsid w:val="00753376"/>
    <w:rsid w:val="007547B0"/>
    <w:rsid w:val="007548F0"/>
    <w:rsid w:val="00754CAF"/>
    <w:rsid w:val="0075520E"/>
    <w:rsid w:val="00755D9C"/>
    <w:rsid w:val="00755F79"/>
    <w:rsid w:val="00756ABB"/>
    <w:rsid w:val="00756DCC"/>
    <w:rsid w:val="00756E2A"/>
    <w:rsid w:val="007572FA"/>
    <w:rsid w:val="00760172"/>
    <w:rsid w:val="007601D7"/>
    <w:rsid w:val="00761D8C"/>
    <w:rsid w:val="007624D5"/>
    <w:rsid w:val="007643E5"/>
    <w:rsid w:val="00765290"/>
    <w:rsid w:val="007652B9"/>
    <w:rsid w:val="00765366"/>
    <w:rsid w:val="007653FA"/>
    <w:rsid w:val="0076659C"/>
    <w:rsid w:val="00767F84"/>
    <w:rsid w:val="00767FF9"/>
    <w:rsid w:val="00770FF2"/>
    <w:rsid w:val="007711A8"/>
    <w:rsid w:val="00772264"/>
    <w:rsid w:val="0077273D"/>
    <w:rsid w:val="007732B5"/>
    <w:rsid w:val="00773D10"/>
    <w:rsid w:val="00774842"/>
    <w:rsid w:val="007754FA"/>
    <w:rsid w:val="0077561A"/>
    <w:rsid w:val="007769B3"/>
    <w:rsid w:val="007801E5"/>
    <w:rsid w:val="007808E2"/>
    <w:rsid w:val="00781613"/>
    <w:rsid w:val="0078171D"/>
    <w:rsid w:val="0078330A"/>
    <w:rsid w:val="007846ED"/>
    <w:rsid w:val="00784E62"/>
    <w:rsid w:val="0078582C"/>
    <w:rsid w:val="00785E21"/>
    <w:rsid w:val="00786574"/>
    <w:rsid w:val="007869C9"/>
    <w:rsid w:val="007911CA"/>
    <w:rsid w:val="007919FE"/>
    <w:rsid w:val="00791E19"/>
    <w:rsid w:val="00792085"/>
    <w:rsid w:val="00792975"/>
    <w:rsid w:val="00792D55"/>
    <w:rsid w:val="00793E49"/>
    <w:rsid w:val="007954ED"/>
    <w:rsid w:val="00797327"/>
    <w:rsid w:val="0079759C"/>
    <w:rsid w:val="00797727"/>
    <w:rsid w:val="00797872"/>
    <w:rsid w:val="007979CC"/>
    <w:rsid w:val="007A00AF"/>
    <w:rsid w:val="007A19DF"/>
    <w:rsid w:val="007A696E"/>
    <w:rsid w:val="007A6CE9"/>
    <w:rsid w:val="007A6E36"/>
    <w:rsid w:val="007A75A4"/>
    <w:rsid w:val="007A75B9"/>
    <w:rsid w:val="007A7BEF"/>
    <w:rsid w:val="007B0F17"/>
    <w:rsid w:val="007B2836"/>
    <w:rsid w:val="007B2B4F"/>
    <w:rsid w:val="007B3118"/>
    <w:rsid w:val="007B4AA2"/>
    <w:rsid w:val="007B5A98"/>
    <w:rsid w:val="007B5E7D"/>
    <w:rsid w:val="007B619A"/>
    <w:rsid w:val="007B6D9E"/>
    <w:rsid w:val="007C0BE2"/>
    <w:rsid w:val="007C1565"/>
    <w:rsid w:val="007C4A50"/>
    <w:rsid w:val="007C503D"/>
    <w:rsid w:val="007C51EA"/>
    <w:rsid w:val="007C56E8"/>
    <w:rsid w:val="007C5C7F"/>
    <w:rsid w:val="007C5C9F"/>
    <w:rsid w:val="007C5D2B"/>
    <w:rsid w:val="007C63FA"/>
    <w:rsid w:val="007C66CE"/>
    <w:rsid w:val="007C6CBF"/>
    <w:rsid w:val="007C6EF0"/>
    <w:rsid w:val="007C7B87"/>
    <w:rsid w:val="007D0235"/>
    <w:rsid w:val="007D0991"/>
    <w:rsid w:val="007D1BBB"/>
    <w:rsid w:val="007D20D8"/>
    <w:rsid w:val="007D410B"/>
    <w:rsid w:val="007D4252"/>
    <w:rsid w:val="007D4821"/>
    <w:rsid w:val="007D5DBB"/>
    <w:rsid w:val="007D7334"/>
    <w:rsid w:val="007D74B1"/>
    <w:rsid w:val="007D7EFE"/>
    <w:rsid w:val="007E0F40"/>
    <w:rsid w:val="007E13DC"/>
    <w:rsid w:val="007E19EA"/>
    <w:rsid w:val="007E3329"/>
    <w:rsid w:val="007E3F41"/>
    <w:rsid w:val="007E4394"/>
    <w:rsid w:val="007E4502"/>
    <w:rsid w:val="007E5073"/>
    <w:rsid w:val="007E6145"/>
    <w:rsid w:val="007E6535"/>
    <w:rsid w:val="007E6D12"/>
    <w:rsid w:val="007E6E40"/>
    <w:rsid w:val="007E7A8E"/>
    <w:rsid w:val="007E7AFC"/>
    <w:rsid w:val="007F00E3"/>
    <w:rsid w:val="007F0EB5"/>
    <w:rsid w:val="007F2F95"/>
    <w:rsid w:val="007F36EC"/>
    <w:rsid w:val="007F383B"/>
    <w:rsid w:val="007F413C"/>
    <w:rsid w:val="007F6393"/>
    <w:rsid w:val="007F6DAD"/>
    <w:rsid w:val="007F7468"/>
    <w:rsid w:val="00800E7F"/>
    <w:rsid w:val="0080137E"/>
    <w:rsid w:val="0080143A"/>
    <w:rsid w:val="00803CAD"/>
    <w:rsid w:val="0080404C"/>
    <w:rsid w:val="00804341"/>
    <w:rsid w:val="00807622"/>
    <w:rsid w:val="00807A3D"/>
    <w:rsid w:val="00807B8B"/>
    <w:rsid w:val="008111F7"/>
    <w:rsid w:val="0081168D"/>
    <w:rsid w:val="00811AF5"/>
    <w:rsid w:val="00812426"/>
    <w:rsid w:val="00812868"/>
    <w:rsid w:val="00813336"/>
    <w:rsid w:val="00814202"/>
    <w:rsid w:val="00814784"/>
    <w:rsid w:val="00814B0E"/>
    <w:rsid w:val="00815BF0"/>
    <w:rsid w:val="0081705F"/>
    <w:rsid w:val="008174B8"/>
    <w:rsid w:val="00817AF3"/>
    <w:rsid w:val="00820A32"/>
    <w:rsid w:val="00820F12"/>
    <w:rsid w:val="00821217"/>
    <w:rsid w:val="008222FA"/>
    <w:rsid w:val="00823E06"/>
    <w:rsid w:val="00823E0D"/>
    <w:rsid w:val="00823E5F"/>
    <w:rsid w:val="00824C5B"/>
    <w:rsid w:val="00825D38"/>
    <w:rsid w:val="00826C2F"/>
    <w:rsid w:val="00827557"/>
    <w:rsid w:val="008308B9"/>
    <w:rsid w:val="00830A12"/>
    <w:rsid w:val="00831491"/>
    <w:rsid w:val="00831762"/>
    <w:rsid w:val="00831A6E"/>
    <w:rsid w:val="00831B4A"/>
    <w:rsid w:val="00831CA2"/>
    <w:rsid w:val="0083420B"/>
    <w:rsid w:val="0083545E"/>
    <w:rsid w:val="00836410"/>
    <w:rsid w:val="008365D8"/>
    <w:rsid w:val="00836766"/>
    <w:rsid w:val="008371A0"/>
    <w:rsid w:val="00840BA4"/>
    <w:rsid w:val="00841B15"/>
    <w:rsid w:val="00843162"/>
    <w:rsid w:val="00843524"/>
    <w:rsid w:val="0084583C"/>
    <w:rsid w:val="008459A4"/>
    <w:rsid w:val="00845DB3"/>
    <w:rsid w:val="008466F2"/>
    <w:rsid w:val="008475E9"/>
    <w:rsid w:val="008502AB"/>
    <w:rsid w:val="00850424"/>
    <w:rsid w:val="00850F65"/>
    <w:rsid w:val="008520D1"/>
    <w:rsid w:val="008535EF"/>
    <w:rsid w:val="00853E19"/>
    <w:rsid w:val="00854288"/>
    <w:rsid w:val="0085469E"/>
    <w:rsid w:val="008552BC"/>
    <w:rsid w:val="0085549D"/>
    <w:rsid w:val="00856961"/>
    <w:rsid w:val="00857D62"/>
    <w:rsid w:val="0086171A"/>
    <w:rsid w:val="00861A88"/>
    <w:rsid w:val="00862C5C"/>
    <w:rsid w:val="00864530"/>
    <w:rsid w:val="00865ADC"/>
    <w:rsid w:val="00870932"/>
    <w:rsid w:val="00870B08"/>
    <w:rsid w:val="00870C74"/>
    <w:rsid w:val="00872C61"/>
    <w:rsid w:val="00873B64"/>
    <w:rsid w:val="00873D5B"/>
    <w:rsid w:val="00875A5E"/>
    <w:rsid w:val="0087680F"/>
    <w:rsid w:val="00880CED"/>
    <w:rsid w:val="00880F98"/>
    <w:rsid w:val="00882A81"/>
    <w:rsid w:val="00882EDD"/>
    <w:rsid w:val="0088309F"/>
    <w:rsid w:val="0088316F"/>
    <w:rsid w:val="00884EDC"/>
    <w:rsid w:val="00885B08"/>
    <w:rsid w:val="00886D55"/>
    <w:rsid w:val="0088797B"/>
    <w:rsid w:val="00887C03"/>
    <w:rsid w:val="008908DF"/>
    <w:rsid w:val="00892228"/>
    <w:rsid w:val="00892746"/>
    <w:rsid w:val="00892F15"/>
    <w:rsid w:val="00893825"/>
    <w:rsid w:val="008947BF"/>
    <w:rsid w:val="008948A3"/>
    <w:rsid w:val="00894B11"/>
    <w:rsid w:val="00895531"/>
    <w:rsid w:val="00895615"/>
    <w:rsid w:val="008976E9"/>
    <w:rsid w:val="00897CCF"/>
    <w:rsid w:val="008A17D9"/>
    <w:rsid w:val="008A1800"/>
    <w:rsid w:val="008A1914"/>
    <w:rsid w:val="008A2287"/>
    <w:rsid w:val="008A294E"/>
    <w:rsid w:val="008A2DEA"/>
    <w:rsid w:val="008A30E5"/>
    <w:rsid w:val="008A52D6"/>
    <w:rsid w:val="008A56D8"/>
    <w:rsid w:val="008A5E31"/>
    <w:rsid w:val="008A76C5"/>
    <w:rsid w:val="008B0B41"/>
    <w:rsid w:val="008B1295"/>
    <w:rsid w:val="008B136A"/>
    <w:rsid w:val="008B18A2"/>
    <w:rsid w:val="008B1988"/>
    <w:rsid w:val="008B3F5E"/>
    <w:rsid w:val="008B433F"/>
    <w:rsid w:val="008B531D"/>
    <w:rsid w:val="008B5486"/>
    <w:rsid w:val="008B5488"/>
    <w:rsid w:val="008B75EE"/>
    <w:rsid w:val="008B7AC8"/>
    <w:rsid w:val="008B7D1E"/>
    <w:rsid w:val="008C02ED"/>
    <w:rsid w:val="008C0694"/>
    <w:rsid w:val="008C12EE"/>
    <w:rsid w:val="008C1ED7"/>
    <w:rsid w:val="008C245E"/>
    <w:rsid w:val="008C2515"/>
    <w:rsid w:val="008C2D1C"/>
    <w:rsid w:val="008C2EFC"/>
    <w:rsid w:val="008C36CB"/>
    <w:rsid w:val="008C3B82"/>
    <w:rsid w:val="008C4148"/>
    <w:rsid w:val="008C51B2"/>
    <w:rsid w:val="008C594A"/>
    <w:rsid w:val="008C63A3"/>
    <w:rsid w:val="008C6552"/>
    <w:rsid w:val="008C6A74"/>
    <w:rsid w:val="008D01D3"/>
    <w:rsid w:val="008D122D"/>
    <w:rsid w:val="008D4206"/>
    <w:rsid w:val="008D462D"/>
    <w:rsid w:val="008D575D"/>
    <w:rsid w:val="008D586E"/>
    <w:rsid w:val="008D5E59"/>
    <w:rsid w:val="008D7B46"/>
    <w:rsid w:val="008E0CB3"/>
    <w:rsid w:val="008E0F2E"/>
    <w:rsid w:val="008E0FD2"/>
    <w:rsid w:val="008E11CC"/>
    <w:rsid w:val="008E12D9"/>
    <w:rsid w:val="008E3187"/>
    <w:rsid w:val="008E342A"/>
    <w:rsid w:val="008E3645"/>
    <w:rsid w:val="008E3A65"/>
    <w:rsid w:val="008E480E"/>
    <w:rsid w:val="008E500C"/>
    <w:rsid w:val="008E50DC"/>
    <w:rsid w:val="008E68F0"/>
    <w:rsid w:val="008E7B88"/>
    <w:rsid w:val="008F0192"/>
    <w:rsid w:val="008F15A3"/>
    <w:rsid w:val="008F1E30"/>
    <w:rsid w:val="008F31FB"/>
    <w:rsid w:val="008F4430"/>
    <w:rsid w:val="008F545E"/>
    <w:rsid w:val="008F6E6D"/>
    <w:rsid w:val="008F7646"/>
    <w:rsid w:val="008F79E5"/>
    <w:rsid w:val="008F7A30"/>
    <w:rsid w:val="0090032C"/>
    <w:rsid w:val="00900699"/>
    <w:rsid w:val="009009B0"/>
    <w:rsid w:val="0090142F"/>
    <w:rsid w:val="00901BAD"/>
    <w:rsid w:val="00902005"/>
    <w:rsid w:val="00902622"/>
    <w:rsid w:val="00903576"/>
    <w:rsid w:val="00904480"/>
    <w:rsid w:val="00906D77"/>
    <w:rsid w:val="00910715"/>
    <w:rsid w:val="00910B19"/>
    <w:rsid w:val="00911207"/>
    <w:rsid w:val="009113F4"/>
    <w:rsid w:val="00911415"/>
    <w:rsid w:val="009120CC"/>
    <w:rsid w:val="00912920"/>
    <w:rsid w:val="0091338C"/>
    <w:rsid w:val="00914633"/>
    <w:rsid w:val="009152EA"/>
    <w:rsid w:val="009153A1"/>
    <w:rsid w:val="00915A35"/>
    <w:rsid w:val="00915C08"/>
    <w:rsid w:val="00915F4D"/>
    <w:rsid w:val="009167C7"/>
    <w:rsid w:val="00917067"/>
    <w:rsid w:val="00917E39"/>
    <w:rsid w:val="00917E4A"/>
    <w:rsid w:val="00917F71"/>
    <w:rsid w:val="00920A61"/>
    <w:rsid w:val="00920DEA"/>
    <w:rsid w:val="00921A06"/>
    <w:rsid w:val="009234CF"/>
    <w:rsid w:val="009240F7"/>
    <w:rsid w:val="00926E1F"/>
    <w:rsid w:val="009274E1"/>
    <w:rsid w:val="009323FE"/>
    <w:rsid w:val="00932E9A"/>
    <w:rsid w:val="009344D2"/>
    <w:rsid w:val="009344DE"/>
    <w:rsid w:val="0093450C"/>
    <w:rsid w:val="00934739"/>
    <w:rsid w:val="009403A1"/>
    <w:rsid w:val="0094225F"/>
    <w:rsid w:val="00942F77"/>
    <w:rsid w:val="00943DC0"/>
    <w:rsid w:val="00945113"/>
    <w:rsid w:val="00946801"/>
    <w:rsid w:val="00946F12"/>
    <w:rsid w:val="0094747E"/>
    <w:rsid w:val="009479C5"/>
    <w:rsid w:val="00950D28"/>
    <w:rsid w:val="00950F7D"/>
    <w:rsid w:val="00951612"/>
    <w:rsid w:val="009528F6"/>
    <w:rsid w:val="009537DE"/>
    <w:rsid w:val="00953CFB"/>
    <w:rsid w:val="00955CE0"/>
    <w:rsid w:val="00956FE2"/>
    <w:rsid w:val="009573A2"/>
    <w:rsid w:val="009607E8"/>
    <w:rsid w:val="00960BC5"/>
    <w:rsid w:val="0096383E"/>
    <w:rsid w:val="00963C27"/>
    <w:rsid w:val="00963EC1"/>
    <w:rsid w:val="00966E3D"/>
    <w:rsid w:val="0096740E"/>
    <w:rsid w:val="00967846"/>
    <w:rsid w:val="00970882"/>
    <w:rsid w:val="00971AFD"/>
    <w:rsid w:val="0097238C"/>
    <w:rsid w:val="00973ADF"/>
    <w:rsid w:val="0097490E"/>
    <w:rsid w:val="0097494D"/>
    <w:rsid w:val="00974CF6"/>
    <w:rsid w:val="00975D12"/>
    <w:rsid w:val="00976507"/>
    <w:rsid w:val="009769A0"/>
    <w:rsid w:val="0097708D"/>
    <w:rsid w:val="0098094D"/>
    <w:rsid w:val="00980D84"/>
    <w:rsid w:val="00981E87"/>
    <w:rsid w:val="0098317B"/>
    <w:rsid w:val="0098398D"/>
    <w:rsid w:val="00983BF2"/>
    <w:rsid w:val="00984B1E"/>
    <w:rsid w:val="00984C3D"/>
    <w:rsid w:val="009857DF"/>
    <w:rsid w:val="00985C8A"/>
    <w:rsid w:val="00986BEC"/>
    <w:rsid w:val="00987255"/>
    <w:rsid w:val="00987292"/>
    <w:rsid w:val="009906F0"/>
    <w:rsid w:val="00990A44"/>
    <w:rsid w:val="00993428"/>
    <w:rsid w:val="009950AF"/>
    <w:rsid w:val="00995E8D"/>
    <w:rsid w:val="00996BAB"/>
    <w:rsid w:val="009976E4"/>
    <w:rsid w:val="009A1C94"/>
    <w:rsid w:val="009A33CC"/>
    <w:rsid w:val="009A3D48"/>
    <w:rsid w:val="009A47BB"/>
    <w:rsid w:val="009A539F"/>
    <w:rsid w:val="009A61C7"/>
    <w:rsid w:val="009A6AE4"/>
    <w:rsid w:val="009A6BA4"/>
    <w:rsid w:val="009A7317"/>
    <w:rsid w:val="009A7EF0"/>
    <w:rsid w:val="009B0098"/>
    <w:rsid w:val="009B0596"/>
    <w:rsid w:val="009B1748"/>
    <w:rsid w:val="009B1DCD"/>
    <w:rsid w:val="009B2741"/>
    <w:rsid w:val="009B2D0D"/>
    <w:rsid w:val="009B32EA"/>
    <w:rsid w:val="009B479A"/>
    <w:rsid w:val="009B56CE"/>
    <w:rsid w:val="009B60C7"/>
    <w:rsid w:val="009C00F9"/>
    <w:rsid w:val="009C05CA"/>
    <w:rsid w:val="009C0A05"/>
    <w:rsid w:val="009C15A7"/>
    <w:rsid w:val="009C1797"/>
    <w:rsid w:val="009C1DA7"/>
    <w:rsid w:val="009C200E"/>
    <w:rsid w:val="009C2120"/>
    <w:rsid w:val="009C220B"/>
    <w:rsid w:val="009C2FBD"/>
    <w:rsid w:val="009C3FD2"/>
    <w:rsid w:val="009C45C4"/>
    <w:rsid w:val="009C5720"/>
    <w:rsid w:val="009C5AE5"/>
    <w:rsid w:val="009C61E4"/>
    <w:rsid w:val="009C6732"/>
    <w:rsid w:val="009C7312"/>
    <w:rsid w:val="009C7548"/>
    <w:rsid w:val="009C7DC3"/>
    <w:rsid w:val="009D1A64"/>
    <w:rsid w:val="009D4AFE"/>
    <w:rsid w:val="009D5B53"/>
    <w:rsid w:val="009D69B9"/>
    <w:rsid w:val="009D775F"/>
    <w:rsid w:val="009E1891"/>
    <w:rsid w:val="009E1AB7"/>
    <w:rsid w:val="009E22D4"/>
    <w:rsid w:val="009E2E1A"/>
    <w:rsid w:val="009E41C5"/>
    <w:rsid w:val="009E768D"/>
    <w:rsid w:val="009E7DE3"/>
    <w:rsid w:val="009E7FC6"/>
    <w:rsid w:val="009F0462"/>
    <w:rsid w:val="009F0694"/>
    <w:rsid w:val="009F06E2"/>
    <w:rsid w:val="009F09D1"/>
    <w:rsid w:val="009F0D47"/>
    <w:rsid w:val="009F1712"/>
    <w:rsid w:val="009F3166"/>
    <w:rsid w:val="009F5B48"/>
    <w:rsid w:val="009F64EB"/>
    <w:rsid w:val="009F7C52"/>
    <w:rsid w:val="00A006FD"/>
    <w:rsid w:val="00A01671"/>
    <w:rsid w:val="00A01A13"/>
    <w:rsid w:val="00A0212F"/>
    <w:rsid w:val="00A02293"/>
    <w:rsid w:val="00A02AE8"/>
    <w:rsid w:val="00A02BD1"/>
    <w:rsid w:val="00A02C66"/>
    <w:rsid w:val="00A0321A"/>
    <w:rsid w:val="00A04028"/>
    <w:rsid w:val="00A06CB4"/>
    <w:rsid w:val="00A071DF"/>
    <w:rsid w:val="00A0766D"/>
    <w:rsid w:val="00A10C5E"/>
    <w:rsid w:val="00A11128"/>
    <w:rsid w:val="00A123DB"/>
    <w:rsid w:val="00A135AF"/>
    <w:rsid w:val="00A1375A"/>
    <w:rsid w:val="00A1386C"/>
    <w:rsid w:val="00A15F23"/>
    <w:rsid w:val="00A177B6"/>
    <w:rsid w:val="00A2059C"/>
    <w:rsid w:val="00A20E4D"/>
    <w:rsid w:val="00A21E5F"/>
    <w:rsid w:val="00A21F08"/>
    <w:rsid w:val="00A24C95"/>
    <w:rsid w:val="00A25993"/>
    <w:rsid w:val="00A264CF"/>
    <w:rsid w:val="00A26533"/>
    <w:rsid w:val="00A27244"/>
    <w:rsid w:val="00A31699"/>
    <w:rsid w:val="00A3481C"/>
    <w:rsid w:val="00A34E4F"/>
    <w:rsid w:val="00A35247"/>
    <w:rsid w:val="00A3525F"/>
    <w:rsid w:val="00A366F5"/>
    <w:rsid w:val="00A37045"/>
    <w:rsid w:val="00A37AA6"/>
    <w:rsid w:val="00A37EC7"/>
    <w:rsid w:val="00A405AA"/>
    <w:rsid w:val="00A411F2"/>
    <w:rsid w:val="00A429FD"/>
    <w:rsid w:val="00A44FDB"/>
    <w:rsid w:val="00A45DF1"/>
    <w:rsid w:val="00A461E3"/>
    <w:rsid w:val="00A4658C"/>
    <w:rsid w:val="00A46BA9"/>
    <w:rsid w:val="00A4791C"/>
    <w:rsid w:val="00A47F64"/>
    <w:rsid w:val="00A51907"/>
    <w:rsid w:val="00A52322"/>
    <w:rsid w:val="00A52A31"/>
    <w:rsid w:val="00A53B36"/>
    <w:rsid w:val="00A548C8"/>
    <w:rsid w:val="00A54A8C"/>
    <w:rsid w:val="00A5585F"/>
    <w:rsid w:val="00A55934"/>
    <w:rsid w:val="00A57C13"/>
    <w:rsid w:val="00A608AC"/>
    <w:rsid w:val="00A63396"/>
    <w:rsid w:val="00A63AB8"/>
    <w:rsid w:val="00A650A3"/>
    <w:rsid w:val="00A65C67"/>
    <w:rsid w:val="00A70676"/>
    <w:rsid w:val="00A7142B"/>
    <w:rsid w:val="00A71D6E"/>
    <w:rsid w:val="00A72A0C"/>
    <w:rsid w:val="00A730B6"/>
    <w:rsid w:val="00A74DB7"/>
    <w:rsid w:val="00A75C5F"/>
    <w:rsid w:val="00A75C86"/>
    <w:rsid w:val="00A772B5"/>
    <w:rsid w:val="00A77CE0"/>
    <w:rsid w:val="00A80A9A"/>
    <w:rsid w:val="00A817EB"/>
    <w:rsid w:val="00A817F2"/>
    <w:rsid w:val="00A847E5"/>
    <w:rsid w:val="00A84A26"/>
    <w:rsid w:val="00A85836"/>
    <w:rsid w:val="00A859A4"/>
    <w:rsid w:val="00A85B27"/>
    <w:rsid w:val="00A86D67"/>
    <w:rsid w:val="00A8715F"/>
    <w:rsid w:val="00A8719C"/>
    <w:rsid w:val="00A873F3"/>
    <w:rsid w:val="00A878B8"/>
    <w:rsid w:val="00A87941"/>
    <w:rsid w:val="00A9039A"/>
    <w:rsid w:val="00A907F2"/>
    <w:rsid w:val="00A90AA6"/>
    <w:rsid w:val="00A90DA9"/>
    <w:rsid w:val="00A9178A"/>
    <w:rsid w:val="00A92FE8"/>
    <w:rsid w:val="00A93156"/>
    <w:rsid w:val="00A93FD6"/>
    <w:rsid w:val="00A94A5C"/>
    <w:rsid w:val="00A94BB1"/>
    <w:rsid w:val="00A952B4"/>
    <w:rsid w:val="00A95C9F"/>
    <w:rsid w:val="00A96ECF"/>
    <w:rsid w:val="00A976FE"/>
    <w:rsid w:val="00AA012F"/>
    <w:rsid w:val="00AA0868"/>
    <w:rsid w:val="00AA2BE5"/>
    <w:rsid w:val="00AA3242"/>
    <w:rsid w:val="00AA386D"/>
    <w:rsid w:val="00AA4B8B"/>
    <w:rsid w:val="00AA4CFF"/>
    <w:rsid w:val="00AA5E9C"/>
    <w:rsid w:val="00AA64D7"/>
    <w:rsid w:val="00AA6A52"/>
    <w:rsid w:val="00AA6AFA"/>
    <w:rsid w:val="00AA6CF1"/>
    <w:rsid w:val="00AA74CA"/>
    <w:rsid w:val="00AB0491"/>
    <w:rsid w:val="00AB0638"/>
    <w:rsid w:val="00AB0F3D"/>
    <w:rsid w:val="00AB0F47"/>
    <w:rsid w:val="00AB19DA"/>
    <w:rsid w:val="00AB3685"/>
    <w:rsid w:val="00AB4416"/>
    <w:rsid w:val="00AB4CB5"/>
    <w:rsid w:val="00AB6BFA"/>
    <w:rsid w:val="00AB7440"/>
    <w:rsid w:val="00AC0342"/>
    <w:rsid w:val="00AC1C78"/>
    <w:rsid w:val="00AC1D44"/>
    <w:rsid w:val="00AC1EEC"/>
    <w:rsid w:val="00AC3FAC"/>
    <w:rsid w:val="00AC50CA"/>
    <w:rsid w:val="00AC637B"/>
    <w:rsid w:val="00AC74DC"/>
    <w:rsid w:val="00AC7A46"/>
    <w:rsid w:val="00AD1377"/>
    <w:rsid w:val="00AD1C3A"/>
    <w:rsid w:val="00AD3B80"/>
    <w:rsid w:val="00AD441F"/>
    <w:rsid w:val="00AD4777"/>
    <w:rsid w:val="00AD675D"/>
    <w:rsid w:val="00AD717D"/>
    <w:rsid w:val="00AE035A"/>
    <w:rsid w:val="00AE0F66"/>
    <w:rsid w:val="00AE1304"/>
    <w:rsid w:val="00AE13FA"/>
    <w:rsid w:val="00AE193B"/>
    <w:rsid w:val="00AE1D2E"/>
    <w:rsid w:val="00AE1F2D"/>
    <w:rsid w:val="00AE2DFE"/>
    <w:rsid w:val="00AE2FBA"/>
    <w:rsid w:val="00AE34B2"/>
    <w:rsid w:val="00AE3CD6"/>
    <w:rsid w:val="00AE3DC0"/>
    <w:rsid w:val="00AE5413"/>
    <w:rsid w:val="00AE5652"/>
    <w:rsid w:val="00AE70AF"/>
    <w:rsid w:val="00AF07D8"/>
    <w:rsid w:val="00AF1655"/>
    <w:rsid w:val="00AF1718"/>
    <w:rsid w:val="00AF234A"/>
    <w:rsid w:val="00AF3496"/>
    <w:rsid w:val="00AF3B4D"/>
    <w:rsid w:val="00AF3EA7"/>
    <w:rsid w:val="00AF43A7"/>
    <w:rsid w:val="00AF4E7D"/>
    <w:rsid w:val="00AF4E8E"/>
    <w:rsid w:val="00AF6526"/>
    <w:rsid w:val="00AF7CF6"/>
    <w:rsid w:val="00B01146"/>
    <w:rsid w:val="00B01FC7"/>
    <w:rsid w:val="00B0277F"/>
    <w:rsid w:val="00B0370F"/>
    <w:rsid w:val="00B0449C"/>
    <w:rsid w:val="00B06773"/>
    <w:rsid w:val="00B07E51"/>
    <w:rsid w:val="00B11843"/>
    <w:rsid w:val="00B12A01"/>
    <w:rsid w:val="00B133D2"/>
    <w:rsid w:val="00B13449"/>
    <w:rsid w:val="00B15061"/>
    <w:rsid w:val="00B15414"/>
    <w:rsid w:val="00B1620C"/>
    <w:rsid w:val="00B16667"/>
    <w:rsid w:val="00B16C73"/>
    <w:rsid w:val="00B17EC0"/>
    <w:rsid w:val="00B20C89"/>
    <w:rsid w:val="00B20D8E"/>
    <w:rsid w:val="00B20FEC"/>
    <w:rsid w:val="00B21424"/>
    <w:rsid w:val="00B217F2"/>
    <w:rsid w:val="00B21D1F"/>
    <w:rsid w:val="00B21DA8"/>
    <w:rsid w:val="00B21E3D"/>
    <w:rsid w:val="00B2272A"/>
    <w:rsid w:val="00B228B5"/>
    <w:rsid w:val="00B22AEF"/>
    <w:rsid w:val="00B22E80"/>
    <w:rsid w:val="00B23969"/>
    <w:rsid w:val="00B24187"/>
    <w:rsid w:val="00B24DAA"/>
    <w:rsid w:val="00B24E53"/>
    <w:rsid w:val="00B252F4"/>
    <w:rsid w:val="00B25B02"/>
    <w:rsid w:val="00B25DD7"/>
    <w:rsid w:val="00B26750"/>
    <w:rsid w:val="00B26A3A"/>
    <w:rsid w:val="00B27B3E"/>
    <w:rsid w:val="00B30464"/>
    <w:rsid w:val="00B30614"/>
    <w:rsid w:val="00B31CDE"/>
    <w:rsid w:val="00B35553"/>
    <w:rsid w:val="00B3563F"/>
    <w:rsid w:val="00B36396"/>
    <w:rsid w:val="00B36472"/>
    <w:rsid w:val="00B40DF2"/>
    <w:rsid w:val="00B41CD5"/>
    <w:rsid w:val="00B42580"/>
    <w:rsid w:val="00B42B2B"/>
    <w:rsid w:val="00B44411"/>
    <w:rsid w:val="00B44CDD"/>
    <w:rsid w:val="00B45955"/>
    <w:rsid w:val="00B46D0C"/>
    <w:rsid w:val="00B47710"/>
    <w:rsid w:val="00B50BDB"/>
    <w:rsid w:val="00B51703"/>
    <w:rsid w:val="00B51E0F"/>
    <w:rsid w:val="00B52689"/>
    <w:rsid w:val="00B52C47"/>
    <w:rsid w:val="00B52F14"/>
    <w:rsid w:val="00B53462"/>
    <w:rsid w:val="00B53873"/>
    <w:rsid w:val="00B538A3"/>
    <w:rsid w:val="00B5409D"/>
    <w:rsid w:val="00B54404"/>
    <w:rsid w:val="00B54659"/>
    <w:rsid w:val="00B54DBF"/>
    <w:rsid w:val="00B55E81"/>
    <w:rsid w:val="00B566F6"/>
    <w:rsid w:val="00B56E5B"/>
    <w:rsid w:val="00B6145A"/>
    <w:rsid w:val="00B6147D"/>
    <w:rsid w:val="00B61C83"/>
    <w:rsid w:val="00B62B6F"/>
    <w:rsid w:val="00B62C5A"/>
    <w:rsid w:val="00B63172"/>
    <w:rsid w:val="00B645DA"/>
    <w:rsid w:val="00B647CE"/>
    <w:rsid w:val="00B64B8A"/>
    <w:rsid w:val="00B65A8F"/>
    <w:rsid w:val="00B65D93"/>
    <w:rsid w:val="00B66F99"/>
    <w:rsid w:val="00B67839"/>
    <w:rsid w:val="00B70291"/>
    <w:rsid w:val="00B702C8"/>
    <w:rsid w:val="00B7109B"/>
    <w:rsid w:val="00B71A14"/>
    <w:rsid w:val="00B71FE3"/>
    <w:rsid w:val="00B734BD"/>
    <w:rsid w:val="00B771A0"/>
    <w:rsid w:val="00B77605"/>
    <w:rsid w:val="00B805B7"/>
    <w:rsid w:val="00B80B32"/>
    <w:rsid w:val="00B81392"/>
    <w:rsid w:val="00B81A7B"/>
    <w:rsid w:val="00B82C24"/>
    <w:rsid w:val="00B83B15"/>
    <w:rsid w:val="00B849AF"/>
    <w:rsid w:val="00B84D33"/>
    <w:rsid w:val="00B868C0"/>
    <w:rsid w:val="00B868D4"/>
    <w:rsid w:val="00B9061C"/>
    <w:rsid w:val="00B90869"/>
    <w:rsid w:val="00B93734"/>
    <w:rsid w:val="00B94103"/>
    <w:rsid w:val="00B947C4"/>
    <w:rsid w:val="00B9490E"/>
    <w:rsid w:val="00B966CF"/>
    <w:rsid w:val="00B97065"/>
    <w:rsid w:val="00B97123"/>
    <w:rsid w:val="00B974C9"/>
    <w:rsid w:val="00B975E6"/>
    <w:rsid w:val="00BA134A"/>
    <w:rsid w:val="00BA198D"/>
    <w:rsid w:val="00BA3C27"/>
    <w:rsid w:val="00BA567D"/>
    <w:rsid w:val="00BA658F"/>
    <w:rsid w:val="00BA756D"/>
    <w:rsid w:val="00BB0649"/>
    <w:rsid w:val="00BB0C77"/>
    <w:rsid w:val="00BB1302"/>
    <w:rsid w:val="00BB15D1"/>
    <w:rsid w:val="00BB3047"/>
    <w:rsid w:val="00BB3B8F"/>
    <w:rsid w:val="00BB48DD"/>
    <w:rsid w:val="00BB6697"/>
    <w:rsid w:val="00BC0397"/>
    <w:rsid w:val="00BC0EC0"/>
    <w:rsid w:val="00BC1097"/>
    <w:rsid w:val="00BC2AEF"/>
    <w:rsid w:val="00BC2DDE"/>
    <w:rsid w:val="00BC2E0D"/>
    <w:rsid w:val="00BC31B2"/>
    <w:rsid w:val="00BC3481"/>
    <w:rsid w:val="00BC3857"/>
    <w:rsid w:val="00BC43C1"/>
    <w:rsid w:val="00BC4DB2"/>
    <w:rsid w:val="00BC53B9"/>
    <w:rsid w:val="00BC62A6"/>
    <w:rsid w:val="00BC6C58"/>
    <w:rsid w:val="00BC7930"/>
    <w:rsid w:val="00BC7B9B"/>
    <w:rsid w:val="00BD3A1B"/>
    <w:rsid w:val="00BD3B97"/>
    <w:rsid w:val="00BD40EF"/>
    <w:rsid w:val="00BD4766"/>
    <w:rsid w:val="00BD5363"/>
    <w:rsid w:val="00BD571C"/>
    <w:rsid w:val="00BD5D0E"/>
    <w:rsid w:val="00BD5DBF"/>
    <w:rsid w:val="00BD7424"/>
    <w:rsid w:val="00BD7C9E"/>
    <w:rsid w:val="00BE0508"/>
    <w:rsid w:val="00BE067F"/>
    <w:rsid w:val="00BE27FD"/>
    <w:rsid w:val="00BE2DDC"/>
    <w:rsid w:val="00BE6590"/>
    <w:rsid w:val="00BE7454"/>
    <w:rsid w:val="00BE7BF4"/>
    <w:rsid w:val="00BE7F11"/>
    <w:rsid w:val="00BF0330"/>
    <w:rsid w:val="00BF1CE3"/>
    <w:rsid w:val="00BF234A"/>
    <w:rsid w:val="00BF3A7D"/>
    <w:rsid w:val="00BF5401"/>
    <w:rsid w:val="00BF7A46"/>
    <w:rsid w:val="00BF7B57"/>
    <w:rsid w:val="00BF7F43"/>
    <w:rsid w:val="00C00172"/>
    <w:rsid w:val="00C004A6"/>
    <w:rsid w:val="00C00E0A"/>
    <w:rsid w:val="00C011B6"/>
    <w:rsid w:val="00C024EE"/>
    <w:rsid w:val="00C02D6F"/>
    <w:rsid w:val="00C03260"/>
    <w:rsid w:val="00C03448"/>
    <w:rsid w:val="00C03668"/>
    <w:rsid w:val="00C060E7"/>
    <w:rsid w:val="00C065FF"/>
    <w:rsid w:val="00C06E8D"/>
    <w:rsid w:val="00C07B56"/>
    <w:rsid w:val="00C10265"/>
    <w:rsid w:val="00C10F02"/>
    <w:rsid w:val="00C12320"/>
    <w:rsid w:val="00C14421"/>
    <w:rsid w:val="00C149C8"/>
    <w:rsid w:val="00C1529D"/>
    <w:rsid w:val="00C15D19"/>
    <w:rsid w:val="00C15F45"/>
    <w:rsid w:val="00C17564"/>
    <w:rsid w:val="00C176B5"/>
    <w:rsid w:val="00C17B82"/>
    <w:rsid w:val="00C17F87"/>
    <w:rsid w:val="00C17FD4"/>
    <w:rsid w:val="00C205A9"/>
    <w:rsid w:val="00C20932"/>
    <w:rsid w:val="00C21A14"/>
    <w:rsid w:val="00C23140"/>
    <w:rsid w:val="00C24C90"/>
    <w:rsid w:val="00C2594B"/>
    <w:rsid w:val="00C26168"/>
    <w:rsid w:val="00C27378"/>
    <w:rsid w:val="00C273DF"/>
    <w:rsid w:val="00C27AAD"/>
    <w:rsid w:val="00C27DE6"/>
    <w:rsid w:val="00C30023"/>
    <w:rsid w:val="00C3087D"/>
    <w:rsid w:val="00C32906"/>
    <w:rsid w:val="00C3300C"/>
    <w:rsid w:val="00C3359E"/>
    <w:rsid w:val="00C34C16"/>
    <w:rsid w:val="00C365BF"/>
    <w:rsid w:val="00C36BAF"/>
    <w:rsid w:val="00C36C34"/>
    <w:rsid w:val="00C36D67"/>
    <w:rsid w:val="00C37EA1"/>
    <w:rsid w:val="00C400C8"/>
    <w:rsid w:val="00C406FF"/>
    <w:rsid w:val="00C44260"/>
    <w:rsid w:val="00C44697"/>
    <w:rsid w:val="00C447D0"/>
    <w:rsid w:val="00C454FF"/>
    <w:rsid w:val="00C4649D"/>
    <w:rsid w:val="00C46B91"/>
    <w:rsid w:val="00C46BEC"/>
    <w:rsid w:val="00C471D4"/>
    <w:rsid w:val="00C47BE4"/>
    <w:rsid w:val="00C50157"/>
    <w:rsid w:val="00C501D4"/>
    <w:rsid w:val="00C50E4A"/>
    <w:rsid w:val="00C5100B"/>
    <w:rsid w:val="00C5161D"/>
    <w:rsid w:val="00C51B8B"/>
    <w:rsid w:val="00C5242B"/>
    <w:rsid w:val="00C53319"/>
    <w:rsid w:val="00C5391F"/>
    <w:rsid w:val="00C5437F"/>
    <w:rsid w:val="00C54499"/>
    <w:rsid w:val="00C54739"/>
    <w:rsid w:val="00C55458"/>
    <w:rsid w:val="00C555B1"/>
    <w:rsid w:val="00C57A15"/>
    <w:rsid w:val="00C607C1"/>
    <w:rsid w:val="00C60B64"/>
    <w:rsid w:val="00C60E63"/>
    <w:rsid w:val="00C60EC3"/>
    <w:rsid w:val="00C62FAC"/>
    <w:rsid w:val="00C63065"/>
    <w:rsid w:val="00C6415C"/>
    <w:rsid w:val="00C642CE"/>
    <w:rsid w:val="00C64610"/>
    <w:rsid w:val="00C64C07"/>
    <w:rsid w:val="00C714B9"/>
    <w:rsid w:val="00C729E7"/>
    <w:rsid w:val="00C73562"/>
    <w:rsid w:val="00C74074"/>
    <w:rsid w:val="00C7490D"/>
    <w:rsid w:val="00C75431"/>
    <w:rsid w:val="00C7598D"/>
    <w:rsid w:val="00C75AE3"/>
    <w:rsid w:val="00C75E0B"/>
    <w:rsid w:val="00C76A7D"/>
    <w:rsid w:val="00C8239B"/>
    <w:rsid w:val="00C82B4B"/>
    <w:rsid w:val="00C82F62"/>
    <w:rsid w:val="00C83062"/>
    <w:rsid w:val="00C832E5"/>
    <w:rsid w:val="00C84870"/>
    <w:rsid w:val="00C859D4"/>
    <w:rsid w:val="00C86040"/>
    <w:rsid w:val="00C86F88"/>
    <w:rsid w:val="00C879B2"/>
    <w:rsid w:val="00C914F8"/>
    <w:rsid w:val="00C91FA6"/>
    <w:rsid w:val="00C92235"/>
    <w:rsid w:val="00C94884"/>
    <w:rsid w:val="00C94AB4"/>
    <w:rsid w:val="00C959A0"/>
    <w:rsid w:val="00C95C1A"/>
    <w:rsid w:val="00C966AF"/>
    <w:rsid w:val="00CA0761"/>
    <w:rsid w:val="00CA1033"/>
    <w:rsid w:val="00CA1C24"/>
    <w:rsid w:val="00CA1EFE"/>
    <w:rsid w:val="00CA2198"/>
    <w:rsid w:val="00CA25A5"/>
    <w:rsid w:val="00CA31E5"/>
    <w:rsid w:val="00CA34EF"/>
    <w:rsid w:val="00CA4B9C"/>
    <w:rsid w:val="00CA75A6"/>
    <w:rsid w:val="00CB0A03"/>
    <w:rsid w:val="00CB116B"/>
    <w:rsid w:val="00CB1574"/>
    <w:rsid w:val="00CB2525"/>
    <w:rsid w:val="00CB28BA"/>
    <w:rsid w:val="00CB2CD3"/>
    <w:rsid w:val="00CB30A2"/>
    <w:rsid w:val="00CB3669"/>
    <w:rsid w:val="00CB391D"/>
    <w:rsid w:val="00CB3EE2"/>
    <w:rsid w:val="00CB464B"/>
    <w:rsid w:val="00CB4C27"/>
    <w:rsid w:val="00CB53BB"/>
    <w:rsid w:val="00CB5D21"/>
    <w:rsid w:val="00CB6915"/>
    <w:rsid w:val="00CB7012"/>
    <w:rsid w:val="00CB7286"/>
    <w:rsid w:val="00CB749A"/>
    <w:rsid w:val="00CB7538"/>
    <w:rsid w:val="00CB7BE1"/>
    <w:rsid w:val="00CC02FA"/>
    <w:rsid w:val="00CC0361"/>
    <w:rsid w:val="00CC1961"/>
    <w:rsid w:val="00CC2724"/>
    <w:rsid w:val="00CC2D51"/>
    <w:rsid w:val="00CC30AF"/>
    <w:rsid w:val="00CC450C"/>
    <w:rsid w:val="00CC5432"/>
    <w:rsid w:val="00CC6E3A"/>
    <w:rsid w:val="00CD0EC4"/>
    <w:rsid w:val="00CD1A56"/>
    <w:rsid w:val="00CD368F"/>
    <w:rsid w:val="00CD472F"/>
    <w:rsid w:val="00CD5441"/>
    <w:rsid w:val="00CD5ED2"/>
    <w:rsid w:val="00CD5F71"/>
    <w:rsid w:val="00CD623C"/>
    <w:rsid w:val="00CD6453"/>
    <w:rsid w:val="00CD65CA"/>
    <w:rsid w:val="00CD6A67"/>
    <w:rsid w:val="00CE07B8"/>
    <w:rsid w:val="00CE09C8"/>
    <w:rsid w:val="00CE0E69"/>
    <w:rsid w:val="00CE2C8F"/>
    <w:rsid w:val="00CE5AF2"/>
    <w:rsid w:val="00CF104F"/>
    <w:rsid w:val="00CF1B68"/>
    <w:rsid w:val="00CF1B69"/>
    <w:rsid w:val="00CF4ECF"/>
    <w:rsid w:val="00CF5170"/>
    <w:rsid w:val="00CF55AC"/>
    <w:rsid w:val="00CF5B4F"/>
    <w:rsid w:val="00CF6399"/>
    <w:rsid w:val="00CF718D"/>
    <w:rsid w:val="00CF72E3"/>
    <w:rsid w:val="00D00581"/>
    <w:rsid w:val="00D00936"/>
    <w:rsid w:val="00D009A1"/>
    <w:rsid w:val="00D0140B"/>
    <w:rsid w:val="00D042A4"/>
    <w:rsid w:val="00D05330"/>
    <w:rsid w:val="00D06A89"/>
    <w:rsid w:val="00D06D0D"/>
    <w:rsid w:val="00D07198"/>
    <w:rsid w:val="00D0793D"/>
    <w:rsid w:val="00D11C31"/>
    <w:rsid w:val="00D14901"/>
    <w:rsid w:val="00D20AAB"/>
    <w:rsid w:val="00D20C0D"/>
    <w:rsid w:val="00D21DDD"/>
    <w:rsid w:val="00D22C87"/>
    <w:rsid w:val="00D246F5"/>
    <w:rsid w:val="00D25C8C"/>
    <w:rsid w:val="00D262C1"/>
    <w:rsid w:val="00D276E8"/>
    <w:rsid w:val="00D2782A"/>
    <w:rsid w:val="00D30493"/>
    <w:rsid w:val="00D3053C"/>
    <w:rsid w:val="00D305B7"/>
    <w:rsid w:val="00D30638"/>
    <w:rsid w:val="00D30671"/>
    <w:rsid w:val="00D30A05"/>
    <w:rsid w:val="00D32409"/>
    <w:rsid w:val="00D348FA"/>
    <w:rsid w:val="00D371DF"/>
    <w:rsid w:val="00D3786C"/>
    <w:rsid w:val="00D4038C"/>
    <w:rsid w:val="00D4080D"/>
    <w:rsid w:val="00D40827"/>
    <w:rsid w:val="00D40A14"/>
    <w:rsid w:val="00D40F12"/>
    <w:rsid w:val="00D4102D"/>
    <w:rsid w:val="00D4107E"/>
    <w:rsid w:val="00D41DDD"/>
    <w:rsid w:val="00D420AA"/>
    <w:rsid w:val="00D42193"/>
    <w:rsid w:val="00D431E7"/>
    <w:rsid w:val="00D44784"/>
    <w:rsid w:val="00D46993"/>
    <w:rsid w:val="00D46AC0"/>
    <w:rsid w:val="00D51684"/>
    <w:rsid w:val="00D52636"/>
    <w:rsid w:val="00D52B77"/>
    <w:rsid w:val="00D536F0"/>
    <w:rsid w:val="00D54664"/>
    <w:rsid w:val="00D56115"/>
    <w:rsid w:val="00D5616E"/>
    <w:rsid w:val="00D56C97"/>
    <w:rsid w:val="00D57162"/>
    <w:rsid w:val="00D57C7A"/>
    <w:rsid w:val="00D57E42"/>
    <w:rsid w:val="00D60272"/>
    <w:rsid w:val="00D613AB"/>
    <w:rsid w:val="00D61ADC"/>
    <w:rsid w:val="00D61BEF"/>
    <w:rsid w:val="00D62957"/>
    <w:rsid w:val="00D6315A"/>
    <w:rsid w:val="00D64B22"/>
    <w:rsid w:val="00D64EF9"/>
    <w:rsid w:val="00D65790"/>
    <w:rsid w:val="00D65BF4"/>
    <w:rsid w:val="00D66A5A"/>
    <w:rsid w:val="00D71271"/>
    <w:rsid w:val="00D71F59"/>
    <w:rsid w:val="00D728F7"/>
    <w:rsid w:val="00D7348C"/>
    <w:rsid w:val="00D7496F"/>
    <w:rsid w:val="00D74D31"/>
    <w:rsid w:val="00D756A7"/>
    <w:rsid w:val="00D75F9F"/>
    <w:rsid w:val="00D765DE"/>
    <w:rsid w:val="00D81AB0"/>
    <w:rsid w:val="00D8268E"/>
    <w:rsid w:val="00D83DC5"/>
    <w:rsid w:val="00D83DFC"/>
    <w:rsid w:val="00D83E15"/>
    <w:rsid w:val="00D84447"/>
    <w:rsid w:val="00D845F0"/>
    <w:rsid w:val="00D84CC6"/>
    <w:rsid w:val="00D87BE3"/>
    <w:rsid w:val="00D92221"/>
    <w:rsid w:val="00D92568"/>
    <w:rsid w:val="00D93257"/>
    <w:rsid w:val="00D94077"/>
    <w:rsid w:val="00D95E41"/>
    <w:rsid w:val="00D9601B"/>
    <w:rsid w:val="00D962EA"/>
    <w:rsid w:val="00D96C30"/>
    <w:rsid w:val="00D96D0D"/>
    <w:rsid w:val="00D96D87"/>
    <w:rsid w:val="00D96ED3"/>
    <w:rsid w:val="00D973A3"/>
    <w:rsid w:val="00D978AC"/>
    <w:rsid w:val="00D97B34"/>
    <w:rsid w:val="00D97FD8"/>
    <w:rsid w:val="00DA0EAB"/>
    <w:rsid w:val="00DA0ED8"/>
    <w:rsid w:val="00DA0EF9"/>
    <w:rsid w:val="00DA1B67"/>
    <w:rsid w:val="00DA3358"/>
    <w:rsid w:val="00DA33F7"/>
    <w:rsid w:val="00DA3569"/>
    <w:rsid w:val="00DA4233"/>
    <w:rsid w:val="00DA4BFB"/>
    <w:rsid w:val="00DA507B"/>
    <w:rsid w:val="00DA58AA"/>
    <w:rsid w:val="00DA5A01"/>
    <w:rsid w:val="00DA7861"/>
    <w:rsid w:val="00DA78F4"/>
    <w:rsid w:val="00DB00FC"/>
    <w:rsid w:val="00DB08A5"/>
    <w:rsid w:val="00DB0B95"/>
    <w:rsid w:val="00DB1F66"/>
    <w:rsid w:val="00DB321E"/>
    <w:rsid w:val="00DB3D3A"/>
    <w:rsid w:val="00DB4D7C"/>
    <w:rsid w:val="00DB4E1D"/>
    <w:rsid w:val="00DB5016"/>
    <w:rsid w:val="00DB5936"/>
    <w:rsid w:val="00DB64AE"/>
    <w:rsid w:val="00DB6603"/>
    <w:rsid w:val="00DB699A"/>
    <w:rsid w:val="00DB70F4"/>
    <w:rsid w:val="00DB7706"/>
    <w:rsid w:val="00DB7CCF"/>
    <w:rsid w:val="00DC17DF"/>
    <w:rsid w:val="00DC188C"/>
    <w:rsid w:val="00DC2EB4"/>
    <w:rsid w:val="00DC40FC"/>
    <w:rsid w:val="00DC5BF2"/>
    <w:rsid w:val="00DC62A2"/>
    <w:rsid w:val="00DC69FD"/>
    <w:rsid w:val="00DC6C5B"/>
    <w:rsid w:val="00DC6EE3"/>
    <w:rsid w:val="00DC7280"/>
    <w:rsid w:val="00DC7725"/>
    <w:rsid w:val="00DD0438"/>
    <w:rsid w:val="00DD0A94"/>
    <w:rsid w:val="00DD0B54"/>
    <w:rsid w:val="00DD37D4"/>
    <w:rsid w:val="00DD3A0E"/>
    <w:rsid w:val="00DD3CF9"/>
    <w:rsid w:val="00DD4F2A"/>
    <w:rsid w:val="00DD51F5"/>
    <w:rsid w:val="00DD5287"/>
    <w:rsid w:val="00DD6C07"/>
    <w:rsid w:val="00DE06CE"/>
    <w:rsid w:val="00DE209D"/>
    <w:rsid w:val="00DE3E8D"/>
    <w:rsid w:val="00DE3E9B"/>
    <w:rsid w:val="00DE4728"/>
    <w:rsid w:val="00DE5567"/>
    <w:rsid w:val="00DE563F"/>
    <w:rsid w:val="00DE601B"/>
    <w:rsid w:val="00DE746A"/>
    <w:rsid w:val="00DE7A3B"/>
    <w:rsid w:val="00DF1D3C"/>
    <w:rsid w:val="00DF2F4C"/>
    <w:rsid w:val="00DF4C89"/>
    <w:rsid w:val="00DF6228"/>
    <w:rsid w:val="00DF63F4"/>
    <w:rsid w:val="00DF6770"/>
    <w:rsid w:val="00DF7E49"/>
    <w:rsid w:val="00E01AAC"/>
    <w:rsid w:val="00E02805"/>
    <w:rsid w:val="00E02D0A"/>
    <w:rsid w:val="00E04C10"/>
    <w:rsid w:val="00E052A7"/>
    <w:rsid w:val="00E06150"/>
    <w:rsid w:val="00E0649B"/>
    <w:rsid w:val="00E06CF8"/>
    <w:rsid w:val="00E07C23"/>
    <w:rsid w:val="00E10025"/>
    <w:rsid w:val="00E1043F"/>
    <w:rsid w:val="00E11748"/>
    <w:rsid w:val="00E119A0"/>
    <w:rsid w:val="00E15445"/>
    <w:rsid w:val="00E15868"/>
    <w:rsid w:val="00E159C7"/>
    <w:rsid w:val="00E16416"/>
    <w:rsid w:val="00E16724"/>
    <w:rsid w:val="00E17510"/>
    <w:rsid w:val="00E17A51"/>
    <w:rsid w:val="00E20B11"/>
    <w:rsid w:val="00E20D34"/>
    <w:rsid w:val="00E21071"/>
    <w:rsid w:val="00E21A5B"/>
    <w:rsid w:val="00E21B13"/>
    <w:rsid w:val="00E22527"/>
    <w:rsid w:val="00E23087"/>
    <w:rsid w:val="00E245CD"/>
    <w:rsid w:val="00E251C7"/>
    <w:rsid w:val="00E2653B"/>
    <w:rsid w:val="00E26E8C"/>
    <w:rsid w:val="00E27407"/>
    <w:rsid w:val="00E304A5"/>
    <w:rsid w:val="00E312F5"/>
    <w:rsid w:val="00E3179F"/>
    <w:rsid w:val="00E31BF7"/>
    <w:rsid w:val="00E329D5"/>
    <w:rsid w:val="00E336A9"/>
    <w:rsid w:val="00E348E8"/>
    <w:rsid w:val="00E35E63"/>
    <w:rsid w:val="00E35FF5"/>
    <w:rsid w:val="00E360B5"/>
    <w:rsid w:val="00E369CD"/>
    <w:rsid w:val="00E373FC"/>
    <w:rsid w:val="00E400EF"/>
    <w:rsid w:val="00E4092E"/>
    <w:rsid w:val="00E410CA"/>
    <w:rsid w:val="00E41F50"/>
    <w:rsid w:val="00E42BDD"/>
    <w:rsid w:val="00E434E9"/>
    <w:rsid w:val="00E43D17"/>
    <w:rsid w:val="00E45028"/>
    <w:rsid w:val="00E45574"/>
    <w:rsid w:val="00E45C5D"/>
    <w:rsid w:val="00E46675"/>
    <w:rsid w:val="00E47BF5"/>
    <w:rsid w:val="00E47E47"/>
    <w:rsid w:val="00E50C0A"/>
    <w:rsid w:val="00E50F00"/>
    <w:rsid w:val="00E51034"/>
    <w:rsid w:val="00E51317"/>
    <w:rsid w:val="00E54193"/>
    <w:rsid w:val="00E5446D"/>
    <w:rsid w:val="00E54EC6"/>
    <w:rsid w:val="00E55BE9"/>
    <w:rsid w:val="00E57195"/>
    <w:rsid w:val="00E577C3"/>
    <w:rsid w:val="00E5782E"/>
    <w:rsid w:val="00E6022E"/>
    <w:rsid w:val="00E60F93"/>
    <w:rsid w:val="00E62371"/>
    <w:rsid w:val="00E63825"/>
    <w:rsid w:val="00E64CFB"/>
    <w:rsid w:val="00E655CD"/>
    <w:rsid w:val="00E65C8B"/>
    <w:rsid w:val="00E66681"/>
    <w:rsid w:val="00E666D3"/>
    <w:rsid w:val="00E66FE5"/>
    <w:rsid w:val="00E6750A"/>
    <w:rsid w:val="00E71EB6"/>
    <w:rsid w:val="00E7231E"/>
    <w:rsid w:val="00E733EE"/>
    <w:rsid w:val="00E73F23"/>
    <w:rsid w:val="00E75D1F"/>
    <w:rsid w:val="00E7612F"/>
    <w:rsid w:val="00E76892"/>
    <w:rsid w:val="00E76F99"/>
    <w:rsid w:val="00E771CD"/>
    <w:rsid w:val="00E80237"/>
    <w:rsid w:val="00E81618"/>
    <w:rsid w:val="00E81838"/>
    <w:rsid w:val="00E820DB"/>
    <w:rsid w:val="00E82141"/>
    <w:rsid w:val="00E82F29"/>
    <w:rsid w:val="00E8315F"/>
    <w:rsid w:val="00E83282"/>
    <w:rsid w:val="00E85486"/>
    <w:rsid w:val="00E85D6C"/>
    <w:rsid w:val="00E869A7"/>
    <w:rsid w:val="00E87FB2"/>
    <w:rsid w:val="00E9022E"/>
    <w:rsid w:val="00E903AA"/>
    <w:rsid w:val="00E9062F"/>
    <w:rsid w:val="00E90801"/>
    <w:rsid w:val="00E90E1B"/>
    <w:rsid w:val="00E91416"/>
    <w:rsid w:val="00E936FD"/>
    <w:rsid w:val="00E938C4"/>
    <w:rsid w:val="00E94470"/>
    <w:rsid w:val="00E94C2A"/>
    <w:rsid w:val="00E953B8"/>
    <w:rsid w:val="00E95B9F"/>
    <w:rsid w:val="00E966B1"/>
    <w:rsid w:val="00E97218"/>
    <w:rsid w:val="00EA0A69"/>
    <w:rsid w:val="00EA0A92"/>
    <w:rsid w:val="00EA1A66"/>
    <w:rsid w:val="00EA2546"/>
    <w:rsid w:val="00EA2CEA"/>
    <w:rsid w:val="00EA3C49"/>
    <w:rsid w:val="00EA4813"/>
    <w:rsid w:val="00EA50AA"/>
    <w:rsid w:val="00EA547D"/>
    <w:rsid w:val="00EA6404"/>
    <w:rsid w:val="00EA76D9"/>
    <w:rsid w:val="00EB092E"/>
    <w:rsid w:val="00EB12BB"/>
    <w:rsid w:val="00EB2013"/>
    <w:rsid w:val="00EB281E"/>
    <w:rsid w:val="00EB3709"/>
    <w:rsid w:val="00EB44D4"/>
    <w:rsid w:val="00EB5607"/>
    <w:rsid w:val="00EB65E5"/>
    <w:rsid w:val="00EB786C"/>
    <w:rsid w:val="00EC0393"/>
    <w:rsid w:val="00EC0E95"/>
    <w:rsid w:val="00EC1781"/>
    <w:rsid w:val="00EC22BD"/>
    <w:rsid w:val="00EC4364"/>
    <w:rsid w:val="00EC43AD"/>
    <w:rsid w:val="00EC4A18"/>
    <w:rsid w:val="00EC5641"/>
    <w:rsid w:val="00EC6DA0"/>
    <w:rsid w:val="00EC73A0"/>
    <w:rsid w:val="00EC7802"/>
    <w:rsid w:val="00EC78C9"/>
    <w:rsid w:val="00EC7B32"/>
    <w:rsid w:val="00EC7C7B"/>
    <w:rsid w:val="00ED12C8"/>
    <w:rsid w:val="00ED4B43"/>
    <w:rsid w:val="00ED54A9"/>
    <w:rsid w:val="00ED6DA8"/>
    <w:rsid w:val="00ED7471"/>
    <w:rsid w:val="00EE0A2B"/>
    <w:rsid w:val="00EE109F"/>
    <w:rsid w:val="00EE18FF"/>
    <w:rsid w:val="00EE1CF5"/>
    <w:rsid w:val="00EE26EB"/>
    <w:rsid w:val="00EE2A0C"/>
    <w:rsid w:val="00EE2D82"/>
    <w:rsid w:val="00EE31E6"/>
    <w:rsid w:val="00EE3E09"/>
    <w:rsid w:val="00EE4665"/>
    <w:rsid w:val="00EE51D7"/>
    <w:rsid w:val="00EE520A"/>
    <w:rsid w:val="00EE5F06"/>
    <w:rsid w:val="00EE6478"/>
    <w:rsid w:val="00EE69E5"/>
    <w:rsid w:val="00EE726A"/>
    <w:rsid w:val="00EE7D23"/>
    <w:rsid w:val="00EF11E9"/>
    <w:rsid w:val="00EF3DD0"/>
    <w:rsid w:val="00EF4D64"/>
    <w:rsid w:val="00EF73EA"/>
    <w:rsid w:val="00EF7602"/>
    <w:rsid w:val="00EF79EB"/>
    <w:rsid w:val="00F001EC"/>
    <w:rsid w:val="00F006F5"/>
    <w:rsid w:val="00F007D0"/>
    <w:rsid w:val="00F009D4"/>
    <w:rsid w:val="00F00A3F"/>
    <w:rsid w:val="00F01B84"/>
    <w:rsid w:val="00F01CEC"/>
    <w:rsid w:val="00F02554"/>
    <w:rsid w:val="00F050AA"/>
    <w:rsid w:val="00F0620A"/>
    <w:rsid w:val="00F0656C"/>
    <w:rsid w:val="00F07F98"/>
    <w:rsid w:val="00F1090D"/>
    <w:rsid w:val="00F1168F"/>
    <w:rsid w:val="00F11CD4"/>
    <w:rsid w:val="00F1380A"/>
    <w:rsid w:val="00F14BF6"/>
    <w:rsid w:val="00F151C1"/>
    <w:rsid w:val="00F170E5"/>
    <w:rsid w:val="00F17385"/>
    <w:rsid w:val="00F17E65"/>
    <w:rsid w:val="00F2018D"/>
    <w:rsid w:val="00F2134F"/>
    <w:rsid w:val="00F21BD6"/>
    <w:rsid w:val="00F225EB"/>
    <w:rsid w:val="00F227C9"/>
    <w:rsid w:val="00F22D3A"/>
    <w:rsid w:val="00F24936"/>
    <w:rsid w:val="00F24B96"/>
    <w:rsid w:val="00F25A19"/>
    <w:rsid w:val="00F26E6F"/>
    <w:rsid w:val="00F31DE9"/>
    <w:rsid w:val="00F3323D"/>
    <w:rsid w:val="00F3615B"/>
    <w:rsid w:val="00F36404"/>
    <w:rsid w:val="00F36607"/>
    <w:rsid w:val="00F36C71"/>
    <w:rsid w:val="00F406DB"/>
    <w:rsid w:val="00F409D2"/>
    <w:rsid w:val="00F42044"/>
    <w:rsid w:val="00F44BE5"/>
    <w:rsid w:val="00F44D62"/>
    <w:rsid w:val="00F45324"/>
    <w:rsid w:val="00F45C09"/>
    <w:rsid w:val="00F4673C"/>
    <w:rsid w:val="00F467F5"/>
    <w:rsid w:val="00F47835"/>
    <w:rsid w:val="00F50294"/>
    <w:rsid w:val="00F504B9"/>
    <w:rsid w:val="00F53E7E"/>
    <w:rsid w:val="00F54E20"/>
    <w:rsid w:val="00F55BC0"/>
    <w:rsid w:val="00F564E4"/>
    <w:rsid w:val="00F56688"/>
    <w:rsid w:val="00F56969"/>
    <w:rsid w:val="00F629F7"/>
    <w:rsid w:val="00F65596"/>
    <w:rsid w:val="00F665A1"/>
    <w:rsid w:val="00F66721"/>
    <w:rsid w:val="00F667D2"/>
    <w:rsid w:val="00F66C34"/>
    <w:rsid w:val="00F67684"/>
    <w:rsid w:val="00F7068E"/>
    <w:rsid w:val="00F707CC"/>
    <w:rsid w:val="00F70855"/>
    <w:rsid w:val="00F708ED"/>
    <w:rsid w:val="00F709B1"/>
    <w:rsid w:val="00F70BA0"/>
    <w:rsid w:val="00F70E79"/>
    <w:rsid w:val="00F71079"/>
    <w:rsid w:val="00F7276B"/>
    <w:rsid w:val="00F735AA"/>
    <w:rsid w:val="00F7379A"/>
    <w:rsid w:val="00F73811"/>
    <w:rsid w:val="00F73FF3"/>
    <w:rsid w:val="00F74BC2"/>
    <w:rsid w:val="00F75FDC"/>
    <w:rsid w:val="00F76141"/>
    <w:rsid w:val="00F76FF4"/>
    <w:rsid w:val="00F7731F"/>
    <w:rsid w:val="00F81A91"/>
    <w:rsid w:val="00F828B8"/>
    <w:rsid w:val="00F83B4F"/>
    <w:rsid w:val="00F847C5"/>
    <w:rsid w:val="00F84BE8"/>
    <w:rsid w:val="00F84D93"/>
    <w:rsid w:val="00F85271"/>
    <w:rsid w:val="00F85779"/>
    <w:rsid w:val="00F85EF0"/>
    <w:rsid w:val="00F85F50"/>
    <w:rsid w:val="00F86E62"/>
    <w:rsid w:val="00F86F62"/>
    <w:rsid w:val="00F931D3"/>
    <w:rsid w:val="00F951BE"/>
    <w:rsid w:val="00F956DC"/>
    <w:rsid w:val="00F9594A"/>
    <w:rsid w:val="00F95CAB"/>
    <w:rsid w:val="00F96881"/>
    <w:rsid w:val="00F97A02"/>
    <w:rsid w:val="00FA25C5"/>
    <w:rsid w:val="00FA3615"/>
    <w:rsid w:val="00FA5443"/>
    <w:rsid w:val="00FA600B"/>
    <w:rsid w:val="00FA6331"/>
    <w:rsid w:val="00FA6BBC"/>
    <w:rsid w:val="00FA7249"/>
    <w:rsid w:val="00FA7252"/>
    <w:rsid w:val="00FA7B6D"/>
    <w:rsid w:val="00FA7CF7"/>
    <w:rsid w:val="00FB007D"/>
    <w:rsid w:val="00FB042E"/>
    <w:rsid w:val="00FB158F"/>
    <w:rsid w:val="00FB1F60"/>
    <w:rsid w:val="00FB2D6E"/>
    <w:rsid w:val="00FB2E2F"/>
    <w:rsid w:val="00FB2E5D"/>
    <w:rsid w:val="00FB35D2"/>
    <w:rsid w:val="00FB4352"/>
    <w:rsid w:val="00FB5387"/>
    <w:rsid w:val="00FB5653"/>
    <w:rsid w:val="00FB5668"/>
    <w:rsid w:val="00FB5911"/>
    <w:rsid w:val="00FB6C3F"/>
    <w:rsid w:val="00FB6C73"/>
    <w:rsid w:val="00FB7745"/>
    <w:rsid w:val="00FC0E17"/>
    <w:rsid w:val="00FC154F"/>
    <w:rsid w:val="00FC20B2"/>
    <w:rsid w:val="00FC2B0A"/>
    <w:rsid w:val="00FC4A84"/>
    <w:rsid w:val="00FC4EA7"/>
    <w:rsid w:val="00FC586E"/>
    <w:rsid w:val="00FC6907"/>
    <w:rsid w:val="00FC6E4D"/>
    <w:rsid w:val="00FC7CB8"/>
    <w:rsid w:val="00FD0846"/>
    <w:rsid w:val="00FD1598"/>
    <w:rsid w:val="00FD2500"/>
    <w:rsid w:val="00FD2B39"/>
    <w:rsid w:val="00FD3697"/>
    <w:rsid w:val="00FD36DF"/>
    <w:rsid w:val="00FD3737"/>
    <w:rsid w:val="00FD4B13"/>
    <w:rsid w:val="00FD56AF"/>
    <w:rsid w:val="00FD63AE"/>
    <w:rsid w:val="00FD6A42"/>
    <w:rsid w:val="00FD7403"/>
    <w:rsid w:val="00FD7D35"/>
    <w:rsid w:val="00FE16F8"/>
    <w:rsid w:val="00FE186C"/>
    <w:rsid w:val="00FE1D3C"/>
    <w:rsid w:val="00FE212E"/>
    <w:rsid w:val="00FE29D8"/>
    <w:rsid w:val="00FE2CF0"/>
    <w:rsid w:val="00FE32B2"/>
    <w:rsid w:val="00FE34FD"/>
    <w:rsid w:val="00FE571F"/>
    <w:rsid w:val="00FE5738"/>
    <w:rsid w:val="00FE5D85"/>
    <w:rsid w:val="00FE6060"/>
    <w:rsid w:val="00FE6A0B"/>
    <w:rsid w:val="00FF0BCA"/>
    <w:rsid w:val="00FF1551"/>
    <w:rsid w:val="00FF2C84"/>
    <w:rsid w:val="00FF347B"/>
    <w:rsid w:val="00FF36F8"/>
    <w:rsid w:val="00FF39AB"/>
    <w:rsid w:val="00FF47D2"/>
    <w:rsid w:val="00FF49CB"/>
    <w:rsid w:val="00FF4F2E"/>
    <w:rsid w:val="00FF5A69"/>
    <w:rsid w:val="00FF698C"/>
    <w:rsid w:val="00FF7E30"/>
    <w:rsid w:val="07C159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891F1"/>
  <w15:chartTrackingRefBased/>
  <w15:docId w15:val="{EDB980DE-05E1-4DF5-96C6-1BBC3DC7E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5A1"/>
    <w:pPr>
      <w:jc w:val="both"/>
    </w:pPr>
    <w:rPr>
      <w:sz w:val="26"/>
    </w:rPr>
  </w:style>
  <w:style w:type="paragraph" w:styleId="Heading1">
    <w:name w:val="heading 1"/>
    <w:basedOn w:val="Normal"/>
    <w:next w:val="Normal"/>
    <w:link w:val="Heading1Char"/>
    <w:uiPriority w:val="9"/>
    <w:qFormat/>
    <w:rsid w:val="001A24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A33CC"/>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C729E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B33E9"/>
    <w:pPr>
      <w:keepNext/>
      <w:keepLines/>
      <w:spacing w:before="40"/>
      <w:ind w:firstLine="72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nodaa">
    <w:name w:val="1.nodaļa"/>
    <w:basedOn w:val="Normal"/>
    <w:link w:val="1nodaaChar"/>
    <w:qFormat/>
    <w:rsid w:val="00660039"/>
    <w:pPr>
      <w:spacing w:before="240"/>
      <w:jc w:val="center"/>
    </w:pPr>
    <w:rPr>
      <w:b/>
      <w:sz w:val="32"/>
    </w:rPr>
  </w:style>
  <w:style w:type="paragraph" w:customStyle="1" w:styleId="11apaknodaa">
    <w:name w:val="1.1.apakšnodaļa"/>
    <w:basedOn w:val="Normal"/>
    <w:link w:val="11apaknodaaChar"/>
    <w:qFormat/>
    <w:rsid w:val="00902005"/>
    <w:pPr>
      <w:spacing w:before="120"/>
      <w:jc w:val="center"/>
    </w:pPr>
    <w:rPr>
      <w:b/>
      <w:sz w:val="28"/>
    </w:rPr>
  </w:style>
  <w:style w:type="character" w:customStyle="1" w:styleId="1nodaaChar">
    <w:name w:val="1.nodaļa Char"/>
    <w:basedOn w:val="DefaultParagraphFont"/>
    <w:link w:val="1nodaa"/>
    <w:rsid w:val="00660039"/>
    <w:rPr>
      <w:b/>
      <w:sz w:val="32"/>
    </w:rPr>
  </w:style>
  <w:style w:type="paragraph" w:styleId="FootnoteText">
    <w:name w:val="footnote text"/>
    <w:aliases w:val="Fußn,Fußnotentext Char,Fußnotentext Char Char,Fußnotentext Char Char Char Char,Fußnotentext Char Char Char Char Char Char,Fußnotentext Char1,Fußnotentext Char1 Char Char Char,Fußnotentext Char1 Char Char Char Char,Fußnotentext Char1 Char1"/>
    <w:basedOn w:val="Normal"/>
    <w:link w:val="FootnoteTextChar"/>
    <w:uiPriority w:val="99"/>
    <w:unhideWhenUsed/>
    <w:qFormat/>
    <w:rsid w:val="00E06150"/>
    <w:pPr>
      <w:ind w:firstLine="720"/>
    </w:pPr>
    <w:rPr>
      <w:rFonts w:asciiTheme="minorHAnsi" w:hAnsiTheme="minorHAnsi"/>
      <w:sz w:val="20"/>
      <w:szCs w:val="20"/>
    </w:rPr>
  </w:style>
  <w:style w:type="character" w:customStyle="1" w:styleId="11apaknodaaChar">
    <w:name w:val="1.1.apakšnodaļa Char"/>
    <w:basedOn w:val="DefaultParagraphFont"/>
    <w:link w:val="11apaknodaa"/>
    <w:rsid w:val="00902005"/>
    <w:rPr>
      <w:b/>
    </w:rPr>
  </w:style>
  <w:style w:type="character" w:customStyle="1" w:styleId="FootnoteTextChar">
    <w:name w:val="Footnote Text Char"/>
    <w:aliases w:val="Fußn Char,Fußnotentext Char Char1,Fußnotentext Char Char Char,Fußnotentext Char Char Char Char Char,Fußnotentext Char Char Char Char Char Char Char,Fußnotentext Char1 Char,Fußnotentext Char1 Char Char Char Char1"/>
    <w:basedOn w:val="DefaultParagraphFont"/>
    <w:link w:val="FootnoteText"/>
    <w:uiPriority w:val="99"/>
    <w:rsid w:val="00E06150"/>
    <w:rPr>
      <w:rFonts w:asciiTheme="minorHAnsi" w:hAnsiTheme="minorHAnsi"/>
      <w:sz w:val="20"/>
      <w:szCs w:val="20"/>
    </w:rPr>
  </w:style>
  <w:style w:type="character" w:styleId="FootnoteReference">
    <w:name w:val="footnote reference"/>
    <w:aliases w:val="(Footnote Reference),BVI fnr,EN Footnote Reference,FR,Footnote Reference Number,Footnote Reference Superscript,Footnote reference number,Footnote symbol,No,SUPERS,Stinking Styles22,Times 10 Point,Voetnootverwijzing,fr,note TESI,number"/>
    <w:basedOn w:val="DefaultParagraphFont"/>
    <w:link w:val="FootnoteRefernece"/>
    <w:uiPriority w:val="99"/>
    <w:unhideWhenUsed/>
    <w:qFormat/>
    <w:rsid w:val="00E06150"/>
    <w:rPr>
      <w:vertAlign w:val="superscript"/>
    </w:rPr>
  </w:style>
  <w:style w:type="character" w:styleId="Hyperlink">
    <w:name w:val="Hyperlink"/>
    <w:uiPriority w:val="99"/>
    <w:rsid w:val="00E06150"/>
    <w:rPr>
      <w:color w:val="0000FF"/>
      <w:u w:val="single"/>
    </w:rPr>
  </w:style>
  <w:style w:type="character" w:styleId="CommentReference">
    <w:name w:val="annotation reference"/>
    <w:basedOn w:val="DefaultParagraphFont"/>
    <w:uiPriority w:val="99"/>
    <w:semiHidden/>
    <w:unhideWhenUsed/>
    <w:rsid w:val="00E06150"/>
    <w:rPr>
      <w:sz w:val="16"/>
      <w:szCs w:val="16"/>
    </w:rPr>
  </w:style>
  <w:style w:type="paragraph" w:styleId="CommentText">
    <w:name w:val="annotation text"/>
    <w:basedOn w:val="Normal"/>
    <w:link w:val="CommentTextChar"/>
    <w:uiPriority w:val="99"/>
    <w:unhideWhenUsed/>
    <w:rsid w:val="00E06150"/>
    <w:pPr>
      <w:ind w:firstLine="720"/>
    </w:pPr>
    <w:rPr>
      <w:sz w:val="20"/>
      <w:szCs w:val="20"/>
    </w:rPr>
  </w:style>
  <w:style w:type="character" w:customStyle="1" w:styleId="CommentTextChar">
    <w:name w:val="Comment Text Char"/>
    <w:basedOn w:val="DefaultParagraphFont"/>
    <w:link w:val="CommentText"/>
    <w:uiPriority w:val="99"/>
    <w:rsid w:val="00E06150"/>
    <w:rPr>
      <w:sz w:val="20"/>
      <w:szCs w:val="20"/>
    </w:rPr>
  </w:style>
  <w:style w:type="paragraph" w:customStyle="1" w:styleId="FootnoteRefernece">
    <w:name w:val="Footnote Refernece"/>
    <w:aliases w:val="-E Fußnotenzeichen,E,E FNZ,Footnotes refss,Odwołanie przypisu,Ref,de nota al pie,ftref"/>
    <w:basedOn w:val="Normal"/>
    <w:next w:val="Normal"/>
    <w:link w:val="FootnoteReference"/>
    <w:uiPriority w:val="99"/>
    <w:rsid w:val="00E06150"/>
    <w:pPr>
      <w:spacing w:after="160" w:line="240" w:lineRule="exact"/>
      <w:ind w:firstLine="720"/>
      <w:textAlignment w:val="baseline"/>
    </w:pPr>
    <w:rPr>
      <w:vertAlign w:val="superscript"/>
    </w:rPr>
  </w:style>
  <w:style w:type="paragraph" w:styleId="BalloonText">
    <w:name w:val="Balloon Text"/>
    <w:basedOn w:val="Normal"/>
    <w:link w:val="BalloonTextChar"/>
    <w:uiPriority w:val="99"/>
    <w:semiHidden/>
    <w:unhideWhenUsed/>
    <w:rsid w:val="00E061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150"/>
    <w:rPr>
      <w:rFonts w:ascii="Segoe UI" w:hAnsi="Segoe UI" w:cs="Segoe UI"/>
      <w:sz w:val="18"/>
      <w:szCs w:val="18"/>
    </w:rPr>
  </w:style>
  <w:style w:type="table" w:styleId="GridTable1Light-Accent1">
    <w:name w:val="Grid Table 1 Light Accent 1"/>
    <w:basedOn w:val="TableNormal"/>
    <w:uiPriority w:val="46"/>
    <w:rsid w:val="001A244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1A244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1A2447"/>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A33CC"/>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160DD9"/>
    <w:pPr>
      <w:ind w:firstLine="0"/>
      <w:jc w:val="left"/>
    </w:pPr>
    <w:rPr>
      <w:b/>
      <w:bCs/>
    </w:rPr>
  </w:style>
  <w:style w:type="character" w:customStyle="1" w:styleId="CommentSubjectChar">
    <w:name w:val="Comment Subject Char"/>
    <w:basedOn w:val="CommentTextChar"/>
    <w:link w:val="CommentSubject"/>
    <w:uiPriority w:val="99"/>
    <w:semiHidden/>
    <w:rsid w:val="00160DD9"/>
    <w:rPr>
      <w:b/>
      <w:bCs/>
      <w:sz w:val="20"/>
      <w:szCs w:val="20"/>
    </w:rPr>
  </w:style>
  <w:style w:type="paragraph" w:customStyle="1" w:styleId="111apaknodaa">
    <w:name w:val="1.1.1.apakšnodaļa"/>
    <w:basedOn w:val="Normal"/>
    <w:link w:val="111apaknodaaChar"/>
    <w:qFormat/>
    <w:rsid w:val="002556BE"/>
    <w:pPr>
      <w:keepNext/>
      <w:keepLines/>
      <w:spacing w:before="40"/>
      <w:ind w:firstLine="720"/>
      <w:outlineLvl w:val="3"/>
    </w:pPr>
    <w:rPr>
      <w:rFonts w:eastAsia="Times New Roman" w:cs="Times New Roman"/>
      <w:b/>
      <w:bCs/>
      <w:szCs w:val="26"/>
    </w:rPr>
  </w:style>
  <w:style w:type="character" w:customStyle="1" w:styleId="Heading3Char">
    <w:name w:val="Heading 3 Char"/>
    <w:basedOn w:val="DefaultParagraphFont"/>
    <w:link w:val="Heading3"/>
    <w:uiPriority w:val="9"/>
    <w:semiHidden/>
    <w:rsid w:val="00C729E7"/>
    <w:rPr>
      <w:rFonts w:asciiTheme="majorHAnsi" w:eastAsiaTheme="majorEastAsia" w:hAnsiTheme="majorHAnsi" w:cstheme="majorBidi"/>
      <w:color w:val="1F3763" w:themeColor="accent1" w:themeShade="7F"/>
      <w:sz w:val="24"/>
      <w:szCs w:val="24"/>
    </w:rPr>
  </w:style>
  <w:style w:type="character" w:customStyle="1" w:styleId="111apaknodaaChar">
    <w:name w:val="1.1.1.apakšnodaļa Char"/>
    <w:basedOn w:val="DefaultParagraphFont"/>
    <w:link w:val="111apaknodaa"/>
    <w:rsid w:val="002556BE"/>
    <w:rPr>
      <w:rFonts w:eastAsia="Times New Roman" w:cs="Times New Roman"/>
      <w:b/>
      <w:bCs/>
      <w:sz w:val="26"/>
      <w:szCs w:val="26"/>
    </w:rPr>
  </w:style>
  <w:style w:type="paragraph" w:styleId="Header">
    <w:name w:val="header"/>
    <w:basedOn w:val="Normal"/>
    <w:link w:val="HeaderChar"/>
    <w:uiPriority w:val="99"/>
    <w:unhideWhenUsed/>
    <w:rsid w:val="0021554D"/>
    <w:pPr>
      <w:tabs>
        <w:tab w:val="center" w:pos="4153"/>
        <w:tab w:val="right" w:pos="8306"/>
      </w:tabs>
    </w:pPr>
  </w:style>
  <w:style w:type="character" w:customStyle="1" w:styleId="HeaderChar">
    <w:name w:val="Header Char"/>
    <w:basedOn w:val="DefaultParagraphFont"/>
    <w:link w:val="Header"/>
    <w:uiPriority w:val="99"/>
    <w:rsid w:val="0021554D"/>
  </w:style>
  <w:style w:type="paragraph" w:styleId="Footer">
    <w:name w:val="footer"/>
    <w:basedOn w:val="Normal"/>
    <w:link w:val="FooterChar"/>
    <w:uiPriority w:val="99"/>
    <w:unhideWhenUsed/>
    <w:rsid w:val="0021554D"/>
    <w:pPr>
      <w:tabs>
        <w:tab w:val="center" w:pos="4153"/>
        <w:tab w:val="right" w:pos="8306"/>
      </w:tabs>
    </w:pPr>
  </w:style>
  <w:style w:type="character" w:customStyle="1" w:styleId="FooterChar">
    <w:name w:val="Footer Char"/>
    <w:basedOn w:val="DefaultParagraphFont"/>
    <w:link w:val="Footer"/>
    <w:uiPriority w:val="99"/>
    <w:rsid w:val="0021554D"/>
  </w:style>
  <w:style w:type="table" w:customStyle="1" w:styleId="TableGrid1">
    <w:name w:val="Table Grid1"/>
    <w:basedOn w:val="TableNormal"/>
    <w:next w:val="TableGrid"/>
    <w:uiPriority w:val="39"/>
    <w:rsid w:val="00046D62"/>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368C1"/>
    <w:pPr>
      <w:tabs>
        <w:tab w:val="left" w:pos="1100"/>
        <w:tab w:val="right" w:leader="dot" w:pos="9061"/>
      </w:tabs>
      <w:spacing w:after="100"/>
      <w:ind w:left="280"/>
    </w:pPr>
  </w:style>
  <w:style w:type="paragraph" w:styleId="TOC1">
    <w:name w:val="toc 1"/>
    <w:basedOn w:val="Normal"/>
    <w:next w:val="Normal"/>
    <w:autoRedefine/>
    <w:uiPriority w:val="39"/>
    <w:unhideWhenUsed/>
    <w:rsid w:val="008E480E"/>
    <w:pPr>
      <w:spacing w:after="100"/>
    </w:pPr>
  </w:style>
  <w:style w:type="paragraph" w:styleId="TOC3">
    <w:name w:val="toc 3"/>
    <w:basedOn w:val="Normal"/>
    <w:next w:val="Normal"/>
    <w:autoRedefine/>
    <w:uiPriority w:val="39"/>
    <w:unhideWhenUsed/>
    <w:rsid w:val="00FB007D"/>
    <w:pPr>
      <w:tabs>
        <w:tab w:val="right" w:leader="dot" w:pos="9061"/>
      </w:tabs>
      <w:spacing w:after="100"/>
      <w:ind w:left="560"/>
    </w:pPr>
  </w:style>
  <w:style w:type="character" w:customStyle="1" w:styleId="Heading4Char">
    <w:name w:val="Heading 4 Char"/>
    <w:basedOn w:val="DefaultParagraphFont"/>
    <w:link w:val="Heading4"/>
    <w:uiPriority w:val="9"/>
    <w:rsid w:val="006B33E9"/>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rsid w:val="0015246E"/>
    <w:rPr>
      <w:rFonts w:eastAsia="Times New Roman" w:cs="Times New Roman"/>
      <w:i/>
      <w:sz w:val="24"/>
      <w:szCs w:val="20"/>
      <w:lang w:eastAsia="lv-LV"/>
    </w:rPr>
  </w:style>
  <w:style w:type="character" w:customStyle="1" w:styleId="BodyTextChar">
    <w:name w:val="Body Text Char"/>
    <w:basedOn w:val="DefaultParagraphFont"/>
    <w:link w:val="BodyText"/>
    <w:semiHidden/>
    <w:rsid w:val="0015246E"/>
    <w:rPr>
      <w:rFonts w:eastAsia="Times New Roman" w:cs="Times New Roman"/>
      <w:i/>
      <w:sz w:val="24"/>
      <w:szCs w:val="20"/>
      <w:lang w:eastAsia="lv-LV"/>
    </w:rPr>
  </w:style>
  <w:style w:type="paragraph" w:styleId="Caption">
    <w:name w:val="caption"/>
    <w:basedOn w:val="Normal"/>
    <w:next w:val="Normal"/>
    <w:link w:val="CaptionChar"/>
    <w:unhideWhenUsed/>
    <w:rsid w:val="0015246E"/>
    <w:pPr>
      <w:widowControl w:val="0"/>
      <w:adjustRightInd w:val="0"/>
      <w:spacing w:after="120" w:line="0" w:lineRule="atLeast"/>
      <w:textAlignment w:val="baseline"/>
    </w:pPr>
    <w:rPr>
      <w:rFonts w:ascii="Arial" w:eastAsia="Times New Roman" w:hAnsi="Arial" w:cs="Times New Roman"/>
      <w:b/>
      <w:bCs/>
      <w:color w:val="000000"/>
      <w:sz w:val="14"/>
      <w:szCs w:val="18"/>
    </w:rPr>
  </w:style>
  <w:style w:type="character" w:customStyle="1" w:styleId="CaptionChar">
    <w:name w:val="Caption Char"/>
    <w:link w:val="Caption"/>
    <w:rsid w:val="0015246E"/>
    <w:rPr>
      <w:rFonts w:ascii="Arial" w:eastAsia="Times New Roman" w:hAnsi="Arial" w:cs="Times New Roman"/>
      <w:b/>
      <w:bCs/>
      <w:color w:val="000000"/>
      <w:sz w:val="14"/>
      <w:szCs w:val="18"/>
    </w:rPr>
  </w:style>
  <w:style w:type="paragraph" w:styleId="TOC4">
    <w:name w:val="toc 4"/>
    <w:basedOn w:val="Normal"/>
    <w:next w:val="Normal"/>
    <w:autoRedefine/>
    <w:uiPriority w:val="39"/>
    <w:unhideWhenUsed/>
    <w:rsid w:val="00F665A1"/>
    <w:pPr>
      <w:spacing w:after="100" w:line="259" w:lineRule="auto"/>
      <w:ind w:left="660"/>
    </w:pPr>
    <w:rPr>
      <w:rFonts w:asciiTheme="minorHAnsi" w:eastAsiaTheme="minorEastAsia" w:hAnsiTheme="minorHAnsi"/>
      <w:sz w:val="22"/>
      <w:lang w:eastAsia="lv-LV"/>
    </w:rPr>
  </w:style>
  <w:style w:type="paragraph" w:styleId="TOC5">
    <w:name w:val="toc 5"/>
    <w:basedOn w:val="Normal"/>
    <w:next w:val="Normal"/>
    <w:autoRedefine/>
    <w:uiPriority w:val="39"/>
    <w:unhideWhenUsed/>
    <w:rsid w:val="00F665A1"/>
    <w:pPr>
      <w:spacing w:after="100" w:line="259" w:lineRule="auto"/>
      <w:ind w:left="880"/>
    </w:pPr>
    <w:rPr>
      <w:rFonts w:asciiTheme="minorHAnsi" w:eastAsiaTheme="minorEastAsia" w:hAnsiTheme="minorHAnsi"/>
      <w:sz w:val="22"/>
      <w:lang w:eastAsia="lv-LV"/>
    </w:rPr>
  </w:style>
  <w:style w:type="paragraph" w:styleId="TOC6">
    <w:name w:val="toc 6"/>
    <w:basedOn w:val="Normal"/>
    <w:next w:val="Normal"/>
    <w:autoRedefine/>
    <w:uiPriority w:val="39"/>
    <w:unhideWhenUsed/>
    <w:rsid w:val="00F665A1"/>
    <w:pPr>
      <w:spacing w:after="100" w:line="259" w:lineRule="auto"/>
      <w:ind w:left="1100"/>
    </w:pPr>
    <w:rPr>
      <w:rFonts w:asciiTheme="minorHAnsi" w:eastAsiaTheme="minorEastAsia" w:hAnsiTheme="minorHAnsi"/>
      <w:sz w:val="22"/>
      <w:lang w:eastAsia="lv-LV"/>
    </w:rPr>
  </w:style>
  <w:style w:type="paragraph" w:styleId="TOC7">
    <w:name w:val="toc 7"/>
    <w:basedOn w:val="Normal"/>
    <w:next w:val="Normal"/>
    <w:autoRedefine/>
    <w:uiPriority w:val="39"/>
    <w:unhideWhenUsed/>
    <w:rsid w:val="00F665A1"/>
    <w:pPr>
      <w:spacing w:after="100" w:line="259" w:lineRule="auto"/>
      <w:ind w:left="1320"/>
    </w:pPr>
    <w:rPr>
      <w:rFonts w:asciiTheme="minorHAnsi" w:eastAsiaTheme="minorEastAsia" w:hAnsiTheme="minorHAnsi"/>
      <w:sz w:val="22"/>
      <w:lang w:eastAsia="lv-LV"/>
    </w:rPr>
  </w:style>
  <w:style w:type="paragraph" w:styleId="TOC8">
    <w:name w:val="toc 8"/>
    <w:basedOn w:val="Normal"/>
    <w:next w:val="Normal"/>
    <w:autoRedefine/>
    <w:uiPriority w:val="39"/>
    <w:unhideWhenUsed/>
    <w:rsid w:val="00F665A1"/>
    <w:pPr>
      <w:spacing w:after="100" w:line="259" w:lineRule="auto"/>
      <w:ind w:left="1540"/>
    </w:pPr>
    <w:rPr>
      <w:rFonts w:asciiTheme="minorHAnsi" w:eastAsiaTheme="minorEastAsia" w:hAnsiTheme="minorHAnsi"/>
      <w:sz w:val="22"/>
      <w:lang w:eastAsia="lv-LV"/>
    </w:rPr>
  </w:style>
  <w:style w:type="paragraph" w:styleId="TOC9">
    <w:name w:val="toc 9"/>
    <w:basedOn w:val="Normal"/>
    <w:next w:val="Normal"/>
    <w:autoRedefine/>
    <w:uiPriority w:val="39"/>
    <w:unhideWhenUsed/>
    <w:rsid w:val="00F665A1"/>
    <w:pPr>
      <w:spacing w:after="100" w:line="259" w:lineRule="auto"/>
      <w:ind w:left="1760"/>
    </w:pPr>
    <w:rPr>
      <w:rFonts w:asciiTheme="minorHAnsi" w:eastAsiaTheme="minorEastAsia" w:hAnsiTheme="minorHAnsi"/>
      <w:sz w:val="22"/>
      <w:lang w:eastAsia="lv-LV"/>
    </w:rPr>
  </w:style>
  <w:style w:type="character" w:customStyle="1" w:styleId="UnresolvedMention1">
    <w:name w:val="Unresolved Mention1"/>
    <w:basedOn w:val="DefaultParagraphFont"/>
    <w:uiPriority w:val="99"/>
    <w:semiHidden/>
    <w:unhideWhenUsed/>
    <w:rsid w:val="00F665A1"/>
    <w:rPr>
      <w:color w:val="808080"/>
      <w:shd w:val="clear" w:color="auto" w:fill="E6E6E6"/>
    </w:rPr>
  </w:style>
  <w:style w:type="paragraph" w:styleId="ListParagraph">
    <w:name w:val="List Paragraph"/>
    <w:aliases w:val="2,Bullet Points,Colorful List - Accent 11,Dot pt,F5 List Paragraph,IFCL - List Paragraph,Indicator Text,List Paragraph Char Char Char,List Paragraph1,List Paragraph12,MAIN CONTENT,No Spacing1,Numbered Para 1,OBC Bullet,Strip"/>
    <w:basedOn w:val="Normal"/>
    <w:link w:val="ListParagraphChar"/>
    <w:uiPriority w:val="34"/>
    <w:qFormat/>
    <w:rsid w:val="00F665A1"/>
    <w:pPr>
      <w:ind w:left="720"/>
      <w:contextualSpacing/>
    </w:pPr>
  </w:style>
  <w:style w:type="paragraph" w:styleId="NormalWeb">
    <w:name w:val="Normal (Web)"/>
    <w:basedOn w:val="Normal"/>
    <w:uiPriority w:val="99"/>
    <w:unhideWhenUsed/>
    <w:rsid w:val="00CE5AF2"/>
    <w:pPr>
      <w:spacing w:after="160" w:line="360" w:lineRule="auto"/>
    </w:pPr>
    <w:rPr>
      <w:rFonts w:eastAsiaTheme="minorEastAsia" w:cs="Times New Roman"/>
      <w:sz w:val="24"/>
      <w:szCs w:val="24"/>
    </w:rPr>
  </w:style>
  <w:style w:type="paragraph" w:styleId="Revision">
    <w:name w:val="Revision"/>
    <w:hidden/>
    <w:uiPriority w:val="99"/>
    <w:semiHidden/>
    <w:rsid w:val="000818EE"/>
    <w:rPr>
      <w:sz w:val="26"/>
    </w:rPr>
  </w:style>
  <w:style w:type="paragraph" w:customStyle="1" w:styleId="tvhtml">
    <w:name w:val="tv_html"/>
    <w:basedOn w:val="Normal"/>
    <w:rsid w:val="004E58FD"/>
    <w:pPr>
      <w:spacing w:before="100" w:beforeAutospacing="1" w:after="100" w:afterAutospacing="1"/>
      <w:jc w:val="left"/>
    </w:pPr>
    <w:rPr>
      <w:rFonts w:eastAsia="Times New Roman" w:cs="Times New Roman"/>
      <w:sz w:val="24"/>
      <w:szCs w:val="24"/>
      <w:lang w:eastAsia="lv-LV"/>
    </w:rPr>
  </w:style>
  <w:style w:type="character" w:customStyle="1" w:styleId="ListParagraphChar">
    <w:name w:val="List Paragraph Char"/>
    <w:aliases w:val="2 Char,Bullet Points Char,Colorful List - Accent 11 Char,Dot pt Char,F5 List Paragraph Char,IFCL - List Paragraph Char,Indicator Text Char,List Paragraph Char Char Char Char,List Paragraph1 Char,List Paragraph12 Char,No Spacing1 Char"/>
    <w:link w:val="ListParagraph"/>
    <w:uiPriority w:val="34"/>
    <w:qFormat/>
    <w:locked/>
    <w:rsid w:val="000D0195"/>
    <w:rPr>
      <w:sz w:val="26"/>
    </w:rPr>
  </w:style>
  <w:style w:type="character" w:styleId="FollowedHyperlink">
    <w:name w:val="FollowedHyperlink"/>
    <w:basedOn w:val="DefaultParagraphFont"/>
    <w:uiPriority w:val="99"/>
    <w:semiHidden/>
    <w:unhideWhenUsed/>
    <w:rsid w:val="00B7109B"/>
    <w:rPr>
      <w:color w:val="954F72" w:themeColor="followedHyperlink"/>
      <w:u w:val="single"/>
    </w:rPr>
  </w:style>
  <w:style w:type="character" w:customStyle="1" w:styleId="UnresolvedMention2">
    <w:name w:val="Unresolved Mention2"/>
    <w:basedOn w:val="DefaultParagraphFont"/>
    <w:uiPriority w:val="99"/>
    <w:rsid w:val="00B974C9"/>
    <w:rPr>
      <w:color w:val="808080"/>
      <w:shd w:val="clear" w:color="auto" w:fill="E6E6E6"/>
    </w:rPr>
  </w:style>
  <w:style w:type="paragraph" w:customStyle="1" w:styleId="naisc">
    <w:name w:val="naisc"/>
    <w:basedOn w:val="Normal"/>
    <w:rsid w:val="00E66681"/>
    <w:pPr>
      <w:spacing w:before="75" w:after="75"/>
      <w:jc w:val="center"/>
    </w:pPr>
    <w:rPr>
      <w:rFonts w:eastAsia="Times New Roman" w:cs="Times New Roman"/>
      <w:sz w:val="24"/>
      <w:szCs w:val="24"/>
      <w:lang w:eastAsia="lv-LV"/>
    </w:rPr>
  </w:style>
  <w:style w:type="character" w:customStyle="1" w:styleId="normaltextrun">
    <w:name w:val="normaltextrun"/>
    <w:rsid w:val="00B217F2"/>
  </w:style>
  <w:style w:type="paragraph" w:customStyle="1" w:styleId="paragraph">
    <w:name w:val="paragraph"/>
    <w:basedOn w:val="Normal"/>
    <w:rsid w:val="0049480E"/>
    <w:pPr>
      <w:spacing w:before="100" w:beforeAutospacing="1" w:after="100" w:afterAutospacing="1"/>
      <w:jc w:val="left"/>
    </w:pPr>
    <w:rPr>
      <w:rFonts w:eastAsia="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1284">
      <w:bodyDiv w:val="1"/>
      <w:marLeft w:val="0"/>
      <w:marRight w:val="0"/>
      <w:marTop w:val="0"/>
      <w:marBottom w:val="0"/>
      <w:divBdr>
        <w:top w:val="none" w:sz="0" w:space="0" w:color="auto"/>
        <w:left w:val="none" w:sz="0" w:space="0" w:color="auto"/>
        <w:bottom w:val="none" w:sz="0" w:space="0" w:color="auto"/>
        <w:right w:val="none" w:sz="0" w:space="0" w:color="auto"/>
      </w:divBdr>
    </w:div>
    <w:div w:id="36509527">
      <w:bodyDiv w:val="1"/>
      <w:marLeft w:val="0"/>
      <w:marRight w:val="0"/>
      <w:marTop w:val="0"/>
      <w:marBottom w:val="0"/>
      <w:divBdr>
        <w:top w:val="none" w:sz="0" w:space="0" w:color="auto"/>
        <w:left w:val="none" w:sz="0" w:space="0" w:color="auto"/>
        <w:bottom w:val="none" w:sz="0" w:space="0" w:color="auto"/>
        <w:right w:val="none" w:sz="0" w:space="0" w:color="auto"/>
      </w:divBdr>
    </w:div>
    <w:div w:id="47993762">
      <w:bodyDiv w:val="1"/>
      <w:marLeft w:val="0"/>
      <w:marRight w:val="0"/>
      <w:marTop w:val="0"/>
      <w:marBottom w:val="0"/>
      <w:divBdr>
        <w:top w:val="none" w:sz="0" w:space="0" w:color="auto"/>
        <w:left w:val="none" w:sz="0" w:space="0" w:color="auto"/>
        <w:bottom w:val="none" w:sz="0" w:space="0" w:color="auto"/>
        <w:right w:val="none" w:sz="0" w:space="0" w:color="auto"/>
      </w:divBdr>
    </w:div>
    <w:div w:id="107358228">
      <w:bodyDiv w:val="1"/>
      <w:marLeft w:val="0"/>
      <w:marRight w:val="0"/>
      <w:marTop w:val="0"/>
      <w:marBottom w:val="0"/>
      <w:divBdr>
        <w:top w:val="none" w:sz="0" w:space="0" w:color="auto"/>
        <w:left w:val="none" w:sz="0" w:space="0" w:color="auto"/>
        <w:bottom w:val="none" w:sz="0" w:space="0" w:color="auto"/>
        <w:right w:val="none" w:sz="0" w:space="0" w:color="auto"/>
      </w:divBdr>
    </w:div>
    <w:div w:id="353306531">
      <w:bodyDiv w:val="1"/>
      <w:marLeft w:val="0"/>
      <w:marRight w:val="0"/>
      <w:marTop w:val="0"/>
      <w:marBottom w:val="0"/>
      <w:divBdr>
        <w:top w:val="none" w:sz="0" w:space="0" w:color="auto"/>
        <w:left w:val="none" w:sz="0" w:space="0" w:color="auto"/>
        <w:bottom w:val="none" w:sz="0" w:space="0" w:color="auto"/>
        <w:right w:val="none" w:sz="0" w:space="0" w:color="auto"/>
      </w:divBdr>
    </w:div>
    <w:div w:id="400718976">
      <w:bodyDiv w:val="1"/>
      <w:marLeft w:val="0"/>
      <w:marRight w:val="0"/>
      <w:marTop w:val="0"/>
      <w:marBottom w:val="0"/>
      <w:divBdr>
        <w:top w:val="none" w:sz="0" w:space="0" w:color="auto"/>
        <w:left w:val="none" w:sz="0" w:space="0" w:color="auto"/>
        <w:bottom w:val="none" w:sz="0" w:space="0" w:color="auto"/>
        <w:right w:val="none" w:sz="0" w:space="0" w:color="auto"/>
      </w:divBdr>
    </w:div>
    <w:div w:id="462845060">
      <w:bodyDiv w:val="1"/>
      <w:marLeft w:val="0"/>
      <w:marRight w:val="0"/>
      <w:marTop w:val="0"/>
      <w:marBottom w:val="0"/>
      <w:divBdr>
        <w:top w:val="none" w:sz="0" w:space="0" w:color="auto"/>
        <w:left w:val="none" w:sz="0" w:space="0" w:color="auto"/>
        <w:bottom w:val="none" w:sz="0" w:space="0" w:color="auto"/>
        <w:right w:val="none" w:sz="0" w:space="0" w:color="auto"/>
      </w:divBdr>
    </w:div>
    <w:div w:id="474030583">
      <w:bodyDiv w:val="1"/>
      <w:marLeft w:val="0"/>
      <w:marRight w:val="0"/>
      <w:marTop w:val="0"/>
      <w:marBottom w:val="0"/>
      <w:divBdr>
        <w:top w:val="none" w:sz="0" w:space="0" w:color="auto"/>
        <w:left w:val="none" w:sz="0" w:space="0" w:color="auto"/>
        <w:bottom w:val="none" w:sz="0" w:space="0" w:color="auto"/>
        <w:right w:val="none" w:sz="0" w:space="0" w:color="auto"/>
      </w:divBdr>
    </w:div>
    <w:div w:id="474952984">
      <w:bodyDiv w:val="1"/>
      <w:marLeft w:val="0"/>
      <w:marRight w:val="0"/>
      <w:marTop w:val="0"/>
      <w:marBottom w:val="0"/>
      <w:divBdr>
        <w:top w:val="none" w:sz="0" w:space="0" w:color="auto"/>
        <w:left w:val="none" w:sz="0" w:space="0" w:color="auto"/>
        <w:bottom w:val="none" w:sz="0" w:space="0" w:color="auto"/>
        <w:right w:val="none" w:sz="0" w:space="0" w:color="auto"/>
      </w:divBdr>
    </w:div>
    <w:div w:id="490021133">
      <w:bodyDiv w:val="1"/>
      <w:marLeft w:val="0"/>
      <w:marRight w:val="0"/>
      <w:marTop w:val="0"/>
      <w:marBottom w:val="0"/>
      <w:divBdr>
        <w:top w:val="none" w:sz="0" w:space="0" w:color="auto"/>
        <w:left w:val="none" w:sz="0" w:space="0" w:color="auto"/>
        <w:bottom w:val="none" w:sz="0" w:space="0" w:color="auto"/>
        <w:right w:val="none" w:sz="0" w:space="0" w:color="auto"/>
      </w:divBdr>
    </w:div>
    <w:div w:id="493617261">
      <w:bodyDiv w:val="1"/>
      <w:marLeft w:val="0"/>
      <w:marRight w:val="0"/>
      <w:marTop w:val="0"/>
      <w:marBottom w:val="0"/>
      <w:divBdr>
        <w:top w:val="none" w:sz="0" w:space="0" w:color="auto"/>
        <w:left w:val="none" w:sz="0" w:space="0" w:color="auto"/>
        <w:bottom w:val="none" w:sz="0" w:space="0" w:color="auto"/>
        <w:right w:val="none" w:sz="0" w:space="0" w:color="auto"/>
      </w:divBdr>
    </w:div>
    <w:div w:id="537746689">
      <w:bodyDiv w:val="1"/>
      <w:marLeft w:val="0"/>
      <w:marRight w:val="0"/>
      <w:marTop w:val="0"/>
      <w:marBottom w:val="0"/>
      <w:divBdr>
        <w:top w:val="none" w:sz="0" w:space="0" w:color="auto"/>
        <w:left w:val="none" w:sz="0" w:space="0" w:color="auto"/>
        <w:bottom w:val="none" w:sz="0" w:space="0" w:color="auto"/>
        <w:right w:val="none" w:sz="0" w:space="0" w:color="auto"/>
      </w:divBdr>
    </w:div>
    <w:div w:id="549541617">
      <w:bodyDiv w:val="1"/>
      <w:marLeft w:val="0"/>
      <w:marRight w:val="0"/>
      <w:marTop w:val="0"/>
      <w:marBottom w:val="0"/>
      <w:divBdr>
        <w:top w:val="none" w:sz="0" w:space="0" w:color="auto"/>
        <w:left w:val="none" w:sz="0" w:space="0" w:color="auto"/>
        <w:bottom w:val="none" w:sz="0" w:space="0" w:color="auto"/>
        <w:right w:val="none" w:sz="0" w:space="0" w:color="auto"/>
      </w:divBdr>
    </w:div>
    <w:div w:id="600529502">
      <w:bodyDiv w:val="1"/>
      <w:marLeft w:val="0"/>
      <w:marRight w:val="0"/>
      <w:marTop w:val="0"/>
      <w:marBottom w:val="0"/>
      <w:divBdr>
        <w:top w:val="none" w:sz="0" w:space="0" w:color="auto"/>
        <w:left w:val="none" w:sz="0" w:space="0" w:color="auto"/>
        <w:bottom w:val="none" w:sz="0" w:space="0" w:color="auto"/>
        <w:right w:val="none" w:sz="0" w:space="0" w:color="auto"/>
      </w:divBdr>
    </w:div>
    <w:div w:id="602111740">
      <w:bodyDiv w:val="1"/>
      <w:marLeft w:val="0"/>
      <w:marRight w:val="0"/>
      <w:marTop w:val="0"/>
      <w:marBottom w:val="0"/>
      <w:divBdr>
        <w:top w:val="none" w:sz="0" w:space="0" w:color="auto"/>
        <w:left w:val="none" w:sz="0" w:space="0" w:color="auto"/>
        <w:bottom w:val="none" w:sz="0" w:space="0" w:color="auto"/>
        <w:right w:val="none" w:sz="0" w:space="0" w:color="auto"/>
      </w:divBdr>
    </w:div>
    <w:div w:id="666446892">
      <w:bodyDiv w:val="1"/>
      <w:marLeft w:val="0"/>
      <w:marRight w:val="0"/>
      <w:marTop w:val="0"/>
      <w:marBottom w:val="0"/>
      <w:divBdr>
        <w:top w:val="none" w:sz="0" w:space="0" w:color="auto"/>
        <w:left w:val="none" w:sz="0" w:space="0" w:color="auto"/>
        <w:bottom w:val="none" w:sz="0" w:space="0" w:color="auto"/>
        <w:right w:val="none" w:sz="0" w:space="0" w:color="auto"/>
      </w:divBdr>
    </w:div>
    <w:div w:id="753547564">
      <w:bodyDiv w:val="1"/>
      <w:marLeft w:val="0"/>
      <w:marRight w:val="0"/>
      <w:marTop w:val="0"/>
      <w:marBottom w:val="0"/>
      <w:divBdr>
        <w:top w:val="none" w:sz="0" w:space="0" w:color="auto"/>
        <w:left w:val="none" w:sz="0" w:space="0" w:color="auto"/>
        <w:bottom w:val="none" w:sz="0" w:space="0" w:color="auto"/>
        <w:right w:val="none" w:sz="0" w:space="0" w:color="auto"/>
      </w:divBdr>
    </w:div>
    <w:div w:id="821387224">
      <w:bodyDiv w:val="1"/>
      <w:marLeft w:val="0"/>
      <w:marRight w:val="0"/>
      <w:marTop w:val="0"/>
      <w:marBottom w:val="0"/>
      <w:divBdr>
        <w:top w:val="none" w:sz="0" w:space="0" w:color="auto"/>
        <w:left w:val="none" w:sz="0" w:space="0" w:color="auto"/>
        <w:bottom w:val="none" w:sz="0" w:space="0" w:color="auto"/>
        <w:right w:val="none" w:sz="0" w:space="0" w:color="auto"/>
      </w:divBdr>
    </w:div>
    <w:div w:id="892422099">
      <w:bodyDiv w:val="1"/>
      <w:marLeft w:val="0"/>
      <w:marRight w:val="0"/>
      <w:marTop w:val="0"/>
      <w:marBottom w:val="0"/>
      <w:divBdr>
        <w:top w:val="none" w:sz="0" w:space="0" w:color="auto"/>
        <w:left w:val="none" w:sz="0" w:space="0" w:color="auto"/>
        <w:bottom w:val="none" w:sz="0" w:space="0" w:color="auto"/>
        <w:right w:val="none" w:sz="0" w:space="0" w:color="auto"/>
      </w:divBdr>
    </w:div>
    <w:div w:id="970671501">
      <w:bodyDiv w:val="1"/>
      <w:marLeft w:val="0"/>
      <w:marRight w:val="0"/>
      <w:marTop w:val="0"/>
      <w:marBottom w:val="0"/>
      <w:divBdr>
        <w:top w:val="none" w:sz="0" w:space="0" w:color="auto"/>
        <w:left w:val="none" w:sz="0" w:space="0" w:color="auto"/>
        <w:bottom w:val="none" w:sz="0" w:space="0" w:color="auto"/>
        <w:right w:val="none" w:sz="0" w:space="0" w:color="auto"/>
      </w:divBdr>
    </w:div>
    <w:div w:id="1080559615">
      <w:bodyDiv w:val="1"/>
      <w:marLeft w:val="0"/>
      <w:marRight w:val="0"/>
      <w:marTop w:val="0"/>
      <w:marBottom w:val="0"/>
      <w:divBdr>
        <w:top w:val="none" w:sz="0" w:space="0" w:color="auto"/>
        <w:left w:val="none" w:sz="0" w:space="0" w:color="auto"/>
        <w:bottom w:val="none" w:sz="0" w:space="0" w:color="auto"/>
        <w:right w:val="none" w:sz="0" w:space="0" w:color="auto"/>
      </w:divBdr>
    </w:div>
    <w:div w:id="1167598021">
      <w:bodyDiv w:val="1"/>
      <w:marLeft w:val="0"/>
      <w:marRight w:val="0"/>
      <w:marTop w:val="0"/>
      <w:marBottom w:val="0"/>
      <w:divBdr>
        <w:top w:val="none" w:sz="0" w:space="0" w:color="auto"/>
        <w:left w:val="none" w:sz="0" w:space="0" w:color="auto"/>
        <w:bottom w:val="none" w:sz="0" w:space="0" w:color="auto"/>
        <w:right w:val="none" w:sz="0" w:space="0" w:color="auto"/>
      </w:divBdr>
    </w:div>
    <w:div w:id="1180781571">
      <w:bodyDiv w:val="1"/>
      <w:marLeft w:val="0"/>
      <w:marRight w:val="0"/>
      <w:marTop w:val="0"/>
      <w:marBottom w:val="0"/>
      <w:divBdr>
        <w:top w:val="none" w:sz="0" w:space="0" w:color="auto"/>
        <w:left w:val="none" w:sz="0" w:space="0" w:color="auto"/>
        <w:bottom w:val="none" w:sz="0" w:space="0" w:color="auto"/>
        <w:right w:val="none" w:sz="0" w:space="0" w:color="auto"/>
      </w:divBdr>
    </w:div>
    <w:div w:id="1227914068">
      <w:bodyDiv w:val="1"/>
      <w:marLeft w:val="0"/>
      <w:marRight w:val="0"/>
      <w:marTop w:val="0"/>
      <w:marBottom w:val="0"/>
      <w:divBdr>
        <w:top w:val="none" w:sz="0" w:space="0" w:color="auto"/>
        <w:left w:val="none" w:sz="0" w:space="0" w:color="auto"/>
        <w:bottom w:val="none" w:sz="0" w:space="0" w:color="auto"/>
        <w:right w:val="none" w:sz="0" w:space="0" w:color="auto"/>
      </w:divBdr>
    </w:div>
    <w:div w:id="1313368005">
      <w:bodyDiv w:val="1"/>
      <w:marLeft w:val="0"/>
      <w:marRight w:val="0"/>
      <w:marTop w:val="0"/>
      <w:marBottom w:val="0"/>
      <w:divBdr>
        <w:top w:val="none" w:sz="0" w:space="0" w:color="auto"/>
        <w:left w:val="none" w:sz="0" w:space="0" w:color="auto"/>
        <w:bottom w:val="none" w:sz="0" w:space="0" w:color="auto"/>
        <w:right w:val="none" w:sz="0" w:space="0" w:color="auto"/>
      </w:divBdr>
    </w:div>
    <w:div w:id="1316645594">
      <w:bodyDiv w:val="1"/>
      <w:marLeft w:val="0"/>
      <w:marRight w:val="0"/>
      <w:marTop w:val="0"/>
      <w:marBottom w:val="0"/>
      <w:divBdr>
        <w:top w:val="none" w:sz="0" w:space="0" w:color="auto"/>
        <w:left w:val="none" w:sz="0" w:space="0" w:color="auto"/>
        <w:bottom w:val="none" w:sz="0" w:space="0" w:color="auto"/>
        <w:right w:val="none" w:sz="0" w:space="0" w:color="auto"/>
      </w:divBdr>
    </w:div>
    <w:div w:id="1356037899">
      <w:bodyDiv w:val="1"/>
      <w:marLeft w:val="0"/>
      <w:marRight w:val="0"/>
      <w:marTop w:val="0"/>
      <w:marBottom w:val="0"/>
      <w:divBdr>
        <w:top w:val="none" w:sz="0" w:space="0" w:color="auto"/>
        <w:left w:val="none" w:sz="0" w:space="0" w:color="auto"/>
        <w:bottom w:val="none" w:sz="0" w:space="0" w:color="auto"/>
        <w:right w:val="none" w:sz="0" w:space="0" w:color="auto"/>
      </w:divBdr>
    </w:div>
    <w:div w:id="1404110547">
      <w:bodyDiv w:val="1"/>
      <w:marLeft w:val="0"/>
      <w:marRight w:val="0"/>
      <w:marTop w:val="0"/>
      <w:marBottom w:val="0"/>
      <w:divBdr>
        <w:top w:val="none" w:sz="0" w:space="0" w:color="auto"/>
        <w:left w:val="none" w:sz="0" w:space="0" w:color="auto"/>
        <w:bottom w:val="none" w:sz="0" w:space="0" w:color="auto"/>
        <w:right w:val="none" w:sz="0" w:space="0" w:color="auto"/>
      </w:divBdr>
    </w:div>
    <w:div w:id="1448544043">
      <w:bodyDiv w:val="1"/>
      <w:marLeft w:val="0"/>
      <w:marRight w:val="0"/>
      <w:marTop w:val="0"/>
      <w:marBottom w:val="0"/>
      <w:divBdr>
        <w:top w:val="none" w:sz="0" w:space="0" w:color="auto"/>
        <w:left w:val="none" w:sz="0" w:space="0" w:color="auto"/>
        <w:bottom w:val="none" w:sz="0" w:space="0" w:color="auto"/>
        <w:right w:val="none" w:sz="0" w:space="0" w:color="auto"/>
      </w:divBdr>
    </w:div>
    <w:div w:id="1458796662">
      <w:bodyDiv w:val="1"/>
      <w:marLeft w:val="0"/>
      <w:marRight w:val="0"/>
      <w:marTop w:val="0"/>
      <w:marBottom w:val="0"/>
      <w:divBdr>
        <w:top w:val="none" w:sz="0" w:space="0" w:color="auto"/>
        <w:left w:val="none" w:sz="0" w:space="0" w:color="auto"/>
        <w:bottom w:val="none" w:sz="0" w:space="0" w:color="auto"/>
        <w:right w:val="none" w:sz="0" w:space="0" w:color="auto"/>
      </w:divBdr>
    </w:div>
    <w:div w:id="1524586719">
      <w:bodyDiv w:val="1"/>
      <w:marLeft w:val="0"/>
      <w:marRight w:val="0"/>
      <w:marTop w:val="0"/>
      <w:marBottom w:val="0"/>
      <w:divBdr>
        <w:top w:val="none" w:sz="0" w:space="0" w:color="auto"/>
        <w:left w:val="none" w:sz="0" w:space="0" w:color="auto"/>
        <w:bottom w:val="none" w:sz="0" w:space="0" w:color="auto"/>
        <w:right w:val="none" w:sz="0" w:space="0" w:color="auto"/>
      </w:divBdr>
    </w:div>
    <w:div w:id="1552688810">
      <w:bodyDiv w:val="1"/>
      <w:marLeft w:val="0"/>
      <w:marRight w:val="0"/>
      <w:marTop w:val="0"/>
      <w:marBottom w:val="0"/>
      <w:divBdr>
        <w:top w:val="none" w:sz="0" w:space="0" w:color="auto"/>
        <w:left w:val="none" w:sz="0" w:space="0" w:color="auto"/>
        <w:bottom w:val="none" w:sz="0" w:space="0" w:color="auto"/>
        <w:right w:val="none" w:sz="0" w:space="0" w:color="auto"/>
      </w:divBdr>
    </w:div>
    <w:div w:id="1587107984">
      <w:bodyDiv w:val="1"/>
      <w:marLeft w:val="0"/>
      <w:marRight w:val="0"/>
      <w:marTop w:val="0"/>
      <w:marBottom w:val="0"/>
      <w:divBdr>
        <w:top w:val="none" w:sz="0" w:space="0" w:color="auto"/>
        <w:left w:val="none" w:sz="0" w:space="0" w:color="auto"/>
        <w:bottom w:val="none" w:sz="0" w:space="0" w:color="auto"/>
        <w:right w:val="none" w:sz="0" w:space="0" w:color="auto"/>
      </w:divBdr>
    </w:div>
    <w:div w:id="1612086310">
      <w:bodyDiv w:val="1"/>
      <w:marLeft w:val="0"/>
      <w:marRight w:val="0"/>
      <w:marTop w:val="0"/>
      <w:marBottom w:val="0"/>
      <w:divBdr>
        <w:top w:val="none" w:sz="0" w:space="0" w:color="auto"/>
        <w:left w:val="none" w:sz="0" w:space="0" w:color="auto"/>
        <w:bottom w:val="none" w:sz="0" w:space="0" w:color="auto"/>
        <w:right w:val="none" w:sz="0" w:space="0" w:color="auto"/>
      </w:divBdr>
    </w:div>
    <w:div w:id="1671909099">
      <w:bodyDiv w:val="1"/>
      <w:marLeft w:val="0"/>
      <w:marRight w:val="0"/>
      <w:marTop w:val="0"/>
      <w:marBottom w:val="0"/>
      <w:divBdr>
        <w:top w:val="none" w:sz="0" w:space="0" w:color="auto"/>
        <w:left w:val="none" w:sz="0" w:space="0" w:color="auto"/>
        <w:bottom w:val="none" w:sz="0" w:space="0" w:color="auto"/>
        <w:right w:val="none" w:sz="0" w:space="0" w:color="auto"/>
      </w:divBdr>
    </w:div>
    <w:div w:id="1762291910">
      <w:bodyDiv w:val="1"/>
      <w:marLeft w:val="0"/>
      <w:marRight w:val="0"/>
      <w:marTop w:val="0"/>
      <w:marBottom w:val="0"/>
      <w:divBdr>
        <w:top w:val="none" w:sz="0" w:space="0" w:color="auto"/>
        <w:left w:val="none" w:sz="0" w:space="0" w:color="auto"/>
        <w:bottom w:val="none" w:sz="0" w:space="0" w:color="auto"/>
        <w:right w:val="none" w:sz="0" w:space="0" w:color="auto"/>
      </w:divBdr>
    </w:div>
    <w:div w:id="1844585182">
      <w:bodyDiv w:val="1"/>
      <w:marLeft w:val="0"/>
      <w:marRight w:val="0"/>
      <w:marTop w:val="0"/>
      <w:marBottom w:val="0"/>
      <w:divBdr>
        <w:top w:val="none" w:sz="0" w:space="0" w:color="auto"/>
        <w:left w:val="none" w:sz="0" w:space="0" w:color="auto"/>
        <w:bottom w:val="none" w:sz="0" w:space="0" w:color="auto"/>
        <w:right w:val="none" w:sz="0" w:space="0" w:color="auto"/>
      </w:divBdr>
    </w:div>
    <w:div w:id="1869947272">
      <w:bodyDiv w:val="1"/>
      <w:marLeft w:val="0"/>
      <w:marRight w:val="0"/>
      <w:marTop w:val="0"/>
      <w:marBottom w:val="0"/>
      <w:divBdr>
        <w:top w:val="none" w:sz="0" w:space="0" w:color="auto"/>
        <w:left w:val="none" w:sz="0" w:space="0" w:color="auto"/>
        <w:bottom w:val="none" w:sz="0" w:space="0" w:color="auto"/>
        <w:right w:val="none" w:sz="0" w:space="0" w:color="auto"/>
      </w:divBdr>
    </w:div>
    <w:div w:id="1960184494">
      <w:bodyDiv w:val="1"/>
      <w:marLeft w:val="0"/>
      <w:marRight w:val="0"/>
      <w:marTop w:val="0"/>
      <w:marBottom w:val="0"/>
      <w:divBdr>
        <w:top w:val="none" w:sz="0" w:space="0" w:color="auto"/>
        <w:left w:val="none" w:sz="0" w:space="0" w:color="auto"/>
        <w:bottom w:val="none" w:sz="0" w:space="0" w:color="auto"/>
        <w:right w:val="none" w:sz="0" w:space="0" w:color="auto"/>
      </w:divBdr>
    </w:div>
    <w:div w:id="1963726948">
      <w:bodyDiv w:val="1"/>
      <w:marLeft w:val="0"/>
      <w:marRight w:val="0"/>
      <w:marTop w:val="0"/>
      <w:marBottom w:val="0"/>
      <w:divBdr>
        <w:top w:val="none" w:sz="0" w:space="0" w:color="auto"/>
        <w:left w:val="none" w:sz="0" w:space="0" w:color="auto"/>
        <w:bottom w:val="none" w:sz="0" w:space="0" w:color="auto"/>
        <w:right w:val="none" w:sz="0" w:space="0" w:color="auto"/>
      </w:divBdr>
    </w:div>
    <w:div w:id="1983000894">
      <w:bodyDiv w:val="1"/>
      <w:marLeft w:val="0"/>
      <w:marRight w:val="0"/>
      <w:marTop w:val="0"/>
      <w:marBottom w:val="0"/>
      <w:divBdr>
        <w:top w:val="none" w:sz="0" w:space="0" w:color="auto"/>
        <w:left w:val="none" w:sz="0" w:space="0" w:color="auto"/>
        <w:bottom w:val="none" w:sz="0" w:space="0" w:color="auto"/>
        <w:right w:val="none" w:sz="0" w:space="0" w:color="auto"/>
      </w:divBdr>
    </w:div>
    <w:div w:id="2045278699">
      <w:bodyDiv w:val="1"/>
      <w:marLeft w:val="0"/>
      <w:marRight w:val="0"/>
      <w:marTop w:val="0"/>
      <w:marBottom w:val="0"/>
      <w:divBdr>
        <w:top w:val="none" w:sz="0" w:space="0" w:color="auto"/>
        <w:left w:val="none" w:sz="0" w:space="0" w:color="auto"/>
        <w:bottom w:val="none" w:sz="0" w:space="0" w:color="auto"/>
        <w:right w:val="none" w:sz="0" w:space="0" w:color="auto"/>
      </w:divBdr>
    </w:div>
    <w:div w:id="2095545249">
      <w:bodyDiv w:val="1"/>
      <w:marLeft w:val="0"/>
      <w:marRight w:val="0"/>
      <w:marTop w:val="0"/>
      <w:marBottom w:val="0"/>
      <w:divBdr>
        <w:top w:val="none" w:sz="0" w:space="0" w:color="auto"/>
        <w:left w:val="none" w:sz="0" w:space="0" w:color="auto"/>
        <w:bottom w:val="none" w:sz="0" w:space="0" w:color="auto"/>
        <w:right w:val="none" w:sz="0" w:space="0" w:color="auto"/>
      </w:divBdr>
    </w:div>
    <w:div w:id="2130587972">
      <w:bodyDiv w:val="1"/>
      <w:marLeft w:val="0"/>
      <w:marRight w:val="0"/>
      <w:marTop w:val="0"/>
      <w:marBottom w:val="0"/>
      <w:divBdr>
        <w:top w:val="none" w:sz="0" w:space="0" w:color="auto"/>
        <w:left w:val="none" w:sz="0" w:space="0" w:color="auto"/>
        <w:bottom w:val="none" w:sz="0" w:space="0" w:color="auto"/>
        <w:right w:val="none" w:sz="0" w:space="0" w:color="auto"/>
      </w:divBdr>
    </w:div>
    <w:div w:id="2130737955">
      <w:bodyDiv w:val="1"/>
      <w:marLeft w:val="0"/>
      <w:marRight w:val="0"/>
      <w:marTop w:val="0"/>
      <w:marBottom w:val="0"/>
      <w:divBdr>
        <w:top w:val="none" w:sz="0" w:space="0" w:color="auto"/>
        <w:left w:val="none" w:sz="0" w:space="0" w:color="auto"/>
        <w:bottom w:val="none" w:sz="0" w:space="0" w:color="auto"/>
        <w:right w:val="none" w:sz="0" w:space="0" w:color="auto"/>
      </w:divBdr>
    </w:div>
    <w:div w:id="214546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likumi.lv/ta/id/162007-noteikumi-par-elektroenergijas-razosanu-izmantojot-atjaunojamos-energoresursu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chart" Target="charts/chart9.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chart" Target="charts/chart8.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294236-grozijumi-ministru-kabineta-2009-gada-10-marta-noteikumos-nr-221-noteikumi-par-elektroenergijas-razosanu-un-cenu-noteiksanu" TargetMode="External"/><Relationship Id="rId13" Type="http://schemas.openxmlformats.org/officeDocument/2006/relationships/hyperlink" Target="https://www.lazard.com/perspective/levelized-cost-of-energy-2017/" TargetMode="External"/><Relationship Id="rId18" Type="http://schemas.openxmlformats.org/officeDocument/2006/relationships/hyperlink" Target="http://ec.europa.eu/competition/elojade/isef/case_details.cfm?proc_code=3_SA_46013" TargetMode="External"/><Relationship Id="rId3" Type="http://schemas.openxmlformats.org/officeDocument/2006/relationships/hyperlink" Target="https://likumi.lv/ta/id/293753-par-konceptualo-zinojumu-kompleksi-pasakumi-elektroenergijas-tirgus-attistibai" TargetMode="External"/><Relationship Id="rId21" Type="http://schemas.openxmlformats.org/officeDocument/2006/relationships/hyperlink" Target="https://eur-lex.europa.eu/legal-content/LV/TXT/?uri=celex%3A32012L0027" TargetMode="External"/><Relationship Id="rId7" Type="http://schemas.openxmlformats.org/officeDocument/2006/relationships/hyperlink" Target="https://likumi.lv/ta/id/293753-par-konceptualo-zinojumu-kompleksi-pasakumi-elektroenergijas-tirgus-attistibai" TargetMode="External"/><Relationship Id="rId12" Type="http://schemas.openxmlformats.org/officeDocument/2006/relationships/hyperlink" Target="C:/Users/LoginaB/Downloads/EurObservER-Annual-Overview-2017-EN%20(1).pdf" TargetMode="External"/><Relationship Id="rId17" Type="http://schemas.openxmlformats.org/officeDocument/2006/relationships/hyperlink" Target="https://eur-lex.europa.eu/legal-content/LV/TXT/?uri=celex%3A32008L0098" TargetMode="External"/><Relationship Id="rId2" Type="http://schemas.openxmlformats.org/officeDocument/2006/relationships/hyperlink" Target="https://likumi.lv/ta/id/280236-par-energetikas-attistibas-pamatnostadnem-2016-2020-gadam" TargetMode="External"/><Relationship Id="rId16" Type="http://schemas.openxmlformats.org/officeDocument/2006/relationships/hyperlink" Target="https://likumi.lv/doc.php?id=49833" TargetMode="External"/><Relationship Id="rId20" Type="http://schemas.openxmlformats.org/officeDocument/2006/relationships/hyperlink" Target="https://eur-lex.europa.eu/legal-content/LV/TXT/?uri=CELEX%3A52011DC0031" TargetMode="External"/><Relationship Id="rId1" Type="http://schemas.openxmlformats.org/officeDocument/2006/relationships/hyperlink" Target="http://norden.diva-portal.org/smash/record.jsf?aq2=%5B%5B%5D%5D&amp;af=%5B%5D&amp;searchType=SIMPLE&amp;sortOrder2=title_sort_asc&amp;language=no&amp;pid=diva2%3A1195548&amp;aq=%5B%5B%5D%5D&amp;sf=all&amp;aqe=%5B%5D&amp;sortOrder=author_sort_asc&amp;onlyFullText=false&amp;noOfRows=50&amp;dspwid=4691&amp;dswid=8642" TargetMode="External"/><Relationship Id="rId6" Type="http://schemas.openxmlformats.org/officeDocument/2006/relationships/hyperlink" Target="https://www.sprk.gov.lv/lapas/Tarifi84" TargetMode="External"/><Relationship Id="rId11" Type="http://schemas.openxmlformats.org/officeDocument/2006/relationships/hyperlink" Target="https://eur-lex.europa.eu/legal-content/LV/TXT/?uri=CELEX%3A52014XC0628%2801%29" TargetMode="External"/><Relationship Id="rId5" Type="http://schemas.openxmlformats.org/officeDocument/2006/relationships/hyperlink" Target="https://likumi.lv/doc.php?id=285195" TargetMode="External"/><Relationship Id="rId15" Type="http://schemas.openxmlformats.org/officeDocument/2006/relationships/hyperlink" Target="https://www.icis.com/resources/news/2018/04/16/10212065/icis-power-perspective-lithuania-turns-to-feed-in-premium-250mw-technology-neutral-res-auctions/" TargetMode="External"/><Relationship Id="rId10" Type="http://schemas.openxmlformats.org/officeDocument/2006/relationships/hyperlink" Target="http://tap.mk.gov.lv/mk/tap/?pid=40453859" TargetMode="External"/><Relationship Id="rId19" Type="http://schemas.openxmlformats.org/officeDocument/2006/relationships/hyperlink" Target="http://ec.europa.eu/competition/elojade/isef/case_details.cfm?proc_code=3_SA_37345" TargetMode="External"/><Relationship Id="rId4" Type="http://schemas.openxmlformats.org/officeDocument/2006/relationships/hyperlink" Target="http://www.ast.lv/sites/default/files/editor/20181001_PSO_Zinojums_2017.pdf" TargetMode="External"/><Relationship Id="rId9" Type="http://schemas.openxmlformats.org/officeDocument/2006/relationships/hyperlink" Target="http://tap.mk.gov.lv/mk/tap/?pid=40441651" TargetMode="External"/><Relationship Id="rId14" Type="http://schemas.openxmlformats.org/officeDocument/2006/relationships/hyperlink" Target="https://www.vkekk.lt/en/Pages/auctions-.asp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ls5\Energetika\Ilgtsp&#275;j&#299;gas%20ener&#291;&#275;tikas%20politikas%20departaments\OIK%20reformas%202018\KZ\KZ%20risin&#257;jumu%20ietekmes%2029.10.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DreijalteL\AppData\Local\Microsoft\Windows\Temporary%20Internet%20Files\Content.Outlook\J0AEYM43\010617_OIK.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oleObject" Target="file:///\\fls5\Energetika\Ener&#291;&#275;tikas%20politikas%20administr&#275;&#353;anas%20departaments\DraudinaI\L&#275;mumi\Energointensivi_395_lemumi\Budzetam_ID_MK395_8.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Sheet1!$H$65</c:f>
              <c:strCache>
                <c:ptCount val="1"/>
                <c:pt idx="0">
                  <c:v>Gala lietotāju izdevumu, ko sedz ar gada nobīdi, īpatsvars no iepriekšējā gada IKP</c:v>
                </c:pt>
              </c:strCache>
            </c:strRef>
          </c:tx>
          <c:spPr>
            <a:ln w="38100" cap="rnd">
              <a:solidFill>
                <a:schemeClr val="accent1"/>
              </a:solidFill>
              <a:round/>
            </a:ln>
            <a:effectLst/>
          </c:spPr>
          <c:marker>
            <c:symbol val="none"/>
          </c:marker>
          <c:dLbls>
            <c:dLbl>
              <c:idx val="1"/>
              <c:layout>
                <c:manualLayout>
                  <c:x val="2.5471217524197565E-2"/>
                  <c:y val="-3.48702053467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D-41CC-9E42-7577B46A394A}"/>
                </c:ext>
              </c:extLst>
            </c:dLbl>
            <c:dLbl>
              <c:idx val="2"/>
              <c:layout>
                <c:manualLayout>
                  <c:x val="2.0376974019358125E-2"/>
                  <c:y val="-1.937233630375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5D-41CC-9E42-7577B46A394A}"/>
                </c:ext>
              </c:extLst>
            </c:dLbl>
            <c:dLbl>
              <c:idx val="3"/>
              <c:layout>
                <c:manualLayout>
                  <c:x val="1.0188487009679063E-2"/>
                  <c:y val="-5.424254165052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5D-41CC-9E42-7577B46A394A}"/>
                </c:ext>
              </c:extLst>
            </c:dLbl>
            <c:dLbl>
              <c:idx val="4"/>
              <c:layout>
                <c:manualLayout>
                  <c:x val="2.0376974019358032E-2"/>
                  <c:y val="-1.937233630375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5D-41CC-9E42-7577B46A394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Sheet1!$I$62:$N$62</c:f>
              <c:numCache>
                <c:formatCode>General</c:formatCode>
                <c:ptCount val="6"/>
                <c:pt idx="0">
                  <c:v>2017</c:v>
                </c:pt>
                <c:pt idx="1">
                  <c:v>2018</c:v>
                </c:pt>
                <c:pt idx="2">
                  <c:v>2019</c:v>
                </c:pt>
                <c:pt idx="3">
                  <c:v>2020</c:v>
                </c:pt>
                <c:pt idx="4">
                  <c:v>2021</c:v>
                </c:pt>
                <c:pt idx="5">
                  <c:v>2022</c:v>
                </c:pt>
              </c:numCache>
            </c:numRef>
          </c:cat>
          <c:val>
            <c:numRef>
              <c:f>Sheet1!$I$66:$N$66</c:f>
              <c:numCache>
                <c:formatCode>0.0%</c:formatCode>
                <c:ptCount val="6"/>
                <c:pt idx="0">
                  <c:v>1.0636258337660263E-2</c:v>
                </c:pt>
                <c:pt idx="1">
                  <c:v>6.9875851289165096E-3</c:v>
                </c:pt>
                <c:pt idx="2">
                  <c:v>6.2681856721254351E-3</c:v>
                </c:pt>
                <c:pt idx="3">
                  <c:v>4.990066169607843E-3</c:v>
                </c:pt>
                <c:pt idx="4">
                  <c:v>4.5372736046296299E-3</c:v>
                </c:pt>
                <c:pt idx="5">
                  <c:v>3.0496044659824046E-3</c:v>
                </c:pt>
              </c:numCache>
            </c:numRef>
          </c:val>
          <c:smooth val="0"/>
          <c:extLst>
            <c:ext xmlns:c16="http://schemas.microsoft.com/office/drawing/2014/chart" uri="{C3380CC4-5D6E-409C-BE32-E72D297353CC}">
              <c16:uniqueId val="{00000004-E85D-41CC-9E42-7577B46A394A}"/>
            </c:ext>
          </c:extLst>
        </c:ser>
        <c:dLbls>
          <c:showLegendKey val="0"/>
          <c:showVal val="0"/>
          <c:showCatName val="0"/>
          <c:showSerName val="0"/>
          <c:showPercent val="0"/>
          <c:showBubbleSize val="0"/>
        </c:dLbls>
        <c:smooth val="0"/>
        <c:axId val="355509584"/>
        <c:axId val="358267768"/>
      </c:lineChart>
      <c:catAx>
        <c:axId val="35550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358267768"/>
        <c:crosses val="autoZero"/>
        <c:auto val="1"/>
        <c:lblAlgn val="ctr"/>
        <c:lblOffset val="100"/>
        <c:noMultiLvlLbl val="0"/>
      </c:catAx>
      <c:valAx>
        <c:axId val="3582677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5509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212350492019123E-2"/>
          <c:y val="0.12979774200729288"/>
          <c:w val="0.90990057024630877"/>
          <c:h val="0.6368808102139597"/>
        </c:manualLayout>
      </c:layout>
      <c:barChart>
        <c:barDir val="col"/>
        <c:grouping val="clustered"/>
        <c:varyColors val="0"/>
        <c:ser>
          <c:idx val="0"/>
          <c:order val="0"/>
          <c:spPr>
            <a:solidFill>
              <a:schemeClr val="accent3">
                <a:lumMod val="75000"/>
              </a:schemeClr>
            </a:solidFill>
          </c:spPr>
          <c:invertIfNegative val="0"/>
          <c:dPt>
            <c:idx val="7"/>
            <c:invertIfNegative val="0"/>
            <c:bubble3D val="0"/>
            <c:spPr>
              <a:solidFill>
                <a:schemeClr val="accent1"/>
              </a:solidFill>
            </c:spPr>
            <c:extLst>
              <c:ext xmlns:c16="http://schemas.microsoft.com/office/drawing/2014/chart" uri="{C3380CC4-5D6E-409C-BE32-E72D297353CC}">
                <c16:uniqueId val="{00000001-62B4-4351-9698-75BF5F66EAA1}"/>
              </c:ext>
            </c:extLst>
          </c:dPt>
          <c:cat>
            <c:multiLvlStrRef>
              <c:f>Sheet1!$A$3:$B$10</c:f>
              <c:multiLvlStrCache>
                <c:ptCount val="8"/>
                <c:lvl>
                  <c:pt idx="0">
                    <c:v>MK 221</c:v>
                  </c:pt>
                  <c:pt idx="1">
                    <c:v>MK 262</c:v>
                  </c:pt>
                  <c:pt idx="2">
                    <c:v>MK 221</c:v>
                  </c:pt>
                  <c:pt idx="3">
                    <c:v>MK 262</c:v>
                  </c:pt>
                  <c:pt idx="4">
                    <c:v>MK 262</c:v>
                  </c:pt>
                  <c:pt idx="5">
                    <c:v>Pirms ETL</c:v>
                  </c:pt>
                  <c:pt idx="6">
                    <c:v>MK 262</c:v>
                  </c:pt>
                  <c:pt idx="7">
                    <c:v>MK 221</c:v>
                  </c:pt>
                </c:lvl>
                <c:lvl>
                  <c:pt idx="0">
                    <c:v>Biogāze</c:v>
                  </c:pt>
                  <c:pt idx="2">
                    <c:v>Biomasa</c:v>
                  </c:pt>
                  <c:pt idx="4">
                    <c:v>VES</c:v>
                  </c:pt>
                  <c:pt idx="6">
                    <c:v>Mazie HES</c:v>
                  </c:pt>
                  <c:pt idx="7">
                    <c:v>Dabasgāzes koģ.</c:v>
                  </c:pt>
                </c:lvl>
              </c:multiLvlStrCache>
            </c:multiLvlStrRef>
          </c:cat>
          <c:val>
            <c:numRef>
              <c:f>Sheet1!$C$3:$C$10</c:f>
              <c:numCache>
                <c:formatCode>General</c:formatCode>
                <c:ptCount val="8"/>
                <c:pt idx="0">
                  <c:v>161</c:v>
                </c:pt>
                <c:pt idx="1">
                  <c:v>183</c:v>
                </c:pt>
                <c:pt idx="2">
                  <c:v>150</c:v>
                </c:pt>
                <c:pt idx="3">
                  <c:v>150</c:v>
                </c:pt>
                <c:pt idx="4">
                  <c:v>106</c:v>
                </c:pt>
                <c:pt idx="5">
                  <c:v>111</c:v>
                </c:pt>
                <c:pt idx="6">
                  <c:v>149</c:v>
                </c:pt>
                <c:pt idx="7">
                  <c:v>94</c:v>
                </c:pt>
              </c:numCache>
            </c:numRef>
          </c:val>
          <c:extLst>
            <c:ext xmlns:c16="http://schemas.microsoft.com/office/drawing/2014/chart" uri="{C3380CC4-5D6E-409C-BE32-E72D297353CC}">
              <c16:uniqueId val="{00000002-62B4-4351-9698-75BF5F66EAA1}"/>
            </c:ext>
          </c:extLst>
        </c:ser>
        <c:dLbls>
          <c:showLegendKey val="0"/>
          <c:showVal val="0"/>
          <c:showCatName val="0"/>
          <c:showSerName val="0"/>
          <c:showPercent val="0"/>
          <c:showBubbleSize val="0"/>
        </c:dLbls>
        <c:gapWidth val="53"/>
        <c:axId val="217270912"/>
        <c:axId val="217276800"/>
      </c:barChart>
      <c:catAx>
        <c:axId val="217270912"/>
        <c:scaling>
          <c:orientation val="minMax"/>
        </c:scaling>
        <c:delete val="0"/>
        <c:axPos val="b"/>
        <c:numFmt formatCode="General" sourceLinked="0"/>
        <c:majorTickMark val="out"/>
        <c:minorTickMark val="none"/>
        <c:tickLblPos val="nextTo"/>
        <c:txPr>
          <a:bodyPr/>
          <a:lstStyle/>
          <a:p>
            <a:pPr>
              <a:defRPr sz="900"/>
            </a:pPr>
            <a:endParaRPr lang="lv-LV"/>
          </a:p>
        </c:txPr>
        <c:crossAx val="217276800"/>
        <c:crosses val="autoZero"/>
        <c:auto val="1"/>
        <c:lblAlgn val="ctr"/>
        <c:lblOffset val="100"/>
        <c:noMultiLvlLbl val="0"/>
      </c:catAx>
      <c:valAx>
        <c:axId val="217276800"/>
        <c:scaling>
          <c:orientation val="minMax"/>
        </c:scaling>
        <c:delete val="0"/>
        <c:axPos val="l"/>
        <c:majorGridlines/>
        <c:title>
          <c:tx>
            <c:rich>
              <a:bodyPr rot="0" vertOverflow="clip" vert="horz"/>
              <a:lstStyle/>
              <a:p>
                <a:pPr>
                  <a:defRPr/>
                </a:pPr>
                <a:r>
                  <a:rPr lang="en-US"/>
                  <a:t>EUR/MWh</a:t>
                </a:r>
              </a:p>
            </c:rich>
          </c:tx>
          <c:layout>
            <c:manualLayout>
              <c:xMode val="edge"/>
              <c:yMode val="edge"/>
              <c:x val="1.9439091296730351E-2"/>
              <c:y val="4.5279235016813787E-2"/>
            </c:manualLayout>
          </c:layout>
          <c:overlay val="0"/>
        </c:title>
        <c:numFmt formatCode="General" sourceLinked="1"/>
        <c:majorTickMark val="out"/>
        <c:minorTickMark val="none"/>
        <c:tickLblPos val="nextTo"/>
        <c:crossAx val="217270912"/>
        <c:crosses val="autoZero"/>
        <c:crossBetween val="between"/>
      </c:valAx>
    </c:plotArea>
    <c:plotVisOnly val="1"/>
    <c:dispBlanksAs val="gap"/>
    <c:showDLblsOverMax val="0"/>
  </c:chart>
  <c:spPr>
    <a:ln w="9525">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5046154292035"/>
          <c:y val="0.12898452348628836"/>
          <c:w val="0.8615180006280363"/>
          <c:h val="0.59369286813286271"/>
        </c:manualLayout>
      </c:layout>
      <c:barChart>
        <c:barDir val="col"/>
        <c:grouping val="clustered"/>
        <c:varyColors val="0"/>
        <c:ser>
          <c:idx val="0"/>
          <c:order val="0"/>
          <c:invertIfNegative val="0"/>
          <c:dPt>
            <c:idx val="3"/>
            <c:invertIfNegative val="0"/>
            <c:bubble3D val="0"/>
            <c:spPr>
              <a:solidFill>
                <a:srgbClr val="14601E"/>
              </a:solidFill>
            </c:spPr>
            <c:extLst>
              <c:ext xmlns:c16="http://schemas.microsoft.com/office/drawing/2014/chart" uri="{C3380CC4-5D6E-409C-BE32-E72D297353CC}">
                <c16:uniqueId val="{00000001-2CF7-46E9-8F83-8BEF7E93A234}"/>
              </c:ext>
            </c:extLst>
          </c:dPt>
          <c:cat>
            <c:multiLvlStrRef>
              <c:f>Sheet1!$A$12:$B$15</c:f>
              <c:multiLvlStrCache>
                <c:ptCount val="4"/>
                <c:lvl>
                  <c:pt idx="0">
                    <c:v>Juglas jauda</c:v>
                  </c:pt>
                  <c:pt idx="1">
                    <c:v>Rīgas siltums</c:v>
                  </c:pt>
                  <c:pt idx="2">
                    <c:v>Latvenergo TEC</c:v>
                  </c:pt>
                  <c:pt idx="3">
                    <c:v>Fortum Jelgava</c:v>
                  </c:pt>
                </c:lvl>
                <c:lvl>
                  <c:pt idx="0">
                    <c:v>Jaudas maksa dabasgāze</c:v>
                  </c:pt>
                  <c:pt idx="3">
                    <c:v>Jaudas maksa AER</c:v>
                  </c:pt>
                </c:lvl>
              </c:multiLvlStrCache>
            </c:multiLvlStrRef>
          </c:cat>
          <c:val>
            <c:numRef>
              <c:f>Sheet1!$C$12:$C$15</c:f>
              <c:numCache>
                <c:formatCode>General</c:formatCode>
                <c:ptCount val="4"/>
                <c:pt idx="0">
                  <c:v>153.5</c:v>
                </c:pt>
                <c:pt idx="1">
                  <c:v>119.2</c:v>
                </c:pt>
                <c:pt idx="2">
                  <c:v>25.6</c:v>
                </c:pt>
                <c:pt idx="3">
                  <c:v>224.5</c:v>
                </c:pt>
              </c:numCache>
            </c:numRef>
          </c:val>
          <c:extLst>
            <c:ext xmlns:c16="http://schemas.microsoft.com/office/drawing/2014/chart" uri="{C3380CC4-5D6E-409C-BE32-E72D297353CC}">
              <c16:uniqueId val="{00000002-2CF7-46E9-8F83-8BEF7E93A234}"/>
            </c:ext>
          </c:extLst>
        </c:ser>
        <c:dLbls>
          <c:showLegendKey val="0"/>
          <c:showVal val="0"/>
          <c:showCatName val="0"/>
          <c:showSerName val="0"/>
          <c:showPercent val="0"/>
          <c:showBubbleSize val="0"/>
        </c:dLbls>
        <c:gapWidth val="150"/>
        <c:axId val="140420608"/>
        <c:axId val="140422144"/>
      </c:barChart>
      <c:catAx>
        <c:axId val="140420608"/>
        <c:scaling>
          <c:orientation val="minMax"/>
        </c:scaling>
        <c:delete val="0"/>
        <c:axPos val="b"/>
        <c:numFmt formatCode="General" sourceLinked="0"/>
        <c:majorTickMark val="out"/>
        <c:minorTickMark val="none"/>
        <c:tickLblPos val="nextTo"/>
        <c:crossAx val="140422144"/>
        <c:crosses val="autoZero"/>
        <c:auto val="1"/>
        <c:lblAlgn val="ctr"/>
        <c:lblOffset val="100"/>
        <c:noMultiLvlLbl val="0"/>
      </c:catAx>
      <c:valAx>
        <c:axId val="140422144"/>
        <c:scaling>
          <c:orientation val="minMax"/>
        </c:scaling>
        <c:delete val="0"/>
        <c:axPos val="l"/>
        <c:majorGridlines/>
        <c:title>
          <c:tx>
            <c:rich>
              <a:bodyPr rot="0" vertOverflow="clip" vert="horz"/>
              <a:lstStyle/>
              <a:p>
                <a:pPr>
                  <a:defRPr/>
                </a:pPr>
                <a:r>
                  <a:rPr lang="en-US"/>
                  <a:t>t.EUR/MW/gadā</a:t>
                </a:r>
              </a:p>
            </c:rich>
          </c:tx>
          <c:layout>
            <c:manualLayout>
              <c:xMode val="edge"/>
              <c:yMode val="edge"/>
              <c:x val="2.3370835673431904E-2"/>
              <c:y val="3.3939723051859831E-4"/>
            </c:manualLayout>
          </c:layout>
          <c:overlay val="0"/>
        </c:title>
        <c:numFmt formatCode="General" sourceLinked="1"/>
        <c:majorTickMark val="out"/>
        <c:minorTickMark val="none"/>
        <c:tickLblPos val="nextTo"/>
        <c:crossAx val="140420608"/>
        <c:crosses val="autoZero"/>
        <c:crossBetween val="between"/>
      </c:valAx>
    </c:plotArea>
    <c:plotVisOnly val="1"/>
    <c:dispBlanksAs val="gap"/>
    <c:showDLblsOverMax val="0"/>
  </c:chart>
  <c:spPr>
    <a:ln w="6350">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83905291674577E-2"/>
          <c:y val="1.2044997229417525E-2"/>
          <c:w val="0.95140645736477625"/>
          <c:h val="0.80125807679786332"/>
        </c:manualLayout>
      </c:layout>
      <c:barChart>
        <c:barDir val="col"/>
        <c:grouping val="stacked"/>
        <c:varyColors val="0"/>
        <c:ser>
          <c:idx val="1"/>
          <c:order val="1"/>
          <c:tx>
            <c:strRef>
              <c:f>Sheet6!$E$3</c:f>
              <c:strCache>
                <c:ptCount val="1"/>
                <c:pt idx="0">
                  <c:v>OIK ar subsīdiju</c:v>
                </c:pt>
              </c:strCache>
            </c:strRef>
          </c:tx>
          <c:spPr>
            <a:solidFill>
              <a:schemeClr val="accent2"/>
            </a:solidFill>
            <a:ln>
              <a:noFill/>
            </a:ln>
            <a:effectLst/>
          </c:spPr>
          <c:invertIfNegative val="0"/>
          <c:dLbls>
            <c:dLbl>
              <c:idx val="0"/>
              <c:layout>
                <c:manualLayout>
                  <c:x val="-2.7792248348029853E-3"/>
                  <c:y val="-0.105263139718341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B0-48D1-AD48-77BC20F6C4AF}"/>
                </c:ext>
              </c:extLst>
            </c:dLbl>
            <c:dLbl>
              <c:idx val="1"/>
              <c:layout>
                <c:manualLayout>
                  <c:x val="0"/>
                  <c:y val="-0.124999978415530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B0-48D1-AD48-77BC20F6C4AF}"/>
                </c:ext>
              </c:extLst>
            </c:dLbl>
            <c:dLbl>
              <c:idx val="2"/>
              <c:layout>
                <c:manualLayout>
                  <c:x val="-2.5475933352204666E-17"/>
                  <c:y val="-0.177631548274701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B0-48D1-AD48-77BC20F6C4AF}"/>
                </c:ext>
              </c:extLst>
            </c:dLbl>
            <c:dLbl>
              <c:idx val="3"/>
              <c:layout>
                <c:manualLayout>
                  <c:x val="1.389612417401467E-3"/>
                  <c:y val="-0.182017512429632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B0-48D1-AD48-77BC20F6C4AF}"/>
                </c:ext>
              </c:extLst>
            </c:dLbl>
            <c:dLbl>
              <c:idx val="4"/>
              <c:layout>
                <c:manualLayout>
                  <c:x val="0"/>
                  <c:y val="-0.19078944073949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B0-48D1-AD48-77BC20F6C4AF}"/>
                </c:ext>
              </c:extLst>
            </c:dLbl>
            <c:dLbl>
              <c:idx val="5"/>
              <c:delete val="1"/>
              <c:extLst>
                <c:ext xmlns:c15="http://schemas.microsoft.com/office/drawing/2012/chart" uri="{CE6537A1-D6FC-4f65-9D91-7224C49458BB}"/>
                <c:ext xmlns:c16="http://schemas.microsoft.com/office/drawing/2014/chart" uri="{C3380CC4-5D6E-409C-BE32-E72D297353CC}">
                  <c16:uniqueId val="{00000005-A8B0-48D1-AD48-77BC20F6C4AF}"/>
                </c:ext>
              </c:extLst>
            </c:dLbl>
            <c:dLbl>
              <c:idx val="6"/>
              <c:delete val="1"/>
              <c:extLst>
                <c:ext xmlns:c15="http://schemas.microsoft.com/office/drawing/2012/chart" uri="{CE6537A1-D6FC-4f65-9D91-7224C49458BB}"/>
                <c:ext xmlns:c16="http://schemas.microsoft.com/office/drawing/2014/chart" uri="{C3380CC4-5D6E-409C-BE32-E72D297353CC}">
                  <c16:uniqueId val="{00000006-A8B0-48D1-AD48-77BC20F6C4AF}"/>
                </c:ext>
              </c:extLst>
            </c:dLbl>
            <c:dLbl>
              <c:idx val="7"/>
              <c:delete val="1"/>
              <c:extLst>
                <c:ext xmlns:c15="http://schemas.microsoft.com/office/drawing/2012/chart" uri="{CE6537A1-D6FC-4f65-9D91-7224C49458BB}"/>
                <c:ext xmlns:c16="http://schemas.microsoft.com/office/drawing/2014/chart" uri="{C3380CC4-5D6E-409C-BE32-E72D297353CC}">
                  <c16:uniqueId val="{00000007-A8B0-48D1-AD48-77BC20F6C4AF}"/>
                </c:ext>
              </c:extLst>
            </c:dLbl>
            <c:dLbl>
              <c:idx val="8"/>
              <c:delete val="1"/>
              <c:extLst>
                <c:ext xmlns:c15="http://schemas.microsoft.com/office/drawing/2012/chart" uri="{CE6537A1-D6FC-4f65-9D91-7224C49458BB}"/>
                <c:ext xmlns:c16="http://schemas.microsoft.com/office/drawing/2014/chart" uri="{C3380CC4-5D6E-409C-BE32-E72D297353CC}">
                  <c16:uniqueId val="{00000008-A8B0-48D1-AD48-77BC20F6C4AF}"/>
                </c:ext>
              </c:extLst>
            </c:dLbl>
            <c:dLbl>
              <c:idx val="9"/>
              <c:delete val="1"/>
              <c:extLst>
                <c:ext xmlns:c15="http://schemas.microsoft.com/office/drawing/2012/chart" uri="{CE6537A1-D6FC-4f65-9D91-7224C49458BB}"/>
                <c:ext xmlns:c16="http://schemas.microsoft.com/office/drawing/2014/chart" uri="{C3380CC4-5D6E-409C-BE32-E72D297353CC}">
                  <c16:uniqueId val="{00000009-A8B0-48D1-AD48-77BC20F6C4AF}"/>
                </c:ext>
              </c:extLst>
            </c:dLbl>
            <c:dLbl>
              <c:idx val="10"/>
              <c:delete val="1"/>
              <c:extLst>
                <c:ext xmlns:c15="http://schemas.microsoft.com/office/drawing/2012/chart" uri="{CE6537A1-D6FC-4f65-9D91-7224C49458BB}"/>
                <c:ext xmlns:c16="http://schemas.microsoft.com/office/drawing/2014/chart" uri="{C3380CC4-5D6E-409C-BE32-E72D297353CC}">
                  <c16:uniqueId val="{0000000A-A8B0-48D1-AD48-77BC20F6C4AF}"/>
                </c:ext>
              </c:extLst>
            </c:dLbl>
            <c:dLbl>
              <c:idx val="11"/>
              <c:delete val="1"/>
              <c:extLst>
                <c:ext xmlns:c15="http://schemas.microsoft.com/office/drawing/2012/chart" uri="{CE6537A1-D6FC-4f65-9D91-7224C49458BB}"/>
                <c:ext xmlns:c16="http://schemas.microsoft.com/office/drawing/2014/chart" uri="{C3380CC4-5D6E-409C-BE32-E72D297353CC}">
                  <c16:uniqueId val="{0000000B-A8B0-48D1-AD48-77BC20F6C4AF}"/>
                </c:ext>
              </c:extLst>
            </c:dLbl>
            <c:dLbl>
              <c:idx val="12"/>
              <c:delete val="1"/>
              <c:extLst>
                <c:ext xmlns:c15="http://schemas.microsoft.com/office/drawing/2012/chart" uri="{CE6537A1-D6FC-4f65-9D91-7224C49458BB}"/>
                <c:ext xmlns:c16="http://schemas.microsoft.com/office/drawing/2014/chart" uri="{C3380CC4-5D6E-409C-BE32-E72D297353CC}">
                  <c16:uniqueId val="{0000000C-A8B0-48D1-AD48-77BC20F6C4AF}"/>
                </c:ext>
              </c:extLst>
            </c:dLbl>
            <c:dLbl>
              <c:idx val="13"/>
              <c:delete val="1"/>
              <c:extLst>
                <c:ext xmlns:c15="http://schemas.microsoft.com/office/drawing/2012/chart" uri="{CE6537A1-D6FC-4f65-9D91-7224C49458BB}"/>
                <c:ext xmlns:c16="http://schemas.microsoft.com/office/drawing/2014/chart" uri="{C3380CC4-5D6E-409C-BE32-E72D297353CC}">
                  <c16:uniqueId val="{0000000D-A8B0-48D1-AD48-77BC20F6C4AF}"/>
                </c:ext>
              </c:extLst>
            </c:dLbl>
            <c:dLbl>
              <c:idx val="14"/>
              <c:delete val="1"/>
              <c:extLst>
                <c:ext xmlns:c15="http://schemas.microsoft.com/office/drawing/2012/chart" uri="{CE6537A1-D6FC-4f65-9D91-7224C49458BB}"/>
                <c:ext xmlns:c16="http://schemas.microsoft.com/office/drawing/2014/chart" uri="{C3380CC4-5D6E-409C-BE32-E72D297353CC}">
                  <c16:uniqueId val="{0000000E-A8B0-48D1-AD48-77BC20F6C4AF}"/>
                </c:ext>
              </c:extLst>
            </c:dLbl>
            <c:dLbl>
              <c:idx val="15"/>
              <c:delete val="1"/>
              <c:extLst>
                <c:ext xmlns:c15="http://schemas.microsoft.com/office/drawing/2012/chart" uri="{CE6537A1-D6FC-4f65-9D91-7224C49458BB}"/>
                <c:ext xmlns:c16="http://schemas.microsoft.com/office/drawing/2014/chart" uri="{C3380CC4-5D6E-409C-BE32-E72D297353CC}">
                  <c16:uniqueId val="{0000000F-A8B0-48D1-AD48-77BC20F6C4AF}"/>
                </c:ext>
              </c:extLst>
            </c:dLbl>
            <c:dLbl>
              <c:idx val="16"/>
              <c:delete val="1"/>
              <c:extLst>
                <c:ext xmlns:c15="http://schemas.microsoft.com/office/drawing/2012/chart" uri="{CE6537A1-D6FC-4f65-9D91-7224C49458BB}"/>
                <c:ext xmlns:c16="http://schemas.microsoft.com/office/drawing/2014/chart" uri="{C3380CC4-5D6E-409C-BE32-E72D297353CC}">
                  <c16:uniqueId val="{00000010-A8B0-48D1-AD48-77BC20F6C4AF}"/>
                </c:ext>
              </c:extLst>
            </c:dLbl>
            <c:dLbl>
              <c:idx val="17"/>
              <c:layout>
                <c:manualLayout>
                  <c:x val="0"/>
                  <c:y val="-0.26096486721838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8B0-48D1-AD48-77BC20F6C4AF}"/>
                </c:ext>
              </c:extLst>
            </c:dLbl>
            <c:dLbl>
              <c:idx val="18"/>
              <c:layout>
                <c:manualLayout>
                  <c:x val="0"/>
                  <c:y val="-0.241228028521199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8B0-48D1-AD48-77BC20F6C4A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Sheet6!$C$4:$C$22</c:f>
              <c:numCache>
                <c:formatCode>General</c:formatCode>
                <c:ptCount val="19"/>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numCache>
            </c:numRef>
          </c:cat>
          <c:val>
            <c:numRef>
              <c:f>Sheet6!$E$4:$E$22</c:f>
              <c:numCache>
                <c:formatCode>General</c:formatCode>
                <c:ptCount val="19"/>
                <c:pt idx="0">
                  <c:v>9.3000000000000007</c:v>
                </c:pt>
                <c:pt idx="1">
                  <c:v>11.2</c:v>
                </c:pt>
                <c:pt idx="2">
                  <c:v>16.399999999999999</c:v>
                </c:pt>
                <c:pt idx="3">
                  <c:v>16.7</c:v>
                </c:pt>
                <c:pt idx="4">
                  <c:v>17.5</c:v>
                </c:pt>
                <c:pt idx="5">
                  <c:v>26.9</c:v>
                </c:pt>
                <c:pt idx="6">
                  <c:v>26.79</c:v>
                </c:pt>
                <c:pt idx="7">
                  <c:v>26.79</c:v>
                </c:pt>
                <c:pt idx="8">
                  <c:v>26.79</c:v>
                </c:pt>
                <c:pt idx="9">
                  <c:v>26.79</c:v>
                </c:pt>
                <c:pt idx="10">
                  <c:v>26.79</c:v>
                </c:pt>
                <c:pt idx="11">
                  <c:v>26.79</c:v>
                </c:pt>
                <c:pt idx="12">
                  <c:v>26.79</c:v>
                </c:pt>
                <c:pt idx="13">
                  <c:v>26.79</c:v>
                </c:pt>
                <c:pt idx="14">
                  <c:v>26.79</c:v>
                </c:pt>
                <c:pt idx="15">
                  <c:v>26.79</c:v>
                </c:pt>
                <c:pt idx="16">
                  <c:v>26.79</c:v>
                </c:pt>
                <c:pt idx="17">
                  <c:v>25.23</c:v>
                </c:pt>
                <c:pt idx="18">
                  <c:v>22.81</c:v>
                </c:pt>
              </c:numCache>
            </c:numRef>
          </c:val>
          <c:extLst>
            <c:ext xmlns:c16="http://schemas.microsoft.com/office/drawing/2014/chart" uri="{C3380CC4-5D6E-409C-BE32-E72D297353CC}">
              <c16:uniqueId val="{00000013-A8B0-48D1-AD48-77BC20F6C4AF}"/>
            </c:ext>
          </c:extLst>
        </c:ser>
        <c:ser>
          <c:idx val="2"/>
          <c:order val="2"/>
          <c:tx>
            <c:strRef>
              <c:f>Sheet6!$F$3</c:f>
              <c:strCache>
                <c:ptCount val="1"/>
                <c:pt idx="0">
                  <c:v>Vēsturiski prognozētais OIK bez ierobežošanas</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A8B0-48D1-AD48-77BC20F6C4AF}"/>
                </c:ext>
              </c:extLst>
            </c:dLbl>
            <c:dLbl>
              <c:idx val="1"/>
              <c:delete val="1"/>
              <c:extLst>
                <c:ext xmlns:c15="http://schemas.microsoft.com/office/drawing/2012/chart" uri="{CE6537A1-D6FC-4f65-9D91-7224C49458BB}"/>
                <c:ext xmlns:c16="http://schemas.microsoft.com/office/drawing/2014/chart" uri="{C3380CC4-5D6E-409C-BE32-E72D297353CC}">
                  <c16:uniqueId val="{00000015-A8B0-48D1-AD48-77BC20F6C4AF}"/>
                </c:ext>
              </c:extLst>
            </c:dLbl>
            <c:dLbl>
              <c:idx val="2"/>
              <c:delete val="1"/>
              <c:extLst>
                <c:ext xmlns:c15="http://schemas.microsoft.com/office/drawing/2012/chart" uri="{CE6537A1-D6FC-4f65-9D91-7224C49458BB}"/>
                <c:ext xmlns:c16="http://schemas.microsoft.com/office/drawing/2014/chart" uri="{C3380CC4-5D6E-409C-BE32-E72D297353CC}">
                  <c16:uniqueId val="{00000016-A8B0-48D1-AD48-77BC20F6C4AF}"/>
                </c:ext>
              </c:extLst>
            </c:dLbl>
            <c:dLbl>
              <c:idx val="3"/>
              <c:delete val="1"/>
              <c:extLst>
                <c:ext xmlns:c15="http://schemas.microsoft.com/office/drawing/2012/chart" uri="{CE6537A1-D6FC-4f65-9D91-7224C49458BB}"/>
                <c:ext xmlns:c16="http://schemas.microsoft.com/office/drawing/2014/chart" uri="{C3380CC4-5D6E-409C-BE32-E72D297353CC}">
                  <c16:uniqueId val="{00000017-A8B0-48D1-AD48-77BC20F6C4AF}"/>
                </c:ext>
              </c:extLst>
            </c:dLbl>
            <c:dLbl>
              <c:idx val="4"/>
              <c:delete val="1"/>
              <c:extLst>
                <c:ext xmlns:c15="http://schemas.microsoft.com/office/drawing/2012/chart" uri="{CE6537A1-D6FC-4f65-9D91-7224C49458BB}"/>
                <c:ext xmlns:c16="http://schemas.microsoft.com/office/drawing/2014/chart" uri="{C3380CC4-5D6E-409C-BE32-E72D297353CC}">
                  <c16:uniqueId val="{00000018-A8B0-48D1-AD48-77BC20F6C4AF}"/>
                </c:ext>
              </c:extLst>
            </c:dLbl>
            <c:dLbl>
              <c:idx val="5"/>
              <c:layout>
                <c:manualLayout>
                  <c:x val="0"/>
                  <c:y val="-1.0964910387327298E-2"/>
                </c:manualLayout>
              </c:layout>
              <c:tx>
                <c:rich>
                  <a:bodyPr/>
                  <a:lstStyle/>
                  <a:p>
                    <a:r>
                      <a:rPr lang="en-US"/>
                      <a:t>26,90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8B0-48D1-AD48-77BC20F6C4AF}"/>
                </c:ext>
              </c:extLst>
            </c:dLbl>
            <c:dLbl>
              <c:idx val="6"/>
              <c:layout>
                <c:manualLayout>
                  <c:x val="0"/>
                  <c:y val="-5.7017534014101735E-2"/>
                </c:manualLayout>
              </c:layout>
              <c:tx>
                <c:rich>
                  <a:bodyPr/>
                  <a:lstStyle/>
                  <a:p>
                    <a:r>
                      <a:rPr lang="en-US"/>
                      <a:t>31,10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8B0-48D1-AD48-77BC20F6C4AF}"/>
                </c:ext>
              </c:extLst>
            </c:dLbl>
            <c:dLbl>
              <c:idx val="7"/>
              <c:layout>
                <c:manualLayout>
                  <c:x val="0"/>
                  <c:y val="-4.6052623626774439E-2"/>
                </c:manualLayout>
              </c:layout>
              <c:tx>
                <c:rich>
                  <a:bodyPr/>
                  <a:lstStyle/>
                  <a:p>
                    <a:r>
                      <a:rPr lang="en-US"/>
                      <a:t>29,82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8B0-48D1-AD48-77BC20F6C4AF}"/>
                </c:ext>
              </c:extLst>
            </c:dLbl>
            <c:dLbl>
              <c:idx val="8"/>
              <c:layout>
                <c:manualLayout>
                  <c:x val="-5.0858327447359301E-17"/>
                  <c:y val="-0.13377190672539255"/>
                </c:manualLayout>
              </c:layout>
              <c:tx>
                <c:rich>
                  <a:bodyPr/>
                  <a:lstStyle/>
                  <a:p>
                    <a:r>
                      <a:rPr lang="en-US"/>
                      <a:t>38,63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8B0-48D1-AD48-77BC20F6C4AF}"/>
                </c:ext>
              </c:extLst>
            </c:dLbl>
            <c:dLbl>
              <c:idx val="9"/>
              <c:layout>
                <c:manualLayout>
                  <c:x val="-1.017166548947186E-16"/>
                  <c:y val="-0.10745612179580714"/>
                </c:manualLayout>
              </c:layout>
              <c:tx>
                <c:rich>
                  <a:bodyPr/>
                  <a:lstStyle/>
                  <a:p>
                    <a:r>
                      <a:rPr lang="en-US"/>
                      <a:t>36,16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8B0-48D1-AD48-77BC20F6C4AF}"/>
                </c:ext>
              </c:extLst>
            </c:dLbl>
            <c:dLbl>
              <c:idx val="10"/>
              <c:layout>
                <c:manualLayout>
                  <c:x val="1.387061317284386E-3"/>
                  <c:y val="-0.1447368171127198"/>
                </c:manualLayout>
              </c:layout>
              <c:tx>
                <c:rich>
                  <a:bodyPr/>
                  <a:lstStyle/>
                  <a:p>
                    <a:r>
                      <a:rPr lang="en-US"/>
                      <a:t>39,77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8B0-48D1-AD48-77BC20F6C4AF}"/>
                </c:ext>
              </c:extLst>
            </c:dLbl>
            <c:dLbl>
              <c:idx val="11"/>
              <c:layout>
                <c:manualLayout>
                  <c:x val="0"/>
                  <c:y val="-0.14912278126765069"/>
                </c:manualLayout>
              </c:layout>
              <c:tx>
                <c:rich>
                  <a:bodyPr/>
                  <a:lstStyle/>
                  <a:p>
                    <a:r>
                      <a:rPr lang="en-US"/>
                      <a:t>40,52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8B0-48D1-AD48-77BC20F6C4AF}"/>
                </c:ext>
              </c:extLst>
            </c:dLbl>
            <c:dLbl>
              <c:idx val="12"/>
              <c:layout>
                <c:manualLayout>
                  <c:x val="1.3870613172844877E-3"/>
                  <c:y val="-0.15570172750004704"/>
                </c:manualLayout>
              </c:layout>
              <c:tx>
                <c:rich>
                  <a:bodyPr/>
                  <a:lstStyle/>
                  <a:p>
                    <a:r>
                      <a:rPr lang="en-US"/>
                      <a:t>40,98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8B0-48D1-AD48-77BC20F6C4AF}"/>
                </c:ext>
              </c:extLst>
            </c:dLbl>
            <c:dLbl>
              <c:idx val="13"/>
              <c:layout>
                <c:manualLayout>
                  <c:x val="0"/>
                  <c:y val="-0.13815787088032347"/>
                </c:manualLayout>
              </c:layout>
              <c:tx>
                <c:rich>
                  <a:bodyPr/>
                  <a:lstStyle/>
                  <a:p>
                    <a:r>
                      <a:rPr lang="en-US"/>
                      <a:t>39,08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8B0-48D1-AD48-77BC20F6C4AF}"/>
                </c:ext>
              </c:extLst>
            </c:dLbl>
            <c:dLbl>
              <c:idx val="14"/>
              <c:layout>
                <c:manualLayout>
                  <c:x val="1.387061317284386E-3"/>
                  <c:y val="-9.8684193485945343E-2"/>
                </c:manualLayout>
              </c:layout>
              <c:tx>
                <c:rich>
                  <a:bodyPr/>
                  <a:lstStyle/>
                  <a:p>
                    <a:r>
                      <a:rPr lang="en-US"/>
                      <a:t>35,41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8B0-48D1-AD48-77BC20F6C4AF}"/>
                </c:ext>
              </c:extLst>
            </c:dLbl>
            <c:dLbl>
              <c:idx val="15"/>
              <c:layout>
                <c:manualLayout>
                  <c:x val="1.017166548947186E-16"/>
                  <c:y val="-6.3596480246498097E-2"/>
                </c:manualLayout>
              </c:layout>
              <c:tx>
                <c:rich>
                  <a:bodyPr/>
                  <a:lstStyle/>
                  <a:p>
                    <a:r>
                      <a:rPr lang="en-US"/>
                      <a:t>31,60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8B0-48D1-AD48-77BC20F6C4AF}"/>
                </c:ext>
              </c:extLst>
            </c:dLbl>
            <c:dLbl>
              <c:idx val="16"/>
              <c:layout>
                <c:manualLayout>
                  <c:x val="0"/>
                  <c:y val="-1.3157892464792749E-2"/>
                </c:manualLayout>
              </c:layout>
              <c:tx>
                <c:rich>
                  <a:bodyPr/>
                  <a:lstStyle/>
                  <a:p>
                    <a:r>
                      <a:rPr lang="en-US"/>
                      <a:t>27,10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8B0-48D1-AD48-77BC20F6C4AF}"/>
                </c:ext>
              </c:extLst>
            </c:dLbl>
            <c:dLbl>
              <c:idx val="17"/>
              <c:delete val="1"/>
              <c:extLst>
                <c:ext xmlns:c15="http://schemas.microsoft.com/office/drawing/2012/chart" uri="{CE6537A1-D6FC-4f65-9D91-7224C49458BB}"/>
                <c:ext xmlns:c16="http://schemas.microsoft.com/office/drawing/2014/chart" uri="{C3380CC4-5D6E-409C-BE32-E72D297353CC}">
                  <c16:uniqueId val="{00000025-A8B0-48D1-AD48-77BC20F6C4AF}"/>
                </c:ext>
              </c:extLst>
            </c:dLbl>
            <c:dLbl>
              <c:idx val="18"/>
              <c:delete val="1"/>
              <c:extLst>
                <c:ext xmlns:c15="http://schemas.microsoft.com/office/drawing/2012/chart" uri="{CE6537A1-D6FC-4f65-9D91-7224C49458BB}"/>
                <c:ext xmlns:c16="http://schemas.microsoft.com/office/drawing/2014/chart" uri="{C3380CC4-5D6E-409C-BE32-E72D297353CC}">
                  <c16:uniqueId val="{00000026-A8B0-48D1-AD48-77BC20F6C4A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Sheet6!$C$4:$C$22</c:f>
              <c:numCache>
                <c:formatCode>General</c:formatCode>
                <c:ptCount val="19"/>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numCache>
            </c:numRef>
          </c:cat>
          <c:val>
            <c:numRef>
              <c:f>Sheet6!$F$4:$F$22</c:f>
              <c:numCache>
                <c:formatCode>General</c:formatCode>
                <c:ptCount val="19"/>
                <c:pt idx="0">
                  <c:v>0</c:v>
                </c:pt>
                <c:pt idx="1">
                  <c:v>0</c:v>
                </c:pt>
                <c:pt idx="2">
                  <c:v>0</c:v>
                </c:pt>
                <c:pt idx="3">
                  <c:v>0</c:v>
                </c:pt>
                <c:pt idx="4">
                  <c:v>0</c:v>
                </c:pt>
                <c:pt idx="5">
                  <c:v>0</c:v>
                </c:pt>
                <c:pt idx="6">
                  <c:v>4.3100000000000023</c:v>
                </c:pt>
                <c:pt idx="7">
                  <c:v>3.0300000000000011</c:v>
                </c:pt>
                <c:pt idx="8">
                  <c:v>11.840000000000003</c:v>
                </c:pt>
                <c:pt idx="9">
                  <c:v>9.3699999999999974</c:v>
                </c:pt>
                <c:pt idx="10">
                  <c:v>12.979999999999997</c:v>
                </c:pt>
                <c:pt idx="11">
                  <c:v>13.730000000000004</c:v>
                </c:pt>
                <c:pt idx="12">
                  <c:v>14.189999999999998</c:v>
                </c:pt>
                <c:pt idx="13">
                  <c:v>12.29</c:v>
                </c:pt>
                <c:pt idx="14">
                  <c:v>8.6200000000000045</c:v>
                </c:pt>
                <c:pt idx="15">
                  <c:v>4.8099999999999987</c:v>
                </c:pt>
                <c:pt idx="16">
                  <c:v>0.30999999999999872</c:v>
                </c:pt>
                <c:pt idx="17">
                  <c:v>0</c:v>
                </c:pt>
                <c:pt idx="18">
                  <c:v>0</c:v>
                </c:pt>
              </c:numCache>
            </c:numRef>
          </c:val>
          <c:extLst>
            <c:ext xmlns:c16="http://schemas.microsoft.com/office/drawing/2014/chart" uri="{C3380CC4-5D6E-409C-BE32-E72D297353CC}">
              <c16:uniqueId val="{00000027-A8B0-48D1-AD48-77BC20F6C4AF}"/>
            </c:ext>
          </c:extLst>
        </c:ser>
        <c:dLbls>
          <c:showLegendKey val="0"/>
          <c:showVal val="0"/>
          <c:showCatName val="0"/>
          <c:showSerName val="0"/>
          <c:showPercent val="0"/>
          <c:showBubbleSize val="0"/>
        </c:dLbls>
        <c:gapWidth val="150"/>
        <c:overlap val="100"/>
        <c:axId val="423565944"/>
        <c:axId val="423569224"/>
      </c:barChart>
      <c:barChart>
        <c:barDir val="col"/>
        <c:grouping val="clustered"/>
        <c:varyColors val="0"/>
        <c:ser>
          <c:idx val="0"/>
          <c:order val="0"/>
          <c:tx>
            <c:strRef>
              <c:f>Sheet6!$D$3</c:f>
              <c:strCache>
                <c:ptCount val="1"/>
                <c:pt idx="0">
                  <c:v>OIK vērtība pēc 2017.g. vienreizējā darījuma</c:v>
                </c:pt>
              </c:strCache>
            </c:strRef>
          </c:tx>
          <c:spPr>
            <a:solidFill>
              <a:schemeClr val="accent1"/>
            </a:solidFill>
            <a:ln>
              <a:noFill/>
            </a:ln>
            <a:effectLst/>
          </c:spPr>
          <c:invertIfNegative val="0"/>
          <c:dLbls>
            <c:dLbl>
              <c:idx val="10"/>
              <c:layout>
                <c:manualLayout>
                  <c:x val="-2.760047850971426E-3"/>
                  <c:y val="2.19298207746545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8B0-48D1-AD48-77BC20F6C4AF}"/>
                </c:ext>
              </c:extLst>
            </c:dLbl>
            <c:dLbl>
              <c:idx val="11"/>
              <c:layout>
                <c:manualLayout>
                  <c:x val="1.3800239254856625E-3"/>
                  <c:y val="4.38596415493090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8B0-48D1-AD48-77BC20F6C4AF}"/>
                </c:ext>
              </c:extLst>
            </c:dLbl>
            <c:dLbl>
              <c:idx val="12"/>
              <c:layout>
                <c:manualLayout>
                  <c:x val="4.4176431424188976E-3"/>
                  <c:y val="-2.0582246770660319E-2"/>
                </c:manualLayout>
              </c:layout>
              <c:spPr>
                <a:noFill/>
                <a:ln>
                  <a:noFill/>
                </a:ln>
                <a:effectLst/>
              </c:spPr>
              <c:txPr>
                <a:bodyPr rot="0" spcFirstLastPara="1" vertOverflow="ellipsis" vert="horz" wrap="square" lIns="38100" tIns="19050" rIns="38100" bIns="19050" anchor="ctr" anchorCtr="1"/>
                <a:lstStyle/>
                <a:p>
                  <a:pPr>
                    <a:defRPr sz="8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6.5212752936805604E-2"/>
                      <c:h val="6.2203620833310352E-2"/>
                    </c:manualLayout>
                  </c15:layout>
                </c:ext>
                <c:ext xmlns:c16="http://schemas.microsoft.com/office/drawing/2014/chart" uri="{C3380CC4-5D6E-409C-BE32-E72D297353CC}">
                  <c16:uniqueId val="{0000002A-A8B0-48D1-AD48-77BC20F6C4AF}"/>
                </c:ext>
              </c:extLst>
            </c:dLbl>
            <c:dLbl>
              <c:idx val="13"/>
              <c:layout>
                <c:manualLayout>
                  <c:x val="4.1400717764568861E-3"/>
                  <c:y val="4.3859641549309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8B0-48D1-AD48-77BC20F6C4AF}"/>
                </c:ext>
              </c:extLst>
            </c:dLbl>
            <c:dLbl>
              <c:idx val="14"/>
              <c:layout>
                <c:manualLayout>
                  <c:x val="1.3800239254856625E-3"/>
                  <c:y val="-4.020420697777017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8B0-48D1-AD48-77BC20F6C4AF}"/>
                </c:ext>
              </c:extLst>
            </c:dLbl>
            <c:dLbl>
              <c:idx val="15"/>
              <c:layout>
                <c:manualLayout>
                  <c:x val="0"/>
                  <c:y val="-6.5789462323963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8B0-48D1-AD48-77BC20F6C4A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Sheet6!$C$4:$C$22</c:f>
              <c:numCache>
                <c:formatCode>General</c:formatCode>
                <c:ptCount val="19"/>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numCache>
            </c:numRef>
          </c:cat>
          <c:val>
            <c:numRef>
              <c:f>Sheet6!$D$4:$D$22</c:f>
              <c:numCache>
                <c:formatCode>General</c:formatCode>
                <c:ptCount val="19"/>
                <c:pt idx="10">
                  <c:v>28.9</c:v>
                </c:pt>
                <c:pt idx="11">
                  <c:v>29.67</c:v>
                </c:pt>
                <c:pt idx="12">
                  <c:v>30.24</c:v>
                </c:pt>
                <c:pt idx="13">
                  <c:v>28.71</c:v>
                </c:pt>
                <c:pt idx="14">
                  <c:v>26.44</c:v>
                </c:pt>
                <c:pt idx="15">
                  <c:v>22.72</c:v>
                </c:pt>
                <c:pt idx="16">
                  <c:v>18.309999999999999</c:v>
                </c:pt>
                <c:pt idx="17">
                  <c:v>16.53</c:v>
                </c:pt>
                <c:pt idx="18">
                  <c:v>14.19</c:v>
                </c:pt>
              </c:numCache>
            </c:numRef>
          </c:val>
          <c:extLst>
            <c:ext xmlns:c16="http://schemas.microsoft.com/office/drawing/2014/chart" uri="{C3380CC4-5D6E-409C-BE32-E72D297353CC}">
              <c16:uniqueId val="{0000002E-A8B0-48D1-AD48-77BC20F6C4AF}"/>
            </c:ext>
          </c:extLst>
        </c:ser>
        <c:dLbls>
          <c:showLegendKey val="0"/>
          <c:showVal val="0"/>
          <c:showCatName val="0"/>
          <c:showSerName val="0"/>
          <c:showPercent val="0"/>
          <c:showBubbleSize val="0"/>
        </c:dLbls>
        <c:gapWidth val="150"/>
        <c:axId val="378578832"/>
        <c:axId val="378584736"/>
      </c:barChart>
      <c:lineChart>
        <c:grouping val="standard"/>
        <c:varyColors val="0"/>
        <c:ser>
          <c:idx val="3"/>
          <c:order val="3"/>
          <c:tx>
            <c:strRef>
              <c:f>Sheet6!$G$3</c:f>
              <c:strCache>
                <c:ptCount val="1"/>
                <c:pt idx="0">
                  <c:v>Aktuālā OIK trajektorija</c:v>
                </c:pt>
              </c:strCache>
            </c:strRef>
          </c:tx>
          <c:spPr>
            <a:ln w="28575" cap="rnd">
              <a:solidFill>
                <a:schemeClr val="accent4"/>
              </a:solidFill>
              <a:round/>
            </a:ln>
            <a:effectLst/>
          </c:spPr>
          <c:marker>
            <c:symbol val="none"/>
          </c:marker>
          <c:cat>
            <c:numRef>
              <c:f>Sheet6!$C$4:$C$22</c:f>
              <c:numCache>
                <c:formatCode>General</c:formatCode>
                <c:ptCount val="19"/>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numCache>
            </c:numRef>
          </c:cat>
          <c:val>
            <c:numRef>
              <c:f>Sheet6!$G$4:$G$22</c:f>
              <c:numCache>
                <c:formatCode>General</c:formatCode>
                <c:ptCount val="19"/>
                <c:pt idx="0">
                  <c:v>26.79</c:v>
                </c:pt>
                <c:pt idx="1">
                  <c:v>26.79</c:v>
                </c:pt>
                <c:pt idx="2">
                  <c:v>26.79</c:v>
                </c:pt>
                <c:pt idx="3">
                  <c:v>26.79</c:v>
                </c:pt>
                <c:pt idx="4">
                  <c:v>26.79</c:v>
                </c:pt>
                <c:pt idx="5">
                  <c:v>26.79</c:v>
                </c:pt>
                <c:pt idx="6">
                  <c:v>26.79</c:v>
                </c:pt>
                <c:pt idx="7">
                  <c:v>26.79</c:v>
                </c:pt>
                <c:pt idx="8">
                  <c:v>26.79</c:v>
                </c:pt>
                <c:pt idx="9">
                  <c:v>26.79</c:v>
                </c:pt>
                <c:pt idx="10" formatCode="0.000">
                  <c:v>24.24</c:v>
                </c:pt>
                <c:pt idx="11" formatCode="0.000">
                  <c:v>22.68</c:v>
                </c:pt>
                <c:pt idx="12" formatCode="0.000">
                  <c:v>22.68</c:v>
                </c:pt>
                <c:pt idx="13" formatCode="0.000">
                  <c:v>22.68</c:v>
                </c:pt>
                <c:pt idx="14" formatCode="0.000">
                  <c:v>22.68</c:v>
                </c:pt>
                <c:pt idx="15" formatCode="0.000">
                  <c:v>22.68</c:v>
                </c:pt>
                <c:pt idx="16">
                  <c:v>18.309999999999999</c:v>
                </c:pt>
                <c:pt idx="17">
                  <c:v>16.53</c:v>
                </c:pt>
                <c:pt idx="18">
                  <c:v>14.19</c:v>
                </c:pt>
              </c:numCache>
            </c:numRef>
          </c:val>
          <c:smooth val="1"/>
          <c:extLst>
            <c:ext xmlns:c16="http://schemas.microsoft.com/office/drawing/2014/chart" uri="{C3380CC4-5D6E-409C-BE32-E72D297353CC}">
              <c16:uniqueId val="{0000002F-A8B0-48D1-AD48-77BC20F6C4AF}"/>
            </c:ext>
          </c:extLst>
        </c:ser>
        <c:dLbls>
          <c:showLegendKey val="0"/>
          <c:showVal val="0"/>
          <c:showCatName val="0"/>
          <c:showSerName val="0"/>
          <c:showPercent val="0"/>
          <c:showBubbleSize val="0"/>
        </c:dLbls>
        <c:marker val="1"/>
        <c:smooth val="0"/>
        <c:axId val="423565944"/>
        <c:axId val="423569224"/>
      </c:lineChart>
      <c:valAx>
        <c:axId val="423569224"/>
        <c:scaling>
          <c:orientation val="minMax"/>
          <c:max val="45"/>
        </c:scaling>
        <c:delete val="1"/>
        <c:axPos val="l"/>
        <c:title>
          <c:tx>
            <c:rich>
              <a:bodyPr rot="-5400000" spcFirstLastPara="1" vertOverflow="clip"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v-LV" sz="800"/>
                  <a:t>EUR/MWh</a:t>
                </a:r>
              </a:p>
            </c:rich>
          </c:tx>
          <c:layout>
            <c:manualLayout>
              <c:xMode val="edge"/>
              <c:yMode val="edge"/>
              <c:x val="2.8662771469518244E-2"/>
              <c:y val="0.3000946316538744"/>
            </c:manualLayout>
          </c:layout>
          <c:overlay val="0"/>
          <c:spPr>
            <a:noFill/>
            <a:ln>
              <a:noFill/>
            </a:ln>
            <a:effectLst/>
          </c:spPr>
          <c:txPr>
            <a:bodyPr rot="-5400000" spcFirstLastPara="1" vertOverflow="clip"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out"/>
        <c:minorTickMark val="none"/>
        <c:tickLblPos val="nextTo"/>
        <c:crossAx val="423565944"/>
        <c:crosses val="autoZero"/>
        <c:crossBetween val="between"/>
      </c:valAx>
      <c:catAx>
        <c:axId val="423565944"/>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23569224"/>
        <c:crosses val="autoZero"/>
        <c:auto val="1"/>
        <c:lblAlgn val="ctr"/>
        <c:lblOffset val="100"/>
        <c:noMultiLvlLbl val="0"/>
      </c:catAx>
      <c:valAx>
        <c:axId val="378584736"/>
        <c:scaling>
          <c:orientation val="minMax"/>
          <c:max val="45"/>
        </c:scaling>
        <c:delete val="0"/>
        <c:axPos val="l"/>
        <c:title>
          <c:tx>
            <c:rich>
              <a:bodyPr rot="-5400000" spcFirstLastPara="1" vertOverflow="clip"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v-LV" sz="800"/>
                  <a:t>EUR/MWh</a:t>
                </a:r>
              </a:p>
            </c:rich>
          </c:tx>
          <c:layout>
            <c:manualLayout>
              <c:xMode val="edge"/>
              <c:yMode val="edge"/>
              <c:x val="2.8662771469518244E-2"/>
              <c:y val="0.3000946316538744"/>
            </c:manualLayout>
          </c:layout>
          <c:overlay val="0"/>
          <c:spPr>
            <a:noFill/>
            <a:ln>
              <a:noFill/>
            </a:ln>
            <a:effectLst/>
          </c:spPr>
          <c:txPr>
            <a:bodyPr rot="-5400000" spcFirstLastPara="1" vertOverflow="clip"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out"/>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8578832"/>
        <c:crosses val="autoZero"/>
        <c:crossBetween val="between"/>
      </c:valAx>
      <c:catAx>
        <c:axId val="378578832"/>
        <c:scaling>
          <c:orientation val="minMax"/>
        </c:scaling>
        <c:delete val="1"/>
        <c:axPos val="b"/>
        <c:numFmt formatCode="General" sourceLinked="1"/>
        <c:majorTickMark val="out"/>
        <c:minorTickMark val="none"/>
        <c:tickLblPos val="nextTo"/>
        <c:crossAx val="378584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662064502211193E-2"/>
          <c:y val="6.6712244801735113E-2"/>
          <c:w val="0.90082191780821919"/>
          <c:h val="0.78917263001699256"/>
        </c:manualLayout>
      </c:layout>
      <c:barChart>
        <c:barDir val="col"/>
        <c:grouping val="clustered"/>
        <c:varyColors val="0"/>
        <c:ser>
          <c:idx val="1"/>
          <c:order val="1"/>
          <c:tx>
            <c:strRef>
              <c:f>Sheet1!$C$1</c:f>
              <c:strCache>
                <c:ptCount val="1"/>
                <c:pt idx="0">
                  <c:v>Gala lietotāju maksājumi par elektroenerģijas obligāto iepirkumu (EUR/MWh)</c:v>
                </c:pt>
              </c:strCache>
            </c:strRef>
          </c:tx>
          <c:spPr>
            <a:solidFill>
              <a:schemeClr val="accent2"/>
            </a:solidFill>
            <a:ln>
              <a:noFill/>
            </a:ln>
            <a:effectLst/>
          </c:spPr>
          <c:invertIfNegative val="0"/>
          <c:dPt>
            <c:idx val="3"/>
            <c:invertIfNegative val="0"/>
            <c:bubble3D val="0"/>
            <c:spPr>
              <a:solidFill>
                <a:srgbClr val="C00000"/>
              </a:solidFill>
              <a:ln>
                <a:noFill/>
              </a:ln>
              <a:effectLst/>
            </c:spPr>
            <c:extLst>
              <c:ext xmlns:c16="http://schemas.microsoft.com/office/drawing/2014/chart" uri="{C3380CC4-5D6E-409C-BE32-E72D297353CC}">
                <c16:uniqueId val="{00000001-29BF-431A-8B2D-EEF0478EF059}"/>
              </c:ext>
            </c:extLst>
          </c:dPt>
          <c:cat>
            <c:strRef>
              <c:f>Sheet1!$A$2:$A$23</c:f>
              <c:strCache>
                <c:ptCount val="22"/>
                <c:pt idx="0">
                  <c:v>Vācija</c:v>
                </c:pt>
                <c:pt idx="1">
                  <c:v>Itālija</c:v>
                </c:pt>
                <c:pt idx="2">
                  <c:v>Dānija</c:v>
                </c:pt>
                <c:pt idx="3">
                  <c:v>Latvija</c:v>
                </c:pt>
                <c:pt idx="4">
                  <c:v>Čehija</c:v>
                </c:pt>
                <c:pt idx="5">
                  <c:v>Slovākija</c:v>
                </c:pt>
                <c:pt idx="6">
                  <c:v>Francija</c:v>
                </c:pt>
                <c:pt idx="7">
                  <c:v>Ungārija</c:v>
                </c:pt>
                <c:pt idx="8">
                  <c:v>Bulgārija</c:v>
                </c:pt>
                <c:pt idx="9">
                  <c:v>Rumānija</c:v>
                </c:pt>
                <c:pt idx="10">
                  <c:v>Spānija</c:v>
                </c:pt>
                <c:pt idx="11">
                  <c:v>Austrija</c:v>
                </c:pt>
                <c:pt idx="12">
                  <c:v>Portugāle</c:v>
                </c:pt>
                <c:pt idx="13">
                  <c:v>Lietuva</c:v>
                </c:pt>
                <c:pt idx="14">
                  <c:v>Beļģija</c:v>
                </c:pt>
                <c:pt idx="15">
                  <c:v>Igaunija</c:v>
                </c:pt>
                <c:pt idx="16">
                  <c:v>Grieķija</c:v>
                </c:pt>
                <c:pt idx="17">
                  <c:v>Slovēnija</c:v>
                </c:pt>
                <c:pt idx="18">
                  <c:v>Kipra</c:v>
                </c:pt>
                <c:pt idx="19">
                  <c:v>Horvātija</c:v>
                </c:pt>
                <c:pt idx="20">
                  <c:v>Luksemburga</c:v>
                </c:pt>
                <c:pt idx="21">
                  <c:v>Īrija</c:v>
                </c:pt>
              </c:strCache>
            </c:strRef>
          </c:cat>
          <c:val>
            <c:numRef>
              <c:f>Sheet1!$C$2:$C$23</c:f>
              <c:numCache>
                <c:formatCode>General</c:formatCode>
                <c:ptCount val="22"/>
                <c:pt idx="0">
                  <c:v>62</c:v>
                </c:pt>
                <c:pt idx="1">
                  <c:v>48</c:v>
                </c:pt>
                <c:pt idx="2">
                  <c:v>29</c:v>
                </c:pt>
                <c:pt idx="3">
                  <c:v>28</c:v>
                </c:pt>
                <c:pt idx="4">
                  <c:v>19</c:v>
                </c:pt>
                <c:pt idx="5">
                  <c:v>18</c:v>
                </c:pt>
                <c:pt idx="6">
                  <c:v>15</c:v>
                </c:pt>
                <c:pt idx="7">
                  <c:v>15</c:v>
                </c:pt>
                <c:pt idx="8">
                  <c:v>12.3</c:v>
                </c:pt>
                <c:pt idx="9">
                  <c:v>11.8</c:v>
                </c:pt>
                <c:pt idx="10">
                  <c:v>10.4</c:v>
                </c:pt>
                <c:pt idx="11">
                  <c:v>10</c:v>
                </c:pt>
                <c:pt idx="12">
                  <c:v>10</c:v>
                </c:pt>
                <c:pt idx="13">
                  <c:v>9.6</c:v>
                </c:pt>
                <c:pt idx="14">
                  <c:v>9.5</c:v>
                </c:pt>
                <c:pt idx="15">
                  <c:v>9.4</c:v>
                </c:pt>
                <c:pt idx="16">
                  <c:v>8.1999999999999993</c:v>
                </c:pt>
                <c:pt idx="17">
                  <c:v>6.1</c:v>
                </c:pt>
                <c:pt idx="18">
                  <c:v>6</c:v>
                </c:pt>
                <c:pt idx="19">
                  <c:v>5</c:v>
                </c:pt>
                <c:pt idx="20">
                  <c:v>3.1</c:v>
                </c:pt>
                <c:pt idx="21">
                  <c:v>3</c:v>
                </c:pt>
              </c:numCache>
            </c:numRef>
          </c:val>
          <c:extLst>
            <c:ext xmlns:c16="http://schemas.microsoft.com/office/drawing/2014/chart" uri="{C3380CC4-5D6E-409C-BE32-E72D297353CC}">
              <c16:uniqueId val="{00000002-29BF-431A-8B2D-EEF0478EF059}"/>
            </c:ext>
          </c:extLst>
        </c:ser>
        <c:dLbls>
          <c:showLegendKey val="0"/>
          <c:showVal val="0"/>
          <c:showCatName val="0"/>
          <c:showSerName val="0"/>
          <c:showPercent val="0"/>
          <c:showBubbleSize val="0"/>
        </c:dLbls>
        <c:gapWidth val="50"/>
        <c:axId val="259353688"/>
        <c:axId val="259355000"/>
      </c:barChart>
      <c:lineChart>
        <c:grouping val="standard"/>
        <c:varyColors val="0"/>
        <c:ser>
          <c:idx val="0"/>
          <c:order val="0"/>
          <c:tx>
            <c:strRef>
              <c:f>Sheet1!$B$1</c:f>
              <c:strCache>
                <c:ptCount val="1"/>
                <c:pt idx="0">
                  <c:v>IKP uz 1 iedzīvotāju pēc pirktspējas paritātes (tūkst. EUR)</c:v>
                </c:pt>
              </c:strCache>
            </c:strRef>
          </c:tx>
          <c:spPr>
            <a:ln w="28575" cap="rnd">
              <a:noFill/>
              <a:round/>
            </a:ln>
            <a:effectLst/>
          </c:spPr>
          <c:marker>
            <c:symbol val="diamond"/>
            <c:size val="7"/>
            <c:spPr>
              <a:solidFill>
                <a:schemeClr val="tx1"/>
              </a:solidFill>
              <a:ln w="9525">
                <a:noFill/>
              </a:ln>
              <a:effectLst/>
            </c:spPr>
          </c:marker>
          <c:cat>
            <c:strRef>
              <c:f>Sheet1!$A$2:$A$23</c:f>
              <c:strCache>
                <c:ptCount val="22"/>
                <c:pt idx="0">
                  <c:v>Vācija</c:v>
                </c:pt>
                <c:pt idx="1">
                  <c:v>Itālija</c:v>
                </c:pt>
                <c:pt idx="2">
                  <c:v>Dānija</c:v>
                </c:pt>
                <c:pt idx="3">
                  <c:v>Latvija</c:v>
                </c:pt>
                <c:pt idx="4">
                  <c:v>Čehija</c:v>
                </c:pt>
                <c:pt idx="5">
                  <c:v>Slovākija</c:v>
                </c:pt>
                <c:pt idx="6">
                  <c:v>Francija</c:v>
                </c:pt>
                <c:pt idx="7">
                  <c:v>Ungārija</c:v>
                </c:pt>
                <c:pt idx="8">
                  <c:v>Bulgārija</c:v>
                </c:pt>
                <c:pt idx="9">
                  <c:v>Rumānija</c:v>
                </c:pt>
                <c:pt idx="10">
                  <c:v>Spānija</c:v>
                </c:pt>
                <c:pt idx="11">
                  <c:v>Austrija</c:v>
                </c:pt>
                <c:pt idx="12">
                  <c:v>Portugāle</c:v>
                </c:pt>
                <c:pt idx="13">
                  <c:v>Lietuva</c:v>
                </c:pt>
                <c:pt idx="14">
                  <c:v>Beļģija</c:v>
                </c:pt>
                <c:pt idx="15">
                  <c:v>Igaunija</c:v>
                </c:pt>
                <c:pt idx="16">
                  <c:v>Grieķija</c:v>
                </c:pt>
                <c:pt idx="17">
                  <c:v>Slovēnija</c:v>
                </c:pt>
                <c:pt idx="18">
                  <c:v>Kipra</c:v>
                </c:pt>
                <c:pt idx="19">
                  <c:v>Horvātija</c:v>
                </c:pt>
                <c:pt idx="20">
                  <c:v>Luksemburga</c:v>
                </c:pt>
                <c:pt idx="21">
                  <c:v>Īrija</c:v>
                </c:pt>
              </c:strCache>
            </c:strRef>
          </c:cat>
          <c:val>
            <c:numRef>
              <c:f>Sheet1!$B$2:$B$23</c:f>
              <c:numCache>
                <c:formatCode>General</c:formatCode>
                <c:ptCount val="22"/>
                <c:pt idx="0">
                  <c:v>36.1</c:v>
                </c:pt>
                <c:pt idx="1">
                  <c:v>27.7</c:v>
                </c:pt>
                <c:pt idx="2">
                  <c:v>36.799999999999997</c:v>
                </c:pt>
                <c:pt idx="3">
                  <c:v>18.5</c:v>
                </c:pt>
                <c:pt idx="4">
                  <c:v>25.3</c:v>
                </c:pt>
                <c:pt idx="5">
                  <c:v>22.3</c:v>
                </c:pt>
                <c:pt idx="6">
                  <c:v>30.6</c:v>
                </c:pt>
                <c:pt idx="7">
                  <c:v>19.7</c:v>
                </c:pt>
                <c:pt idx="8">
                  <c:v>13.7</c:v>
                </c:pt>
                <c:pt idx="9">
                  <c:v>16.3</c:v>
                </c:pt>
                <c:pt idx="10">
                  <c:v>26.3</c:v>
                </c:pt>
                <c:pt idx="11">
                  <c:v>37.700000000000003</c:v>
                </c:pt>
                <c:pt idx="12">
                  <c:v>22.3</c:v>
                </c:pt>
                <c:pt idx="13">
                  <c:v>21.7</c:v>
                </c:pt>
                <c:pt idx="14">
                  <c:v>34.4</c:v>
                </c:pt>
                <c:pt idx="15">
                  <c:v>21.7</c:v>
                </c:pt>
                <c:pt idx="16">
                  <c:v>20.2</c:v>
                </c:pt>
                <c:pt idx="17">
                  <c:v>23.8</c:v>
                </c:pt>
                <c:pt idx="18">
                  <c:v>23.8</c:v>
                </c:pt>
                <c:pt idx="19">
                  <c:v>17.2</c:v>
                </c:pt>
                <c:pt idx="20">
                  <c:v>77.400000000000006</c:v>
                </c:pt>
                <c:pt idx="21">
                  <c:v>52.4</c:v>
                </c:pt>
              </c:numCache>
            </c:numRef>
          </c:val>
          <c:smooth val="0"/>
          <c:extLst>
            <c:ext xmlns:c16="http://schemas.microsoft.com/office/drawing/2014/chart" uri="{C3380CC4-5D6E-409C-BE32-E72D297353CC}">
              <c16:uniqueId val="{00000003-29BF-431A-8B2D-EEF0478EF059}"/>
            </c:ext>
          </c:extLst>
        </c:ser>
        <c:dLbls>
          <c:showLegendKey val="0"/>
          <c:showVal val="0"/>
          <c:showCatName val="0"/>
          <c:showSerName val="0"/>
          <c:showPercent val="0"/>
          <c:showBubbleSize val="0"/>
        </c:dLbls>
        <c:marker val="1"/>
        <c:smooth val="0"/>
        <c:axId val="259353688"/>
        <c:axId val="259355000"/>
      </c:lineChart>
      <c:catAx>
        <c:axId val="259353688"/>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2700000" spcFirstLastPara="1" vertOverflow="ellipsis" wrap="square" anchor="ctr" anchorCtr="1"/>
          <a:lstStyle/>
          <a:p>
            <a:pPr>
              <a:defRPr sz="5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5000"/>
        <c:crosses val="autoZero"/>
        <c:auto val="1"/>
        <c:lblAlgn val="ctr"/>
        <c:lblOffset val="100"/>
        <c:noMultiLvlLbl val="0"/>
      </c:catAx>
      <c:valAx>
        <c:axId val="259355000"/>
        <c:scaling>
          <c:orientation val="minMax"/>
        </c:scaling>
        <c:delete val="0"/>
        <c:axPos val="l"/>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45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59353688"/>
        <c:crossesAt val="1"/>
        <c:crossBetween val="between"/>
      </c:valAx>
      <c:spPr>
        <a:noFill/>
        <a:ln>
          <a:noFill/>
        </a:ln>
        <a:effectLst/>
      </c:spPr>
    </c:plotArea>
    <c:legend>
      <c:legendPos val="l"/>
      <c:layout>
        <c:manualLayout>
          <c:xMode val="edge"/>
          <c:yMode val="edge"/>
          <c:x val="0.16975308641975309"/>
          <c:y val="0.20281016416498104"/>
          <c:w val="0.77700617283950635"/>
          <c:h val="0.1929563586800822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30118110236221"/>
          <c:y val="0.14846754111439292"/>
          <c:w val="0.45242957130358707"/>
          <c:h val="0.75404928550597838"/>
        </c:manualLayout>
      </c:layout>
      <c:pieChart>
        <c:varyColors val="1"/>
        <c:ser>
          <c:idx val="0"/>
          <c:order val="0"/>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AD11-4559-9293-E1F23D8537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11-4559-9293-E1F23D8537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11-4559-9293-E1F23D853752}"/>
              </c:ext>
            </c:extLst>
          </c:dPt>
          <c:dPt>
            <c:idx val="3"/>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7-AD11-4559-9293-E1F23D853752}"/>
              </c:ext>
            </c:extLst>
          </c:dPt>
          <c:dPt>
            <c:idx val="4"/>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9-AD11-4559-9293-E1F23D853752}"/>
              </c:ext>
            </c:extLst>
          </c:dPt>
          <c:dLbls>
            <c:dLbl>
              <c:idx val="0"/>
              <c:layout>
                <c:manualLayout>
                  <c:x val="-0.17402930883639545"/>
                  <c:y val="-0.141454321495597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11-4559-9293-E1F23D853752}"/>
                </c:ext>
              </c:extLst>
            </c:dLbl>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 graphs (2)'!$W$18:$W$22</c:f>
              <c:strCache>
                <c:ptCount val="5"/>
                <c:pt idx="0">
                  <c:v>kokapstrāde</c:v>
                </c:pt>
                <c:pt idx="1">
                  <c:v>plastmasas ražošana</c:v>
                </c:pt>
                <c:pt idx="2">
                  <c:v>cementa ražošana</c:v>
                </c:pt>
                <c:pt idx="3">
                  <c:v>stikla šķiedras ražošana</c:v>
                </c:pt>
                <c:pt idx="4">
                  <c:v>metalurģija</c:v>
                </c:pt>
              </c:strCache>
            </c:strRef>
          </c:cat>
          <c:val>
            <c:numRef>
              <c:f>'Total graphs (2)'!$X$18:$X$22</c:f>
              <c:numCache>
                <c:formatCode>#,##0.00</c:formatCode>
                <c:ptCount val="5"/>
                <c:pt idx="0">
                  <c:v>7813517.40943</c:v>
                </c:pt>
                <c:pt idx="1">
                  <c:v>68837.430000000008</c:v>
                </c:pt>
                <c:pt idx="2">
                  <c:v>2667376.12</c:v>
                </c:pt>
                <c:pt idx="3">
                  <c:v>1024418.29</c:v>
                </c:pt>
                <c:pt idx="4">
                  <c:v>140203.47</c:v>
                </c:pt>
              </c:numCache>
            </c:numRef>
          </c:val>
          <c:extLst>
            <c:ext xmlns:c16="http://schemas.microsoft.com/office/drawing/2014/chart" uri="{C3380CC4-5D6E-409C-BE32-E72D297353CC}">
              <c16:uniqueId val="{0000000A-AD11-4559-9293-E1F23D85375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488363954505688"/>
          <c:y val="7.8123359580052509E-2"/>
          <c:w val="0.35301049868766404"/>
          <c:h val="0.727432195975503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94539586204419E-2"/>
          <c:y val="0.1946151480872004"/>
          <c:w val="0.92161092082759111"/>
          <c:h val="0.71754050932112101"/>
        </c:manualLayout>
      </c:layout>
      <c:lineChart>
        <c:grouping val="standard"/>
        <c:varyColors val="0"/>
        <c:ser>
          <c:idx val="0"/>
          <c:order val="0"/>
          <c:tx>
            <c:strRef>
              <c:f>Sheet1!$B$1</c:f>
              <c:strCache>
                <c:ptCount val="1"/>
                <c:pt idx="0">
                  <c:v>TIRGUS CENA</c:v>
                </c:pt>
              </c:strCache>
            </c:strRef>
          </c:tx>
          <c:spPr>
            <a:ln w="22225" cap="rnd">
              <a:solidFill>
                <a:schemeClr val="accent6"/>
              </a:solidFill>
              <a:round/>
            </a:ln>
            <a:effectLst/>
          </c:spPr>
          <c:marker>
            <c:symbol val="none"/>
          </c:marker>
          <c:cat>
            <c:strRef>
              <c:f>Sheet1!$A$2:$A$25</c:f>
              <c:strCache>
                <c:ptCount val="24"/>
                <c:pt idx="0">
                  <c:v>00 - 01</c:v>
                </c:pt>
                <c:pt idx="1">
                  <c:v>01 - 02</c:v>
                </c:pt>
                <c:pt idx="2">
                  <c:v>02 - 03</c:v>
                </c:pt>
                <c:pt idx="3">
                  <c:v>03 - 04</c:v>
                </c:pt>
                <c:pt idx="4">
                  <c:v>04 - 05</c:v>
                </c:pt>
                <c:pt idx="5">
                  <c:v>05 - 06</c:v>
                </c:pt>
                <c:pt idx="6">
                  <c:v>06 - 07</c:v>
                </c:pt>
                <c:pt idx="7">
                  <c:v>07 - 08</c:v>
                </c:pt>
                <c:pt idx="8">
                  <c:v>08 - 09</c:v>
                </c:pt>
                <c:pt idx="9">
                  <c:v>09 - 10</c:v>
                </c:pt>
                <c:pt idx="10">
                  <c:v>10 - 11</c:v>
                </c:pt>
                <c:pt idx="11">
                  <c:v>11 - 12</c:v>
                </c:pt>
                <c:pt idx="12">
                  <c:v>12 - 13</c:v>
                </c:pt>
                <c:pt idx="13">
                  <c:v>13 - 14</c:v>
                </c:pt>
                <c:pt idx="14">
                  <c:v>14 - 15</c:v>
                </c:pt>
                <c:pt idx="15">
                  <c:v>15 - 16</c:v>
                </c:pt>
                <c:pt idx="16">
                  <c:v>16 - 17</c:v>
                </c:pt>
                <c:pt idx="17">
                  <c:v>17 - 18</c:v>
                </c:pt>
                <c:pt idx="18">
                  <c:v>18 - 19</c:v>
                </c:pt>
                <c:pt idx="19">
                  <c:v>19 - 20</c:v>
                </c:pt>
                <c:pt idx="20">
                  <c:v>20 - 21</c:v>
                </c:pt>
                <c:pt idx="21">
                  <c:v>21 - 22</c:v>
                </c:pt>
                <c:pt idx="22">
                  <c:v>22 - 23</c:v>
                </c:pt>
                <c:pt idx="23">
                  <c:v>23 - 00</c:v>
                </c:pt>
              </c:strCache>
            </c:strRef>
          </c:cat>
          <c:val>
            <c:numRef>
              <c:f>Sheet1!$B$2:$B$25</c:f>
              <c:numCache>
                <c:formatCode>General</c:formatCode>
                <c:ptCount val="24"/>
                <c:pt idx="0">
                  <c:v>39.520000000000003</c:v>
                </c:pt>
                <c:pt idx="1">
                  <c:v>39.049999999999997</c:v>
                </c:pt>
                <c:pt idx="2">
                  <c:v>38.83</c:v>
                </c:pt>
                <c:pt idx="3">
                  <c:v>39.020000000000003</c:v>
                </c:pt>
                <c:pt idx="4">
                  <c:v>39.6</c:v>
                </c:pt>
                <c:pt idx="5">
                  <c:v>51.07</c:v>
                </c:pt>
                <c:pt idx="6">
                  <c:v>85.83</c:v>
                </c:pt>
                <c:pt idx="7">
                  <c:v>200.14</c:v>
                </c:pt>
                <c:pt idx="8">
                  <c:v>255.02</c:v>
                </c:pt>
                <c:pt idx="9">
                  <c:v>205</c:v>
                </c:pt>
                <c:pt idx="10">
                  <c:v>192.64</c:v>
                </c:pt>
                <c:pt idx="11">
                  <c:v>131.61000000000001</c:v>
                </c:pt>
                <c:pt idx="12">
                  <c:v>107.98</c:v>
                </c:pt>
                <c:pt idx="13">
                  <c:v>90.03</c:v>
                </c:pt>
                <c:pt idx="14">
                  <c:v>67.06</c:v>
                </c:pt>
                <c:pt idx="15">
                  <c:v>67.61</c:v>
                </c:pt>
                <c:pt idx="16">
                  <c:v>67.63</c:v>
                </c:pt>
                <c:pt idx="17">
                  <c:v>119.65</c:v>
                </c:pt>
                <c:pt idx="18">
                  <c:v>153.34</c:v>
                </c:pt>
                <c:pt idx="19">
                  <c:v>99.94</c:v>
                </c:pt>
                <c:pt idx="20">
                  <c:v>59.47</c:v>
                </c:pt>
                <c:pt idx="21">
                  <c:v>51.15</c:v>
                </c:pt>
                <c:pt idx="22">
                  <c:v>41.99</c:v>
                </c:pt>
                <c:pt idx="23">
                  <c:v>39.090000000000003</c:v>
                </c:pt>
              </c:numCache>
            </c:numRef>
          </c:val>
          <c:smooth val="0"/>
          <c:extLst>
            <c:ext xmlns:c16="http://schemas.microsoft.com/office/drawing/2014/chart" uri="{C3380CC4-5D6E-409C-BE32-E72D297353CC}">
              <c16:uniqueId val="{00000000-20D3-4616-B311-E03F8318132B}"/>
            </c:ext>
          </c:extLst>
        </c:ser>
        <c:ser>
          <c:idx val="1"/>
          <c:order val="1"/>
          <c:tx>
            <c:strRef>
              <c:f>Sheet1!$C$1</c:f>
              <c:strCache>
                <c:ptCount val="1"/>
                <c:pt idx="0">
                  <c:v>PIEMAKSA</c:v>
                </c:pt>
              </c:strCache>
            </c:strRef>
          </c:tx>
          <c:spPr>
            <a:ln w="22225" cap="rnd">
              <a:solidFill>
                <a:schemeClr val="accent5"/>
              </a:solidFill>
              <a:round/>
            </a:ln>
            <a:effectLst/>
          </c:spPr>
          <c:marker>
            <c:symbol val="none"/>
          </c:marker>
          <c:cat>
            <c:strRef>
              <c:f>Sheet1!$A$2:$A$25</c:f>
              <c:strCache>
                <c:ptCount val="24"/>
                <c:pt idx="0">
                  <c:v>00 - 01</c:v>
                </c:pt>
                <c:pt idx="1">
                  <c:v>01 - 02</c:v>
                </c:pt>
                <c:pt idx="2">
                  <c:v>02 - 03</c:v>
                </c:pt>
                <c:pt idx="3">
                  <c:v>03 - 04</c:v>
                </c:pt>
                <c:pt idx="4">
                  <c:v>04 - 05</c:v>
                </c:pt>
                <c:pt idx="5">
                  <c:v>05 - 06</c:v>
                </c:pt>
                <c:pt idx="6">
                  <c:v>06 - 07</c:v>
                </c:pt>
                <c:pt idx="7">
                  <c:v>07 - 08</c:v>
                </c:pt>
                <c:pt idx="8">
                  <c:v>08 - 09</c:v>
                </c:pt>
                <c:pt idx="9">
                  <c:v>09 - 10</c:v>
                </c:pt>
                <c:pt idx="10">
                  <c:v>10 - 11</c:v>
                </c:pt>
                <c:pt idx="11">
                  <c:v>11 - 12</c:v>
                </c:pt>
                <c:pt idx="12">
                  <c:v>12 - 13</c:v>
                </c:pt>
                <c:pt idx="13">
                  <c:v>13 - 14</c:v>
                </c:pt>
                <c:pt idx="14">
                  <c:v>14 - 15</c:v>
                </c:pt>
                <c:pt idx="15">
                  <c:v>15 - 16</c:v>
                </c:pt>
                <c:pt idx="16">
                  <c:v>16 - 17</c:v>
                </c:pt>
                <c:pt idx="17">
                  <c:v>17 - 18</c:v>
                </c:pt>
                <c:pt idx="18">
                  <c:v>18 - 19</c:v>
                </c:pt>
                <c:pt idx="19">
                  <c:v>19 - 20</c:v>
                </c:pt>
                <c:pt idx="20">
                  <c:v>20 - 21</c:v>
                </c:pt>
                <c:pt idx="21">
                  <c:v>21 - 22</c:v>
                </c:pt>
                <c:pt idx="22">
                  <c:v>22 - 23</c:v>
                </c:pt>
                <c:pt idx="23">
                  <c:v>23 - 00</c:v>
                </c:pt>
              </c:strCache>
            </c:strRef>
          </c:cat>
          <c:val>
            <c:numRef>
              <c:f>Sheet1!$C$2:$C$25</c:f>
              <c:numCache>
                <c:formatCode>General</c:formatCode>
                <c:ptCount val="24"/>
                <c:pt idx="0">
                  <c:v>79.52000000000001</c:v>
                </c:pt>
                <c:pt idx="1">
                  <c:v>79.05</c:v>
                </c:pt>
                <c:pt idx="2">
                  <c:v>78.83</c:v>
                </c:pt>
                <c:pt idx="3">
                  <c:v>79.02000000000001</c:v>
                </c:pt>
                <c:pt idx="4">
                  <c:v>79.599999999999994</c:v>
                </c:pt>
                <c:pt idx="5">
                  <c:v>91.07</c:v>
                </c:pt>
                <c:pt idx="6">
                  <c:v>125.83</c:v>
                </c:pt>
                <c:pt idx="7">
                  <c:v>240.14</c:v>
                </c:pt>
                <c:pt idx="8">
                  <c:v>295.02</c:v>
                </c:pt>
                <c:pt idx="9">
                  <c:v>245</c:v>
                </c:pt>
                <c:pt idx="10">
                  <c:v>232.64</c:v>
                </c:pt>
                <c:pt idx="11">
                  <c:v>171.61</c:v>
                </c:pt>
                <c:pt idx="12">
                  <c:v>147.98000000000002</c:v>
                </c:pt>
                <c:pt idx="13">
                  <c:v>130.03</c:v>
                </c:pt>
                <c:pt idx="14">
                  <c:v>107.06</c:v>
                </c:pt>
                <c:pt idx="15">
                  <c:v>107.61</c:v>
                </c:pt>
                <c:pt idx="16">
                  <c:v>107.63</c:v>
                </c:pt>
                <c:pt idx="17">
                  <c:v>159.65</c:v>
                </c:pt>
                <c:pt idx="18">
                  <c:v>193.34</c:v>
                </c:pt>
                <c:pt idx="19">
                  <c:v>139.94</c:v>
                </c:pt>
                <c:pt idx="20">
                  <c:v>99.47</c:v>
                </c:pt>
                <c:pt idx="21">
                  <c:v>91.15</c:v>
                </c:pt>
                <c:pt idx="22">
                  <c:v>81.990000000000009</c:v>
                </c:pt>
                <c:pt idx="23">
                  <c:v>79.09</c:v>
                </c:pt>
              </c:numCache>
            </c:numRef>
          </c:val>
          <c:smooth val="0"/>
          <c:extLst>
            <c:ext xmlns:c16="http://schemas.microsoft.com/office/drawing/2014/chart" uri="{C3380CC4-5D6E-409C-BE32-E72D297353CC}">
              <c16:uniqueId val="{00000001-20D3-4616-B311-E03F8318132B}"/>
            </c:ext>
          </c:extLst>
        </c:ser>
        <c:dLbls>
          <c:showLegendKey val="0"/>
          <c:showVal val="0"/>
          <c:showCatName val="0"/>
          <c:showSerName val="0"/>
          <c:showPercent val="0"/>
          <c:showBubbleSize val="0"/>
        </c:dLbls>
        <c:dropLines>
          <c:spPr>
            <a:ln w="9525">
              <a:solidFill>
                <a:schemeClr val="dk1">
                  <a:lumMod val="35000"/>
                  <a:lumOff val="65000"/>
                  <a:alpha val="33000"/>
                </a:schemeClr>
              </a:solidFill>
              <a:round/>
            </a:ln>
            <a:effectLst/>
          </c:spPr>
        </c:dropLines>
        <c:smooth val="0"/>
        <c:axId val="159906048"/>
        <c:axId val="160894976"/>
      </c:lineChart>
      <c:catAx>
        <c:axId val="159906048"/>
        <c:scaling>
          <c:orientation val="minMax"/>
        </c:scaling>
        <c:delete val="1"/>
        <c:axPos val="b"/>
        <c:numFmt formatCode="General" sourceLinked="1"/>
        <c:majorTickMark val="none"/>
        <c:minorTickMark val="none"/>
        <c:tickLblPos val="nextTo"/>
        <c:crossAx val="160894976"/>
        <c:crosses val="autoZero"/>
        <c:auto val="1"/>
        <c:lblAlgn val="ctr"/>
        <c:lblOffset val="100"/>
        <c:noMultiLvlLbl val="0"/>
      </c:catAx>
      <c:valAx>
        <c:axId val="160894976"/>
        <c:scaling>
          <c:orientation val="minMax"/>
        </c:scaling>
        <c:delete val="1"/>
        <c:axPos val="l"/>
        <c:numFmt formatCode="General" sourceLinked="1"/>
        <c:majorTickMark val="none"/>
        <c:minorTickMark val="none"/>
        <c:tickLblPos val="nextTo"/>
        <c:crossAx val="159906048"/>
        <c:crosses val="autoZero"/>
        <c:crossBetween val="between"/>
      </c:valAx>
      <c:spPr>
        <a:gradFill rotWithShape="0">
          <a:gsLst>
            <a:gs pos="0">
              <a:schemeClr val="lt1"/>
            </a:gs>
            <a:gs pos="100000">
              <a:schemeClr val="lt1">
                <a:lumMod val="95000"/>
              </a:schemeClr>
            </a:gs>
          </a:gsLst>
          <a:lin ang="5400000" scaled="0"/>
        </a:gradFill>
        <a:ln>
          <a:noFill/>
        </a:ln>
        <a:effectLst/>
      </c:spPr>
    </c:plotArea>
    <c:legend>
      <c:legendPos val="r"/>
      <c:layout>
        <c:manualLayout>
          <c:xMode val="edge"/>
          <c:yMode val="edge"/>
          <c:x val="0.63998484899687968"/>
          <c:y val="0.14228262541782632"/>
          <c:w val="0.33855592353530917"/>
          <c:h val="0.4256471937455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849876927491763E-2"/>
          <c:y val="0.16929595348224352"/>
          <c:w val="0.92030024614501649"/>
          <c:h val="0.75101831745037606"/>
        </c:manualLayout>
      </c:layout>
      <c:lineChart>
        <c:grouping val="standard"/>
        <c:varyColors val="0"/>
        <c:ser>
          <c:idx val="0"/>
          <c:order val="0"/>
          <c:tx>
            <c:strRef>
              <c:f>Sheet1!$B$1</c:f>
              <c:strCache>
                <c:ptCount val="1"/>
                <c:pt idx="0">
                  <c:v>TIRGUS CENA</c:v>
                </c:pt>
              </c:strCache>
            </c:strRef>
          </c:tx>
          <c:spPr>
            <a:ln w="22225" cap="rnd">
              <a:solidFill>
                <a:schemeClr val="accent6"/>
              </a:solidFill>
              <a:round/>
            </a:ln>
            <a:effectLst/>
          </c:spPr>
          <c:marker>
            <c:symbol val="none"/>
          </c:marker>
          <c:cat>
            <c:strRef>
              <c:f>Sheet1!$A$2:$A$25</c:f>
              <c:strCache>
                <c:ptCount val="24"/>
                <c:pt idx="0">
                  <c:v>00 - 01</c:v>
                </c:pt>
                <c:pt idx="1">
                  <c:v>01 - 02</c:v>
                </c:pt>
                <c:pt idx="2">
                  <c:v>02 - 03</c:v>
                </c:pt>
                <c:pt idx="3">
                  <c:v>03 - 04</c:v>
                </c:pt>
                <c:pt idx="4">
                  <c:v>04 - 05</c:v>
                </c:pt>
                <c:pt idx="5">
                  <c:v>05 - 06</c:v>
                </c:pt>
                <c:pt idx="6">
                  <c:v>06 - 07</c:v>
                </c:pt>
                <c:pt idx="7">
                  <c:v>07 - 08</c:v>
                </c:pt>
                <c:pt idx="8">
                  <c:v>08 - 09</c:v>
                </c:pt>
                <c:pt idx="9">
                  <c:v>09 - 10</c:v>
                </c:pt>
                <c:pt idx="10">
                  <c:v>10 - 11</c:v>
                </c:pt>
                <c:pt idx="11">
                  <c:v>11 - 12</c:v>
                </c:pt>
                <c:pt idx="12">
                  <c:v>12 - 13</c:v>
                </c:pt>
                <c:pt idx="13">
                  <c:v>13 - 14</c:v>
                </c:pt>
                <c:pt idx="14">
                  <c:v>14 - 15</c:v>
                </c:pt>
                <c:pt idx="15">
                  <c:v>15 - 16</c:v>
                </c:pt>
                <c:pt idx="16">
                  <c:v>16 - 17</c:v>
                </c:pt>
                <c:pt idx="17">
                  <c:v>17 - 18</c:v>
                </c:pt>
                <c:pt idx="18">
                  <c:v>18 - 19</c:v>
                </c:pt>
                <c:pt idx="19">
                  <c:v>19 - 20</c:v>
                </c:pt>
                <c:pt idx="20">
                  <c:v>20 - 21</c:v>
                </c:pt>
                <c:pt idx="21">
                  <c:v>21 - 22</c:v>
                </c:pt>
                <c:pt idx="22">
                  <c:v>22 - 23</c:v>
                </c:pt>
                <c:pt idx="23">
                  <c:v>23 - 00</c:v>
                </c:pt>
              </c:strCache>
            </c:strRef>
          </c:cat>
          <c:val>
            <c:numRef>
              <c:f>Sheet1!$B$2:$B$25</c:f>
              <c:numCache>
                <c:formatCode>General</c:formatCode>
                <c:ptCount val="24"/>
                <c:pt idx="0">
                  <c:v>39.520000000000003</c:v>
                </c:pt>
                <c:pt idx="1">
                  <c:v>39.049999999999997</c:v>
                </c:pt>
                <c:pt idx="2">
                  <c:v>38.83</c:v>
                </c:pt>
                <c:pt idx="3">
                  <c:v>39.020000000000003</c:v>
                </c:pt>
                <c:pt idx="4">
                  <c:v>39.6</c:v>
                </c:pt>
                <c:pt idx="5">
                  <c:v>51.07</c:v>
                </c:pt>
                <c:pt idx="6">
                  <c:v>85.83</c:v>
                </c:pt>
                <c:pt idx="7">
                  <c:v>200.14</c:v>
                </c:pt>
                <c:pt idx="8">
                  <c:v>255.02</c:v>
                </c:pt>
                <c:pt idx="9">
                  <c:v>205</c:v>
                </c:pt>
                <c:pt idx="10">
                  <c:v>192.64</c:v>
                </c:pt>
                <c:pt idx="11">
                  <c:v>131.61000000000001</c:v>
                </c:pt>
                <c:pt idx="12">
                  <c:v>107.98</c:v>
                </c:pt>
                <c:pt idx="13">
                  <c:v>90.03</c:v>
                </c:pt>
                <c:pt idx="14">
                  <c:v>67.06</c:v>
                </c:pt>
                <c:pt idx="15">
                  <c:v>67.61</c:v>
                </c:pt>
                <c:pt idx="16">
                  <c:v>110</c:v>
                </c:pt>
                <c:pt idx="17">
                  <c:v>119.65</c:v>
                </c:pt>
                <c:pt idx="18">
                  <c:v>153.34</c:v>
                </c:pt>
                <c:pt idx="19">
                  <c:v>99.94</c:v>
                </c:pt>
                <c:pt idx="20">
                  <c:v>59.47</c:v>
                </c:pt>
                <c:pt idx="21">
                  <c:v>51.15</c:v>
                </c:pt>
                <c:pt idx="22">
                  <c:v>41.99</c:v>
                </c:pt>
                <c:pt idx="23">
                  <c:v>39.090000000000003</c:v>
                </c:pt>
              </c:numCache>
            </c:numRef>
          </c:val>
          <c:smooth val="0"/>
          <c:extLst>
            <c:ext xmlns:c16="http://schemas.microsoft.com/office/drawing/2014/chart" uri="{C3380CC4-5D6E-409C-BE32-E72D297353CC}">
              <c16:uniqueId val="{00000000-1B62-4C7B-96E3-5BB7D145FAB4}"/>
            </c:ext>
          </c:extLst>
        </c:ser>
        <c:ser>
          <c:idx val="1"/>
          <c:order val="1"/>
          <c:tx>
            <c:strRef>
              <c:f>Sheet1!$C$1</c:f>
              <c:strCache>
                <c:ptCount val="1"/>
                <c:pt idx="0">
                  <c:v>PIEMAKSA</c:v>
                </c:pt>
              </c:strCache>
            </c:strRef>
          </c:tx>
          <c:spPr>
            <a:ln w="22225" cap="rnd">
              <a:solidFill>
                <a:schemeClr val="accent5"/>
              </a:solidFill>
              <a:round/>
            </a:ln>
            <a:effectLst/>
          </c:spPr>
          <c:marker>
            <c:symbol val="none"/>
          </c:marker>
          <c:cat>
            <c:strRef>
              <c:f>Sheet1!$A$2:$A$25</c:f>
              <c:strCache>
                <c:ptCount val="24"/>
                <c:pt idx="0">
                  <c:v>00 - 01</c:v>
                </c:pt>
                <c:pt idx="1">
                  <c:v>01 - 02</c:v>
                </c:pt>
                <c:pt idx="2">
                  <c:v>02 - 03</c:v>
                </c:pt>
                <c:pt idx="3">
                  <c:v>03 - 04</c:v>
                </c:pt>
                <c:pt idx="4">
                  <c:v>04 - 05</c:v>
                </c:pt>
                <c:pt idx="5">
                  <c:v>05 - 06</c:v>
                </c:pt>
                <c:pt idx="6">
                  <c:v>06 - 07</c:v>
                </c:pt>
                <c:pt idx="7">
                  <c:v>07 - 08</c:v>
                </c:pt>
                <c:pt idx="8">
                  <c:v>08 - 09</c:v>
                </c:pt>
                <c:pt idx="9">
                  <c:v>09 - 10</c:v>
                </c:pt>
                <c:pt idx="10">
                  <c:v>10 - 11</c:v>
                </c:pt>
                <c:pt idx="11">
                  <c:v>11 - 12</c:v>
                </c:pt>
                <c:pt idx="12">
                  <c:v>12 - 13</c:v>
                </c:pt>
                <c:pt idx="13">
                  <c:v>13 - 14</c:v>
                </c:pt>
                <c:pt idx="14">
                  <c:v>14 - 15</c:v>
                </c:pt>
                <c:pt idx="15">
                  <c:v>15 - 16</c:v>
                </c:pt>
                <c:pt idx="16">
                  <c:v>16 - 17</c:v>
                </c:pt>
                <c:pt idx="17">
                  <c:v>17 - 18</c:v>
                </c:pt>
                <c:pt idx="18">
                  <c:v>18 - 19</c:v>
                </c:pt>
                <c:pt idx="19">
                  <c:v>19 - 20</c:v>
                </c:pt>
                <c:pt idx="20">
                  <c:v>20 - 21</c:v>
                </c:pt>
                <c:pt idx="21">
                  <c:v>21 - 22</c:v>
                </c:pt>
                <c:pt idx="22">
                  <c:v>22 - 23</c:v>
                </c:pt>
                <c:pt idx="23">
                  <c:v>23 - 00</c:v>
                </c:pt>
              </c:strCache>
            </c:strRef>
          </c:cat>
          <c:val>
            <c:numRef>
              <c:f>Sheet1!$C$2:$C$25</c:f>
              <c:numCache>
                <c:formatCode>General</c:formatCode>
                <c:ptCount val="24"/>
                <c:pt idx="0">
                  <c:v>110</c:v>
                </c:pt>
                <c:pt idx="1">
                  <c:v>110</c:v>
                </c:pt>
                <c:pt idx="2">
                  <c:v>110</c:v>
                </c:pt>
                <c:pt idx="3">
                  <c:v>110</c:v>
                </c:pt>
                <c:pt idx="4">
                  <c:v>110</c:v>
                </c:pt>
                <c:pt idx="5">
                  <c:v>110</c:v>
                </c:pt>
                <c:pt idx="6">
                  <c:v>110</c:v>
                </c:pt>
                <c:pt idx="12">
                  <c:v>110</c:v>
                </c:pt>
                <c:pt idx="13">
                  <c:v>110</c:v>
                </c:pt>
                <c:pt idx="14">
                  <c:v>110</c:v>
                </c:pt>
                <c:pt idx="15">
                  <c:v>110</c:v>
                </c:pt>
                <c:pt idx="16">
                  <c:v>110</c:v>
                </c:pt>
                <c:pt idx="19">
                  <c:v>110</c:v>
                </c:pt>
                <c:pt idx="20">
                  <c:v>110</c:v>
                </c:pt>
                <c:pt idx="21">
                  <c:v>110</c:v>
                </c:pt>
                <c:pt idx="22">
                  <c:v>110</c:v>
                </c:pt>
                <c:pt idx="23">
                  <c:v>110</c:v>
                </c:pt>
              </c:numCache>
            </c:numRef>
          </c:val>
          <c:smooth val="0"/>
          <c:extLst>
            <c:ext xmlns:c16="http://schemas.microsoft.com/office/drawing/2014/chart" uri="{C3380CC4-5D6E-409C-BE32-E72D297353CC}">
              <c16:uniqueId val="{00000001-1B62-4C7B-96E3-5BB7D145FAB4}"/>
            </c:ext>
          </c:extLst>
        </c:ser>
        <c:dLbls>
          <c:showLegendKey val="0"/>
          <c:showVal val="0"/>
          <c:showCatName val="0"/>
          <c:showSerName val="0"/>
          <c:showPercent val="0"/>
          <c:showBubbleSize val="0"/>
        </c:dLbls>
        <c:dropLines>
          <c:spPr>
            <a:ln w="9525">
              <a:solidFill>
                <a:schemeClr val="dk1">
                  <a:lumMod val="35000"/>
                  <a:lumOff val="65000"/>
                  <a:alpha val="33000"/>
                </a:schemeClr>
              </a:solidFill>
              <a:round/>
            </a:ln>
            <a:effectLst/>
          </c:spPr>
        </c:dropLines>
        <c:smooth val="0"/>
        <c:axId val="159873664"/>
        <c:axId val="159875456"/>
      </c:lineChart>
      <c:catAx>
        <c:axId val="159873664"/>
        <c:scaling>
          <c:orientation val="minMax"/>
        </c:scaling>
        <c:delete val="1"/>
        <c:axPos val="b"/>
        <c:numFmt formatCode="General" sourceLinked="1"/>
        <c:majorTickMark val="none"/>
        <c:minorTickMark val="none"/>
        <c:tickLblPos val="nextTo"/>
        <c:crossAx val="159875456"/>
        <c:crosses val="autoZero"/>
        <c:auto val="1"/>
        <c:lblAlgn val="ctr"/>
        <c:lblOffset val="100"/>
        <c:noMultiLvlLbl val="0"/>
      </c:catAx>
      <c:valAx>
        <c:axId val="159875456"/>
        <c:scaling>
          <c:orientation val="minMax"/>
        </c:scaling>
        <c:delete val="1"/>
        <c:axPos val="l"/>
        <c:numFmt formatCode="General" sourceLinked="1"/>
        <c:majorTickMark val="none"/>
        <c:minorTickMark val="none"/>
        <c:tickLblPos val="nextTo"/>
        <c:crossAx val="159873664"/>
        <c:crosses val="autoZero"/>
        <c:crossBetween val="between"/>
      </c:valAx>
      <c:spPr>
        <a:gradFill rotWithShape="0">
          <a:gsLst>
            <a:gs pos="0">
              <a:schemeClr val="lt1"/>
            </a:gs>
            <a:gs pos="100000">
              <a:schemeClr val="lt1">
                <a:lumMod val="95000"/>
              </a:schemeClr>
            </a:gs>
          </a:gsLst>
          <a:lin ang="5400000" scaled="0"/>
        </a:gradFill>
        <a:ln>
          <a:noFill/>
        </a:ln>
        <a:effectLst/>
      </c:spPr>
    </c:plotArea>
    <c:legend>
      <c:legendPos val="r"/>
      <c:layout>
        <c:manualLayout>
          <c:xMode val="edge"/>
          <c:yMode val="edge"/>
          <c:x val="0.64330624115793689"/>
          <c:y val="0.17238907636545431"/>
          <c:w val="0.30372310744621489"/>
          <c:h val="0.287030371203599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94539586204419E-2"/>
          <c:y val="0.20260099741371662"/>
          <c:w val="0.92161092082759111"/>
          <c:h val="0.70955465999460487"/>
        </c:manualLayout>
      </c:layout>
      <c:lineChart>
        <c:grouping val="standard"/>
        <c:varyColors val="0"/>
        <c:ser>
          <c:idx val="0"/>
          <c:order val="0"/>
          <c:tx>
            <c:strRef>
              <c:f>Sheet1!$B$1</c:f>
              <c:strCache>
                <c:ptCount val="1"/>
                <c:pt idx="0">
                  <c:v>TIRGUS CENA</c:v>
                </c:pt>
              </c:strCache>
            </c:strRef>
          </c:tx>
          <c:spPr>
            <a:ln w="22225" cap="rnd">
              <a:solidFill>
                <a:schemeClr val="accent6"/>
              </a:solidFill>
              <a:round/>
            </a:ln>
            <a:effectLst/>
          </c:spPr>
          <c:marker>
            <c:symbol val="none"/>
          </c:marker>
          <c:cat>
            <c:strRef>
              <c:f>Sheet1!$A$2:$A$25</c:f>
              <c:strCache>
                <c:ptCount val="24"/>
                <c:pt idx="0">
                  <c:v>00 - 01</c:v>
                </c:pt>
                <c:pt idx="1">
                  <c:v>01 - 02</c:v>
                </c:pt>
                <c:pt idx="2">
                  <c:v>02 - 03</c:v>
                </c:pt>
                <c:pt idx="3">
                  <c:v>03 - 04</c:v>
                </c:pt>
                <c:pt idx="4">
                  <c:v>04 - 05</c:v>
                </c:pt>
                <c:pt idx="5">
                  <c:v>05 - 06</c:v>
                </c:pt>
                <c:pt idx="6">
                  <c:v>06 - 07</c:v>
                </c:pt>
                <c:pt idx="7">
                  <c:v>07 - 08</c:v>
                </c:pt>
                <c:pt idx="8">
                  <c:v>08 - 09</c:v>
                </c:pt>
                <c:pt idx="9">
                  <c:v>09 - 10</c:v>
                </c:pt>
                <c:pt idx="10">
                  <c:v>10 - 11</c:v>
                </c:pt>
                <c:pt idx="11">
                  <c:v>11 - 12</c:v>
                </c:pt>
                <c:pt idx="12">
                  <c:v>12 - 13</c:v>
                </c:pt>
                <c:pt idx="13">
                  <c:v>13 - 14</c:v>
                </c:pt>
                <c:pt idx="14">
                  <c:v>14 - 15</c:v>
                </c:pt>
                <c:pt idx="15">
                  <c:v>15 - 16</c:v>
                </c:pt>
                <c:pt idx="16">
                  <c:v>16 - 17</c:v>
                </c:pt>
                <c:pt idx="17">
                  <c:v>17 - 18</c:v>
                </c:pt>
                <c:pt idx="18">
                  <c:v>18 - 19</c:v>
                </c:pt>
                <c:pt idx="19">
                  <c:v>19 - 20</c:v>
                </c:pt>
                <c:pt idx="20">
                  <c:v>20 - 21</c:v>
                </c:pt>
                <c:pt idx="21">
                  <c:v>21 - 22</c:v>
                </c:pt>
                <c:pt idx="22">
                  <c:v>22 - 23</c:v>
                </c:pt>
                <c:pt idx="23">
                  <c:v>23 - 00</c:v>
                </c:pt>
              </c:strCache>
            </c:strRef>
          </c:cat>
          <c:val>
            <c:numRef>
              <c:f>Sheet1!$B$2:$B$25</c:f>
              <c:numCache>
                <c:formatCode>General</c:formatCode>
                <c:ptCount val="24"/>
                <c:pt idx="0">
                  <c:v>39.520000000000003</c:v>
                </c:pt>
                <c:pt idx="1">
                  <c:v>39.049999999999997</c:v>
                </c:pt>
                <c:pt idx="2">
                  <c:v>38.83</c:v>
                </c:pt>
                <c:pt idx="3">
                  <c:v>39.020000000000003</c:v>
                </c:pt>
                <c:pt idx="4">
                  <c:v>39.6</c:v>
                </c:pt>
                <c:pt idx="5">
                  <c:v>51.07</c:v>
                </c:pt>
                <c:pt idx="6">
                  <c:v>85.83</c:v>
                </c:pt>
                <c:pt idx="7">
                  <c:v>200.14</c:v>
                </c:pt>
                <c:pt idx="8">
                  <c:v>255.02</c:v>
                </c:pt>
                <c:pt idx="9">
                  <c:v>205</c:v>
                </c:pt>
                <c:pt idx="10">
                  <c:v>192.64</c:v>
                </c:pt>
                <c:pt idx="11">
                  <c:v>131.61000000000001</c:v>
                </c:pt>
                <c:pt idx="12">
                  <c:v>107.98</c:v>
                </c:pt>
                <c:pt idx="13">
                  <c:v>90.03</c:v>
                </c:pt>
                <c:pt idx="14">
                  <c:v>67.06</c:v>
                </c:pt>
                <c:pt idx="15">
                  <c:v>67.61</c:v>
                </c:pt>
                <c:pt idx="16">
                  <c:v>67.63</c:v>
                </c:pt>
                <c:pt idx="17">
                  <c:v>119.65</c:v>
                </c:pt>
                <c:pt idx="18">
                  <c:v>153.34</c:v>
                </c:pt>
                <c:pt idx="19">
                  <c:v>99.94</c:v>
                </c:pt>
                <c:pt idx="20">
                  <c:v>59.47</c:v>
                </c:pt>
                <c:pt idx="21">
                  <c:v>51.15</c:v>
                </c:pt>
                <c:pt idx="22">
                  <c:v>41.99</c:v>
                </c:pt>
                <c:pt idx="23">
                  <c:v>39.090000000000003</c:v>
                </c:pt>
              </c:numCache>
            </c:numRef>
          </c:val>
          <c:smooth val="0"/>
          <c:extLst>
            <c:ext xmlns:c16="http://schemas.microsoft.com/office/drawing/2014/chart" uri="{C3380CC4-5D6E-409C-BE32-E72D297353CC}">
              <c16:uniqueId val="{00000000-FFB4-4554-9032-A09A529ACBE1}"/>
            </c:ext>
          </c:extLst>
        </c:ser>
        <c:ser>
          <c:idx val="1"/>
          <c:order val="1"/>
          <c:tx>
            <c:strRef>
              <c:f>Sheet1!$C$1</c:f>
              <c:strCache>
                <c:ptCount val="1"/>
                <c:pt idx="0">
                  <c:v>PIEMAKSA</c:v>
                </c:pt>
              </c:strCache>
            </c:strRef>
          </c:tx>
          <c:spPr>
            <a:ln w="22225" cap="rnd">
              <a:solidFill>
                <a:schemeClr val="accent5"/>
              </a:solidFill>
              <a:round/>
            </a:ln>
            <a:effectLst/>
          </c:spPr>
          <c:marker>
            <c:symbol val="none"/>
          </c:marker>
          <c:cat>
            <c:strRef>
              <c:f>Sheet1!$A$2:$A$25</c:f>
              <c:strCache>
                <c:ptCount val="24"/>
                <c:pt idx="0">
                  <c:v>00 - 01</c:v>
                </c:pt>
                <c:pt idx="1">
                  <c:v>01 - 02</c:v>
                </c:pt>
                <c:pt idx="2">
                  <c:v>02 - 03</c:v>
                </c:pt>
                <c:pt idx="3">
                  <c:v>03 - 04</c:v>
                </c:pt>
                <c:pt idx="4">
                  <c:v>04 - 05</c:v>
                </c:pt>
                <c:pt idx="5">
                  <c:v>05 - 06</c:v>
                </c:pt>
                <c:pt idx="6">
                  <c:v>06 - 07</c:v>
                </c:pt>
                <c:pt idx="7">
                  <c:v>07 - 08</c:v>
                </c:pt>
                <c:pt idx="8">
                  <c:v>08 - 09</c:v>
                </c:pt>
                <c:pt idx="9">
                  <c:v>09 - 10</c:v>
                </c:pt>
                <c:pt idx="10">
                  <c:v>10 - 11</c:v>
                </c:pt>
                <c:pt idx="11">
                  <c:v>11 - 12</c:v>
                </c:pt>
                <c:pt idx="12">
                  <c:v>12 - 13</c:v>
                </c:pt>
                <c:pt idx="13">
                  <c:v>13 - 14</c:v>
                </c:pt>
                <c:pt idx="14">
                  <c:v>14 - 15</c:v>
                </c:pt>
                <c:pt idx="15">
                  <c:v>15 - 16</c:v>
                </c:pt>
                <c:pt idx="16">
                  <c:v>16 - 17</c:v>
                </c:pt>
                <c:pt idx="17">
                  <c:v>17 - 18</c:v>
                </c:pt>
                <c:pt idx="18">
                  <c:v>18 - 19</c:v>
                </c:pt>
                <c:pt idx="19">
                  <c:v>19 - 20</c:v>
                </c:pt>
                <c:pt idx="20">
                  <c:v>20 - 21</c:v>
                </c:pt>
                <c:pt idx="21">
                  <c:v>21 - 22</c:v>
                </c:pt>
                <c:pt idx="22">
                  <c:v>22 - 23</c:v>
                </c:pt>
                <c:pt idx="23">
                  <c:v>23 - 00</c:v>
                </c:pt>
              </c:strCache>
            </c:strRef>
          </c:cat>
          <c:val>
            <c:numRef>
              <c:f>Sheet1!$C$2:$C$25</c:f>
              <c:numCache>
                <c:formatCode>General</c:formatCode>
                <c:ptCount val="24"/>
                <c:pt idx="0">
                  <c:v>100</c:v>
                </c:pt>
                <c:pt idx="1">
                  <c:v>100</c:v>
                </c:pt>
                <c:pt idx="2">
                  <c:v>100</c:v>
                </c:pt>
                <c:pt idx="3">
                  <c:v>100</c:v>
                </c:pt>
                <c:pt idx="4">
                  <c:v>100</c:v>
                </c:pt>
                <c:pt idx="5">
                  <c:v>100</c:v>
                </c:pt>
                <c:pt idx="6">
                  <c:v>125.83</c:v>
                </c:pt>
                <c:pt idx="7">
                  <c:v>160</c:v>
                </c:pt>
                <c:pt idx="8">
                  <c:v>160</c:v>
                </c:pt>
                <c:pt idx="9">
                  <c:v>160</c:v>
                </c:pt>
                <c:pt idx="10">
                  <c:v>160</c:v>
                </c:pt>
                <c:pt idx="11">
                  <c:v>160</c:v>
                </c:pt>
                <c:pt idx="12">
                  <c:v>147.98000000000002</c:v>
                </c:pt>
                <c:pt idx="13">
                  <c:v>130.03</c:v>
                </c:pt>
                <c:pt idx="14">
                  <c:v>107.06</c:v>
                </c:pt>
                <c:pt idx="15">
                  <c:v>107.61</c:v>
                </c:pt>
                <c:pt idx="16">
                  <c:v>107.63</c:v>
                </c:pt>
                <c:pt idx="17">
                  <c:v>160</c:v>
                </c:pt>
                <c:pt idx="18">
                  <c:v>160</c:v>
                </c:pt>
                <c:pt idx="19">
                  <c:v>100</c:v>
                </c:pt>
                <c:pt idx="20">
                  <c:v>100</c:v>
                </c:pt>
                <c:pt idx="21">
                  <c:v>100</c:v>
                </c:pt>
                <c:pt idx="22">
                  <c:v>100</c:v>
                </c:pt>
                <c:pt idx="23">
                  <c:v>100</c:v>
                </c:pt>
              </c:numCache>
            </c:numRef>
          </c:val>
          <c:smooth val="0"/>
          <c:extLst>
            <c:ext xmlns:c16="http://schemas.microsoft.com/office/drawing/2014/chart" uri="{C3380CC4-5D6E-409C-BE32-E72D297353CC}">
              <c16:uniqueId val="{00000001-FFB4-4554-9032-A09A529ACBE1}"/>
            </c:ext>
          </c:extLst>
        </c:ser>
        <c:dLbls>
          <c:showLegendKey val="0"/>
          <c:showVal val="0"/>
          <c:showCatName val="0"/>
          <c:showSerName val="0"/>
          <c:showPercent val="0"/>
          <c:showBubbleSize val="0"/>
        </c:dLbls>
        <c:dropLines>
          <c:spPr>
            <a:ln w="9525">
              <a:solidFill>
                <a:schemeClr val="dk1">
                  <a:lumMod val="35000"/>
                  <a:lumOff val="65000"/>
                  <a:alpha val="33000"/>
                </a:schemeClr>
              </a:solidFill>
              <a:round/>
            </a:ln>
            <a:effectLst/>
          </c:spPr>
        </c:dropLines>
        <c:smooth val="0"/>
        <c:axId val="160946048"/>
        <c:axId val="160947584"/>
      </c:lineChart>
      <c:catAx>
        <c:axId val="160946048"/>
        <c:scaling>
          <c:orientation val="minMax"/>
        </c:scaling>
        <c:delete val="1"/>
        <c:axPos val="b"/>
        <c:numFmt formatCode="General" sourceLinked="1"/>
        <c:majorTickMark val="none"/>
        <c:minorTickMark val="none"/>
        <c:tickLblPos val="nextTo"/>
        <c:crossAx val="160947584"/>
        <c:crosses val="autoZero"/>
        <c:auto val="1"/>
        <c:lblAlgn val="ctr"/>
        <c:lblOffset val="100"/>
        <c:noMultiLvlLbl val="0"/>
      </c:catAx>
      <c:valAx>
        <c:axId val="160947584"/>
        <c:scaling>
          <c:orientation val="minMax"/>
        </c:scaling>
        <c:delete val="1"/>
        <c:axPos val="l"/>
        <c:numFmt formatCode="General" sourceLinked="1"/>
        <c:majorTickMark val="none"/>
        <c:minorTickMark val="none"/>
        <c:tickLblPos val="nextTo"/>
        <c:crossAx val="160946048"/>
        <c:crosses val="autoZero"/>
        <c:crossBetween val="between"/>
      </c:valAx>
      <c:spPr>
        <a:gradFill rotWithShape="0">
          <a:gsLst>
            <a:gs pos="0">
              <a:schemeClr val="lt1"/>
            </a:gs>
            <a:gs pos="100000">
              <a:schemeClr val="lt1">
                <a:lumMod val="95000"/>
              </a:schemeClr>
            </a:gs>
          </a:gsLst>
          <a:lin ang="5400000" scaled="0"/>
        </a:gradFill>
        <a:ln>
          <a:noFill/>
        </a:ln>
        <a:effectLst/>
      </c:spPr>
    </c:plotArea>
    <c:legend>
      <c:legendPos val="r"/>
      <c:layout>
        <c:manualLayout>
          <c:xMode val="edge"/>
          <c:yMode val="edge"/>
          <c:x val="0.62567869735167236"/>
          <c:y val="8.6251674017150337E-2"/>
          <c:w val="0.30350585200455094"/>
          <c:h val="0.322046542935472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a:noFill/>
      <a:round/>
    </a:ln>
    <a:effectLst/>
  </c:spPr>
  <c:txPr>
    <a:bodyPr/>
    <a:lstStyle/>
    <a:p>
      <a:pPr>
        <a:defRPr/>
      </a:pPr>
      <a:endParaRPr lang="lv-LV"/>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1197" kern="1200" cap="all"/>
  </cs:axisTitle>
  <cs:categoryAxis>
    <cs:lnRef idx="0"/>
    <cs:fillRef idx="0"/>
    <cs:effectRef idx="0"/>
    <cs:fontRef idx="minor">
      <a:schemeClr val="dk1">
        <a:lumMod val="65000"/>
        <a:lumOff val="35000"/>
      </a:schemeClr>
    </cs:fontRef>
    <cs:spPr>
      <a:ln w="9525">
        <a:solidFill>
          <a:schemeClr val="dk1">
            <a:lumMod val="15000"/>
            <a:lumOff val="85000"/>
          </a:schemeClr>
        </a:solidFill>
        <a:round/>
      </a:ln>
    </cs:spPr>
    <cs:defRPr sz="1197" b="0" kern="1200" spc="20" baseline="0"/>
  </cs:categoryAxis>
  <cs:chartArea mods="allowNoLineOverride">
    <cs:lnRef idx="0"/>
    <cs:fillRef idx="0"/>
    <cs:effectRef idx="0"/>
    <cs:fontRef idx="minor">
      <a:schemeClr val="dk1"/>
    </cs:fontRef>
    <cs:spPr>
      <a:solidFill>
        <a:schemeClr val="lt1"/>
      </a:solidFill>
      <a:ln w="9525">
        <a:solidFill>
          <a:schemeClr val="dk1">
            <a:lumMod val="15000"/>
            <a:lumOff val="85000"/>
          </a:schemeClr>
        </a:solidFill>
        <a:round/>
      </a:ln>
    </cs:spPr>
    <cs:defRPr sz="1197" kern="1200"/>
  </cs:chartArea>
  <cs:dataLabel>
    <cs:lnRef idx="0"/>
    <cs:fillRef idx="0"/>
    <cs:effectRef idx="0"/>
    <cs:fontRef idx="minor">
      <a:schemeClr val="dk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a:solidFill>
          <a:schemeClr val="phClr">
            <a:shade val="95000"/>
          </a:schemeClr>
        </a:solidFill>
        <a:round/>
      </a:ln>
    </cs:spPr>
  </cs:dataPoint>
  <cs:dataPoint3D>
    <cs:lnRef idx="0">
      <cs:styleClr val="auto"/>
    </cs:lnRef>
    <cs:fillRef idx="2">
      <cs:styleClr val="auto"/>
    </cs:fillRef>
    <cs:effectRef idx="1"/>
    <cs:fontRef idx="minor">
      <a:schemeClr val="dk1"/>
    </cs:fontRef>
    <cs:spPr>
      <a:ln w="9525">
        <a:solidFill>
          <a:schemeClr val="phClr">
            <a:shade val="95000"/>
          </a:schemeClr>
        </a:solidFill>
        <a:round/>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gradFill rotWithShape="0">
        <a:gsLst>
          <a:gs pos="0">
            <a:schemeClr val="lt1"/>
          </a:gs>
          <a:gs pos="100000">
            <a:schemeClr val="lt1">
              <a:lumMod val="9500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862"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1197"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1197" kern="1200" cap="all"/>
  </cs:axisTitle>
  <cs:categoryAxis>
    <cs:lnRef idx="0"/>
    <cs:fillRef idx="0"/>
    <cs:effectRef idx="0"/>
    <cs:fontRef idx="minor">
      <a:schemeClr val="dk1">
        <a:lumMod val="65000"/>
        <a:lumOff val="35000"/>
      </a:schemeClr>
    </cs:fontRef>
    <cs:spPr>
      <a:ln w="9525">
        <a:solidFill>
          <a:schemeClr val="dk1">
            <a:lumMod val="15000"/>
            <a:lumOff val="85000"/>
          </a:schemeClr>
        </a:solidFill>
        <a:round/>
      </a:ln>
    </cs:spPr>
    <cs:defRPr sz="1197" b="0" kern="1200" spc="20" baseline="0"/>
  </cs:categoryAxis>
  <cs:chartArea mods="allowNoLineOverride">
    <cs:lnRef idx="0"/>
    <cs:fillRef idx="0"/>
    <cs:effectRef idx="0"/>
    <cs:fontRef idx="minor">
      <a:schemeClr val="dk1"/>
    </cs:fontRef>
    <cs:spPr>
      <a:solidFill>
        <a:schemeClr val="lt1"/>
      </a:solidFill>
      <a:ln w="9525">
        <a:solidFill>
          <a:schemeClr val="dk1">
            <a:lumMod val="15000"/>
            <a:lumOff val="85000"/>
          </a:schemeClr>
        </a:solidFill>
        <a:round/>
      </a:ln>
    </cs:spPr>
    <cs:defRPr sz="1197" kern="1200"/>
  </cs:chartArea>
  <cs:dataLabel>
    <cs:lnRef idx="0"/>
    <cs:fillRef idx="0"/>
    <cs:effectRef idx="0"/>
    <cs:fontRef idx="minor">
      <a:schemeClr val="dk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a:solidFill>
          <a:schemeClr val="phClr">
            <a:shade val="95000"/>
          </a:schemeClr>
        </a:solidFill>
        <a:round/>
      </a:ln>
    </cs:spPr>
  </cs:dataPoint>
  <cs:dataPoint3D>
    <cs:lnRef idx="0">
      <cs:styleClr val="auto"/>
    </cs:lnRef>
    <cs:fillRef idx="2">
      <cs:styleClr val="auto"/>
    </cs:fillRef>
    <cs:effectRef idx="1"/>
    <cs:fontRef idx="minor">
      <a:schemeClr val="dk1"/>
    </cs:fontRef>
    <cs:spPr>
      <a:ln w="9525">
        <a:solidFill>
          <a:schemeClr val="phClr">
            <a:shade val="95000"/>
          </a:schemeClr>
        </a:solidFill>
        <a:round/>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gradFill rotWithShape="0">
        <a:gsLst>
          <a:gs pos="0">
            <a:schemeClr val="lt1"/>
          </a:gs>
          <a:gs pos="100000">
            <a:schemeClr val="lt1">
              <a:lumMod val="9500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862"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1197"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1197" kern="1200" cap="all"/>
  </cs:axisTitle>
  <cs:categoryAxis>
    <cs:lnRef idx="0"/>
    <cs:fillRef idx="0"/>
    <cs:effectRef idx="0"/>
    <cs:fontRef idx="minor">
      <a:schemeClr val="dk1">
        <a:lumMod val="65000"/>
        <a:lumOff val="35000"/>
      </a:schemeClr>
    </cs:fontRef>
    <cs:spPr>
      <a:ln w="9525">
        <a:solidFill>
          <a:schemeClr val="dk1">
            <a:lumMod val="15000"/>
            <a:lumOff val="85000"/>
          </a:schemeClr>
        </a:solidFill>
        <a:round/>
      </a:ln>
    </cs:spPr>
    <cs:defRPr sz="1197" b="0" kern="1200" spc="20" baseline="0"/>
  </cs:categoryAxis>
  <cs:chartArea mods="allowNoLineOverride">
    <cs:lnRef idx="0"/>
    <cs:fillRef idx="0"/>
    <cs:effectRef idx="0"/>
    <cs:fontRef idx="minor">
      <a:schemeClr val="dk1"/>
    </cs:fontRef>
    <cs:spPr>
      <a:solidFill>
        <a:schemeClr val="lt1"/>
      </a:solidFill>
      <a:ln w="9525">
        <a:solidFill>
          <a:schemeClr val="dk1">
            <a:lumMod val="15000"/>
            <a:lumOff val="85000"/>
          </a:schemeClr>
        </a:solidFill>
        <a:round/>
      </a:ln>
    </cs:spPr>
    <cs:defRPr sz="1197" kern="1200"/>
  </cs:chartArea>
  <cs:dataLabel>
    <cs:lnRef idx="0"/>
    <cs:fillRef idx="0"/>
    <cs:effectRef idx="0"/>
    <cs:fontRef idx="minor">
      <a:schemeClr val="dk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a:solidFill>
          <a:schemeClr val="phClr">
            <a:shade val="95000"/>
          </a:schemeClr>
        </a:solidFill>
        <a:round/>
      </a:ln>
    </cs:spPr>
  </cs:dataPoint>
  <cs:dataPoint3D>
    <cs:lnRef idx="0">
      <cs:styleClr val="auto"/>
    </cs:lnRef>
    <cs:fillRef idx="2">
      <cs:styleClr val="auto"/>
    </cs:fillRef>
    <cs:effectRef idx="1"/>
    <cs:fontRef idx="minor">
      <a:schemeClr val="dk1"/>
    </cs:fontRef>
    <cs:spPr>
      <a:ln w="9525">
        <a:solidFill>
          <a:schemeClr val="phClr">
            <a:shade val="95000"/>
          </a:schemeClr>
        </a:solidFill>
        <a:round/>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gradFill rotWithShape="0">
        <a:gsLst>
          <a:gs pos="0">
            <a:schemeClr val="lt1"/>
          </a:gs>
          <a:gs pos="100000">
            <a:schemeClr val="lt1">
              <a:lumMod val="9500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862"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1197"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0.07715</cdr:x>
      <cdr:y>0.65586</cdr:y>
    </cdr:from>
    <cdr:to>
      <cdr:x>0.97031</cdr:x>
      <cdr:y>0.65586</cdr:y>
    </cdr:to>
    <cdr:cxnSp macro="">
      <cdr:nvCxnSpPr>
        <cdr:cNvPr id="2" name="Straight Connector 1"/>
        <cdr:cNvCxnSpPr/>
      </cdr:nvCxnSpPr>
      <cdr:spPr>
        <a:xfrm xmlns:a="http://schemas.openxmlformats.org/drawingml/2006/main">
          <a:off x="440590" y="1664638"/>
          <a:ext cx="5100401" cy="0"/>
        </a:xfrm>
        <a:prstGeom xmlns:a="http://schemas.openxmlformats.org/drawingml/2006/main" prst="line">
          <a:avLst/>
        </a:prstGeom>
        <a:ln xmlns:a="http://schemas.openxmlformats.org/drawingml/2006/main" w="254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0.85878</cdr:x>
      <cdr:y>0.63433</cdr:y>
    </cdr:from>
    <cdr:to>
      <cdr:x>1</cdr:x>
      <cdr:y>0.73548</cdr:y>
    </cdr:to>
    <cdr:sp macro="" textlink="">
      <cdr:nvSpPr>
        <cdr:cNvPr id="3" name="TextBox 10"/>
        <cdr:cNvSpPr txBox="1"/>
      </cdr:nvSpPr>
      <cdr:spPr>
        <a:xfrm xmlns:a="http://schemas.openxmlformats.org/drawingml/2006/main">
          <a:off x="4904114" y="1609991"/>
          <a:ext cx="806441" cy="25673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defPPr>
            <a:defRPr lang="en-US"/>
          </a:defPPr>
          <a:lvl1pPr algn="l" defTabSz="457200" rtl="0" eaLnBrk="0" fontAlgn="base" hangingPunct="0">
            <a:spcBef>
              <a:spcPct val="0"/>
            </a:spcBef>
            <a:spcAft>
              <a:spcPct val="0"/>
            </a:spcAft>
            <a:defRPr kern="1200">
              <a:solidFill>
                <a:schemeClr val="tx1"/>
              </a:solidFill>
              <a:latin typeface="+mn-lt"/>
              <a:ea typeface="+mn-ea"/>
              <a:cs typeface="+mn-cs"/>
            </a:defRPr>
          </a:lvl1pPr>
          <a:lvl2pPr marL="457200" algn="l" defTabSz="457200" rtl="0" eaLnBrk="0" fontAlgn="base" hangingPunct="0">
            <a:spcBef>
              <a:spcPct val="0"/>
            </a:spcBef>
            <a:spcAft>
              <a:spcPct val="0"/>
            </a:spcAft>
            <a:defRPr kern="1200">
              <a:solidFill>
                <a:schemeClr val="tx1"/>
              </a:solidFill>
              <a:latin typeface="+mn-lt"/>
              <a:ea typeface="+mn-ea"/>
              <a:cs typeface="+mn-cs"/>
            </a:defRPr>
          </a:lvl2pPr>
          <a:lvl3pPr marL="914400" algn="l" defTabSz="457200" rtl="0" eaLnBrk="0" fontAlgn="base" hangingPunct="0">
            <a:spcBef>
              <a:spcPct val="0"/>
            </a:spcBef>
            <a:spcAft>
              <a:spcPct val="0"/>
            </a:spcAft>
            <a:defRPr kern="1200">
              <a:solidFill>
                <a:schemeClr val="tx1"/>
              </a:solidFill>
              <a:latin typeface="+mn-lt"/>
              <a:ea typeface="+mn-ea"/>
              <a:cs typeface="+mn-cs"/>
            </a:defRPr>
          </a:lvl3pPr>
          <a:lvl4pPr marL="1371600" algn="l" defTabSz="457200" rtl="0" eaLnBrk="0" fontAlgn="base" hangingPunct="0">
            <a:spcBef>
              <a:spcPct val="0"/>
            </a:spcBef>
            <a:spcAft>
              <a:spcPct val="0"/>
            </a:spcAft>
            <a:defRPr kern="1200">
              <a:solidFill>
                <a:schemeClr val="tx1"/>
              </a:solidFill>
              <a:latin typeface="+mn-lt"/>
              <a:ea typeface="+mn-ea"/>
              <a:cs typeface="+mn-cs"/>
            </a:defRPr>
          </a:lvl4pPr>
          <a:lvl5pPr marL="1828800" algn="l" defTabSz="457200" rtl="0" eaLnBrk="0" fontAlgn="base" hangingPunct="0">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xmlns:a="http://schemas.openxmlformats.org/drawingml/2006/main">
          <a:r>
            <a:rPr lang="lv-LV" sz="1000" b="1" dirty="0">
              <a:solidFill>
                <a:srgbClr val="4A4A49"/>
              </a:solidFill>
            </a:rPr>
            <a:t>tirgus</a:t>
          </a:r>
          <a:r>
            <a:rPr lang="lv-LV" sz="1000" b="1" baseline="0" dirty="0">
              <a:solidFill>
                <a:srgbClr val="4A4A49"/>
              </a:solidFill>
            </a:rPr>
            <a:t> cena</a:t>
          </a:r>
          <a:endParaRPr lang="en-GB" sz="1000" b="1" dirty="0">
            <a:solidFill>
              <a:srgbClr val="4A4A49"/>
            </a:solidFill>
          </a:endParaRPr>
        </a:p>
      </cdr:txBody>
    </cdr:sp>
  </cdr:relSizeAnchor>
  <cdr:relSizeAnchor xmlns:cdr="http://schemas.openxmlformats.org/drawingml/2006/chartDrawing">
    <cdr:from>
      <cdr:x>0.09799</cdr:x>
      <cdr:y>0.48126</cdr:y>
    </cdr:from>
    <cdr:to>
      <cdr:x>0.15587</cdr:x>
      <cdr:y>0.60209</cdr:y>
    </cdr:to>
    <cdr:sp macro="" textlink="">
      <cdr:nvSpPr>
        <cdr:cNvPr id="4" name="Oval 3"/>
        <cdr:cNvSpPr/>
      </cdr:nvSpPr>
      <cdr:spPr>
        <a:xfrm xmlns:a="http://schemas.openxmlformats.org/drawingml/2006/main">
          <a:off x="559558" y="1221475"/>
          <a:ext cx="330565" cy="306686"/>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defPPr>
            <a:defRPr lang="en-US"/>
          </a:defPPr>
          <a:lvl1pPr algn="l" defTabSz="457200" rtl="0" eaLnBrk="0" fontAlgn="base" hangingPunct="0">
            <a:spcBef>
              <a:spcPct val="0"/>
            </a:spcBef>
            <a:spcAft>
              <a:spcPct val="0"/>
            </a:spcAft>
            <a:defRPr kern="1200">
              <a:solidFill>
                <a:schemeClr val="lt1"/>
              </a:solidFill>
              <a:latin typeface="+mn-lt"/>
              <a:ea typeface="+mn-ea"/>
              <a:cs typeface="+mn-cs"/>
            </a:defRPr>
          </a:lvl1pPr>
          <a:lvl2pPr marL="457200" algn="l" defTabSz="457200" rtl="0" eaLnBrk="0" fontAlgn="base" hangingPunct="0">
            <a:spcBef>
              <a:spcPct val="0"/>
            </a:spcBef>
            <a:spcAft>
              <a:spcPct val="0"/>
            </a:spcAft>
            <a:defRPr kern="1200">
              <a:solidFill>
                <a:schemeClr val="lt1"/>
              </a:solidFill>
              <a:latin typeface="+mn-lt"/>
              <a:ea typeface="+mn-ea"/>
              <a:cs typeface="+mn-cs"/>
            </a:defRPr>
          </a:lvl2pPr>
          <a:lvl3pPr marL="914400" algn="l" defTabSz="457200" rtl="0" eaLnBrk="0" fontAlgn="base" hangingPunct="0">
            <a:spcBef>
              <a:spcPct val="0"/>
            </a:spcBef>
            <a:spcAft>
              <a:spcPct val="0"/>
            </a:spcAft>
            <a:defRPr kern="1200">
              <a:solidFill>
                <a:schemeClr val="lt1"/>
              </a:solidFill>
              <a:latin typeface="+mn-lt"/>
              <a:ea typeface="+mn-ea"/>
              <a:cs typeface="+mn-cs"/>
            </a:defRPr>
          </a:lvl3pPr>
          <a:lvl4pPr marL="1371600" algn="l" defTabSz="457200" rtl="0" eaLnBrk="0" fontAlgn="base" hangingPunct="0">
            <a:spcBef>
              <a:spcPct val="0"/>
            </a:spcBef>
            <a:spcAft>
              <a:spcPct val="0"/>
            </a:spcAft>
            <a:defRPr kern="1200">
              <a:solidFill>
                <a:schemeClr val="lt1"/>
              </a:solidFill>
              <a:latin typeface="+mn-lt"/>
              <a:ea typeface="+mn-ea"/>
              <a:cs typeface="+mn-cs"/>
            </a:defRPr>
          </a:lvl4pPr>
          <a:lvl5pPr marL="1828800" algn="l" defTabSz="457200"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xmlns:a="http://schemas.openxmlformats.org/drawingml/2006/main">
          <a:pPr algn="ctr"/>
          <a:r>
            <a:rPr lang="lv-LV" sz="800" b="1" dirty="0"/>
            <a:t>10 gadi</a:t>
          </a:r>
          <a:endParaRPr lang="en-GB" sz="800" b="1" dirty="0"/>
        </a:p>
      </cdr:txBody>
    </cdr:sp>
  </cdr:relSizeAnchor>
  <cdr:relSizeAnchor xmlns:cdr="http://schemas.openxmlformats.org/drawingml/2006/chartDrawing">
    <cdr:from>
      <cdr:x>0.21142</cdr:x>
      <cdr:y>0.48663</cdr:y>
    </cdr:from>
    <cdr:to>
      <cdr:x>0.26931</cdr:x>
      <cdr:y>0.60747</cdr:y>
    </cdr:to>
    <cdr:sp macro="" textlink="">
      <cdr:nvSpPr>
        <cdr:cNvPr id="5" name="Oval 4"/>
        <cdr:cNvSpPr/>
      </cdr:nvSpPr>
      <cdr:spPr>
        <a:xfrm xmlns:a="http://schemas.openxmlformats.org/drawingml/2006/main">
          <a:off x="1207327" y="1235123"/>
          <a:ext cx="330565" cy="306686"/>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defPPr>
            <a:defRPr lang="en-US"/>
          </a:defPPr>
          <a:lvl1pPr algn="l" defTabSz="457200" rtl="0" eaLnBrk="0" fontAlgn="base" hangingPunct="0">
            <a:spcBef>
              <a:spcPct val="0"/>
            </a:spcBef>
            <a:spcAft>
              <a:spcPct val="0"/>
            </a:spcAft>
            <a:defRPr kern="1200">
              <a:solidFill>
                <a:schemeClr val="lt1"/>
              </a:solidFill>
              <a:latin typeface="+mn-lt"/>
              <a:ea typeface="+mn-ea"/>
              <a:cs typeface="+mn-cs"/>
            </a:defRPr>
          </a:lvl1pPr>
          <a:lvl2pPr marL="457200" algn="l" defTabSz="457200" rtl="0" eaLnBrk="0" fontAlgn="base" hangingPunct="0">
            <a:spcBef>
              <a:spcPct val="0"/>
            </a:spcBef>
            <a:spcAft>
              <a:spcPct val="0"/>
            </a:spcAft>
            <a:defRPr kern="1200">
              <a:solidFill>
                <a:schemeClr val="lt1"/>
              </a:solidFill>
              <a:latin typeface="+mn-lt"/>
              <a:ea typeface="+mn-ea"/>
              <a:cs typeface="+mn-cs"/>
            </a:defRPr>
          </a:lvl2pPr>
          <a:lvl3pPr marL="914400" algn="l" defTabSz="457200" rtl="0" eaLnBrk="0" fontAlgn="base" hangingPunct="0">
            <a:spcBef>
              <a:spcPct val="0"/>
            </a:spcBef>
            <a:spcAft>
              <a:spcPct val="0"/>
            </a:spcAft>
            <a:defRPr kern="1200">
              <a:solidFill>
                <a:schemeClr val="lt1"/>
              </a:solidFill>
              <a:latin typeface="+mn-lt"/>
              <a:ea typeface="+mn-ea"/>
              <a:cs typeface="+mn-cs"/>
            </a:defRPr>
          </a:lvl3pPr>
          <a:lvl4pPr marL="1371600" algn="l" defTabSz="457200" rtl="0" eaLnBrk="0" fontAlgn="base" hangingPunct="0">
            <a:spcBef>
              <a:spcPct val="0"/>
            </a:spcBef>
            <a:spcAft>
              <a:spcPct val="0"/>
            </a:spcAft>
            <a:defRPr kern="1200">
              <a:solidFill>
                <a:schemeClr val="lt1"/>
              </a:solidFill>
              <a:latin typeface="+mn-lt"/>
              <a:ea typeface="+mn-ea"/>
              <a:cs typeface="+mn-cs"/>
            </a:defRPr>
          </a:lvl4pPr>
          <a:lvl5pPr marL="1828800" algn="l" defTabSz="457200"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xmlns:a="http://schemas.openxmlformats.org/drawingml/2006/main">
          <a:pPr algn="ctr"/>
          <a:r>
            <a:rPr lang="lv-LV" sz="800" b="1" dirty="0"/>
            <a:t>20 gadi</a:t>
          </a:r>
          <a:endParaRPr lang="en-GB" sz="800" b="1" dirty="0"/>
        </a:p>
      </cdr:txBody>
    </cdr:sp>
  </cdr:relSizeAnchor>
  <cdr:relSizeAnchor xmlns:cdr="http://schemas.openxmlformats.org/drawingml/2006/chartDrawing">
    <cdr:from>
      <cdr:x>0.43777</cdr:x>
      <cdr:y>0.48663</cdr:y>
    </cdr:from>
    <cdr:to>
      <cdr:x>0.49566</cdr:x>
      <cdr:y>0.60747</cdr:y>
    </cdr:to>
    <cdr:sp macro="" textlink="">
      <cdr:nvSpPr>
        <cdr:cNvPr id="6" name="Oval 5"/>
        <cdr:cNvSpPr/>
      </cdr:nvSpPr>
      <cdr:spPr>
        <a:xfrm xmlns:a="http://schemas.openxmlformats.org/drawingml/2006/main">
          <a:off x="2499938" y="1235123"/>
          <a:ext cx="330565" cy="306686"/>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defPPr>
            <a:defRPr lang="en-US"/>
          </a:defPPr>
          <a:lvl1pPr algn="l" defTabSz="457200" rtl="0" eaLnBrk="0" fontAlgn="base" hangingPunct="0">
            <a:spcBef>
              <a:spcPct val="0"/>
            </a:spcBef>
            <a:spcAft>
              <a:spcPct val="0"/>
            </a:spcAft>
            <a:defRPr kern="1200">
              <a:solidFill>
                <a:schemeClr val="lt1"/>
              </a:solidFill>
              <a:latin typeface="+mn-lt"/>
              <a:ea typeface="+mn-ea"/>
              <a:cs typeface="+mn-cs"/>
            </a:defRPr>
          </a:lvl1pPr>
          <a:lvl2pPr marL="457200" algn="l" defTabSz="457200" rtl="0" eaLnBrk="0" fontAlgn="base" hangingPunct="0">
            <a:spcBef>
              <a:spcPct val="0"/>
            </a:spcBef>
            <a:spcAft>
              <a:spcPct val="0"/>
            </a:spcAft>
            <a:defRPr kern="1200">
              <a:solidFill>
                <a:schemeClr val="lt1"/>
              </a:solidFill>
              <a:latin typeface="+mn-lt"/>
              <a:ea typeface="+mn-ea"/>
              <a:cs typeface="+mn-cs"/>
            </a:defRPr>
          </a:lvl2pPr>
          <a:lvl3pPr marL="914400" algn="l" defTabSz="457200" rtl="0" eaLnBrk="0" fontAlgn="base" hangingPunct="0">
            <a:spcBef>
              <a:spcPct val="0"/>
            </a:spcBef>
            <a:spcAft>
              <a:spcPct val="0"/>
            </a:spcAft>
            <a:defRPr kern="1200">
              <a:solidFill>
                <a:schemeClr val="lt1"/>
              </a:solidFill>
              <a:latin typeface="+mn-lt"/>
              <a:ea typeface="+mn-ea"/>
              <a:cs typeface="+mn-cs"/>
            </a:defRPr>
          </a:lvl3pPr>
          <a:lvl4pPr marL="1371600" algn="l" defTabSz="457200" rtl="0" eaLnBrk="0" fontAlgn="base" hangingPunct="0">
            <a:spcBef>
              <a:spcPct val="0"/>
            </a:spcBef>
            <a:spcAft>
              <a:spcPct val="0"/>
            </a:spcAft>
            <a:defRPr kern="1200">
              <a:solidFill>
                <a:schemeClr val="lt1"/>
              </a:solidFill>
              <a:latin typeface="+mn-lt"/>
              <a:ea typeface="+mn-ea"/>
              <a:cs typeface="+mn-cs"/>
            </a:defRPr>
          </a:lvl4pPr>
          <a:lvl5pPr marL="1828800" algn="l" defTabSz="457200"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xmlns:a="http://schemas.openxmlformats.org/drawingml/2006/main">
          <a:pPr algn="ctr"/>
          <a:r>
            <a:rPr lang="lv-LV" sz="800" b="1" dirty="0"/>
            <a:t>20 gadi</a:t>
          </a:r>
          <a:endParaRPr lang="en-GB" sz="800" b="1" dirty="0"/>
        </a:p>
      </cdr:txBody>
    </cdr:sp>
  </cdr:relSizeAnchor>
  <cdr:relSizeAnchor xmlns:cdr="http://schemas.openxmlformats.org/drawingml/2006/chartDrawing">
    <cdr:from>
      <cdr:x>0.32613</cdr:x>
      <cdr:y>0.48663</cdr:y>
    </cdr:from>
    <cdr:to>
      <cdr:x>0.38402</cdr:x>
      <cdr:y>0.60747</cdr:y>
    </cdr:to>
    <cdr:sp macro="" textlink="">
      <cdr:nvSpPr>
        <cdr:cNvPr id="7" name="Oval 6"/>
        <cdr:cNvSpPr/>
      </cdr:nvSpPr>
      <cdr:spPr>
        <a:xfrm xmlns:a="http://schemas.openxmlformats.org/drawingml/2006/main">
          <a:off x="1862397" y="1235124"/>
          <a:ext cx="330565" cy="306686"/>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defPPr>
            <a:defRPr lang="en-US"/>
          </a:defPPr>
          <a:lvl1pPr algn="l" defTabSz="457200" rtl="0" eaLnBrk="0" fontAlgn="base" hangingPunct="0">
            <a:spcBef>
              <a:spcPct val="0"/>
            </a:spcBef>
            <a:spcAft>
              <a:spcPct val="0"/>
            </a:spcAft>
            <a:defRPr kern="1200">
              <a:solidFill>
                <a:schemeClr val="lt1"/>
              </a:solidFill>
              <a:latin typeface="+mn-lt"/>
              <a:ea typeface="+mn-ea"/>
              <a:cs typeface="+mn-cs"/>
            </a:defRPr>
          </a:lvl1pPr>
          <a:lvl2pPr marL="457200" algn="l" defTabSz="457200" rtl="0" eaLnBrk="0" fontAlgn="base" hangingPunct="0">
            <a:spcBef>
              <a:spcPct val="0"/>
            </a:spcBef>
            <a:spcAft>
              <a:spcPct val="0"/>
            </a:spcAft>
            <a:defRPr kern="1200">
              <a:solidFill>
                <a:schemeClr val="lt1"/>
              </a:solidFill>
              <a:latin typeface="+mn-lt"/>
              <a:ea typeface="+mn-ea"/>
              <a:cs typeface="+mn-cs"/>
            </a:defRPr>
          </a:lvl2pPr>
          <a:lvl3pPr marL="914400" algn="l" defTabSz="457200" rtl="0" eaLnBrk="0" fontAlgn="base" hangingPunct="0">
            <a:spcBef>
              <a:spcPct val="0"/>
            </a:spcBef>
            <a:spcAft>
              <a:spcPct val="0"/>
            </a:spcAft>
            <a:defRPr kern="1200">
              <a:solidFill>
                <a:schemeClr val="lt1"/>
              </a:solidFill>
              <a:latin typeface="+mn-lt"/>
              <a:ea typeface="+mn-ea"/>
              <a:cs typeface="+mn-cs"/>
            </a:defRPr>
          </a:lvl3pPr>
          <a:lvl4pPr marL="1371600" algn="l" defTabSz="457200" rtl="0" eaLnBrk="0" fontAlgn="base" hangingPunct="0">
            <a:spcBef>
              <a:spcPct val="0"/>
            </a:spcBef>
            <a:spcAft>
              <a:spcPct val="0"/>
            </a:spcAft>
            <a:defRPr kern="1200">
              <a:solidFill>
                <a:schemeClr val="lt1"/>
              </a:solidFill>
              <a:latin typeface="+mn-lt"/>
              <a:ea typeface="+mn-ea"/>
              <a:cs typeface="+mn-cs"/>
            </a:defRPr>
          </a:lvl4pPr>
          <a:lvl5pPr marL="1828800" algn="l" defTabSz="457200"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xmlns:a="http://schemas.openxmlformats.org/drawingml/2006/main">
          <a:pPr algn="ctr"/>
          <a:r>
            <a:rPr lang="lv-LV" sz="800" b="1" dirty="0"/>
            <a:t>10 gadi</a:t>
          </a:r>
          <a:endParaRPr lang="en-GB" sz="800" b="1" dirty="0"/>
        </a:p>
      </cdr:txBody>
    </cdr:sp>
  </cdr:relSizeAnchor>
  <cdr:relSizeAnchor xmlns:cdr="http://schemas.openxmlformats.org/drawingml/2006/chartDrawing">
    <cdr:from>
      <cdr:x>0.66174</cdr:x>
      <cdr:y>0.49201</cdr:y>
    </cdr:from>
    <cdr:to>
      <cdr:x>0.71963</cdr:x>
      <cdr:y>0.61284</cdr:y>
    </cdr:to>
    <cdr:sp macro="" textlink="">
      <cdr:nvSpPr>
        <cdr:cNvPr id="8" name="Oval 7"/>
        <cdr:cNvSpPr/>
      </cdr:nvSpPr>
      <cdr:spPr>
        <a:xfrm xmlns:a="http://schemas.openxmlformats.org/drawingml/2006/main">
          <a:off x="3778928" y="1248772"/>
          <a:ext cx="330565" cy="306686"/>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defPPr>
            <a:defRPr lang="en-US"/>
          </a:defPPr>
          <a:lvl1pPr algn="l" defTabSz="457200" rtl="0" eaLnBrk="0" fontAlgn="base" hangingPunct="0">
            <a:spcBef>
              <a:spcPct val="0"/>
            </a:spcBef>
            <a:spcAft>
              <a:spcPct val="0"/>
            </a:spcAft>
            <a:defRPr kern="1200">
              <a:solidFill>
                <a:schemeClr val="lt1"/>
              </a:solidFill>
              <a:latin typeface="+mn-lt"/>
              <a:ea typeface="+mn-ea"/>
              <a:cs typeface="+mn-cs"/>
            </a:defRPr>
          </a:lvl1pPr>
          <a:lvl2pPr marL="457200" algn="l" defTabSz="457200" rtl="0" eaLnBrk="0" fontAlgn="base" hangingPunct="0">
            <a:spcBef>
              <a:spcPct val="0"/>
            </a:spcBef>
            <a:spcAft>
              <a:spcPct val="0"/>
            </a:spcAft>
            <a:defRPr kern="1200">
              <a:solidFill>
                <a:schemeClr val="lt1"/>
              </a:solidFill>
              <a:latin typeface="+mn-lt"/>
              <a:ea typeface="+mn-ea"/>
              <a:cs typeface="+mn-cs"/>
            </a:defRPr>
          </a:lvl2pPr>
          <a:lvl3pPr marL="914400" algn="l" defTabSz="457200" rtl="0" eaLnBrk="0" fontAlgn="base" hangingPunct="0">
            <a:spcBef>
              <a:spcPct val="0"/>
            </a:spcBef>
            <a:spcAft>
              <a:spcPct val="0"/>
            </a:spcAft>
            <a:defRPr kern="1200">
              <a:solidFill>
                <a:schemeClr val="lt1"/>
              </a:solidFill>
              <a:latin typeface="+mn-lt"/>
              <a:ea typeface="+mn-ea"/>
              <a:cs typeface="+mn-cs"/>
            </a:defRPr>
          </a:lvl3pPr>
          <a:lvl4pPr marL="1371600" algn="l" defTabSz="457200" rtl="0" eaLnBrk="0" fontAlgn="base" hangingPunct="0">
            <a:spcBef>
              <a:spcPct val="0"/>
            </a:spcBef>
            <a:spcAft>
              <a:spcPct val="0"/>
            </a:spcAft>
            <a:defRPr kern="1200">
              <a:solidFill>
                <a:schemeClr val="lt1"/>
              </a:solidFill>
              <a:latin typeface="+mn-lt"/>
              <a:ea typeface="+mn-ea"/>
              <a:cs typeface="+mn-cs"/>
            </a:defRPr>
          </a:lvl4pPr>
          <a:lvl5pPr marL="1828800" algn="l" defTabSz="457200"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xmlns:a="http://schemas.openxmlformats.org/drawingml/2006/main">
          <a:pPr algn="ctr"/>
          <a:r>
            <a:rPr lang="lv-LV" sz="800" b="1" dirty="0"/>
            <a:t>20 gadi</a:t>
          </a:r>
          <a:endParaRPr lang="en-GB" sz="800" b="1" dirty="0"/>
        </a:p>
      </cdr:txBody>
    </cdr:sp>
  </cdr:relSizeAnchor>
  <cdr:relSizeAnchor xmlns:cdr="http://schemas.openxmlformats.org/drawingml/2006/chartDrawing">
    <cdr:from>
      <cdr:x>0.77482</cdr:x>
      <cdr:y>0.4947</cdr:y>
    </cdr:from>
    <cdr:to>
      <cdr:x>0.83271</cdr:x>
      <cdr:y>0.61553</cdr:y>
    </cdr:to>
    <cdr:sp macro="" textlink="">
      <cdr:nvSpPr>
        <cdr:cNvPr id="9" name="Oval 8"/>
        <cdr:cNvSpPr/>
      </cdr:nvSpPr>
      <cdr:spPr>
        <a:xfrm xmlns:a="http://schemas.openxmlformats.org/drawingml/2006/main">
          <a:off x="4424646" y="1255595"/>
          <a:ext cx="330565" cy="306686"/>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defPPr>
            <a:defRPr lang="en-US"/>
          </a:defPPr>
          <a:lvl1pPr algn="l" defTabSz="457200" rtl="0" eaLnBrk="0" fontAlgn="base" hangingPunct="0">
            <a:spcBef>
              <a:spcPct val="0"/>
            </a:spcBef>
            <a:spcAft>
              <a:spcPct val="0"/>
            </a:spcAft>
            <a:defRPr kern="1200">
              <a:solidFill>
                <a:schemeClr val="lt1"/>
              </a:solidFill>
              <a:latin typeface="+mn-lt"/>
              <a:ea typeface="+mn-ea"/>
              <a:cs typeface="+mn-cs"/>
            </a:defRPr>
          </a:lvl1pPr>
          <a:lvl2pPr marL="457200" algn="l" defTabSz="457200" rtl="0" eaLnBrk="0" fontAlgn="base" hangingPunct="0">
            <a:spcBef>
              <a:spcPct val="0"/>
            </a:spcBef>
            <a:spcAft>
              <a:spcPct val="0"/>
            </a:spcAft>
            <a:defRPr kern="1200">
              <a:solidFill>
                <a:schemeClr val="lt1"/>
              </a:solidFill>
              <a:latin typeface="+mn-lt"/>
              <a:ea typeface="+mn-ea"/>
              <a:cs typeface="+mn-cs"/>
            </a:defRPr>
          </a:lvl2pPr>
          <a:lvl3pPr marL="914400" algn="l" defTabSz="457200" rtl="0" eaLnBrk="0" fontAlgn="base" hangingPunct="0">
            <a:spcBef>
              <a:spcPct val="0"/>
            </a:spcBef>
            <a:spcAft>
              <a:spcPct val="0"/>
            </a:spcAft>
            <a:defRPr kern="1200">
              <a:solidFill>
                <a:schemeClr val="lt1"/>
              </a:solidFill>
              <a:latin typeface="+mn-lt"/>
              <a:ea typeface="+mn-ea"/>
              <a:cs typeface="+mn-cs"/>
            </a:defRPr>
          </a:lvl3pPr>
          <a:lvl4pPr marL="1371600" algn="l" defTabSz="457200" rtl="0" eaLnBrk="0" fontAlgn="base" hangingPunct="0">
            <a:spcBef>
              <a:spcPct val="0"/>
            </a:spcBef>
            <a:spcAft>
              <a:spcPct val="0"/>
            </a:spcAft>
            <a:defRPr kern="1200">
              <a:solidFill>
                <a:schemeClr val="lt1"/>
              </a:solidFill>
              <a:latin typeface="+mn-lt"/>
              <a:ea typeface="+mn-ea"/>
              <a:cs typeface="+mn-cs"/>
            </a:defRPr>
          </a:lvl4pPr>
          <a:lvl5pPr marL="1828800" algn="l" defTabSz="457200"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xmlns:a="http://schemas.openxmlformats.org/drawingml/2006/main">
          <a:pPr algn="ctr"/>
          <a:r>
            <a:rPr lang="lv-LV" sz="800" b="1" dirty="0"/>
            <a:t>20 gadi</a:t>
          </a:r>
          <a:endParaRPr lang="en-GB" sz="800" b="1" dirty="0"/>
        </a:p>
      </cdr:txBody>
    </cdr:sp>
  </cdr:relSizeAnchor>
  <cdr:relSizeAnchor xmlns:cdr="http://schemas.openxmlformats.org/drawingml/2006/chartDrawing">
    <cdr:from>
      <cdr:x>0.54778</cdr:x>
      <cdr:y>0.48932</cdr:y>
    </cdr:from>
    <cdr:to>
      <cdr:x>0.60566</cdr:x>
      <cdr:y>0.61016</cdr:y>
    </cdr:to>
    <cdr:sp macro="" textlink="">
      <cdr:nvSpPr>
        <cdr:cNvPr id="10" name="Oval 9"/>
        <cdr:cNvSpPr/>
      </cdr:nvSpPr>
      <cdr:spPr>
        <a:xfrm xmlns:a="http://schemas.openxmlformats.org/drawingml/2006/main">
          <a:off x="3128109" y="1241947"/>
          <a:ext cx="330565" cy="306686"/>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defPPr>
            <a:defRPr lang="en-US"/>
          </a:defPPr>
          <a:lvl1pPr algn="l" defTabSz="457200" rtl="0" eaLnBrk="0" fontAlgn="base" hangingPunct="0">
            <a:spcBef>
              <a:spcPct val="0"/>
            </a:spcBef>
            <a:spcAft>
              <a:spcPct val="0"/>
            </a:spcAft>
            <a:defRPr kern="1200">
              <a:solidFill>
                <a:schemeClr val="lt1"/>
              </a:solidFill>
              <a:latin typeface="+mn-lt"/>
              <a:ea typeface="+mn-ea"/>
              <a:cs typeface="+mn-cs"/>
            </a:defRPr>
          </a:lvl1pPr>
          <a:lvl2pPr marL="457200" algn="l" defTabSz="457200" rtl="0" eaLnBrk="0" fontAlgn="base" hangingPunct="0">
            <a:spcBef>
              <a:spcPct val="0"/>
            </a:spcBef>
            <a:spcAft>
              <a:spcPct val="0"/>
            </a:spcAft>
            <a:defRPr kern="1200">
              <a:solidFill>
                <a:schemeClr val="lt1"/>
              </a:solidFill>
              <a:latin typeface="+mn-lt"/>
              <a:ea typeface="+mn-ea"/>
              <a:cs typeface="+mn-cs"/>
            </a:defRPr>
          </a:lvl2pPr>
          <a:lvl3pPr marL="914400" algn="l" defTabSz="457200" rtl="0" eaLnBrk="0" fontAlgn="base" hangingPunct="0">
            <a:spcBef>
              <a:spcPct val="0"/>
            </a:spcBef>
            <a:spcAft>
              <a:spcPct val="0"/>
            </a:spcAft>
            <a:defRPr kern="1200">
              <a:solidFill>
                <a:schemeClr val="lt1"/>
              </a:solidFill>
              <a:latin typeface="+mn-lt"/>
              <a:ea typeface="+mn-ea"/>
              <a:cs typeface="+mn-cs"/>
            </a:defRPr>
          </a:lvl3pPr>
          <a:lvl4pPr marL="1371600" algn="l" defTabSz="457200" rtl="0" eaLnBrk="0" fontAlgn="base" hangingPunct="0">
            <a:spcBef>
              <a:spcPct val="0"/>
            </a:spcBef>
            <a:spcAft>
              <a:spcPct val="0"/>
            </a:spcAft>
            <a:defRPr kern="1200">
              <a:solidFill>
                <a:schemeClr val="lt1"/>
              </a:solidFill>
              <a:latin typeface="+mn-lt"/>
              <a:ea typeface="+mn-ea"/>
              <a:cs typeface="+mn-cs"/>
            </a:defRPr>
          </a:lvl4pPr>
          <a:lvl5pPr marL="1828800" algn="l" defTabSz="457200"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xmlns:a="http://schemas.openxmlformats.org/drawingml/2006/main">
          <a:pPr algn="ctr"/>
          <a:r>
            <a:rPr lang="lv-LV" sz="800" b="1" dirty="0"/>
            <a:t>20 gadi</a:t>
          </a:r>
          <a:endParaRPr lang="en-GB" sz="800" b="1" dirty="0"/>
        </a:p>
      </cdr:txBody>
    </cdr:sp>
  </cdr:relSizeAnchor>
  <cdr:relSizeAnchor xmlns:cdr="http://schemas.openxmlformats.org/drawingml/2006/chartDrawing">
    <cdr:from>
      <cdr:x>0.89024</cdr:x>
      <cdr:y>0.50814</cdr:y>
    </cdr:from>
    <cdr:to>
      <cdr:x>0.94813</cdr:x>
      <cdr:y>0.62898</cdr:y>
    </cdr:to>
    <cdr:sp macro="" textlink="">
      <cdr:nvSpPr>
        <cdr:cNvPr id="11" name="Oval 10"/>
        <cdr:cNvSpPr/>
      </cdr:nvSpPr>
      <cdr:spPr>
        <a:xfrm xmlns:a="http://schemas.openxmlformats.org/drawingml/2006/main">
          <a:off x="5083791" y="1289714"/>
          <a:ext cx="330565" cy="306686"/>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defPPr>
            <a:defRPr lang="en-US"/>
          </a:defPPr>
          <a:lvl1pPr algn="l" defTabSz="457200" rtl="0" eaLnBrk="0" fontAlgn="base" hangingPunct="0">
            <a:spcBef>
              <a:spcPct val="0"/>
            </a:spcBef>
            <a:spcAft>
              <a:spcPct val="0"/>
            </a:spcAft>
            <a:defRPr kern="1200">
              <a:solidFill>
                <a:schemeClr val="lt1"/>
              </a:solidFill>
              <a:latin typeface="+mn-lt"/>
              <a:ea typeface="+mn-ea"/>
              <a:cs typeface="+mn-cs"/>
            </a:defRPr>
          </a:lvl1pPr>
          <a:lvl2pPr marL="457200" algn="l" defTabSz="457200" rtl="0" eaLnBrk="0" fontAlgn="base" hangingPunct="0">
            <a:spcBef>
              <a:spcPct val="0"/>
            </a:spcBef>
            <a:spcAft>
              <a:spcPct val="0"/>
            </a:spcAft>
            <a:defRPr kern="1200">
              <a:solidFill>
                <a:schemeClr val="lt1"/>
              </a:solidFill>
              <a:latin typeface="+mn-lt"/>
              <a:ea typeface="+mn-ea"/>
              <a:cs typeface="+mn-cs"/>
            </a:defRPr>
          </a:lvl2pPr>
          <a:lvl3pPr marL="914400" algn="l" defTabSz="457200" rtl="0" eaLnBrk="0" fontAlgn="base" hangingPunct="0">
            <a:spcBef>
              <a:spcPct val="0"/>
            </a:spcBef>
            <a:spcAft>
              <a:spcPct val="0"/>
            </a:spcAft>
            <a:defRPr kern="1200">
              <a:solidFill>
                <a:schemeClr val="lt1"/>
              </a:solidFill>
              <a:latin typeface="+mn-lt"/>
              <a:ea typeface="+mn-ea"/>
              <a:cs typeface="+mn-cs"/>
            </a:defRPr>
          </a:lvl3pPr>
          <a:lvl4pPr marL="1371600" algn="l" defTabSz="457200" rtl="0" eaLnBrk="0" fontAlgn="base" hangingPunct="0">
            <a:spcBef>
              <a:spcPct val="0"/>
            </a:spcBef>
            <a:spcAft>
              <a:spcPct val="0"/>
            </a:spcAft>
            <a:defRPr kern="1200">
              <a:solidFill>
                <a:schemeClr val="lt1"/>
              </a:solidFill>
              <a:latin typeface="+mn-lt"/>
              <a:ea typeface="+mn-ea"/>
              <a:cs typeface="+mn-cs"/>
            </a:defRPr>
          </a:lvl4pPr>
          <a:lvl5pPr marL="1828800" algn="l" defTabSz="457200"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xmlns:a="http://schemas.openxmlformats.org/drawingml/2006/main">
          <a:pPr algn="ctr"/>
          <a:r>
            <a:rPr lang="lv-LV" sz="800" b="1" dirty="0"/>
            <a:t>10 gadi</a:t>
          </a:r>
          <a:endParaRPr lang="en-GB" sz="800" b="1" dirty="0"/>
        </a:p>
      </cdr:txBody>
    </cdr:sp>
  </cdr:relSizeAnchor>
</c:userShapes>
</file>

<file path=word/drawings/drawing2.xml><?xml version="1.0" encoding="utf-8"?>
<c:userShapes xmlns:c="http://schemas.openxmlformats.org/drawingml/2006/chart">
  <cdr:relSizeAnchor xmlns:cdr="http://schemas.openxmlformats.org/drawingml/2006/chartDrawing">
    <cdr:from>
      <cdr:x>0.40121</cdr:x>
      <cdr:y>0.46875</cdr:y>
    </cdr:from>
    <cdr:to>
      <cdr:x>0.46357</cdr:x>
      <cdr:y>0.66774</cdr:y>
    </cdr:to>
    <cdr:sp macro="" textlink="">
      <cdr:nvSpPr>
        <cdr:cNvPr id="249047491" name="Oval 2"/>
        <cdr:cNvSpPr/>
      </cdr:nvSpPr>
      <cdr:spPr>
        <a:xfrm xmlns:a="http://schemas.openxmlformats.org/drawingml/2006/main">
          <a:off x="2311032" y="828675"/>
          <a:ext cx="359143" cy="351789"/>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800" b="1" dirty="0"/>
            <a:t>15 gadi</a:t>
          </a:r>
          <a:endParaRPr lang="en-GB" sz="800" b="1" dirty="0"/>
        </a:p>
      </cdr:txBody>
    </cdr:sp>
  </cdr:relSizeAnchor>
  <cdr:relSizeAnchor xmlns:cdr="http://schemas.openxmlformats.org/drawingml/2006/chartDrawing">
    <cdr:from>
      <cdr:x>0.61674</cdr:x>
      <cdr:y>0.45977</cdr:y>
    </cdr:from>
    <cdr:to>
      <cdr:x>0.67909</cdr:x>
      <cdr:y>0.65876</cdr:y>
    </cdr:to>
    <cdr:sp macro="" textlink="">
      <cdr:nvSpPr>
        <cdr:cNvPr id="1611248568" name="Oval 3"/>
        <cdr:cNvSpPr/>
      </cdr:nvSpPr>
      <cdr:spPr>
        <a:xfrm xmlns:a="http://schemas.openxmlformats.org/drawingml/2006/main">
          <a:off x="3552457" y="812800"/>
          <a:ext cx="359143" cy="351789"/>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800" b="1" dirty="0"/>
            <a:t>15 gadi</a:t>
          </a:r>
          <a:endParaRPr lang="en-GB" sz="800" b="1" dirty="0"/>
        </a:p>
      </cdr:txBody>
    </cdr:sp>
  </cdr:relSizeAnchor>
  <cdr:relSizeAnchor xmlns:cdr="http://schemas.openxmlformats.org/drawingml/2006/chartDrawing">
    <cdr:from>
      <cdr:x>0.83667</cdr:x>
      <cdr:y>0.44899</cdr:y>
    </cdr:from>
    <cdr:to>
      <cdr:x>0.89902</cdr:x>
      <cdr:y>0.64799</cdr:y>
    </cdr:to>
    <cdr:sp macro="" textlink="">
      <cdr:nvSpPr>
        <cdr:cNvPr id="818688005" name="Oval 4"/>
        <cdr:cNvSpPr/>
      </cdr:nvSpPr>
      <cdr:spPr>
        <a:xfrm xmlns:a="http://schemas.openxmlformats.org/drawingml/2006/main">
          <a:off x="4819282" y="793750"/>
          <a:ext cx="359143" cy="351789"/>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800" b="1" dirty="0"/>
            <a:t>15 gadi</a:t>
          </a:r>
          <a:endParaRPr lang="en-GB" sz="800" b="1" dirty="0"/>
        </a:p>
      </cdr:txBody>
    </cdr:sp>
  </cdr:relSizeAnchor>
  <cdr:relSizeAnchor xmlns:cdr="http://schemas.openxmlformats.org/drawingml/2006/chartDrawing">
    <cdr:from>
      <cdr:x>0.18845</cdr:x>
      <cdr:y>0.44899</cdr:y>
    </cdr:from>
    <cdr:to>
      <cdr:x>0.2508</cdr:x>
      <cdr:y>0.64799</cdr:y>
    </cdr:to>
    <cdr:sp macro="" textlink="">
      <cdr:nvSpPr>
        <cdr:cNvPr id="84022394" name="Oval 5"/>
        <cdr:cNvSpPr/>
      </cdr:nvSpPr>
      <cdr:spPr>
        <a:xfrm xmlns:a="http://schemas.openxmlformats.org/drawingml/2006/main">
          <a:off x="1085482" y="793750"/>
          <a:ext cx="359143" cy="351789"/>
        </a:xfrm>
        <a:prstGeom xmlns:a="http://schemas.openxmlformats.org/drawingml/2006/main" prst="ellipse">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non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800" b="1" dirty="0"/>
            <a:t>15 gadi</a:t>
          </a:r>
          <a:endParaRPr lang="en-GB" sz="800" b="1" dirty="0"/>
        </a:p>
      </cdr:txBody>
    </cdr:sp>
  </cdr:relSizeAnchor>
</c:userShapes>
</file>

<file path=word/drawings/drawing3.xml><?xml version="1.0" encoding="utf-8"?>
<c:userShapes xmlns:c="http://schemas.openxmlformats.org/drawingml/2006/chart">
  <cdr:relSizeAnchor xmlns:cdr="http://schemas.openxmlformats.org/drawingml/2006/chartDrawing">
    <cdr:from>
      <cdr:x>0.86411</cdr:x>
      <cdr:y>0.61694</cdr:y>
    </cdr:from>
    <cdr:to>
      <cdr:x>0.98796</cdr:x>
      <cdr:y>0.75699</cdr:y>
    </cdr:to>
    <cdr:sp macro="" textlink="">
      <cdr:nvSpPr>
        <cdr:cNvPr id="511621457" name="TextBox 1">
          <a:extLst xmlns:a="http://schemas.openxmlformats.org/drawingml/2006/main">
            <a:ext uri="{FF2B5EF4-FFF2-40B4-BE49-F238E27FC236}">
              <a16:creationId xmlns:a16="http://schemas.microsoft.com/office/drawing/2014/main" id="{38EF023D-E2F9-46C9-A365-D0A6D9EA94D1}"/>
            </a:ext>
          </a:extLst>
        </cdr:cNvPr>
        <cdr:cNvSpPr txBox="1"/>
      </cdr:nvSpPr>
      <cdr:spPr>
        <a:xfrm xmlns:a="http://schemas.openxmlformats.org/drawingml/2006/main">
          <a:off x="3068722" y="880213"/>
          <a:ext cx="439828" cy="1998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800" dirty="0">
              <a:solidFill>
                <a:srgbClr val="228B9D"/>
              </a:solidFill>
              <a:latin typeface="Verdana" panose="020B0604030504040204" pitchFamily="34" charset="0"/>
              <a:ea typeface="Verdana" panose="020B0604030504040204" pitchFamily="34" charset="0"/>
              <a:cs typeface="Verdana" panose="020B0604030504040204" pitchFamily="34" charset="0"/>
            </a:rPr>
            <a:t>MIN</a:t>
          </a:r>
        </a:p>
      </cdr:txBody>
    </cdr:sp>
  </cdr:relSizeAnchor>
  <cdr:relSizeAnchor xmlns:cdr="http://schemas.openxmlformats.org/drawingml/2006/chartDrawing">
    <cdr:from>
      <cdr:x>0.86478</cdr:x>
      <cdr:y>0.3961</cdr:y>
    </cdr:from>
    <cdr:to>
      <cdr:x>0.98863</cdr:x>
      <cdr:y>0.53615</cdr:y>
    </cdr:to>
    <cdr:sp macro="" textlink="">
      <cdr:nvSpPr>
        <cdr:cNvPr id="1055975899" name="TextBox 1"/>
        <cdr:cNvSpPr txBox="1"/>
      </cdr:nvSpPr>
      <cdr:spPr>
        <a:xfrm xmlns:a="http://schemas.openxmlformats.org/drawingml/2006/main">
          <a:off x="3070777" y="564926"/>
          <a:ext cx="439782" cy="19974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800" dirty="0">
              <a:solidFill>
                <a:srgbClr val="228B9D"/>
              </a:solidFill>
              <a:latin typeface="Verdana" panose="020B0604030504040204" pitchFamily="34" charset="0"/>
              <a:ea typeface="Verdana" panose="020B0604030504040204" pitchFamily="34" charset="0"/>
              <a:cs typeface="Verdana" panose="020B0604030504040204" pitchFamily="34" charset="0"/>
            </a:rPr>
            <a:t>MAX</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C7ED8-6B4A-4093-9BBF-18E9AF84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85</Pages>
  <Words>128739</Words>
  <Characters>73382</Characters>
  <Application>Microsoft Office Word</Application>
  <DocSecurity>0</DocSecurity>
  <Lines>611</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IEPD</dc:creator>
  <cp:lastModifiedBy>Līga Dreijalte</cp:lastModifiedBy>
  <cp:revision>81</cp:revision>
  <cp:lastPrinted>2018-12-05T12:18:00Z</cp:lastPrinted>
  <dcterms:created xsi:type="dcterms:W3CDTF">2018-11-20T14:16:00Z</dcterms:created>
  <dcterms:modified xsi:type="dcterms:W3CDTF">2018-12-05T17:19:00Z</dcterms:modified>
</cp:coreProperties>
</file>