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4158E" w14:textId="77777777" w:rsidR="00980E53" w:rsidRPr="00D744D8" w:rsidRDefault="00980E53" w:rsidP="0090148E">
      <w:pPr>
        <w:jc w:val="right"/>
        <w:rPr>
          <w:rFonts w:eastAsia="Calibri" w:cs="Times New Roman"/>
          <w:sz w:val="26"/>
          <w:szCs w:val="26"/>
        </w:rPr>
      </w:pPr>
      <w:r w:rsidRPr="00D744D8">
        <w:rPr>
          <w:rFonts w:eastAsia="Calibri" w:cs="Times New Roman"/>
          <w:sz w:val="26"/>
          <w:szCs w:val="26"/>
        </w:rPr>
        <w:t xml:space="preserve">Informatīvā ziņojuma par Imigrācijas likuma </w:t>
      </w:r>
    </w:p>
    <w:p w14:paraId="60FBA99F" w14:textId="77777777" w:rsidR="00980E53" w:rsidRPr="00D744D8" w:rsidRDefault="00980E53" w:rsidP="0090148E">
      <w:pPr>
        <w:jc w:val="right"/>
        <w:rPr>
          <w:rFonts w:eastAsia="Calibri" w:cs="Times New Roman"/>
          <w:sz w:val="26"/>
          <w:szCs w:val="26"/>
        </w:rPr>
      </w:pPr>
      <w:r w:rsidRPr="00D744D8">
        <w:rPr>
          <w:rFonts w:eastAsia="Calibri" w:cs="Times New Roman"/>
          <w:sz w:val="26"/>
          <w:szCs w:val="26"/>
        </w:rPr>
        <w:t xml:space="preserve">23.panta pirmās daļas 3., 28., 29., 30. un 31.punktā </w:t>
      </w:r>
    </w:p>
    <w:p w14:paraId="31A72C14" w14:textId="77777777" w:rsidR="00980E53" w:rsidRPr="00D744D8" w:rsidRDefault="00980E53" w:rsidP="0090148E">
      <w:pPr>
        <w:jc w:val="right"/>
        <w:rPr>
          <w:rFonts w:eastAsia="Calibri" w:cs="Times New Roman"/>
          <w:sz w:val="26"/>
          <w:szCs w:val="26"/>
        </w:rPr>
      </w:pPr>
      <w:r w:rsidRPr="00D744D8">
        <w:rPr>
          <w:rFonts w:eastAsia="Calibri" w:cs="Times New Roman"/>
          <w:sz w:val="26"/>
          <w:szCs w:val="26"/>
        </w:rPr>
        <w:t>paredzēto noteikumu īstenošanas gaitu un rezultātiem</w:t>
      </w:r>
    </w:p>
    <w:p w14:paraId="7552C3A5" w14:textId="77777777" w:rsidR="00A2102B" w:rsidRDefault="00FF4B32" w:rsidP="0090148E">
      <w:pPr>
        <w:jc w:val="right"/>
        <w:rPr>
          <w:sz w:val="26"/>
          <w:szCs w:val="26"/>
        </w:rPr>
      </w:pPr>
      <w:r>
        <w:rPr>
          <w:sz w:val="26"/>
          <w:szCs w:val="26"/>
        </w:rPr>
        <w:t>2</w:t>
      </w:r>
      <w:r w:rsidR="00980E53" w:rsidRPr="00D744D8">
        <w:rPr>
          <w:sz w:val="26"/>
          <w:szCs w:val="26"/>
        </w:rPr>
        <w:t>.pielikums</w:t>
      </w:r>
    </w:p>
    <w:p w14:paraId="03287C9E" w14:textId="77777777" w:rsidR="00157BF8" w:rsidRDefault="00157BF8" w:rsidP="0090148E">
      <w:pPr>
        <w:jc w:val="right"/>
        <w:rPr>
          <w:sz w:val="26"/>
          <w:szCs w:val="26"/>
        </w:rPr>
      </w:pPr>
    </w:p>
    <w:p w14:paraId="43416DA0" w14:textId="77777777" w:rsidR="0091282C" w:rsidRDefault="0091282C" w:rsidP="0090148E">
      <w:pPr>
        <w:pStyle w:val="Heading1"/>
        <w:spacing w:before="0" w:after="120" w:line="240" w:lineRule="auto"/>
        <w:jc w:val="center"/>
        <w:rPr>
          <w:rFonts w:ascii="Times New Roman" w:hAnsi="Times New Roman"/>
          <w:color w:val="auto"/>
        </w:rPr>
      </w:pPr>
      <w:r w:rsidRPr="002B4D22">
        <w:rPr>
          <w:rFonts w:ascii="Times New Roman" w:hAnsi="Times New Roman"/>
          <w:color w:val="auto"/>
        </w:rPr>
        <w:t>Investīcijas nekustamajos īpašumos</w:t>
      </w:r>
    </w:p>
    <w:p w14:paraId="40175DC2" w14:textId="77777777" w:rsidR="00157BF8" w:rsidRPr="0091282C" w:rsidRDefault="00157BF8" w:rsidP="0090148E">
      <w:pPr>
        <w:rPr>
          <w:lang w:eastAsia="lv-LV"/>
        </w:rPr>
      </w:pPr>
    </w:p>
    <w:p w14:paraId="5B74A2A8" w14:textId="77777777" w:rsidR="007059F5" w:rsidRDefault="0091282C" w:rsidP="0090148E">
      <w:pPr>
        <w:spacing w:after="120"/>
        <w:ind w:firstLine="567"/>
        <w:jc w:val="both"/>
        <w:rPr>
          <w:i/>
          <w:sz w:val="26"/>
          <w:szCs w:val="26"/>
        </w:rPr>
      </w:pPr>
      <w:r w:rsidRPr="00227660">
        <w:rPr>
          <w:sz w:val="26"/>
          <w:szCs w:val="26"/>
        </w:rPr>
        <w:t xml:space="preserve">Saskaņā ar Imigrācijas likuma 23.panta pirmās daļas 29.punktā noteikto Latvijā TUA var iegūt trešo valstu pilsoņi, kuri iegādājušies un kuriem pieder viens funkcionāli saistīts apbūvēts nekustamais īpašums, kura vērtība ir ne mazāka par 250 000 </w:t>
      </w:r>
      <w:r w:rsidRPr="00227660">
        <w:rPr>
          <w:i/>
          <w:sz w:val="26"/>
          <w:szCs w:val="26"/>
        </w:rPr>
        <w:t>euro</w:t>
      </w:r>
      <w:r w:rsidRPr="00227660">
        <w:rPr>
          <w:sz w:val="26"/>
          <w:szCs w:val="26"/>
        </w:rPr>
        <w:t xml:space="preserve"> </w:t>
      </w:r>
      <w:r>
        <w:rPr>
          <w:sz w:val="26"/>
          <w:szCs w:val="26"/>
        </w:rPr>
        <w:t>(n</w:t>
      </w:r>
      <w:r w:rsidRPr="00227660">
        <w:rPr>
          <w:sz w:val="26"/>
          <w:szCs w:val="26"/>
        </w:rPr>
        <w:t>o 2016.gada 1.jūlija spēkā ir nosacījums par to, ka, iegādājoties īpašumu ārpus Rīgas un Pierīgas (ārpus Rīgas vai Jūrmalas, vai Ādažu, Babītes, Baldones, Carnikavas, Garkalnes, Ikšķiles, Ķekavas, Mārupes, Olaines, Ropažu, Salaspils, Saulkrastu vai Stopiņu novada) TUA var pieprasīt</w:t>
      </w:r>
      <w:r>
        <w:rPr>
          <w:sz w:val="26"/>
          <w:szCs w:val="26"/>
        </w:rPr>
        <w:t xml:space="preserve">, iegādājoties </w:t>
      </w:r>
      <w:r w:rsidRPr="00C45BDE">
        <w:rPr>
          <w:sz w:val="26"/>
          <w:szCs w:val="26"/>
          <w:u w:val="single"/>
        </w:rPr>
        <w:t>divus</w:t>
      </w:r>
      <w:r>
        <w:rPr>
          <w:sz w:val="26"/>
          <w:szCs w:val="26"/>
        </w:rPr>
        <w:t xml:space="preserve"> nekustamos īpašumus, kur katra īpašuma vērtība ir vismaz 125 000 </w:t>
      </w:r>
      <w:r>
        <w:rPr>
          <w:i/>
          <w:sz w:val="26"/>
          <w:szCs w:val="26"/>
        </w:rPr>
        <w:t>euro</w:t>
      </w:r>
      <w:r>
        <w:rPr>
          <w:sz w:val="26"/>
          <w:szCs w:val="26"/>
        </w:rPr>
        <w:t>)</w:t>
      </w:r>
      <w:r>
        <w:rPr>
          <w:i/>
          <w:sz w:val="26"/>
          <w:szCs w:val="26"/>
        </w:rPr>
        <w:t xml:space="preserve">. </w:t>
      </w:r>
    </w:p>
    <w:p w14:paraId="2490F64D" w14:textId="77777777" w:rsidR="0091282C" w:rsidRPr="002B4D22" w:rsidRDefault="0091282C" w:rsidP="0090148E">
      <w:pPr>
        <w:spacing w:after="120"/>
        <w:ind w:firstLine="567"/>
        <w:jc w:val="both"/>
        <w:rPr>
          <w:sz w:val="26"/>
          <w:szCs w:val="26"/>
        </w:rPr>
      </w:pPr>
      <w:r>
        <w:rPr>
          <w:sz w:val="26"/>
          <w:szCs w:val="26"/>
        </w:rPr>
        <w:t xml:space="preserve">No 2014.gada 1.septembra spēkā esošais </w:t>
      </w:r>
      <w:r w:rsidRPr="00C45BDE">
        <w:rPr>
          <w:sz w:val="26"/>
          <w:szCs w:val="26"/>
        </w:rPr>
        <w:t>nosacījums, kas paaugstināja iegādājamā nekustamā īpašuma vērtību un noteica to, ka TUA saņemšanai kvalificējas tikai viens, nevis vairāki nekustamie īpašumi, un ka pirms TUA saņemšanas ārzemniekam jāveic maksājums valsts pamatbudžeta programmai „Ekonomikas attīstības programma” atvērtajā valsts pamatbudžeta izdevumu kontā Valsts kasē 5% apjomā no iegādātā nekustamā īpašuma vērtības, ir būtiski samazinājis šī investīciju veida ietvaros iesniegto TUA pieteikumu skaitu un attiecīgi investīciju apjomu.</w:t>
      </w:r>
    </w:p>
    <w:p w14:paraId="6845B7B2" w14:textId="77777777" w:rsidR="0091282C" w:rsidRDefault="0091282C" w:rsidP="0090148E">
      <w:pPr>
        <w:spacing w:after="120"/>
        <w:ind w:firstLine="567"/>
        <w:jc w:val="both"/>
        <w:rPr>
          <w:sz w:val="26"/>
          <w:szCs w:val="26"/>
        </w:rPr>
      </w:pPr>
      <w:r w:rsidRPr="00B63D6A">
        <w:rPr>
          <w:sz w:val="26"/>
          <w:szCs w:val="26"/>
        </w:rPr>
        <w:t>No 2010.gada 1.jūlija līdz 201</w:t>
      </w:r>
      <w:r w:rsidR="00B63D6A" w:rsidRPr="00B63D6A">
        <w:rPr>
          <w:sz w:val="26"/>
          <w:szCs w:val="26"/>
        </w:rPr>
        <w:t>8</w:t>
      </w:r>
      <w:r w:rsidRPr="00B63D6A">
        <w:rPr>
          <w:sz w:val="26"/>
          <w:szCs w:val="26"/>
        </w:rPr>
        <w:t xml:space="preserve">.gada 30.jūnijam Latvijas nekustamo īpašumu tirgū notikuši ar TUA saņemšanu par nekustamā īpašuma iegādi saistīti darījumi ar kopējo </w:t>
      </w:r>
      <w:r w:rsidR="0090148E" w:rsidRPr="00B63D6A">
        <w:rPr>
          <w:sz w:val="26"/>
          <w:szCs w:val="26"/>
        </w:rPr>
        <w:t xml:space="preserve">vērtību </w:t>
      </w:r>
      <w:r w:rsidRPr="00B63D6A">
        <w:rPr>
          <w:sz w:val="26"/>
          <w:szCs w:val="26"/>
        </w:rPr>
        <w:t>1,</w:t>
      </w:r>
      <w:r w:rsidR="00B63D6A" w:rsidRPr="00B63D6A">
        <w:rPr>
          <w:sz w:val="26"/>
          <w:szCs w:val="26"/>
        </w:rPr>
        <w:t>221</w:t>
      </w:r>
      <w:r w:rsidRPr="00B63D6A">
        <w:rPr>
          <w:sz w:val="26"/>
          <w:szCs w:val="26"/>
        </w:rPr>
        <w:t xml:space="preserve"> miljr. </w:t>
      </w:r>
      <w:r w:rsidRPr="00B63D6A">
        <w:rPr>
          <w:i/>
          <w:sz w:val="26"/>
          <w:szCs w:val="26"/>
        </w:rPr>
        <w:t xml:space="preserve">euro </w:t>
      </w:r>
      <w:r w:rsidRPr="00B63D6A">
        <w:rPr>
          <w:sz w:val="26"/>
          <w:szCs w:val="26"/>
        </w:rPr>
        <w:t>apmērā</w:t>
      </w:r>
      <w:r w:rsidR="0090148E" w:rsidRPr="00B63D6A">
        <w:rPr>
          <w:sz w:val="26"/>
          <w:szCs w:val="26"/>
        </w:rPr>
        <w:t>.</w:t>
      </w:r>
      <w:r w:rsidR="0090148E">
        <w:rPr>
          <w:sz w:val="26"/>
          <w:szCs w:val="26"/>
        </w:rPr>
        <w:t xml:space="preserve"> </w:t>
      </w:r>
    </w:p>
    <w:p w14:paraId="55A50BB1" w14:textId="77777777" w:rsidR="0091282C" w:rsidRPr="002B4D22" w:rsidRDefault="007059F5" w:rsidP="0090148E">
      <w:pPr>
        <w:spacing w:after="120"/>
        <w:jc w:val="right"/>
        <w:rPr>
          <w:sz w:val="26"/>
          <w:szCs w:val="26"/>
        </w:rPr>
      </w:pPr>
      <w:r>
        <w:rPr>
          <w:sz w:val="26"/>
          <w:szCs w:val="26"/>
        </w:rPr>
        <w:t>1</w:t>
      </w:r>
      <w:r w:rsidR="0091282C" w:rsidRPr="002B4D22">
        <w:rPr>
          <w:sz w:val="26"/>
          <w:szCs w:val="26"/>
        </w:rPr>
        <w:t>.attēls</w:t>
      </w:r>
    </w:p>
    <w:p w14:paraId="37BE71F3" w14:textId="77777777" w:rsidR="0091282C" w:rsidRDefault="0091282C" w:rsidP="0090148E">
      <w:pPr>
        <w:jc w:val="center"/>
        <w:rPr>
          <w:b/>
          <w:sz w:val="24"/>
          <w:szCs w:val="24"/>
        </w:rPr>
      </w:pPr>
      <w:r w:rsidRPr="002B4D22">
        <w:rPr>
          <w:b/>
          <w:sz w:val="24"/>
          <w:szCs w:val="24"/>
        </w:rPr>
        <w:t xml:space="preserve">TUA </w:t>
      </w:r>
      <w:r>
        <w:rPr>
          <w:b/>
          <w:sz w:val="24"/>
          <w:szCs w:val="24"/>
        </w:rPr>
        <w:t>pieteicēju</w:t>
      </w:r>
      <w:r w:rsidRPr="002B4D22">
        <w:rPr>
          <w:b/>
          <w:sz w:val="24"/>
          <w:szCs w:val="24"/>
        </w:rPr>
        <w:t xml:space="preserve"> – nekustamā īpašuma pircēju</w:t>
      </w:r>
    </w:p>
    <w:p w14:paraId="2026394B" w14:textId="77777777" w:rsidR="0091282C" w:rsidRPr="002B4D22" w:rsidRDefault="0091282C" w:rsidP="0090148E">
      <w:pPr>
        <w:jc w:val="center"/>
        <w:rPr>
          <w:sz w:val="26"/>
          <w:szCs w:val="26"/>
        </w:rPr>
      </w:pPr>
      <w:r w:rsidRPr="002B4D22">
        <w:rPr>
          <w:b/>
          <w:sz w:val="24"/>
          <w:szCs w:val="24"/>
        </w:rPr>
        <w:t xml:space="preserve">ar TUA saistīto nekustamā īpašuma iegādes darījumu skaits sadalījumā pēc tā vērtības, </w:t>
      </w:r>
      <w:r w:rsidRPr="002B4D22">
        <w:rPr>
          <w:b/>
          <w:i/>
          <w:sz w:val="24"/>
          <w:szCs w:val="24"/>
        </w:rPr>
        <w:t>euro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37"/>
      </w:tblGrid>
      <w:tr w:rsidR="0091282C" w:rsidRPr="002B4D22" w14:paraId="113AA0C9" w14:textId="77777777" w:rsidTr="00CD7DA0">
        <w:tc>
          <w:tcPr>
            <w:tcW w:w="4658" w:type="dxa"/>
          </w:tcPr>
          <w:p w14:paraId="7570A6B1" w14:textId="77777777" w:rsidR="0091282C" w:rsidRPr="001C75C3" w:rsidRDefault="0091282C" w:rsidP="0090148E">
            <w:pPr>
              <w:spacing w:after="120"/>
              <w:jc w:val="center"/>
              <w:rPr>
                <w:rFonts w:ascii="Times New Roman" w:hAnsi="Times New Roman"/>
                <w:b/>
                <w:sz w:val="24"/>
                <w:szCs w:val="24"/>
              </w:rPr>
            </w:pPr>
          </w:p>
        </w:tc>
        <w:tc>
          <w:tcPr>
            <w:tcW w:w="4599" w:type="dxa"/>
          </w:tcPr>
          <w:p w14:paraId="7DB7DA32" w14:textId="77777777" w:rsidR="0091282C" w:rsidRPr="001C75C3" w:rsidRDefault="0091282C" w:rsidP="0090148E">
            <w:pPr>
              <w:spacing w:after="120"/>
              <w:jc w:val="center"/>
              <w:rPr>
                <w:rFonts w:ascii="Times New Roman" w:hAnsi="Times New Roman"/>
                <w:b/>
                <w:sz w:val="24"/>
                <w:szCs w:val="24"/>
              </w:rPr>
            </w:pPr>
          </w:p>
        </w:tc>
      </w:tr>
      <w:tr w:rsidR="0091282C" w:rsidRPr="002B4D22" w14:paraId="3F5B4FD2" w14:textId="77777777" w:rsidTr="00CD7DA0">
        <w:tc>
          <w:tcPr>
            <w:tcW w:w="4658" w:type="dxa"/>
          </w:tcPr>
          <w:p w14:paraId="1136F2CC" w14:textId="77777777" w:rsidR="0091282C" w:rsidRPr="001C75C3" w:rsidRDefault="0091282C" w:rsidP="00B41F20">
            <w:pPr>
              <w:spacing w:after="120"/>
              <w:jc w:val="center"/>
              <w:rPr>
                <w:rFonts w:ascii="Times New Roman" w:hAnsi="Times New Roman"/>
                <w:b/>
                <w:sz w:val="24"/>
                <w:szCs w:val="24"/>
              </w:rPr>
            </w:pPr>
            <w:r w:rsidRPr="001C75C3">
              <w:rPr>
                <w:rFonts w:ascii="Times New Roman" w:hAnsi="Times New Roman"/>
                <w:b/>
                <w:sz w:val="24"/>
                <w:szCs w:val="24"/>
              </w:rPr>
              <w:t>01.07.2010.-31.12.2013.</w:t>
            </w:r>
          </w:p>
          <w:p w14:paraId="040D434C" w14:textId="77777777" w:rsidR="0091282C" w:rsidRPr="001C75C3" w:rsidRDefault="0091282C" w:rsidP="00B41F20">
            <w:pPr>
              <w:spacing w:after="120"/>
              <w:jc w:val="center"/>
              <w:rPr>
                <w:rFonts w:ascii="Times New Roman" w:hAnsi="Times New Roman"/>
                <w:b/>
                <w:sz w:val="24"/>
                <w:szCs w:val="24"/>
              </w:rPr>
            </w:pPr>
            <w:r w:rsidRPr="001C75C3">
              <w:rPr>
                <w:b/>
                <w:noProof/>
                <w:sz w:val="24"/>
                <w:szCs w:val="24"/>
                <w:lang w:val="en-GB" w:eastAsia="en-GB"/>
              </w:rPr>
              <w:drawing>
                <wp:inline distT="0" distB="0" distL="0" distR="0" wp14:anchorId="3169CADD" wp14:editId="4298582D">
                  <wp:extent cx="2590800" cy="2343150"/>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DB5D28" w14:textId="77777777" w:rsidR="0091282C" w:rsidRPr="001C75C3" w:rsidRDefault="0091282C" w:rsidP="00B41F20">
            <w:pPr>
              <w:spacing w:after="120"/>
              <w:rPr>
                <w:rFonts w:ascii="Times New Roman" w:hAnsi="Times New Roman"/>
                <w:i/>
                <w:sz w:val="22"/>
                <w:szCs w:val="22"/>
              </w:rPr>
            </w:pPr>
            <w:r w:rsidRPr="001C75C3">
              <w:rPr>
                <w:rFonts w:ascii="Times New Roman" w:hAnsi="Times New Roman"/>
                <w:i/>
                <w:sz w:val="22"/>
                <w:szCs w:val="22"/>
              </w:rPr>
              <w:lastRenderedPageBreak/>
              <w:t>Avots: PMLP</w:t>
            </w:r>
          </w:p>
          <w:p w14:paraId="799170E3" w14:textId="77777777" w:rsidR="0091282C" w:rsidRPr="001C75C3" w:rsidRDefault="0091282C" w:rsidP="00B41F20">
            <w:pPr>
              <w:spacing w:after="120"/>
              <w:jc w:val="center"/>
              <w:rPr>
                <w:rFonts w:ascii="Times New Roman" w:hAnsi="Times New Roman"/>
                <w:b/>
                <w:sz w:val="24"/>
                <w:szCs w:val="22"/>
              </w:rPr>
            </w:pPr>
            <w:r w:rsidRPr="001C75C3">
              <w:rPr>
                <w:rFonts w:ascii="Times New Roman" w:hAnsi="Times New Roman"/>
                <w:b/>
                <w:sz w:val="24"/>
                <w:szCs w:val="22"/>
              </w:rPr>
              <w:t>01.01.2015.-31.12.2015.</w:t>
            </w:r>
          </w:p>
          <w:p w14:paraId="5BA4BEDB" w14:textId="77777777" w:rsidR="0091282C" w:rsidRPr="001C75C3" w:rsidRDefault="0091282C" w:rsidP="00B41F20">
            <w:pPr>
              <w:spacing w:after="120"/>
              <w:rPr>
                <w:rFonts w:ascii="Times New Roman" w:hAnsi="Times New Roman"/>
                <w:b/>
                <w:sz w:val="22"/>
                <w:szCs w:val="22"/>
              </w:rPr>
            </w:pPr>
            <w:r w:rsidRPr="001C75C3">
              <w:rPr>
                <w:b/>
                <w:noProof/>
                <w:sz w:val="24"/>
                <w:szCs w:val="24"/>
                <w:lang w:val="en-GB" w:eastAsia="en-GB"/>
              </w:rPr>
              <w:drawing>
                <wp:inline distT="0" distB="0" distL="0" distR="0" wp14:anchorId="697B92A8" wp14:editId="44B62ED7">
                  <wp:extent cx="2790825" cy="2628900"/>
                  <wp:effectExtent l="0" t="0" r="9525"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3AC447" w14:textId="77777777" w:rsidR="00B41F20" w:rsidRDefault="0091282C" w:rsidP="00B41F20">
            <w:pPr>
              <w:spacing w:after="120"/>
              <w:rPr>
                <w:rFonts w:ascii="Times New Roman" w:hAnsi="Times New Roman"/>
                <w:i/>
                <w:sz w:val="22"/>
                <w:szCs w:val="22"/>
              </w:rPr>
            </w:pPr>
            <w:r w:rsidRPr="001C75C3">
              <w:rPr>
                <w:rFonts w:ascii="Times New Roman" w:hAnsi="Times New Roman"/>
                <w:i/>
                <w:sz w:val="22"/>
                <w:szCs w:val="22"/>
              </w:rPr>
              <w:t>Avots: PMLP</w:t>
            </w:r>
          </w:p>
          <w:p w14:paraId="1B88C724" w14:textId="77777777" w:rsidR="00B41F20" w:rsidRDefault="00B41F20" w:rsidP="00B41F20">
            <w:pPr>
              <w:rPr>
                <w:rFonts w:ascii="Times New Roman" w:hAnsi="Times New Roman"/>
                <w:sz w:val="22"/>
                <w:szCs w:val="22"/>
              </w:rPr>
            </w:pPr>
          </w:p>
          <w:p w14:paraId="694C6068" w14:textId="77777777" w:rsidR="0091282C" w:rsidRPr="00B41F20" w:rsidRDefault="0039323F" w:rsidP="004B3E94">
            <w:pPr>
              <w:spacing w:after="80"/>
              <w:jc w:val="center"/>
              <w:rPr>
                <w:rFonts w:ascii="Times New Roman" w:hAnsi="Times New Roman"/>
                <w:sz w:val="24"/>
                <w:szCs w:val="24"/>
              </w:rPr>
            </w:pPr>
            <w:r>
              <w:rPr>
                <w:rFonts w:ascii="Times New Roman" w:hAnsi="Times New Roman"/>
                <w:b/>
                <w:sz w:val="24"/>
                <w:szCs w:val="24"/>
              </w:rPr>
              <w:t>0</w:t>
            </w:r>
            <w:r w:rsidR="00B41F20" w:rsidRPr="001C75C3">
              <w:rPr>
                <w:rFonts w:ascii="Times New Roman" w:hAnsi="Times New Roman"/>
                <w:b/>
                <w:sz w:val="24"/>
                <w:szCs w:val="24"/>
              </w:rPr>
              <w:t>1.01.201</w:t>
            </w:r>
            <w:r w:rsidR="00E57D74">
              <w:rPr>
                <w:rFonts w:ascii="Times New Roman" w:hAnsi="Times New Roman"/>
                <w:b/>
                <w:sz w:val="24"/>
                <w:szCs w:val="24"/>
              </w:rPr>
              <w:t>7</w:t>
            </w:r>
            <w:r w:rsidR="00B41F20" w:rsidRPr="001C75C3">
              <w:rPr>
                <w:rFonts w:ascii="Times New Roman" w:hAnsi="Times New Roman"/>
                <w:b/>
                <w:sz w:val="24"/>
                <w:szCs w:val="24"/>
              </w:rPr>
              <w:t>.-</w:t>
            </w:r>
            <w:r w:rsidR="004B3E94">
              <w:rPr>
                <w:rFonts w:ascii="Times New Roman" w:hAnsi="Times New Roman"/>
                <w:b/>
                <w:sz w:val="24"/>
                <w:szCs w:val="24"/>
              </w:rPr>
              <w:t>31</w:t>
            </w:r>
            <w:r w:rsidR="00B41F20" w:rsidRPr="001C75C3">
              <w:rPr>
                <w:rFonts w:ascii="Times New Roman" w:hAnsi="Times New Roman"/>
                <w:b/>
                <w:sz w:val="24"/>
                <w:szCs w:val="24"/>
              </w:rPr>
              <w:t>.</w:t>
            </w:r>
            <w:r w:rsidR="004B3E94">
              <w:rPr>
                <w:rFonts w:ascii="Times New Roman" w:hAnsi="Times New Roman"/>
                <w:b/>
                <w:sz w:val="24"/>
                <w:szCs w:val="24"/>
              </w:rPr>
              <w:t>12</w:t>
            </w:r>
            <w:r w:rsidR="00B41F20" w:rsidRPr="001C75C3">
              <w:rPr>
                <w:rFonts w:ascii="Times New Roman" w:hAnsi="Times New Roman"/>
                <w:b/>
                <w:sz w:val="24"/>
                <w:szCs w:val="24"/>
              </w:rPr>
              <w:t>.201</w:t>
            </w:r>
            <w:r w:rsidR="00E57D74">
              <w:rPr>
                <w:rFonts w:ascii="Times New Roman" w:hAnsi="Times New Roman"/>
                <w:b/>
                <w:sz w:val="24"/>
                <w:szCs w:val="24"/>
              </w:rPr>
              <w:t>7</w:t>
            </w:r>
            <w:r w:rsidR="00B41F20" w:rsidRPr="001C75C3">
              <w:rPr>
                <w:rFonts w:ascii="Times New Roman" w:hAnsi="Times New Roman"/>
                <w:sz w:val="24"/>
                <w:szCs w:val="24"/>
              </w:rPr>
              <w:t>.</w:t>
            </w:r>
          </w:p>
        </w:tc>
        <w:tc>
          <w:tcPr>
            <w:tcW w:w="4599" w:type="dxa"/>
          </w:tcPr>
          <w:p w14:paraId="321B55B1" w14:textId="77777777" w:rsidR="0091282C" w:rsidRPr="001C75C3" w:rsidRDefault="0091282C" w:rsidP="00B41F20">
            <w:pPr>
              <w:spacing w:after="120"/>
              <w:jc w:val="center"/>
              <w:rPr>
                <w:rFonts w:ascii="Times New Roman" w:hAnsi="Times New Roman"/>
                <w:b/>
                <w:sz w:val="22"/>
                <w:szCs w:val="22"/>
              </w:rPr>
            </w:pPr>
            <w:r w:rsidRPr="001C75C3">
              <w:rPr>
                <w:rFonts w:ascii="Times New Roman" w:hAnsi="Times New Roman"/>
                <w:b/>
                <w:sz w:val="22"/>
                <w:szCs w:val="22"/>
              </w:rPr>
              <w:lastRenderedPageBreak/>
              <w:t>01.01.2014.-31.12.2014.</w:t>
            </w:r>
          </w:p>
          <w:p w14:paraId="5DB32DF5" w14:textId="77777777" w:rsidR="0091282C" w:rsidRPr="001C75C3" w:rsidRDefault="0091282C" w:rsidP="00B41F20">
            <w:pPr>
              <w:spacing w:after="120"/>
              <w:rPr>
                <w:rFonts w:ascii="Times New Roman" w:hAnsi="Times New Roman"/>
                <w:i/>
                <w:sz w:val="22"/>
                <w:szCs w:val="22"/>
              </w:rPr>
            </w:pPr>
            <w:r w:rsidRPr="001C75C3">
              <w:rPr>
                <w:b/>
                <w:noProof/>
                <w:sz w:val="24"/>
                <w:szCs w:val="24"/>
                <w:lang w:val="en-GB" w:eastAsia="en-GB"/>
              </w:rPr>
              <w:drawing>
                <wp:inline distT="0" distB="0" distL="0" distR="0" wp14:anchorId="1C2FD8F5" wp14:editId="72A2E33A">
                  <wp:extent cx="2524125" cy="2362200"/>
                  <wp:effectExtent l="0" t="0" r="9525" b="0"/>
                  <wp:docPr id="4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F6F4DC" w14:textId="77777777" w:rsidR="0091282C" w:rsidRPr="001C75C3" w:rsidRDefault="0091282C" w:rsidP="00B41F20">
            <w:pPr>
              <w:spacing w:after="120"/>
              <w:rPr>
                <w:rFonts w:ascii="Times New Roman" w:hAnsi="Times New Roman"/>
                <w:i/>
                <w:sz w:val="22"/>
                <w:szCs w:val="22"/>
              </w:rPr>
            </w:pPr>
            <w:r w:rsidRPr="001C75C3">
              <w:rPr>
                <w:rFonts w:ascii="Times New Roman" w:hAnsi="Times New Roman"/>
                <w:i/>
                <w:sz w:val="22"/>
                <w:szCs w:val="22"/>
              </w:rPr>
              <w:lastRenderedPageBreak/>
              <w:t>Avots: PMLP</w:t>
            </w:r>
          </w:p>
          <w:p w14:paraId="461C6221" w14:textId="77777777" w:rsidR="0091282C" w:rsidRPr="001C75C3" w:rsidRDefault="0091282C" w:rsidP="00B41F20">
            <w:pPr>
              <w:spacing w:after="80"/>
              <w:jc w:val="center"/>
              <w:rPr>
                <w:rFonts w:ascii="Times New Roman" w:hAnsi="Times New Roman"/>
                <w:sz w:val="24"/>
                <w:szCs w:val="24"/>
              </w:rPr>
            </w:pPr>
            <w:r w:rsidRPr="001C75C3">
              <w:rPr>
                <w:rFonts w:ascii="Times New Roman" w:hAnsi="Times New Roman"/>
                <w:b/>
                <w:sz w:val="24"/>
                <w:szCs w:val="24"/>
              </w:rPr>
              <w:t>01.01.2016.-3</w:t>
            </w:r>
            <w:r w:rsidR="0090148E">
              <w:rPr>
                <w:rFonts w:ascii="Times New Roman" w:hAnsi="Times New Roman"/>
                <w:b/>
                <w:sz w:val="24"/>
                <w:szCs w:val="24"/>
              </w:rPr>
              <w:t>1</w:t>
            </w:r>
            <w:r w:rsidRPr="001C75C3">
              <w:rPr>
                <w:rFonts w:ascii="Times New Roman" w:hAnsi="Times New Roman"/>
                <w:b/>
                <w:sz w:val="24"/>
                <w:szCs w:val="24"/>
              </w:rPr>
              <w:t>.</w:t>
            </w:r>
            <w:r w:rsidR="0090148E">
              <w:rPr>
                <w:rFonts w:ascii="Times New Roman" w:hAnsi="Times New Roman"/>
                <w:b/>
                <w:sz w:val="24"/>
                <w:szCs w:val="24"/>
              </w:rPr>
              <w:t>12</w:t>
            </w:r>
            <w:r w:rsidRPr="001C75C3">
              <w:rPr>
                <w:rFonts w:ascii="Times New Roman" w:hAnsi="Times New Roman"/>
                <w:b/>
                <w:sz w:val="24"/>
                <w:szCs w:val="24"/>
              </w:rPr>
              <w:t>.2016</w:t>
            </w:r>
            <w:r w:rsidRPr="001C75C3">
              <w:rPr>
                <w:rFonts w:ascii="Times New Roman" w:hAnsi="Times New Roman"/>
                <w:sz w:val="24"/>
                <w:szCs w:val="24"/>
              </w:rPr>
              <w:t>.</w:t>
            </w:r>
          </w:p>
          <w:p w14:paraId="49ED6D65" w14:textId="77777777" w:rsidR="0091282C" w:rsidRPr="001C75C3" w:rsidRDefault="0091282C" w:rsidP="00B41F20">
            <w:pPr>
              <w:spacing w:before="240"/>
              <w:rPr>
                <w:rFonts w:ascii="Times New Roman" w:hAnsi="Times New Roman"/>
                <w:b/>
                <w:sz w:val="24"/>
                <w:szCs w:val="24"/>
              </w:rPr>
            </w:pPr>
            <w:r w:rsidRPr="001C75C3">
              <w:rPr>
                <w:b/>
                <w:noProof/>
                <w:sz w:val="24"/>
                <w:szCs w:val="24"/>
                <w:lang w:val="en-GB" w:eastAsia="en-GB"/>
              </w:rPr>
              <w:drawing>
                <wp:inline distT="0" distB="0" distL="0" distR="0" wp14:anchorId="6DF4190F" wp14:editId="4872515B">
                  <wp:extent cx="2647950" cy="2524125"/>
                  <wp:effectExtent l="0" t="0" r="0" b="9525"/>
                  <wp:docPr id="3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8A9AA0" w14:textId="77777777" w:rsidR="0091282C" w:rsidRDefault="0091282C" w:rsidP="00B41F20">
            <w:pPr>
              <w:spacing w:before="60" w:after="120"/>
              <w:rPr>
                <w:rFonts w:ascii="Times New Roman" w:hAnsi="Times New Roman"/>
                <w:i/>
                <w:sz w:val="22"/>
                <w:szCs w:val="22"/>
              </w:rPr>
            </w:pPr>
            <w:r w:rsidRPr="001C75C3">
              <w:rPr>
                <w:rFonts w:ascii="Times New Roman" w:hAnsi="Times New Roman"/>
                <w:i/>
                <w:sz w:val="22"/>
                <w:szCs w:val="22"/>
              </w:rPr>
              <w:t>Avots: PMLP</w:t>
            </w:r>
          </w:p>
          <w:p w14:paraId="445ACB49" w14:textId="77777777" w:rsidR="002D276B" w:rsidRDefault="002D276B" w:rsidP="00B41F20">
            <w:pPr>
              <w:spacing w:before="60" w:after="120"/>
              <w:rPr>
                <w:rFonts w:ascii="Times New Roman" w:hAnsi="Times New Roman"/>
                <w:i/>
                <w:sz w:val="22"/>
                <w:szCs w:val="22"/>
              </w:rPr>
            </w:pPr>
          </w:p>
          <w:p w14:paraId="6A357D38" w14:textId="77777777" w:rsidR="002D276B" w:rsidRDefault="002D276B" w:rsidP="002D276B">
            <w:pPr>
              <w:spacing w:before="60" w:after="120"/>
              <w:rPr>
                <w:rFonts w:ascii="Times New Roman" w:hAnsi="Times New Roman"/>
                <w:b/>
                <w:sz w:val="24"/>
                <w:szCs w:val="24"/>
              </w:rPr>
            </w:pPr>
            <w:r>
              <w:rPr>
                <w:rFonts w:ascii="Times New Roman" w:hAnsi="Times New Roman"/>
                <w:b/>
                <w:sz w:val="24"/>
                <w:szCs w:val="24"/>
              </w:rPr>
              <w:t xml:space="preserve">            </w:t>
            </w:r>
            <w:r w:rsidRPr="001C75C3">
              <w:rPr>
                <w:rFonts w:ascii="Times New Roman" w:hAnsi="Times New Roman"/>
                <w:b/>
                <w:sz w:val="24"/>
                <w:szCs w:val="24"/>
              </w:rPr>
              <w:t>01.01.201</w:t>
            </w:r>
            <w:r>
              <w:rPr>
                <w:rFonts w:ascii="Times New Roman" w:hAnsi="Times New Roman"/>
                <w:b/>
                <w:sz w:val="24"/>
                <w:szCs w:val="24"/>
              </w:rPr>
              <w:t>8</w:t>
            </w:r>
            <w:r w:rsidRPr="001C75C3">
              <w:rPr>
                <w:rFonts w:ascii="Times New Roman" w:hAnsi="Times New Roman"/>
                <w:b/>
                <w:sz w:val="24"/>
                <w:szCs w:val="24"/>
              </w:rPr>
              <w:t>.-3</w:t>
            </w:r>
            <w:r>
              <w:rPr>
                <w:rFonts w:ascii="Times New Roman" w:hAnsi="Times New Roman"/>
                <w:b/>
                <w:sz w:val="24"/>
                <w:szCs w:val="24"/>
              </w:rPr>
              <w:t>0</w:t>
            </w:r>
            <w:r w:rsidRPr="001C75C3">
              <w:rPr>
                <w:rFonts w:ascii="Times New Roman" w:hAnsi="Times New Roman"/>
                <w:b/>
                <w:sz w:val="24"/>
                <w:szCs w:val="24"/>
              </w:rPr>
              <w:t>.</w:t>
            </w:r>
            <w:r>
              <w:rPr>
                <w:rFonts w:ascii="Times New Roman" w:hAnsi="Times New Roman"/>
                <w:b/>
                <w:sz w:val="24"/>
                <w:szCs w:val="24"/>
              </w:rPr>
              <w:t>06</w:t>
            </w:r>
            <w:r w:rsidRPr="001C75C3">
              <w:rPr>
                <w:rFonts w:ascii="Times New Roman" w:hAnsi="Times New Roman"/>
                <w:b/>
                <w:sz w:val="24"/>
                <w:szCs w:val="24"/>
              </w:rPr>
              <w:t>.201</w:t>
            </w:r>
            <w:r>
              <w:rPr>
                <w:rFonts w:ascii="Times New Roman" w:hAnsi="Times New Roman"/>
                <w:b/>
                <w:sz w:val="24"/>
                <w:szCs w:val="24"/>
              </w:rPr>
              <w:t>8</w:t>
            </w:r>
            <w:r w:rsidRPr="001C75C3">
              <w:rPr>
                <w:rFonts w:ascii="Times New Roman" w:hAnsi="Times New Roman"/>
                <w:sz w:val="24"/>
                <w:szCs w:val="24"/>
              </w:rPr>
              <w:t>.</w:t>
            </w:r>
          </w:p>
          <w:p w14:paraId="2111B50C" w14:textId="77777777" w:rsidR="00B41F20" w:rsidRPr="00157BF8" w:rsidRDefault="00B41F20" w:rsidP="002D276B">
            <w:pPr>
              <w:spacing w:before="60" w:after="120"/>
              <w:rPr>
                <w:rFonts w:ascii="Times New Roman" w:hAnsi="Times New Roman"/>
                <w:i/>
                <w:sz w:val="22"/>
                <w:szCs w:val="22"/>
              </w:rPr>
            </w:pPr>
          </w:p>
        </w:tc>
      </w:tr>
    </w:tbl>
    <w:p w14:paraId="2D12098D" w14:textId="77777777" w:rsidR="00B41F20" w:rsidRDefault="00B41F20" w:rsidP="00B41F20">
      <w:pPr>
        <w:spacing w:after="120"/>
        <w:jc w:val="both"/>
        <w:rPr>
          <w:sz w:val="26"/>
          <w:szCs w:val="26"/>
        </w:rPr>
      </w:pPr>
      <w:r w:rsidRPr="00B41F20">
        <w:rPr>
          <w:noProof/>
          <w:sz w:val="26"/>
          <w:szCs w:val="26"/>
          <w:lang w:val="en-GB" w:eastAsia="en-GB"/>
        </w:rPr>
        <w:lastRenderedPageBreak/>
        <w:drawing>
          <wp:inline distT="0" distB="0" distL="0" distR="0" wp14:anchorId="64A7E21A" wp14:editId="1799FBAE">
            <wp:extent cx="2676525" cy="2562225"/>
            <wp:effectExtent l="0" t="0" r="9525" b="9525"/>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B3E94">
        <w:rPr>
          <w:sz w:val="26"/>
          <w:szCs w:val="26"/>
        </w:rPr>
        <w:t xml:space="preserve">      </w:t>
      </w:r>
      <w:r w:rsidR="004B3E94" w:rsidRPr="00B41F20">
        <w:rPr>
          <w:noProof/>
          <w:sz w:val="26"/>
          <w:szCs w:val="26"/>
          <w:lang w:val="en-GB" w:eastAsia="en-GB"/>
        </w:rPr>
        <w:drawing>
          <wp:inline distT="0" distB="0" distL="0" distR="0" wp14:anchorId="0958FBD6" wp14:editId="35C1E801">
            <wp:extent cx="2676525" cy="2562225"/>
            <wp:effectExtent l="0" t="0" r="9525" b="9525"/>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052D08" w14:textId="77777777" w:rsidR="00BD0288" w:rsidRDefault="00BD0288" w:rsidP="00BD0288">
      <w:pPr>
        <w:spacing w:after="120"/>
        <w:rPr>
          <w:i/>
          <w:sz w:val="22"/>
        </w:rPr>
      </w:pPr>
      <w:r w:rsidRPr="001C75C3">
        <w:rPr>
          <w:i/>
          <w:sz w:val="22"/>
        </w:rPr>
        <w:t>Avots: PMLP</w:t>
      </w:r>
    </w:p>
    <w:p w14:paraId="699D5855" w14:textId="0E4C9166" w:rsidR="007059F5" w:rsidRDefault="0091282C" w:rsidP="00E57D74">
      <w:pPr>
        <w:spacing w:after="120"/>
        <w:ind w:firstLine="567"/>
        <w:jc w:val="both"/>
        <w:rPr>
          <w:sz w:val="26"/>
          <w:szCs w:val="26"/>
        </w:rPr>
      </w:pPr>
      <w:r w:rsidRPr="00E35F28">
        <w:rPr>
          <w:sz w:val="26"/>
          <w:szCs w:val="26"/>
        </w:rPr>
        <w:t xml:space="preserve">TUA pieteikumu iesniedzēju – nekustamā īpašuma pircēju – ar TUA saistīto nekustamā īpašuma iegādes darījumu skaits sadalījumā pēc tā vērtības parāda, ka laika posmā no 2010.gada jūlija līdz 2013.gada decembrim lielākā daļa darījumu (74%) notika robežās no 125 tūkst. </w:t>
      </w:r>
      <w:r w:rsidRPr="00E35F28">
        <w:rPr>
          <w:i/>
          <w:sz w:val="26"/>
          <w:szCs w:val="26"/>
        </w:rPr>
        <w:t>euro</w:t>
      </w:r>
      <w:r w:rsidRPr="00E35F28">
        <w:rPr>
          <w:sz w:val="26"/>
          <w:szCs w:val="26"/>
        </w:rPr>
        <w:t xml:space="preserve"> līdz 250 tūkst. </w:t>
      </w:r>
      <w:r w:rsidRPr="00E35F28">
        <w:rPr>
          <w:i/>
          <w:sz w:val="26"/>
          <w:szCs w:val="26"/>
        </w:rPr>
        <w:t>euro</w:t>
      </w:r>
      <w:r w:rsidRPr="00E35F28">
        <w:rPr>
          <w:sz w:val="26"/>
          <w:szCs w:val="26"/>
        </w:rPr>
        <w:t xml:space="preserve">, bet darījumu virs 250 tūkst. </w:t>
      </w:r>
      <w:r w:rsidRPr="00E35F28">
        <w:rPr>
          <w:i/>
          <w:sz w:val="26"/>
          <w:szCs w:val="26"/>
        </w:rPr>
        <w:t xml:space="preserve">euro </w:t>
      </w:r>
      <w:r w:rsidRPr="00E35F28">
        <w:rPr>
          <w:sz w:val="26"/>
          <w:szCs w:val="26"/>
        </w:rPr>
        <w:t>īpatsvars</w:t>
      </w:r>
      <w:r w:rsidRPr="00E35F28">
        <w:rPr>
          <w:i/>
          <w:sz w:val="26"/>
          <w:szCs w:val="26"/>
        </w:rPr>
        <w:t xml:space="preserve"> </w:t>
      </w:r>
      <w:r w:rsidRPr="00E35F28">
        <w:rPr>
          <w:sz w:val="26"/>
          <w:szCs w:val="26"/>
        </w:rPr>
        <w:t xml:space="preserve">bija 16%. 2014.gadā darījumu īpatsvars par nekustamā īpašuma iegādes summu robežās no 150 tūkst. </w:t>
      </w:r>
      <w:r w:rsidRPr="00E35F28">
        <w:rPr>
          <w:i/>
          <w:sz w:val="26"/>
          <w:szCs w:val="26"/>
        </w:rPr>
        <w:t>euro</w:t>
      </w:r>
      <w:r w:rsidRPr="00E35F28">
        <w:rPr>
          <w:sz w:val="26"/>
          <w:szCs w:val="26"/>
        </w:rPr>
        <w:t xml:space="preserve"> līdz 250 tūkst. </w:t>
      </w:r>
      <w:r w:rsidRPr="00E35F28">
        <w:rPr>
          <w:i/>
          <w:sz w:val="26"/>
          <w:szCs w:val="26"/>
        </w:rPr>
        <w:t>euro</w:t>
      </w:r>
      <w:r w:rsidRPr="00E35F28">
        <w:rPr>
          <w:sz w:val="26"/>
          <w:szCs w:val="26"/>
        </w:rPr>
        <w:t xml:space="preserve"> samazinājās līdz 71%, vienlaicīgi pieaugot darījumu īpatsvaram virs 250 tūkst. </w:t>
      </w:r>
      <w:r w:rsidRPr="00E35F28">
        <w:rPr>
          <w:i/>
          <w:sz w:val="26"/>
          <w:szCs w:val="26"/>
        </w:rPr>
        <w:t>euro</w:t>
      </w:r>
      <w:r w:rsidRPr="00E35F28">
        <w:rPr>
          <w:sz w:val="26"/>
          <w:szCs w:val="26"/>
        </w:rPr>
        <w:t xml:space="preserve"> līdz 20%. </w:t>
      </w:r>
      <w:r w:rsidR="0079156C">
        <w:rPr>
          <w:sz w:val="26"/>
          <w:szCs w:val="26"/>
        </w:rPr>
        <w:t xml:space="preserve">Kopš </w:t>
      </w:r>
      <w:r w:rsidRPr="00E35F28">
        <w:rPr>
          <w:sz w:val="26"/>
          <w:szCs w:val="26"/>
        </w:rPr>
        <w:t>2015.</w:t>
      </w:r>
      <w:r w:rsidR="0079156C" w:rsidRPr="00E35F28">
        <w:rPr>
          <w:sz w:val="26"/>
          <w:szCs w:val="26"/>
        </w:rPr>
        <w:t>gad</w:t>
      </w:r>
      <w:r w:rsidR="0079156C">
        <w:rPr>
          <w:sz w:val="26"/>
          <w:szCs w:val="26"/>
        </w:rPr>
        <w:t>a dominē</w:t>
      </w:r>
      <w:r w:rsidR="0079156C" w:rsidRPr="00E35F28">
        <w:rPr>
          <w:sz w:val="26"/>
          <w:szCs w:val="26"/>
        </w:rPr>
        <w:t xml:space="preserve"> </w:t>
      </w:r>
      <w:r w:rsidRPr="00E35F28">
        <w:rPr>
          <w:sz w:val="26"/>
          <w:szCs w:val="26"/>
        </w:rPr>
        <w:t xml:space="preserve">darījumi robežās no 250 līdz 499 tūkst. </w:t>
      </w:r>
      <w:r w:rsidRPr="0079156C">
        <w:rPr>
          <w:i/>
          <w:sz w:val="26"/>
          <w:szCs w:val="26"/>
        </w:rPr>
        <w:t>euro</w:t>
      </w:r>
      <w:r w:rsidRPr="00E35F28">
        <w:rPr>
          <w:sz w:val="26"/>
          <w:szCs w:val="26"/>
        </w:rPr>
        <w:t xml:space="preserve"> (</w:t>
      </w:r>
      <w:r w:rsidR="0079156C">
        <w:rPr>
          <w:sz w:val="26"/>
          <w:szCs w:val="26"/>
        </w:rPr>
        <w:t xml:space="preserve">2017.gadā 95% no visiem darījumiem bija darījumi </w:t>
      </w:r>
      <w:r w:rsidR="0079156C" w:rsidRPr="0079156C">
        <w:rPr>
          <w:sz w:val="26"/>
          <w:szCs w:val="26"/>
        </w:rPr>
        <w:t xml:space="preserve">robežās no 250 līdz 499 tūkst. </w:t>
      </w:r>
      <w:r w:rsidR="0079156C" w:rsidRPr="00A410BA">
        <w:rPr>
          <w:i/>
          <w:sz w:val="26"/>
          <w:szCs w:val="26"/>
        </w:rPr>
        <w:t>euro</w:t>
      </w:r>
      <w:r w:rsidRPr="00E35F28">
        <w:rPr>
          <w:sz w:val="26"/>
          <w:szCs w:val="26"/>
        </w:rPr>
        <w:t xml:space="preserve">). </w:t>
      </w:r>
    </w:p>
    <w:p w14:paraId="54529935" w14:textId="36B8316A" w:rsidR="00E57D74" w:rsidRDefault="00A410BA" w:rsidP="00E57D74">
      <w:pPr>
        <w:spacing w:after="120"/>
        <w:ind w:firstLine="567"/>
        <w:jc w:val="both"/>
        <w:rPr>
          <w:sz w:val="26"/>
          <w:szCs w:val="26"/>
        </w:rPr>
      </w:pPr>
      <w:r>
        <w:rPr>
          <w:sz w:val="26"/>
          <w:szCs w:val="26"/>
        </w:rPr>
        <w:t xml:space="preserve"> Vienlaikus </w:t>
      </w:r>
      <w:r w:rsidR="0091282C" w:rsidRPr="00E35F28">
        <w:rPr>
          <w:sz w:val="26"/>
          <w:szCs w:val="26"/>
        </w:rPr>
        <w:t>jāatzīmē, ka</w:t>
      </w:r>
      <w:r w:rsidR="00832763">
        <w:rPr>
          <w:sz w:val="26"/>
          <w:szCs w:val="26"/>
        </w:rPr>
        <w:t xml:space="preserve"> kopējais</w:t>
      </w:r>
      <w:r w:rsidR="0091282C" w:rsidRPr="00E35F28">
        <w:rPr>
          <w:sz w:val="26"/>
          <w:szCs w:val="26"/>
        </w:rPr>
        <w:t xml:space="preserve"> darījumu skaits</w:t>
      </w:r>
      <w:r>
        <w:rPr>
          <w:sz w:val="26"/>
          <w:szCs w:val="26"/>
        </w:rPr>
        <w:t xml:space="preserve"> </w:t>
      </w:r>
      <w:r w:rsidR="005A454D">
        <w:rPr>
          <w:sz w:val="26"/>
          <w:szCs w:val="26"/>
        </w:rPr>
        <w:t>kopš</w:t>
      </w:r>
      <w:r w:rsidR="00D64E27">
        <w:rPr>
          <w:sz w:val="26"/>
          <w:szCs w:val="26"/>
        </w:rPr>
        <w:t xml:space="preserve"> 2014.gada</w:t>
      </w:r>
      <w:r w:rsidR="00753D05">
        <w:rPr>
          <w:sz w:val="26"/>
          <w:szCs w:val="26"/>
        </w:rPr>
        <w:t xml:space="preserve"> </w:t>
      </w:r>
      <w:r w:rsidR="0091282C" w:rsidRPr="00E35F28">
        <w:rPr>
          <w:sz w:val="26"/>
          <w:szCs w:val="26"/>
        </w:rPr>
        <w:t xml:space="preserve">ir ievērojami krities </w:t>
      </w:r>
      <w:r w:rsidR="00E57D74">
        <w:rPr>
          <w:sz w:val="26"/>
          <w:szCs w:val="26"/>
        </w:rPr>
        <w:t>– 2016.gadā veikti tikai 177 darījumi salīdzinājumā ar 272 darījumiem 2015.gadā</w:t>
      </w:r>
      <w:r>
        <w:rPr>
          <w:sz w:val="26"/>
          <w:szCs w:val="26"/>
        </w:rPr>
        <w:t xml:space="preserve"> </w:t>
      </w:r>
      <w:r w:rsidR="00AD34EF">
        <w:rPr>
          <w:sz w:val="26"/>
          <w:szCs w:val="26"/>
        </w:rPr>
        <w:t>vai vairāk kā 2 tūkst.</w:t>
      </w:r>
      <w:r>
        <w:rPr>
          <w:sz w:val="26"/>
          <w:szCs w:val="26"/>
        </w:rPr>
        <w:t xml:space="preserve"> darījum</w:t>
      </w:r>
      <w:r w:rsidR="00F30C9D">
        <w:rPr>
          <w:sz w:val="26"/>
          <w:szCs w:val="26"/>
        </w:rPr>
        <w:t>iem</w:t>
      </w:r>
      <w:r>
        <w:rPr>
          <w:sz w:val="26"/>
          <w:szCs w:val="26"/>
        </w:rPr>
        <w:t xml:space="preserve"> 2014 gadā</w:t>
      </w:r>
      <w:r w:rsidR="00E57D74">
        <w:rPr>
          <w:sz w:val="26"/>
          <w:szCs w:val="26"/>
        </w:rPr>
        <w:t>. 2017.gad</w:t>
      </w:r>
      <w:r w:rsidR="00CA3481">
        <w:rPr>
          <w:sz w:val="26"/>
          <w:szCs w:val="26"/>
        </w:rPr>
        <w:t xml:space="preserve">ā fiksēti </w:t>
      </w:r>
      <w:r w:rsidR="00F30C9D">
        <w:rPr>
          <w:sz w:val="26"/>
          <w:szCs w:val="26"/>
        </w:rPr>
        <w:t xml:space="preserve">tikai </w:t>
      </w:r>
      <w:r w:rsidR="00CA3481">
        <w:rPr>
          <w:sz w:val="26"/>
          <w:szCs w:val="26"/>
        </w:rPr>
        <w:t>100 darījumi, bet 2018.gada I pusgadā – 44 darījumi.</w:t>
      </w:r>
      <w:r w:rsidR="0091282C" w:rsidRPr="00E35F28">
        <w:rPr>
          <w:sz w:val="26"/>
          <w:szCs w:val="26"/>
        </w:rPr>
        <w:t xml:space="preserve"> </w:t>
      </w:r>
    </w:p>
    <w:p w14:paraId="7FCC6868" w14:textId="7EF73BB6" w:rsidR="0091282C" w:rsidRDefault="00DB39FD" w:rsidP="00BD4720">
      <w:pPr>
        <w:spacing w:after="120"/>
        <w:ind w:firstLine="567"/>
        <w:jc w:val="both"/>
        <w:rPr>
          <w:sz w:val="26"/>
          <w:szCs w:val="26"/>
        </w:rPr>
      </w:pPr>
      <w:r>
        <w:rPr>
          <w:sz w:val="26"/>
          <w:szCs w:val="26"/>
        </w:rPr>
        <w:t>Gan d</w:t>
      </w:r>
      <w:r w:rsidR="0091282C" w:rsidRPr="00E35F28">
        <w:rPr>
          <w:sz w:val="26"/>
          <w:szCs w:val="26"/>
        </w:rPr>
        <w:t>arījumu</w:t>
      </w:r>
      <w:r>
        <w:rPr>
          <w:sz w:val="26"/>
          <w:szCs w:val="26"/>
        </w:rPr>
        <w:t xml:space="preserve"> skaita kritums, gan darījumu</w:t>
      </w:r>
      <w:r w:rsidR="0091282C" w:rsidRPr="00E35F28">
        <w:rPr>
          <w:sz w:val="26"/>
          <w:szCs w:val="26"/>
        </w:rPr>
        <w:t xml:space="preserve"> īpatsvara pieaugums robežās no 250 līdz 499 tūkst. </w:t>
      </w:r>
      <w:r w:rsidR="0091282C" w:rsidRPr="00E35F28">
        <w:rPr>
          <w:i/>
          <w:sz w:val="26"/>
          <w:szCs w:val="26"/>
        </w:rPr>
        <w:t xml:space="preserve">euro </w:t>
      </w:r>
      <w:r w:rsidR="006004DB">
        <w:rPr>
          <w:sz w:val="26"/>
          <w:szCs w:val="26"/>
        </w:rPr>
        <w:t xml:space="preserve">galvenokārt </w:t>
      </w:r>
      <w:r w:rsidR="0091282C" w:rsidRPr="00E35F28">
        <w:rPr>
          <w:sz w:val="26"/>
          <w:szCs w:val="26"/>
        </w:rPr>
        <w:t>saistīts ar grozījumiem Imigrācijas likumā, kas stājās spēkā 2014.gada 1.septembrī un noteica, ka TUA par nekustamā īpašuma iegādi var saņemt, ja ir iegādāts nekustamais īpašums</w:t>
      </w:r>
      <w:r w:rsidR="006854B7">
        <w:rPr>
          <w:sz w:val="26"/>
          <w:szCs w:val="26"/>
        </w:rPr>
        <w:t xml:space="preserve"> </w:t>
      </w:r>
      <w:r w:rsidR="0091282C" w:rsidRPr="00E35F28">
        <w:rPr>
          <w:sz w:val="26"/>
          <w:szCs w:val="26"/>
        </w:rPr>
        <w:t xml:space="preserve">par pirkuma summu, kas nav mazāka par 250 tūkst. </w:t>
      </w:r>
      <w:r w:rsidR="0091282C" w:rsidRPr="00E35F28">
        <w:rPr>
          <w:i/>
          <w:sz w:val="26"/>
          <w:szCs w:val="26"/>
        </w:rPr>
        <w:t>eur</w:t>
      </w:r>
      <w:r w:rsidR="00BD4720">
        <w:rPr>
          <w:i/>
          <w:sz w:val="26"/>
          <w:szCs w:val="26"/>
        </w:rPr>
        <w:t>o</w:t>
      </w:r>
      <w:r w:rsidR="00AE182A">
        <w:rPr>
          <w:i/>
          <w:sz w:val="26"/>
          <w:szCs w:val="26"/>
        </w:rPr>
        <w:t xml:space="preserve"> </w:t>
      </w:r>
      <w:r w:rsidR="00BD4720">
        <w:rPr>
          <w:sz w:val="26"/>
          <w:szCs w:val="26"/>
        </w:rPr>
        <w:t>kā arī, no 2017.gada 1.janvāra vairs nav iesniedzami TUA pieprasījumi, kas saistīti ar pirms 2014.gada 31.augustā reģistrētu īpašumu iegādi.</w:t>
      </w:r>
      <w:r w:rsidR="0091282C" w:rsidRPr="00E35F28">
        <w:rPr>
          <w:sz w:val="26"/>
          <w:szCs w:val="26"/>
        </w:rPr>
        <w:t xml:space="preserve"> </w:t>
      </w:r>
    </w:p>
    <w:p w14:paraId="5FCE5C09" w14:textId="77777777" w:rsidR="0091282C" w:rsidRPr="002B4D22" w:rsidRDefault="00BD4720" w:rsidP="00BD4720">
      <w:pPr>
        <w:spacing w:after="120"/>
        <w:ind w:firstLine="426"/>
        <w:jc w:val="both"/>
        <w:rPr>
          <w:sz w:val="26"/>
          <w:szCs w:val="26"/>
        </w:rPr>
      </w:pPr>
      <w:r>
        <w:rPr>
          <w:sz w:val="26"/>
          <w:szCs w:val="26"/>
        </w:rPr>
        <w:t xml:space="preserve">Neraugoties uz nelielo TUA pieprasījumu skaitu, TUA pieprasīšana saistībā ar nekustamā īpašuma iegādi joprojām ir populārākais investīciju veids </w:t>
      </w:r>
      <w:r w:rsidR="0091282C" w:rsidRPr="002B4D22">
        <w:rPr>
          <w:sz w:val="26"/>
          <w:szCs w:val="26"/>
        </w:rPr>
        <w:t>vairāku iemeslu dēļ:</w:t>
      </w:r>
    </w:p>
    <w:p w14:paraId="0AADA1A9" w14:textId="77777777" w:rsidR="0091282C" w:rsidRPr="002B4D22" w:rsidRDefault="0091282C" w:rsidP="00BD4720">
      <w:pPr>
        <w:pStyle w:val="ListParagraph"/>
        <w:numPr>
          <w:ilvl w:val="0"/>
          <w:numId w:val="1"/>
        </w:numPr>
        <w:spacing w:after="120" w:line="240" w:lineRule="auto"/>
        <w:ind w:left="0" w:firstLine="567"/>
        <w:jc w:val="both"/>
        <w:rPr>
          <w:rFonts w:ascii="Times New Roman" w:hAnsi="Times New Roman"/>
          <w:sz w:val="26"/>
          <w:szCs w:val="26"/>
        </w:rPr>
      </w:pPr>
      <w:r w:rsidRPr="002B4D22">
        <w:rPr>
          <w:rFonts w:ascii="Times New Roman" w:hAnsi="Times New Roman"/>
          <w:sz w:val="26"/>
          <w:szCs w:val="26"/>
        </w:rPr>
        <w:t>investīcijas nekustamajā īpašumā tiek uzskatītas par vienu no drošākajiem investīciju veidiem;</w:t>
      </w:r>
    </w:p>
    <w:p w14:paraId="421F8272" w14:textId="77777777" w:rsidR="0091282C" w:rsidRPr="002B4D22" w:rsidRDefault="0091282C" w:rsidP="00BD4720">
      <w:pPr>
        <w:pStyle w:val="ListParagraph"/>
        <w:numPr>
          <w:ilvl w:val="0"/>
          <w:numId w:val="1"/>
        </w:numPr>
        <w:spacing w:after="120" w:line="240" w:lineRule="auto"/>
        <w:ind w:left="0" w:firstLine="567"/>
        <w:jc w:val="both"/>
        <w:rPr>
          <w:rFonts w:ascii="Times New Roman" w:hAnsi="Times New Roman"/>
          <w:sz w:val="26"/>
          <w:szCs w:val="26"/>
        </w:rPr>
      </w:pPr>
      <w:r w:rsidRPr="002B4D22">
        <w:rPr>
          <w:rFonts w:ascii="Times New Roman" w:hAnsi="Times New Roman"/>
          <w:sz w:val="26"/>
          <w:szCs w:val="26"/>
        </w:rPr>
        <w:t xml:space="preserve">iespēja diferencēt savu aktīvu saglabāšanu; </w:t>
      </w:r>
    </w:p>
    <w:p w14:paraId="4DDC3624" w14:textId="77777777" w:rsidR="0091282C" w:rsidRDefault="0091282C" w:rsidP="00FC0A9A">
      <w:pPr>
        <w:pStyle w:val="ListParagraph"/>
        <w:numPr>
          <w:ilvl w:val="0"/>
          <w:numId w:val="1"/>
        </w:numPr>
        <w:spacing w:after="120" w:line="240" w:lineRule="auto"/>
        <w:ind w:left="0" w:firstLine="567"/>
        <w:contextualSpacing w:val="0"/>
        <w:jc w:val="both"/>
        <w:rPr>
          <w:rFonts w:ascii="Times New Roman" w:hAnsi="Times New Roman"/>
          <w:sz w:val="26"/>
          <w:szCs w:val="26"/>
        </w:rPr>
      </w:pPr>
      <w:r w:rsidRPr="002B4D22">
        <w:rPr>
          <w:rFonts w:ascii="Times New Roman" w:hAnsi="Times New Roman"/>
          <w:sz w:val="26"/>
          <w:szCs w:val="26"/>
        </w:rPr>
        <w:t>TUA saņemšanas un reģistrācijas process ir vienkāršāks nekā, piemēram, veicot investīcijas kapitālsabiedrības pamatkapitālā, jo nav nepieciešams nodrošināt uzņēmuma sekmīgu darbību; vienīgais priekšnosacījums TUA saglabāšanai ir savlaicīga nekustamā īpašuma nodokļa samaksa.</w:t>
      </w:r>
    </w:p>
    <w:p w14:paraId="1415DE0B" w14:textId="77777777" w:rsidR="000F1F12" w:rsidRPr="00107E55" w:rsidRDefault="00FC0A9A" w:rsidP="004154D0">
      <w:pPr>
        <w:pStyle w:val="ListParagraph"/>
        <w:spacing w:after="120" w:line="240" w:lineRule="auto"/>
        <w:ind w:left="567"/>
        <w:contextualSpacing w:val="0"/>
        <w:jc w:val="right"/>
        <w:rPr>
          <w:rFonts w:ascii="Times New Roman" w:hAnsi="Times New Roman"/>
          <w:sz w:val="26"/>
          <w:szCs w:val="26"/>
        </w:rPr>
      </w:pPr>
      <w:r w:rsidRPr="00107E55">
        <w:rPr>
          <w:rFonts w:ascii="Times New Roman" w:hAnsi="Times New Roman"/>
          <w:sz w:val="26"/>
          <w:szCs w:val="26"/>
        </w:rPr>
        <w:t>2.attēls</w:t>
      </w:r>
    </w:p>
    <w:p w14:paraId="25F4131B" w14:textId="77777777" w:rsidR="00FC0A9A" w:rsidRPr="00107E55" w:rsidRDefault="00FC0A9A" w:rsidP="00FC0A9A">
      <w:pPr>
        <w:pStyle w:val="ListParagraph"/>
        <w:spacing w:after="120" w:line="240" w:lineRule="auto"/>
        <w:ind w:left="0"/>
        <w:jc w:val="center"/>
        <w:rPr>
          <w:rFonts w:ascii="Times New Roman" w:hAnsi="Times New Roman"/>
          <w:sz w:val="24"/>
          <w:szCs w:val="24"/>
        </w:rPr>
      </w:pPr>
      <w:r w:rsidRPr="00107E55">
        <w:rPr>
          <w:rFonts w:ascii="Times New Roman" w:hAnsi="Times New Roman"/>
          <w:b/>
          <w:sz w:val="26"/>
          <w:szCs w:val="26"/>
        </w:rPr>
        <w:t xml:space="preserve">TUA saņēmušo ārvalstnieku darījumi pret visiem </w:t>
      </w:r>
      <w:r w:rsidR="000500FC" w:rsidRPr="00107E55">
        <w:rPr>
          <w:rFonts w:ascii="Times New Roman" w:hAnsi="Times New Roman"/>
          <w:b/>
          <w:sz w:val="26"/>
          <w:szCs w:val="26"/>
        </w:rPr>
        <w:t>Z</w:t>
      </w:r>
      <w:r w:rsidRPr="00107E55">
        <w:rPr>
          <w:rFonts w:ascii="Times New Roman" w:hAnsi="Times New Roman"/>
          <w:b/>
          <w:sz w:val="26"/>
          <w:szCs w:val="26"/>
        </w:rPr>
        <w:t>emesgrāmatā reģistrētajiem pirkuma līgumiem</w:t>
      </w:r>
      <w:r w:rsidRPr="00107E55">
        <w:rPr>
          <w:rFonts w:ascii="Times New Roman" w:hAnsi="Times New Roman"/>
          <w:sz w:val="26"/>
          <w:szCs w:val="26"/>
        </w:rPr>
        <w:br/>
      </w:r>
      <w:r w:rsidRPr="00107E55">
        <w:rPr>
          <w:rFonts w:ascii="Times New Roman" w:hAnsi="Times New Roman"/>
          <w:sz w:val="24"/>
          <w:szCs w:val="24"/>
        </w:rPr>
        <w:t xml:space="preserve">(kreisā ass – darījumu skaits tūkstošos; labā ass – darījumu summa milj. </w:t>
      </w:r>
      <w:r w:rsidRPr="00107E55">
        <w:rPr>
          <w:rFonts w:ascii="Times New Roman" w:hAnsi="Times New Roman"/>
          <w:i/>
          <w:sz w:val="24"/>
          <w:szCs w:val="24"/>
        </w:rPr>
        <w:t>eiro</w:t>
      </w:r>
      <w:r w:rsidRPr="00107E55">
        <w:rPr>
          <w:rFonts w:ascii="Times New Roman" w:hAnsi="Times New Roman"/>
          <w:sz w:val="24"/>
          <w:szCs w:val="24"/>
        </w:rPr>
        <w:t>)</w:t>
      </w:r>
    </w:p>
    <w:p w14:paraId="1F8DB4BF" w14:textId="77777777" w:rsidR="00A912D0" w:rsidRPr="00107E55" w:rsidRDefault="00A912D0" w:rsidP="00FC0A9A">
      <w:pPr>
        <w:pStyle w:val="ListParagraph"/>
        <w:spacing w:after="120" w:line="240" w:lineRule="auto"/>
        <w:ind w:left="0"/>
        <w:jc w:val="center"/>
        <w:rPr>
          <w:rFonts w:ascii="Times New Roman" w:hAnsi="Times New Roman"/>
          <w:sz w:val="24"/>
          <w:szCs w:val="24"/>
        </w:rPr>
      </w:pPr>
    </w:p>
    <w:p w14:paraId="1A5BD73C" w14:textId="77777777" w:rsidR="000F1F12" w:rsidRPr="00107E55" w:rsidRDefault="00A912D0" w:rsidP="00A912D0">
      <w:pPr>
        <w:pStyle w:val="ListParagraph"/>
        <w:spacing w:after="120" w:line="240" w:lineRule="auto"/>
        <w:ind w:left="0"/>
        <w:jc w:val="center"/>
        <w:rPr>
          <w:rFonts w:ascii="Times New Roman" w:hAnsi="Times New Roman"/>
          <w:sz w:val="24"/>
          <w:szCs w:val="24"/>
        </w:rPr>
      </w:pPr>
      <w:r w:rsidRPr="00107E55">
        <w:rPr>
          <w:rFonts w:ascii="Times New Roman" w:hAnsi="Times New Roman"/>
          <w:noProof/>
          <w:sz w:val="24"/>
          <w:szCs w:val="24"/>
          <w:lang w:val="en-GB" w:eastAsia="en-GB"/>
        </w:rPr>
        <w:drawing>
          <wp:inline distT="0" distB="0" distL="0" distR="0" wp14:anchorId="6AEE4F18" wp14:editId="535D38AA">
            <wp:extent cx="5517515" cy="3438525"/>
            <wp:effectExtent l="0" t="0" r="698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7515" cy="3438525"/>
                    </a:xfrm>
                    <a:prstGeom prst="rect">
                      <a:avLst/>
                    </a:prstGeom>
                    <a:noFill/>
                  </pic:spPr>
                </pic:pic>
              </a:graphicData>
            </a:graphic>
          </wp:inline>
        </w:drawing>
      </w:r>
    </w:p>
    <w:p w14:paraId="505CD616" w14:textId="77777777" w:rsidR="000F1F12" w:rsidRPr="00107E55" w:rsidRDefault="004154D0" w:rsidP="000500FC">
      <w:pPr>
        <w:spacing w:after="240"/>
        <w:jc w:val="both"/>
        <w:rPr>
          <w:i/>
          <w:sz w:val="22"/>
        </w:rPr>
      </w:pPr>
      <w:r w:rsidRPr="00107E55">
        <w:rPr>
          <w:sz w:val="22"/>
        </w:rPr>
        <w:t xml:space="preserve">Avots: </w:t>
      </w:r>
      <w:r w:rsidRPr="00107E55">
        <w:rPr>
          <w:i/>
          <w:sz w:val="22"/>
        </w:rPr>
        <w:t xml:space="preserve">PMPL, </w:t>
      </w:r>
      <w:r w:rsidR="00D03A8D" w:rsidRPr="00107E55">
        <w:rPr>
          <w:i/>
          <w:sz w:val="22"/>
        </w:rPr>
        <w:t>Zemesgrāmata</w:t>
      </w:r>
      <w:r w:rsidRPr="00107E55">
        <w:rPr>
          <w:i/>
          <w:sz w:val="22"/>
        </w:rPr>
        <w:t>, Latvijas Banka</w:t>
      </w:r>
    </w:p>
    <w:p w14:paraId="148DFA2A" w14:textId="6A6339DB" w:rsidR="007F101F" w:rsidRPr="00107E55" w:rsidRDefault="007F101F" w:rsidP="007F101F">
      <w:pPr>
        <w:spacing w:before="120" w:after="120"/>
        <w:ind w:firstLine="567"/>
        <w:jc w:val="both"/>
        <w:rPr>
          <w:rFonts w:eastAsiaTheme="minorEastAsia" w:cs="Times New Roman"/>
          <w:sz w:val="26"/>
          <w:szCs w:val="26"/>
        </w:rPr>
      </w:pPr>
      <w:r w:rsidRPr="00107E55">
        <w:rPr>
          <w:sz w:val="26"/>
          <w:szCs w:val="26"/>
        </w:rPr>
        <w:t>Ar TUA saņemšanu saistītie nekustamā īpašuma iegādes darījumi veido mazu daļu kopējā Zemesgrāmatā reģistrēto pirkuma līgumu skaitā. Bez tam ar TUA saņemšanu ir saistīta tikai daļa no nerezidentu iegādātajiem nekustamajiem īpašumiem, uz ko norāda gan VZD sniegtā informācija, gan arī ar TUA saistīto ieguldījumu apjoms kopējā nerezidentu ieguldījumā nekustamajos īpašumos (2.attēls).</w:t>
      </w:r>
    </w:p>
    <w:p w14:paraId="25C2CD83" w14:textId="77777777" w:rsidR="007F101F" w:rsidRPr="00107E55" w:rsidRDefault="000500FC" w:rsidP="007F101F">
      <w:pPr>
        <w:spacing w:before="120" w:after="120"/>
        <w:ind w:firstLine="567"/>
        <w:jc w:val="both"/>
        <w:rPr>
          <w:sz w:val="26"/>
          <w:szCs w:val="26"/>
        </w:rPr>
      </w:pPr>
      <w:r w:rsidRPr="00107E55">
        <w:rPr>
          <w:sz w:val="26"/>
          <w:szCs w:val="26"/>
        </w:rPr>
        <w:t>Kopš 2014.gada ik gadu samazinās</w:t>
      </w:r>
      <w:r w:rsidR="00E90D31" w:rsidRPr="00107E55">
        <w:rPr>
          <w:sz w:val="26"/>
          <w:szCs w:val="26"/>
        </w:rPr>
        <w:t xml:space="preserve"> arī</w:t>
      </w:r>
      <w:r w:rsidRPr="00107E55">
        <w:rPr>
          <w:sz w:val="26"/>
          <w:szCs w:val="26"/>
        </w:rPr>
        <w:t xml:space="preserve"> ar TUA saņemšanu saistīto investīciju (nekustamā īpašuma iegādes darījumu) summa</w:t>
      </w:r>
      <w:r w:rsidR="00E13CE5" w:rsidRPr="00107E55">
        <w:rPr>
          <w:sz w:val="26"/>
          <w:szCs w:val="26"/>
        </w:rPr>
        <w:t xml:space="preserve">. </w:t>
      </w:r>
      <w:r w:rsidR="00E90D31" w:rsidRPr="00107E55">
        <w:rPr>
          <w:sz w:val="26"/>
          <w:szCs w:val="26"/>
        </w:rPr>
        <w:t xml:space="preserve">2016.gadā tie bija 50,6 milj. </w:t>
      </w:r>
      <w:r w:rsidR="00E90D31" w:rsidRPr="00107E55">
        <w:rPr>
          <w:i/>
          <w:sz w:val="26"/>
          <w:szCs w:val="26"/>
        </w:rPr>
        <w:t>euro</w:t>
      </w:r>
      <w:r w:rsidR="00E90D31" w:rsidRPr="00107E55">
        <w:rPr>
          <w:sz w:val="26"/>
          <w:szCs w:val="26"/>
        </w:rPr>
        <w:t xml:space="preserve">, kas </w:t>
      </w:r>
      <w:r w:rsidR="00E166FA" w:rsidRPr="00107E55">
        <w:rPr>
          <w:sz w:val="26"/>
          <w:szCs w:val="26"/>
        </w:rPr>
        <w:t>bija</w:t>
      </w:r>
      <w:r w:rsidR="00E90D31" w:rsidRPr="00107E55">
        <w:rPr>
          <w:sz w:val="26"/>
          <w:szCs w:val="26"/>
        </w:rPr>
        <w:t xml:space="preserve"> par 30,5% mazāk kā 2015.gadā un pa</w:t>
      </w:r>
      <w:r w:rsidR="00B63D6A" w:rsidRPr="00107E55">
        <w:rPr>
          <w:sz w:val="26"/>
          <w:szCs w:val="26"/>
        </w:rPr>
        <w:t>r 87,3% mazāk kā 2014.gadā. 2018</w:t>
      </w:r>
      <w:r w:rsidR="00E90D31" w:rsidRPr="00107E55">
        <w:rPr>
          <w:sz w:val="26"/>
          <w:szCs w:val="26"/>
        </w:rPr>
        <w:t>.gad</w:t>
      </w:r>
      <w:r w:rsidR="00334A12" w:rsidRPr="00107E55">
        <w:rPr>
          <w:sz w:val="26"/>
          <w:szCs w:val="26"/>
        </w:rPr>
        <w:t>a</w:t>
      </w:r>
      <w:r w:rsidR="00E90D31" w:rsidRPr="00107E55">
        <w:rPr>
          <w:sz w:val="26"/>
          <w:szCs w:val="26"/>
        </w:rPr>
        <w:t xml:space="preserve"> 1.pusgadā</w:t>
      </w:r>
      <w:r w:rsidR="00B63D6A" w:rsidRPr="00107E55">
        <w:rPr>
          <w:sz w:val="26"/>
          <w:szCs w:val="26"/>
        </w:rPr>
        <w:t xml:space="preserve"> šo darījumu summa bija tikai 13,2</w:t>
      </w:r>
      <w:r w:rsidR="00334A12" w:rsidRPr="00107E55">
        <w:rPr>
          <w:sz w:val="26"/>
          <w:szCs w:val="26"/>
        </w:rPr>
        <w:t xml:space="preserve"> milj. </w:t>
      </w:r>
      <w:r w:rsidR="00334A12" w:rsidRPr="00107E55">
        <w:rPr>
          <w:i/>
          <w:sz w:val="26"/>
          <w:szCs w:val="26"/>
        </w:rPr>
        <w:t>euro</w:t>
      </w:r>
      <w:r w:rsidR="00486763" w:rsidRPr="00107E55">
        <w:rPr>
          <w:sz w:val="26"/>
          <w:szCs w:val="26"/>
        </w:rPr>
        <w:t xml:space="preserve">. </w:t>
      </w:r>
      <w:r w:rsidR="00B63D6A" w:rsidRPr="00107E55">
        <w:rPr>
          <w:sz w:val="26"/>
          <w:szCs w:val="26"/>
        </w:rPr>
        <w:t>2017.gadā 92%, bet 2018</w:t>
      </w:r>
      <w:r w:rsidR="00B44894" w:rsidRPr="00107E55">
        <w:rPr>
          <w:sz w:val="26"/>
          <w:szCs w:val="26"/>
        </w:rPr>
        <w:t>.gada 1.pusgadā 83</w:t>
      </w:r>
      <w:r w:rsidR="00B15264" w:rsidRPr="00107E55">
        <w:rPr>
          <w:sz w:val="26"/>
          <w:szCs w:val="26"/>
        </w:rPr>
        <w:t xml:space="preserve">% no visas darījumu summas veidoja </w:t>
      </w:r>
      <w:r w:rsidR="00486763" w:rsidRPr="00107E55">
        <w:rPr>
          <w:sz w:val="26"/>
          <w:szCs w:val="26"/>
        </w:rPr>
        <w:t xml:space="preserve">nekustamā īpašuma iegādes </w:t>
      </w:r>
      <w:r w:rsidR="00B15264" w:rsidRPr="00107E55">
        <w:rPr>
          <w:sz w:val="26"/>
          <w:szCs w:val="26"/>
        </w:rPr>
        <w:t>darījumi Rīg</w:t>
      </w:r>
      <w:r w:rsidR="007F38C0" w:rsidRPr="00107E55">
        <w:rPr>
          <w:sz w:val="26"/>
          <w:szCs w:val="26"/>
        </w:rPr>
        <w:t>as</w:t>
      </w:r>
      <w:r w:rsidR="00B15264" w:rsidRPr="00107E55">
        <w:rPr>
          <w:sz w:val="26"/>
          <w:szCs w:val="26"/>
        </w:rPr>
        <w:t xml:space="preserve"> un Jūrmal</w:t>
      </w:r>
      <w:r w:rsidR="007F38C0" w:rsidRPr="00107E55">
        <w:rPr>
          <w:sz w:val="26"/>
          <w:szCs w:val="26"/>
        </w:rPr>
        <w:t>as pilsētās</w:t>
      </w:r>
      <w:r w:rsidR="00B15264" w:rsidRPr="00107E55">
        <w:rPr>
          <w:sz w:val="26"/>
          <w:szCs w:val="26"/>
        </w:rPr>
        <w:t>.</w:t>
      </w:r>
      <w:r w:rsidR="007F101F" w:rsidRPr="00107E55">
        <w:rPr>
          <w:sz w:val="26"/>
          <w:szCs w:val="26"/>
        </w:rPr>
        <w:t xml:space="preserve"> </w:t>
      </w:r>
      <w:r w:rsidR="00DE04DF" w:rsidRPr="00107E55">
        <w:rPr>
          <w:sz w:val="26"/>
          <w:szCs w:val="26"/>
        </w:rPr>
        <w:t xml:space="preserve">Saskaņā ar VZD sniegto </w:t>
      </w:r>
      <w:r w:rsidR="007F101F" w:rsidRPr="00107E55">
        <w:rPr>
          <w:sz w:val="26"/>
          <w:szCs w:val="26"/>
        </w:rPr>
        <w:t>informāciju</w:t>
      </w:r>
      <w:r w:rsidR="004614EE" w:rsidRPr="00107E55">
        <w:rPr>
          <w:sz w:val="26"/>
          <w:szCs w:val="26"/>
        </w:rPr>
        <w:t>,</w:t>
      </w:r>
      <w:r w:rsidR="007F101F" w:rsidRPr="00107E55">
        <w:rPr>
          <w:sz w:val="26"/>
          <w:szCs w:val="26"/>
        </w:rPr>
        <w:t xml:space="preserve"> ar TUA pieprasīšanu saistītajos nekustamā īpašuma iegādes darījumos dominē dzīvokļi un savrupmājas.</w:t>
      </w:r>
    </w:p>
    <w:p w14:paraId="25E873BB" w14:textId="47DDA77B" w:rsidR="00245311" w:rsidRPr="00107E55" w:rsidRDefault="007F101F" w:rsidP="0043465A">
      <w:pPr>
        <w:spacing w:before="120" w:after="120"/>
        <w:ind w:firstLine="567"/>
        <w:jc w:val="both"/>
        <w:rPr>
          <w:sz w:val="26"/>
          <w:szCs w:val="26"/>
        </w:rPr>
      </w:pPr>
      <w:r w:rsidRPr="00107E55">
        <w:rPr>
          <w:sz w:val="26"/>
          <w:szCs w:val="26"/>
        </w:rPr>
        <w:t>M</w:t>
      </w:r>
      <w:r w:rsidR="00C067EF" w:rsidRPr="00107E55">
        <w:rPr>
          <w:sz w:val="26"/>
          <w:szCs w:val="26"/>
        </w:rPr>
        <w:t>ājokļu</w:t>
      </w:r>
      <w:r w:rsidR="005045A3" w:rsidRPr="00107E55">
        <w:rPr>
          <w:sz w:val="26"/>
          <w:szCs w:val="26"/>
        </w:rPr>
        <w:t xml:space="preserve"> tirgus dati</w:t>
      </w:r>
      <w:r w:rsidR="00CA053C" w:rsidRPr="00107E55">
        <w:rPr>
          <w:rStyle w:val="FootnoteReference"/>
          <w:sz w:val="26"/>
          <w:szCs w:val="26"/>
        </w:rPr>
        <w:footnoteReference w:id="1"/>
      </w:r>
      <w:r w:rsidR="005045A3" w:rsidRPr="00107E55">
        <w:rPr>
          <w:sz w:val="26"/>
          <w:szCs w:val="26"/>
        </w:rPr>
        <w:t xml:space="preserve"> liecina, ka </w:t>
      </w:r>
      <w:r w:rsidR="00245311" w:rsidRPr="00107E55">
        <w:rPr>
          <w:sz w:val="26"/>
          <w:szCs w:val="26"/>
        </w:rPr>
        <w:t>kopš 2014.gada beigām ir samazinājies nekustamā īpašuma pircēju – ārvalstnieku skaits. Nozare lielā mērā pārkārtojusies uz vietējo pieprasījumu.</w:t>
      </w:r>
    </w:p>
    <w:p w14:paraId="5ECD1349" w14:textId="77777777" w:rsidR="00245311" w:rsidRPr="00107E55" w:rsidRDefault="0043465A" w:rsidP="00245311">
      <w:pPr>
        <w:spacing w:before="120" w:after="120"/>
        <w:ind w:firstLine="567"/>
        <w:jc w:val="both"/>
        <w:rPr>
          <w:sz w:val="26"/>
          <w:szCs w:val="26"/>
        </w:rPr>
      </w:pPr>
      <w:r w:rsidRPr="00107E55">
        <w:rPr>
          <w:sz w:val="26"/>
          <w:szCs w:val="26"/>
        </w:rPr>
        <w:t>FKTK 2017.gadā</w:t>
      </w:r>
      <w:r w:rsidR="007F101F" w:rsidRPr="00107E55">
        <w:rPr>
          <w:sz w:val="26"/>
          <w:szCs w:val="26"/>
        </w:rPr>
        <w:t xml:space="preserve"> arī </w:t>
      </w:r>
      <w:r w:rsidR="00FB0511" w:rsidRPr="00107E55">
        <w:rPr>
          <w:sz w:val="26"/>
          <w:szCs w:val="26"/>
        </w:rPr>
        <w:t>norādīja</w:t>
      </w:r>
      <w:r w:rsidRPr="00107E55">
        <w:rPr>
          <w:sz w:val="26"/>
          <w:szCs w:val="26"/>
        </w:rPr>
        <w:t>,</w:t>
      </w:r>
      <w:r w:rsidR="00FB0511" w:rsidRPr="00107E55">
        <w:rPr>
          <w:sz w:val="26"/>
          <w:szCs w:val="26"/>
        </w:rPr>
        <w:t xml:space="preserve"> ka</w:t>
      </w:r>
      <w:r w:rsidRPr="00107E55">
        <w:rPr>
          <w:sz w:val="26"/>
          <w:szCs w:val="26"/>
        </w:rPr>
        <w:t xml:space="preserve"> kredītiestāžu klientu – nerezidentu nekustamo īpašumu darījumu skaits, kas jau samazinājās ar </w:t>
      </w:r>
      <w:r w:rsidR="00FB0511" w:rsidRPr="00107E55">
        <w:rPr>
          <w:sz w:val="26"/>
          <w:szCs w:val="26"/>
        </w:rPr>
        <w:t xml:space="preserve">2014.gada </w:t>
      </w:r>
      <w:r w:rsidRPr="00107E55">
        <w:rPr>
          <w:sz w:val="26"/>
          <w:szCs w:val="26"/>
        </w:rPr>
        <w:t>Imigrācijas likuma grozījumu spēkā stāšanos 1.septembrī, aizvien sarūk, un kredītiestāžu aizdevumi klientiem – nerezidentiem nekustamā īpašuma iegādei nolūkā iegūt uzturēšanās atļauju, ir mazāk pieprasīti</w:t>
      </w:r>
      <w:r w:rsidR="005F41EF" w:rsidRPr="00107E55">
        <w:rPr>
          <w:rStyle w:val="FootnoteReference"/>
          <w:sz w:val="26"/>
          <w:szCs w:val="26"/>
        </w:rPr>
        <w:footnoteReference w:id="2"/>
      </w:r>
      <w:r w:rsidRPr="00107E55">
        <w:rPr>
          <w:sz w:val="26"/>
          <w:szCs w:val="26"/>
        </w:rPr>
        <w:t>.</w:t>
      </w:r>
    </w:p>
    <w:p w14:paraId="32557330" w14:textId="19C7297F" w:rsidR="0043465A" w:rsidRPr="00107E55" w:rsidRDefault="00245311" w:rsidP="00E11255">
      <w:pPr>
        <w:spacing w:before="120" w:after="120"/>
        <w:ind w:firstLine="567"/>
        <w:jc w:val="both"/>
        <w:rPr>
          <w:sz w:val="26"/>
          <w:szCs w:val="26"/>
        </w:rPr>
      </w:pPr>
      <w:r w:rsidRPr="00107E55">
        <w:rPr>
          <w:sz w:val="26"/>
          <w:szCs w:val="26"/>
        </w:rPr>
        <w:t xml:space="preserve">Bez tam </w:t>
      </w:r>
      <w:r w:rsidR="00E11255" w:rsidRPr="00107E55">
        <w:rPr>
          <w:sz w:val="26"/>
          <w:szCs w:val="26"/>
        </w:rPr>
        <w:t xml:space="preserve">nerezientu </w:t>
      </w:r>
      <w:r w:rsidRPr="00107E55">
        <w:rPr>
          <w:sz w:val="26"/>
          <w:szCs w:val="26"/>
        </w:rPr>
        <w:t>darījumu skaita s</w:t>
      </w:r>
      <w:r w:rsidR="00E11255" w:rsidRPr="00107E55">
        <w:rPr>
          <w:sz w:val="26"/>
          <w:szCs w:val="26"/>
        </w:rPr>
        <w:t>amazinājums skaidrojams arī ar ekonomisko krīzi</w:t>
      </w:r>
      <w:r w:rsidRPr="00107E55">
        <w:rPr>
          <w:sz w:val="26"/>
          <w:szCs w:val="26"/>
        </w:rPr>
        <w:t xml:space="preserve"> Krievijā (Krievijas Federācijas pilsoņu, kuri kā TUA saņemšanas iemeslu norādījuši nekustamā īpašuma iegādi, skaits 2015.gadā salīdzinot ar 2014.gadu samazinājās 10 reizes, bet kopējais ar TUA saņemšanu saistīto nekustamā īpašuma iegādes darījumu skaits saruka par 89%)</w:t>
      </w:r>
      <w:r w:rsidR="00E11255" w:rsidRPr="00107E55">
        <w:rPr>
          <w:sz w:val="26"/>
          <w:szCs w:val="26"/>
        </w:rPr>
        <w:t>.</w:t>
      </w:r>
    </w:p>
    <w:p w14:paraId="1330B68E" w14:textId="5463B7DA" w:rsidR="004614EE" w:rsidRPr="00107E55" w:rsidRDefault="00276ECF" w:rsidP="007F101F">
      <w:pPr>
        <w:spacing w:before="120" w:after="120"/>
        <w:ind w:firstLine="567"/>
        <w:jc w:val="both"/>
        <w:rPr>
          <w:sz w:val="26"/>
          <w:szCs w:val="26"/>
        </w:rPr>
      </w:pPr>
      <w:r w:rsidRPr="00107E55">
        <w:rPr>
          <w:sz w:val="26"/>
          <w:szCs w:val="26"/>
        </w:rPr>
        <w:t xml:space="preserve">Jāpiemin, ka </w:t>
      </w:r>
      <w:r w:rsidR="007F101F" w:rsidRPr="00107E55">
        <w:rPr>
          <w:sz w:val="26"/>
          <w:szCs w:val="26"/>
        </w:rPr>
        <w:t>2018.gad</w:t>
      </w:r>
      <w:r w:rsidR="004614EE" w:rsidRPr="00107E55">
        <w:rPr>
          <w:sz w:val="26"/>
          <w:szCs w:val="26"/>
        </w:rPr>
        <w:t>ā</w:t>
      </w:r>
      <w:r w:rsidR="007F101F" w:rsidRPr="00107E55">
        <w:rPr>
          <w:sz w:val="26"/>
          <w:szCs w:val="26"/>
        </w:rPr>
        <w:t xml:space="preserve"> mājokļu tirgu </w:t>
      </w:r>
      <w:r w:rsidR="004614EE" w:rsidRPr="00107E55">
        <w:rPr>
          <w:sz w:val="26"/>
          <w:szCs w:val="26"/>
        </w:rPr>
        <w:t xml:space="preserve">ir </w:t>
      </w:r>
      <w:r w:rsidR="007F101F" w:rsidRPr="00107E55">
        <w:rPr>
          <w:sz w:val="26"/>
          <w:szCs w:val="26"/>
        </w:rPr>
        <w:t>ietekmēj</w:t>
      </w:r>
      <w:r w:rsidR="004614EE" w:rsidRPr="00107E55">
        <w:rPr>
          <w:sz w:val="26"/>
          <w:szCs w:val="26"/>
        </w:rPr>
        <w:t>is gan</w:t>
      </w:r>
      <w:r w:rsidR="007F101F" w:rsidRPr="00107E55">
        <w:rPr>
          <w:sz w:val="26"/>
          <w:szCs w:val="26"/>
        </w:rPr>
        <w:t xml:space="preserve"> kapitāla pieauguma nodokļa palielināšana sākot ar 2018.gada 1.janvāri, </w:t>
      </w:r>
      <w:r w:rsidR="004614EE" w:rsidRPr="00107E55">
        <w:rPr>
          <w:sz w:val="26"/>
          <w:szCs w:val="26"/>
        </w:rPr>
        <w:t>gan</w:t>
      </w:r>
      <w:r w:rsidR="007F101F" w:rsidRPr="00107E55">
        <w:rPr>
          <w:sz w:val="26"/>
          <w:szCs w:val="26"/>
        </w:rPr>
        <w:t xml:space="preserve"> arī neskaidrība finanšu sektora problēmu iespaidā. Piemēram, Rīgā </w:t>
      </w:r>
      <w:r w:rsidR="004614EE" w:rsidRPr="00107E55">
        <w:rPr>
          <w:sz w:val="26"/>
          <w:szCs w:val="26"/>
        </w:rPr>
        <w:t>dzīvojamo platību darījumu skaits 2018.gada I ceturksnī samazinājās par 7,7% salīdzinot ar iepriekšējo ceturksni</w:t>
      </w:r>
      <w:r w:rsidR="00ED3451" w:rsidRPr="00107E55">
        <w:rPr>
          <w:sz w:val="26"/>
          <w:szCs w:val="26"/>
        </w:rPr>
        <w:t xml:space="preserve"> un kritums turpinājās a</w:t>
      </w:r>
      <w:r w:rsidR="0093068F" w:rsidRPr="00107E55">
        <w:rPr>
          <w:sz w:val="26"/>
          <w:szCs w:val="26"/>
        </w:rPr>
        <w:t>rī II ceturksnī</w:t>
      </w:r>
      <w:r w:rsidR="00137B5A" w:rsidRPr="00107E55">
        <w:rPr>
          <w:rStyle w:val="FootnoteReference"/>
          <w:sz w:val="26"/>
          <w:szCs w:val="26"/>
        </w:rPr>
        <w:footnoteReference w:id="3"/>
      </w:r>
      <w:r w:rsidR="004614EE" w:rsidRPr="00107E55">
        <w:rPr>
          <w:sz w:val="26"/>
          <w:szCs w:val="26"/>
        </w:rPr>
        <w:t>.</w:t>
      </w:r>
    </w:p>
    <w:p w14:paraId="4ED82F51" w14:textId="36E0DC63" w:rsidR="00276ECF" w:rsidRPr="00107E55" w:rsidRDefault="00276ECF" w:rsidP="00936DBE">
      <w:pPr>
        <w:spacing w:before="120" w:after="120"/>
        <w:ind w:firstLine="567"/>
        <w:jc w:val="both"/>
        <w:rPr>
          <w:b/>
          <w:color w:val="FF0000"/>
          <w:sz w:val="26"/>
          <w:szCs w:val="26"/>
        </w:rPr>
      </w:pPr>
      <w:r w:rsidRPr="00107E55">
        <w:rPr>
          <w:sz w:val="26"/>
          <w:szCs w:val="26"/>
        </w:rPr>
        <w:t xml:space="preserve">Gandrīz 80% </w:t>
      </w:r>
      <w:r w:rsidR="00D33D85" w:rsidRPr="00107E55">
        <w:rPr>
          <w:sz w:val="26"/>
          <w:szCs w:val="26"/>
        </w:rPr>
        <w:t xml:space="preserve">(4654) </w:t>
      </w:r>
      <w:r w:rsidRPr="00107E55">
        <w:rPr>
          <w:sz w:val="26"/>
          <w:szCs w:val="26"/>
        </w:rPr>
        <w:t>visu TUA pieteicēju iegādāt</w:t>
      </w:r>
      <w:r w:rsidR="00C27A15" w:rsidRPr="00107E55">
        <w:rPr>
          <w:sz w:val="26"/>
          <w:szCs w:val="26"/>
        </w:rPr>
        <w:t>o nekustamo īpašumu atrodas Rīgas vai Jūrmalas pilsētās</w:t>
      </w:r>
      <w:r w:rsidRPr="00107E55">
        <w:rPr>
          <w:sz w:val="26"/>
          <w:szCs w:val="26"/>
        </w:rPr>
        <w:t>.</w:t>
      </w:r>
      <w:r w:rsidR="00432AFE" w:rsidRPr="00107E55">
        <w:rPr>
          <w:sz w:val="26"/>
          <w:szCs w:val="26"/>
        </w:rPr>
        <w:t xml:space="preserve"> Vienlaikus jāatzīmē, ka</w:t>
      </w:r>
      <w:r w:rsidR="00E16C33" w:rsidRPr="00107E55">
        <w:rPr>
          <w:sz w:val="26"/>
          <w:szCs w:val="26"/>
        </w:rPr>
        <w:t>, lai gan ar TUA saistīto nekustamo īpašumu</w:t>
      </w:r>
      <w:r w:rsidR="00432AFE" w:rsidRPr="00107E55">
        <w:rPr>
          <w:sz w:val="26"/>
          <w:szCs w:val="26"/>
        </w:rPr>
        <w:t xml:space="preserve"> </w:t>
      </w:r>
      <w:r w:rsidR="00E16C33" w:rsidRPr="00107E55">
        <w:rPr>
          <w:sz w:val="26"/>
          <w:szCs w:val="26"/>
        </w:rPr>
        <w:t>darījumu īpatsvars Rīgā un Jūrmalā katru gadu pieaug</w:t>
      </w:r>
      <w:r w:rsidR="001243EF" w:rsidRPr="00107E55">
        <w:rPr>
          <w:sz w:val="26"/>
          <w:szCs w:val="26"/>
        </w:rPr>
        <w:t xml:space="preserve"> (70% no visiem TUA pieteicēju iegādātajiem īpašumiem</w:t>
      </w:r>
      <w:r w:rsidR="00C27A15" w:rsidRPr="00107E55">
        <w:rPr>
          <w:sz w:val="26"/>
          <w:szCs w:val="26"/>
        </w:rPr>
        <w:t xml:space="preserve"> 2014.gadā</w:t>
      </w:r>
      <w:r w:rsidR="001243EF" w:rsidRPr="00107E55">
        <w:rPr>
          <w:sz w:val="26"/>
          <w:szCs w:val="26"/>
        </w:rPr>
        <w:t xml:space="preserve"> bija </w:t>
      </w:r>
      <w:r w:rsidR="001D3687" w:rsidRPr="00107E55">
        <w:rPr>
          <w:sz w:val="26"/>
          <w:szCs w:val="26"/>
        </w:rPr>
        <w:t xml:space="preserve">Rīgas un Jūrmalas pilsētās, 2016.gadā </w:t>
      </w:r>
      <w:r w:rsidR="0029198C" w:rsidRPr="00107E55">
        <w:rPr>
          <w:sz w:val="26"/>
          <w:szCs w:val="26"/>
        </w:rPr>
        <w:t>–</w:t>
      </w:r>
      <w:r w:rsidR="001D3687" w:rsidRPr="00107E55">
        <w:rPr>
          <w:sz w:val="26"/>
          <w:szCs w:val="26"/>
        </w:rPr>
        <w:t xml:space="preserve"> </w:t>
      </w:r>
      <w:r w:rsidR="0029198C" w:rsidRPr="00107E55">
        <w:rPr>
          <w:sz w:val="26"/>
          <w:szCs w:val="26"/>
        </w:rPr>
        <w:t xml:space="preserve">85%, bet </w:t>
      </w:r>
      <w:r w:rsidR="001243EF" w:rsidRPr="00107E55">
        <w:rPr>
          <w:sz w:val="26"/>
          <w:szCs w:val="26"/>
        </w:rPr>
        <w:t>2017.gadā –</w:t>
      </w:r>
      <w:r w:rsidR="00C27A15" w:rsidRPr="00107E55">
        <w:rPr>
          <w:sz w:val="26"/>
          <w:szCs w:val="26"/>
        </w:rPr>
        <w:t xml:space="preserve"> 92%)</w:t>
      </w:r>
      <w:r w:rsidR="00E16C33" w:rsidRPr="00107E55">
        <w:rPr>
          <w:sz w:val="26"/>
          <w:szCs w:val="26"/>
        </w:rPr>
        <w:t>, to skaits turpina samazināties</w:t>
      </w:r>
      <w:r w:rsidR="001243EF" w:rsidRPr="00107E55">
        <w:rPr>
          <w:sz w:val="26"/>
          <w:szCs w:val="26"/>
        </w:rPr>
        <w:t xml:space="preserve"> (2014.gadā –</w:t>
      </w:r>
      <w:r w:rsidR="0029198C" w:rsidRPr="00107E55">
        <w:rPr>
          <w:sz w:val="26"/>
          <w:szCs w:val="26"/>
        </w:rPr>
        <w:t xml:space="preserve"> 1577</w:t>
      </w:r>
      <w:r w:rsidR="001243EF" w:rsidRPr="00107E55">
        <w:rPr>
          <w:sz w:val="26"/>
          <w:szCs w:val="26"/>
        </w:rPr>
        <w:t xml:space="preserve">, </w:t>
      </w:r>
      <w:r w:rsidR="0029198C" w:rsidRPr="00107E55">
        <w:rPr>
          <w:sz w:val="26"/>
          <w:szCs w:val="26"/>
        </w:rPr>
        <w:t xml:space="preserve">2016.gadā – 152, </w:t>
      </w:r>
      <w:r w:rsidR="001243EF" w:rsidRPr="00107E55">
        <w:rPr>
          <w:sz w:val="26"/>
          <w:szCs w:val="26"/>
        </w:rPr>
        <w:t>2017.gadā –</w:t>
      </w:r>
      <w:r w:rsidR="00EC18D9" w:rsidRPr="00107E55">
        <w:rPr>
          <w:sz w:val="26"/>
          <w:szCs w:val="26"/>
        </w:rPr>
        <w:t xml:space="preserve"> 92</w:t>
      </w:r>
      <w:r w:rsidR="001243EF" w:rsidRPr="00107E55">
        <w:rPr>
          <w:sz w:val="26"/>
          <w:szCs w:val="26"/>
        </w:rPr>
        <w:t xml:space="preserve"> </w:t>
      </w:r>
      <w:r w:rsidR="0029198C" w:rsidRPr="00107E55">
        <w:rPr>
          <w:sz w:val="26"/>
          <w:szCs w:val="26"/>
        </w:rPr>
        <w:t>īpašumi)</w:t>
      </w:r>
      <w:r w:rsidR="00C27A15" w:rsidRPr="00107E55">
        <w:rPr>
          <w:b/>
          <w:sz w:val="26"/>
          <w:szCs w:val="26"/>
        </w:rPr>
        <w:t>.</w:t>
      </w:r>
    </w:p>
    <w:p w14:paraId="569C0613" w14:textId="2B822DB3" w:rsidR="0043465A" w:rsidRPr="00107E55" w:rsidRDefault="0025774D" w:rsidP="00936DBE">
      <w:pPr>
        <w:spacing w:before="120" w:after="120"/>
        <w:ind w:firstLine="567"/>
        <w:jc w:val="both"/>
        <w:rPr>
          <w:sz w:val="26"/>
          <w:szCs w:val="26"/>
        </w:rPr>
      </w:pPr>
      <w:r w:rsidRPr="00107E55">
        <w:rPr>
          <w:sz w:val="26"/>
          <w:szCs w:val="26"/>
        </w:rPr>
        <w:t>Gan mājokļu tirgus pārskati</w:t>
      </w:r>
      <w:r w:rsidR="002C6D9D" w:rsidRPr="00107E55">
        <w:rPr>
          <w:rStyle w:val="FootnoteReference"/>
          <w:sz w:val="26"/>
          <w:szCs w:val="26"/>
        </w:rPr>
        <w:footnoteReference w:id="4"/>
      </w:r>
      <w:r w:rsidRPr="00107E55">
        <w:rPr>
          <w:sz w:val="26"/>
          <w:szCs w:val="26"/>
        </w:rPr>
        <w:t>, gan VZD sniegtā informācija rāda</w:t>
      </w:r>
      <w:r w:rsidR="0043465A" w:rsidRPr="00107E55">
        <w:rPr>
          <w:sz w:val="26"/>
          <w:szCs w:val="26"/>
        </w:rPr>
        <w:t>, ka</w:t>
      </w:r>
      <w:r w:rsidR="00F34225" w:rsidRPr="00107E55">
        <w:rPr>
          <w:sz w:val="26"/>
          <w:szCs w:val="26"/>
        </w:rPr>
        <w:t xml:space="preserve"> </w:t>
      </w:r>
      <w:r w:rsidR="00D33D85" w:rsidRPr="00107E55">
        <w:rPr>
          <w:sz w:val="26"/>
          <w:szCs w:val="26"/>
        </w:rPr>
        <w:t>Jūrmalā kopumā nerezidenti</w:t>
      </w:r>
      <w:r w:rsidR="0043465A" w:rsidRPr="00107E55">
        <w:rPr>
          <w:sz w:val="26"/>
          <w:szCs w:val="26"/>
        </w:rPr>
        <w:t xml:space="preserve"> </w:t>
      </w:r>
      <w:r w:rsidR="00F34225" w:rsidRPr="00107E55">
        <w:rPr>
          <w:sz w:val="26"/>
          <w:szCs w:val="26"/>
        </w:rPr>
        <w:t xml:space="preserve">dominē </w:t>
      </w:r>
      <w:r w:rsidR="00232A60" w:rsidRPr="00107E55">
        <w:rPr>
          <w:sz w:val="26"/>
          <w:szCs w:val="26"/>
        </w:rPr>
        <w:t xml:space="preserve">dzīvokļu </w:t>
      </w:r>
      <w:r w:rsidR="0043465A" w:rsidRPr="00107E55">
        <w:rPr>
          <w:sz w:val="26"/>
          <w:szCs w:val="26"/>
        </w:rPr>
        <w:t>jauno projektu segmentā</w:t>
      </w:r>
      <w:r w:rsidR="00F34225" w:rsidRPr="00107E55">
        <w:rPr>
          <w:sz w:val="26"/>
          <w:szCs w:val="26"/>
        </w:rPr>
        <w:t xml:space="preserve"> </w:t>
      </w:r>
      <w:r w:rsidR="0043465A" w:rsidRPr="00107E55">
        <w:rPr>
          <w:sz w:val="26"/>
          <w:szCs w:val="26"/>
        </w:rPr>
        <w:t>–</w:t>
      </w:r>
      <w:r w:rsidR="003A49C7" w:rsidRPr="00107E55">
        <w:rPr>
          <w:sz w:val="26"/>
          <w:szCs w:val="26"/>
        </w:rPr>
        <w:t xml:space="preserve"> </w:t>
      </w:r>
      <w:r w:rsidR="0043465A" w:rsidRPr="00107E55">
        <w:rPr>
          <w:sz w:val="26"/>
          <w:szCs w:val="26"/>
        </w:rPr>
        <w:t>60% darījumu notiek ar nerezidentiem un darījumu kopējās summas īpatsvars veido 75</w:t>
      </w:r>
      <w:r w:rsidR="003A49C7" w:rsidRPr="00107E55">
        <w:rPr>
          <w:sz w:val="26"/>
          <w:szCs w:val="26"/>
        </w:rPr>
        <w:t xml:space="preserve"> procentus</w:t>
      </w:r>
      <w:r w:rsidR="0043465A" w:rsidRPr="00107E55">
        <w:rPr>
          <w:sz w:val="26"/>
          <w:szCs w:val="26"/>
        </w:rPr>
        <w:t>.</w:t>
      </w:r>
      <w:r w:rsidR="00F34225" w:rsidRPr="00107E55">
        <w:rPr>
          <w:sz w:val="26"/>
          <w:szCs w:val="26"/>
        </w:rPr>
        <w:t xml:space="preserve"> </w:t>
      </w:r>
      <w:r w:rsidR="00D33D85" w:rsidRPr="00107E55">
        <w:rPr>
          <w:sz w:val="26"/>
          <w:szCs w:val="26"/>
        </w:rPr>
        <w:t xml:space="preserve">Turklāt nerezidenti izteikti dominē ekskluzīvajā segmentā. </w:t>
      </w:r>
      <w:r w:rsidR="00F34225" w:rsidRPr="00107E55">
        <w:rPr>
          <w:sz w:val="26"/>
          <w:szCs w:val="26"/>
        </w:rPr>
        <w:t xml:space="preserve">Savukārt Rīgā lielāks </w:t>
      </w:r>
      <w:r w:rsidR="00D33D85" w:rsidRPr="00107E55">
        <w:rPr>
          <w:sz w:val="26"/>
          <w:szCs w:val="26"/>
        </w:rPr>
        <w:t xml:space="preserve">nerezidentu </w:t>
      </w:r>
      <w:r w:rsidR="00F34225" w:rsidRPr="00107E55">
        <w:rPr>
          <w:sz w:val="26"/>
          <w:szCs w:val="26"/>
        </w:rPr>
        <w:t>pieprasījums ir pēc</w:t>
      </w:r>
      <w:r w:rsidR="00F34225" w:rsidRPr="00107E55">
        <w:t xml:space="preserve"> </w:t>
      </w:r>
      <w:r w:rsidR="00F34225" w:rsidRPr="00107E55">
        <w:rPr>
          <w:sz w:val="26"/>
          <w:szCs w:val="26"/>
        </w:rPr>
        <w:t>dzīvokļiem Klusajā centrā un Vecrīgā (2017.gadā – 33% no visiem darījumiem</w:t>
      </w:r>
      <w:r w:rsidR="00F34225" w:rsidRPr="00107E55">
        <w:t xml:space="preserve"> </w:t>
      </w:r>
      <w:r w:rsidR="00F34225" w:rsidRPr="00107E55">
        <w:rPr>
          <w:sz w:val="26"/>
          <w:szCs w:val="26"/>
        </w:rPr>
        <w:t>Klusajā centrā un Vecrīgā).</w:t>
      </w:r>
      <w:r w:rsidR="003A49C7" w:rsidRPr="00107E55">
        <w:rPr>
          <w:sz w:val="26"/>
          <w:szCs w:val="26"/>
        </w:rPr>
        <w:t xml:space="preserve"> Rīgā jauno dzīvokļu segmentā nerezidentu darījumu skaita īpatsvars</w:t>
      </w:r>
      <w:r w:rsidR="00232A60" w:rsidRPr="00107E55">
        <w:rPr>
          <w:sz w:val="26"/>
          <w:szCs w:val="26"/>
        </w:rPr>
        <w:t xml:space="preserve"> krītas, un</w:t>
      </w:r>
      <w:r w:rsidR="003A49C7" w:rsidRPr="00107E55">
        <w:rPr>
          <w:sz w:val="26"/>
          <w:szCs w:val="26"/>
        </w:rPr>
        <w:t xml:space="preserve"> 2017.gadā</w:t>
      </w:r>
      <w:r w:rsidR="00232A60" w:rsidRPr="00107E55">
        <w:rPr>
          <w:sz w:val="26"/>
          <w:szCs w:val="26"/>
        </w:rPr>
        <w:t xml:space="preserve"> tas</w:t>
      </w:r>
      <w:r w:rsidR="003A49C7" w:rsidRPr="00107E55">
        <w:rPr>
          <w:sz w:val="26"/>
          <w:szCs w:val="26"/>
        </w:rPr>
        <w:t xml:space="preserve"> bija 16%</w:t>
      </w:r>
      <w:r w:rsidR="00232A60" w:rsidRPr="00107E55">
        <w:rPr>
          <w:sz w:val="26"/>
          <w:szCs w:val="26"/>
        </w:rPr>
        <w:t xml:space="preserve"> (2016.gadā – 16%)</w:t>
      </w:r>
      <w:r w:rsidR="003A49C7" w:rsidRPr="00107E55">
        <w:rPr>
          <w:sz w:val="26"/>
          <w:szCs w:val="26"/>
        </w:rPr>
        <w:t>, bet darījumu summas īpatsvars</w:t>
      </w:r>
      <w:r w:rsidR="00232A60" w:rsidRPr="00107E55">
        <w:rPr>
          <w:sz w:val="26"/>
          <w:szCs w:val="26"/>
        </w:rPr>
        <w:t xml:space="preserve"> - </w:t>
      </w:r>
      <w:r w:rsidR="003A49C7" w:rsidRPr="00107E55">
        <w:rPr>
          <w:sz w:val="26"/>
          <w:szCs w:val="26"/>
        </w:rPr>
        <w:t>22%</w:t>
      </w:r>
      <w:r w:rsidR="00232A60" w:rsidRPr="00107E55">
        <w:rPr>
          <w:sz w:val="26"/>
          <w:szCs w:val="26"/>
        </w:rPr>
        <w:t xml:space="preserve"> (2016.gadā – 25%). </w:t>
      </w:r>
    </w:p>
    <w:p w14:paraId="2B252FB1" w14:textId="45C7915E" w:rsidR="00E1026C" w:rsidRPr="00107E55" w:rsidRDefault="00AD6BDD" w:rsidP="00E1026C">
      <w:pPr>
        <w:spacing w:after="120" w:line="252" w:lineRule="auto"/>
        <w:ind w:firstLine="720"/>
        <w:jc w:val="both"/>
        <w:rPr>
          <w:rFonts w:eastAsiaTheme="minorEastAsia" w:cs="Times New Roman"/>
          <w:sz w:val="26"/>
          <w:szCs w:val="26"/>
        </w:rPr>
      </w:pPr>
      <w:r w:rsidRPr="00107E55">
        <w:rPr>
          <w:rFonts w:eastAsiaTheme="minorEastAsia" w:cs="Times New Roman"/>
          <w:sz w:val="26"/>
          <w:szCs w:val="26"/>
        </w:rPr>
        <w:t>Jūrmalā personu ar spēkā esošu TUA</w:t>
      </w:r>
      <w:r w:rsidR="00E1026C" w:rsidRPr="00107E55">
        <w:rPr>
          <w:rStyle w:val="FootnoteReference"/>
          <w:rFonts w:eastAsiaTheme="minorEastAsia"/>
          <w:sz w:val="26"/>
          <w:szCs w:val="26"/>
        </w:rPr>
        <w:footnoteReference w:id="5"/>
      </w:r>
      <w:r w:rsidRPr="00107E55">
        <w:rPr>
          <w:rFonts w:eastAsiaTheme="minorEastAsia" w:cs="Times New Roman"/>
          <w:sz w:val="26"/>
          <w:szCs w:val="26"/>
        </w:rPr>
        <w:t xml:space="preserve"> piederošo nekustamo īpašumu īpatsvars kopējā nekustamo īpašumu skaitā ir ap 6,6%, un attiecīgi 31% no nerezidentu īpašumā esošo nekustamo īpašumu skaita pilsētā</w:t>
      </w:r>
      <w:r w:rsidRPr="00107E55">
        <w:rPr>
          <w:rFonts w:eastAsiaTheme="minorEastAsia" w:cs="Times New Roman"/>
          <w:sz w:val="26"/>
          <w:szCs w:val="26"/>
          <w:vertAlign w:val="superscript"/>
        </w:rPr>
        <w:footnoteReference w:id="6"/>
      </w:r>
      <w:r w:rsidRPr="00107E55">
        <w:rPr>
          <w:rFonts w:eastAsiaTheme="minorEastAsia" w:cs="Times New Roman"/>
          <w:sz w:val="26"/>
          <w:szCs w:val="26"/>
        </w:rPr>
        <w:t>. Savukārt Rīgā TUA saņēmēju iegādāto nekustamo īpašumu īpatsvars ir aptuveni 1,1% no kopējā nekustamo īpašumu skaita galvaspilsētā.</w:t>
      </w:r>
      <w:r w:rsidRPr="00107E55">
        <w:rPr>
          <w:rFonts w:eastAsiaTheme="minorEastAsia" w:cs="Times New Roman"/>
          <w:sz w:val="26"/>
          <w:szCs w:val="26"/>
          <w:vertAlign w:val="superscript"/>
        </w:rPr>
        <w:footnoteReference w:id="7"/>
      </w:r>
    </w:p>
    <w:p w14:paraId="1B9B7CE6" w14:textId="76C70BC6" w:rsidR="00E1026C" w:rsidRPr="00107E55" w:rsidRDefault="00DF0FB9" w:rsidP="00E1026C">
      <w:pPr>
        <w:spacing w:after="120" w:line="252" w:lineRule="auto"/>
        <w:ind w:firstLine="720"/>
        <w:jc w:val="both"/>
        <w:rPr>
          <w:rFonts w:eastAsiaTheme="minorEastAsia" w:cs="Times New Roman"/>
          <w:sz w:val="26"/>
          <w:szCs w:val="26"/>
        </w:rPr>
      </w:pPr>
      <w:r w:rsidRPr="00107E55">
        <w:rPr>
          <w:rFonts w:eastAsiaTheme="minorEastAsia" w:cs="Times New Roman"/>
          <w:sz w:val="26"/>
          <w:szCs w:val="26"/>
        </w:rPr>
        <w:t>2017.gadā p</w:t>
      </w:r>
      <w:r w:rsidR="00B85374" w:rsidRPr="00107E55">
        <w:rPr>
          <w:rFonts w:eastAsiaTheme="minorEastAsia" w:cs="Times New Roman"/>
          <w:sz w:val="26"/>
          <w:szCs w:val="26"/>
        </w:rPr>
        <w:t xml:space="preserve">ersonas, kuras pieprasījušas un saņēmušas TUA pret īpašuma iegādi Rīgas pilsētā, nekustamā īpašuma nodokļa veidā pašvaldības budžetā  iemaksāja 1,8 milj. </w:t>
      </w:r>
      <w:r w:rsidR="00B85374" w:rsidRPr="00107E55">
        <w:rPr>
          <w:rFonts w:eastAsiaTheme="minorEastAsia" w:cs="Times New Roman"/>
          <w:i/>
          <w:sz w:val="26"/>
          <w:szCs w:val="26"/>
        </w:rPr>
        <w:t>euro</w:t>
      </w:r>
      <w:r w:rsidR="00B85374" w:rsidRPr="00107E55">
        <w:rPr>
          <w:rFonts w:eastAsiaTheme="minorEastAsia" w:cs="Times New Roman"/>
          <w:sz w:val="26"/>
          <w:szCs w:val="26"/>
        </w:rPr>
        <w:t xml:space="preserve"> jeb 1,9% no kopumā Rīgā iekasētā nekustamā nekustamā īpašuma nodokļa. Savukārt TUA saņēmēji, kuru iegādātais nekustamais īpašums atrodas Jūrmalas pilsētā, </w:t>
      </w:r>
      <w:r w:rsidR="00944045" w:rsidRPr="00107E55">
        <w:rPr>
          <w:rFonts w:eastAsiaTheme="minorEastAsia" w:cs="Times New Roman"/>
          <w:sz w:val="26"/>
          <w:szCs w:val="26"/>
        </w:rPr>
        <w:t xml:space="preserve">tās budžetā </w:t>
      </w:r>
      <w:r w:rsidRPr="00107E55">
        <w:rPr>
          <w:rFonts w:eastAsiaTheme="minorEastAsia" w:cs="Times New Roman"/>
          <w:sz w:val="26"/>
          <w:szCs w:val="26"/>
        </w:rPr>
        <w:t xml:space="preserve">2017.gadā </w:t>
      </w:r>
      <w:r w:rsidR="00944045" w:rsidRPr="00107E55">
        <w:rPr>
          <w:rFonts w:eastAsiaTheme="minorEastAsia" w:cs="Times New Roman"/>
          <w:sz w:val="26"/>
          <w:szCs w:val="26"/>
        </w:rPr>
        <w:t xml:space="preserve">iemaksāja </w:t>
      </w:r>
      <w:r w:rsidR="00107E55">
        <w:rPr>
          <w:rFonts w:eastAsiaTheme="minorEastAsia" w:cs="Times New Roman"/>
          <w:sz w:val="26"/>
          <w:szCs w:val="26"/>
        </w:rPr>
        <w:t xml:space="preserve">5,6% (587 tūkst. </w:t>
      </w:r>
      <w:r w:rsidR="00107E55" w:rsidRPr="00107E55">
        <w:rPr>
          <w:rFonts w:eastAsiaTheme="minorEastAsia" w:cs="Times New Roman"/>
          <w:i/>
          <w:sz w:val="26"/>
          <w:szCs w:val="26"/>
        </w:rPr>
        <w:t>euro</w:t>
      </w:r>
      <w:r w:rsidR="00107E55">
        <w:rPr>
          <w:rFonts w:eastAsiaTheme="minorEastAsia" w:cs="Times New Roman"/>
          <w:sz w:val="26"/>
          <w:szCs w:val="26"/>
        </w:rPr>
        <w:t>)</w:t>
      </w:r>
      <w:r w:rsidR="00944045" w:rsidRPr="00107E55">
        <w:rPr>
          <w:rFonts w:eastAsiaTheme="minorEastAsia" w:cs="Times New Roman"/>
          <w:sz w:val="26"/>
          <w:szCs w:val="26"/>
        </w:rPr>
        <w:t xml:space="preserve"> no</w:t>
      </w:r>
      <w:r w:rsidR="00107E55">
        <w:rPr>
          <w:rFonts w:eastAsiaTheme="minorEastAsia" w:cs="Times New Roman"/>
          <w:sz w:val="26"/>
          <w:szCs w:val="26"/>
        </w:rPr>
        <w:t xml:space="preserve"> pilsētā 2017.gadā </w:t>
      </w:r>
      <w:r w:rsidR="00107E55" w:rsidRPr="00107E55">
        <w:rPr>
          <w:rFonts w:eastAsiaTheme="minorEastAsia" w:cs="Times New Roman"/>
          <w:sz w:val="26"/>
          <w:szCs w:val="26"/>
        </w:rPr>
        <w:t>iekasētā nekustamā nekustamā īpašuma nodokļa.</w:t>
      </w:r>
    </w:p>
    <w:p w14:paraId="6FB34522" w14:textId="77777777" w:rsidR="00AD6BDD" w:rsidRPr="00107E55" w:rsidRDefault="00AD6BDD" w:rsidP="00AD6BDD">
      <w:pPr>
        <w:ind w:firstLine="567"/>
        <w:jc w:val="both"/>
        <w:rPr>
          <w:rFonts w:eastAsiaTheme="minorEastAsia" w:cs="Times New Roman"/>
          <w:color w:val="000000"/>
          <w:sz w:val="26"/>
          <w:szCs w:val="26"/>
        </w:rPr>
      </w:pPr>
      <w:r w:rsidRPr="00107E55">
        <w:rPr>
          <w:rFonts w:eastAsiaTheme="minorEastAsia" w:cs="Times New Roman"/>
          <w:color w:val="000000"/>
          <w:sz w:val="26"/>
          <w:szCs w:val="26"/>
        </w:rPr>
        <w:t xml:space="preserve">Vienlaikus jāatzīmē, ka novērojama netieša TUA saņēmēju (apstiprināti pieteikumi) ietekme uz tautsaimniecību, viņiem un viņu ģimenes locekļiem iesaistoties uzņēmējdarbībā Latvijā. </w:t>
      </w:r>
    </w:p>
    <w:p w14:paraId="4B70115A" w14:textId="33DD1687" w:rsidR="00AD6BDD" w:rsidRPr="00107E55" w:rsidRDefault="00AD6BDD" w:rsidP="00AD6BDD">
      <w:pPr>
        <w:ind w:firstLine="567"/>
        <w:jc w:val="both"/>
        <w:rPr>
          <w:rFonts w:eastAsiaTheme="minorEastAsia" w:cs="Times New Roman"/>
          <w:sz w:val="26"/>
          <w:szCs w:val="26"/>
        </w:rPr>
      </w:pPr>
      <w:r w:rsidRPr="00107E55">
        <w:rPr>
          <w:rFonts w:eastAsiaTheme="minorEastAsia" w:cs="Times New Roman"/>
          <w:color w:val="000000"/>
          <w:sz w:val="26"/>
          <w:szCs w:val="26"/>
        </w:rPr>
        <w:t xml:space="preserve">Daļa no nerezidentiem, kuri kā TUA saņemšanas iemeslu norādījuši nekustamā īpašuma iegādi, ir saistīti ar saimniecisko darbību. Saskaņā ar </w:t>
      </w:r>
      <w:r w:rsidRPr="00107E55">
        <w:rPr>
          <w:rFonts w:eastAsiaTheme="minorEastAsia" w:cs="Times New Roman"/>
          <w:sz w:val="26"/>
          <w:szCs w:val="26"/>
        </w:rPr>
        <w:t>LURSOFT</w:t>
      </w:r>
      <w:r w:rsidRPr="00107E55">
        <w:rPr>
          <w:rFonts w:eastAsiaTheme="minorEastAsia" w:cs="Times New Roman"/>
          <w:color w:val="FF0000"/>
          <w:sz w:val="26"/>
          <w:szCs w:val="26"/>
        </w:rPr>
        <w:t xml:space="preserve"> </w:t>
      </w:r>
      <w:r w:rsidRPr="00107E55">
        <w:rPr>
          <w:rFonts w:eastAsiaTheme="minorEastAsia" w:cs="Times New Roman"/>
          <w:color w:val="000000"/>
          <w:sz w:val="26"/>
          <w:szCs w:val="26"/>
        </w:rPr>
        <w:t xml:space="preserve">datiem, spēkā esošu TUA turētājiem </w:t>
      </w:r>
      <w:r w:rsidRPr="00107E55">
        <w:rPr>
          <w:rFonts w:eastAsiaTheme="minorEastAsia" w:cs="Times New Roman"/>
          <w:sz w:val="26"/>
          <w:szCs w:val="26"/>
        </w:rPr>
        <w:t xml:space="preserve">pieder īpašumtiesību daļas 729 Latvijā reģistrētos uzņēmumos. Šajos uzņēmumos 2017.gadā bija nodarbināti nepilni 2 tūkst. darbinieki, un to kopējais apgrozījums sasniedza 256,1 milj. </w:t>
      </w:r>
      <w:r w:rsidRPr="00107E55">
        <w:rPr>
          <w:rFonts w:eastAsiaTheme="minorEastAsia" w:cs="Times New Roman"/>
          <w:i/>
          <w:sz w:val="26"/>
          <w:szCs w:val="26"/>
        </w:rPr>
        <w:t>euro</w:t>
      </w:r>
      <w:r w:rsidRPr="00107E55">
        <w:rPr>
          <w:rFonts w:eastAsiaTheme="minorEastAsia" w:cs="Times New Roman"/>
          <w:sz w:val="26"/>
          <w:szCs w:val="26"/>
        </w:rPr>
        <w:t xml:space="preserve">. Saskaņā ar VID datiem šie uzņēmumi 2017.gadā nodokļos valsts budžetā iemaksājuši 8,1 milj. </w:t>
      </w:r>
      <w:r w:rsidRPr="00107E55">
        <w:rPr>
          <w:rFonts w:eastAsiaTheme="minorEastAsia" w:cs="Times New Roman"/>
          <w:i/>
          <w:sz w:val="26"/>
          <w:szCs w:val="26"/>
        </w:rPr>
        <w:t>euro</w:t>
      </w:r>
      <w:r w:rsidRPr="00107E55">
        <w:rPr>
          <w:rFonts w:eastAsiaTheme="minorEastAsia" w:cs="Times New Roman"/>
          <w:sz w:val="26"/>
          <w:szCs w:val="26"/>
        </w:rPr>
        <w:t>.</w:t>
      </w:r>
    </w:p>
    <w:p w14:paraId="25568808" w14:textId="77777777" w:rsidR="00AD6BDD" w:rsidRPr="00107E55" w:rsidRDefault="00AD6BDD" w:rsidP="00AD6BDD">
      <w:pPr>
        <w:ind w:firstLine="567"/>
        <w:jc w:val="both"/>
        <w:rPr>
          <w:rFonts w:eastAsiaTheme="minorEastAsia" w:cs="Times New Roman"/>
          <w:sz w:val="26"/>
          <w:szCs w:val="26"/>
        </w:rPr>
      </w:pPr>
    </w:p>
    <w:p w14:paraId="621C325C" w14:textId="77777777" w:rsidR="00E258C4" w:rsidRDefault="00E258C4" w:rsidP="00AD6BDD">
      <w:pPr>
        <w:ind w:firstLine="567"/>
        <w:jc w:val="right"/>
        <w:rPr>
          <w:rFonts w:eastAsiaTheme="minorEastAsia" w:cs="Times New Roman"/>
          <w:sz w:val="26"/>
          <w:szCs w:val="26"/>
        </w:rPr>
      </w:pPr>
    </w:p>
    <w:p w14:paraId="6EC4D401" w14:textId="77777777" w:rsidR="00E258C4" w:rsidRDefault="00E258C4" w:rsidP="00AD6BDD">
      <w:pPr>
        <w:ind w:firstLine="567"/>
        <w:jc w:val="right"/>
        <w:rPr>
          <w:rFonts w:eastAsiaTheme="minorEastAsia" w:cs="Times New Roman"/>
          <w:sz w:val="26"/>
          <w:szCs w:val="26"/>
        </w:rPr>
      </w:pPr>
    </w:p>
    <w:p w14:paraId="10062061" w14:textId="77777777" w:rsidR="00E258C4" w:rsidRDefault="00E258C4" w:rsidP="00AD6BDD">
      <w:pPr>
        <w:ind w:firstLine="567"/>
        <w:jc w:val="right"/>
        <w:rPr>
          <w:rFonts w:eastAsiaTheme="minorEastAsia" w:cs="Times New Roman"/>
          <w:sz w:val="26"/>
          <w:szCs w:val="26"/>
        </w:rPr>
      </w:pPr>
    </w:p>
    <w:p w14:paraId="5614E003" w14:textId="77777777" w:rsidR="00E258C4" w:rsidRDefault="00E258C4" w:rsidP="00AD6BDD">
      <w:pPr>
        <w:ind w:firstLine="567"/>
        <w:jc w:val="right"/>
        <w:rPr>
          <w:rFonts w:eastAsiaTheme="minorEastAsia" w:cs="Times New Roman"/>
          <w:sz w:val="26"/>
          <w:szCs w:val="26"/>
        </w:rPr>
      </w:pPr>
    </w:p>
    <w:p w14:paraId="79E2A475" w14:textId="77777777" w:rsidR="00E258C4" w:rsidRDefault="00E258C4" w:rsidP="00AD6BDD">
      <w:pPr>
        <w:ind w:firstLine="567"/>
        <w:jc w:val="right"/>
        <w:rPr>
          <w:rFonts w:eastAsiaTheme="minorEastAsia" w:cs="Times New Roman"/>
          <w:sz w:val="26"/>
          <w:szCs w:val="26"/>
        </w:rPr>
      </w:pPr>
    </w:p>
    <w:p w14:paraId="06CC26C0" w14:textId="77777777" w:rsidR="00E258C4" w:rsidRDefault="00E258C4" w:rsidP="00AD6BDD">
      <w:pPr>
        <w:ind w:firstLine="567"/>
        <w:jc w:val="right"/>
        <w:rPr>
          <w:rFonts w:eastAsiaTheme="minorEastAsia" w:cs="Times New Roman"/>
          <w:sz w:val="26"/>
          <w:szCs w:val="26"/>
        </w:rPr>
      </w:pPr>
    </w:p>
    <w:p w14:paraId="60F74C2B" w14:textId="77777777" w:rsidR="00E258C4" w:rsidRDefault="00E258C4" w:rsidP="00AD6BDD">
      <w:pPr>
        <w:ind w:firstLine="567"/>
        <w:jc w:val="right"/>
        <w:rPr>
          <w:rFonts w:eastAsiaTheme="minorEastAsia" w:cs="Times New Roman"/>
          <w:sz w:val="26"/>
          <w:szCs w:val="26"/>
        </w:rPr>
      </w:pPr>
    </w:p>
    <w:p w14:paraId="0A320536" w14:textId="77777777" w:rsidR="00E258C4" w:rsidRDefault="00E258C4" w:rsidP="00AD6BDD">
      <w:pPr>
        <w:ind w:firstLine="567"/>
        <w:jc w:val="right"/>
        <w:rPr>
          <w:rFonts w:eastAsiaTheme="minorEastAsia" w:cs="Times New Roman"/>
          <w:sz w:val="26"/>
          <w:szCs w:val="26"/>
        </w:rPr>
      </w:pPr>
    </w:p>
    <w:p w14:paraId="3BFE9832" w14:textId="77777777" w:rsidR="00E258C4" w:rsidRDefault="00E258C4" w:rsidP="00AD6BDD">
      <w:pPr>
        <w:ind w:firstLine="567"/>
        <w:jc w:val="right"/>
        <w:rPr>
          <w:rFonts w:eastAsiaTheme="minorEastAsia" w:cs="Times New Roman"/>
          <w:sz w:val="26"/>
          <w:szCs w:val="26"/>
        </w:rPr>
      </w:pPr>
    </w:p>
    <w:p w14:paraId="31219D1E" w14:textId="77777777" w:rsidR="00E258C4" w:rsidRDefault="00E258C4" w:rsidP="00AD6BDD">
      <w:pPr>
        <w:ind w:firstLine="567"/>
        <w:jc w:val="right"/>
        <w:rPr>
          <w:rFonts w:eastAsiaTheme="minorEastAsia" w:cs="Times New Roman"/>
          <w:sz w:val="26"/>
          <w:szCs w:val="26"/>
        </w:rPr>
      </w:pPr>
    </w:p>
    <w:p w14:paraId="71955167" w14:textId="77777777" w:rsidR="00E258C4" w:rsidRDefault="00E258C4" w:rsidP="00AD6BDD">
      <w:pPr>
        <w:ind w:firstLine="567"/>
        <w:jc w:val="right"/>
        <w:rPr>
          <w:rFonts w:eastAsiaTheme="minorEastAsia" w:cs="Times New Roman"/>
          <w:sz w:val="26"/>
          <w:szCs w:val="26"/>
        </w:rPr>
      </w:pPr>
    </w:p>
    <w:p w14:paraId="0860BD87" w14:textId="77777777" w:rsidR="00E258C4" w:rsidRDefault="00E258C4" w:rsidP="00AD6BDD">
      <w:pPr>
        <w:ind w:firstLine="567"/>
        <w:jc w:val="right"/>
        <w:rPr>
          <w:rFonts w:eastAsiaTheme="minorEastAsia" w:cs="Times New Roman"/>
          <w:sz w:val="26"/>
          <w:szCs w:val="26"/>
        </w:rPr>
      </w:pPr>
    </w:p>
    <w:p w14:paraId="0253A71C" w14:textId="77777777" w:rsidR="00E258C4" w:rsidRDefault="00E258C4" w:rsidP="00AD6BDD">
      <w:pPr>
        <w:ind w:firstLine="567"/>
        <w:jc w:val="right"/>
        <w:rPr>
          <w:rFonts w:eastAsiaTheme="minorEastAsia" w:cs="Times New Roman"/>
          <w:sz w:val="26"/>
          <w:szCs w:val="26"/>
        </w:rPr>
      </w:pPr>
    </w:p>
    <w:p w14:paraId="5E3E8016" w14:textId="77777777" w:rsidR="00E258C4" w:rsidRDefault="00E258C4" w:rsidP="00AD6BDD">
      <w:pPr>
        <w:ind w:firstLine="567"/>
        <w:jc w:val="right"/>
        <w:rPr>
          <w:rFonts w:eastAsiaTheme="minorEastAsia" w:cs="Times New Roman"/>
          <w:sz w:val="26"/>
          <w:szCs w:val="26"/>
        </w:rPr>
      </w:pPr>
    </w:p>
    <w:p w14:paraId="1EC4BE90" w14:textId="77777777" w:rsidR="00E258C4" w:rsidRDefault="00E258C4" w:rsidP="00AD6BDD">
      <w:pPr>
        <w:ind w:firstLine="567"/>
        <w:jc w:val="right"/>
        <w:rPr>
          <w:rFonts w:eastAsiaTheme="minorEastAsia" w:cs="Times New Roman"/>
          <w:sz w:val="26"/>
          <w:szCs w:val="26"/>
        </w:rPr>
      </w:pPr>
    </w:p>
    <w:p w14:paraId="7CCF5A5F" w14:textId="77777777" w:rsidR="00E258C4" w:rsidRDefault="00E258C4" w:rsidP="00AD6BDD">
      <w:pPr>
        <w:ind w:firstLine="567"/>
        <w:jc w:val="right"/>
        <w:rPr>
          <w:rFonts w:eastAsiaTheme="minorEastAsia" w:cs="Times New Roman"/>
          <w:sz w:val="26"/>
          <w:szCs w:val="26"/>
        </w:rPr>
      </w:pPr>
    </w:p>
    <w:p w14:paraId="03AD68B0" w14:textId="77777777" w:rsidR="00AD6BDD" w:rsidRPr="00107E55" w:rsidRDefault="00AD6BDD" w:rsidP="00AD6BDD">
      <w:pPr>
        <w:ind w:firstLine="567"/>
        <w:jc w:val="right"/>
        <w:rPr>
          <w:rFonts w:eastAsiaTheme="minorEastAsia" w:cs="Times New Roman"/>
          <w:sz w:val="26"/>
          <w:szCs w:val="26"/>
        </w:rPr>
      </w:pPr>
      <w:r w:rsidRPr="00107E55">
        <w:rPr>
          <w:rFonts w:eastAsiaTheme="minorEastAsia" w:cs="Times New Roman"/>
          <w:sz w:val="26"/>
          <w:szCs w:val="26"/>
        </w:rPr>
        <w:t>3.attēls</w:t>
      </w:r>
    </w:p>
    <w:p w14:paraId="2E95C9E2" w14:textId="074E681F" w:rsidR="00AD6BDD" w:rsidRPr="00107E55" w:rsidRDefault="007B7C98" w:rsidP="00AD6BDD">
      <w:pPr>
        <w:keepNext/>
        <w:jc w:val="center"/>
        <w:rPr>
          <w:rFonts w:eastAsiaTheme="minorEastAsia" w:cs="Times New Roman"/>
          <w:b/>
          <w:sz w:val="26"/>
          <w:szCs w:val="26"/>
        </w:rPr>
      </w:pPr>
      <w:r w:rsidRPr="00107E55">
        <w:rPr>
          <w:rFonts w:eastAsiaTheme="minorEastAsia" w:cs="Times New Roman"/>
          <w:b/>
          <w:sz w:val="26"/>
          <w:szCs w:val="26"/>
        </w:rPr>
        <w:t>Uzņēmumu, kuros</w:t>
      </w:r>
      <w:r w:rsidR="00AD5B4E" w:rsidRPr="00107E55">
        <w:rPr>
          <w:rFonts w:eastAsiaTheme="minorEastAsia" w:cs="Times New Roman"/>
          <w:b/>
          <w:sz w:val="26"/>
          <w:szCs w:val="26"/>
        </w:rPr>
        <w:t xml:space="preserve"> </w:t>
      </w:r>
      <w:r w:rsidR="00AD6BDD" w:rsidRPr="00107E55">
        <w:rPr>
          <w:rFonts w:eastAsiaTheme="minorEastAsia" w:cs="Times New Roman"/>
          <w:b/>
          <w:sz w:val="26"/>
          <w:szCs w:val="26"/>
        </w:rPr>
        <w:t xml:space="preserve">īpašumdaļas pieder ārzemniekiem, kuri kā TUA saņemšanas iemeslu norādījuši nekustamā īpašuma iegādi,  </w:t>
      </w:r>
    </w:p>
    <w:p w14:paraId="436EA171" w14:textId="77777777" w:rsidR="00AD6BDD" w:rsidRPr="00107E55" w:rsidRDefault="00AD6BDD" w:rsidP="00AD6BDD">
      <w:pPr>
        <w:keepNext/>
        <w:jc w:val="center"/>
        <w:rPr>
          <w:rFonts w:eastAsiaTheme="minorEastAsia" w:cs="Times New Roman"/>
          <w:b/>
          <w:sz w:val="26"/>
          <w:szCs w:val="26"/>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AD6BDD" w:rsidRPr="00107E55" w14:paraId="5F2FA0AF" w14:textId="77777777" w:rsidTr="00571D8C">
        <w:tc>
          <w:tcPr>
            <w:tcW w:w="9071" w:type="dxa"/>
          </w:tcPr>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317"/>
            </w:tblGrid>
            <w:tr w:rsidR="00AD6BDD" w:rsidRPr="00107E55" w14:paraId="4BF03F87" w14:textId="77777777" w:rsidTr="00571D8C">
              <w:tc>
                <w:tcPr>
                  <w:tcW w:w="4592" w:type="dxa"/>
                </w:tcPr>
                <w:p w14:paraId="1F22053A" w14:textId="63462797" w:rsidR="00AD6BDD" w:rsidRPr="00107E55" w:rsidRDefault="00AD6BDD" w:rsidP="00AD5B4E">
                  <w:pPr>
                    <w:keepNext/>
                    <w:spacing w:after="0"/>
                    <w:jc w:val="center"/>
                    <w:rPr>
                      <w:rFonts w:ascii="Times New Roman" w:eastAsiaTheme="minorEastAsia" w:hAnsi="Times New Roman" w:cstheme="minorBidi"/>
                      <w:b/>
                      <w:sz w:val="24"/>
                      <w:szCs w:val="24"/>
                      <w:lang w:eastAsia="en-US"/>
                    </w:rPr>
                  </w:pPr>
                  <w:r w:rsidRPr="00107E55">
                    <w:rPr>
                      <w:rFonts w:ascii="Times New Roman" w:eastAsiaTheme="minorEastAsia" w:hAnsi="Times New Roman" w:cstheme="minorBidi"/>
                      <w:b/>
                      <w:sz w:val="24"/>
                      <w:szCs w:val="24"/>
                      <w:lang w:eastAsia="en-US"/>
                    </w:rPr>
                    <w:t>sadalījums pēc dibināšanas gada</w:t>
                  </w:r>
                </w:p>
                <w:p w14:paraId="39F7CEAE" w14:textId="77777777" w:rsidR="007B7C98" w:rsidRPr="00107E55" w:rsidRDefault="007B7C98" w:rsidP="007B7C98">
                  <w:pPr>
                    <w:keepNext/>
                    <w:jc w:val="center"/>
                    <w:rPr>
                      <w:rFonts w:ascii="Times New Roman" w:eastAsiaTheme="minorEastAsia" w:hAnsi="Times New Roman" w:cstheme="minorBidi"/>
                      <w:b/>
                      <w:sz w:val="24"/>
                      <w:szCs w:val="24"/>
                      <w:lang w:eastAsia="en-US"/>
                    </w:rPr>
                  </w:pPr>
                </w:p>
                <w:p w14:paraId="772F39E4" w14:textId="77777777" w:rsidR="00AD6BDD" w:rsidRPr="00107E55" w:rsidRDefault="00AD6BDD" w:rsidP="00AD6BDD">
                  <w:pPr>
                    <w:keepNext/>
                    <w:jc w:val="center"/>
                    <w:rPr>
                      <w:rFonts w:ascii="Times New Roman" w:eastAsiaTheme="minorEastAsia" w:hAnsi="Times New Roman" w:cstheme="minorBidi"/>
                      <w:b/>
                      <w:sz w:val="24"/>
                      <w:szCs w:val="24"/>
                      <w:lang w:eastAsia="en-US"/>
                    </w:rPr>
                  </w:pPr>
                  <w:r w:rsidRPr="00107E55">
                    <w:rPr>
                      <w:rFonts w:eastAsiaTheme="minorEastAsia"/>
                      <w:b/>
                      <w:noProof/>
                      <w:sz w:val="24"/>
                      <w:szCs w:val="24"/>
                      <w:lang w:val="en-GB" w:eastAsia="en-GB"/>
                    </w:rPr>
                    <w:drawing>
                      <wp:inline distT="0" distB="0" distL="0" distR="0" wp14:anchorId="3A53AFCB" wp14:editId="378BD703">
                        <wp:extent cx="2714625" cy="24574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CCC607" w14:textId="77777777" w:rsidR="00AD6BDD" w:rsidRPr="00107E55" w:rsidRDefault="00AD6BDD" w:rsidP="00AD6BDD">
                  <w:pPr>
                    <w:keepNext/>
                    <w:rPr>
                      <w:rFonts w:ascii="Times New Roman" w:eastAsiaTheme="minorEastAsia" w:hAnsi="Times New Roman" w:cstheme="minorBidi"/>
                      <w:i/>
                      <w:sz w:val="24"/>
                      <w:szCs w:val="24"/>
                      <w:lang w:eastAsia="en-US"/>
                    </w:rPr>
                  </w:pPr>
                  <w:r w:rsidRPr="00107E55">
                    <w:rPr>
                      <w:rFonts w:ascii="Times New Roman" w:eastAsiaTheme="minorEastAsia" w:hAnsi="Times New Roman" w:cstheme="minorBidi"/>
                      <w:i/>
                      <w:sz w:val="24"/>
                      <w:szCs w:val="24"/>
                      <w:lang w:eastAsia="en-US"/>
                    </w:rPr>
                    <w:t>Avots: LURSOFT</w:t>
                  </w:r>
                </w:p>
              </w:tc>
              <w:tc>
                <w:tcPr>
                  <w:tcW w:w="4479" w:type="dxa"/>
                </w:tcPr>
                <w:p w14:paraId="7D9CD317" w14:textId="65FD1ABE" w:rsidR="00AD6BDD" w:rsidRPr="00107E55" w:rsidRDefault="00AD6BDD" w:rsidP="007B7C98">
                  <w:pPr>
                    <w:keepNext/>
                    <w:jc w:val="center"/>
                    <w:rPr>
                      <w:rFonts w:ascii="Times New Roman" w:eastAsiaTheme="minorEastAsia" w:hAnsi="Times New Roman" w:cstheme="minorBidi"/>
                      <w:b/>
                      <w:sz w:val="24"/>
                      <w:szCs w:val="24"/>
                      <w:lang w:eastAsia="en-US"/>
                    </w:rPr>
                  </w:pPr>
                  <w:r w:rsidRPr="00107E55">
                    <w:rPr>
                      <w:rFonts w:ascii="Times New Roman" w:eastAsiaTheme="minorEastAsia" w:hAnsi="Times New Roman" w:cstheme="minorBidi"/>
                      <w:b/>
                      <w:sz w:val="24"/>
                      <w:szCs w:val="24"/>
                      <w:lang w:eastAsia="en-US"/>
                    </w:rPr>
                    <w:t>sadalījums pēc darbības jomas</w:t>
                  </w:r>
                  <w:r w:rsidR="007B7C98" w:rsidRPr="00107E55">
                    <w:rPr>
                      <w:rFonts w:ascii="Times New Roman" w:eastAsiaTheme="minorEastAsia" w:hAnsi="Times New Roman" w:cstheme="minorBidi"/>
                      <w:b/>
                      <w:sz w:val="24"/>
                      <w:szCs w:val="24"/>
                      <w:lang w:eastAsia="en-US"/>
                    </w:rPr>
                    <w:t>, 2017.gads</w:t>
                  </w:r>
                </w:p>
                <w:p w14:paraId="045B258D" w14:textId="77777777" w:rsidR="00AD6BDD" w:rsidRPr="00107E55" w:rsidRDefault="00AD6BDD" w:rsidP="00AD6BDD">
                  <w:pPr>
                    <w:keepNext/>
                    <w:jc w:val="center"/>
                    <w:rPr>
                      <w:rFonts w:ascii="Times New Roman" w:eastAsiaTheme="minorEastAsia" w:hAnsi="Times New Roman" w:cstheme="minorBidi"/>
                      <w:b/>
                      <w:sz w:val="24"/>
                      <w:szCs w:val="24"/>
                      <w:lang w:eastAsia="en-US"/>
                    </w:rPr>
                  </w:pPr>
                  <w:r w:rsidRPr="00107E55">
                    <w:rPr>
                      <w:rFonts w:eastAsiaTheme="minorEastAsia"/>
                      <w:b/>
                      <w:noProof/>
                      <w:sz w:val="24"/>
                      <w:szCs w:val="24"/>
                      <w:lang w:val="en-GB" w:eastAsia="en-GB"/>
                    </w:rPr>
                    <w:drawing>
                      <wp:inline distT="0" distB="0" distL="0" distR="0" wp14:anchorId="0AC466E2" wp14:editId="2BABA8F2">
                        <wp:extent cx="2514600" cy="245745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BC4001" w14:textId="77777777" w:rsidR="00AD6BDD" w:rsidRPr="00107E55" w:rsidRDefault="00AD6BDD" w:rsidP="00AD6BDD">
                  <w:pPr>
                    <w:keepNext/>
                    <w:rPr>
                      <w:rFonts w:ascii="Times New Roman" w:eastAsiaTheme="minorEastAsia" w:hAnsi="Times New Roman" w:cstheme="minorBidi"/>
                      <w:b/>
                      <w:sz w:val="24"/>
                      <w:szCs w:val="24"/>
                      <w:lang w:eastAsia="en-US"/>
                    </w:rPr>
                  </w:pPr>
                </w:p>
              </w:tc>
            </w:tr>
          </w:tbl>
          <w:p w14:paraId="5AC1FDBA" w14:textId="77777777" w:rsidR="00AD6BDD" w:rsidRPr="00107E55" w:rsidRDefault="00AD6BDD" w:rsidP="00AD6BDD">
            <w:pPr>
              <w:keepNext/>
              <w:jc w:val="center"/>
              <w:rPr>
                <w:rFonts w:ascii="Times New Roman" w:eastAsiaTheme="minorEastAsia" w:hAnsi="Times New Roman" w:cstheme="minorBidi"/>
                <w:b/>
                <w:sz w:val="24"/>
                <w:szCs w:val="24"/>
                <w:lang w:eastAsia="en-US"/>
              </w:rPr>
            </w:pPr>
          </w:p>
        </w:tc>
      </w:tr>
    </w:tbl>
    <w:p w14:paraId="41344ACB" w14:textId="77777777" w:rsidR="00AD6BDD" w:rsidRPr="00107E55" w:rsidRDefault="00AD6BDD" w:rsidP="00AD6BDD">
      <w:pPr>
        <w:ind w:firstLine="567"/>
        <w:jc w:val="both"/>
        <w:rPr>
          <w:rFonts w:eastAsiaTheme="minorEastAsia" w:cs="Times New Roman"/>
          <w:sz w:val="26"/>
          <w:szCs w:val="26"/>
        </w:rPr>
      </w:pPr>
    </w:p>
    <w:p w14:paraId="0E2612D5" w14:textId="684FD9C3" w:rsidR="00AD6BDD" w:rsidRPr="00107E55" w:rsidRDefault="00F143BD" w:rsidP="00AD6BDD">
      <w:pPr>
        <w:ind w:firstLine="567"/>
        <w:jc w:val="both"/>
        <w:rPr>
          <w:rFonts w:eastAsiaTheme="minorEastAsia" w:cs="Times New Roman"/>
          <w:sz w:val="26"/>
          <w:szCs w:val="26"/>
        </w:rPr>
      </w:pPr>
      <w:r w:rsidRPr="00107E55">
        <w:rPr>
          <w:rFonts w:eastAsiaTheme="minorEastAsia" w:cs="Times New Roman"/>
          <w:sz w:val="26"/>
          <w:szCs w:val="26"/>
        </w:rPr>
        <w:t>2017.gadā n</w:t>
      </w:r>
      <w:r w:rsidR="00AD6BDD" w:rsidRPr="00107E55">
        <w:rPr>
          <w:rFonts w:eastAsiaTheme="minorEastAsia" w:cs="Times New Roman"/>
          <w:sz w:val="26"/>
          <w:szCs w:val="26"/>
        </w:rPr>
        <w:t>o uzņēmumiem, kuriem ir norādīts darbības veids,  vairāk kā puse jeb 314 uzņēmumi sniedz komercpakalpojumus (no tiem 49% saistīti ar nekustamajiem īpašumiem), 31% jeb 182 uzņēmumi darbojas tirdzniecības, izmitināšanas un ēdināšanas jomā, bet gandrīz 8% uzņēmumu pamatdarbības veids ir apstrādes rūpniecība (lielākie darbojas pārtikas ražošanas apakšnozarē).</w:t>
      </w:r>
    </w:p>
    <w:p w14:paraId="65AD3AFC" w14:textId="77777777" w:rsidR="00AD6BDD" w:rsidRPr="00107E55" w:rsidRDefault="00AD6BDD" w:rsidP="00AD6BDD">
      <w:pPr>
        <w:spacing w:after="120"/>
        <w:ind w:firstLine="567"/>
        <w:jc w:val="both"/>
        <w:rPr>
          <w:rFonts w:eastAsiaTheme="minorEastAsia" w:cs="Times New Roman"/>
          <w:sz w:val="26"/>
          <w:szCs w:val="26"/>
        </w:rPr>
      </w:pPr>
      <w:r w:rsidRPr="00107E55">
        <w:rPr>
          <w:rFonts w:eastAsiaTheme="minorEastAsia" w:cs="Times New Roman"/>
          <w:sz w:val="26"/>
          <w:szCs w:val="26"/>
        </w:rPr>
        <w:t>Pēc apgrozījuma 2017.gadā lielākie uzņēmumi darbojās tādās apakšnozarēs kā vairumtirdzniecība (degvielas, kurināmā, naftas ķīmijas u.tml. vielu vairumtirdzniecības starpnieki, kā arī mašīnu, to iekārtu vairumtirdzniecība), pārtikas produktu ražošana, uzglabāšana un transporta palīgdarbības.</w:t>
      </w:r>
    </w:p>
    <w:p w14:paraId="41BCCBEF" w14:textId="77777777" w:rsidR="00AD6BDD" w:rsidRPr="00107E55" w:rsidRDefault="00AD6BDD" w:rsidP="00AD6BDD">
      <w:pPr>
        <w:ind w:firstLine="567"/>
        <w:jc w:val="both"/>
        <w:rPr>
          <w:rFonts w:eastAsiaTheme="minorEastAsia" w:cs="Times New Roman"/>
          <w:sz w:val="26"/>
          <w:szCs w:val="26"/>
        </w:rPr>
      </w:pPr>
      <w:r w:rsidRPr="00107E55">
        <w:rPr>
          <w:rFonts w:eastAsiaTheme="minorEastAsia" w:cs="Times New Roman"/>
          <w:sz w:val="26"/>
          <w:szCs w:val="26"/>
        </w:rPr>
        <w:t>Saskaņā ar VID datiem uzņēmumi, kuros nerezidentiem, kuri kā TUA saņemšanas iemeslu ir norādījuši nekustamā īpašuma iegādi, pieder īpašumdaļas un / vai</w:t>
      </w:r>
      <w:r w:rsidRPr="00107E55">
        <w:rPr>
          <w:rFonts w:eastAsiaTheme="minorEastAsia" w:cs="Times New Roman"/>
          <w:sz w:val="22"/>
        </w:rPr>
        <w:t xml:space="preserve"> </w:t>
      </w:r>
      <w:r w:rsidRPr="00107E55">
        <w:rPr>
          <w:rFonts w:eastAsiaTheme="minorEastAsia" w:cs="Times New Roman"/>
          <w:sz w:val="26"/>
          <w:szCs w:val="26"/>
        </w:rPr>
        <w:t>ieņem kādu amatu ir iemaksājuši valsts</w:t>
      </w:r>
      <w:r w:rsidRPr="00107E55">
        <w:rPr>
          <w:rFonts w:eastAsiaTheme="minorEastAsia" w:cs="Times New Roman"/>
          <w:sz w:val="22"/>
        </w:rPr>
        <w:t xml:space="preserve"> </w:t>
      </w:r>
      <w:r w:rsidRPr="00107E55">
        <w:rPr>
          <w:rFonts w:eastAsiaTheme="minorEastAsia" w:cs="Times New Roman"/>
          <w:sz w:val="26"/>
          <w:szCs w:val="26"/>
        </w:rPr>
        <w:t xml:space="preserve">budžetā nodokļus (atskaitot no valsts budžeta atmaksātos nodokļus) 2017.gadā gandrīz 50 milj. </w:t>
      </w:r>
      <w:r w:rsidRPr="00107E55">
        <w:rPr>
          <w:rFonts w:eastAsiaTheme="minorEastAsia" w:cs="Times New Roman"/>
          <w:i/>
          <w:sz w:val="26"/>
          <w:szCs w:val="26"/>
        </w:rPr>
        <w:t>euro</w:t>
      </w:r>
      <w:r w:rsidRPr="00107E55">
        <w:rPr>
          <w:rFonts w:eastAsiaTheme="minorEastAsia" w:cs="Times New Roman"/>
          <w:sz w:val="26"/>
          <w:szCs w:val="26"/>
        </w:rPr>
        <w:t xml:space="preserve"> apmērā, 2018.gada 1.pusgadā – 24,5 milj. </w:t>
      </w:r>
      <w:r w:rsidRPr="00107E55">
        <w:rPr>
          <w:rFonts w:eastAsiaTheme="minorEastAsia" w:cs="Times New Roman"/>
          <w:i/>
          <w:sz w:val="26"/>
          <w:szCs w:val="26"/>
        </w:rPr>
        <w:t>euro</w:t>
      </w:r>
      <w:r w:rsidRPr="00107E55">
        <w:rPr>
          <w:rFonts w:eastAsiaTheme="minorEastAsia" w:cs="Times New Roman"/>
          <w:sz w:val="26"/>
          <w:szCs w:val="26"/>
        </w:rPr>
        <w:t xml:space="preserve"> apmērā.</w:t>
      </w:r>
    </w:p>
    <w:p w14:paraId="02E8695E" w14:textId="77777777" w:rsidR="00AD6BDD" w:rsidRPr="00107E55" w:rsidRDefault="00AD6BDD" w:rsidP="00AD6BDD">
      <w:pPr>
        <w:spacing w:after="160" w:line="252" w:lineRule="auto"/>
        <w:jc w:val="both"/>
        <w:rPr>
          <w:rFonts w:eastAsiaTheme="minorEastAsia" w:cs="Times New Roman"/>
          <w:sz w:val="26"/>
          <w:szCs w:val="26"/>
        </w:rPr>
      </w:pPr>
    </w:p>
    <w:p w14:paraId="291EF0F3" w14:textId="77777777" w:rsidR="00D76B6F" w:rsidRPr="00107E55" w:rsidRDefault="00D76B6F" w:rsidP="00E50E6F">
      <w:pPr>
        <w:jc w:val="both"/>
        <w:rPr>
          <w:sz w:val="26"/>
          <w:szCs w:val="26"/>
        </w:rPr>
      </w:pPr>
    </w:p>
    <w:p w14:paraId="230E5DCB" w14:textId="77777777" w:rsidR="008E3AA1" w:rsidRPr="00107E55" w:rsidRDefault="008E3AA1" w:rsidP="008E3AA1">
      <w:pPr>
        <w:jc w:val="center"/>
        <w:rPr>
          <w:rFonts w:eastAsia="Calibri" w:cs="Times New Roman"/>
          <w:b/>
          <w:sz w:val="26"/>
          <w:szCs w:val="26"/>
        </w:rPr>
      </w:pPr>
      <w:r w:rsidRPr="00107E55">
        <w:rPr>
          <w:rFonts w:eastAsia="Calibri" w:cs="Times New Roman"/>
          <w:b/>
          <w:sz w:val="26"/>
          <w:szCs w:val="26"/>
        </w:rPr>
        <w:t>Valsts zemes dienesta viedoklis par termiņuzturēšanās atļauju ietekmi uz nekustamā īpašuma tirgus un kadastrālo vērtību</w:t>
      </w:r>
    </w:p>
    <w:p w14:paraId="7930F21C" w14:textId="77777777" w:rsidR="004A48F0" w:rsidRPr="00107E55" w:rsidRDefault="004A48F0" w:rsidP="008E3AA1">
      <w:pPr>
        <w:ind w:firstLine="720"/>
        <w:jc w:val="both"/>
        <w:rPr>
          <w:rFonts w:eastAsia="Calibri" w:cs="Times New Roman"/>
          <w:sz w:val="26"/>
          <w:szCs w:val="26"/>
        </w:rPr>
      </w:pPr>
    </w:p>
    <w:p w14:paraId="65C5134E" w14:textId="3AF24042" w:rsidR="007A32F7" w:rsidRPr="00107E55" w:rsidRDefault="007A32F7" w:rsidP="007A32F7">
      <w:pPr>
        <w:ind w:firstLine="720"/>
        <w:jc w:val="both"/>
        <w:rPr>
          <w:rFonts w:eastAsia="Calibri" w:cs="Times New Roman"/>
          <w:sz w:val="26"/>
          <w:szCs w:val="26"/>
        </w:rPr>
      </w:pPr>
      <w:r w:rsidRPr="00107E55">
        <w:rPr>
          <w:rFonts w:eastAsia="Calibri" w:cs="Times New Roman"/>
          <w:sz w:val="26"/>
          <w:szCs w:val="26"/>
        </w:rPr>
        <w:t>Valsts zemes dienests</w:t>
      </w:r>
      <w:r w:rsidR="00CB59ED" w:rsidRPr="00107E55">
        <w:rPr>
          <w:rFonts w:eastAsia="Calibri" w:cs="Times New Roman"/>
          <w:sz w:val="26"/>
          <w:szCs w:val="26"/>
        </w:rPr>
        <w:t xml:space="preserve"> </w:t>
      </w:r>
      <w:r w:rsidRPr="00107E55">
        <w:rPr>
          <w:rFonts w:eastAsia="Calibri" w:cs="Times New Roman"/>
          <w:sz w:val="26"/>
          <w:szCs w:val="26"/>
        </w:rPr>
        <w:t xml:space="preserve">analīzē par termiņuzturēšanās atļauju ietekmi uz nekustamā īpašuma tirgu un kadastrālo vērtību izmantoja informāciju par personām un nekustamā īpašuma objektiem, pret kuru iegādi ir saņemtas termiņuzturēšanās atļaujas (TUA), un nekustamā īpašuma tirgus datu bāzē reģistrēto informāciju par darījumiem ar nekustamo īpašumu. Analīze tika veikta gan pircēju statusa, gan darījuma objektu  </w:t>
      </w:r>
      <w:r w:rsidR="00E258C4">
        <w:rPr>
          <w:rFonts w:eastAsia="Calibri" w:cs="Times New Roman"/>
          <w:sz w:val="26"/>
          <w:szCs w:val="26"/>
        </w:rPr>
        <w:t xml:space="preserve">  </w:t>
      </w:r>
      <w:bookmarkStart w:id="0" w:name="_GoBack"/>
      <w:bookmarkEnd w:id="0"/>
      <w:r w:rsidRPr="00107E55">
        <w:rPr>
          <w:rFonts w:eastAsia="Calibri" w:cs="Times New Roman"/>
          <w:sz w:val="26"/>
          <w:szCs w:val="26"/>
        </w:rPr>
        <w:t xml:space="preserve">un teritoriālajā griezumā. Savietojot informāciju, tika analizēts, cik liels ir ārvalstnieku un ārvalstnieku ar TUA īpatsvars no visiem tirgus dalībniekiem. </w:t>
      </w:r>
    </w:p>
    <w:p w14:paraId="54829058" w14:textId="77777777" w:rsidR="00136DB1" w:rsidRPr="00107E55" w:rsidRDefault="00136DB1" w:rsidP="007A32F7">
      <w:pPr>
        <w:ind w:firstLine="720"/>
        <w:jc w:val="both"/>
        <w:rPr>
          <w:rFonts w:eastAsia="Calibri" w:cs="Times New Roman"/>
          <w:sz w:val="26"/>
          <w:szCs w:val="26"/>
        </w:rPr>
      </w:pPr>
    </w:p>
    <w:p w14:paraId="1B017B08" w14:textId="5837FD3E" w:rsidR="00306278" w:rsidRPr="00107E55" w:rsidRDefault="007A32F7" w:rsidP="00936DBE">
      <w:pPr>
        <w:ind w:firstLine="720"/>
        <w:jc w:val="both"/>
        <w:rPr>
          <w:rFonts w:eastAsia="Calibri" w:cs="Times New Roman"/>
          <w:sz w:val="26"/>
          <w:szCs w:val="26"/>
        </w:rPr>
      </w:pPr>
      <w:r w:rsidRPr="00107E55">
        <w:rPr>
          <w:rFonts w:eastAsia="Calibri" w:cs="Times New Roman"/>
          <w:sz w:val="26"/>
          <w:szCs w:val="26"/>
        </w:rPr>
        <w:t xml:space="preserve"> Ievērojot, ka TUA pieprasītāji pārsvarā ir pirkuši dzīvokļus un savrupmājas, bet citos īpašumu segmentos interese ir bijusi nenozīmīga, tad teritoriāli plašāk tika analizēts tikai dzīvojamo īpašumu segments.</w:t>
      </w:r>
    </w:p>
    <w:p w14:paraId="68089A6B" w14:textId="0446CDF9" w:rsidR="00306278" w:rsidRPr="00107E55" w:rsidRDefault="00306278" w:rsidP="00753D05">
      <w:pPr>
        <w:spacing w:before="120" w:after="120"/>
        <w:jc w:val="both"/>
        <w:rPr>
          <w:sz w:val="26"/>
          <w:szCs w:val="26"/>
        </w:rPr>
      </w:pPr>
      <w:r w:rsidRPr="00107E55">
        <w:rPr>
          <w:rFonts w:eastAsia="Calibri"/>
          <w:sz w:val="26"/>
          <w:szCs w:val="26"/>
        </w:rPr>
        <w:tab/>
        <w:t xml:space="preserve">- </w:t>
      </w:r>
      <w:r w:rsidR="007A32F7" w:rsidRPr="00753D05">
        <w:rPr>
          <w:sz w:val="26"/>
          <w:szCs w:val="26"/>
        </w:rPr>
        <w:t>Gan ārvalstnieki, gan ārvalstnieki ar TUA pamatā ir iegādājušies īpašumus Rīgā un Jūrmalā.  Atsevišķi darījumi ir arī Pierīgas teritorijās – Ādažu, Babītes, Garkalnes, Mārupes, Saulkrastu novados. Rīgā un Jūrmalā pārsvarā ir darījumi ar jauno projektu dzīvokļiem, savukārt Pierīgas teritorijās priekšroka dota savrupmāju segmentam.</w:t>
      </w:r>
    </w:p>
    <w:p w14:paraId="0D7FE353" w14:textId="3F0A9303" w:rsidR="00306278" w:rsidRPr="00107E55" w:rsidRDefault="00306278" w:rsidP="00936DBE">
      <w:pPr>
        <w:spacing w:before="120" w:after="120"/>
        <w:ind w:firstLine="709"/>
        <w:jc w:val="both"/>
      </w:pPr>
      <w:r w:rsidRPr="00107E55">
        <w:rPr>
          <w:sz w:val="26"/>
          <w:szCs w:val="26"/>
        </w:rPr>
        <w:t xml:space="preserve">- </w:t>
      </w:r>
      <w:r w:rsidR="007A32F7" w:rsidRPr="00753D05">
        <w:rPr>
          <w:rFonts w:eastAsia="Calibri" w:cs="Times New Roman"/>
          <w:sz w:val="26"/>
          <w:szCs w:val="26"/>
        </w:rPr>
        <w:t xml:space="preserve">Ārvalstnieku ietekme uz dzīvokļu tirgu valstī kopumā  parādīta </w:t>
      </w:r>
      <w:r w:rsidR="005F287E" w:rsidRPr="00753D05">
        <w:rPr>
          <w:rFonts w:eastAsia="Calibri" w:cs="Times New Roman"/>
          <w:sz w:val="26"/>
          <w:szCs w:val="26"/>
        </w:rPr>
        <w:t>4. un 5</w:t>
      </w:r>
      <w:r w:rsidR="007A32F7" w:rsidRPr="00753D05">
        <w:rPr>
          <w:rFonts w:eastAsia="Calibri" w:cs="Times New Roman"/>
          <w:sz w:val="26"/>
          <w:szCs w:val="26"/>
        </w:rPr>
        <w:t>.attēlā. No kopējo darījumu skaita ar dzīv</w:t>
      </w:r>
      <w:r w:rsidR="007A32F7" w:rsidRPr="00753D05">
        <w:rPr>
          <w:rFonts w:eastAsia="Calibri"/>
          <w:sz w:val="26"/>
          <w:szCs w:val="26"/>
        </w:rPr>
        <w:t>okļiem sērijveida un citās pagājušā gadsimta mājās (turpmāk – vecās mājas) ārvalstnieku īpatsvars ir zem 5%). Savukārt jauno projektu daudzdzīvokļu mājās</w:t>
      </w:r>
      <w:r w:rsidR="00136DB1" w:rsidRPr="00753D05">
        <w:rPr>
          <w:rFonts w:eastAsia="Calibri"/>
          <w:sz w:val="26"/>
          <w:szCs w:val="26"/>
        </w:rPr>
        <w:t xml:space="preserve"> dzīvokļu</w:t>
      </w:r>
      <w:r w:rsidR="007A32F7" w:rsidRPr="00753D05">
        <w:rPr>
          <w:rFonts w:eastAsia="Calibri"/>
          <w:sz w:val="26"/>
          <w:szCs w:val="26"/>
        </w:rPr>
        <w:t xml:space="preserve"> pircēju – ārvalstnieku  īpatsvars ir ~ 15%.</w:t>
      </w:r>
    </w:p>
    <w:p w14:paraId="02A9A276" w14:textId="62CB4703" w:rsidR="00306278" w:rsidRPr="00107E55" w:rsidRDefault="00306278" w:rsidP="00936DBE">
      <w:pPr>
        <w:spacing w:before="120" w:after="120"/>
        <w:ind w:firstLine="709"/>
        <w:jc w:val="both"/>
      </w:pPr>
      <w:r w:rsidRPr="00107E55">
        <w:rPr>
          <w:rFonts w:eastAsia="Calibri"/>
          <w:sz w:val="26"/>
          <w:szCs w:val="26"/>
        </w:rPr>
        <w:t xml:space="preserve">- </w:t>
      </w:r>
      <w:r w:rsidR="007A32F7" w:rsidRPr="00107E55">
        <w:rPr>
          <w:rFonts w:eastAsia="Calibri"/>
          <w:sz w:val="26"/>
          <w:szCs w:val="26"/>
        </w:rPr>
        <w:t>Ārvalstnieki, tapāt kā iepriekšējos gados, pārsvarā izvēlas Rīgu un Jūrmalu, iegādājoties dzīvokļus jauno projektu ēkās. Ārvalstnieku īpatsvars jauno projektu dzīvokļiem Rīgā ir ~ 12% (</w:t>
      </w:r>
      <w:r w:rsidR="00136DB1" w:rsidRPr="00107E55">
        <w:rPr>
          <w:rFonts w:eastAsia="Calibri"/>
          <w:sz w:val="26"/>
          <w:szCs w:val="26"/>
        </w:rPr>
        <w:t>6</w:t>
      </w:r>
      <w:r w:rsidR="007A32F7" w:rsidRPr="00107E55">
        <w:rPr>
          <w:rFonts w:eastAsia="Calibri"/>
          <w:sz w:val="26"/>
          <w:szCs w:val="26"/>
        </w:rPr>
        <w:t>.attēls). Jūrmalā ārvalstnieku procentuālais īpatsvars jauno projektu dzīvokļu pircēju vidū ir lielāks, bet salīdzinājumā ar Rīgu kopējais darījumu skaits ir neliels. Jūrmalā no ~ 160 darījumiem ~60% ir pirkuši ārvalstnieki (</w:t>
      </w:r>
      <w:r w:rsidR="00136DB1" w:rsidRPr="00107E55">
        <w:rPr>
          <w:rFonts w:eastAsia="Calibri"/>
          <w:sz w:val="26"/>
          <w:szCs w:val="26"/>
        </w:rPr>
        <w:t>7</w:t>
      </w:r>
      <w:r w:rsidR="007A32F7" w:rsidRPr="00107E55">
        <w:rPr>
          <w:rFonts w:eastAsia="Calibri"/>
          <w:sz w:val="26"/>
          <w:szCs w:val="26"/>
        </w:rPr>
        <w:t xml:space="preserve">.attēls). </w:t>
      </w:r>
    </w:p>
    <w:p w14:paraId="442BE0DF" w14:textId="0789492B" w:rsidR="00306278" w:rsidRPr="00107E55" w:rsidRDefault="00306278" w:rsidP="00936DBE">
      <w:pPr>
        <w:spacing w:before="120" w:after="120"/>
        <w:ind w:firstLine="709"/>
        <w:jc w:val="both"/>
      </w:pPr>
      <w:r w:rsidRPr="00107E55">
        <w:t xml:space="preserve">- </w:t>
      </w:r>
      <w:r w:rsidR="007A32F7" w:rsidRPr="00107E55">
        <w:rPr>
          <w:rFonts w:eastAsia="Calibri"/>
          <w:sz w:val="26"/>
          <w:szCs w:val="26"/>
        </w:rPr>
        <w:t xml:space="preserve">Ārvalstnieku, ārvalstnieku  ar TUA īpatsvars  attiecībā pret pārējiem pircējiem Rīgas un Jūrmalas jauno dzīvokļu projektos parādīts </w:t>
      </w:r>
      <w:r w:rsidR="00136DB1" w:rsidRPr="00107E55">
        <w:rPr>
          <w:rFonts w:eastAsia="Calibri"/>
          <w:sz w:val="26"/>
          <w:szCs w:val="26"/>
        </w:rPr>
        <w:t>8</w:t>
      </w:r>
      <w:r w:rsidR="007A32F7" w:rsidRPr="00107E55">
        <w:rPr>
          <w:rFonts w:eastAsia="Calibri"/>
          <w:sz w:val="26"/>
          <w:szCs w:val="26"/>
        </w:rPr>
        <w:t xml:space="preserve">. un </w:t>
      </w:r>
      <w:r w:rsidR="00136DB1" w:rsidRPr="00107E55">
        <w:rPr>
          <w:rFonts w:eastAsia="Calibri"/>
          <w:sz w:val="26"/>
          <w:szCs w:val="26"/>
        </w:rPr>
        <w:t>9</w:t>
      </w:r>
      <w:r w:rsidR="007A32F7" w:rsidRPr="00107E55">
        <w:rPr>
          <w:rFonts w:eastAsia="Calibri"/>
          <w:sz w:val="26"/>
          <w:szCs w:val="26"/>
        </w:rPr>
        <w:t xml:space="preserve">.attēlos. </w:t>
      </w:r>
    </w:p>
    <w:p w14:paraId="06BAD263" w14:textId="77777777" w:rsidR="00FB74FA" w:rsidRPr="00107E55" w:rsidRDefault="00306278" w:rsidP="00936DBE">
      <w:pPr>
        <w:spacing w:before="120" w:after="120"/>
        <w:ind w:firstLine="709"/>
        <w:jc w:val="both"/>
      </w:pPr>
      <w:r w:rsidRPr="00107E55">
        <w:t xml:space="preserve">- </w:t>
      </w:r>
      <w:r w:rsidR="007A32F7" w:rsidRPr="00107E55">
        <w:rPr>
          <w:rFonts w:eastAsia="Calibri"/>
          <w:sz w:val="26"/>
          <w:szCs w:val="26"/>
        </w:rPr>
        <w:t>Gan Rīgā, gan Jūrmalā pieprasījums pēc dzīvokļiem saistībā ar TUA nav viendabīgs. Lielākais pieprasījums Rīgā ir pēc dzīvokļiem Klusajā centrā un Vecrīgā. Jūrmalā – Majoros, Bulduros, Dzintaros un pirmajā apbūves līnijā pie jūras.</w:t>
      </w:r>
    </w:p>
    <w:p w14:paraId="4DC97394" w14:textId="411375DB" w:rsidR="00FB74FA" w:rsidRPr="00107E55" w:rsidRDefault="00FB74FA" w:rsidP="00936DBE">
      <w:pPr>
        <w:spacing w:before="120" w:after="120"/>
        <w:ind w:firstLine="709"/>
        <w:jc w:val="both"/>
      </w:pPr>
      <w:r w:rsidRPr="00107E55">
        <w:t xml:space="preserve">- </w:t>
      </w:r>
      <w:r w:rsidR="007A32F7" w:rsidRPr="00107E55">
        <w:rPr>
          <w:rFonts w:eastAsia="Calibri"/>
          <w:sz w:val="26"/>
          <w:szCs w:val="26"/>
        </w:rPr>
        <w:t>Ārvalstnieku pircēju skaits un īpatsvars laika posmā no 2016. – 2018.gada 1.pusgadā valstī kopumā un Rīgā saglabājas līdzīgs, bet Jūrmalā no 2017.gada ir vērojams kāpums, kas  saglabājas arī 2018.gada 1.pusgadā (skatīt</w:t>
      </w:r>
      <w:r w:rsidR="00136DB1" w:rsidRPr="00107E55">
        <w:rPr>
          <w:rFonts w:eastAsia="Calibri"/>
          <w:sz w:val="26"/>
          <w:szCs w:val="26"/>
        </w:rPr>
        <w:t>6</w:t>
      </w:r>
      <w:r w:rsidR="007A32F7" w:rsidRPr="00107E55">
        <w:rPr>
          <w:rFonts w:eastAsia="Calibri"/>
          <w:sz w:val="26"/>
          <w:szCs w:val="26"/>
        </w:rPr>
        <w:t xml:space="preserve">.- </w:t>
      </w:r>
      <w:r w:rsidR="00136DB1" w:rsidRPr="00107E55">
        <w:rPr>
          <w:rFonts w:eastAsia="Calibri"/>
          <w:sz w:val="26"/>
          <w:szCs w:val="26"/>
        </w:rPr>
        <w:t>9</w:t>
      </w:r>
      <w:r w:rsidR="007A32F7" w:rsidRPr="00107E55">
        <w:rPr>
          <w:rFonts w:eastAsia="Calibri"/>
          <w:sz w:val="26"/>
          <w:szCs w:val="26"/>
        </w:rPr>
        <w:t>.attēli).</w:t>
      </w:r>
    </w:p>
    <w:p w14:paraId="4C035BAE" w14:textId="009DCF2C" w:rsidR="00FB74FA" w:rsidRPr="00107E55" w:rsidRDefault="00FB74FA" w:rsidP="00936DBE">
      <w:pPr>
        <w:spacing w:before="120" w:after="120"/>
        <w:ind w:firstLine="709"/>
        <w:jc w:val="both"/>
      </w:pPr>
      <w:r w:rsidRPr="00107E55">
        <w:t xml:space="preserve">- </w:t>
      </w:r>
      <w:r w:rsidR="007A32F7" w:rsidRPr="00107E55">
        <w:rPr>
          <w:rFonts w:eastAsia="Calibri"/>
          <w:sz w:val="26"/>
          <w:szCs w:val="26"/>
        </w:rPr>
        <w:t xml:space="preserve">Ārvalstnieku ietekme uz savrupmāju tirgu valstī kopumā parādīta </w:t>
      </w:r>
      <w:r w:rsidR="00E07AD6" w:rsidRPr="00107E55">
        <w:rPr>
          <w:rFonts w:eastAsia="Calibri"/>
          <w:sz w:val="26"/>
          <w:szCs w:val="26"/>
        </w:rPr>
        <w:t>10</w:t>
      </w:r>
      <w:r w:rsidR="007A32F7" w:rsidRPr="00107E55">
        <w:rPr>
          <w:rFonts w:eastAsia="Calibri"/>
          <w:sz w:val="26"/>
          <w:szCs w:val="26"/>
        </w:rPr>
        <w:t xml:space="preserve">.attēlā. No kopējo darījumu skaita ārvalstnieku īpatsvars ir zem 3%. Jūrmalā ārvalstnieki sastāda ~ 20% no savrupmāju pircējiem, bet ārvalstnieki ar TUA īpatsvars  redzams </w:t>
      </w:r>
      <w:r w:rsidR="00E07AD6" w:rsidRPr="00107E55">
        <w:rPr>
          <w:rFonts w:eastAsia="Calibri"/>
          <w:sz w:val="26"/>
          <w:szCs w:val="26"/>
        </w:rPr>
        <w:t>11</w:t>
      </w:r>
      <w:r w:rsidR="007A32F7" w:rsidRPr="00107E55">
        <w:rPr>
          <w:rFonts w:eastAsia="Calibri"/>
          <w:sz w:val="26"/>
          <w:szCs w:val="26"/>
        </w:rPr>
        <w:t>.attēlā.</w:t>
      </w:r>
    </w:p>
    <w:p w14:paraId="720AA057" w14:textId="54249DDA" w:rsidR="007A32F7" w:rsidRDefault="00FB74FA" w:rsidP="00936DBE">
      <w:pPr>
        <w:spacing w:before="120" w:after="120"/>
        <w:ind w:firstLine="709"/>
        <w:jc w:val="both"/>
        <w:rPr>
          <w:rFonts w:eastAsia="Calibri"/>
          <w:sz w:val="26"/>
          <w:szCs w:val="26"/>
        </w:rPr>
      </w:pPr>
      <w:r w:rsidRPr="00107E55">
        <w:t xml:space="preserve">- </w:t>
      </w:r>
      <w:r w:rsidR="007A32F7" w:rsidRPr="00107E55">
        <w:rPr>
          <w:rFonts w:eastAsia="Calibri"/>
          <w:sz w:val="26"/>
          <w:szCs w:val="26"/>
        </w:rPr>
        <w:t>Spēkā esošā kadastrālo vērtību bāze ir apstiprināta ar Ministru kabineta 2014.gada 23.decembra noteikumiem Nr.838 “Noteikumi par kadastrālo vērtību bāzi 2016., 2017., 2018. un 2019. gadam” un minētās vērtību bāzes izstrādē izmantota informācija līdz 2014.gada sākumam.</w:t>
      </w:r>
      <w:r w:rsidR="007A32F7" w:rsidRPr="00FB74FA">
        <w:rPr>
          <w:rFonts w:eastAsia="Calibri"/>
          <w:sz w:val="26"/>
          <w:szCs w:val="26"/>
        </w:rPr>
        <w:t xml:space="preserve"> </w:t>
      </w:r>
    </w:p>
    <w:p w14:paraId="3C9F866A" w14:textId="77777777" w:rsidR="00753D05" w:rsidRDefault="00753D05" w:rsidP="00936DBE">
      <w:pPr>
        <w:spacing w:before="120" w:after="120"/>
        <w:ind w:firstLine="709"/>
        <w:jc w:val="both"/>
        <w:rPr>
          <w:rFonts w:eastAsia="Calibri"/>
          <w:sz w:val="26"/>
          <w:szCs w:val="26"/>
        </w:rPr>
      </w:pPr>
    </w:p>
    <w:p w14:paraId="4EF457D7" w14:textId="77777777" w:rsidR="00753D05" w:rsidRDefault="00753D05" w:rsidP="00936DBE">
      <w:pPr>
        <w:spacing w:before="120" w:after="120"/>
        <w:ind w:firstLine="709"/>
        <w:jc w:val="both"/>
        <w:rPr>
          <w:rFonts w:eastAsia="Calibri"/>
          <w:sz w:val="26"/>
          <w:szCs w:val="26"/>
        </w:rPr>
      </w:pPr>
    </w:p>
    <w:p w14:paraId="0EDAA9F3" w14:textId="77777777" w:rsidR="00753D05" w:rsidRDefault="00753D05" w:rsidP="00936DBE">
      <w:pPr>
        <w:spacing w:before="120" w:after="120"/>
        <w:ind w:firstLine="709"/>
        <w:jc w:val="both"/>
        <w:rPr>
          <w:rFonts w:eastAsia="Calibri"/>
          <w:sz w:val="26"/>
          <w:szCs w:val="26"/>
        </w:rPr>
      </w:pPr>
    </w:p>
    <w:p w14:paraId="75B696C2" w14:textId="77777777" w:rsidR="00753D05" w:rsidRPr="00FB74FA" w:rsidRDefault="00753D05" w:rsidP="00936DBE">
      <w:pPr>
        <w:spacing w:before="120" w:after="120"/>
        <w:ind w:firstLine="709"/>
        <w:jc w:val="both"/>
      </w:pPr>
    </w:p>
    <w:p w14:paraId="1CB62324" w14:textId="77777777" w:rsidR="007A32F7" w:rsidRDefault="007A32F7" w:rsidP="007A32F7">
      <w:pPr>
        <w:spacing w:line="276" w:lineRule="auto"/>
        <w:jc w:val="center"/>
        <w:rPr>
          <w:rFonts w:eastAsia="Calibri"/>
          <w:sz w:val="24"/>
          <w:szCs w:val="24"/>
        </w:rPr>
      </w:pPr>
    </w:p>
    <w:p w14:paraId="126EE789" w14:textId="48919068" w:rsidR="007A32F7" w:rsidRPr="005F287E" w:rsidRDefault="005F287E" w:rsidP="007A32F7">
      <w:pPr>
        <w:spacing w:line="276" w:lineRule="auto"/>
        <w:jc w:val="right"/>
        <w:rPr>
          <w:rFonts w:eastAsia="Calibri"/>
          <w:sz w:val="26"/>
          <w:szCs w:val="26"/>
        </w:rPr>
      </w:pPr>
      <w:r>
        <w:rPr>
          <w:rFonts w:eastAsia="Calibri"/>
          <w:sz w:val="26"/>
          <w:szCs w:val="26"/>
        </w:rPr>
        <w:t>4</w:t>
      </w:r>
      <w:r w:rsidR="007A32F7" w:rsidRPr="005F287E">
        <w:rPr>
          <w:rFonts w:eastAsia="Calibri"/>
          <w:sz w:val="26"/>
          <w:szCs w:val="26"/>
        </w:rPr>
        <w:t xml:space="preserve">.attēls </w:t>
      </w:r>
    </w:p>
    <w:p w14:paraId="43B522E0" w14:textId="77777777" w:rsidR="007A32F7" w:rsidRPr="005F287E" w:rsidRDefault="007A32F7" w:rsidP="007A32F7">
      <w:pPr>
        <w:spacing w:line="276" w:lineRule="auto"/>
        <w:jc w:val="center"/>
        <w:rPr>
          <w:rFonts w:eastAsia="Calibri"/>
          <w:sz w:val="26"/>
          <w:szCs w:val="26"/>
        </w:rPr>
      </w:pPr>
      <w:r w:rsidRPr="005F287E">
        <w:rPr>
          <w:rFonts w:eastAsia="Calibri"/>
          <w:sz w:val="26"/>
          <w:szCs w:val="26"/>
        </w:rPr>
        <w:t xml:space="preserve">Pirkuma darījumi ar </w:t>
      </w:r>
      <w:r w:rsidRPr="005F287E">
        <w:rPr>
          <w:rFonts w:eastAsia="Calibri"/>
          <w:b/>
          <w:sz w:val="26"/>
          <w:szCs w:val="26"/>
        </w:rPr>
        <w:t>dzīvokļiem “vecajos” projektos Latvijā</w:t>
      </w:r>
      <w:r w:rsidRPr="005F287E">
        <w:rPr>
          <w:rFonts w:eastAsia="Calibri"/>
          <w:sz w:val="26"/>
          <w:szCs w:val="26"/>
        </w:rPr>
        <w:t>, dalījumā ārvalstnieks un cita persona (skaits un %)</w:t>
      </w:r>
    </w:p>
    <w:p w14:paraId="1707B662" w14:textId="77777777" w:rsidR="007A32F7" w:rsidRPr="00D2458C" w:rsidRDefault="007A32F7" w:rsidP="007A32F7">
      <w:pPr>
        <w:spacing w:line="276" w:lineRule="auto"/>
        <w:jc w:val="center"/>
        <w:rPr>
          <w:rFonts w:eastAsia="Calibri"/>
          <w:sz w:val="24"/>
          <w:szCs w:val="24"/>
        </w:rPr>
      </w:pPr>
    </w:p>
    <w:tbl>
      <w:tblPr>
        <w:tblStyle w:val="TableGrid1"/>
        <w:tblW w:w="970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767"/>
      </w:tblGrid>
      <w:tr w:rsidR="007A32F7" w:rsidRPr="00C538A8" w14:paraId="6EB60586" w14:textId="77777777" w:rsidTr="00B47154">
        <w:trPr>
          <w:trHeight w:val="3238"/>
        </w:trPr>
        <w:tc>
          <w:tcPr>
            <w:tcW w:w="4934" w:type="dxa"/>
          </w:tcPr>
          <w:p w14:paraId="1DEC7A43" w14:textId="77777777" w:rsidR="007A32F7" w:rsidRPr="00D2458C" w:rsidRDefault="007A32F7" w:rsidP="00571D8C">
            <w:pPr>
              <w:spacing w:after="200" w:line="276" w:lineRule="auto"/>
              <w:jc w:val="center"/>
              <w:rPr>
                <w:sz w:val="24"/>
                <w:szCs w:val="24"/>
              </w:rPr>
            </w:pPr>
            <w:r w:rsidRPr="00D2458C">
              <w:rPr>
                <w:noProof/>
                <w:sz w:val="24"/>
                <w:szCs w:val="24"/>
                <w:lang w:val="en-GB" w:eastAsia="en-GB"/>
              </w:rPr>
              <w:drawing>
                <wp:inline distT="0" distB="0" distL="0" distR="0" wp14:anchorId="737D1245" wp14:editId="2032D06A">
                  <wp:extent cx="2963320" cy="1926590"/>
                  <wp:effectExtent l="0" t="0" r="8890" b="0"/>
                  <wp:docPr id="2"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5843" cy="1928231"/>
                          </a:xfrm>
                          <a:prstGeom prst="rect">
                            <a:avLst/>
                          </a:prstGeom>
                          <a:noFill/>
                        </pic:spPr>
                      </pic:pic>
                    </a:graphicData>
                  </a:graphic>
                </wp:inline>
              </w:drawing>
            </w:r>
          </w:p>
        </w:tc>
        <w:tc>
          <w:tcPr>
            <w:tcW w:w="4767" w:type="dxa"/>
          </w:tcPr>
          <w:p w14:paraId="141B19B6" w14:textId="77777777" w:rsidR="007A32F7" w:rsidRPr="00D2458C" w:rsidRDefault="007A32F7" w:rsidP="00571D8C">
            <w:pPr>
              <w:spacing w:after="200" w:line="276" w:lineRule="auto"/>
              <w:jc w:val="center"/>
              <w:rPr>
                <w:sz w:val="24"/>
                <w:szCs w:val="24"/>
              </w:rPr>
            </w:pPr>
            <w:r w:rsidRPr="00D2458C">
              <w:rPr>
                <w:noProof/>
                <w:sz w:val="24"/>
                <w:szCs w:val="24"/>
                <w:lang w:val="en-GB" w:eastAsia="en-GB"/>
              </w:rPr>
              <w:drawing>
                <wp:inline distT="0" distB="0" distL="0" distR="0" wp14:anchorId="587222FC" wp14:editId="2DB50B65">
                  <wp:extent cx="2856899" cy="1876425"/>
                  <wp:effectExtent l="0" t="0" r="635" b="0"/>
                  <wp:docPr id="23"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2927" cy="1880384"/>
                          </a:xfrm>
                          <a:prstGeom prst="rect">
                            <a:avLst/>
                          </a:prstGeom>
                          <a:noFill/>
                        </pic:spPr>
                      </pic:pic>
                    </a:graphicData>
                  </a:graphic>
                </wp:inline>
              </w:drawing>
            </w:r>
          </w:p>
        </w:tc>
      </w:tr>
    </w:tbl>
    <w:p w14:paraId="57FEDE8A" w14:textId="77777777" w:rsidR="00B47154" w:rsidRDefault="00B47154" w:rsidP="007A32F7">
      <w:pPr>
        <w:spacing w:before="120" w:after="120" w:line="276" w:lineRule="auto"/>
        <w:jc w:val="right"/>
        <w:rPr>
          <w:rFonts w:eastAsia="Calibri"/>
          <w:sz w:val="26"/>
          <w:szCs w:val="26"/>
        </w:rPr>
      </w:pPr>
    </w:p>
    <w:p w14:paraId="67AC2D85" w14:textId="135DB01D" w:rsidR="007A32F7" w:rsidRPr="00B47154" w:rsidRDefault="005F287E" w:rsidP="007A32F7">
      <w:pPr>
        <w:spacing w:before="120" w:after="120" w:line="276" w:lineRule="auto"/>
        <w:jc w:val="right"/>
        <w:rPr>
          <w:rFonts w:eastAsia="Calibri"/>
          <w:sz w:val="26"/>
          <w:szCs w:val="26"/>
        </w:rPr>
      </w:pPr>
      <w:r w:rsidRPr="00B47154">
        <w:rPr>
          <w:rFonts w:eastAsia="Calibri"/>
          <w:sz w:val="26"/>
          <w:szCs w:val="26"/>
        </w:rPr>
        <w:t>5</w:t>
      </w:r>
      <w:r w:rsidR="007A32F7" w:rsidRPr="00B47154">
        <w:rPr>
          <w:rFonts w:eastAsia="Calibri"/>
          <w:sz w:val="26"/>
          <w:szCs w:val="26"/>
        </w:rPr>
        <w:t xml:space="preserve">.attēls </w:t>
      </w:r>
    </w:p>
    <w:p w14:paraId="535B3BE7" w14:textId="77777777" w:rsidR="007A32F7" w:rsidRPr="00B47154" w:rsidRDefault="007A32F7" w:rsidP="007A32F7">
      <w:pPr>
        <w:spacing w:before="120" w:after="120" w:line="276" w:lineRule="auto"/>
        <w:jc w:val="center"/>
        <w:rPr>
          <w:rFonts w:eastAsia="Calibri"/>
          <w:sz w:val="26"/>
          <w:szCs w:val="26"/>
        </w:rPr>
      </w:pPr>
      <w:r w:rsidRPr="00B47154">
        <w:rPr>
          <w:rFonts w:eastAsia="Calibri"/>
          <w:sz w:val="26"/>
          <w:szCs w:val="26"/>
        </w:rPr>
        <w:t xml:space="preserve">Pirkuma darījumi ar </w:t>
      </w:r>
      <w:r w:rsidRPr="00B47154">
        <w:rPr>
          <w:rFonts w:eastAsia="Calibri"/>
          <w:b/>
          <w:sz w:val="26"/>
          <w:szCs w:val="26"/>
        </w:rPr>
        <w:t>dzīvokļiem jaunajos projektos Latvijā</w:t>
      </w:r>
      <w:r w:rsidRPr="00B47154">
        <w:rPr>
          <w:rFonts w:eastAsia="Calibri"/>
          <w:sz w:val="26"/>
          <w:szCs w:val="26"/>
        </w:rPr>
        <w:t>, dalījumā ārvalstnieks un cita persona (skaits un %)</w:t>
      </w:r>
    </w:p>
    <w:tbl>
      <w:tblPr>
        <w:tblStyle w:val="TableGrid2"/>
        <w:tblW w:w="981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4"/>
        <w:gridCol w:w="4770"/>
      </w:tblGrid>
      <w:tr w:rsidR="007A32F7" w:rsidRPr="00D2458C" w14:paraId="763FF9EA" w14:textId="77777777" w:rsidTr="00B47154">
        <w:trPr>
          <w:trHeight w:val="555"/>
        </w:trPr>
        <w:tc>
          <w:tcPr>
            <w:tcW w:w="5044" w:type="dxa"/>
          </w:tcPr>
          <w:p w14:paraId="6E15FF08" w14:textId="77777777" w:rsidR="007A32F7" w:rsidRPr="00D2458C" w:rsidRDefault="007A32F7" w:rsidP="00571D8C">
            <w:pPr>
              <w:spacing w:after="200" w:line="276" w:lineRule="auto"/>
              <w:jc w:val="center"/>
              <w:rPr>
                <w:sz w:val="24"/>
                <w:szCs w:val="24"/>
              </w:rPr>
            </w:pPr>
            <w:r w:rsidRPr="00D2458C">
              <w:rPr>
                <w:noProof/>
                <w:sz w:val="24"/>
                <w:szCs w:val="24"/>
                <w:lang w:val="en-GB" w:eastAsia="en-GB"/>
              </w:rPr>
              <w:drawing>
                <wp:inline distT="0" distB="0" distL="0" distR="0" wp14:anchorId="1582E01C" wp14:editId="58DC5169">
                  <wp:extent cx="3009900" cy="1809275"/>
                  <wp:effectExtent l="0" t="0" r="0" b="63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3950" cy="1829743"/>
                          </a:xfrm>
                          <a:prstGeom prst="rect">
                            <a:avLst/>
                          </a:prstGeom>
                          <a:noFill/>
                        </pic:spPr>
                      </pic:pic>
                    </a:graphicData>
                  </a:graphic>
                </wp:inline>
              </w:drawing>
            </w:r>
          </w:p>
        </w:tc>
        <w:tc>
          <w:tcPr>
            <w:tcW w:w="4770" w:type="dxa"/>
          </w:tcPr>
          <w:p w14:paraId="5CE5C83F" w14:textId="77777777" w:rsidR="007A32F7" w:rsidRPr="00D2458C" w:rsidRDefault="007A32F7" w:rsidP="00571D8C">
            <w:pPr>
              <w:spacing w:after="200" w:line="276" w:lineRule="auto"/>
              <w:jc w:val="center"/>
              <w:rPr>
                <w:sz w:val="24"/>
                <w:szCs w:val="24"/>
              </w:rPr>
            </w:pPr>
            <w:r w:rsidRPr="00D2458C">
              <w:rPr>
                <w:noProof/>
                <w:sz w:val="24"/>
                <w:szCs w:val="24"/>
                <w:lang w:val="en-GB" w:eastAsia="en-GB"/>
              </w:rPr>
              <w:drawing>
                <wp:inline distT="0" distB="0" distL="0" distR="0" wp14:anchorId="172C0EAD" wp14:editId="103BBB0C">
                  <wp:extent cx="2875217" cy="1857375"/>
                  <wp:effectExtent l="0" t="0" r="1905" b="0"/>
                  <wp:docPr id="5"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4984" cy="1870144"/>
                          </a:xfrm>
                          <a:prstGeom prst="rect">
                            <a:avLst/>
                          </a:prstGeom>
                          <a:noFill/>
                        </pic:spPr>
                      </pic:pic>
                    </a:graphicData>
                  </a:graphic>
                </wp:inline>
              </w:drawing>
            </w:r>
          </w:p>
        </w:tc>
      </w:tr>
    </w:tbl>
    <w:p w14:paraId="0F638ED5" w14:textId="77777777" w:rsidR="007A32F7" w:rsidRPr="00D2458C" w:rsidRDefault="007A32F7" w:rsidP="007A32F7">
      <w:pPr>
        <w:spacing w:after="200" w:line="276" w:lineRule="auto"/>
        <w:jc w:val="center"/>
        <w:rPr>
          <w:rFonts w:eastAsia="Calibri"/>
          <w:sz w:val="24"/>
          <w:szCs w:val="24"/>
        </w:rPr>
      </w:pPr>
    </w:p>
    <w:p w14:paraId="796B2890" w14:textId="77777777" w:rsidR="007A32F7" w:rsidRPr="00D2458C" w:rsidRDefault="007A32F7" w:rsidP="007A32F7">
      <w:pPr>
        <w:spacing w:after="200" w:line="276" w:lineRule="auto"/>
        <w:jc w:val="center"/>
        <w:rPr>
          <w:rFonts w:eastAsia="Calibri"/>
          <w:sz w:val="24"/>
          <w:szCs w:val="24"/>
        </w:rPr>
      </w:pPr>
    </w:p>
    <w:p w14:paraId="0EF384B3" w14:textId="77777777" w:rsidR="00753D05" w:rsidRDefault="00753D05" w:rsidP="007A32F7">
      <w:pPr>
        <w:spacing w:after="200" w:line="276" w:lineRule="auto"/>
        <w:jc w:val="right"/>
        <w:rPr>
          <w:rFonts w:eastAsia="Calibri"/>
          <w:sz w:val="24"/>
          <w:szCs w:val="24"/>
        </w:rPr>
      </w:pPr>
    </w:p>
    <w:p w14:paraId="2F368F42" w14:textId="77777777" w:rsidR="00753D05" w:rsidRDefault="00753D05" w:rsidP="007A32F7">
      <w:pPr>
        <w:spacing w:after="200" w:line="276" w:lineRule="auto"/>
        <w:jc w:val="right"/>
        <w:rPr>
          <w:rFonts w:eastAsia="Calibri"/>
          <w:sz w:val="24"/>
          <w:szCs w:val="24"/>
        </w:rPr>
      </w:pPr>
    </w:p>
    <w:p w14:paraId="5B22B4B6" w14:textId="77777777" w:rsidR="00753D05" w:rsidRDefault="00753D05" w:rsidP="007A32F7">
      <w:pPr>
        <w:spacing w:after="200" w:line="276" w:lineRule="auto"/>
        <w:jc w:val="right"/>
        <w:rPr>
          <w:rFonts w:eastAsia="Calibri"/>
          <w:sz w:val="24"/>
          <w:szCs w:val="24"/>
        </w:rPr>
      </w:pPr>
    </w:p>
    <w:p w14:paraId="5D7B8CDF" w14:textId="77777777" w:rsidR="00753D05" w:rsidRDefault="00753D05" w:rsidP="007A32F7">
      <w:pPr>
        <w:spacing w:after="200" w:line="276" w:lineRule="auto"/>
        <w:jc w:val="right"/>
        <w:rPr>
          <w:rFonts w:eastAsia="Calibri"/>
          <w:sz w:val="24"/>
          <w:szCs w:val="24"/>
        </w:rPr>
      </w:pPr>
    </w:p>
    <w:p w14:paraId="67D83049" w14:textId="77777777" w:rsidR="00753D05" w:rsidRDefault="00753D05" w:rsidP="007A32F7">
      <w:pPr>
        <w:spacing w:after="200" w:line="276" w:lineRule="auto"/>
        <w:jc w:val="right"/>
        <w:rPr>
          <w:rFonts w:eastAsia="Calibri"/>
          <w:sz w:val="24"/>
          <w:szCs w:val="24"/>
        </w:rPr>
      </w:pPr>
    </w:p>
    <w:p w14:paraId="6BC14239" w14:textId="77777777" w:rsidR="00753D05" w:rsidRDefault="00753D05" w:rsidP="007A32F7">
      <w:pPr>
        <w:spacing w:after="200" w:line="276" w:lineRule="auto"/>
        <w:jc w:val="right"/>
        <w:rPr>
          <w:rFonts w:eastAsia="Calibri"/>
          <w:sz w:val="24"/>
          <w:szCs w:val="24"/>
        </w:rPr>
      </w:pPr>
    </w:p>
    <w:p w14:paraId="70167F83" w14:textId="77777777" w:rsidR="00753D05" w:rsidRDefault="00753D05" w:rsidP="007A32F7">
      <w:pPr>
        <w:spacing w:after="200" w:line="276" w:lineRule="auto"/>
        <w:jc w:val="right"/>
        <w:rPr>
          <w:rFonts w:eastAsia="Calibri"/>
          <w:sz w:val="24"/>
          <w:szCs w:val="24"/>
        </w:rPr>
      </w:pPr>
    </w:p>
    <w:p w14:paraId="1F001C71" w14:textId="0C3A0335" w:rsidR="007A32F7" w:rsidRDefault="005F287E" w:rsidP="007A32F7">
      <w:pPr>
        <w:spacing w:after="200" w:line="276" w:lineRule="auto"/>
        <w:jc w:val="right"/>
        <w:rPr>
          <w:rFonts w:eastAsia="Calibri"/>
          <w:sz w:val="24"/>
          <w:szCs w:val="24"/>
        </w:rPr>
      </w:pPr>
      <w:r>
        <w:rPr>
          <w:rFonts w:eastAsia="Calibri"/>
          <w:sz w:val="24"/>
          <w:szCs w:val="24"/>
        </w:rPr>
        <w:t>6</w:t>
      </w:r>
      <w:r w:rsidR="007A32F7" w:rsidRPr="00D2458C">
        <w:rPr>
          <w:rFonts w:eastAsia="Calibri"/>
          <w:sz w:val="24"/>
          <w:szCs w:val="24"/>
        </w:rPr>
        <w:t xml:space="preserve">.attēls </w:t>
      </w:r>
    </w:p>
    <w:p w14:paraId="624FE5E7" w14:textId="77777777" w:rsidR="007A32F7" w:rsidRPr="00D2458C" w:rsidRDefault="007A32F7" w:rsidP="007A32F7">
      <w:pPr>
        <w:spacing w:after="200" w:line="276" w:lineRule="auto"/>
        <w:jc w:val="center"/>
        <w:rPr>
          <w:rFonts w:eastAsia="Calibri"/>
          <w:b/>
          <w:sz w:val="24"/>
          <w:szCs w:val="24"/>
        </w:rPr>
      </w:pPr>
      <w:r w:rsidRPr="00D2458C">
        <w:rPr>
          <w:rFonts w:eastAsia="Calibri"/>
          <w:sz w:val="24"/>
          <w:szCs w:val="24"/>
        </w:rPr>
        <w:t xml:space="preserve">Pirkuma darījumi ar </w:t>
      </w:r>
      <w:r w:rsidRPr="00D2458C">
        <w:rPr>
          <w:rFonts w:eastAsia="Calibri"/>
          <w:b/>
          <w:sz w:val="24"/>
          <w:szCs w:val="24"/>
        </w:rPr>
        <w:t>dzīvokļiem jaunajos projektos Rīgā</w:t>
      </w:r>
      <w:r w:rsidRPr="00D2458C">
        <w:rPr>
          <w:rFonts w:eastAsia="Calibri"/>
          <w:sz w:val="24"/>
          <w:szCs w:val="24"/>
        </w:rPr>
        <w:t>,</w:t>
      </w:r>
      <w:r w:rsidRPr="00D2458C">
        <w:rPr>
          <w:rFonts w:eastAsia="Calibri"/>
          <w:b/>
          <w:sz w:val="24"/>
          <w:szCs w:val="24"/>
        </w:rPr>
        <w:t xml:space="preserve"> </w:t>
      </w:r>
      <w:r w:rsidRPr="00D2458C">
        <w:rPr>
          <w:rFonts w:eastAsia="Calibri"/>
          <w:sz w:val="24"/>
          <w:szCs w:val="24"/>
        </w:rPr>
        <w:t>dalījumā ārvalstnieks un cita persona (skaits un %)</w:t>
      </w:r>
    </w:p>
    <w:tbl>
      <w:tblPr>
        <w:tblStyle w:val="TableGrid3"/>
        <w:tblW w:w="971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986"/>
      </w:tblGrid>
      <w:tr w:rsidR="007A32F7" w:rsidRPr="00D2458C" w14:paraId="2D5C7B80" w14:textId="77777777" w:rsidTr="00B47154">
        <w:trPr>
          <w:trHeight w:val="2684"/>
        </w:trPr>
        <w:tc>
          <w:tcPr>
            <w:tcW w:w="4926" w:type="dxa"/>
          </w:tcPr>
          <w:p w14:paraId="2E33BA5E" w14:textId="77777777" w:rsidR="007A32F7" w:rsidRPr="00D2458C" w:rsidRDefault="007A32F7" w:rsidP="00571D8C">
            <w:pPr>
              <w:jc w:val="center"/>
              <w:rPr>
                <w:sz w:val="24"/>
                <w:szCs w:val="24"/>
              </w:rPr>
            </w:pPr>
            <w:r w:rsidRPr="00D2458C">
              <w:rPr>
                <w:noProof/>
                <w:sz w:val="24"/>
                <w:szCs w:val="24"/>
                <w:lang w:val="en-GB" w:eastAsia="en-GB"/>
              </w:rPr>
              <w:drawing>
                <wp:inline distT="0" distB="0" distL="0" distR="0" wp14:anchorId="5E8377AD" wp14:editId="74930A27">
                  <wp:extent cx="3029152" cy="1820848"/>
                  <wp:effectExtent l="0" t="0" r="0" b="8255"/>
                  <wp:docPr id="8"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4911" cy="1824310"/>
                          </a:xfrm>
                          <a:prstGeom prst="rect">
                            <a:avLst/>
                          </a:prstGeom>
                          <a:noFill/>
                        </pic:spPr>
                      </pic:pic>
                    </a:graphicData>
                  </a:graphic>
                </wp:inline>
              </w:drawing>
            </w:r>
          </w:p>
        </w:tc>
        <w:tc>
          <w:tcPr>
            <w:tcW w:w="4791" w:type="dxa"/>
          </w:tcPr>
          <w:p w14:paraId="11816DC3" w14:textId="77777777" w:rsidR="007A32F7" w:rsidRPr="00D2458C" w:rsidRDefault="007A32F7" w:rsidP="00571D8C">
            <w:pPr>
              <w:jc w:val="center"/>
              <w:rPr>
                <w:sz w:val="24"/>
                <w:szCs w:val="24"/>
              </w:rPr>
            </w:pPr>
            <w:r w:rsidRPr="00D2458C">
              <w:rPr>
                <w:noProof/>
                <w:sz w:val="24"/>
                <w:szCs w:val="24"/>
                <w:lang w:val="en-GB" w:eastAsia="en-GB"/>
              </w:rPr>
              <w:drawing>
                <wp:inline distT="0" distB="0" distL="0" distR="0" wp14:anchorId="47F95FFF" wp14:editId="44E48DC8">
                  <wp:extent cx="3029154" cy="1820848"/>
                  <wp:effectExtent l="0" t="0" r="0" b="8255"/>
                  <wp:docPr id="9"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6956" cy="1837560"/>
                          </a:xfrm>
                          <a:prstGeom prst="rect">
                            <a:avLst/>
                          </a:prstGeom>
                          <a:noFill/>
                        </pic:spPr>
                      </pic:pic>
                    </a:graphicData>
                  </a:graphic>
                </wp:inline>
              </w:drawing>
            </w:r>
          </w:p>
        </w:tc>
      </w:tr>
    </w:tbl>
    <w:p w14:paraId="4FFAB70A" w14:textId="77777777" w:rsidR="007A32F7" w:rsidRPr="00D2458C" w:rsidRDefault="007A32F7" w:rsidP="007A32F7">
      <w:pPr>
        <w:ind w:left="-142" w:right="-142" w:firstLine="284"/>
        <w:rPr>
          <w:sz w:val="24"/>
          <w:szCs w:val="24"/>
        </w:rPr>
      </w:pPr>
    </w:p>
    <w:p w14:paraId="604CD6CB" w14:textId="2899C459" w:rsidR="007A32F7" w:rsidRDefault="005F287E" w:rsidP="007A32F7">
      <w:pPr>
        <w:spacing w:before="120" w:after="120" w:line="276" w:lineRule="auto"/>
        <w:jc w:val="right"/>
        <w:rPr>
          <w:rFonts w:eastAsia="Calibri"/>
          <w:sz w:val="24"/>
          <w:szCs w:val="24"/>
        </w:rPr>
      </w:pPr>
      <w:r>
        <w:rPr>
          <w:rFonts w:eastAsia="Calibri"/>
          <w:sz w:val="24"/>
          <w:szCs w:val="24"/>
        </w:rPr>
        <w:t>7</w:t>
      </w:r>
      <w:r w:rsidR="007A32F7" w:rsidRPr="00D2458C">
        <w:rPr>
          <w:rFonts w:eastAsia="Calibri"/>
          <w:sz w:val="24"/>
          <w:szCs w:val="24"/>
        </w:rPr>
        <w:t xml:space="preserve">.attēls </w:t>
      </w:r>
    </w:p>
    <w:p w14:paraId="7ED9139E" w14:textId="77777777" w:rsidR="007A32F7" w:rsidRPr="00D2458C" w:rsidRDefault="007A32F7" w:rsidP="007A32F7">
      <w:pPr>
        <w:spacing w:before="120" w:after="120" w:line="276" w:lineRule="auto"/>
        <w:jc w:val="center"/>
        <w:rPr>
          <w:rFonts w:eastAsia="Calibri"/>
          <w:sz w:val="24"/>
          <w:szCs w:val="24"/>
        </w:rPr>
      </w:pPr>
      <w:r w:rsidRPr="00D2458C">
        <w:rPr>
          <w:rFonts w:eastAsia="Calibri"/>
          <w:sz w:val="24"/>
          <w:szCs w:val="24"/>
        </w:rPr>
        <w:t xml:space="preserve">Pirkuma darījumi ar </w:t>
      </w:r>
      <w:r w:rsidRPr="00D2458C">
        <w:rPr>
          <w:rFonts w:eastAsia="Calibri"/>
          <w:b/>
          <w:sz w:val="24"/>
          <w:szCs w:val="24"/>
        </w:rPr>
        <w:t>dzīvokļiem jaunajos projektos Jūrmalā</w:t>
      </w:r>
      <w:r w:rsidRPr="00D2458C">
        <w:rPr>
          <w:rFonts w:eastAsia="Calibri"/>
          <w:sz w:val="24"/>
          <w:szCs w:val="24"/>
        </w:rPr>
        <w:t>, dalījumā ārvalstnieks un cita persona (skaits un %)</w:t>
      </w:r>
    </w:p>
    <w:tbl>
      <w:tblPr>
        <w:tblStyle w:val="TableGrid4"/>
        <w:tblW w:w="102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969"/>
      </w:tblGrid>
      <w:tr w:rsidR="007A32F7" w:rsidRPr="00D2458C" w14:paraId="58259F46" w14:textId="77777777" w:rsidTr="00571D8C">
        <w:trPr>
          <w:trHeight w:val="2915"/>
          <w:jc w:val="center"/>
        </w:trPr>
        <w:tc>
          <w:tcPr>
            <w:tcW w:w="5256" w:type="dxa"/>
          </w:tcPr>
          <w:p w14:paraId="68D2877C" w14:textId="77777777" w:rsidR="007A32F7" w:rsidRPr="00D2458C" w:rsidRDefault="007A32F7" w:rsidP="00571D8C">
            <w:pPr>
              <w:jc w:val="center"/>
              <w:rPr>
                <w:sz w:val="24"/>
                <w:szCs w:val="24"/>
              </w:rPr>
            </w:pPr>
            <w:r w:rsidRPr="00D2458C">
              <w:rPr>
                <w:noProof/>
                <w:sz w:val="24"/>
                <w:szCs w:val="24"/>
                <w:lang w:val="en-GB" w:eastAsia="en-GB"/>
              </w:rPr>
              <w:drawing>
                <wp:inline distT="0" distB="0" distL="0" distR="0" wp14:anchorId="0F200AD3" wp14:editId="5B4BF9F9">
                  <wp:extent cx="3068837" cy="1844703"/>
                  <wp:effectExtent l="0" t="0" r="0" b="3175"/>
                  <wp:docPr id="10"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80038" cy="1851436"/>
                          </a:xfrm>
                          <a:prstGeom prst="rect">
                            <a:avLst/>
                          </a:prstGeom>
                          <a:noFill/>
                        </pic:spPr>
                      </pic:pic>
                    </a:graphicData>
                  </a:graphic>
                </wp:inline>
              </w:drawing>
            </w:r>
          </w:p>
        </w:tc>
        <w:tc>
          <w:tcPr>
            <w:tcW w:w="4969" w:type="dxa"/>
          </w:tcPr>
          <w:p w14:paraId="6FA4A03F" w14:textId="77777777" w:rsidR="007A32F7" w:rsidRPr="00D2458C" w:rsidRDefault="007A32F7" w:rsidP="00571D8C">
            <w:pPr>
              <w:jc w:val="center"/>
              <w:rPr>
                <w:sz w:val="24"/>
                <w:szCs w:val="24"/>
              </w:rPr>
            </w:pPr>
            <w:r w:rsidRPr="00D2458C">
              <w:rPr>
                <w:noProof/>
                <w:sz w:val="24"/>
                <w:szCs w:val="24"/>
                <w:lang w:val="en-GB" w:eastAsia="en-GB"/>
              </w:rPr>
              <w:drawing>
                <wp:inline distT="0" distB="0" distL="0" distR="0" wp14:anchorId="0CC19D93" wp14:editId="7AC6DB41">
                  <wp:extent cx="3002697" cy="1804946"/>
                  <wp:effectExtent l="0" t="0" r="7620" b="5080"/>
                  <wp:docPr id="24"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13055" cy="1811172"/>
                          </a:xfrm>
                          <a:prstGeom prst="rect">
                            <a:avLst/>
                          </a:prstGeom>
                          <a:noFill/>
                        </pic:spPr>
                      </pic:pic>
                    </a:graphicData>
                  </a:graphic>
                </wp:inline>
              </w:drawing>
            </w:r>
          </w:p>
          <w:p w14:paraId="19A488ED" w14:textId="77777777" w:rsidR="007A32F7" w:rsidRPr="00D2458C" w:rsidRDefault="007A32F7" w:rsidP="00571D8C">
            <w:pPr>
              <w:jc w:val="center"/>
              <w:rPr>
                <w:sz w:val="24"/>
                <w:szCs w:val="24"/>
              </w:rPr>
            </w:pPr>
          </w:p>
        </w:tc>
      </w:tr>
    </w:tbl>
    <w:p w14:paraId="365C1C98" w14:textId="77777777" w:rsidR="007A32F7" w:rsidRPr="00D2458C" w:rsidRDefault="007A32F7" w:rsidP="007A32F7">
      <w:pPr>
        <w:spacing w:before="120" w:after="120" w:line="276" w:lineRule="auto"/>
        <w:rPr>
          <w:rFonts w:eastAsia="Calibri"/>
          <w:sz w:val="24"/>
          <w:szCs w:val="24"/>
        </w:rPr>
      </w:pPr>
    </w:p>
    <w:p w14:paraId="06C1B6BC" w14:textId="2E0E57BC" w:rsidR="007A32F7" w:rsidRPr="00B47154" w:rsidRDefault="005F287E" w:rsidP="007A32F7">
      <w:pPr>
        <w:spacing w:before="120" w:after="120" w:line="276" w:lineRule="auto"/>
        <w:jc w:val="right"/>
        <w:rPr>
          <w:rFonts w:eastAsia="Calibri"/>
          <w:sz w:val="26"/>
          <w:szCs w:val="26"/>
        </w:rPr>
      </w:pPr>
      <w:r w:rsidRPr="00B47154">
        <w:rPr>
          <w:rFonts w:eastAsia="Calibri"/>
          <w:sz w:val="26"/>
          <w:szCs w:val="26"/>
        </w:rPr>
        <w:t>8</w:t>
      </w:r>
      <w:r w:rsidR="007A32F7" w:rsidRPr="00B47154">
        <w:rPr>
          <w:rFonts w:eastAsia="Calibri"/>
          <w:sz w:val="26"/>
          <w:szCs w:val="26"/>
        </w:rPr>
        <w:t>.attēls</w:t>
      </w:r>
    </w:p>
    <w:p w14:paraId="508BF0A9" w14:textId="77777777" w:rsidR="007A32F7" w:rsidRPr="00B47154" w:rsidRDefault="007A32F7" w:rsidP="007A32F7">
      <w:pPr>
        <w:spacing w:before="120" w:after="120" w:line="276" w:lineRule="auto"/>
        <w:jc w:val="center"/>
        <w:rPr>
          <w:rFonts w:eastAsia="Calibri"/>
          <w:sz w:val="26"/>
          <w:szCs w:val="26"/>
        </w:rPr>
      </w:pPr>
      <w:r w:rsidRPr="00B47154">
        <w:rPr>
          <w:rFonts w:eastAsia="Calibri"/>
          <w:sz w:val="26"/>
          <w:szCs w:val="26"/>
        </w:rPr>
        <w:t xml:space="preserve"> Pirkuma darījumi ar </w:t>
      </w:r>
      <w:r w:rsidRPr="00B47154">
        <w:rPr>
          <w:rFonts w:eastAsia="Calibri"/>
          <w:b/>
          <w:sz w:val="26"/>
          <w:szCs w:val="26"/>
        </w:rPr>
        <w:t>dzīvokļiem jaunajos projektos Rīgā</w:t>
      </w:r>
      <w:r w:rsidRPr="00B47154">
        <w:rPr>
          <w:rFonts w:eastAsia="Calibri"/>
          <w:sz w:val="26"/>
          <w:szCs w:val="26"/>
        </w:rPr>
        <w:t>, dalījumā ārvalstnieks, kurš ieguvis TUA un cita persona (%)</w:t>
      </w:r>
    </w:p>
    <w:p w14:paraId="239C5D3C" w14:textId="77777777" w:rsidR="007A32F7" w:rsidRPr="00D2458C" w:rsidRDefault="007A32F7" w:rsidP="007A32F7">
      <w:pPr>
        <w:ind w:left="-142" w:right="-142" w:firstLine="284"/>
        <w:jc w:val="center"/>
        <w:rPr>
          <w:sz w:val="24"/>
          <w:szCs w:val="24"/>
        </w:rPr>
      </w:pPr>
      <w:r w:rsidRPr="00D2458C">
        <w:rPr>
          <w:rFonts w:eastAsia="Calibri"/>
          <w:noProof/>
          <w:sz w:val="24"/>
          <w:szCs w:val="24"/>
          <w:lang w:val="en-GB" w:eastAsia="en-GB"/>
        </w:rPr>
        <w:drawing>
          <wp:inline distT="0" distB="0" distL="0" distR="0" wp14:anchorId="39D63810" wp14:editId="6A318392">
            <wp:extent cx="3617843" cy="2174714"/>
            <wp:effectExtent l="0" t="0" r="1905" b="0"/>
            <wp:docPr id="12"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0204" cy="2182144"/>
                    </a:xfrm>
                    <a:prstGeom prst="rect">
                      <a:avLst/>
                    </a:prstGeom>
                    <a:noFill/>
                  </pic:spPr>
                </pic:pic>
              </a:graphicData>
            </a:graphic>
          </wp:inline>
        </w:drawing>
      </w:r>
    </w:p>
    <w:p w14:paraId="40B19878" w14:textId="77777777" w:rsidR="007A32F7" w:rsidRPr="00D2458C" w:rsidRDefault="007A32F7" w:rsidP="007A32F7">
      <w:pPr>
        <w:ind w:left="-142" w:right="-142" w:firstLine="284"/>
        <w:rPr>
          <w:sz w:val="24"/>
          <w:szCs w:val="24"/>
        </w:rPr>
      </w:pPr>
    </w:p>
    <w:p w14:paraId="78330CFB" w14:textId="77777777" w:rsidR="007A32F7" w:rsidRPr="00D2458C" w:rsidRDefault="007A32F7" w:rsidP="007A32F7">
      <w:pPr>
        <w:spacing w:before="120" w:after="120" w:line="276" w:lineRule="auto"/>
        <w:jc w:val="center"/>
        <w:rPr>
          <w:rFonts w:eastAsia="Calibri"/>
          <w:sz w:val="24"/>
          <w:szCs w:val="24"/>
        </w:rPr>
      </w:pPr>
    </w:p>
    <w:p w14:paraId="5985EDC5" w14:textId="7748931F" w:rsidR="007A32F7" w:rsidRPr="00B47154" w:rsidRDefault="005F287E" w:rsidP="007A32F7">
      <w:pPr>
        <w:spacing w:before="120" w:after="120" w:line="276" w:lineRule="auto"/>
        <w:jc w:val="right"/>
        <w:rPr>
          <w:rFonts w:eastAsia="Calibri"/>
          <w:sz w:val="26"/>
          <w:szCs w:val="26"/>
        </w:rPr>
      </w:pPr>
      <w:r w:rsidRPr="00B47154">
        <w:rPr>
          <w:rFonts w:eastAsia="Calibri"/>
          <w:sz w:val="26"/>
          <w:szCs w:val="26"/>
        </w:rPr>
        <w:t>9</w:t>
      </w:r>
      <w:r w:rsidR="007A32F7" w:rsidRPr="00B47154">
        <w:rPr>
          <w:rFonts w:eastAsia="Calibri"/>
          <w:sz w:val="26"/>
          <w:szCs w:val="26"/>
        </w:rPr>
        <w:t xml:space="preserve">.attēls </w:t>
      </w:r>
    </w:p>
    <w:p w14:paraId="01FF90B0" w14:textId="77777777" w:rsidR="007A32F7" w:rsidRPr="00B47154" w:rsidRDefault="007A32F7" w:rsidP="007A32F7">
      <w:pPr>
        <w:spacing w:before="120" w:after="120" w:line="276" w:lineRule="auto"/>
        <w:jc w:val="center"/>
        <w:rPr>
          <w:rFonts w:eastAsia="Calibri"/>
          <w:sz w:val="26"/>
          <w:szCs w:val="26"/>
        </w:rPr>
      </w:pPr>
      <w:r w:rsidRPr="00B47154">
        <w:rPr>
          <w:rFonts w:eastAsia="Calibri"/>
          <w:sz w:val="26"/>
          <w:szCs w:val="26"/>
        </w:rPr>
        <w:t xml:space="preserve">Pirkuma darījumi ar </w:t>
      </w:r>
      <w:r w:rsidRPr="00B47154">
        <w:rPr>
          <w:rFonts w:eastAsia="Calibri"/>
          <w:b/>
          <w:sz w:val="26"/>
          <w:szCs w:val="26"/>
        </w:rPr>
        <w:t>dzīvokļiem jaunajos projektos Jūrmalā</w:t>
      </w:r>
      <w:r w:rsidRPr="00B47154">
        <w:rPr>
          <w:rFonts w:eastAsia="Calibri"/>
          <w:sz w:val="26"/>
          <w:szCs w:val="26"/>
        </w:rPr>
        <w:t>, dalījumā ārvalstnieks, kurš ieguvis TUA un cita persona (%)</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A32F7" w:rsidRPr="00D2458C" w14:paraId="7204E31B" w14:textId="77777777" w:rsidTr="00571D8C">
        <w:tc>
          <w:tcPr>
            <w:tcW w:w="9570" w:type="dxa"/>
          </w:tcPr>
          <w:p w14:paraId="445E558D" w14:textId="77777777" w:rsidR="007A32F7" w:rsidRPr="00D2458C" w:rsidRDefault="007A32F7" w:rsidP="00571D8C">
            <w:pPr>
              <w:spacing w:before="120" w:after="120"/>
              <w:jc w:val="center"/>
              <w:rPr>
                <w:sz w:val="24"/>
                <w:szCs w:val="24"/>
              </w:rPr>
            </w:pPr>
            <w:r w:rsidRPr="00D2458C">
              <w:rPr>
                <w:noProof/>
                <w:sz w:val="24"/>
                <w:szCs w:val="24"/>
                <w:lang w:val="en-GB" w:eastAsia="en-GB"/>
              </w:rPr>
              <w:drawing>
                <wp:inline distT="0" distB="0" distL="0" distR="0" wp14:anchorId="08915601" wp14:editId="4A9D0F4C">
                  <wp:extent cx="3296531" cy="1981571"/>
                  <wp:effectExtent l="0" t="0" r="0" b="0"/>
                  <wp:docPr id="13"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12707" cy="1991294"/>
                          </a:xfrm>
                          <a:prstGeom prst="rect">
                            <a:avLst/>
                          </a:prstGeom>
                          <a:noFill/>
                        </pic:spPr>
                      </pic:pic>
                    </a:graphicData>
                  </a:graphic>
                </wp:inline>
              </w:drawing>
            </w:r>
          </w:p>
        </w:tc>
      </w:tr>
    </w:tbl>
    <w:p w14:paraId="40896E55" w14:textId="77777777" w:rsidR="007A32F7" w:rsidRPr="00D2458C" w:rsidRDefault="007A32F7" w:rsidP="007A32F7">
      <w:pPr>
        <w:ind w:left="-142" w:right="-142" w:firstLine="284"/>
        <w:rPr>
          <w:sz w:val="24"/>
          <w:szCs w:val="24"/>
        </w:rPr>
      </w:pPr>
    </w:p>
    <w:p w14:paraId="735A7F87" w14:textId="36410592" w:rsidR="007A32F7" w:rsidRPr="00B47154" w:rsidRDefault="005F287E" w:rsidP="007A32F7">
      <w:pPr>
        <w:spacing w:before="120" w:line="276" w:lineRule="auto"/>
        <w:jc w:val="right"/>
        <w:rPr>
          <w:rFonts w:eastAsia="Calibri"/>
          <w:sz w:val="26"/>
          <w:szCs w:val="26"/>
        </w:rPr>
      </w:pPr>
      <w:r w:rsidRPr="00B47154">
        <w:rPr>
          <w:rFonts w:eastAsia="Calibri"/>
          <w:sz w:val="26"/>
          <w:szCs w:val="26"/>
        </w:rPr>
        <w:t>10</w:t>
      </w:r>
      <w:r w:rsidR="007A32F7" w:rsidRPr="00B47154">
        <w:rPr>
          <w:rFonts w:eastAsia="Calibri"/>
          <w:sz w:val="26"/>
          <w:szCs w:val="26"/>
        </w:rPr>
        <w:t xml:space="preserve">.attēls </w:t>
      </w:r>
    </w:p>
    <w:p w14:paraId="71DB5746" w14:textId="77777777" w:rsidR="007A32F7" w:rsidRPr="00B47154" w:rsidRDefault="007A32F7" w:rsidP="007A32F7">
      <w:pPr>
        <w:spacing w:before="120" w:line="276" w:lineRule="auto"/>
        <w:jc w:val="center"/>
        <w:rPr>
          <w:rFonts w:eastAsia="Calibri"/>
          <w:sz w:val="26"/>
          <w:szCs w:val="26"/>
        </w:rPr>
      </w:pPr>
      <w:r w:rsidRPr="00B47154">
        <w:rPr>
          <w:rFonts w:eastAsia="Calibri"/>
          <w:sz w:val="26"/>
          <w:szCs w:val="26"/>
        </w:rPr>
        <w:t xml:space="preserve">Pirkuma darījumi ar </w:t>
      </w:r>
      <w:r w:rsidRPr="00B47154">
        <w:rPr>
          <w:rFonts w:eastAsia="Calibri"/>
          <w:b/>
          <w:sz w:val="26"/>
          <w:szCs w:val="26"/>
        </w:rPr>
        <w:t>savrupmājām Latvijā</w:t>
      </w:r>
      <w:r w:rsidRPr="00B47154">
        <w:rPr>
          <w:rFonts w:eastAsia="Calibri"/>
          <w:sz w:val="26"/>
          <w:szCs w:val="26"/>
        </w:rPr>
        <w:t xml:space="preserve">, dalījumā ārvalstnieks un cita persona </w:t>
      </w:r>
    </w:p>
    <w:p w14:paraId="06B014BD" w14:textId="77777777" w:rsidR="007A32F7" w:rsidRPr="00B47154" w:rsidRDefault="007A32F7" w:rsidP="007A32F7">
      <w:pPr>
        <w:spacing w:after="120" w:line="276" w:lineRule="auto"/>
        <w:jc w:val="center"/>
        <w:rPr>
          <w:rFonts w:eastAsia="Calibri"/>
          <w:sz w:val="26"/>
          <w:szCs w:val="26"/>
        </w:rPr>
      </w:pPr>
      <w:r w:rsidRPr="00B47154">
        <w:rPr>
          <w:rFonts w:eastAsia="Calibri"/>
          <w:sz w:val="26"/>
          <w:szCs w:val="26"/>
        </w:rPr>
        <w:t xml:space="preserve">(skaits un %) </w:t>
      </w:r>
    </w:p>
    <w:p w14:paraId="2C185753" w14:textId="77777777" w:rsidR="007A32F7" w:rsidRDefault="007A32F7" w:rsidP="007A32F7">
      <w:pPr>
        <w:spacing w:after="120" w:line="276" w:lineRule="auto"/>
        <w:jc w:val="center"/>
        <w:rPr>
          <w:rFonts w:eastAsia="Calibri"/>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245"/>
      </w:tblGrid>
      <w:tr w:rsidR="007A32F7" w14:paraId="2FE229F9" w14:textId="77777777" w:rsidTr="00571D8C">
        <w:tc>
          <w:tcPr>
            <w:tcW w:w="4644" w:type="dxa"/>
          </w:tcPr>
          <w:p w14:paraId="3CDADBA0" w14:textId="77777777" w:rsidR="007A32F7" w:rsidRDefault="007A32F7" w:rsidP="00571D8C">
            <w:pPr>
              <w:spacing w:after="120" w:line="276" w:lineRule="auto"/>
              <w:jc w:val="center"/>
              <w:rPr>
                <w:rFonts w:eastAsia="Calibri"/>
                <w:szCs w:val="24"/>
              </w:rPr>
            </w:pPr>
            <w:r>
              <w:rPr>
                <w:rFonts w:eastAsia="Calibri"/>
                <w:noProof/>
                <w:szCs w:val="24"/>
                <w:lang w:val="en-GB" w:eastAsia="en-GB"/>
              </w:rPr>
              <w:drawing>
                <wp:inline distT="0" distB="0" distL="0" distR="0" wp14:anchorId="0660B386" wp14:editId="46D3D826">
                  <wp:extent cx="2758886" cy="19431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8870" cy="1950132"/>
                          </a:xfrm>
                          <a:prstGeom prst="rect">
                            <a:avLst/>
                          </a:prstGeom>
                          <a:noFill/>
                        </pic:spPr>
                      </pic:pic>
                    </a:graphicData>
                  </a:graphic>
                </wp:inline>
              </w:drawing>
            </w:r>
          </w:p>
        </w:tc>
        <w:tc>
          <w:tcPr>
            <w:tcW w:w="5245" w:type="dxa"/>
          </w:tcPr>
          <w:p w14:paraId="3328661D" w14:textId="77777777" w:rsidR="007A32F7" w:rsidRDefault="007A32F7" w:rsidP="00571D8C">
            <w:pPr>
              <w:spacing w:after="120" w:line="276" w:lineRule="auto"/>
              <w:jc w:val="center"/>
              <w:rPr>
                <w:rFonts w:eastAsia="Calibri"/>
                <w:szCs w:val="24"/>
              </w:rPr>
            </w:pPr>
            <w:r>
              <w:rPr>
                <w:rFonts w:eastAsia="Calibri"/>
                <w:noProof/>
                <w:szCs w:val="24"/>
                <w:lang w:val="en-GB" w:eastAsia="en-GB"/>
              </w:rPr>
              <w:drawing>
                <wp:inline distT="0" distB="0" distL="0" distR="0" wp14:anchorId="4817F3AF" wp14:editId="59EC5E29">
                  <wp:extent cx="2702378" cy="194310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8948" cy="1947824"/>
                          </a:xfrm>
                          <a:prstGeom prst="rect">
                            <a:avLst/>
                          </a:prstGeom>
                          <a:noFill/>
                        </pic:spPr>
                      </pic:pic>
                    </a:graphicData>
                  </a:graphic>
                </wp:inline>
              </w:drawing>
            </w:r>
          </w:p>
        </w:tc>
      </w:tr>
    </w:tbl>
    <w:p w14:paraId="1270FB38" w14:textId="77777777" w:rsidR="007A32F7" w:rsidRPr="00D2458C" w:rsidRDefault="007A32F7" w:rsidP="007A32F7">
      <w:pPr>
        <w:spacing w:after="120" w:line="276" w:lineRule="auto"/>
        <w:jc w:val="center"/>
        <w:rPr>
          <w:rFonts w:eastAsia="Calibri"/>
          <w:sz w:val="24"/>
          <w:szCs w:val="24"/>
        </w:rPr>
      </w:pPr>
    </w:p>
    <w:p w14:paraId="13624AF2" w14:textId="77777777" w:rsidR="007A32F7" w:rsidRPr="00D2458C" w:rsidRDefault="007A32F7" w:rsidP="007A32F7">
      <w:pPr>
        <w:spacing w:after="200" w:line="276" w:lineRule="auto"/>
        <w:rPr>
          <w:rFonts w:eastAsia="Calibri"/>
          <w:sz w:val="24"/>
          <w:szCs w:val="24"/>
        </w:rPr>
      </w:pPr>
    </w:p>
    <w:p w14:paraId="2A26B9B4" w14:textId="77777777" w:rsidR="00753D05" w:rsidRDefault="00753D05" w:rsidP="007A32F7">
      <w:pPr>
        <w:spacing w:after="200" w:line="276" w:lineRule="auto"/>
        <w:jc w:val="right"/>
        <w:rPr>
          <w:rFonts w:eastAsia="Calibri"/>
          <w:sz w:val="26"/>
          <w:szCs w:val="26"/>
        </w:rPr>
      </w:pPr>
    </w:p>
    <w:p w14:paraId="2AAF04A2" w14:textId="77777777" w:rsidR="00753D05" w:rsidRDefault="00753D05" w:rsidP="007A32F7">
      <w:pPr>
        <w:spacing w:after="200" w:line="276" w:lineRule="auto"/>
        <w:jc w:val="right"/>
        <w:rPr>
          <w:rFonts w:eastAsia="Calibri"/>
          <w:sz w:val="26"/>
          <w:szCs w:val="26"/>
        </w:rPr>
      </w:pPr>
    </w:p>
    <w:p w14:paraId="17519751" w14:textId="77777777" w:rsidR="00753D05" w:rsidRDefault="00753D05" w:rsidP="007A32F7">
      <w:pPr>
        <w:spacing w:after="200" w:line="276" w:lineRule="auto"/>
        <w:jc w:val="right"/>
        <w:rPr>
          <w:rFonts w:eastAsia="Calibri"/>
          <w:sz w:val="26"/>
          <w:szCs w:val="26"/>
        </w:rPr>
      </w:pPr>
    </w:p>
    <w:p w14:paraId="3026B773" w14:textId="77777777" w:rsidR="00753D05" w:rsidRDefault="00753D05" w:rsidP="007A32F7">
      <w:pPr>
        <w:spacing w:after="200" w:line="276" w:lineRule="auto"/>
        <w:jc w:val="right"/>
        <w:rPr>
          <w:rFonts w:eastAsia="Calibri"/>
          <w:sz w:val="26"/>
          <w:szCs w:val="26"/>
        </w:rPr>
      </w:pPr>
    </w:p>
    <w:p w14:paraId="58587305" w14:textId="77777777" w:rsidR="00753D05" w:rsidRDefault="00753D05" w:rsidP="007A32F7">
      <w:pPr>
        <w:spacing w:after="200" w:line="276" w:lineRule="auto"/>
        <w:jc w:val="right"/>
        <w:rPr>
          <w:rFonts w:eastAsia="Calibri"/>
          <w:sz w:val="26"/>
          <w:szCs w:val="26"/>
        </w:rPr>
      </w:pPr>
    </w:p>
    <w:p w14:paraId="3CE1D0D9" w14:textId="777F8EDF" w:rsidR="007A32F7" w:rsidRPr="00B47154" w:rsidRDefault="005F287E" w:rsidP="007A32F7">
      <w:pPr>
        <w:spacing w:after="200" w:line="276" w:lineRule="auto"/>
        <w:jc w:val="right"/>
        <w:rPr>
          <w:rFonts w:eastAsia="Calibri"/>
          <w:sz w:val="26"/>
          <w:szCs w:val="26"/>
        </w:rPr>
      </w:pPr>
      <w:r w:rsidRPr="00B47154">
        <w:rPr>
          <w:rFonts w:eastAsia="Calibri"/>
          <w:sz w:val="26"/>
          <w:szCs w:val="26"/>
        </w:rPr>
        <w:t>11</w:t>
      </w:r>
      <w:r w:rsidR="007A32F7" w:rsidRPr="00B47154">
        <w:rPr>
          <w:rFonts w:eastAsia="Calibri"/>
          <w:sz w:val="26"/>
          <w:szCs w:val="26"/>
        </w:rPr>
        <w:t xml:space="preserve">.attēls </w:t>
      </w:r>
    </w:p>
    <w:p w14:paraId="3E15F1BE" w14:textId="77777777" w:rsidR="007A32F7" w:rsidRPr="00B47154" w:rsidRDefault="007A32F7" w:rsidP="007A32F7">
      <w:pPr>
        <w:spacing w:after="200" w:line="276" w:lineRule="auto"/>
        <w:jc w:val="center"/>
        <w:rPr>
          <w:rFonts w:eastAsia="Calibri"/>
          <w:sz w:val="26"/>
          <w:szCs w:val="26"/>
        </w:rPr>
      </w:pPr>
      <w:r w:rsidRPr="00B47154">
        <w:rPr>
          <w:rFonts w:eastAsia="Calibri"/>
          <w:sz w:val="26"/>
          <w:szCs w:val="26"/>
        </w:rPr>
        <w:t xml:space="preserve">Pirkuma darījumi ar </w:t>
      </w:r>
      <w:r w:rsidRPr="00B47154">
        <w:rPr>
          <w:rFonts w:eastAsia="Calibri"/>
          <w:b/>
          <w:sz w:val="26"/>
          <w:szCs w:val="26"/>
        </w:rPr>
        <w:t>savrupmājām Jūrmalā</w:t>
      </w:r>
      <w:r w:rsidRPr="00B47154">
        <w:rPr>
          <w:rFonts w:eastAsia="Calibri"/>
          <w:sz w:val="26"/>
          <w:szCs w:val="26"/>
        </w:rPr>
        <w:t xml:space="preserve">, dalījumā ārvalstnieks, kurš ieguvis TUA un cita persona (skaits) </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7A32F7" w:rsidRPr="00D2458C" w14:paraId="5DDCE370" w14:textId="77777777" w:rsidTr="00571D8C">
        <w:tc>
          <w:tcPr>
            <w:tcW w:w="9570" w:type="dxa"/>
          </w:tcPr>
          <w:p w14:paraId="6AE7E8DA" w14:textId="77777777" w:rsidR="007A32F7" w:rsidRPr="00D2458C" w:rsidRDefault="007A32F7" w:rsidP="00571D8C">
            <w:pPr>
              <w:jc w:val="center"/>
              <w:rPr>
                <w:sz w:val="24"/>
                <w:szCs w:val="24"/>
              </w:rPr>
            </w:pPr>
            <w:r w:rsidRPr="00D2458C">
              <w:rPr>
                <w:noProof/>
                <w:sz w:val="24"/>
                <w:szCs w:val="24"/>
                <w:lang w:val="en-GB" w:eastAsia="en-GB"/>
              </w:rPr>
              <w:drawing>
                <wp:inline distT="0" distB="0" distL="0" distR="0" wp14:anchorId="5BE51FB6" wp14:editId="7FFE7AA1">
                  <wp:extent cx="3735065" cy="2245178"/>
                  <wp:effectExtent l="0" t="0" r="0" b="3175"/>
                  <wp:docPr id="16"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7452" cy="2252624"/>
                          </a:xfrm>
                          <a:prstGeom prst="rect">
                            <a:avLst/>
                          </a:prstGeom>
                          <a:noFill/>
                        </pic:spPr>
                      </pic:pic>
                    </a:graphicData>
                  </a:graphic>
                </wp:inline>
              </w:drawing>
            </w:r>
          </w:p>
        </w:tc>
      </w:tr>
    </w:tbl>
    <w:p w14:paraId="7E0E1D6B" w14:textId="77777777" w:rsidR="007A32F7" w:rsidRDefault="007A32F7" w:rsidP="007A32F7">
      <w:pPr>
        <w:ind w:left="-142" w:right="-142" w:firstLine="284"/>
        <w:rPr>
          <w:sz w:val="24"/>
          <w:szCs w:val="24"/>
        </w:rPr>
      </w:pPr>
    </w:p>
    <w:p w14:paraId="7E8B9AFD" w14:textId="7399033C" w:rsidR="007A32F7" w:rsidRPr="00B47154" w:rsidRDefault="005F287E" w:rsidP="007A32F7">
      <w:pPr>
        <w:spacing w:after="200" w:line="276" w:lineRule="auto"/>
        <w:jc w:val="right"/>
        <w:rPr>
          <w:rFonts w:eastAsia="Calibri"/>
          <w:sz w:val="26"/>
          <w:szCs w:val="26"/>
        </w:rPr>
      </w:pPr>
      <w:r w:rsidRPr="00B47154">
        <w:rPr>
          <w:rFonts w:eastAsia="Calibri"/>
          <w:sz w:val="26"/>
          <w:szCs w:val="26"/>
        </w:rPr>
        <w:t>12</w:t>
      </w:r>
      <w:r w:rsidR="007A32F7" w:rsidRPr="00B47154">
        <w:rPr>
          <w:rFonts w:eastAsia="Calibri"/>
          <w:sz w:val="26"/>
          <w:szCs w:val="26"/>
        </w:rPr>
        <w:t xml:space="preserve">.attēls </w:t>
      </w:r>
    </w:p>
    <w:p w14:paraId="4CC5C555" w14:textId="77777777" w:rsidR="007A32F7" w:rsidRPr="00B47154" w:rsidRDefault="007A32F7" w:rsidP="007A32F7">
      <w:pPr>
        <w:spacing w:after="200" w:line="276" w:lineRule="auto"/>
        <w:jc w:val="center"/>
        <w:rPr>
          <w:rFonts w:eastAsia="Calibri"/>
          <w:sz w:val="26"/>
          <w:szCs w:val="26"/>
        </w:rPr>
      </w:pPr>
      <w:r w:rsidRPr="00B47154">
        <w:rPr>
          <w:rFonts w:eastAsia="Calibri"/>
          <w:sz w:val="26"/>
          <w:szCs w:val="26"/>
        </w:rPr>
        <w:t>Pirkuma darījumu skaita un kopējās darījuma summas izmaiņas valstī laika periodā no 2011.gada – 2018.gada 1.pusgadam</w:t>
      </w:r>
    </w:p>
    <w:p w14:paraId="5A303D99" w14:textId="77777777" w:rsidR="007A32F7" w:rsidRPr="00D2458C" w:rsidRDefault="007A32F7" w:rsidP="007A32F7">
      <w:pPr>
        <w:spacing w:before="120"/>
        <w:ind w:left="-142" w:right="-142" w:firstLine="284"/>
        <w:jc w:val="center"/>
        <w:rPr>
          <w:sz w:val="24"/>
          <w:szCs w:val="24"/>
        </w:rPr>
      </w:pPr>
      <w:r>
        <w:rPr>
          <w:noProof/>
          <w:sz w:val="24"/>
          <w:szCs w:val="24"/>
          <w:lang w:val="en-GB" w:eastAsia="en-GB"/>
        </w:rPr>
        <w:drawing>
          <wp:inline distT="0" distB="0" distL="0" distR="0" wp14:anchorId="60B379CF" wp14:editId="6054D5D6">
            <wp:extent cx="3829050" cy="307607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37754" cy="3083066"/>
                    </a:xfrm>
                    <a:prstGeom prst="rect">
                      <a:avLst/>
                    </a:prstGeom>
                    <a:noFill/>
                  </pic:spPr>
                </pic:pic>
              </a:graphicData>
            </a:graphic>
          </wp:inline>
        </w:drawing>
      </w:r>
    </w:p>
    <w:p w14:paraId="07B7E9C2" w14:textId="77777777" w:rsidR="007A32F7" w:rsidRDefault="007A32F7" w:rsidP="007A32F7">
      <w:pPr>
        <w:spacing w:before="120"/>
        <w:ind w:left="-142" w:right="-142" w:firstLine="284"/>
        <w:rPr>
          <w:sz w:val="24"/>
          <w:szCs w:val="24"/>
        </w:rPr>
      </w:pPr>
    </w:p>
    <w:p w14:paraId="358F5C6B" w14:textId="77777777" w:rsidR="008E3AA1" w:rsidRDefault="008E3AA1" w:rsidP="008E3AA1">
      <w:pPr>
        <w:jc w:val="both"/>
        <w:rPr>
          <w:sz w:val="26"/>
          <w:szCs w:val="26"/>
        </w:rPr>
      </w:pPr>
    </w:p>
    <w:p w14:paraId="57D93D67" w14:textId="77777777" w:rsidR="008E3AA1" w:rsidRPr="006F2D3C" w:rsidRDefault="006F2D3C" w:rsidP="008E3AA1">
      <w:pPr>
        <w:jc w:val="both"/>
        <w:rPr>
          <w:sz w:val="24"/>
          <w:szCs w:val="24"/>
        </w:rPr>
      </w:pPr>
      <w:r w:rsidRPr="006F2D3C">
        <w:rPr>
          <w:sz w:val="24"/>
          <w:szCs w:val="24"/>
        </w:rPr>
        <w:t xml:space="preserve">Avots: </w:t>
      </w:r>
      <w:r w:rsidRPr="006F2D3C">
        <w:rPr>
          <w:i/>
          <w:sz w:val="24"/>
          <w:szCs w:val="24"/>
        </w:rPr>
        <w:t>Valsts zemes dienests</w:t>
      </w:r>
    </w:p>
    <w:p w14:paraId="44156BAA" w14:textId="77777777" w:rsidR="008E3AA1" w:rsidRDefault="008E3AA1" w:rsidP="00E50E6F">
      <w:pPr>
        <w:jc w:val="both"/>
        <w:rPr>
          <w:sz w:val="26"/>
          <w:szCs w:val="26"/>
        </w:rPr>
      </w:pPr>
    </w:p>
    <w:p w14:paraId="54416227" w14:textId="77777777" w:rsidR="00753D05" w:rsidRDefault="00753D05" w:rsidP="00E50E6F">
      <w:pPr>
        <w:jc w:val="both"/>
        <w:rPr>
          <w:sz w:val="26"/>
          <w:szCs w:val="26"/>
        </w:rPr>
      </w:pPr>
    </w:p>
    <w:p w14:paraId="6B5F5C1D" w14:textId="77777777" w:rsidR="00753D05" w:rsidRDefault="00753D05" w:rsidP="00E50E6F">
      <w:pPr>
        <w:jc w:val="both"/>
        <w:rPr>
          <w:sz w:val="26"/>
          <w:szCs w:val="26"/>
        </w:rPr>
      </w:pPr>
    </w:p>
    <w:p w14:paraId="445DBE98" w14:textId="77777777" w:rsidR="00753D05" w:rsidRDefault="00753D05" w:rsidP="00E50E6F">
      <w:pPr>
        <w:jc w:val="both"/>
        <w:rPr>
          <w:sz w:val="26"/>
          <w:szCs w:val="26"/>
        </w:rPr>
      </w:pPr>
    </w:p>
    <w:p w14:paraId="04D02B08" w14:textId="77777777" w:rsidR="008E3AA1" w:rsidRDefault="008E3AA1" w:rsidP="00E50E6F">
      <w:pPr>
        <w:jc w:val="both"/>
        <w:rPr>
          <w:sz w:val="26"/>
          <w:szCs w:val="26"/>
        </w:rPr>
      </w:pPr>
    </w:p>
    <w:p w14:paraId="410F9651" w14:textId="77777777" w:rsidR="007A32F7" w:rsidRDefault="007A32F7" w:rsidP="007A32F7">
      <w:pPr>
        <w:jc w:val="center"/>
        <w:rPr>
          <w:b/>
          <w:sz w:val="26"/>
          <w:szCs w:val="26"/>
        </w:rPr>
      </w:pPr>
      <w:r w:rsidRPr="007A32F7">
        <w:rPr>
          <w:b/>
          <w:sz w:val="26"/>
          <w:szCs w:val="26"/>
        </w:rPr>
        <w:t xml:space="preserve">ALTUM viedoklis par ārzemnieku veiktajiem darījumiem </w:t>
      </w:r>
    </w:p>
    <w:p w14:paraId="0E06750D" w14:textId="77777777" w:rsidR="008E3AA1" w:rsidRPr="007A32F7" w:rsidRDefault="007A32F7" w:rsidP="007A32F7">
      <w:pPr>
        <w:jc w:val="center"/>
        <w:rPr>
          <w:b/>
          <w:sz w:val="26"/>
          <w:szCs w:val="26"/>
        </w:rPr>
      </w:pPr>
      <w:r w:rsidRPr="007A32F7">
        <w:rPr>
          <w:b/>
          <w:sz w:val="26"/>
          <w:szCs w:val="26"/>
        </w:rPr>
        <w:t>nekustamo īpašumu tirgū</w:t>
      </w:r>
    </w:p>
    <w:p w14:paraId="28C51C1C" w14:textId="77777777" w:rsidR="007A32F7" w:rsidRPr="007A32F7" w:rsidRDefault="007A32F7" w:rsidP="007A32F7">
      <w:pPr>
        <w:jc w:val="center"/>
        <w:rPr>
          <w:b/>
          <w:sz w:val="26"/>
          <w:szCs w:val="26"/>
        </w:rPr>
      </w:pPr>
    </w:p>
    <w:p w14:paraId="2CD43457" w14:textId="77777777" w:rsidR="007A32F7" w:rsidRPr="00F21EDC" w:rsidRDefault="007A32F7" w:rsidP="007A32F7">
      <w:pPr>
        <w:spacing w:after="120"/>
        <w:ind w:firstLine="567"/>
        <w:jc w:val="both"/>
        <w:rPr>
          <w:sz w:val="26"/>
          <w:szCs w:val="26"/>
        </w:rPr>
      </w:pPr>
      <w:r w:rsidRPr="00F21EDC">
        <w:rPr>
          <w:sz w:val="26"/>
          <w:szCs w:val="26"/>
        </w:rPr>
        <w:t>Saskaņā ar ALTUM sniegto informāciju,</w:t>
      </w:r>
      <w:r w:rsidRPr="00F21EDC">
        <w:t xml:space="preserve"> </w:t>
      </w:r>
      <w:r w:rsidRPr="00F21EDC">
        <w:rPr>
          <w:sz w:val="26"/>
          <w:szCs w:val="26"/>
        </w:rPr>
        <w:t>ar investīciju piesaistes programmu saistītie tiešie ieguldījumi ALTUM īstenoto Mājokļu ga</w:t>
      </w:r>
      <w:r>
        <w:rPr>
          <w:sz w:val="26"/>
          <w:szCs w:val="26"/>
        </w:rPr>
        <w:t xml:space="preserve">rantiju </w:t>
      </w:r>
      <w:r w:rsidRPr="00F21EDC">
        <w:rPr>
          <w:sz w:val="26"/>
          <w:szCs w:val="26"/>
        </w:rPr>
        <w:t>programmu skāruši minimāli. Pirmkārt, atbilstoši programmas nosacījumiem uz mājokļu ga</w:t>
      </w:r>
      <w:r>
        <w:rPr>
          <w:sz w:val="26"/>
          <w:szCs w:val="26"/>
        </w:rPr>
        <w:t>rantijām ģimenēm ar bērniem</w:t>
      </w:r>
      <w:r w:rsidRPr="00F21EDC">
        <w:rPr>
          <w:sz w:val="26"/>
          <w:szCs w:val="26"/>
        </w:rPr>
        <w:t xml:space="preserve"> var pretendēt tikai Latvijas rezidenti. Tādējādi TUA ieguvēji nevar būt Mājokļu ga</w:t>
      </w:r>
      <w:r>
        <w:rPr>
          <w:sz w:val="26"/>
          <w:szCs w:val="26"/>
        </w:rPr>
        <w:t xml:space="preserve">rantiju </w:t>
      </w:r>
      <w:r w:rsidRPr="00F21EDC">
        <w:rPr>
          <w:sz w:val="26"/>
          <w:szCs w:val="26"/>
        </w:rPr>
        <w:t xml:space="preserve"> programmas </w:t>
      </w:r>
      <w:r>
        <w:rPr>
          <w:sz w:val="26"/>
          <w:szCs w:val="26"/>
        </w:rPr>
        <w:t xml:space="preserve">ģimenēm ar bērniem </w:t>
      </w:r>
      <w:r w:rsidRPr="00F21EDC">
        <w:rPr>
          <w:sz w:val="26"/>
          <w:szCs w:val="26"/>
        </w:rPr>
        <w:t>atbalsta saņēmēji.</w:t>
      </w:r>
      <w:r>
        <w:rPr>
          <w:sz w:val="26"/>
          <w:szCs w:val="26"/>
        </w:rPr>
        <w:t xml:space="preserve"> No 2018.gada marta šīs programmas atbalsta saņēmēju loks paplašināts ar jaunajiem speciālistiem – personām ar iegūtu vidējo profesionālo vai augstāko izglītību, un kuru vecums nepārsniedz 35 gadus. Uz šo atbalsta saņēmēju grupu nav noteikta prasība par atbilstību rezidentu statusam, tomēr atbilstoši ALTUM novērtējumam, arī jauno speciālistu gadījumā absolūtais vairākums atbalsta saņēmēju ir Latvijas rezidenti.</w:t>
      </w:r>
      <w:r w:rsidRPr="00F21EDC">
        <w:rPr>
          <w:sz w:val="26"/>
          <w:szCs w:val="26"/>
        </w:rPr>
        <w:t xml:space="preserve"> Otrkārt, arī netiešā ietekme uz Mājokļu ga</w:t>
      </w:r>
      <w:r>
        <w:rPr>
          <w:sz w:val="26"/>
          <w:szCs w:val="26"/>
        </w:rPr>
        <w:t>rantiju</w:t>
      </w:r>
      <w:r w:rsidRPr="00F21EDC">
        <w:rPr>
          <w:sz w:val="26"/>
          <w:szCs w:val="26"/>
        </w:rPr>
        <w:t xml:space="preserve"> programmu nav novērota. Laika posmā, kad vēl TUA saņēmējiem nepastāvēja nosacījumi par 250 tūkst. </w:t>
      </w:r>
      <w:r w:rsidRPr="00F21EDC">
        <w:rPr>
          <w:i/>
          <w:sz w:val="26"/>
          <w:szCs w:val="26"/>
        </w:rPr>
        <w:t>euro</w:t>
      </w:r>
      <w:r w:rsidRPr="00F21EDC">
        <w:rPr>
          <w:sz w:val="26"/>
          <w:szCs w:val="26"/>
        </w:rPr>
        <w:t xml:space="preserve"> minimālo darījumu summu, tikai 10% ar investīciju programmu saistīto darījumu bija zem 125 tūkst. </w:t>
      </w:r>
      <w:r w:rsidRPr="00F21EDC">
        <w:rPr>
          <w:i/>
          <w:sz w:val="26"/>
          <w:szCs w:val="26"/>
        </w:rPr>
        <w:t>euro</w:t>
      </w:r>
      <w:r w:rsidRPr="00F21EDC">
        <w:rPr>
          <w:sz w:val="26"/>
          <w:szCs w:val="26"/>
        </w:rPr>
        <w:t xml:space="preserve">, kamēr vairums darījumu (74%) bija apmērā no 125 līdz 250 tūkst. </w:t>
      </w:r>
      <w:r w:rsidRPr="00F21EDC">
        <w:rPr>
          <w:i/>
          <w:sz w:val="26"/>
          <w:szCs w:val="26"/>
        </w:rPr>
        <w:t>euro</w:t>
      </w:r>
      <w:r w:rsidRPr="00F21EDC">
        <w:rPr>
          <w:sz w:val="26"/>
          <w:szCs w:val="26"/>
        </w:rPr>
        <w:t>. Savukārt, Mājokļu ga</w:t>
      </w:r>
      <w:r>
        <w:rPr>
          <w:sz w:val="26"/>
          <w:szCs w:val="26"/>
        </w:rPr>
        <w:t>rantiju</w:t>
      </w:r>
      <w:r w:rsidRPr="00F21EDC">
        <w:rPr>
          <w:sz w:val="26"/>
          <w:szCs w:val="26"/>
        </w:rPr>
        <w:t xml:space="preserve"> programmā, kuras darbība tika uzsākta 2015.gada janvārī, tātad, jau pēc tam, kad bija stājušies spēkā TUA minimālo ieguldījumu nosacījumi (250 tūkst. </w:t>
      </w:r>
      <w:r w:rsidRPr="00F21EDC">
        <w:rPr>
          <w:i/>
          <w:sz w:val="26"/>
          <w:szCs w:val="26"/>
        </w:rPr>
        <w:t>euro</w:t>
      </w:r>
      <w:r w:rsidRPr="00F21EDC">
        <w:rPr>
          <w:sz w:val="26"/>
          <w:szCs w:val="26"/>
        </w:rPr>
        <w:t>), vairumam aizdevumu (ap 80%), kuriem piesaistīt</w:t>
      </w:r>
      <w:r>
        <w:rPr>
          <w:sz w:val="26"/>
          <w:szCs w:val="26"/>
        </w:rPr>
        <w:t>a</w:t>
      </w:r>
      <w:r w:rsidRPr="00F21EDC">
        <w:rPr>
          <w:sz w:val="26"/>
          <w:szCs w:val="26"/>
        </w:rPr>
        <w:t xml:space="preserve"> ga</w:t>
      </w:r>
      <w:r>
        <w:rPr>
          <w:sz w:val="26"/>
          <w:szCs w:val="26"/>
        </w:rPr>
        <w:t>rantija</w:t>
      </w:r>
      <w:r w:rsidRPr="00F21EDC">
        <w:rPr>
          <w:sz w:val="26"/>
          <w:szCs w:val="26"/>
        </w:rPr>
        <w:t xml:space="preserve">, summa nepārsniedz 100 tūkst. </w:t>
      </w:r>
      <w:r w:rsidRPr="00F21EDC">
        <w:rPr>
          <w:i/>
          <w:sz w:val="26"/>
          <w:szCs w:val="26"/>
        </w:rPr>
        <w:t>euro</w:t>
      </w:r>
      <w:r>
        <w:rPr>
          <w:sz w:val="26"/>
          <w:szCs w:val="26"/>
        </w:rPr>
        <w:t xml:space="preserve">, bet vidējā aizdevumu summa ir nedaudz virs 60 tūkst. </w:t>
      </w:r>
      <w:r w:rsidRPr="009B765C">
        <w:rPr>
          <w:i/>
          <w:sz w:val="26"/>
          <w:szCs w:val="26"/>
        </w:rPr>
        <w:t>Euro</w:t>
      </w:r>
      <w:r>
        <w:rPr>
          <w:sz w:val="26"/>
          <w:szCs w:val="26"/>
        </w:rPr>
        <w:t>, l</w:t>
      </w:r>
      <w:r w:rsidRPr="00F21EDC">
        <w:rPr>
          <w:sz w:val="26"/>
          <w:szCs w:val="26"/>
        </w:rPr>
        <w:t>īdz ar to Mājokļu ga</w:t>
      </w:r>
      <w:r>
        <w:rPr>
          <w:sz w:val="26"/>
          <w:szCs w:val="26"/>
        </w:rPr>
        <w:t>rantiju</w:t>
      </w:r>
      <w:r w:rsidRPr="00F21EDC">
        <w:rPr>
          <w:sz w:val="26"/>
          <w:szCs w:val="26"/>
        </w:rPr>
        <w:t xml:space="preserve"> programmas raksturīgāko klientu grupu vidējo darījumu apmērs nepārklājas ar TUA ieguvēju darījumu vidējiem apmēriem, un, visticamāk, šajā tirgus segmentā (darījumiem līdz 100 tūkst. </w:t>
      </w:r>
      <w:r w:rsidRPr="00F21EDC">
        <w:rPr>
          <w:i/>
          <w:sz w:val="26"/>
          <w:szCs w:val="26"/>
        </w:rPr>
        <w:t>euro</w:t>
      </w:r>
      <w:r w:rsidRPr="00F21EDC">
        <w:rPr>
          <w:sz w:val="26"/>
          <w:szCs w:val="26"/>
        </w:rPr>
        <w:t xml:space="preserve"> vai nedaudz vairāk) iespējami darījumu cenu kāpumi nevar tikt saistīti ar TUA saistīto ieguldījumu iespaidu. Ekskluzīvu apjomu darījumi Mājokļu ga</w:t>
      </w:r>
      <w:r>
        <w:rPr>
          <w:sz w:val="26"/>
          <w:szCs w:val="26"/>
        </w:rPr>
        <w:t>rantiju</w:t>
      </w:r>
      <w:r w:rsidRPr="00F21EDC">
        <w:rPr>
          <w:sz w:val="26"/>
          <w:szCs w:val="26"/>
        </w:rPr>
        <w:t xml:space="preserve"> programmas ietvaros faktiski nav fiksēti. Atsevišķos gadījumos darījumu apmērs </w:t>
      </w:r>
      <w:r>
        <w:rPr>
          <w:sz w:val="26"/>
          <w:szCs w:val="26"/>
        </w:rPr>
        <w:t xml:space="preserve">ģimenēm ar bērniem programmas darbības pirmajos gados </w:t>
      </w:r>
      <w:r w:rsidRPr="00F21EDC">
        <w:rPr>
          <w:sz w:val="26"/>
          <w:szCs w:val="26"/>
        </w:rPr>
        <w:t>pārsniedz</w:t>
      </w:r>
      <w:r>
        <w:rPr>
          <w:sz w:val="26"/>
          <w:szCs w:val="26"/>
        </w:rPr>
        <w:t>a</w:t>
      </w:r>
      <w:r w:rsidRPr="00F21EDC">
        <w:rPr>
          <w:sz w:val="26"/>
          <w:szCs w:val="26"/>
        </w:rPr>
        <w:t xml:space="preserve"> 300 tūkst. </w:t>
      </w:r>
      <w:r w:rsidRPr="00F21EDC">
        <w:rPr>
          <w:i/>
          <w:sz w:val="26"/>
          <w:szCs w:val="26"/>
        </w:rPr>
        <w:t>euro</w:t>
      </w:r>
      <w:r w:rsidRPr="00F21EDC">
        <w:rPr>
          <w:sz w:val="26"/>
          <w:szCs w:val="26"/>
        </w:rPr>
        <w:t xml:space="preserve">, taču </w:t>
      </w:r>
      <w:r>
        <w:rPr>
          <w:sz w:val="26"/>
          <w:szCs w:val="26"/>
        </w:rPr>
        <w:t xml:space="preserve">kopš </w:t>
      </w:r>
      <w:r w:rsidRPr="00F21EDC">
        <w:rPr>
          <w:sz w:val="26"/>
          <w:szCs w:val="26"/>
        </w:rPr>
        <w:t>2016.gada jūlij</w:t>
      </w:r>
      <w:r>
        <w:rPr>
          <w:sz w:val="26"/>
          <w:szCs w:val="26"/>
        </w:rPr>
        <w:t>a</w:t>
      </w:r>
      <w:r w:rsidRPr="00F21EDC">
        <w:rPr>
          <w:sz w:val="26"/>
          <w:szCs w:val="26"/>
        </w:rPr>
        <w:t xml:space="preserve"> </w:t>
      </w:r>
      <w:r>
        <w:rPr>
          <w:sz w:val="26"/>
          <w:szCs w:val="26"/>
        </w:rPr>
        <w:t xml:space="preserve">ģimeņu ar bērniem gadījumā </w:t>
      </w:r>
      <w:r w:rsidRPr="00F21EDC">
        <w:rPr>
          <w:sz w:val="26"/>
          <w:szCs w:val="26"/>
        </w:rPr>
        <w:t>ga</w:t>
      </w:r>
      <w:r>
        <w:rPr>
          <w:sz w:val="26"/>
          <w:szCs w:val="26"/>
        </w:rPr>
        <w:t>rantijas</w:t>
      </w:r>
      <w:r w:rsidRPr="00F21EDC">
        <w:rPr>
          <w:sz w:val="26"/>
          <w:szCs w:val="26"/>
        </w:rPr>
        <w:t xml:space="preserve"> tiek piešķirt</w:t>
      </w:r>
      <w:r>
        <w:rPr>
          <w:sz w:val="26"/>
          <w:szCs w:val="26"/>
        </w:rPr>
        <w:t>as</w:t>
      </w:r>
      <w:r w:rsidRPr="00F21EDC">
        <w:rPr>
          <w:sz w:val="26"/>
          <w:szCs w:val="26"/>
        </w:rPr>
        <w:t xml:space="preserve"> </w:t>
      </w:r>
      <w:r>
        <w:rPr>
          <w:sz w:val="26"/>
          <w:szCs w:val="26"/>
        </w:rPr>
        <w:t xml:space="preserve">tikai </w:t>
      </w:r>
      <w:r w:rsidRPr="00F21EDC">
        <w:rPr>
          <w:sz w:val="26"/>
          <w:szCs w:val="26"/>
        </w:rPr>
        <w:t xml:space="preserve">darījumiem līdz 200 tūkst. </w:t>
      </w:r>
      <w:r w:rsidRPr="00F21EDC">
        <w:rPr>
          <w:i/>
          <w:sz w:val="26"/>
          <w:szCs w:val="26"/>
        </w:rPr>
        <w:t>euro</w:t>
      </w:r>
      <w:r w:rsidRPr="00F21EDC">
        <w:rPr>
          <w:sz w:val="26"/>
          <w:szCs w:val="26"/>
        </w:rPr>
        <w:t>.</w:t>
      </w:r>
      <w:r>
        <w:rPr>
          <w:sz w:val="26"/>
          <w:szCs w:val="26"/>
        </w:rPr>
        <w:t xml:space="preserve"> Jauno speciālistu gadījumā darījumu summas ierobežojums netiek noteikts, tomēr arī tikai atsevišķos gadījumos darījumu apjomi pārsnieguši 200 tūkst </w:t>
      </w:r>
      <w:r w:rsidRPr="009B765C">
        <w:rPr>
          <w:i/>
          <w:sz w:val="26"/>
          <w:szCs w:val="26"/>
        </w:rPr>
        <w:t>euro</w:t>
      </w:r>
      <w:r>
        <w:rPr>
          <w:sz w:val="26"/>
          <w:szCs w:val="26"/>
        </w:rPr>
        <w:t xml:space="preserve">, kamēr vidējā aizdevuma summa nesasniedz 60 tūkst. </w:t>
      </w:r>
      <w:r w:rsidRPr="009B765C">
        <w:rPr>
          <w:i/>
          <w:sz w:val="26"/>
          <w:szCs w:val="26"/>
        </w:rPr>
        <w:t>euro</w:t>
      </w:r>
      <w:r>
        <w:rPr>
          <w:sz w:val="26"/>
          <w:szCs w:val="26"/>
        </w:rPr>
        <w:t>.</w:t>
      </w:r>
    </w:p>
    <w:p w14:paraId="63E8C319" w14:textId="77777777" w:rsidR="007A32F7" w:rsidRDefault="007A32F7" w:rsidP="00E50E6F">
      <w:pPr>
        <w:jc w:val="both"/>
        <w:rPr>
          <w:sz w:val="26"/>
          <w:szCs w:val="26"/>
        </w:rPr>
      </w:pPr>
    </w:p>
    <w:p w14:paraId="73917995" w14:textId="77777777" w:rsidR="008E3AA1" w:rsidRPr="00E50E6F" w:rsidRDefault="008E3AA1" w:rsidP="00E50E6F">
      <w:pPr>
        <w:jc w:val="both"/>
        <w:rPr>
          <w:sz w:val="26"/>
          <w:szCs w:val="26"/>
        </w:rPr>
      </w:pPr>
    </w:p>
    <w:p w14:paraId="2EF251B9" w14:textId="77777777" w:rsidR="00157BF8" w:rsidRPr="00E50E6F" w:rsidRDefault="00157BF8" w:rsidP="00E50E6F">
      <w:pPr>
        <w:tabs>
          <w:tab w:val="left" w:pos="6431"/>
          <w:tab w:val="left" w:pos="6758"/>
        </w:tabs>
        <w:rPr>
          <w:sz w:val="26"/>
          <w:szCs w:val="26"/>
        </w:rPr>
      </w:pPr>
      <w:r w:rsidRPr="00E50E6F">
        <w:rPr>
          <w:sz w:val="26"/>
          <w:szCs w:val="26"/>
        </w:rPr>
        <w:t xml:space="preserve">Iekšlietu ministrs </w:t>
      </w:r>
      <w:r w:rsidRPr="00E50E6F">
        <w:rPr>
          <w:sz w:val="26"/>
          <w:szCs w:val="26"/>
        </w:rPr>
        <w:tab/>
        <w:t>R. Kozlovskis</w:t>
      </w:r>
    </w:p>
    <w:p w14:paraId="21360525" w14:textId="77777777" w:rsidR="00157BF8" w:rsidRPr="00E50E6F" w:rsidRDefault="00157BF8" w:rsidP="00E50E6F">
      <w:pPr>
        <w:ind w:left="720" w:hanging="720"/>
        <w:rPr>
          <w:sz w:val="26"/>
          <w:szCs w:val="26"/>
        </w:rPr>
      </w:pPr>
    </w:p>
    <w:p w14:paraId="3070153D" w14:textId="77777777" w:rsidR="00157BF8" w:rsidRPr="00E50E6F" w:rsidRDefault="00157BF8" w:rsidP="00E50E6F">
      <w:pPr>
        <w:ind w:left="720" w:hanging="720"/>
        <w:rPr>
          <w:sz w:val="26"/>
          <w:szCs w:val="26"/>
        </w:rPr>
      </w:pPr>
    </w:p>
    <w:p w14:paraId="56EB92DC" w14:textId="77777777" w:rsidR="00157BF8" w:rsidRPr="00E50E6F" w:rsidRDefault="00157BF8" w:rsidP="00E50E6F">
      <w:pPr>
        <w:ind w:left="720" w:hanging="720"/>
        <w:rPr>
          <w:sz w:val="26"/>
          <w:szCs w:val="26"/>
        </w:rPr>
      </w:pPr>
      <w:r w:rsidRPr="00E50E6F">
        <w:rPr>
          <w:sz w:val="26"/>
          <w:szCs w:val="26"/>
        </w:rPr>
        <w:t>Vīza:</w:t>
      </w:r>
    </w:p>
    <w:p w14:paraId="266DE9A0" w14:textId="77777777" w:rsidR="00157BF8" w:rsidRPr="00E50E6F" w:rsidRDefault="00157BF8" w:rsidP="00E50E6F">
      <w:pPr>
        <w:tabs>
          <w:tab w:val="left" w:pos="6431"/>
        </w:tabs>
        <w:ind w:left="720" w:hanging="720"/>
        <w:rPr>
          <w:sz w:val="26"/>
          <w:szCs w:val="26"/>
        </w:rPr>
      </w:pPr>
      <w:r w:rsidRPr="00E50E6F">
        <w:rPr>
          <w:sz w:val="26"/>
          <w:szCs w:val="26"/>
        </w:rPr>
        <w:t>Valsts sekretār</w:t>
      </w:r>
      <w:r w:rsidR="00BD4720" w:rsidRPr="00E50E6F">
        <w:rPr>
          <w:sz w:val="26"/>
          <w:szCs w:val="26"/>
        </w:rPr>
        <w:t>s</w:t>
      </w:r>
      <w:r w:rsidRPr="00E50E6F">
        <w:rPr>
          <w:sz w:val="26"/>
          <w:szCs w:val="26"/>
        </w:rPr>
        <w:tab/>
      </w:r>
      <w:r w:rsidR="00BD4720" w:rsidRPr="00E50E6F">
        <w:rPr>
          <w:sz w:val="26"/>
          <w:szCs w:val="26"/>
        </w:rPr>
        <w:t>D. Trofimovs</w:t>
      </w:r>
    </w:p>
    <w:p w14:paraId="61A86196" w14:textId="77777777" w:rsidR="00157BF8" w:rsidRPr="00E50E6F" w:rsidRDefault="00157BF8" w:rsidP="00E50E6F">
      <w:pPr>
        <w:ind w:right="-328"/>
        <w:jc w:val="both"/>
        <w:rPr>
          <w:sz w:val="22"/>
        </w:rPr>
      </w:pPr>
    </w:p>
    <w:p w14:paraId="13B495C1" w14:textId="77777777" w:rsidR="00157BF8" w:rsidRPr="00E50E6F" w:rsidRDefault="00157BF8" w:rsidP="00E50E6F">
      <w:pPr>
        <w:ind w:right="-328"/>
        <w:jc w:val="both"/>
        <w:rPr>
          <w:sz w:val="22"/>
        </w:rPr>
      </w:pPr>
    </w:p>
    <w:p w14:paraId="11E1D3EC" w14:textId="77777777" w:rsidR="00157BF8" w:rsidRPr="00E50E6F" w:rsidRDefault="00157BF8" w:rsidP="00E50E6F">
      <w:pPr>
        <w:ind w:right="-328"/>
        <w:rPr>
          <w:sz w:val="22"/>
        </w:rPr>
      </w:pPr>
      <w:r w:rsidRPr="00E50E6F">
        <w:rPr>
          <w:sz w:val="22"/>
        </w:rPr>
        <w:t>I. Briede, 67219546</w:t>
      </w:r>
    </w:p>
    <w:p w14:paraId="1F8BD12A" w14:textId="77777777" w:rsidR="00157BF8" w:rsidRPr="007355EB" w:rsidRDefault="004B2235" w:rsidP="00E50E6F">
      <w:pPr>
        <w:ind w:right="-328"/>
      </w:pPr>
      <w:hyperlink r:id="rId31" w:history="1">
        <w:r w:rsidR="00157BF8" w:rsidRPr="00E50E6F">
          <w:rPr>
            <w:rStyle w:val="Hyperlink"/>
            <w:sz w:val="22"/>
          </w:rPr>
          <w:t>ilze.briede@pmlp.gov.lv</w:t>
        </w:r>
      </w:hyperlink>
      <w:r w:rsidR="00157BF8" w:rsidRPr="007355EB">
        <w:rPr>
          <w:sz w:val="22"/>
        </w:rPr>
        <w:t xml:space="preserve"> </w:t>
      </w:r>
    </w:p>
    <w:p w14:paraId="51E3F639" w14:textId="77777777" w:rsidR="00157BF8" w:rsidRDefault="00157BF8" w:rsidP="00E50E6F">
      <w:pPr>
        <w:jc w:val="both"/>
      </w:pPr>
    </w:p>
    <w:sectPr w:rsidR="00157BF8" w:rsidSect="008B3052">
      <w:headerReference w:type="default" r:id="rId32"/>
      <w:footerReference w:type="default" r:id="rId33"/>
      <w:footerReference w:type="first" r:id="rId34"/>
      <w:pgSz w:w="11906" w:h="16838" w:code="9"/>
      <w:pgMar w:top="1418" w:right="1134"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AADF6" w16cid:durableId="1FC1FB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A7990" w14:textId="77777777" w:rsidR="004B2235" w:rsidRDefault="004B2235" w:rsidP="0091282C">
      <w:r>
        <w:separator/>
      </w:r>
    </w:p>
  </w:endnote>
  <w:endnote w:type="continuationSeparator" w:id="0">
    <w:p w14:paraId="073197B8" w14:textId="77777777" w:rsidR="004B2235" w:rsidRDefault="004B2235" w:rsidP="0091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4B6FD" w14:textId="1D15F2C8" w:rsidR="00245311" w:rsidRPr="00801226" w:rsidRDefault="00245311" w:rsidP="00B2730F">
    <w:pPr>
      <w:jc w:val="both"/>
      <w:rPr>
        <w:sz w:val="20"/>
        <w:szCs w:val="20"/>
      </w:rPr>
    </w:pPr>
    <w:r>
      <w:rPr>
        <w:sz w:val="20"/>
        <w:szCs w:val="20"/>
      </w:rPr>
      <w:t>IEMZinop2_</w:t>
    </w:r>
    <w:r w:rsidR="00753D05">
      <w:rPr>
        <w:sz w:val="20"/>
        <w:szCs w:val="20"/>
      </w:rPr>
      <w:t>191218</w:t>
    </w:r>
    <w:r>
      <w:rPr>
        <w:sz w:val="20"/>
        <w:szCs w:val="20"/>
      </w:rPr>
      <w:t xml:space="preserve">;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2.pielikums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1964" w14:textId="4B29C89B" w:rsidR="00245311" w:rsidRPr="00801226" w:rsidRDefault="00245311" w:rsidP="00BD4720">
    <w:pPr>
      <w:jc w:val="both"/>
      <w:rPr>
        <w:sz w:val="20"/>
        <w:szCs w:val="20"/>
      </w:rPr>
    </w:pPr>
    <w:r>
      <w:rPr>
        <w:sz w:val="20"/>
        <w:szCs w:val="20"/>
      </w:rPr>
      <w:t>IEMZinop2_</w:t>
    </w:r>
    <w:r w:rsidR="00753D05">
      <w:rPr>
        <w:sz w:val="20"/>
        <w:szCs w:val="20"/>
      </w:rPr>
      <w:t>191218</w:t>
    </w:r>
    <w:r>
      <w:rPr>
        <w:sz w:val="20"/>
        <w:szCs w:val="20"/>
      </w:rPr>
      <w:t xml:space="preserve">;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2.pielikums</w:t>
    </w:r>
  </w:p>
  <w:p w14:paraId="1A58FFDA" w14:textId="77777777" w:rsidR="00245311" w:rsidRDefault="00245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17EE5" w14:textId="77777777" w:rsidR="004B2235" w:rsidRDefault="004B2235" w:rsidP="0091282C">
      <w:r>
        <w:separator/>
      </w:r>
    </w:p>
  </w:footnote>
  <w:footnote w:type="continuationSeparator" w:id="0">
    <w:p w14:paraId="19508931" w14:textId="77777777" w:rsidR="004B2235" w:rsidRDefault="004B2235" w:rsidP="0091282C">
      <w:r>
        <w:continuationSeparator/>
      </w:r>
    </w:p>
  </w:footnote>
  <w:footnote w:id="1">
    <w:p w14:paraId="6A21192C" w14:textId="1973FEB7" w:rsidR="00245311" w:rsidRPr="00CA053C" w:rsidRDefault="00245311" w:rsidP="005F41EF">
      <w:pPr>
        <w:pStyle w:val="FootnoteText"/>
        <w:jc w:val="both"/>
        <w:rPr>
          <w:rFonts w:ascii="Times New Roman" w:hAnsi="Times New Roman"/>
        </w:rPr>
      </w:pPr>
      <w:r w:rsidRPr="00CA053C">
        <w:rPr>
          <w:rStyle w:val="FootnoteReference"/>
          <w:rFonts w:ascii="Times New Roman" w:hAnsi="Times New Roman"/>
        </w:rPr>
        <w:footnoteRef/>
      </w:r>
      <w:r w:rsidRPr="00CA053C">
        <w:rPr>
          <w:rFonts w:ascii="Times New Roman" w:hAnsi="Times New Roman"/>
        </w:rPr>
        <w:t xml:space="preserve"> Latio </w:t>
      </w:r>
      <w:r>
        <w:rPr>
          <w:rFonts w:ascii="Times New Roman" w:hAnsi="Times New Roman"/>
        </w:rPr>
        <w:t xml:space="preserve">2016. un 2017.gada </w:t>
      </w:r>
      <w:r w:rsidRPr="00CA053C">
        <w:rPr>
          <w:rFonts w:ascii="Times New Roman" w:hAnsi="Times New Roman"/>
        </w:rPr>
        <w:t>mājokļu</w:t>
      </w:r>
      <w:r>
        <w:rPr>
          <w:rFonts w:ascii="Times New Roman" w:hAnsi="Times New Roman"/>
        </w:rPr>
        <w:t xml:space="preserve"> </w:t>
      </w:r>
      <w:r w:rsidRPr="00CA053C">
        <w:rPr>
          <w:rFonts w:ascii="Times New Roman" w:hAnsi="Times New Roman"/>
        </w:rPr>
        <w:t>tirgus pārskati</w:t>
      </w:r>
      <w:r>
        <w:rPr>
          <w:rFonts w:ascii="Times New Roman" w:hAnsi="Times New Roman"/>
        </w:rPr>
        <w:t>. Rīga un reģioni.</w:t>
      </w:r>
    </w:p>
  </w:footnote>
  <w:footnote w:id="2">
    <w:p w14:paraId="0A92EC3F" w14:textId="09AA20F3" w:rsidR="00245311" w:rsidRPr="005F41EF" w:rsidRDefault="00245311" w:rsidP="005F41EF">
      <w:pPr>
        <w:pStyle w:val="FootnoteText"/>
        <w:jc w:val="both"/>
        <w:rPr>
          <w:rFonts w:ascii="Times New Roman" w:hAnsi="Times New Roman"/>
        </w:rPr>
      </w:pPr>
      <w:r w:rsidRPr="005F41EF">
        <w:rPr>
          <w:rStyle w:val="FootnoteReference"/>
          <w:rFonts w:ascii="Times New Roman" w:hAnsi="Times New Roman"/>
        </w:rPr>
        <w:footnoteRef/>
      </w:r>
      <w:r w:rsidRPr="005F41EF">
        <w:rPr>
          <w:rFonts w:ascii="Times New Roman" w:hAnsi="Times New Roman"/>
        </w:rPr>
        <w:t xml:space="preserve"> 2017.gada Informatīvais ziņojums par Imigrācijas likuma 23.panta pirmās daļas 3., 28., 29., 30. un 31.punktā paredzēto noteikumu īstenošanas gaitu un rezultātiem.</w:t>
      </w:r>
    </w:p>
  </w:footnote>
  <w:footnote w:id="3">
    <w:p w14:paraId="3A2F84D9" w14:textId="63FA77A2" w:rsidR="00245311" w:rsidRPr="00137B5A" w:rsidRDefault="00245311" w:rsidP="005F41EF">
      <w:pPr>
        <w:pStyle w:val="FootnoteText"/>
        <w:jc w:val="both"/>
        <w:rPr>
          <w:rFonts w:ascii="Times New Roman" w:hAnsi="Times New Roman"/>
        </w:rPr>
      </w:pPr>
      <w:r w:rsidRPr="00137B5A">
        <w:rPr>
          <w:rStyle w:val="FootnoteReference"/>
          <w:rFonts w:ascii="Times New Roman" w:hAnsi="Times New Roman"/>
        </w:rPr>
        <w:footnoteRef/>
      </w:r>
      <w:r w:rsidRPr="00137B5A">
        <w:rPr>
          <w:rFonts w:ascii="Times New Roman" w:hAnsi="Times New Roman"/>
        </w:rPr>
        <w:t xml:space="preserve"> </w:t>
      </w:r>
      <w:r>
        <w:rPr>
          <w:rFonts w:ascii="Times New Roman" w:hAnsi="Times New Roman"/>
        </w:rPr>
        <w:t>Ober-</w:t>
      </w:r>
      <w:r w:rsidRPr="00137B5A">
        <w:rPr>
          <w:rFonts w:ascii="Times New Roman" w:hAnsi="Times New Roman"/>
        </w:rPr>
        <w:t>Haus</w:t>
      </w:r>
      <w:r w:rsidR="00E11255">
        <w:rPr>
          <w:rFonts w:ascii="Times New Roman" w:hAnsi="Times New Roman"/>
        </w:rPr>
        <w:t xml:space="preserve"> 2018.gada I un II ceturkšņa</w:t>
      </w:r>
      <w:r w:rsidRPr="00137B5A">
        <w:rPr>
          <w:rFonts w:ascii="Times New Roman" w:hAnsi="Times New Roman"/>
        </w:rPr>
        <w:t xml:space="preserve"> dzīvojamo platību tirgus pā</w:t>
      </w:r>
      <w:r w:rsidR="00E11255">
        <w:rPr>
          <w:rFonts w:ascii="Times New Roman" w:hAnsi="Times New Roman"/>
        </w:rPr>
        <w:t>rskati</w:t>
      </w:r>
      <w:r>
        <w:rPr>
          <w:rFonts w:ascii="Times New Roman" w:hAnsi="Times New Roman"/>
        </w:rPr>
        <w:t>, Latvija.</w:t>
      </w:r>
    </w:p>
  </w:footnote>
  <w:footnote w:id="4">
    <w:p w14:paraId="3C2008F0" w14:textId="2918459A" w:rsidR="00245311" w:rsidRDefault="00245311" w:rsidP="005F41EF">
      <w:pPr>
        <w:pStyle w:val="FootnoteText"/>
        <w:jc w:val="both"/>
      </w:pPr>
      <w:r>
        <w:rPr>
          <w:rStyle w:val="FootnoteReference"/>
        </w:rPr>
        <w:footnoteRef/>
      </w:r>
      <w:r>
        <w:t xml:space="preserve"> </w:t>
      </w:r>
      <w:r>
        <w:rPr>
          <w:rFonts w:ascii="Times New Roman" w:hAnsi="Times New Roman"/>
        </w:rPr>
        <w:t>Latio 2017.gada</w:t>
      </w:r>
      <w:r w:rsidRPr="002C6D9D">
        <w:rPr>
          <w:rFonts w:ascii="Times New Roman" w:hAnsi="Times New Roman"/>
        </w:rPr>
        <w:t xml:space="preserve"> mājokļu tirgus pārskati. Rīga un reģioni.</w:t>
      </w:r>
    </w:p>
  </w:footnote>
  <w:footnote w:id="5">
    <w:p w14:paraId="14208C35" w14:textId="5E640C47" w:rsidR="00245311" w:rsidRPr="00E1026C" w:rsidRDefault="00245311">
      <w:pPr>
        <w:pStyle w:val="FootnoteText"/>
        <w:rPr>
          <w:rFonts w:ascii="Times New Roman" w:hAnsi="Times New Roman"/>
        </w:rPr>
      </w:pPr>
      <w:r w:rsidRPr="00E1026C">
        <w:rPr>
          <w:rStyle w:val="FootnoteReference"/>
          <w:rFonts w:ascii="Times New Roman" w:hAnsi="Times New Roman"/>
        </w:rPr>
        <w:footnoteRef/>
      </w:r>
      <w:r>
        <w:t xml:space="preserve"> </w:t>
      </w:r>
      <w:r w:rsidRPr="00E1026C">
        <w:rPr>
          <w:rFonts w:ascii="Times New Roman" w:hAnsi="Times New Roman"/>
        </w:rPr>
        <w:t>TUA pieprasīta saistībā ar nekustamā īpašuma iegādi.</w:t>
      </w:r>
    </w:p>
  </w:footnote>
  <w:footnote w:id="6">
    <w:p w14:paraId="26A14D4C" w14:textId="77777777" w:rsidR="00245311" w:rsidRPr="00757F75" w:rsidRDefault="00245311" w:rsidP="00AD6BDD">
      <w:pPr>
        <w:pStyle w:val="FootnoteText"/>
        <w:rPr>
          <w:rFonts w:ascii="Times New Roman" w:hAnsi="Times New Roman"/>
        </w:rPr>
      </w:pPr>
      <w:r>
        <w:rPr>
          <w:rStyle w:val="FootnoteReference"/>
        </w:rPr>
        <w:footnoteRef/>
      </w:r>
      <w:r>
        <w:t xml:space="preserve"> </w:t>
      </w:r>
      <w:r w:rsidRPr="00757F75">
        <w:rPr>
          <w:rFonts w:ascii="Times New Roman" w:hAnsi="Times New Roman"/>
        </w:rPr>
        <w:t xml:space="preserve">Jūrmalas pilsētas domes </w:t>
      </w:r>
      <w:r>
        <w:rPr>
          <w:rFonts w:ascii="Times New Roman" w:hAnsi="Times New Roman"/>
        </w:rPr>
        <w:t xml:space="preserve">2018.gadā sniegtā </w:t>
      </w:r>
      <w:r w:rsidRPr="00757F75">
        <w:rPr>
          <w:rFonts w:ascii="Times New Roman" w:hAnsi="Times New Roman"/>
        </w:rPr>
        <w:t>informācija.</w:t>
      </w:r>
    </w:p>
  </w:footnote>
  <w:footnote w:id="7">
    <w:p w14:paraId="151F1BDA" w14:textId="77777777" w:rsidR="00245311" w:rsidRDefault="00245311" w:rsidP="00AD6BDD">
      <w:pPr>
        <w:pStyle w:val="FootnoteText"/>
      </w:pPr>
      <w:r w:rsidRPr="00757F75">
        <w:rPr>
          <w:rStyle w:val="FootnoteReference"/>
          <w:rFonts w:ascii="Times New Roman" w:hAnsi="Times New Roman"/>
        </w:rPr>
        <w:footnoteRef/>
      </w:r>
      <w:r w:rsidRPr="00757F75">
        <w:rPr>
          <w:rFonts w:ascii="Times New Roman" w:hAnsi="Times New Roman"/>
        </w:rPr>
        <w:t xml:space="preserve"> Rīgas domes </w:t>
      </w:r>
      <w:r>
        <w:rPr>
          <w:rFonts w:ascii="Times New Roman" w:hAnsi="Times New Roman"/>
        </w:rPr>
        <w:t xml:space="preserve">Pašvaldības ieņēmumu pārvaldes 2018.gadā sniegtā </w:t>
      </w:r>
      <w:r w:rsidRPr="00757F75">
        <w:rPr>
          <w:rFonts w:ascii="Times New Roman" w:hAnsi="Times New Roman"/>
        </w:rPr>
        <w:t>informācija</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24740"/>
      <w:docPartObj>
        <w:docPartGallery w:val="Page Numbers (Top of Page)"/>
        <w:docPartUnique/>
      </w:docPartObj>
    </w:sdtPr>
    <w:sdtEndPr/>
    <w:sdtContent>
      <w:p w14:paraId="5691995F" w14:textId="77777777" w:rsidR="00245311" w:rsidRDefault="00245311">
        <w:pPr>
          <w:pStyle w:val="Header"/>
          <w:jc w:val="center"/>
        </w:pPr>
        <w:r>
          <w:fldChar w:fldCharType="begin"/>
        </w:r>
        <w:r>
          <w:instrText xml:space="preserve"> PAGE   \* MERGEFORMAT </w:instrText>
        </w:r>
        <w:r>
          <w:fldChar w:fldCharType="separate"/>
        </w:r>
        <w:r w:rsidR="002D4272">
          <w:rPr>
            <w:noProof/>
          </w:rPr>
          <w:t>12</w:t>
        </w:r>
        <w:r>
          <w:rPr>
            <w:noProof/>
          </w:rPr>
          <w:fldChar w:fldCharType="end"/>
        </w:r>
      </w:p>
    </w:sdtContent>
  </w:sdt>
  <w:p w14:paraId="2AB5C7D3" w14:textId="77777777" w:rsidR="00245311" w:rsidRDefault="00245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8D0BD5"/>
    <w:multiLevelType w:val="hybridMultilevel"/>
    <w:tmpl w:val="314214FA"/>
    <w:lvl w:ilvl="0" w:tplc="43884C7C">
      <w:start w:val="1"/>
      <w:numFmt w:val="bullet"/>
      <w:lvlText w:val="–"/>
      <w:lvlJc w:val="left"/>
      <w:pPr>
        <w:ind w:left="720" w:hanging="360"/>
      </w:pPr>
      <w:rPr>
        <w:rFonts w:ascii="Times New Roman" w:hAnsi="Times New Roman" w:hint="default"/>
        <w:color w:val="840B55"/>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3C46FD"/>
    <w:multiLevelType w:val="hybridMultilevel"/>
    <w:tmpl w:val="56764D8E"/>
    <w:lvl w:ilvl="0" w:tplc="DA80F3BC">
      <w:start w:val="1"/>
      <w:numFmt w:val="decimal"/>
      <w:lvlText w:val="%1."/>
      <w:lvlJc w:val="center"/>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2D9103E"/>
    <w:multiLevelType w:val="hybridMultilevel"/>
    <w:tmpl w:val="AF08649C"/>
    <w:lvl w:ilvl="0" w:tplc="43884C7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550AE"/>
    <w:multiLevelType w:val="hybridMultilevel"/>
    <w:tmpl w:val="CFA2368A"/>
    <w:lvl w:ilvl="0" w:tplc="823CBB7A">
      <w:start w:val="1"/>
      <w:numFmt w:val="bullet"/>
      <w:lvlText w:val=""/>
      <w:lvlJc w:val="left"/>
      <w:pPr>
        <w:ind w:left="720" w:hanging="360"/>
      </w:pPr>
      <w:rPr>
        <w:rFonts w:ascii="Wingdings" w:hAnsi="Wingdings" w:hint="default"/>
        <w:color w:val="840B55"/>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1024213"/>
    <w:multiLevelType w:val="hybridMultilevel"/>
    <w:tmpl w:val="B64C2100"/>
    <w:lvl w:ilvl="0" w:tplc="E4A652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53"/>
    <w:rsid w:val="00004E26"/>
    <w:rsid w:val="00004E48"/>
    <w:rsid w:val="00010A89"/>
    <w:rsid w:val="00015B28"/>
    <w:rsid w:val="0002318A"/>
    <w:rsid w:val="00043E52"/>
    <w:rsid w:val="000467CF"/>
    <w:rsid w:val="000500FC"/>
    <w:rsid w:val="000530E9"/>
    <w:rsid w:val="0005349D"/>
    <w:rsid w:val="000567F9"/>
    <w:rsid w:val="00072320"/>
    <w:rsid w:val="00076420"/>
    <w:rsid w:val="00077258"/>
    <w:rsid w:val="0008096E"/>
    <w:rsid w:val="00096FBA"/>
    <w:rsid w:val="000A59B3"/>
    <w:rsid w:val="000B34EF"/>
    <w:rsid w:val="000B6C24"/>
    <w:rsid w:val="000C1BB3"/>
    <w:rsid w:val="000C3957"/>
    <w:rsid w:val="000C71EF"/>
    <w:rsid w:val="000C7362"/>
    <w:rsid w:val="000C7DC9"/>
    <w:rsid w:val="000D2CD4"/>
    <w:rsid w:val="000F1F12"/>
    <w:rsid w:val="000F6239"/>
    <w:rsid w:val="00106154"/>
    <w:rsid w:val="001063E7"/>
    <w:rsid w:val="00107E55"/>
    <w:rsid w:val="00121967"/>
    <w:rsid w:val="001243EF"/>
    <w:rsid w:val="00134570"/>
    <w:rsid w:val="00136DB1"/>
    <w:rsid w:val="00137B5A"/>
    <w:rsid w:val="00151EE9"/>
    <w:rsid w:val="0015617D"/>
    <w:rsid w:val="00157BF8"/>
    <w:rsid w:val="00165C3A"/>
    <w:rsid w:val="001737DC"/>
    <w:rsid w:val="001844F4"/>
    <w:rsid w:val="00190C4C"/>
    <w:rsid w:val="00190CF3"/>
    <w:rsid w:val="001B0A89"/>
    <w:rsid w:val="001B41B7"/>
    <w:rsid w:val="001C4BDA"/>
    <w:rsid w:val="001C5F2D"/>
    <w:rsid w:val="001C6D8C"/>
    <w:rsid w:val="001D3687"/>
    <w:rsid w:val="001F0BF8"/>
    <w:rsid w:val="001F6F35"/>
    <w:rsid w:val="00201D86"/>
    <w:rsid w:val="00212D3F"/>
    <w:rsid w:val="00232A60"/>
    <w:rsid w:val="00240D10"/>
    <w:rsid w:val="00244607"/>
    <w:rsid w:val="00245311"/>
    <w:rsid w:val="00246371"/>
    <w:rsid w:val="002527DF"/>
    <w:rsid w:val="00254A25"/>
    <w:rsid w:val="00255643"/>
    <w:rsid w:val="0025774D"/>
    <w:rsid w:val="00260840"/>
    <w:rsid w:val="00266BD6"/>
    <w:rsid w:val="00267A39"/>
    <w:rsid w:val="00276ECF"/>
    <w:rsid w:val="0029198C"/>
    <w:rsid w:val="00296DF1"/>
    <w:rsid w:val="002A0A65"/>
    <w:rsid w:val="002C6B34"/>
    <w:rsid w:val="002C6D9D"/>
    <w:rsid w:val="002D276B"/>
    <w:rsid w:val="002D4272"/>
    <w:rsid w:val="002D78DD"/>
    <w:rsid w:val="002E3ED4"/>
    <w:rsid w:val="002E6D72"/>
    <w:rsid w:val="00300879"/>
    <w:rsid w:val="00306278"/>
    <w:rsid w:val="00310375"/>
    <w:rsid w:val="00310875"/>
    <w:rsid w:val="0031197B"/>
    <w:rsid w:val="003175EC"/>
    <w:rsid w:val="00324566"/>
    <w:rsid w:val="00334A12"/>
    <w:rsid w:val="003436A4"/>
    <w:rsid w:val="00347E2A"/>
    <w:rsid w:val="00373890"/>
    <w:rsid w:val="0039323F"/>
    <w:rsid w:val="003A49C7"/>
    <w:rsid w:val="003A6439"/>
    <w:rsid w:val="003E11F9"/>
    <w:rsid w:val="003E313E"/>
    <w:rsid w:val="003F15DD"/>
    <w:rsid w:val="00400A61"/>
    <w:rsid w:val="004154D0"/>
    <w:rsid w:val="00416C8A"/>
    <w:rsid w:val="004203BC"/>
    <w:rsid w:val="004257AA"/>
    <w:rsid w:val="00432AFE"/>
    <w:rsid w:val="0043465A"/>
    <w:rsid w:val="00435A27"/>
    <w:rsid w:val="0043664E"/>
    <w:rsid w:val="0043678B"/>
    <w:rsid w:val="004451BE"/>
    <w:rsid w:val="00450F4F"/>
    <w:rsid w:val="00455DD0"/>
    <w:rsid w:val="004614EE"/>
    <w:rsid w:val="004618A3"/>
    <w:rsid w:val="00465EF3"/>
    <w:rsid w:val="00477069"/>
    <w:rsid w:val="00486763"/>
    <w:rsid w:val="004A48F0"/>
    <w:rsid w:val="004A7505"/>
    <w:rsid w:val="004B2235"/>
    <w:rsid w:val="004B2A63"/>
    <w:rsid w:val="004B3E94"/>
    <w:rsid w:val="004C3580"/>
    <w:rsid w:val="004D3966"/>
    <w:rsid w:val="004F3431"/>
    <w:rsid w:val="005045A3"/>
    <w:rsid w:val="00526220"/>
    <w:rsid w:val="00534F9C"/>
    <w:rsid w:val="00535A49"/>
    <w:rsid w:val="005376C0"/>
    <w:rsid w:val="0054648C"/>
    <w:rsid w:val="00553478"/>
    <w:rsid w:val="00554923"/>
    <w:rsid w:val="005706F0"/>
    <w:rsid w:val="00571D8C"/>
    <w:rsid w:val="00583579"/>
    <w:rsid w:val="00596622"/>
    <w:rsid w:val="005A454D"/>
    <w:rsid w:val="005B19E4"/>
    <w:rsid w:val="005B748F"/>
    <w:rsid w:val="005C03A1"/>
    <w:rsid w:val="005C563E"/>
    <w:rsid w:val="005E7CBE"/>
    <w:rsid w:val="005F287E"/>
    <w:rsid w:val="005F33E5"/>
    <w:rsid w:val="005F41EF"/>
    <w:rsid w:val="005F6CD4"/>
    <w:rsid w:val="006004DB"/>
    <w:rsid w:val="006067F4"/>
    <w:rsid w:val="00617CE9"/>
    <w:rsid w:val="006269F3"/>
    <w:rsid w:val="006432D1"/>
    <w:rsid w:val="00647F4A"/>
    <w:rsid w:val="00653587"/>
    <w:rsid w:val="006614D6"/>
    <w:rsid w:val="00663C17"/>
    <w:rsid w:val="00664562"/>
    <w:rsid w:val="006711EF"/>
    <w:rsid w:val="006755D5"/>
    <w:rsid w:val="00683330"/>
    <w:rsid w:val="00684FC5"/>
    <w:rsid w:val="006854B7"/>
    <w:rsid w:val="006A44C9"/>
    <w:rsid w:val="006A7D64"/>
    <w:rsid w:val="006B669F"/>
    <w:rsid w:val="006C18F3"/>
    <w:rsid w:val="006C450E"/>
    <w:rsid w:val="006D2FEB"/>
    <w:rsid w:val="006E18DD"/>
    <w:rsid w:val="006E48D4"/>
    <w:rsid w:val="006F2D3C"/>
    <w:rsid w:val="006F5DC9"/>
    <w:rsid w:val="007059F5"/>
    <w:rsid w:val="0071525B"/>
    <w:rsid w:val="0072050F"/>
    <w:rsid w:val="007303E6"/>
    <w:rsid w:val="0073287E"/>
    <w:rsid w:val="00746160"/>
    <w:rsid w:val="00751F87"/>
    <w:rsid w:val="00753D05"/>
    <w:rsid w:val="00757869"/>
    <w:rsid w:val="00757F75"/>
    <w:rsid w:val="00761A46"/>
    <w:rsid w:val="0076386B"/>
    <w:rsid w:val="00776A75"/>
    <w:rsid w:val="00777631"/>
    <w:rsid w:val="00781206"/>
    <w:rsid w:val="0079156C"/>
    <w:rsid w:val="00793B7B"/>
    <w:rsid w:val="00796596"/>
    <w:rsid w:val="007A32F7"/>
    <w:rsid w:val="007A518E"/>
    <w:rsid w:val="007B52C5"/>
    <w:rsid w:val="007B7C98"/>
    <w:rsid w:val="007E2C5E"/>
    <w:rsid w:val="007E3A59"/>
    <w:rsid w:val="007E5BC0"/>
    <w:rsid w:val="007F0DD0"/>
    <w:rsid w:val="007F101F"/>
    <w:rsid w:val="007F38C0"/>
    <w:rsid w:val="008159A3"/>
    <w:rsid w:val="00815F31"/>
    <w:rsid w:val="008234E1"/>
    <w:rsid w:val="008308E4"/>
    <w:rsid w:val="00832763"/>
    <w:rsid w:val="0084357A"/>
    <w:rsid w:val="0085724F"/>
    <w:rsid w:val="00857D90"/>
    <w:rsid w:val="00861A37"/>
    <w:rsid w:val="0086356A"/>
    <w:rsid w:val="0088251B"/>
    <w:rsid w:val="0088576C"/>
    <w:rsid w:val="00885C99"/>
    <w:rsid w:val="008B3052"/>
    <w:rsid w:val="008C6DF3"/>
    <w:rsid w:val="008D7DF4"/>
    <w:rsid w:val="008E3AA1"/>
    <w:rsid w:val="008F17C2"/>
    <w:rsid w:val="008F1CBC"/>
    <w:rsid w:val="008F1F75"/>
    <w:rsid w:val="008F7B18"/>
    <w:rsid w:val="0090148E"/>
    <w:rsid w:val="0091282C"/>
    <w:rsid w:val="009277D2"/>
    <w:rsid w:val="0093068F"/>
    <w:rsid w:val="00936DBE"/>
    <w:rsid w:val="00944045"/>
    <w:rsid w:val="009530A7"/>
    <w:rsid w:val="009548D2"/>
    <w:rsid w:val="00966206"/>
    <w:rsid w:val="00980E53"/>
    <w:rsid w:val="00990818"/>
    <w:rsid w:val="009A3680"/>
    <w:rsid w:val="009B07CF"/>
    <w:rsid w:val="009C620F"/>
    <w:rsid w:val="009E2685"/>
    <w:rsid w:val="009E39BD"/>
    <w:rsid w:val="009E5B25"/>
    <w:rsid w:val="009E7ED5"/>
    <w:rsid w:val="009F1DD9"/>
    <w:rsid w:val="009F65B6"/>
    <w:rsid w:val="009F67F6"/>
    <w:rsid w:val="00A14268"/>
    <w:rsid w:val="00A2102B"/>
    <w:rsid w:val="00A35351"/>
    <w:rsid w:val="00A410BA"/>
    <w:rsid w:val="00A52974"/>
    <w:rsid w:val="00A6162F"/>
    <w:rsid w:val="00A72514"/>
    <w:rsid w:val="00A75BDB"/>
    <w:rsid w:val="00A85C57"/>
    <w:rsid w:val="00A912D0"/>
    <w:rsid w:val="00A95C9C"/>
    <w:rsid w:val="00AD34EF"/>
    <w:rsid w:val="00AD5B4E"/>
    <w:rsid w:val="00AD6BDD"/>
    <w:rsid w:val="00AE182A"/>
    <w:rsid w:val="00AE7117"/>
    <w:rsid w:val="00AF0458"/>
    <w:rsid w:val="00AF2033"/>
    <w:rsid w:val="00AF7604"/>
    <w:rsid w:val="00B0630D"/>
    <w:rsid w:val="00B14FFA"/>
    <w:rsid w:val="00B15264"/>
    <w:rsid w:val="00B2730F"/>
    <w:rsid w:val="00B41F20"/>
    <w:rsid w:val="00B44894"/>
    <w:rsid w:val="00B47154"/>
    <w:rsid w:val="00B54CE5"/>
    <w:rsid w:val="00B63D6A"/>
    <w:rsid w:val="00B6507C"/>
    <w:rsid w:val="00B8174C"/>
    <w:rsid w:val="00B85374"/>
    <w:rsid w:val="00BB57E2"/>
    <w:rsid w:val="00BC1F01"/>
    <w:rsid w:val="00BC4A8E"/>
    <w:rsid w:val="00BC5C35"/>
    <w:rsid w:val="00BC692B"/>
    <w:rsid w:val="00BD0288"/>
    <w:rsid w:val="00BD3A79"/>
    <w:rsid w:val="00BD4720"/>
    <w:rsid w:val="00BF2FD5"/>
    <w:rsid w:val="00C041E7"/>
    <w:rsid w:val="00C05B31"/>
    <w:rsid w:val="00C067EF"/>
    <w:rsid w:val="00C06D5D"/>
    <w:rsid w:val="00C12956"/>
    <w:rsid w:val="00C16F05"/>
    <w:rsid w:val="00C21D61"/>
    <w:rsid w:val="00C27A15"/>
    <w:rsid w:val="00C27E6D"/>
    <w:rsid w:val="00C3590F"/>
    <w:rsid w:val="00C6150F"/>
    <w:rsid w:val="00C86291"/>
    <w:rsid w:val="00C86D60"/>
    <w:rsid w:val="00C910E3"/>
    <w:rsid w:val="00CA053C"/>
    <w:rsid w:val="00CA3481"/>
    <w:rsid w:val="00CB59ED"/>
    <w:rsid w:val="00CC3CE0"/>
    <w:rsid w:val="00CD0F7C"/>
    <w:rsid w:val="00CD11DB"/>
    <w:rsid w:val="00CD38B3"/>
    <w:rsid w:val="00CD78AB"/>
    <w:rsid w:val="00CD7DA0"/>
    <w:rsid w:val="00CF0C45"/>
    <w:rsid w:val="00D03A8D"/>
    <w:rsid w:val="00D32264"/>
    <w:rsid w:val="00D33D85"/>
    <w:rsid w:val="00D425E7"/>
    <w:rsid w:val="00D519FF"/>
    <w:rsid w:val="00D5303C"/>
    <w:rsid w:val="00D57816"/>
    <w:rsid w:val="00D64E27"/>
    <w:rsid w:val="00D7588F"/>
    <w:rsid w:val="00D76B6F"/>
    <w:rsid w:val="00D85B5F"/>
    <w:rsid w:val="00D8645A"/>
    <w:rsid w:val="00DB39FD"/>
    <w:rsid w:val="00DB3F12"/>
    <w:rsid w:val="00DC01D0"/>
    <w:rsid w:val="00DC5A2B"/>
    <w:rsid w:val="00DD268C"/>
    <w:rsid w:val="00DE04DF"/>
    <w:rsid w:val="00DE3760"/>
    <w:rsid w:val="00DF0FB9"/>
    <w:rsid w:val="00E00E45"/>
    <w:rsid w:val="00E00FBE"/>
    <w:rsid w:val="00E07AD6"/>
    <w:rsid w:val="00E1026C"/>
    <w:rsid w:val="00E11255"/>
    <w:rsid w:val="00E13CE5"/>
    <w:rsid w:val="00E147A4"/>
    <w:rsid w:val="00E166FA"/>
    <w:rsid w:val="00E16C33"/>
    <w:rsid w:val="00E25126"/>
    <w:rsid w:val="00E258C4"/>
    <w:rsid w:val="00E30AAC"/>
    <w:rsid w:val="00E43C5D"/>
    <w:rsid w:val="00E50E6F"/>
    <w:rsid w:val="00E5176A"/>
    <w:rsid w:val="00E57D74"/>
    <w:rsid w:val="00E622D1"/>
    <w:rsid w:val="00E6615E"/>
    <w:rsid w:val="00E90D31"/>
    <w:rsid w:val="00EB57E9"/>
    <w:rsid w:val="00EC18D9"/>
    <w:rsid w:val="00EC541A"/>
    <w:rsid w:val="00ED117F"/>
    <w:rsid w:val="00ED1327"/>
    <w:rsid w:val="00ED3451"/>
    <w:rsid w:val="00ED4361"/>
    <w:rsid w:val="00EE44F7"/>
    <w:rsid w:val="00F0451B"/>
    <w:rsid w:val="00F1265A"/>
    <w:rsid w:val="00F143BD"/>
    <w:rsid w:val="00F27A5F"/>
    <w:rsid w:val="00F30C9D"/>
    <w:rsid w:val="00F34225"/>
    <w:rsid w:val="00F34978"/>
    <w:rsid w:val="00F34CD3"/>
    <w:rsid w:val="00F47CBB"/>
    <w:rsid w:val="00F545FB"/>
    <w:rsid w:val="00F62D71"/>
    <w:rsid w:val="00F63333"/>
    <w:rsid w:val="00F64B8B"/>
    <w:rsid w:val="00F65265"/>
    <w:rsid w:val="00F65665"/>
    <w:rsid w:val="00F93A96"/>
    <w:rsid w:val="00F977E9"/>
    <w:rsid w:val="00F97C8A"/>
    <w:rsid w:val="00FA0513"/>
    <w:rsid w:val="00FA0E71"/>
    <w:rsid w:val="00FA19A9"/>
    <w:rsid w:val="00FA4C32"/>
    <w:rsid w:val="00FB0511"/>
    <w:rsid w:val="00FB74FA"/>
    <w:rsid w:val="00FC0A9A"/>
    <w:rsid w:val="00FD6556"/>
    <w:rsid w:val="00FF1474"/>
    <w:rsid w:val="00FF39B1"/>
    <w:rsid w:val="00FF4B3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900FA"/>
  <w15:docId w15:val="{7994675F-E921-44EB-B060-AA34B0FB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E53"/>
  </w:style>
  <w:style w:type="paragraph" w:styleId="Heading1">
    <w:name w:val="heading 1"/>
    <w:basedOn w:val="Normal"/>
    <w:next w:val="Normal"/>
    <w:link w:val="Heading1Char"/>
    <w:uiPriority w:val="99"/>
    <w:qFormat/>
    <w:rsid w:val="0091282C"/>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82C"/>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91282C"/>
    <w:pPr>
      <w:spacing w:after="200" w:line="276" w:lineRule="auto"/>
      <w:ind w:left="720"/>
      <w:contextualSpacing/>
    </w:pPr>
    <w:rPr>
      <w:rFonts w:ascii="Calibri" w:eastAsia="Times New Roman" w:hAnsi="Calibri" w:cs="Times New Roman"/>
      <w:sz w:val="22"/>
      <w:szCs w:val="20"/>
    </w:rPr>
  </w:style>
  <w:style w:type="table" w:styleId="TableGrid">
    <w:name w:val="Table Grid"/>
    <w:basedOn w:val="TableNormal"/>
    <w:rsid w:val="0091282C"/>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91282C"/>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rsid w:val="0091282C"/>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91282C"/>
    <w:rPr>
      <w:rFonts w:cs="Times New Roman"/>
      <w:vertAlign w:val="superscript"/>
    </w:rPr>
  </w:style>
  <w:style w:type="character" w:styleId="CommentReference">
    <w:name w:val="annotation reference"/>
    <w:basedOn w:val="DefaultParagraphFont"/>
    <w:rsid w:val="0091282C"/>
    <w:rPr>
      <w:rFonts w:cs="Times New Roman"/>
      <w:sz w:val="16"/>
    </w:rPr>
  </w:style>
  <w:style w:type="paragraph" w:styleId="CommentText">
    <w:name w:val="annotation text"/>
    <w:basedOn w:val="Normal"/>
    <w:link w:val="CommentTextChar"/>
    <w:rsid w:val="0091282C"/>
    <w:pPr>
      <w:spacing w:after="200"/>
    </w:pPr>
    <w:rPr>
      <w:rFonts w:ascii="Calibri" w:eastAsia="Calibri" w:hAnsi="Calibri" w:cs="Times New Roman"/>
      <w:sz w:val="20"/>
      <w:szCs w:val="20"/>
      <w:lang w:eastAsia="lv-LV"/>
    </w:rPr>
  </w:style>
  <w:style w:type="character" w:customStyle="1" w:styleId="CommentTextChar">
    <w:name w:val="Comment Text Char"/>
    <w:basedOn w:val="DefaultParagraphFont"/>
    <w:link w:val="CommentText"/>
    <w:rsid w:val="0091282C"/>
    <w:rPr>
      <w:rFonts w:ascii="Calibri" w:eastAsia="Calibri" w:hAnsi="Calibri" w:cs="Times New Roman"/>
      <w:sz w:val="20"/>
      <w:szCs w:val="20"/>
      <w:lang w:eastAsia="lv-LV"/>
    </w:rPr>
  </w:style>
  <w:style w:type="character" w:customStyle="1" w:styleId="ListParagraphChar">
    <w:name w:val="List Paragraph Char"/>
    <w:link w:val="ListParagraph"/>
    <w:uiPriority w:val="34"/>
    <w:locked/>
    <w:rsid w:val="0091282C"/>
    <w:rPr>
      <w:rFonts w:ascii="Calibri" w:eastAsia="Times New Roman" w:hAnsi="Calibri" w:cs="Times New Roman"/>
      <w:sz w:val="22"/>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91282C"/>
    <w:pPr>
      <w:spacing w:after="160" w:line="240" w:lineRule="exact"/>
      <w:jc w:val="both"/>
      <w:textAlignment w:val="baseline"/>
    </w:pPr>
    <w:rPr>
      <w:rFonts w:cs="Times New Roman"/>
      <w:vertAlign w:val="superscript"/>
    </w:rPr>
  </w:style>
  <w:style w:type="paragraph" w:styleId="BalloonText">
    <w:name w:val="Balloon Text"/>
    <w:basedOn w:val="Normal"/>
    <w:link w:val="BalloonTextChar"/>
    <w:uiPriority w:val="99"/>
    <w:semiHidden/>
    <w:unhideWhenUsed/>
    <w:rsid w:val="00912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2C"/>
    <w:rPr>
      <w:rFonts w:ascii="Segoe UI" w:hAnsi="Segoe UI" w:cs="Segoe UI"/>
      <w:sz w:val="18"/>
      <w:szCs w:val="18"/>
    </w:rPr>
  </w:style>
  <w:style w:type="paragraph" w:styleId="Header">
    <w:name w:val="header"/>
    <w:basedOn w:val="Normal"/>
    <w:link w:val="HeaderChar"/>
    <w:uiPriority w:val="99"/>
    <w:unhideWhenUsed/>
    <w:rsid w:val="00B2730F"/>
    <w:pPr>
      <w:tabs>
        <w:tab w:val="center" w:pos="4153"/>
        <w:tab w:val="right" w:pos="8306"/>
      </w:tabs>
    </w:pPr>
  </w:style>
  <w:style w:type="character" w:customStyle="1" w:styleId="HeaderChar">
    <w:name w:val="Header Char"/>
    <w:basedOn w:val="DefaultParagraphFont"/>
    <w:link w:val="Header"/>
    <w:uiPriority w:val="99"/>
    <w:rsid w:val="00B2730F"/>
  </w:style>
  <w:style w:type="paragraph" w:styleId="Footer">
    <w:name w:val="footer"/>
    <w:basedOn w:val="Normal"/>
    <w:link w:val="FooterChar"/>
    <w:uiPriority w:val="99"/>
    <w:unhideWhenUsed/>
    <w:rsid w:val="00B2730F"/>
    <w:pPr>
      <w:tabs>
        <w:tab w:val="center" w:pos="4153"/>
        <w:tab w:val="right" w:pos="8306"/>
      </w:tabs>
    </w:pPr>
  </w:style>
  <w:style w:type="character" w:customStyle="1" w:styleId="FooterChar">
    <w:name w:val="Footer Char"/>
    <w:basedOn w:val="DefaultParagraphFont"/>
    <w:link w:val="Footer"/>
    <w:uiPriority w:val="99"/>
    <w:rsid w:val="00B2730F"/>
  </w:style>
  <w:style w:type="character" w:styleId="Hyperlink">
    <w:name w:val="Hyperlink"/>
    <w:rsid w:val="00157BF8"/>
    <w:rPr>
      <w:color w:val="0000FF"/>
      <w:u w:val="single"/>
    </w:rPr>
  </w:style>
  <w:style w:type="table" w:customStyle="1" w:styleId="TableGrid1">
    <w:name w:val="Table Grid1"/>
    <w:basedOn w:val="TableNormal"/>
    <w:next w:val="TableGrid"/>
    <w:uiPriority w:val="59"/>
    <w:rsid w:val="008E3AA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32F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32F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A32F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32F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A32F7"/>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D6BDD"/>
    <w:pPr>
      <w:spacing w:after="160" w:line="252" w:lineRule="auto"/>
      <w:jc w:val="both"/>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150F"/>
    <w:pPr>
      <w:spacing w:after="0"/>
    </w:pPr>
    <w:rPr>
      <w:rFonts w:ascii="Times New Roman" w:eastAsiaTheme="minorHAnsi" w:hAnsi="Times New Roman" w:cstheme="minorBidi"/>
      <w:b/>
      <w:bCs/>
      <w:lang w:eastAsia="en-US"/>
    </w:rPr>
  </w:style>
  <w:style w:type="character" w:customStyle="1" w:styleId="CommentSubjectChar">
    <w:name w:val="Comment Subject Char"/>
    <w:basedOn w:val="CommentTextChar"/>
    <w:link w:val="CommentSubject"/>
    <w:uiPriority w:val="99"/>
    <w:semiHidden/>
    <w:rsid w:val="00C6150F"/>
    <w:rPr>
      <w:rFonts w:ascii="Calibri" w:eastAsia="Calibri" w:hAnsi="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9.png"/><Relationship Id="rId32" Type="http://schemas.openxmlformats.org/officeDocument/2006/relationships/header" Target="header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4.png"/><Relationship Id="rId31"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2</c:v>
                </c:pt>
                <c:pt idx="1">
                  <c:v>20</c:v>
                </c:pt>
                <c:pt idx="2">
                  <c:v>73</c:v>
                </c:pt>
                <c:pt idx="3">
                  <c:v>446</c:v>
                </c:pt>
                <c:pt idx="4">
                  <c:v>312</c:v>
                </c:pt>
                <c:pt idx="5">
                  <c:v>1240</c:v>
                </c:pt>
                <c:pt idx="6">
                  <c:v>841</c:v>
                </c:pt>
                <c:pt idx="7">
                  <c:v>34</c:v>
                </c:pt>
                <c:pt idx="8">
                  <c:v>313</c:v>
                </c:pt>
                <c:pt idx="9">
                  <c:v>0</c:v>
                </c:pt>
                <c:pt idx="10">
                  <c:v>0</c:v>
                </c:pt>
              </c:numCache>
            </c:numRef>
          </c:val>
          <c:extLst xmlns:c16r2="http://schemas.microsoft.com/office/drawing/2015/06/chart">
            <c:ext xmlns:c16="http://schemas.microsoft.com/office/drawing/2014/chart" uri="{C3380CC4-5D6E-409C-BE32-E72D297353CC}">
              <c16:uniqueId val="{00000000-1425-4944-A7DF-552FF0CB7DCD}"/>
            </c:ext>
          </c:extLst>
        </c:ser>
        <c:dLbls>
          <c:showLegendKey val="0"/>
          <c:showVal val="0"/>
          <c:showCatName val="0"/>
          <c:showSerName val="0"/>
          <c:showPercent val="0"/>
          <c:showBubbleSize val="0"/>
        </c:dLbls>
        <c:gapWidth val="150"/>
        <c:axId val="512507040"/>
        <c:axId val="512508608"/>
      </c:barChart>
      <c:catAx>
        <c:axId val="512507040"/>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12508608"/>
        <c:crosses val="autoZero"/>
        <c:auto val="1"/>
        <c:lblAlgn val="ctr"/>
        <c:lblOffset val="100"/>
        <c:noMultiLvlLbl val="0"/>
      </c:catAx>
      <c:valAx>
        <c:axId val="512508608"/>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125070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1</c:v>
                </c:pt>
                <c:pt idx="1">
                  <c:v>4</c:v>
                </c:pt>
                <c:pt idx="2">
                  <c:v>10</c:v>
                </c:pt>
                <c:pt idx="3">
                  <c:v>165</c:v>
                </c:pt>
                <c:pt idx="4">
                  <c:v>4</c:v>
                </c:pt>
                <c:pt idx="5">
                  <c:v>21</c:v>
                </c:pt>
                <c:pt idx="6">
                  <c:v>18</c:v>
                </c:pt>
                <c:pt idx="7">
                  <c:v>2</c:v>
                </c:pt>
                <c:pt idx="8">
                  <c:v>26</c:v>
                </c:pt>
                <c:pt idx="9">
                  <c:v>0</c:v>
                </c:pt>
                <c:pt idx="10">
                  <c:v>0</c:v>
                </c:pt>
              </c:numCache>
            </c:numRef>
          </c:val>
          <c:extLst xmlns:c16r2="http://schemas.microsoft.com/office/drawing/2015/06/chart">
            <c:ext xmlns:c16="http://schemas.microsoft.com/office/drawing/2014/chart" uri="{C3380CC4-5D6E-409C-BE32-E72D297353CC}">
              <c16:uniqueId val="{00000000-267D-41DD-9BBF-2D9BF98D92CA}"/>
            </c:ext>
          </c:extLst>
        </c:ser>
        <c:dLbls>
          <c:showLegendKey val="0"/>
          <c:showVal val="0"/>
          <c:showCatName val="0"/>
          <c:showSerName val="0"/>
          <c:showPercent val="0"/>
          <c:showBubbleSize val="0"/>
        </c:dLbls>
        <c:gapWidth val="150"/>
        <c:axId val="512510176"/>
        <c:axId val="504585160"/>
      </c:barChart>
      <c:catAx>
        <c:axId val="512510176"/>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04585160"/>
        <c:crosses val="autoZero"/>
        <c:auto val="1"/>
        <c:lblAlgn val="ctr"/>
        <c:lblOffset val="100"/>
        <c:noMultiLvlLbl val="0"/>
      </c:catAx>
      <c:valAx>
        <c:axId val="504585160"/>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125101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1</c:v>
                </c:pt>
                <c:pt idx="1">
                  <c:v>2</c:v>
                </c:pt>
                <c:pt idx="2">
                  <c:v>34</c:v>
                </c:pt>
                <c:pt idx="3">
                  <c:v>271</c:v>
                </c:pt>
                <c:pt idx="4">
                  <c:v>168</c:v>
                </c:pt>
                <c:pt idx="5">
                  <c:v>862</c:v>
                </c:pt>
                <c:pt idx="6">
                  <c:v>496</c:v>
                </c:pt>
                <c:pt idx="7">
                  <c:v>33</c:v>
                </c:pt>
                <c:pt idx="8">
                  <c:v>334</c:v>
                </c:pt>
                <c:pt idx="9">
                  <c:v>0</c:v>
                </c:pt>
                <c:pt idx="10">
                  <c:v>0</c:v>
                </c:pt>
              </c:numCache>
            </c:numRef>
          </c:val>
          <c:extLst xmlns:c16r2="http://schemas.microsoft.com/office/drawing/2015/06/chart">
            <c:ext xmlns:c16="http://schemas.microsoft.com/office/drawing/2014/chart" uri="{C3380CC4-5D6E-409C-BE32-E72D297353CC}">
              <c16:uniqueId val="{00000000-4BF9-402D-B94F-9B55A47A4931}"/>
            </c:ext>
          </c:extLst>
        </c:ser>
        <c:dLbls>
          <c:showLegendKey val="0"/>
          <c:showVal val="0"/>
          <c:showCatName val="0"/>
          <c:showSerName val="0"/>
          <c:showPercent val="0"/>
          <c:showBubbleSize val="0"/>
        </c:dLbls>
        <c:gapWidth val="150"/>
        <c:axId val="558257992"/>
        <c:axId val="558256816"/>
      </c:barChart>
      <c:catAx>
        <c:axId val="558257992"/>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58256816"/>
        <c:crosses val="autoZero"/>
        <c:auto val="1"/>
        <c:lblAlgn val="ctr"/>
        <c:lblOffset val="100"/>
        <c:noMultiLvlLbl val="0"/>
      </c:catAx>
      <c:valAx>
        <c:axId val="558256816"/>
        <c:scaling>
          <c:orientation val="minMax"/>
          <c:max val="1500"/>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582579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0</c:v>
                </c:pt>
                <c:pt idx="1">
                  <c:v>2</c:v>
                </c:pt>
                <c:pt idx="2">
                  <c:v>6</c:v>
                </c:pt>
                <c:pt idx="3">
                  <c:v>142</c:v>
                </c:pt>
                <c:pt idx="4">
                  <c:v>6</c:v>
                </c:pt>
                <c:pt idx="5">
                  <c:v>9</c:v>
                </c:pt>
                <c:pt idx="6">
                  <c:v>7</c:v>
                </c:pt>
                <c:pt idx="7">
                  <c:v>1</c:v>
                </c:pt>
                <c:pt idx="8">
                  <c:v>4</c:v>
                </c:pt>
                <c:pt idx="9">
                  <c:v>0</c:v>
                </c:pt>
                <c:pt idx="10">
                  <c:v>0</c:v>
                </c:pt>
              </c:numCache>
            </c:numRef>
          </c:val>
          <c:extLst xmlns:c16r2="http://schemas.microsoft.com/office/drawing/2015/06/chart">
            <c:ext xmlns:c16="http://schemas.microsoft.com/office/drawing/2014/chart" uri="{C3380CC4-5D6E-409C-BE32-E72D297353CC}">
              <c16:uniqueId val="{00000000-311B-4F97-A290-3ECE569E3B50}"/>
            </c:ext>
          </c:extLst>
        </c:ser>
        <c:dLbls>
          <c:showLegendKey val="0"/>
          <c:showVal val="0"/>
          <c:showCatName val="0"/>
          <c:showSerName val="0"/>
          <c:showPercent val="0"/>
          <c:showBubbleSize val="0"/>
        </c:dLbls>
        <c:gapWidth val="150"/>
        <c:axId val="558257208"/>
        <c:axId val="558257600"/>
      </c:barChart>
      <c:catAx>
        <c:axId val="558257208"/>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58257600"/>
        <c:crosses val="autoZero"/>
        <c:auto val="1"/>
        <c:lblAlgn val="ctr"/>
        <c:lblOffset val="100"/>
        <c:noMultiLvlLbl val="0"/>
      </c:catAx>
      <c:valAx>
        <c:axId val="558257600"/>
        <c:scaling>
          <c:orientation val="minMax"/>
          <c:max val="200"/>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582572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0</c:v>
                </c:pt>
                <c:pt idx="1">
                  <c:v>0</c:v>
                </c:pt>
                <c:pt idx="2">
                  <c:v>4</c:v>
                </c:pt>
                <c:pt idx="3">
                  <c:v>95</c:v>
                </c:pt>
                <c:pt idx="4">
                  <c:v>0</c:v>
                </c:pt>
                <c:pt idx="5">
                  <c:v>0</c:v>
                </c:pt>
                <c:pt idx="6">
                  <c:v>0</c:v>
                </c:pt>
                <c:pt idx="7">
                  <c:v>0</c:v>
                </c:pt>
                <c:pt idx="8">
                  <c:v>1</c:v>
                </c:pt>
                <c:pt idx="9">
                  <c:v>0</c:v>
                </c:pt>
                <c:pt idx="10">
                  <c:v>0</c:v>
                </c:pt>
              </c:numCache>
            </c:numRef>
          </c:val>
          <c:extLst xmlns:c16r2="http://schemas.microsoft.com/office/drawing/2015/06/chart">
            <c:ext xmlns:c16="http://schemas.microsoft.com/office/drawing/2014/chart" uri="{C3380CC4-5D6E-409C-BE32-E72D297353CC}">
              <c16:uniqueId val="{00000000-C1A9-4D03-B1D4-126CE4CB88FA}"/>
            </c:ext>
          </c:extLst>
        </c:ser>
        <c:dLbls>
          <c:showLegendKey val="0"/>
          <c:showVal val="0"/>
          <c:showCatName val="0"/>
          <c:showSerName val="0"/>
          <c:showPercent val="0"/>
          <c:showBubbleSize val="0"/>
        </c:dLbls>
        <c:gapWidth val="150"/>
        <c:axId val="558259560"/>
        <c:axId val="558258776"/>
      </c:barChart>
      <c:catAx>
        <c:axId val="558259560"/>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58258776"/>
        <c:crosses val="autoZero"/>
        <c:auto val="1"/>
        <c:lblAlgn val="ctr"/>
        <c:lblOffset val="100"/>
        <c:noMultiLvlLbl val="0"/>
      </c:catAx>
      <c:valAx>
        <c:axId val="558258776"/>
        <c:scaling>
          <c:orientation val="minMax"/>
          <c:max val="200"/>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582595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Sheet1!$A$2:$A$12</c:f>
              <c:strCache>
                <c:ptCount val="11"/>
                <c:pt idx="0">
                  <c:v>&lt;2mln</c:v>
                </c:pt>
                <c:pt idx="1">
                  <c:v>1-2 mln</c:v>
                </c:pt>
                <c:pt idx="2">
                  <c:v>500 tk-999 tk</c:v>
                </c:pt>
                <c:pt idx="3">
                  <c:v>250-499 tk</c:v>
                </c:pt>
                <c:pt idx="4">
                  <c:v>200-249 tk</c:v>
                </c:pt>
                <c:pt idx="5">
                  <c:v>150-199 tk</c:v>
                </c:pt>
                <c:pt idx="6">
                  <c:v>125-149 tk</c:v>
                </c:pt>
                <c:pt idx="7">
                  <c:v>100-124 tk</c:v>
                </c:pt>
                <c:pt idx="8">
                  <c:v>50-99 tk</c:v>
                </c:pt>
                <c:pt idx="9">
                  <c:v>25-49 tk</c:v>
                </c:pt>
                <c:pt idx="10">
                  <c:v>&gt;25 tk</c:v>
                </c:pt>
              </c:strCache>
            </c:strRef>
          </c:cat>
          <c:val>
            <c:numRef>
              <c:f>Sheet1!$B$2:$B$12</c:f>
              <c:numCache>
                <c:formatCode>General</c:formatCode>
                <c:ptCount val="11"/>
                <c:pt idx="0">
                  <c:v>0</c:v>
                </c:pt>
                <c:pt idx="1">
                  <c:v>0</c:v>
                </c:pt>
                <c:pt idx="2">
                  <c:v>2</c:v>
                </c:pt>
                <c:pt idx="3">
                  <c:v>42</c:v>
                </c:pt>
                <c:pt idx="4">
                  <c:v>0</c:v>
                </c:pt>
                <c:pt idx="5">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0-C1A9-4D03-B1D4-126CE4CB88FA}"/>
            </c:ext>
          </c:extLst>
        </c:ser>
        <c:dLbls>
          <c:showLegendKey val="0"/>
          <c:showVal val="0"/>
          <c:showCatName val="0"/>
          <c:showSerName val="0"/>
          <c:showPercent val="0"/>
          <c:showBubbleSize val="0"/>
        </c:dLbls>
        <c:gapWidth val="150"/>
        <c:axId val="558259168"/>
        <c:axId val="559716400"/>
      </c:barChart>
      <c:catAx>
        <c:axId val="558259168"/>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59716400"/>
        <c:crosses val="autoZero"/>
        <c:auto val="1"/>
        <c:lblAlgn val="ctr"/>
        <c:lblOffset val="100"/>
        <c:noMultiLvlLbl val="0"/>
      </c:catAx>
      <c:valAx>
        <c:axId val="559716400"/>
        <c:scaling>
          <c:orientation val="minMax"/>
          <c:max val="200"/>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55825916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090601832665699"/>
          <c:y val="0.109011373578303"/>
          <c:w val="0.74064373532255801"/>
          <c:h val="0.81815296343771005"/>
        </c:manualLayout>
      </c:layout>
      <c:pieChart>
        <c:varyColors val="1"/>
        <c:ser>
          <c:idx val="0"/>
          <c:order val="0"/>
          <c:tx>
            <c:strRef>
              <c:f>Sheet1!$B$1</c:f>
              <c:strCache>
                <c:ptCount val="1"/>
                <c:pt idx="0">
                  <c:v>Column2</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001-4CAD-A052-D6A4A865FB8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001-4CAD-A052-D6A4A865FB8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001-4CAD-A052-D6A4A865FB8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001-4CAD-A052-D6A4A865FB8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001-4CAD-A052-D6A4A865FB8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D001-4CAD-A052-D6A4A865FB8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D001-4CAD-A052-D6A4A865FB8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D001-4CAD-A052-D6A4A865FB8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D001-4CAD-A052-D6A4A865FB8A}"/>
              </c:ext>
            </c:extLst>
          </c:dPt>
          <c:dLbls>
            <c:dLbl>
              <c:idx val="0"/>
              <c:tx>
                <c:rich>
                  <a:bodyPr/>
                  <a:lstStyle/>
                  <a:p>
                    <a:fld id="{60938E9B-5220-450E-8F63-08239A2A1488}" type="CATEGORYNAME">
                      <a:rPr lang="en-US"/>
                      <a:pPr/>
                      <a:t>[CATEGORY NAME]</a:t>
                    </a:fld>
                    <a:endParaRPr lang="en-US" baseline="0"/>
                  </a:p>
                  <a:p>
                    <a:fld id="{FFEAD185-8F1B-40FF-8A5B-C16A7003CB2C}" type="VALUE">
                      <a:rPr lang="en-US" baseline="0"/>
                      <a:pPr/>
                      <a:t>[VALUE]</a:t>
                    </a:fld>
                    <a:endParaRPr lang="en-GB"/>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D001-4CAD-A052-D6A4A865FB8A}"/>
                </c:ext>
                <c:ext xmlns:c15="http://schemas.microsoft.com/office/drawing/2012/chart" uri="{CE6537A1-D6FC-4f65-9D91-7224C49458BB}">
                  <c15:dlblFieldTable/>
                  <c15:showDataLabelsRange val="0"/>
                </c:ext>
              </c:extLst>
            </c:dLbl>
            <c:dLbl>
              <c:idx val="1"/>
              <c:tx>
                <c:rich>
                  <a:bodyPr/>
                  <a:lstStyle/>
                  <a:p>
                    <a:fld id="{62E3A3D8-B774-4471-94E5-1439F2104428}" type="CATEGORYNAME">
                      <a:rPr lang="en-US"/>
                      <a:pPr/>
                      <a:t>[CATEGORY NAME]</a:t>
                    </a:fld>
                    <a:endParaRPr lang="en-US" baseline="0"/>
                  </a:p>
                  <a:p>
                    <a:fld id="{771579C2-DE8A-4835-94F2-3F5ACAFBE836}" type="VALUE">
                      <a:rPr lang="en-US" baseline="0"/>
                      <a:pPr/>
                      <a:t>[VALUE]</a:t>
                    </a:fld>
                    <a:endParaRPr lang="en-GB"/>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D001-4CAD-A052-D6A4A865FB8A}"/>
                </c:ext>
                <c:ext xmlns:c15="http://schemas.microsoft.com/office/drawing/2012/chart" uri="{CE6537A1-D6FC-4f65-9D91-7224C49458BB}">
                  <c15:dlblFieldTable/>
                  <c15:showDataLabelsRange val="0"/>
                </c:ext>
              </c:extLst>
            </c:dLbl>
            <c:dLbl>
              <c:idx val="2"/>
              <c:tx>
                <c:rich>
                  <a:bodyPr/>
                  <a:lstStyle/>
                  <a:p>
                    <a:fld id="{45F2649B-D462-447E-B36D-6E4407108434}" type="CATEGORYNAME">
                      <a:rPr lang="en-US"/>
                      <a:pPr/>
                      <a:t>[CATEGORY NAME]</a:t>
                    </a:fld>
                    <a:endParaRPr lang="en-US" baseline="0"/>
                  </a:p>
                  <a:p>
                    <a:fld id="{C66B4FC1-4902-4926-A323-EA15A5CA8D57}" type="VALUE">
                      <a:rPr lang="en-US" baseline="0"/>
                      <a:pPr/>
                      <a:t>[VALUE]</a:t>
                    </a:fld>
                    <a:endParaRPr lang="en-GB"/>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D001-4CAD-A052-D6A4A865FB8A}"/>
                </c:ext>
                <c:ext xmlns:c15="http://schemas.microsoft.com/office/drawing/2012/chart" uri="{CE6537A1-D6FC-4f65-9D91-7224C49458BB}">
                  <c15:dlblFieldTable/>
                  <c15:showDataLabelsRange val="0"/>
                </c:ext>
              </c:extLst>
            </c:dLbl>
            <c:dLbl>
              <c:idx val="3"/>
              <c:tx>
                <c:rich>
                  <a:bodyPr/>
                  <a:lstStyle/>
                  <a:p>
                    <a:fld id="{00426408-CC32-4828-AB93-8FB16B4380F4}" type="CATEGORYNAME">
                      <a:rPr lang="en-US"/>
                      <a:pPr/>
                      <a:t>[CATEGORY NAME]</a:t>
                    </a:fld>
                    <a:endParaRPr lang="en-US" baseline="0"/>
                  </a:p>
                  <a:p>
                    <a:fld id="{5D3BA24D-6BE3-43C3-B5BA-FEABE86BFC50}" type="VALUE">
                      <a:rPr lang="en-US" baseline="0"/>
                      <a:pPr/>
                      <a:t>[VALUE]</a:t>
                    </a:fld>
                    <a:endParaRPr lang="en-GB"/>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D001-4CAD-A052-D6A4A865FB8A}"/>
                </c:ext>
                <c:ext xmlns:c15="http://schemas.microsoft.com/office/drawing/2012/chart" uri="{CE6537A1-D6FC-4f65-9D91-7224C49458BB}">
                  <c15:dlblFieldTable/>
                  <c15:showDataLabelsRange val="0"/>
                </c:ext>
              </c:extLst>
            </c:dLbl>
            <c:dLbl>
              <c:idx val="4"/>
              <c:tx>
                <c:rich>
                  <a:bodyPr/>
                  <a:lstStyle/>
                  <a:p>
                    <a:fld id="{8F6678FB-9853-4E20-8DB3-A6A240E3275C}" type="CATEGORYNAME">
                      <a:rPr lang="en-US"/>
                      <a:pPr/>
                      <a:t>[CATEGORY NAME]</a:t>
                    </a:fld>
                    <a:endParaRPr lang="en-US" baseline="0"/>
                  </a:p>
                  <a:p>
                    <a:fld id="{AE8E2C53-E8CA-4DEE-980F-3D38C6538F08}" type="VALUE">
                      <a:rPr lang="en-US" baseline="0"/>
                      <a:pPr/>
                      <a:t>[VALUE]</a:t>
                    </a:fld>
                    <a:endParaRPr lang="en-GB"/>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D001-4CAD-A052-D6A4A865FB8A}"/>
                </c:ext>
                <c:ext xmlns:c15="http://schemas.microsoft.com/office/drawing/2012/chart" uri="{CE6537A1-D6FC-4f65-9D91-7224C49458BB}">
                  <c15:dlblFieldTable/>
                  <c15:showDataLabelsRange val="0"/>
                </c:ext>
              </c:extLst>
            </c:dLbl>
            <c:dLbl>
              <c:idx val="5"/>
              <c:tx>
                <c:rich>
                  <a:bodyPr/>
                  <a:lstStyle/>
                  <a:p>
                    <a:fld id="{E13CBF36-AD5C-43B0-BF06-7DCE523C32CB}" type="CATEGORYNAME">
                      <a:rPr lang="en-US"/>
                      <a:pPr/>
                      <a:t>[CATEGORY NAME]</a:t>
                    </a:fld>
                    <a:endParaRPr lang="en-US" baseline="0"/>
                  </a:p>
                  <a:p>
                    <a:fld id="{B3407823-07D2-4068-9269-491BC70ADFE2}" type="VALUE">
                      <a:rPr lang="en-US" baseline="0"/>
                      <a:pPr/>
                      <a:t>[VALUE]</a:t>
                    </a:fld>
                    <a:endParaRPr lang="en-GB"/>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D001-4CAD-A052-D6A4A865FB8A}"/>
                </c:ext>
                <c:ext xmlns:c15="http://schemas.microsoft.com/office/drawing/2012/chart" uri="{CE6537A1-D6FC-4f65-9D91-7224C49458BB}">
                  <c15:dlblFieldTable/>
                  <c15:showDataLabelsRange val="0"/>
                </c:ext>
              </c:extLst>
            </c:dLbl>
            <c:dLbl>
              <c:idx val="6"/>
              <c:layout>
                <c:manualLayout>
                  <c:x val="-4.2857116544642498E-2"/>
                  <c:y val="7.0932470650470994E-2"/>
                </c:manualLayout>
              </c:layout>
              <c:tx>
                <c:rich>
                  <a:bodyPr/>
                  <a:lstStyle/>
                  <a:p>
                    <a:fld id="{64DBF514-3829-4B8A-9B9B-D57C795FB764}" type="CATEGORYNAME">
                      <a:rPr lang="en-US"/>
                      <a:pPr/>
                      <a:t>[CATEGORY NAME]</a:t>
                    </a:fld>
                    <a:endParaRPr lang="en-US" baseline="0"/>
                  </a:p>
                  <a:p>
                    <a:fld id="{8873E830-5C8B-4EC1-9C63-26A1F186C5B4}" type="VALUE">
                      <a:rPr lang="en-US" baseline="0"/>
                      <a:pPr/>
                      <a:t>[VALUE]</a:t>
                    </a:fld>
                    <a:endParaRPr lang="en-GB"/>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D001-4CAD-A052-D6A4A865FB8A}"/>
                </c:ext>
                <c:ext xmlns:c15="http://schemas.microsoft.com/office/drawing/2012/chart" uri="{CE6537A1-D6FC-4f65-9D91-7224C49458BB}">
                  <c15:dlblFieldTable/>
                  <c15:showDataLabelsRange val="0"/>
                </c:ext>
              </c:extLst>
            </c:dLbl>
            <c:dLbl>
              <c:idx val="7"/>
              <c:layout>
                <c:manualLayout>
                  <c:x val="-5.0408435787631801E-2"/>
                  <c:y val="2.6450589025209002E-2"/>
                </c:manualLayout>
              </c:layout>
              <c:tx>
                <c:rich>
                  <a:bodyPr/>
                  <a:lstStyle/>
                  <a:p>
                    <a:fld id="{42B6A736-FCD2-4786-B2D4-04990E6597BE}" type="CATEGORYNAME">
                      <a:rPr lang="en-US"/>
                      <a:pPr/>
                      <a:t>[CATEGORY NAME]</a:t>
                    </a:fld>
                    <a:endParaRPr lang="en-US" baseline="0"/>
                  </a:p>
                  <a:p>
                    <a:fld id="{349E467D-8ADF-4D16-9B88-137CCF1D583E}" type="VALUE">
                      <a:rPr lang="en-US" baseline="0"/>
                      <a:pPr/>
                      <a:t>[VALUE]</a:t>
                    </a:fld>
                    <a:endParaRPr lang="en-GB"/>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D001-4CAD-A052-D6A4A865FB8A}"/>
                </c:ext>
                <c:ext xmlns:c15="http://schemas.microsoft.com/office/drawing/2012/chart" uri="{CE6537A1-D6FC-4f65-9D91-7224C49458BB}">
                  <c15:dlblFieldTable/>
                  <c15:showDataLabelsRange val="0"/>
                </c:ext>
              </c:extLst>
            </c:dLbl>
            <c:dLbl>
              <c:idx val="8"/>
              <c:layout>
                <c:manualLayout>
                  <c:x val="4.6783625730994101E-2"/>
                  <c:y val="2.96685588720015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baseline="0"/>
                      <a:t>Vecāki par 2010</a:t>
                    </a:r>
                  </a:p>
                  <a:p>
                    <a:pPr>
                      <a:defRPr sz="800">
                        <a:latin typeface="Times New Roman" panose="02020603050405020304" pitchFamily="18" charset="0"/>
                        <a:cs typeface="Times New Roman" panose="02020603050405020304" pitchFamily="18" charset="0"/>
                      </a:defRPr>
                    </a:pPr>
                    <a:fld id="{B54D6EF9-C9F7-4875-B7B7-D65271C104F7}" type="VALUE">
                      <a:rPr lang="en-US" baseline="0"/>
                      <a:pPr>
                        <a:defRPr sz="800">
                          <a:latin typeface="Times New Roman" panose="02020603050405020304" pitchFamily="18" charset="0"/>
                          <a:cs typeface="Times New Roman" panose="02020603050405020304" pitchFamily="18" charset="0"/>
                        </a:defRPr>
                      </a:pPr>
                      <a:t>[VALUE]</a:t>
                    </a:fld>
                    <a:endParaRPr lang="en-GB"/>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1-D001-4CAD-A052-D6A4A865FB8A}"/>
                </c:ext>
                <c:ext xmlns:c15="http://schemas.microsoft.com/office/drawing/2012/chart" uri="{CE6537A1-D6FC-4f65-9D91-7224C49458BB}">
                  <c15:layout>
                    <c:manualLayout>
                      <c:w val="0.29356725146198831"/>
                      <c:h val="0.122739018087855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Sheet1!$A$2:$A$10</c:f>
              <c:strCache>
                <c:ptCount val="9"/>
                <c:pt idx="0">
                  <c:v>2017</c:v>
                </c:pt>
                <c:pt idx="1">
                  <c:v>2016</c:v>
                </c:pt>
                <c:pt idx="2">
                  <c:v>2015</c:v>
                </c:pt>
                <c:pt idx="3">
                  <c:v>2014</c:v>
                </c:pt>
                <c:pt idx="4">
                  <c:v>2013</c:v>
                </c:pt>
                <c:pt idx="5">
                  <c:v>2012</c:v>
                </c:pt>
                <c:pt idx="6">
                  <c:v>2011</c:v>
                </c:pt>
                <c:pt idx="7">
                  <c:v>2010</c:v>
                </c:pt>
                <c:pt idx="8">
                  <c:v>Vecāki par 2010.g.</c:v>
                </c:pt>
              </c:strCache>
            </c:strRef>
          </c:cat>
          <c:val>
            <c:numRef>
              <c:f>Sheet1!$B$2:$B$10</c:f>
              <c:numCache>
                <c:formatCode>General</c:formatCode>
                <c:ptCount val="9"/>
                <c:pt idx="0">
                  <c:v>78</c:v>
                </c:pt>
                <c:pt idx="1">
                  <c:v>105</c:v>
                </c:pt>
                <c:pt idx="2">
                  <c:v>106</c:v>
                </c:pt>
                <c:pt idx="3">
                  <c:v>104</c:v>
                </c:pt>
                <c:pt idx="4">
                  <c:v>126</c:v>
                </c:pt>
                <c:pt idx="5">
                  <c:v>72</c:v>
                </c:pt>
                <c:pt idx="6">
                  <c:v>44</c:v>
                </c:pt>
                <c:pt idx="7">
                  <c:v>25</c:v>
                </c:pt>
                <c:pt idx="8">
                  <c:v>69</c:v>
                </c:pt>
              </c:numCache>
            </c:numRef>
          </c:val>
          <c:extLst xmlns:c16r2="http://schemas.microsoft.com/office/drawing/2015/06/chart">
            <c:ext xmlns:c16="http://schemas.microsoft.com/office/drawing/2014/chart" uri="{C3380CC4-5D6E-409C-BE32-E72D297353CC}">
              <c16:uniqueId val="{00000012-D001-4CAD-A052-D6A4A865FB8A}"/>
            </c:ext>
          </c:extLst>
        </c:ser>
        <c:dLbls>
          <c:showLegendKey val="0"/>
          <c:showVal val="0"/>
          <c:showCatName val="0"/>
          <c:showSerName val="0"/>
          <c:showPercent val="0"/>
          <c:showBubbleSize val="0"/>
          <c:showLeaderLines val="1"/>
        </c:dLbls>
        <c:firstSliceAng val="351"/>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4327527240913099E-2"/>
          <c:y val="0.124515249547295"/>
          <c:w val="0.80003181420504299"/>
          <c:h val="0.81863720523306704"/>
        </c:manualLayout>
      </c:layout>
      <c:pieChart>
        <c:varyColors val="1"/>
        <c:ser>
          <c:idx val="0"/>
          <c:order val="0"/>
          <c:tx>
            <c:strRef>
              <c:f>Sheet1!$B$1</c:f>
              <c:strCache>
                <c:ptCount val="1"/>
                <c:pt idx="0">
                  <c:v>Column2</c:v>
                </c:pt>
              </c:strCache>
            </c:strRef>
          </c:tx>
          <c:dPt>
            <c:idx val="0"/>
            <c:bubble3D val="0"/>
            <c:spPr>
              <a:solidFill>
                <a:srgbClr val="FBDC9D"/>
              </a:solidFill>
              <a:ln w="19050">
                <a:solidFill>
                  <a:schemeClr val="lt1"/>
                </a:solidFill>
              </a:ln>
              <a:effectLst/>
            </c:spPr>
            <c:extLst xmlns:c16r2="http://schemas.microsoft.com/office/drawing/2015/06/chart">
              <c:ext xmlns:c16="http://schemas.microsoft.com/office/drawing/2014/chart" uri="{C3380CC4-5D6E-409C-BE32-E72D297353CC}">
                <c16:uniqueId val="{00000001-F17F-4DE4-97F2-1DAABFAFE3E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17F-4DE4-97F2-1DAABFAFE3E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17F-4DE4-97F2-1DAABFAFE3E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17F-4DE4-97F2-1DAABFAFE3EA}"/>
              </c:ext>
            </c:extLst>
          </c:dPt>
          <c:dPt>
            <c:idx val="4"/>
            <c:bubble3D val="0"/>
            <c:spPr>
              <a:solidFill>
                <a:srgbClr val="96B0DE"/>
              </a:solidFill>
              <a:ln w="19050">
                <a:solidFill>
                  <a:schemeClr val="lt1"/>
                </a:solidFill>
              </a:ln>
              <a:effectLst/>
            </c:spPr>
            <c:extLst xmlns:c16r2="http://schemas.microsoft.com/office/drawing/2015/06/chart">
              <c:ext xmlns:c16="http://schemas.microsoft.com/office/drawing/2014/chart" uri="{C3380CC4-5D6E-409C-BE32-E72D297353CC}">
                <c16:uniqueId val="{00000009-F17F-4DE4-97F2-1DAABFAFE3E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17F-4DE4-97F2-1DAABFAFE3EA}"/>
              </c:ext>
            </c:extLst>
          </c:dPt>
          <c:dPt>
            <c:idx val="6"/>
            <c:bubble3D val="0"/>
            <c:spPr>
              <a:solidFill>
                <a:srgbClr val="84688A">
                  <a:alpha val="46667"/>
                </a:srgbClr>
              </a:solidFill>
              <a:ln w="19050">
                <a:solidFill>
                  <a:schemeClr val="lt1"/>
                </a:solidFill>
              </a:ln>
              <a:effectLst/>
            </c:spPr>
            <c:extLst xmlns:c16r2="http://schemas.microsoft.com/office/drawing/2015/06/chart">
              <c:ext xmlns:c16="http://schemas.microsoft.com/office/drawing/2014/chart" uri="{C3380CC4-5D6E-409C-BE32-E72D297353CC}">
                <c16:uniqueId val="{0000000D-F17F-4DE4-97F2-1DAABFAFE3EA}"/>
              </c:ext>
            </c:extLst>
          </c:dPt>
          <c:dLbls>
            <c:dLbl>
              <c:idx val="0"/>
              <c:layout>
                <c:manualLayout>
                  <c:x val="-7.5731329038415701E-2"/>
                  <c:y val="3.8759689922480598E-3"/>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fld id="{94337338-4615-49F7-906A-93551482D5A7}" type="CATEGORYNAME">
                      <a:rPr lang="en-US" sz="800"/>
                      <a:pPr>
                        <a:defRPr sz="800">
                          <a:latin typeface="Times New Roman" panose="02020603050405020304" pitchFamily="18" charset="0"/>
                        </a:defRPr>
                      </a:pPr>
                      <a:t>[CATEGORY NAME]</a:t>
                    </a:fld>
                    <a:r>
                      <a:rPr lang="en-US" sz="800" baseline="0"/>
                      <a:t> </a:t>
                    </a:r>
                    <a:fld id="{5E523A96-BA13-43D4-9559-DFC867712F60}" type="VALUE">
                      <a:rPr lang="en-US" sz="800" baseline="0"/>
                      <a:pPr>
                        <a:defRPr sz="800">
                          <a:latin typeface="Times New Roman" panose="02020603050405020304" pitchFamily="18" charset="0"/>
                        </a:defRPr>
                      </a:pPr>
                      <a:t>[VALUE]</a:t>
                    </a:fld>
                    <a:endParaRPr lang="en-US" sz="800" baseline="0"/>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17F-4DE4-97F2-1DAABFAFE3EA}"/>
                </c:ext>
                <c:ext xmlns:c15="http://schemas.microsoft.com/office/drawing/2012/chart" uri="{CE6537A1-D6FC-4f65-9D91-7224C49458BB}">
                  <c15:layout>
                    <c:manualLayout>
                      <c:w val="0.24924520798536545"/>
                      <c:h val="0.19638242894056848"/>
                    </c:manualLayout>
                  </c15:layout>
                  <c15:dlblFieldTable/>
                  <c15:showDataLabelsRange val="0"/>
                </c:ext>
              </c:extLst>
            </c:dLbl>
            <c:dLbl>
              <c:idx val="1"/>
              <c:layout>
                <c:manualLayout>
                  <c:x val="2.1789946711206501E-2"/>
                  <c:y val="5.8139534883720902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fld id="{3AB9D1FA-2EDD-4D70-AD5D-A26BA63AB36A}" type="CATEGORYNAME">
                      <a:rPr lang="en-US" sz="800"/>
                      <a:pPr>
                        <a:defRPr sz="800">
                          <a:latin typeface="Times New Roman" panose="02020603050405020304" pitchFamily="18" charset="0"/>
                        </a:defRPr>
                      </a:pPr>
                      <a:t>[CATEGORY NAME]</a:t>
                    </a:fld>
                    <a:r>
                      <a:rPr lang="en-US" sz="800" baseline="0"/>
                      <a:t>;</a:t>
                    </a:r>
                  </a:p>
                  <a:p>
                    <a:pPr>
                      <a:defRPr sz="800">
                        <a:latin typeface="Times New Roman" panose="02020603050405020304" pitchFamily="18" charset="0"/>
                      </a:defRPr>
                    </a:pPr>
                    <a:fld id="{F42451DC-0829-407E-8663-86196374CED1}" type="VALUE">
                      <a:rPr lang="en-US" sz="800" baseline="0"/>
                      <a:pPr>
                        <a:defRPr sz="800">
                          <a:latin typeface="Times New Roman" panose="02020603050405020304" pitchFamily="18" charset="0"/>
                        </a:defRPr>
                      </a:pPr>
                      <a:t>[VALUE]</a:t>
                    </a:fld>
                    <a:endParaRPr lang="en-GB"/>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F17F-4DE4-97F2-1DAABFAFE3EA}"/>
                </c:ext>
                <c:ext xmlns:c15="http://schemas.microsoft.com/office/drawing/2012/chart" uri="{CE6537A1-D6FC-4f65-9D91-7224C49458BB}">
                  <c15:layout>
                    <c:manualLayout>
                      <c:w val="0.25393104271057021"/>
                      <c:h val="0.11627906976744186"/>
                    </c:manualLayout>
                  </c15:layout>
                  <c15:dlblFieldTable/>
                  <c15:showDataLabelsRange val="0"/>
                </c:ext>
              </c:extLst>
            </c:dLbl>
            <c:dLbl>
              <c:idx val="2"/>
              <c:layout>
                <c:manualLayout>
                  <c:x val="-0.16979897399188701"/>
                  <c:y val="1.3423670878349499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F17F-4DE4-97F2-1DAABFAFE3EA}"/>
                </c:ext>
                <c:ext xmlns:c15="http://schemas.microsoft.com/office/drawing/2012/chart" uri="{CE6537A1-D6FC-4f65-9D91-7224C49458BB}">
                  <c15:layout>
                    <c:manualLayout>
                      <c:w val="0.27052413902807598"/>
                      <c:h val="0.24325581395348836"/>
                    </c:manualLayout>
                  </c15:layout>
                </c:ext>
              </c:extLst>
            </c:dLbl>
            <c:dLbl>
              <c:idx val="3"/>
              <c:layout>
                <c:manualLayout>
                  <c:x val="-2.2387258410880499E-3"/>
                  <c:y val="2.4056237156402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fld id="{C7FD21BD-73C5-4094-BB03-C24771B3C363}" type="CATEGORYNAME">
                      <a:rPr lang="en-US"/>
                      <a:pPr>
                        <a:defRPr sz="800">
                          <a:latin typeface="Times New Roman" panose="02020603050405020304" pitchFamily="18" charset="0"/>
                        </a:defRPr>
                      </a:pPr>
                      <a:t>[CATEGORY NAME]</a:t>
                    </a:fld>
                    <a:endParaRPr lang="en-US" baseline="0"/>
                  </a:p>
                  <a:p>
                    <a:pPr>
                      <a:defRPr sz="800">
                        <a:latin typeface="Times New Roman" panose="02020603050405020304" pitchFamily="18" charset="0"/>
                      </a:defRPr>
                    </a:pPr>
                    <a:r>
                      <a:rPr lang="en-US" baseline="0"/>
                      <a:t> </a:t>
                    </a:r>
                    <a:fld id="{0A1FBCC2-B646-4A40-B427-62550B304F6E}" type="VALUE">
                      <a:rPr lang="en-US" baseline="0"/>
                      <a:pPr>
                        <a:defRPr sz="800">
                          <a:latin typeface="Times New Roman" panose="02020603050405020304" pitchFamily="18" charset="0"/>
                        </a:defRPr>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F17F-4DE4-97F2-1DAABFAFE3EA}"/>
                </c:ext>
                <c:ext xmlns:c15="http://schemas.microsoft.com/office/drawing/2012/chart" uri="{CE6537A1-D6FC-4f65-9D91-7224C49458BB}">
                  <c15:layout>
                    <c:manualLayout>
                      <c:w val="0.32698122961902487"/>
                      <c:h val="0.18356385684347595"/>
                    </c:manualLayout>
                  </c15:layout>
                  <c15:dlblFieldTable/>
                  <c15:showDataLabelsRange val="0"/>
                </c:ext>
              </c:extLst>
            </c:dLbl>
            <c:dLbl>
              <c:idx val="4"/>
              <c:layout>
                <c:manualLayout>
                  <c:x val="0.16666666666666699"/>
                  <c:y val="-0.15891493214510999"/>
                </c:manualLayout>
              </c:layout>
              <c:tx>
                <c:rich>
                  <a:bodyPr/>
                  <a:lstStyle/>
                  <a:p>
                    <a:fld id="{46B3DBAF-F31C-419F-9263-B2CA16169E2D}" type="CATEGORYNAME">
                      <a:rPr lang="en-US"/>
                      <a:pPr/>
                      <a:t>[CATEGORY NAME]</a:t>
                    </a:fld>
                    <a:r>
                      <a:rPr lang="en-US" baseline="0"/>
                      <a:t> </a:t>
                    </a:r>
                    <a:fld id="{C116DE47-D525-4612-A778-0911E377E263}" type="VALUE">
                      <a:rPr lang="en-US" baseline="0"/>
                      <a:pPr/>
                      <a:t>[VALUE]</a:t>
                    </a:fld>
                    <a:endParaRPr lang="en-US" baseline="0"/>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F17F-4DE4-97F2-1DAABFAFE3EA}"/>
                </c:ext>
                <c:ext xmlns:c15="http://schemas.microsoft.com/office/drawing/2012/chart" uri="{CE6537A1-D6FC-4f65-9D91-7224C49458BB}">
                  <c15:layout>
                    <c:manualLayout>
                      <c:w val="0.40025252525252525"/>
                      <c:h val="0.20155038759689919"/>
                    </c:manualLayout>
                  </c15:layout>
                  <c15:dlblFieldTable/>
                  <c15:showDataLabelsRange val="0"/>
                </c:ext>
              </c:extLst>
            </c:dLbl>
            <c:dLbl>
              <c:idx val="5"/>
              <c:layout>
                <c:manualLayout>
                  <c:x val="2.9027877197168501E-2"/>
                  <c:y val="0.118024781785998"/>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fld id="{A61D4BD5-A53F-4656-9735-B4EB6F76CE43}" type="CATEGORYNAME">
                      <a:rPr lang="en-US"/>
                      <a:pPr>
                        <a:defRPr sz="800">
                          <a:latin typeface="Times New Roman" panose="02020603050405020304" pitchFamily="18" charset="0"/>
                        </a:defRPr>
                      </a:pPr>
                      <a:t>[CATEGORY NAME]</a:t>
                    </a:fld>
                    <a:r>
                      <a:rPr lang="en-US" baseline="0"/>
                      <a:t> </a:t>
                    </a:r>
                    <a:fld id="{4BD89656-F0FB-4254-91BB-08F5956DCA70}" type="VALUE">
                      <a:rPr lang="en-US" baseline="0"/>
                      <a:pPr>
                        <a:defRPr sz="800">
                          <a:latin typeface="Times New Roman" panose="02020603050405020304" pitchFamily="18" charset="0"/>
                        </a:defRPr>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F17F-4DE4-97F2-1DAABFAFE3EA}"/>
                </c:ext>
                <c:ext xmlns:c15="http://schemas.microsoft.com/office/drawing/2012/chart" uri="{CE6537A1-D6FC-4f65-9D91-7224C49458BB}">
                  <c15:layout>
                    <c:manualLayout>
                      <c:w val="0.31315636681778408"/>
                      <c:h val="0.11679586563307494"/>
                    </c:manualLayout>
                  </c15:layout>
                  <c15:dlblFieldTable/>
                  <c15:showDataLabelsRange val="0"/>
                </c:ext>
              </c:extLst>
            </c:dLbl>
            <c:dLbl>
              <c:idx val="6"/>
              <c:layout>
                <c:manualLayout>
                  <c:x val="2.4278215223097099E-2"/>
                  <c:y val="0.14977761500742601"/>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fld id="{6FF15F27-D2AF-4A0D-9CFF-A175EED335BE}" type="CATEGORYNAME">
                      <a:rPr lang="en-US"/>
                      <a:pPr>
                        <a:defRPr sz="800">
                          <a:latin typeface="Times New Roman" panose="02020603050405020304" pitchFamily="18" charset="0"/>
                        </a:defRPr>
                      </a:pPr>
                      <a:t>[CATEGORY NAME]</a:t>
                    </a:fld>
                    <a:r>
                      <a:rPr lang="en-US" baseline="0"/>
                      <a:t> </a:t>
                    </a:r>
                    <a:fld id="{18270B16-D742-4AE4-BEDD-C81CFA5ECD87}" type="VALUE">
                      <a:rPr lang="en-US" baseline="0"/>
                      <a:pPr>
                        <a:defRPr sz="800">
                          <a:latin typeface="Times New Roman" panose="02020603050405020304" pitchFamily="18" charset="0"/>
                        </a:defRPr>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F17F-4DE4-97F2-1DAABFAFE3EA}"/>
                </c:ext>
                <c:ext xmlns:c15="http://schemas.microsoft.com/office/drawing/2012/chart" uri="{CE6537A1-D6FC-4f65-9D91-7224C49458BB}">
                  <c15:layout>
                    <c:manualLayout>
                      <c:w val="0.24341366420106572"/>
                      <c:h val="0.16666666666666666"/>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Sheet1!$A$2:$A$8</c:f>
              <c:strCache>
                <c:ptCount val="7"/>
                <c:pt idx="0">
                  <c:v>Apstrādes rūpniecība</c:v>
                </c:pt>
                <c:pt idx="1">
                  <c:v>Būvniecība</c:v>
                </c:pt>
                <c:pt idx="2">
                  <c:v>Tirdzniecība, izmitināšana, ēdināšana</c:v>
                </c:pt>
                <c:pt idx="3">
                  <c:v>Transports un uzglabāšana</c:v>
                </c:pt>
                <c:pt idx="4">
                  <c:v>Citi komercpakalpojumi</c:v>
                </c:pt>
                <c:pt idx="5">
                  <c:v>Cita</c:v>
                </c:pt>
                <c:pt idx="6">
                  <c:v>Nav norādīts</c:v>
                </c:pt>
              </c:strCache>
            </c:strRef>
          </c:cat>
          <c:val>
            <c:numRef>
              <c:f>Sheet1!$B$2:$B$8</c:f>
              <c:numCache>
                <c:formatCode>0%</c:formatCode>
                <c:ptCount val="7"/>
                <c:pt idx="0">
                  <c:v>6.1728395061728399E-2</c:v>
                </c:pt>
                <c:pt idx="1">
                  <c:v>2.3319615912208502E-2</c:v>
                </c:pt>
                <c:pt idx="2">
                  <c:v>0.24965706447187899</c:v>
                </c:pt>
                <c:pt idx="3">
                  <c:v>3.0178326474622801E-2</c:v>
                </c:pt>
                <c:pt idx="4">
                  <c:v>0.43</c:v>
                </c:pt>
                <c:pt idx="5">
                  <c:v>0.22085048010973901</c:v>
                </c:pt>
                <c:pt idx="6">
                  <c:v>0.190672153635117</c:v>
                </c:pt>
              </c:numCache>
            </c:numRef>
          </c:val>
          <c:extLst xmlns:c16r2="http://schemas.microsoft.com/office/drawing/2015/06/chart">
            <c:ext xmlns:c16="http://schemas.microsoft.com/office/drawing/2014/chart" uri="{C3380CC4-5D6E-409C-BE32-E72D297353CC}">
              <c16:uniqueId val="{0000000E-F17F-4DE4-97F2-1DAABFAFE3EA}"/>
            </c:ext>
          </c:extLst>
        </c:ser>
        <c:dLbls>
          <c:dLblPos val="bestFit"/>
          <c:showLegendKey val="0"/>
          <c:showVal val="1"/>
          <c:showCatName val="0"/>
          <c:showSerName val="0"/>
          <c:showPercent val="0"/>
          <c:showBubbleSize val="0"/>
          <c:showLeaderLines val="1"/>
        </c:dLbls>
        <c:firstSliceAng val="25"/>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0C08-0896-4538-82EB-DFFB9E9F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user</cp:lastModifiedBy>
  <cp:revision>2</cp:revision>
  <cp:lastPrinted>2018-12-19T06:35:00Z</cp:lastPrinted>
  <dcterms:created xsi:type="dcterms:W3CDTF">2018-12-19T18:01:00Z</dcterms:created>
  <dcterms:modified xsi:type="dcterms:W3CDTF">2018-12-19T18:01:00Z</dcterms:modified>
</cp:coreProperties>
</file>