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15F82" w14:textId="77777777" w:rsidR="00924851" w:rsidRPr="00C25443" w:rsidRDefault="00924851" w:rsidP="00646D22">
      <w:pPr>
        <w:pStyle w:val="PlainText"/>
        <w:jc w:val="right"/>
        <w:rPr>
          <w:rFonts w:ascii="Times New Roman" w:hAnsi="Times New Roman"/>
          <w:sz w:val="26"/>
          <w:szCs w:val="26"/>
          <w:lang w:val="lv-LV"/>
        </w:rPr>
      </w:pPr>
      <w:bookmarkStart w:id="0" w:name="_GoBack"/>
      <w:bookmarkEnd w:id="0"/>
      <w:r w:rsidRPr="00C25443">
        <w:rPr>
          <w:rFonts w:ascii="Times New Roman" w:hAnsi="Times New Roman"/>
          <w:sz w:val="26"/>
          <w:szCs w:val="26"/>
          <w:lang w:val="lv-LV"/>
        </w:rPr>
        <w:t xml:space="preserve">Informatīvā ziņojuma par Imigrācijas likuma </w:t>
      </w:r>
    </w:p>
    <w:p w14:paraId="7F99CA5A"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23.panta pirmās daļas 3., 28., 29., 30. un 31.punktā </w:t>
      </w:r>
    </w:p>
    <w:p w14:paraId="49F4CD84"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paredzēto noteikumu īstenošanas gaitu un rezultātiem</w:t>
      </w:r>
    </w:p>
    <w:p w14:paraId="4F7D0D4E" w14:textId="77777777" w:rsidR="00924851" w:rsidRPr="005C0F34" w:rsidRDefault="001B7C7E" w:rsidP="005C0F34">
      <w:pPr>
        <w:pStyle w:val="PlainText"/>
        <w:jc w:val="right"/>
        <w:rPr>
          <w:rFonts w:ascii="Times New Roman" w:hAnsi="Times New Roman"/>
          <w:sz w:val="26"/>
          <w:szCs w:val="26"/>
          <w:lang w:val="lv-LV"/>
        </w:rPr>
      </w:pPr>
      <w:r w:rsidRPr="005C0F34">
        <w:rPr>
          <w:rFonts w:ascii="Times New Roman" w:hAnsi="Times New Roman"/>
          <w:sz w:val="26"/>
          <w:szCs w:val="26"/>
          <w:lang w:val="lv-LV"/>
        </w:rPr>
        <w:t>6</w:t>
      </w:r>
      <w:r w:rsidR="00924851" w:rsidRPr="005C0F34">
        <w:rPr>
          <w:rFonts w:ascii="Times New Roman" w:hAnsi="Times New Roman"/>
          <w:sz w:val="26"/>
          <w:szCs w:val="26"/>
          <w:lang w:val="lv-LV"/>
        </w:rPr>
        <w:t>.pielikums</w:t>
      </w:r>
    </w:p>
    <w:p w14:paraId="06C900F2" w14:textId="51280E8E" w:rsidR="00F5554B" w:rsidRPr="005C0F34" w:rsidRDefault="000760B4" w:rsidP="00DA712E">
      <w:pPr>
        <w:tabs>
          <w:tab w:val="left" w:pos="7110"/>
        </w:tabs>
        <w:rPr>
          <w:sz w:val="22"/>
          <w:szCs w:val="22"/>
          <w:lang w:val="lv-LV"/>
        </w:rPr>
      </w:pPr>
      <w:r w:rsidRPr="005C0F34">
        <w:rPr>
          <w:sz w:val="22"/>
          <w:szCs w:val="22"/>
          <w:lang w:val="lv-LV"/>
        </w:rPr>
        <w:tab/>
      </w:r>
    </w:p>
    <w:p w14:paraId="6835F511" w14:textId="77777777" w:rsidR="00F5554B" w:rsidRPr="00C25443" w:rsidRDefault="00F5554B" w:rsidP="005C0F34">
      <w:pPr>
        <w:jc w:val="center"/>
        <w:rPr>
          <w:b/>
          <w:sz w:val="26"/>
          <w:szCs w:val="26"/>
          <w:lang w:val="lv-LV"/>
        </w:rPr>
      </w:pPr>
      <w:r w:rsidRPr="005C0F34">
        <w:rPr>
          <w:b/>
          <w:sz w:val="26"/>
          <w:szCs w:val="26"/>
          <w:lang w:val="lv-LV"/>
        </w:rPr>
        <w:t>Ar investīciju programmu saistītie grozījumi Imigrācijas likuma 23.pant</w:t>
      </w:r>
      <w:r w:rsidR="00924851" w:rsidRPr="005C0F34">
        <w:rPr>
          <w:b/>
          <w:sz w:val="26"/>
          <w:szCs w:val="26"/>
          <w:lang w:val="lv-LV"/>
        </w:rPr>
        <w:t>a pirmās</w:t>
      </w:r>
      <w:r w:rsidR="00924851" w:rsidRPr="00C25443">
        <w:rPr>
          <w:b/>
          <w:sz w:val="26"/>
          <w:szCs w:val="26"/>
          <w:lang w:val="lv-LV"/>
        </w:rPr>
        <w:t xml:space="preserve"> daļas 28., 29., 30., un 31.punktā </w:t>
      </w:r>
    </w:p>
    <w:p w14:paraId="2CEDCBC8" w14:textId="77777777" w:rsidR="00F5554B" w:rsidRPr="00E16E14" w:rsidRDefault="00F5554B" w:rsidP="00DA712E">
      <w:pPr>
        <w:rPr>
          <w:b/>
          <w:sz w:val="22"/>
          <w:szCs w:val="22"/>
          <w:lang w:val="lv-LV"/>
        </w:rPr>
      </w:pPr>
    </w:p>
    <w:tbl>
      <w:tblPr>
        <w:tblStyle w:val="TableGrid"/>
        <w:tblW w:w="9297" w:type="dxa"/>
        <w:tblLook w:val="04A0" w:firstRow="1" w:lastRow="0" w:firstColumn="1" w:lastColumn="0" w:noHBand="0" w:noVBand="1"/>
      </w:tblPr>
      <w:tblGrid>
        <w:gridCol w:w="1791"/>
        <w:gridCol w:w="7506"/>
      </w:tblGrid>
      <w:tr w:rsidR="00F5554B" w:rsidRPr="00E16E14" w14:paraId="1B222644" w14:textId="77777777" w:rsidTr="00584D5B">
        <w:tc>
          <w:tcPr>
            <w:tcW w:w="1791" w:type="dxa"/>
          </w:tcPr>
          <w:p w14:paraId="39AF7A6B" w14:textId="77777777" w:rsidR="00F5554B" w:rsidRPr="00E16E14" w:rsidRDefault="00F5554B" w:rsidP="00646D22">
            <w:pPr>
              <w:jc w:val="center"/>
              <w:rPr>
                <w:sz w:val="22"/>
                <w:szCs w:val="22"/>
                <w:lang w:val="lv-LV"/>
              </w:rPr>
            </w:pPr>
            <w:r w:rsidRPr="00E16E14">
              <w:rPr>
                <w:sz w:val="22"/>
                <w:szCs w:val="22"/>
                <w:lang w:val="lv-LV"/>
              </w:rPr>
              <w:t>Grozījumu spēkā stāšanās datums</w:t>
            </w:r>
          </w:p>
        </w:tc>
        <w:tc>
          <w:tcPr>
            <w:tcW w:w="7506" w:type="dxa"/>
          </w:tcPr>
          <w:p w14:paraId="1BF82EA5" w14:textId="77777777" w:rsidR="00F5554B" w:rsidRPr="00E16E14" w:rsidRDefault="00F5554B" w:rsidP="00646D22">
            <w:pPr>
              <w:jc w:val="center"/>
              <w:rPr>
                <w:sz w:val="22"/>
                <w:szCs w:val="22"/>
                <w:lang w:val="lv-LV"/>
              </w:rPr>
            </w:pPr>
            <w:r w:rsidRPr="00E16E14">
              <w:rPr>
                <w:sz w:val="22"/>
                <w:szCs w:val="22"/>
                <w:lang w:val="lv-LV"/>
              </w:rPr>
              <w:t>Izmaiņu raksturojums</w:t>
            </w:r>
          </w:p>
        </w:tc>
      </w:tr>
      <w:tr w:rsidR="00F5554B" w:rsidRPr="00802175" w14:paraId="7E9AF390" w14:textId="77777777" w:rsidTr="00584D5B">
        <w:tc>
          <w:tcPr>
            <w:tcW w:w="1791" w:type="dxa"/>
          </w:tcPr>
          <w:p w14:paraId="0822CCA2" w14:textId="77777777" w:rsidR="00F5554B" w:rsidRPr="00E16E14" w:rsidRDefault="00F5554B" w:rsidP="00646D22">
            <w:pPr>
              <w:jc w:val="center"/>
              <w:rPr>
                <w:sz w:val="22"/>
                <w:szCs w:val="22"/>
              </w:rPr>
            </w:pPr>
            <w:r w:rsidRPr="00E16E14">
              <w:rPr>
                <w:sz w:val="22"/>
                <w:szCs w:val="22"/>
              </w:rPr>
              <w:t>01.07.2010</w:t>
            </w:r>
          </w:p>
        </w:tc>
        <w:tc>
          <w:tcPr>
            <w:tcW w:w="7506" w:type="dxa"/>
          </w:tcPr>
          <w:p w14:paraId="3A1112BB"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komercreģistrā reģistrēts valdes vai padomes loceklis, prokūrists, administrators, likvidators vai personālsabiedrības biedrs, kam ir tiesības pārstāvēt personālsabiedrību, vai persona, kura pilnvarota pārstāvēt komersantu (ārvalsts komersantu. Attiecībā uz SIA komercreģistrā reģistrētu amatpersonu šo nosacījumu piemēro, ja SIA pamatkapitāls ir ne mazāks par 2000 latu.</w:t>
            </w:r>
          </w:p>
          <w:p w14:paraId="3C086C65"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ieguldījusi kapitālsabiedrības pamatkapitālā ne mazāk kā 25 000 latu un kopā valsts un pašvaldības budžetā saimnieciskā gada laikā kapitālsabiedrība kā nodokļus samaksā ne mazāk kā 20 000 latu.</w:t>
            </w:r>
          </w:p>
          <w:p w14:paraId="2A333E14"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 xml:space="preserve">Tiesības saņemt TUA, ja persona ir iegādājusies un tai pieder viens vai vairāki nekustamie īpašumi Rīgā, RPR vai republikas pilsētās, kuru kopējā darījumu summa ir ne mazāka par 100 000 latu, viens vai vairāki nekustamie īpašumi ārpus Rīgas, RPR vai republikas pilsētām, kuru kopējā darījumu summa ir ne mazāka par 50 000 latu. </w:t>
            </w:r>
          </w:p>
          <w:p w14:paraId="0AE14183"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veikusi finanšu investīcijas kredītiestādē ne mazāk kā 200 000 latu apmērā kredītiestādes subordinētā kapitāla (subordinētā aizdevuma vai subordinēto obligāciju) veidā (termiņš ne mazāks par pieciem gadiem, nav tiesību izbeigt pirms noguldījuma atmaksas termiņa).</w:t>
            </w:r>
          </w:p>
        </w:tc>
      </w:tr>
      <w:tr w:rsidR="00F5554B" w:rsidRPr="00802175" w14:paraId="4831B96F" w14:textId="77777777" w:rsidTr="00584D5B">
        <w:tc>
          <w:tcPr>
            <w:tcW w:w="1791" w:type="dxa"/>
          </w:tcPr>
          <w:p w14:paraId="197EC544" w14:textId="77777777" w:rsidR="00F5554B" w:rsidRPr="00E16E14" w:rsidRDefault="00F5554B" w:rsidP="00646D22">
            <w:pPr>
              <w:jc w:val="center"/>
              <w:rPr>
                <w:sz w:val="22"/>
                <w:szCs w:val="22"/>
              </w:rPr>
            </w:pPr>
            <w:r w:rsidRPr="00E16E14">
              <w:rPr>
                <w:sz w:val="22"/>
                <w:szCs w:val="22"/>
              </w:rPr>
              <w:t>16.06.2011</w:t>
            </w:r>
          </w:p>
        </w:tc>
        <w:tc>
          <w:tcPr>
            <w:tcW w:w="7506" w:type="dxa"/>
          </w:tcPr>
          <w:p w14:paraId="2F626F30" w14:textId="77777777"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 xml:space="preserve">Tiesības saņemt TUA, ja persona  ir veikusi ieguldījumu kapitālsabiedrības pamatkapitālā, to palielinot, vai veikusi ieguldījumu kapitālsabiedrības pamatkapitālā, dibinot jaunu kapitālsabiedrību, un ieguldījums ir vismaz: </w:t>
            </w:r>
          </w:p>
          <w:p w14:paraId="6E5041BA" w14:textId="77777777"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25 000 latu, un tas veikts kapitālsabiedrībā, kura nodarbina ne vairāk kā 50 darbinieku, kuras gada apgrozījums vai gada bilance nepārsniedz 7 miljonus latu un kura saimnieciskā gada laikā kopā valsts budžetā un pašvaldības budžetā kā nodokļus samaksā ne mazāk kā 20 000 latu,</w:t>
            </w:r>
          </w:p>
          <w:p w14:paraId="17F66CBE" w14:textId="77777777"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100 000 latu.</w:t>
            </w:r>
          </w:p>
          <w:p w14:paraId="63B6655A" w14:textId="77777777"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Tiesības saņemt TUA, ja persona  ir iegādājusies un tai pieder viens vai vairāki nekustamie īpašumi RPR vai republikas pilsētās, kuru kopējā nekustamā īpašuma vērtība ir ne mazāka par 100 000 latu, viens vai vairāki nekustamie īpašumi ārpus RPR vai republikas pilsētām un nekustamo īpašumu kopējā vērtība ir ne mazāka par 50 000 latu, ja vienlaikus pastāv šādi nosacījumi:</w:t>
            </w:r>
          </w:p>
          <w:p w14:paraId="675B0D9A"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14:paraId="2B25B9F8"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14:paraId="615C1D95"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nekustamais īpašums iegādāts no Latvijas Republikā reģistrētas juridiskās personas vai fiziskās personas, kura ir Latvijas pilsonis, Latvijas nepilsonis, Savienības pilsonis vai ārzemnieks, kurš Latvijas Republikā uzturas ar derīgu uzturēšanās atļauju,</w:t>
            </w:r>
          </w:p>
          <w:p w14:paraId="25E7C9B4"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lastRenderedPageBreak/>
              <w:t xml:space="preserve">iegādāto RPR vai republikas pilsētās esošo nekustamo īpašumu kopējā kadastrālā vērtība to iegādes brīdī ir ne mazāka par 30 000 latu vai ārpus RPR vai republikas pilsētām esošo nekustamo īpašumu kopējā kadastrālā vērtība to iegādes brīdī ir ne mazāka par 10 000 latu. </w:t>
            </w:r>
          </w:p>
        </w:tc>
      </w:tr>
      <w:tr w:rsidR="00F5554B" w:rsidRPr="00802175" w14:paraId="0EC289F7" w14:textId="77777777" w:rsidTr="00584D5B">
        <w:tc>
          <w:tcPr>
            <w:tcW w:w="1791" w:type="dxa"/>
          </w:tcPr>
          <w:p w14:paraId="36A3B642" w14:textId="77777777" w:rsidR="00F5554B" w:rsidRPr="00E16E14" w:rsidRDefault="00F5554B" w:rsidP="00646D22">
            <w:pPr>
              <w:jc w:val="center"/>
              <w:rPr>
                <w:sz w:val="22"/>
                <w:szCs w:val="22"/>
              </w:rPr>
            </w:pPr>
            <w:r w:rsidRPr="00E16E14">
              <w:rPr>
                <w:sz w:val="22"/>
                <w:szCs w:val="22"/>
              </w:rPr>
              <w:lastRenderedPageBreak/>
              <w:t>01.01.2014</w:t>
            </w:r>
          </w:p>
        </w:tc>
        <w:tc>
          <w:tcPr>
            <w:tcW w:w="7506" w:type="dxa"/>
          </w:tcPr>
          <w:p w14:paraId="4193E123" w14:textId="77777777" w:rsidR="00F5554B" w:rsidRPr="00E16E14" w:rsidRDefault="00F5554B"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  ir veikusi ieguldījumu kapitālsabiedrības pamatkapitālā, to palielinot, vai veicis ieguldījumu kapitālsabiedrības pamatkapitālā, dibinot jaunu kapitālsabiedrību, un ieguldījums ir vismaz:</w:t>
            </w:r>
          </w:p>
          <w:p w14:paraId="6130C96A"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35 000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ne vairāk kā 50 darbinieku, kuras gada apgrozījums vai gada bilance nepārsniedz 10 miljonus</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kura saimnieciskā gada laikā kopā valsts budžetā un pašvaldības budžetā kā nodokļus samaksā ne mazāk kā 40 000</w:t>
            </w:r>
            <w:r w:rsidRPr="00E16E14">
              <w:rPr>
                <w:rStyle w:val="apple-converted-space"/>
                <w:rFonts w:eastAsia="Calibri"/>
                <w:sz w:val="22"/>
                <w:szCs w:val="22"/>
              </w:rPr>
              <w:t> </w:t>
            </w:r>
            <w:r w:rsidRPr="00E16E14">
              <w:rPr>
                <w:i/>
                <w:iCs/>
                <w:sz w:val="22"/>
                <w:szCs w:val="22"/>
              </w:rPr>
              <w:t>euro</w:t>
            </w:r>
            <w:r w:rsidRPr="00E16E14">
              <w:rPr>
                <w:sz w:val="22"/>
                <w:szCs w:val="22"/>
              </w:rPr>
              <w:t>. Veicot ieguldījumu vienas kapitālsabiedrības pamatkapitālā, termiņuzturēšanās atļauju var pieprasīt ne vairāk kā trīs ārzemnieki,</w:t>
            </w:r>
          </w:p>
          <w:p w14:paraId="27ABCF36"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150 000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vairāk nekā 50 darbinieku un kuras gada apgrozījums vai gada bilance pārsniedz 10 miljonus</w:t>
            </w:r>
            <w:r w:rsidRPr="00E16E14">
              <w:rPr>
                <w:rStyle w:val="apple-converted-space"/>
                <w:rFonts w:eastAsia="Calibri"/>
                <w:sz w:val="22"/>
                <w:szCs w:val="22"/>
              </w:rPr>
              <w:t> </w:t>
            </w:r>
            <w:r w:rsidRPr="00E16E14">
              <w:rPr>
                <w:i/>
                <w:iCs/>
                <w:sz w:val="22"/>
                <w:szCs w:val="22"/>
              </w:rPr>
              <w:t>euro</w:t>
            </w:r>
          </w:p>
          <w:p w14:paraId="05390D15" w14:textId="77777777"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  ir iegādājusies un tai RPR vai republikas pilsētās pieder viens vai vairāki nekustamie īpašumi, kuru kopējā vērtība ir ne mazāka par 142 300</w:t>
            </w:r>
            <w:r w:rsidRPr="00E16E14">
              <w:rPr>
                <w:rStyle w:val="apple-converted-space"/>
                <w:rFonts w:cs="Times New Roman"/>
                <w:sz w:val="22"/>
              </w:rPr>
              <w:t> </w:t>
            </w:r>
            <w:r w:rsidRPr="00E16E14">
              <w:rPr>
                <w:rFonts w:cs="Times New Roman"/>
                <w:i/>
                <w:iCs/>
                <w:sz w:val="22"/>
              </w:rPr>
              <w:t>euro</w:t>
            </w:r>
            <w:r w:rsidRPr="00E16E14">
              <w:rPr>
                <w:rFonts w:cs="Times New Roman"/>
                <w:sz w:val="22"/>
              </w:rPr>
              <w:t>, ārpus Rīgas plānošanas reģiona vai republikas pilsētām viens vai vairāki nekustamie īpašumi, kuru kopējā vērtība ir ne mazāka par 71 150</w:t>
            </w:r>
            <w:r w:rsidRPr="00E16E14">
              <w:rPr>
                <w:rStyle w:val="apple-converted-space"/>
                <w:rFonts w:cs="Times New Roman"/>
                <w:sz w:val="22"/>
              </w:rPr>
              <w:t> </w:t>
            </w:r>
            <w:r w:rsidRPr="00E16E14">
              <w:rPr>
                <w:rFonts w:cs="Times New Roman"/>
                <w:i/>
                <w:iCs/>
                <w:sz w:val="22"/>
              </w:rPr>
              <w:t>euro</w:t>
            </w:r>
            <w:r w:rsidRPr="00E16E14">
              <w:rPr>
                <w:rFonts w:cs="Times New Roman"/>
                <w:sz w:val="22"/>
              </w:rPr>
              <w:t>, ja vienlaikus pastāv šādi nosacījumi:</w:t>
            </w:r>
          </w:p>
          <w:p w14:paraId="78B79686" w14:textId="77777777" w:rsidR="00F5554B" w:rsidRPr="00E16E14" w:rsidRDefault="00F5554B" w:rsidP="00646D22">
            <w:pPr>
              <w:pStyle w:val="ListParagraph"/>
              <w:numPr>
                <w:ilvl w:val="1"/>
                <w:numId w:val="2"/>
              </w:numPr>
              <w:jc w:val="both"/>
              <w:rPr>
                <w:rFonts w:cs="Times New Roman"/>
                <w:sz w:val="22"/>
              </w:rPr>
            </w:pPr>
            <w:r w:rsidRPr="00E16E14">
              <w:rPr>
                <w:rFonts w:cs="Times New Roman"/>
                <w:sz w:val="22"/>
              </w:rPr>
              <w:t>nekustamais īpašums iegādāts no Latvijas Republikā vai Eiropas Savienības dalībvalstī, Eiropas Ekonomikas zonas valstī vai Šveices Konfederācijā reģistrētas juridiskās personas, kura Latvijas Republikā ir nodokļu maksātāja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14:paraId="36167FDA" w14:textId="77777777" w:rsidR="00F5554B" w:rsidRPr="00E16E14" w:rsidRDefault="00F5554B" w:rsidP="00646D22">
            <w:pPr>
              <w:pStyle w:val="ListParagraph"/>
              <w:numPr>
                <w:ilvl w:val="1"/>
                <w:numId w:val="2"/>
              </w:numPr>
              <w:jc w:val="both"/>
              <w:rPr>
                <w:rFonts w:cs="Times New Roman"/>
                <w:sz w:val="22"/>
              </w:rPr>
            </w:pPr>
            <w:r w:rsidRPr="00E16E14">
              <w:rPr>
                <w:rFonts w:cs="Times New Roman"/>
                <w:sz w:val="22"/>
              </w:rPr>
              <w:t>iegādāto RPR vai republikas pilsētās esošo nekustamo īpašumu kopējā kadastrālā vērtība to iegādes brīdī ir ne mazāka par 42 690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vai ārpus RPR vai republikas pilsētām esošo nekustamo īpašumu kopējā kadastrālā vērtība to iegādes brīdī ir ne mazāka par 14 230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14:paraId="18339AB3" w14:textId="77777777"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personai ir pakārtotās saistības ar Latvijas Republikas kredītiestādi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un ar šo kredītiestādi slēgtā darījuma termiņš nav mazāks par pieciem gadiem.</w:t>
            </w:r>
          </w:p>
        </w:tc>
      </w:tr>
      <w:tr w:rsidR="00E16E14" w:rsidRPr="00802175" w14:paraId="12F899D2" w14:textId="77777777" w:rsidTr="00584D5B">
        <w:tc>
          <w:tcPr>
            <w:tcW w:w="1791" w:type="dxa"/>
          </w:tcPr>
          <w:p w14:paraId="58338067" w14:textId="77777777" w:rsidR="00E16E14" w:rsidRPr="00E16E14" w:rsidRDefault="00E16E14" w:rsidP="00646D22">
            <w:pPr>
              <w:jc w:val="center"/>
              <w:rPr>
                <w:sz w:val="22"/>
                <w:szCs w:val="22"/>
              </w:rPr>
            </w:pPr>
            <w:r w:rsidRPr="00E16E14">
              <w:rPr>
                <w:sz w:val="22"/>
                <w:szCs w:val="22"/>
              </w:rPr>
              <w:t>01.09.2014</w:t>
            </w:r>
          </w:p>
        </w:tc>
        <w:tc>
          <w:tcPr>
            <w:tcW w:w="7506" w:type="dxa"/>
          </w:tcPr>
          <w:p w14:paraId="4AD1C7AF" w14:textId="77777777"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 xml:space="preserve">Tiesības saņemt TUA, ja persona  ir iegādājusies un tai pieder viens funkcionāli saistīts apbūvēts nekustamais īpašums, kura vērtība ir ne mazāka par 250 000 </w:t>
            </w:r>
            <w:r w:rsidRPr="00E16E14">
              <w:rPr>
                <w:i/>
                <w:iCs/>
                <w:sz w:val="22"/>
                <w:szCs w:val="22"/>
              </w:rPr>
              <w:t>euro</w:t>
            </w:r>
            <w:r w:rsidRPr="00E16E14">
              <w:rPr>
                <w:sz w:val="22"/>
                <w:szCs w:val="22"/>
              </w:rPr>
              <w:t>, ja vienlaikus pastāv šādi nosacījumi:</w:t>
            </w:r>
          </w:p>
          <w:p w14:paraId="6CE65D5D"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14:paraId="5C989BFD"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14:paraId="65A525A1"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14:paraId="0BA180D6"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kadastrālā vērtība tā iegādes brīdī ir ne mazāka par 80 000</w:t>
            </w:r>
            <w:r w:rsidRPr="00E16E14">
              <w:rPr>
                <w:rStyle w:val="apple-converted-space"/>
                <w:sz w:val="22"/>
                <w:szCs w:val="22"/>
              </w:rPr>
              <w:t> </w:t>
            </w:r>
            <w:r w:rsidRPr="00E16E14">
              <w:rPr>
                <w:i/>
                <w:iCs/>
                <w:sz w:val="22"/>
                <w:szCs w:val="22"/>
              </w:rPr>
              <w:t>euro</w:t>
            </w:r>
            <w:r w:rsidRPr="00E16E14">
              <w:rPr>
                <w:sz w:val="22"/>
                <w:szCs w:val="22"/>
              </w:rPr>
              <w:t>. Ja kadastrālā vērtība ir mazāka par šajā apakšpunktā norādīto, nekustamā īpašuma vērtība saskaņā ar sertificēta nekustamā īpašuma vērtētāja noteikto nekustamā īpašuma tirgus vērtību nedrīkst būt zemāka par 250 000</w:t>
            </w:r>
            <w:r w:rsidRPr="00E16E14">
              <w:rPr>
                <w:rStyle w:val="apple-converted-space"/>
                <w:sz w:val="22"/>
                <w:szCs w:val="22"/>
              </w:rPr>
              <w:t> </w:t>
            </w:r>
            <w:r w:rsidRPr="00E16E14">
              <w:rPr>
                <w:i/>
                <w:iCs/>
                <w:sz w:val="22"/>
                <w:szCs w:val="22"/>
              </w:rPr>
              <w:t>euro</w:t>
            </w:r>
            <w:r w:rsidRPr="00E16E14">
              <w:rPr>
                <w:sz w:val="22"/>
                <w:szCs w:val="22"/>
              </w:rPr>
              <w:t>,</w:t>
            </w:r>
          </w:p>
          <w:p w14:paraId="4DD84212"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viņš, pieprasot pirmreizēju termiņuzturēšanās atļauju, samaksā valsts budžetā piecus procentus no nekustamā īpašuma vērtības,</w:t>
            </w:r>
          </w:p>
          <w:p w14:paraId="7C6B8C72"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sastāvā neietilpst lauksaimniecībā izmantojamā zeme vai meža zeme;</w:t>
            </w:r>
          </w:p>
          <w:p w14:paraId="44F7DE6F"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ir veikusi finanšu investīcijas Latvijas Republikas kredītiestādē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kredītiestādes subordinētā kapitāla (subordinētā aizdevuma vai subordinēto obligāciju) veidā, ja šā darījuma termiņš nav mazāks par pieciem gadiem un saskaņā ar noguldījuma noteikumiem to nav tiesību izbeigt pirms noguldījuma atmaksas termiņa, un, pieprasot pirmreizēju termiņuzturēšanās atļauju,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w:t>
            </w:r>
          </w:p>
          <w:p w14:paraId="741D2D40"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saskaņā ar normatīvajiem aktiem, kas nosaka valsts vērtspapīru izlaišanu, iegādājas īpašam mērķim noteiktus bezprocentu valsts vērtspapīrus par nominālvērtību 250 000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un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14:paraId="1E5DE3CB" w14:textId="77777777"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personai ir pakārtotās saistības ar Latvijas Republikas kredītiestādi ne mazāk kā 280 000</w:t>
            </w:r>
            <w:r w:rsidRPr="00E16E14">
              <w:rPr>
                <w:rStyle w:val="apple-converted-space"/>
                <w:sz w:val="22"/>
                <w:szCs w:val="22"/>
              </w:rPr>
              <w:t> </w:t>
            </w:r>
            <w:r w:rsidRPr="00E16E14">
              <w:rPr>
                <w:i/>
                <w:iCs/>
                <w:sz w:val="22"/>
                <w:szCs w:val="22"/>
              </w:rPr>
              <w:t>euro</w:t>
            </w:r>
            <w:r w:rsidRPr="00E16E14">
              <w:rPr>
                <w:rStyle w:val="apple-converted-space"/>
                <w:sz w:val="22"/>
                <w:szCs w:val="22"/>
              </w:rPr>
              <w:t> </w:t>
            </w:r>
            <w:r w:rsidRPr="00E16E14">
              <w:rPr>
                <w:sz w:val="22"/>
                <w:szCs w:val="22"/>
              </w:rPr>
              <w:t>apmērā un ar šo kredītiestādi slēgtā darījuma termiņš nav mazāks par pieciem gadiem un, pieprasot pirmreizēju termiņuzturēšanās atļauju, viņš samaksā valsts budžetā 25 000</w:t>
            </w:r>
            <w:r w:rsidRPr="00E16E14">
              <w:rPr>
                <w:rStyle w:val="apple-converted-space"/>
                <w:sz w:val="22"/>
                <w:szCs w:val="22"/>
              </w:rPr>
              <w:t> </w:t>
            </w:r>
            <w:r w:rsidRPr="00E16E14">
              <w:rPr>
                <w:i/>
                <w:iCs/>
                <w:sz w:val="22"/>
                <w:szCs w:val="22"/>
              </w:rPr>
              <w:t>euro</w:t>
            </w:r>
            <w:r w:rsidRPr="00E16E14">
              <w:rPr>
                <w:sz w:val="22"/>
                <w:szCs w:val="22"/>
              </w:rPr>
              <w:t>;"</w:t>
            </w:r>
          </w:p>
        </w:tc>
      </w:tr>
      <w:tr w:rsidR="00F5554B" w:rsidRPr="00802175" w14:paraId="141ADD68" w14:textId="77777777" w:rsidTr="00584D5B">
        <w:tc>
          <w:tcPr>
            <w:tcW w:w="1791" w:type="dxa"/>
          </w:tcPr>
          <w:p w14:paraId="6631D42B" w14:textId="77777777" w:rsidR="00F5554B" w:rsidRPr="00E16E14" w:rsidRDefault="00E16E14" w:rsidP="00646D22">
            <w:pPr>
              <w:jc w:val="center"/>
              <w:rPr>
                <w:sz w:val="22"/>
                <w:szCs w:val="22"/>
              </w:rPr>
            </w:pPr>
            <w:r w:rsidRPr="00E16E14">
              <w:rPr>
                <w:sz w:val="22"/>
                <w:szCs w:val="22"/>
              </w:rPr>
              <w:t>01.07.2016.</w:t>
            </w:r>
          </w:p>
        </w:tc>
        <w:tc>
          <w:tcPr>
            <w:tcW w:w="7506" w:type="dxa"/>
          </w:tcPr>
          <w:p w14:paraId="20A56F62" w14:textId="77777777"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Ārzemniekiem – trešo valstu pilsoņiem – var tikt apturēta TUA izsniegšana uz noteiktu laiku, bet ne ilgāku kā uz pieciem gadiem. Ministru kabinetam, izvērtējot ietekmi uz nacionālo drošību vai valsts ekonomisko attīstību saistībā ar trešo valstu pilsoņu daudzumu un koncentrāciju noteiktā valsts teritorijā, būs tiesības izdot noteikumus, nosakot, kuras trešās valsts valstspiederīgajiem un uz kādu termiņu tiek apturēta attiecīgo TUA izsniegšana.</w:t>
            </w:r>
          </w:p>
          <w:p w14:paraId="05AEBC73" w14:textId="77777777"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 xml:space="preserve">Tiek palielināts minimālais ieguldījums no 35 uz 50 tūkst. </w:t>
            </w:r>
            <w:r w:rsidRPr="00E16E14">
              <w:rPr>
                <w:rFonts w:cs="Times New Roman"/>
                <w:i/>
                <w:sz w:val="22"/>
              </w:rPr>
              <w:t>euro</w:t>
            </w:r>
            <w:r w:rsidRPr="00E16E14">
              <w:rPr>
                <w:rFonts w:cs="Times New Roman"/>
                <w:sz w:val="22"/>
              </w:rPr>
              <w:t xml:space="preserve"> ārvalstniekam, kurš pieprasa termiņuzturēšanās atļauju par ieguldījumu kapitālsabiedrības pamatkapitālā, to palielinot vai dibinot jaunu uzņēmumu, ja kapitālsabiedrībā strādā ne vairāk kā 50 darbinieku un tās gada apgrozījums vai bilance nepārsniedz 10 milj. </w:t>
            </w:r>
            <w:r w:rsidRPr="00E16E14">
              <w:rPr>
                <w:rFonts w:cs="Times New Roman"/>
                <w:i/>
                <w:sz w:val="22"/>
              </w:rPr>
              <w:t>euro</w:t>
            </w:r>
            <w:r w:rsidRPr="00E16E14">
              <w:rPr>
                <w:rFonts w:cs="Times New Roman"/>
                <w:sz w:val="22"/>
              </w:rPr>
              <w:t xml:space="preserve">. Veicot ieguldījumu viena uzņēmuma pamatkapitālā, turpmāk TUA izsniegs ne vairāk kā 10 ārzemniekiem, kuri katrs ieguldījis uzņēmumā un samaksājis valsts budžetā 10 000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 Lai TUA būtu spēkā, tās derīguma termiņa laikā kapitālsabiedrībai katrā pārskata gadā jāiemaksā valsts vai pašvaldību budžetos nodokļu maksājumi, kas nav mazāki par 40 000 </w:t>
            </w:r>
            <w:r w:rsidRPr="00E16E14">
              <w:rPr>
                <w:rFonts w:cs="Times New Roman"/>
                <w:i/>
                <w:sz w:val="22"/>
              </w:rPr>
              <w:t>euro</w:t>
            </w:r>
            <w:r w:rsidRPr="00E16E14">
              <w:rPr>
                <w:rFonts w:cs="Times New Roman"/>
                <w:sz w:val="22"/>
              </w:rPr>
              <w:t xml:space="preserve"> (neieskaitot no valsts budžeta atmaksātās vai atmaksājamās summas) vai ne mazāk par vidēji 3 300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mēnesī par nepilnu pirmo pārskata gadu.</w:t>
            </w:r>
          </w:p>
          <w:p w14:paraId="1B8043F3"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No 150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uz 100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samazināts ieguldījums ārvalstniekam, kurš pieprasa termiņuzturēšanās atļauju par ieguldījumu kapitālsabiedrības pamatkapitālā, to palielinot vai dibinot jaunu uzņēmumu, ja kapitālsabiedrība  nodarbina vairāk nekā 50 darbinieku un tās gada apgrozījums vai gada bilance pārsniedz 10 milj. </w:t>
            </w:r>
            <w:r w:rsidRPr="00E16E14">
              <w:rPr>
                <w:rFonts w:cs="Times New Roman"/>
                <w:i/>
                <w:iCs/>
                <w:sz w:val="22"/>
              </w:rPr>
              <w:t>euro</w:t>
            </w:r>
            <w:r w:rsidRPr="00E16E14">
              <w:rPr>
                <w:rFonts w:cs="Times New Roman"/>
                <w:sz w:val="22"/>
              </w:rPr>
              <w:t xml:space="preserve">. TUA būs spēkā, ja šāds uzņēmums nodokļos pārskata gadā nomaksās ne mazāk par 100 tūkstošiem </w:t>
            </w:r>
            <w:r w:rsidRPr="00E16E14">
              <w:rPr>
                <w:rFonts w:cs="Times New Roman"/>
                <w:i/>
                <w:sz w:val="22"/>
              </w:rPr>
              <w:t>euro</w:t>
            </w:r>
            <w:r w:rsidRPr="00E16E14">
              <w:rPr>
                <w:rFonts w:cs="Times New Roman"/>
                <w:sz w:val="22"/>
              </w:rPr>
              <w:t xml:space="preserve">. Savukārt par nepilnu pirmo pārskata gadu kopš TUA izsniegšanas valsts un pašvaldību budžetos iemaksātie nodokļi kopā vidēji mēnesī nedrīkst būt mazāki par 8 300 </w:t>
            </w:r>
            <w:r w:rsidRPr="00E16E14">
              <w:rPr>
                <w:rFonts w:cs="Times New Roman"/>
                <w:i/>
                <w:sz w:val="22"/>
              </w:rPr>
              <w:t>euro</w:t>
            </w:r>
            <w:r w:rsidRPr="00E16E14">
              <w:rPr>
                <w:rFonts w:cs="Times New Roman"/>
                <w:sz w:val="22"/>
              </w:rPr>
              <w:t xml:space="preserve">. </w:t>
            </w:r>
          </w:p>
          <w:p w14:paraId="22BB6F49"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Tāpat noteikts, ka TUA par ieguldījumu kapitālsabiedrības pamatkapitālā, to palielinot vai dibinot jaunu uzņēmumu, varēs saņemt arī, ja veikts ieguldījums 100 tūkst. eiro apmērā uzņēmuma pamatkapitālā, kurš, kopā ar vienu vai vairākiem meitas uzņēmumiem, nodarbina vairāk nekā 50 darbiniekus, un to kopējais gada apgrozījums vai gada bilance pārsniedz 10 milj. </w:t>
            </w:r>
            <w:r w:rsidRPr="00E16E14">
              <w:rPr>
                <w:rFonts w:cs="Times New Roman"/>
                <w:i/>
                <w:sz w:val="22"/>
              </w:rPr>
              <w:t>euro</w:t>
            </w:r>
            <w:r w:rsidRPr="00E16E14">
              <w:rPr>
                <w:rFonts w:cs="Times New Roman"/>
                <w:sz w:val="22"/>
              </w:rPr>
              <w:t xml:space="preserve">. </w:t>
            </w:r>
          </w:p>
          <w:p w14:paraId="0BA90B3B"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Kā papildus nosacījums visiem ieguldījumiem uzņēmumos TUA pirmreizējai saņemšanai noteikta 10 tūkst. </w:t>
            </w:r>
            <w:r w:rsidRPr="00E16E14">
              <w:rPr>
                <w:rFonts w:cs="Times New Roman"/>
                <w:i/>
                <w:sz w:val="22"/>
              </w:rPr>
              <w:t>euro</w:t>
            </w:r>
            <w:r w:rsidRPr="00E16E14">
              <w:rPr>
                <w:rFonts w:cs="Times New Roman"/>
                <w:sz w:val="22"/>
              </w:rPr>
              <w:t xml:space="preserve"> iemaksa valsts budžetā. </w:t>
            </w:r>
          </w:p>
          <w:p w14:paraId="6F208363"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Ārzemniekam pieprasot atkārtotu TUA, valsts budžetā būs jāiemaksā 5 000 </w:t>
            </w:r>
            <w:r w:rsidRPr="00E16E14">
              <w:rPr>
                <w:rFonts w:cs="Times New Roman"/>
                <w:i/>
                <w:sz w:val="22"/>
              </w:rPr>
              <w:t>euro</w:t>
            </w:r>
            <w:r w:rsidRPr="00E16E14">
              <w:rPr>
                <w:rFonts w:cs="Times New Roman"/>
                <w:sz w:val="22"/>
              </w:rPr>
              <w:t>.</w:t>
            </w:r>
            <w:r w:rsidR="00550761">
              <w:rPr>
                <w:rFonts w:cs="Times New Roman"/>
                <w:sz w:val="22"/>
              </w:rPr>
              <w:t xml:space="preserve"> Imigrācijas likuma pārejas noteikumi paredz šīs prasības neattiecināšanu uz ieguldītājiem kapitālsabiedrībās, ieguldītājiem valsts vērtspapīros, kā arī nekustamā īpašuma pircējiem, kas nekustamo īpašumu reģistrējuši zemesgrāmatā līdz 2014.gada 31.augustam, kā arī ārzemniekiem, kas TUA sakarā ar ieguldījumu kredītiestādes pakārtotajās saistībās saņēmuši līdz 2014.gada 31.augustam. Uz abām pēdējām kategorijām 5000 EUR iemaksu neattiecina, pirmo reizi pieprasot atkārtotu TUA.</w:t>
            </w:r>
          </w:p>
          <w:p w14:paraId="4D5D6C91" w14:textId="77777777" w:rsidR="00F5554B" w:rsidRPr="00550761" w:rsidRDefault="00E16E14" w:rsidP="00646D22">
            <w:pPr>
              <w:pStyle w:val="ListParagraph"/>
              <w:numPr>
                <w:ilvl w:val="0"/>
                <w:numId w:val="2"/>
              </w:numPr>
              <w:jc w:val="both"/>
              <w:rPr>
                <w:rFonts w:cs="Times New Roman"/>
                <w:sz w:val="22"/>
              </w:rPr>
            </w:pPr>
            <w:r w:rsidRPr="00E16E14">
              <w:rPr>
                <w:rFonts w:cs="Times New Roman"/>
                <w:sz w:val="22"/>
              </w:rPr>
              <w:t xml:space="preserve">Ārzemniekam </w:t>
            </w:r>
            <w:r w:rsidR="00646D22">
              <w:rPr>
                <w:rFonts w:cs="Times New Roman"/>
                <w:sz w:val="22"/>
              </w:rPr>
              <w:t>ir</w:t>
            </w:r>
            <w:r w:rsidRPr="00E16E14">
              <w:rPr>
                <w:rFonts w:cs="Times New Roman"/>
                <w:sz w:val="22"/>
              </w:rPr>
              <w:t xml:space="preserve"> tiesības pieprasīt TUA uz laiku, kas nepārsniedz piecus gadus, ja viņš Rīgā, Jūrmalā vai Ādažu, Babītes, Baldones, Carnikavas, Garkalnes, Ikšķiles, Ķekavas, Mārupes, Olaines, Ropažu, Salaspils, Saulkrastu vai Stopiņu novadā ir iegādājies un viņam pieder viens funkcionāli saistīts nekustamais īpašums (izņemot, ja īpašums ir neapbūvēta zeme), kura vērtība ir vismaz 250 tūkst. </w:t>
            </w:r>
            <w:r w:rsidRPr="00E16E14">
              <w:rPr>
                <w:rFonts w:cs="Times New Roman"/>
                <w:i/>
                <w:sz w:val="22"/>
              </w:rPr>
              <w:t>euro</w:t>
            </w:r>
            <w:r w:rsidRPr="00E16E14">
              <w:rPr>
                <w:rFonts w:cs="Times New Roman"/>
                <w:sz w:val="22"/>
              </w:rPr>
              <w:t xml:space="preserve">. Savukārt ārpus šīm teritorijām – ne vairāk kā divi nekustamie īpašumi, kur katrs no tiem ir viens funkcionāli saistīts nekustamais īpašums un kuru kopējā vērtība ir vismaz 250 tūkst. </w:t>
            </w:r>
            <w:r w:rsidRPr="00E16E14">
              <w:rPr>
                <w:rFonts w:cs="Times New Roman"/>
                <w:i/>
                <w:sz w:val="22"/>
              </w:rPr>
              <w:t>euro</w:t>
            </w:r>
            <w:r w:rsidRPr="00E16E14">
              <w:rPr>
                <w:rFonts w:cs="Times New Roman"/>
                <w:sz w:val="22"/>
              </w:rPr>
              <w:t xml:space="preserve">. Līdz 2016.gada 1.jūlijam bija noteikts, ka ārzemnieks drīkst iegādāties vienu funkcionāli saistītu apbūvētu nekustamo īpašumu, kura vērtība ir ne mazāka par 250 tūkst. </w:t>
            </w:r>
            <w:r w:rsidRPr="00E16E14">
              <w:rPr>
                <w:rFonts w:cs="Times New Roman"/>
                <w:i/>
                <w:sz w:val="22"/>
              </w:rPr>
              <w:t>euro</w:t>
            </w:r>
            <w:r w:rsidRPr="00E16E14">
              <w:rPr>
                <w:rFonts w:cs="Times New Roman"/>
                <w:sz w:val="22"/>
              </w:rPr>
              <w:t xml:space="preserve">. </w:t>
            </w:r>
          </w:p>
        </w:tc>
      </w:tr>
      <w:tr w:rsidR="00646D22" w:rsidRPr="00802175" w14:paraId="7AAE59ED" w14:textId="77777777" w:rsidTr="00584D5B">
        <w:tc>
          <w:tcPr>
            <w:tcW w:w="1791" w:type="dxa"/>
          </w:tcPr>
          <w:p w14:paraId="65AC9361" w14:textId="77777777" w:rsidR="00646D22" w:rsidRPr="00E16E14" w:rsidRDefault="00646D22" w:rsidP="00646D22">
            <w:pPr>
              <w:jc w:val="center"/>
              <w:rPr>
                <w:sz w:val="22"/>
                <w:szCs w:val="22"/>
              </w:rPr>
            </w:pPr>
            <w:r>
              <w:rPr>
                <w:sz w:val="22"/>
                <w:szCs w:val="22"/>
              </w:rPr>
              <w:t>02.03.2017.</w:t>
            </w:r>
          </w:p>
        </w:tc>
        <w:tc>
          <w:tcPr>
            <w:tcW w:w="7506" w:type="dxa"/>
          </w:tcPr>
          <w:p w14:paraId="289EDDB6" w14:textId="77777777" w:rsidR="00646D22" w:rsidRDefault="00646D22" w:rsidP="00646D22">
            <w:pPr>
              <w:pStyle w:val="ListParagraph"/>
              <w:numPr>
                <w:ilvl w:val="0"/>
                <w:numId w:val="2"/>
              </w:numPr>
              <w:ind w:left="357" w:hanging="357"/>
              <w:jc w:val="both"/>
              <w:rPr>
                <w:rFonts w:cs="Times New Roman"/>
                <w:sz w:val="22"/>
              </w:rPr>
            </w:pPr>
            <w:r>
              <w:rPr>
                <w:rFonts w:cs="Times New Roman"/>
                <w:sz w:val="22"/>
              </w:rPr>
              <w:t>Noteikts pārskata gadā un pirmajā nepilnajā darbības gadā maksājamo nodokļu apjoms ārzemniekam, kas veicis ieguldījumu kapitālsabiedrības pamatkapitālā saskaņā ar Imigrācijas likuma 23.panta pirmās daļas 28.punkta c) apakšpunktu.</w:t>
            </w:r>
          </w:p>
          <w:p w14:paraId="71AC510D" w14:textId="77777777" w:rsidR="00177144" w:rsidRPr="00177144" w:rsidRDefault="00646D22" w:rsidP="00177144">
            <w:pPr>
              <w:pStyle w:val="ListParagraph"/>
              <w:numPr>
                <w:ilvl w:val="0"/>
                <w:numId w:val="2"/>
              </w:numPr>
              <w:ind w:left="357" w:hanging="357"/>
              <w:jc w:val="both"/>
              <w:rPr>
                <w:rFonts w:cs="Times New Roman"/>
                <w:sz w:val="22"/>
              </w:rPr>
            </w:pPr>
            <w:r>
              <w:rPr>
                <w:rFonts w:cs="Times New Roman"/>
                <w:sz w:val="22"/>
              </w:rPr>
              <w:t xml:space="preserve">No 25 000 </w:t>
            </w:r>
            <w:r>
              <w:rPr>
                <w:rFonts w:cs="Times New Roman"/>
                <w:i/>
                <w:sz w:val="22"/>
              </w:rPr>
              <w:t xml:space="preserve">euro </w:t>
            </w:r>
            <w:r>
              <w:rPr>
                <w:rFonts w:cs="Times New Roman"/>
                <w:sz w:val="22"/>
              </w:rPr>
              <w:t xml:space="preserve">līdz 38 000 </w:t>
            </w:r>
            <w:r>
              <w:rPr>
                <w:rFonts w:cs="Times New Roman"/>
                <w:i/>
                <w:sz w:val="22"/>
              </w:rPr>
              <w:t xml:space="preserve">euro </w:t>
            </w:r>
            <w:r>
              <w:rPr>
                <w:rFonts w:cs="Times New Roman"/>
                <w:sz w:val="22"/>
              </w:rPr>
              <w:t xml:space="preserve">palielināts vienreizējās iemaksas valsts budžetā apjoms </w:t>
            </w:r>
            <w:r w:rsidR="00177144">
              <w:rPr>
                <w:rFonts w:cs="Times New Roman"/>
                <w:sz w:val="22"/>
              </w:rPr>
              <w:t>ārzemniekiem, kas saskaņā ar Imigrācijas likuma 23.panta pirmās daļas 31.punktu iegādājas īpašam mērķim noteiktus bezprocentu valsts vērtspapīrus.</w:t>
            </w:r>
          </w:p>
        </w:tc>
      </w:tr>
      <w:tr w:rsidR="00670A7F" w:rsidRPr="00E16E14" w14:paraId="094D7CC6" w14:textId="77777777" w:rsidTr="00584D5B">
        <w:tc>
          <w:tcPr>
            <w:tcW w:w="1791" w:type="dxa"/>
          </w:tcPr>
          <w:p w14:paraId="0DBCE332" w14:textId="77777777" w:rsidR="00670A7F" w:rsidRDefault="007A3EB1" w:rsidP="00646D22">
            <w:pPr>
              <w:jc w:val="center"/>
              <w:rPr>
                <w:sz w:val="22"/>
                <w:szCs w:val="22"/>
              </w:rPr>
            </w:pPr>
            <w:r>
              <w:rPr>
                <w:sz w:val="22"/>
                <w:szCs w:val="22"/>
              </w:rPr>
              <w:t>22.11.2017.</w:t>
            </w:r>
          </w:p>
        </w:tc>
        <w:tc>
          <w:tcPr>
            <w:tcW w:w="7506" w:type="dxa"/>
          </w:tcPr>
          <w:p w14:paraId="22649FA7" w14:textId="77777777" w:rsidR="00670A7F" w:rsidRDefault="007A3EB1" w:rsidP="00646D22">
            <w:pPr>
              <w:pStyle w:val="ListParagraph"/>
              <w:numPr>
                <w:ilvl w:val="0"/>
                <w:numId w:val="2"/>
              </w:numPr>
              <w:ind w:left="357" w:hanging="357"/>
              <w:jc w:val="both"/>
              <w:rPr>
                <w:rFonts w:cs="Times New Roman"/>
                <w:sz w:val="22"/>
              </w:rPr>
            </w:pPr>
            <w:r>
              <w:rPr>
                <w:rFonts w:cs="Times New Roman"/>
                <w:sz w:val="22"/>
              </w:rPr>
              <w:t>Noteikts, ka arī tiem investoriem, kas pirmreizēju termiņuzturēšanās atļauju saņēmuši līdz 2014.gada 31.augustam, pieprasot atkārtotu termiņuzturēšanās atļauju jāveic 5000 EUR iemaksa valsts budžetā, Ekonomiskās attīstības programmā. Iemaksu var sadalīt piecos vienreizējos maksājumos pa 1000 EUR, kas veicami, reģistrējot uzturēšanās atļauju. Minētais regulējums stājās spēkā 01.01.2018.</w:t>
            </w:r>
          </w:p>
        </w:tc>
      </w:tr>
      <w:tr w:rsidR="007A3EB1" w:rsidRPr="00E16E14" w14:paraId="5F77044F" w14:textId="77777777" w:rsidTr="00584D5B">
        <w:tc>
          <w:tcPr>
            <w:tcW w:w="1791" w:type="dxa"/>
          </w:tcPr>
          <w:p w14:paraId="7CB866C2" w14:textId="77777777" w:rsidR="007A3EB1" w:rsidRDefault="007A3EB1" w:rsidP="00646D22">
            <w:pPr>
              <w:jc w:val="center"/>
              <w:rPr>
                <w:sz w:val="22"/>
                <w:szCs w:val="22"/>
              </w:rPr>
            </w:pPr>
            <w:r>
              <w:rPr>
                <w:sz w:val="22"/>
                <w:szCs w:val="22"/>
              </w:rPr>
              <w:t>18.06.2018.</w:t>
            </w:r>
          </w:p>
        </w:tc>
        <w:tc>
          <w:tcPr>
            <w:tcW w:w="7506" w:type="dxa"/>
          </w:tcPr>
          <w:p w14:paraId="494B0E79" w14:textId="77777777" w:rsidR="007A3EB1" w:rsidRDefault="007A3EB1" w:rsidP="00B5684E">
            <w:pPr>
              <w:pStyle w:val="ListParagraph"/>
              <w:numPr>
                <w:ilvl w:val="0"/>
                <w:numId w:val="2"/>
              </w:numPr>
              <w:ind w:left="357" w:hanging="357"/>
              <w:jc w:val="both"/>
              <w:rPr>
                <w:rFonts w:cs="Times New Roman"/>
                <w:sz w:val="22"/>
              </w:rPr>
            </w:pPr>
            <w:r>
              <w:rPr>
                <w:rFonts w:cs="Times New Roman"/>
                <w:sz w:val="22"/>
              </w:rPr>
              <w:t>Paredzēts</w:t>
            </w:r>
            <w:r w:rsidR="00B70FE9">
              <w:rPr>
                <w:rFonts w:cs="Times New Roman"/>
                <w:sz w:val="22"/>
              </w:rPr>
              <w:t xml:space="preserve"> nepiemērot</w:t>
            </w:r>
            <w:r w:rsidR="00B70FE9" w:rsidRPr="00B70FE9">
              <w:rPr>
                <w:rFonts w:cs="Times New Roman"/>
                <w:sz w:val="22"/>
              </w:rPr>
              <w:t xml:space="preserve"> nosacījumu</w:t>
            </w:r>
            <w:r w:rsidR="00B70FE9">
              <w:rPr>
                <w:rFonts w:cs="Times New Roman"/>
                <w:sz w:val="22"/>
              </w:rPr>
              <w:t xml:space="preserve"> par </w:t>
            </w:r>
            <w:r w:rsidR="00B5684E">
              <w:rPr>
                <w:rFonts w:cs="Times New Roman"/>
                <w:sz w:val="22"/>
              </w:rPr>
              <w:t>termiņuzturēšanās atļaujas izsniegšanas</w:t>
            </w:r>
            <w:r w:rsidR="004E7060">
              <w:rPr>
                <w:rFonts w:cs="Times New Roman"/>
                <w:sz w:val="22"/>
              </w:rPr>
              <w:t xml:space="preserve"> vai reģistrēšanas</w:t>
            </w:r>
            <w:r w:rsidR="00B5684E">
              <w:rPr>
                <w:rFonts w:cs="Times New Roman"/>
                <w:sz w:val="22"/>
              </w:rPr>
              <w:t xml:space="preserve"> atteikumu </w:t>
            </w:r>
            <w:r w:rsidR="00B70FE9">
              <w:rPr>
                <w:rFonts w:cs="Times New Roman"/>
                <w:sz w:val="22"/>
              </w:rPr>
              <w:t>nodokļu parāda</w:t>
            </w:r>
            <w:r w:rsidR="00B5684E">
              <w:rPr>
                <w:rFonts w:cs="Times New Roman"/>
                <w:sz w:val="22"/>
              </w:rPr>
              <w:t xml:space="preserve"> gadījumā</w:t>
            </w:r>
            <w:r w:rsidR="00B70FE9" w:rsidRPr="00B70FE9">
              <w:rPr>
                <w:rFonts w:cs="Times New Roman"/>
                <w:sz w:val="22"/>
              </w:rPr>
              <w:t>, ja minētais apstāklis nav konstatēts, v</w:t>
            </w:r>
            <w:r w:rsidR="00B5684E">
              <w:rPr>
                <w:rFonts w:cs="Times New Roman"/>
                <w:sz w:val="22"/>
              </w:rPr>
              <w:t xml:space="preserve">eicot nodokļu samaksas pārbaudi, </w:t>
            </w:r>
            <w:r w:rsidR="00B70FE9" w:rsidRPr="00B70FE9">
              <w:rPr>
                <w:rFonts w:cs="Times New Roman"/>
                <w:sz w:val="22"/>
              </w:rPr>
              <w:t>apstiprinot izsaukumu, vai saņemts nodokļu administrācijas apstiprinājums tam, ka attiecīgo maksājumu termiņi ir pagarināti (atlikti, sadalīti) nodokļu jomu reglamentējošos normatīvajos aktos noteiktajā kārtībā un maksājumi tiek veikti saskaņā ar nodokļu administrācijas lēmumu (samaksas grafiku), vai tam, ka pārbaudes veikšanas dienā lēmums, ar kuru ir noteikts nodokļu parāds, nav stājies spēkā vai ir apturēts</w:t>
            </w:r>
            <w:r w:rsidR="006579EA">
              <w:rPr>
                <w:rFonts w:cs="Times New Roman"/>
                <w:sz w:val="22"/>
              </w:rPr>
              <w:t>.</w:t>
            </w:r>
          </w:p>
        </w:tc>
      </w:tr>
    </w:tbl>
    <w:p w14:paraId="6C26ADB9" w14:textId="77777777" w:rsidR="00550761" w:rsidRDefault="00550761" w:rsidP="00646D22">
      <w:pPr>
        <w:tabs>
          <w:tab w:val="left" w:pos="6431"/>
          <w:tab w:val="left" w:pos="6758"/>
        </w:tabs>
        <w:rPr>
          <w:sz w:val="26"/>
          <w:szCs w:val="26"/>
        </w:rPr>
      </w:pPr>
    </w:p>
    <w:p w14:paraId="22E3902A" w14:textId="77777777" w:rsidR="00550761" w:rsidRDefault="00550761" w:rsidP="00646D22">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14:paraId="1AB37D78" w14:textId="77777777" w:rsidR="00550761" w:rsidRDefault="00550761" w:rsidP="00DA712E">
      <w:pPr>
        <w:rPr>
          <w:sz w:val="26"/>
          <w:szCs w:val="26"/>
        </w:rPr>
      </w:pPr>
    </w:p>
    <w:p w14:paraId="72E12375" w14:textId="77777777" w:rsidR="00550761" w:rsidRPr="007355EB" w:rsidRDefault="00550761" w:rsidP="00646D22">
      <w:pPr>
        <w:ind w:left="720" w:hanging="720"/>
        <w:rPr>
          <w:sz w:val="26"/>
          <w:szCs w:val="26"/>
        </w:rPr>
      </w:pPr>
      <w:r w:rsidRPr="007355EB">
        <w:rPr>
          <w:sz w:val="26"/>
          <w:szCs w:val="26"/>
        </w:rPr>
        <w:t>Vīza:</w:t>
      </w:r>
    </w:p>
    <w:p w14:paraId="421A288E" w14:textId="77777777" w:rsidR="00550761" w:rsidRDefault="00550761" w:rsidP="00646D22">
      <w:pPr>
        <w:tabs>
          <w:tab w:val="left" w:pos="6431"/>
        </w:tabs>
        <w:ind w:left="720" w:hanging="720"/>
        <w:rPr>
          <w:sz w:val="26"/>
          <w:szCs w:val="26"/>
        </w:rPr>
      </w:pPr>
      <w:r w:rsidRPr="007355EB">
        <w:rPr>
          <w:sz w:val="26"/>
          <w:szCs w:val="26"/>
        </w:rPr>
        <w:t>Valsts sekretār</w:t>
      </w:r>
      <w:r w:rsidR="00646D22">
        <w:rPr>
          <w:sz w:val="26"/>
          <w:szCs w:val="26"/>
        </w:rPr>
        <w:t>s</w:t>
      </w:r>
      <w:r w:rsidR="00646D22">
        <w:rPr>
          <w:sz w:val="26"/>
          <w:szCs w:val="26"/>
        </w:rPr>
        <w:tab/>
        <w:t>D. Trofimovs</w:t>
      </w:r>
    </w:p>
    <w:p w14:paraId="00929C8B" w14:textId="77777777" w:rsidR="00550761" w:rsidRDefault="00550761" w:rsidP="00646D22">
      <w:pPr>
        <w:tabs>
          <w:tab w:val="left" w:pos="6431"/>
        </w:tabs>
        <w:ind w:left="720" w:hanging="720"/>
        <w:rPr>
          <w:sz w:val="26"/>
          <w:szCs w:val="26"/>
        </w:rPr>
      </w:pPr>
    </w:p>
    <w:p w14:paraId="138C2284" w14:textId="77777777" w:rsidR="00550761" w:rsidRDefault="00550761" w:rsidP="00646D22">
      <w:pPr>
        <w:ind w:right="-328"/>
        <w:jc w:val="both"/>
        <w:rPr>
          <w:sz w:val="22"/>
          <w:szCs w:val="22"/>
        </w:rPr>
      </w:pPr>
    </w:p>
    <w:p w14:paraId="0214E744" w14:textId="77777777" w:rsidR="00550761" w:rsidRDefault="00550761" w:rsidP="00646D22">
      <w:pPr>
        <w:ind w:right="-328"/>
        <w:rPr>
          <w:sz w:val="22"/>
          <w:szCs w:val="22"/>
        </w:rPr>
      </w:pPr>
      <w:r>
        <w:rPr>
          <w:sz w:val="22"/>
          <w:szCs w:val="22"/>
        </w:rPr>
        <w:t xml:space="preserve">I. </w:t>
      </w:r>
      <w:r w:rsidRPr="007355EB">
        <w:rPr>
          <w:sz w:val="22"/>
          <w:szCs w:val="22"/>
        </w:rPr>
        <w:t>Briede, 67219546</w:t>
      </w:r>
    </w:p>
    <w:p w14:paraId="76F8DB5A" w14:textId="77777777" w:rsidR="008C54A3" w:rsidRPr="00E16E14" w:rsidRDefault="0073773C" w:rsidP="004E7060">
      <w:pPr>
        <w:ind w:right="-328"/>
        <w:rPr>
          <w:b/>
          <w:sz w:val="22"/>
          <w:szCs w:val="22"/>
          <w:lang w:val="lv-LV"/>
        </w:rPr>
      </w:pPr>
      <w:hyperlink r:id="rId7" w:history="1">
        <w:r w:rsidR="00550761" w:rsidRPr="007355EB">
          <w:rPr>
            <w:rStyle w:val="Hyperlink"/>
            <w:sz w:val="22"/>
            <w:szCs w:val="22"/>
          </w:rPr>
          <w:t>ilze.briede@pmlp.gov.lv</w:t>
        </w:r>
      </w:hyperlink>
      <w:r w:rsidR="00550761" w:rsidRPr="007355EB">
        <w:rPr>
          <w:sz w:val="22"/>
          <w:szCs w:val="22"/>
        </w:rPr>
        <w:t xml:space="preserve"> </w:t>
      </w:r>
    </w:p>
    <w:sectPr w:rsidR="008C54A3" w:rsidRPr="00E16E14" w:rsidSect="00DA712E">
      <w:headerReference w:type="default" r:id="rId8"/>
      <w:footerReference w:type="default" r:id="rId9"/>
      <w:footerReference w:type="first" r:id="rId10"/>
      <w:pgSz w:w="11906" w:h="16838" w:code="9"/>
      <w:pgMar w:top="1418" w:right="1134" w:bottom="1134" w:left="1701" w:header="709" w:footer="50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8E89" w14:textId="77777777" w:rsidR="0073773C" w:rsidRDefault="0073773C" w:rsidP="00924851">
      <w:r>
        <w:separator/>
      </w:r>
    </w:p>
  </w:endnote>
  <w:endnote w:type="continuationSeparator" w:id="0">
    <w:p w14:paraId="22E07C67" w14:textId="77777777" w:rsidR="0073773C" w:rsidRDefault="0073773C" w:rsidP="009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FA78" w14:textId="615EBDF5" w:rsidR="008C54A3" w:rsidRPr="003A52D7" w:rsidRDefault="008C54A3" w:rsidP="008C54A3">
    <w:pPr>
      <w:jc w:val="both"/>
      <w:rPr>
        <w:sz w:val="20"/>
      </w:rPr>
    </w:pPr>
    <w:r w:rsidRPr="006664B3">
      <w:rPr>
        <w:sz w:val="20"/>
        <w:lang w:val="lv-LV"/>
      </w:rPr>
      <w:t>I</w:t>
    </w:r>
    <w:r>
      <w:rPr>
        <w:sz w:val="20"/>
        <w:lang w:val="lv-LV"/>
      </w:rPr>
      <w:t>EMZinop7_</w:t>
    </w:r>
    <w:r w:rsidR="00802175">
      <w:rPr>
        <w:sz w:val="20"/>
        <w:lang w:val="lv-LV"/>
      </w:rPr>
      <w:t>1912</w:t>
    </w:r>
    <w:r w:rsidR="004E7060">
      <w:rPr>
        <w:sz w:val="20"/>
        <w:lang w:val="lv-LV"/>
      </w:rPr>
      <w:t>18</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w:t>
    </w:r>
    <w:r w:rsidR="00802175">
      <w:rPr>
        <w:sz w:val="20"/>
      </w:rPr>
      <w:t>6</w:t>
    </w:r>
    <w:r>
      <w:rPr>
        <w:sz w:val="20"/>
      </w:rPr>
      <w:t>.pielikums</w:t>
    </w:r>
  </w:p>
  <w:p w14:paraId="7619929A" w14:textId="77777777" w:rsidR="008C54A3" w:rsidRDefault="008C5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70CB" w14:textId="417C6DFE" w:rsidR="008C54A3" w:rsidRPr="003A52D7" w:rsidRDefault="008C54A3" w:rsidP="008C54A3">
    <w:pPr>
      <w:jc w:val="both"/>
      <w:rPr>
        <w:sz w:val="20"/>
      </w:rPr>
    </w:pPr>
    <w:r w:rsidRPr="006664B3">
      <w:rPr>
        <w:sz w:val="20"/>
        <w:lang w:val="lv-LV"/>
      </w:rPr>
      <w:t>I</w:t>
    </w:r>
    <w:r w:rsidR="00584D5B">
      <w:rPr>
        <w:sz w:val="20"/>
        <w:lang w:val="lv-LV"/>
      </w:rPr>
      <w:t>EMZinop7_</w:t>
    </w:r>
    <w:r w:rsidR="00802175">
      <w:rPr>
        <w:sz w:val="20"/>
        <w:lang w:val="lv-LV"/>
      </w:rPr>
      <w:t>1912</w:t>
    </w:r>
    <w:r w:rsidR="004E7060">
      <w:rPr>
        <w:sz w:val="20"/>
        <w:lang w:val="lv-LV"/>
      </w:rPr>
      <w:t>18</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w:t>
    </w:r>
    <w:r w:rsidR="00802175">
      <w:rPr>
        <w:sz w:val="20"/>
      </w:rPr>
      <w:t>6</w:t>
    </w:r>
    <w:r>
      <w:rPr>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C75D" w14:textId="77777777" w:rsidR="0073773C" w:rsidRDefault="0073773C" w:rsidP="00924851">
      <w:r>
        <w:separator/>
      </w:r>
    </w:p>
  </w:footnote>
  <w:footnote w:type="continuationSeparator" w:id="0">
    <w:p w14:paraId="7D5ABD1A" w14:textId="77777777" w:rsidR="0073773C" w:rsidRDefault="0073773C" w:rsidP="0092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301"/>
      <w:docPartObj>
        <w:docPartGallery w:val="Page Numbers (Top of Page)"/>
        <w:docPartUnique/>
      </w:docPartObj>
    </w:sdtPr>
    <w:sdtEndPr/>
    <w:sdtContent>
      <w:p w14:paraId="74724F3E" w14:textId="77777777" w:rsidR="00924851" w:rsidRDefault="008161E8">
        <w:pPr>
          <w:pStyle w:val="Header"/>
          <w:jc w:val="center"/>
        </w:pPr>
        <w:r>
          <w:fldChar w:fldCharType="begin"/>
        </w:r>
        <w:r w:rsidR="00584D5B">
          <w:instrText xml:space="preserve"> PAGE   \* MERGEFORMAT </w:instrText>
        </w:r>
        <w:r>
          <w:fldChar w:fldCharType="separate"/>
        </w:r>
        <w:r w:rsidR="00205CE3">
          <w:rPr>
            <w:noProof/>
          </w:rPr>
          <w:t>4</w:t>
        </w:r>
        <w:r>
          <w:rPr>
            <w:noProof/>
          </w:rPr>
          <w:fldChar w:fldCharType="end"/>
        </w:r>
      </w:p>
    </w:sdtContent>
  </w:sdt>
  <w:p w14:paraId="6056F508" w14:textId="77777777" w:rsidR="00924851" w:rsidRDefault="009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32348"/>
    <w:multiLevelType w:val="hybridMultilevel"/>
    <w:tmpl w:val="1ED6457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1FA6451"/>
    <w:multiLevelType w:val="hybridMultilevel"/>
    <w:tmpl w:val="8F3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4B"/>
    <w:rsid w:val="000738C9"/>
    <w:rsid w:val="000760B4"/>
    <w:rsid w:val="0012417B"/>
    <w:rsid w:val="00177144"/>
    <w:rsid w:val="001B7C7E"/>
    <w:rsid w:val="001E635F"/>
    <w:rsid w:val="00205CE3"/>
    <w:rsid w:val="00374E79"/>
    <w:rsid w:val="00404F53"/>
    <w:rsid w:val="00420258"/>
    <w:rsid w:val="004C47D7"/>
    <w:rsid w:val="004E7060"/>
    <w:rsid w:val="00534F9C"/>
    <w:rsid w:val="00535CB0"/>
    <w:rsid w:val="00550761"/>
    <w:rsid w:val="00584D5B"/>
    <w:rsid w:val="005C0F34"/>
    <w:rsid w:val="005D400C"/>
    <w:rsid w:val="00646D22"/>
    <w:rsid w:val="006579EA"/>
    <w:rsid w:val="00665A47"/>
    <w:rsid w:val="00670A7F"/>
    <w:rsid w:val="00705FA1"/>
    <w:rsid w:val="0073773C"/>
    <w:rsid w:val="007633AE"/>
    <w:rsid w:val="007A3EB1"/>
    <w:rsid w:val="007C2543"/>
    <w:rsid w:val="007F0B1F"/>
    <w:rsid w:val="00802175"/>
    <w:rsid w:val="008161E8"/>
    <w:rsid w:val="00833A62"/>
    <w:rsid w:val="008C54A3"/>
    <w:rsid w:val="00924851"/>
    <w:rsid w:val="009C61B3"/>
    <w:rsid w:val="00A310E0"/>
    <w:rsid w:val="00AA5351"/>
    <w:rsid w:val="00AB5332"/>
    <w:rsid w:val="00B5684E"/>
    <w:rsid w:val="00B70FE9"/>
    <w:rsid w:val="00B94F12"/>
    <w:rsid w:val="00C03454"/>
    <w:rsid w:val="00C25443"/>
    <w:rsid w:val="00DA68D4"/>
    <w:rsid w:val="00DA712E"/>
    <w:rsid w:val="00E16E14"/>
    <w:rsid w:val="00E84834"/>
    <w:rsid w:val="00EC56DA"/>
    <w:rsid w:val="00EF1065"/>
    <w:rsid w:val="00F5554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FACB"/>
  <w15:docId w15:val="{1352EC55-7533-46A9-A6B3-1CAFFE34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user</cp:lastModifiedBy>
  <cp:revision>2</cp:revision>
  <dcterms:created xsi:type="dcterms:W3CDTF">2018-12-19T18:12:00Z</dcterms:created>
  <dcterms:modified xsi:type="dcterms:W3CDTF">2018-12-19T18:12:00Z</dcterms:modified>
</cp:coreProperties>
</file>