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1C817C" w14:textId="77777777" w:rsidR="00957165" w:rsidRPr="00A660A9" w:rsidRDefault="00957165" w:rsidP="00C438B9">
      <w:pPr>
        <w:pStyle w:val="naisc"/>
        <w:spacing w:before="0" w:after="0"/>
        <w:rPr>
          <w:b/>
          <w:bCs/>
          <w:sz w:val="28"/>
          <w:szCs w:val="28"/>
        </w:rPr>
      </w:pPr>
      <w:r w:rsidRPr="00A660A9">
        <w:rPr>
          <w:b/>
          <w:bCs/>
          <w:sz w:val="28"/>
          <w:szCs w:val="28"/>
        </w:rPr>
        <w:t xml:space="preserve">Ministru kabineta </w:t>
      </w:r>
      <w:r w:rsidR="00B922A1" w:rsidRPr="00A660A9">
        <w:rPr>
          <w:b/>
          <w:bCs/>
          <w:sz w:val="28"/>
          <w:szCs w:val="28"/>
        </w:rPr>
        <w:t>noteikumu</w:t>
      </w:r>
      <w:r w:rsidRPr="00A660A9">
        <w:rPr>
          <w:b/>
          <w:bCs/>
          <w:sz w:val="28"/>
          <w:szCs w:val="28"/>
        </w:rPr>
        <w:t xml:space="preserve"> projekta </w:t>
      </w:r>
    </w:p>
    <w:p w14:paraId="2AA0601E" w14:textId="77777777" w:rsidR="005868A4" w:rsidRPr="00A660A9" w:rsidRDefault="00957165" w:rsidP="00203400">
      <w:pPr>
        <w:tabs>
          <w:tab w:val="left" w:pos="5250"/>
        </w:tabs>
        <w:jc w:val="center"/>
        <w:rPr>
          <w:b/>
          <w:sz w:val="28"/>
          <w:szCs w:val="28"/>
        </w:rPr>
      </w:pPr>
      <w:r w:rsidRPr="00A660A9">
        <w:rPr>
          <w:b/>
          <w:bCs/>
          <w:sz w:val="28"/>
          <w:szCs w:val="28"/>
        </w:rPr>
        <w:t>„</w:t>
      </w:r>
      <w:r w:rsidR="00203400" w:rsidRPr="00A660A9">
        <w:rPr>
          <w:b/>
          <w:sz w:val="28"/>
          <w:szCs w:val="28"/>
        </w:rPr>
        <w:t>Profesionālās kvalifikācijas eksāmenu norises kārtība akreditētās profesionālās izglītības programmās</w:t>
      </w:r>
      <w:r w:rsidR="00F3343F" w:rsidRPr="00A660A9">
        <w:rPr>
          <w:b/>
          <w:bCs/>
          <w:sz w:val="28"/>
          <w:szCs w:val="28"/>
        </w:rPr>
        <w:t>”</w:t>
      </w:r>
    </w:p>
    <w:p w14:paraId="65943237" w14:textId="77777777" w:rsidR="005868A4" w:rsidRPr="00A660A9" w:rsidRDefault="00957165" w:rsidP="00F3343F">
      <w:pPr>
        <w:pStyle w:val="NormalWeb"/>
        <w:spacing w:before="0" w:beforeAutospacing="0" w:after="0" w:afterAutospacing="0"/>
        <w:jc w:val="center"/>
        <w:rPr>
          <w:rFonts w:ascii="Times New Roman" w:hAnsi="Times New Roman"/>
          <w:b/>
          <w:sz w:val="28"/>
          <w:szCs w:val="28"/>
        </w:rPr>
      </w:pPr>
      <w:r w:rsidRPr="00A660A9">
        <w:rPr>
          <w:rFonts w:ascii="Times New Roman" w:hAnsi="Times New Roman"/>
          <w:b/>
          <w:sz w:val="28"/>
          <w:szCs w:val="28"/>
        </w:rPr>
        <w:t>sākotnējās ietekmes novērtējuma ziņojums</w:t>
      </w:r>
    </w:p>
    <w:p w14:paraId="01576796" w14:textId="77777777" w:rsidR="00957165" w:rsidRPr="00A660A9" w:rsidRDefault="00957165" w:rsidP="00F3343F">
      <w:pPr>
        <w:pStyle w:val="NormalWeb"/>
        <w:spacing w:before="0" w:beforeAutospacing="0" w:after="0" w:afterAutospacing="0"/>
        <w:jc w:val="center"/>
        <w:rPr>
          <w:rFonts w:ascii="Times New Roman" w:hAnsi="Times New Roman"/>
          <w:b/>
          <w:sz w:val="28"/>
          <w:szCs w:val="28"/>
        </w:rPr>
      </w:pPr>
      <w:r w:rsidRPr="00A660A9">
        <w:rPr>
          <w:rFonts w:ascii="Times New Roman" w:hAnsi="Times New Roman"/>
          <w:b/>
          <w:sz w:val="28"/>
          <w:szCs w:val="28"/>
        </w:rPr>
        <w:t>(anotācija)</w:t>
      </w:r>
    </w:p>
    <w:p w14:paraId="53A7C450" w14:textId="77777777" w:rsidR="007E6075" w:rsidRPr="00A660A9" w:rsidRDefault="007E6075" w:rsidP="003E02D2">
      <w:pPr>
        <w:pStyle w:val="naisc"/>
        <w:spacing w:before="0" w:after="0"/>
        <w:jc w:val="left"/>
        <w:rPr>
          <w:b/>
          <w:bCs/>
          <w:sz w:val="28"/>
          <w:szCs w:val="28"/>
        </w:rPr>
      </w:pPr>
    </w:p>
    <w:tbl>
      <w:tblPr>
        <w:tblStyle w:val="TableGrid"/>
        <w:tblW w:w="9243" w:type="dxa"/>
        <w:tblInd w:w="-34" w:type="dxa"/>
        <w:tblLayout w:type="fixed"/>
        <w:tblLook w:val="04A0" w:firstRow="1" w:lastRow="0" w:firstColumn="1" w:lastColumn="0" w:noHBand="0" w:noVBand="1"/>
      </w:tblPr>
      <w:tblGrid>
        <w:gridCol w:w="2073"/>
        <w:gridCol w:w="7170"/>
      </w:tblGrid>
      <w:tr w:rsidR="007E6075" w:rsidRPr="00A660A9" w14:paraId="209D6AFB" w14:textId="77777777" w:rsidTr="0080232F">
        <w:tc>
          <w:tcPr>
            <w:tcW w:w="9243" w:type="dxa"/>
            <w:gridSpan w:val="2"/>
          </w:tcPr>
          <w:p w14:paraId="5C0756E5" w14:textId="24330C15" w:rsidR="007E6075" w:rsidRPr="00A660A9" w:rsidRDefault="007E6075" w:rsidP="007E6075">
            <w:pPr>
              <w:spacing w:before="68" w:after="68"/>
              <w:jc w:val="center"/>
              <w:rPr>
                <w:b/>
                <w:sz w:val="28"/>
                <w:szCs w:val="28"/>
              </w:rPr>
            </w:pPr>
            <w:r w:rsidRPr="00A660A9">
              <w:rPr>
                <w:b/>
                <w:sz w:val="28"/>
                <w:szCs w:val="28"/>
              </w:rPr>
              <w:t>Tiesību akta projekta anotācijas kopsavilkums</w:t>
            </w:r>
          </w:p>
        </w:tc>
      </w:tr>
      <w:tr w:rsidR="007E6075" w:rsidRPr="00A660A9" w14:paraId="276F25D3" w14:textId="77777777" w:rsidTr="00E23548">
        <w:trPr>
          <w:trHeight w:val="630"/>
        </w:trPr>
        <w:tc>
          <w:tcPr>
            <w:tcW w:w="2073" w:type="dxa"/>
          </w:tcPr>
          <w:p w14:paraId="6015AD50" w14:textId="652EB0AA" w:rsidR="007E6075" w:rsidRPr="00A660A9" w:rsidRDefault="007E6075" w:rsidP="0080232F">
            <w:pPr>
              <w:spacing w:before="68" w:after="68"/>
              <w:rPr>
                <w:sz w:val="28"/>
                <w:szCs w:val="28"/>
              </w:rPr>
            </w:pPr>
            <w:r w:rsidRPr="00A660A9">
              <w:rPr>
                <w:sz w:val="28"/>
                <w:szCs w:val="28"/>
              </w:rPr>
              <w:t>Mērķis, risinājums un projekta spēkā stāšanās laiks (500 zīmes bez atstarpēm)</w:t>
            </w:r>
          </w:p>
        </w:tc>
        <w:tc>
          <w:tcPr>
            <w:tcW w:w="7170" w:type="dxa"/>
          </w:tcPr>
          <w:p w14:paraId="3AA6AE07" w14:textId="1786D2A7" w:rsidR="007E6075" w:rsidRPr="00A660A9" w:rsidRDefault="007E6075" w:rsidP="007756AB">
            <w:pPr>
              <w:tabs>
                <w:tab w:val="left" w:pos="5250"/>
              </w:tabs>
              <w:ind w:firstLine="478"/>
              <w:jc w:val="both"/>
              <w:rPr>
                <w:sz w:val="28"/>
                <w:szCs w:val="28"/>
              </w:rPr>
            </w:pPr>
            <w:r w:rsidRPr="00A660A9">
              <w:rPr>
                <w:sz w:val="28"/>
                <w:szCs w:val="28"/>
              </w:rPr>
              <w:t xml:space="preserve">Ministru kabineta noteikumu projekta </w:t>
            </w:r>
            <w:r w:rsidRPr="00A660A9">
              <w:rPr>
                <w:bCs/>
                <w:sz w:val="28"/>
                <w:szCs w:val="28"/>
              </w:rPr>
              <w:t>„</w:t>
            </w:r>
            <w:r w:rsidRPr="00A660A9">
              <w:rPr>
                <w:sz w:val="28"/>
                <w:szCs w:val="28"/>
              </w:rPr>
              <w:t>Profesionālās kvalifikācijas eksāmenu norises kārtība akreditētās profesionālās izglītības programmās</w:t>
            </w:r>
            <w:r w:rsidRPr="00A660A9">
              <w:rPr>
                <w:bCs/>
                <w:sz w:val="28"/>
                <w:szCs w:val="28"/>
              </w:rPr>
              <w:t xml:space="preserve">” </w:t>
            </w:r>
            <w:r w:rsidRPr="00A660A9">
              <w:rPr>
                <w:sz w:val="28"/>
                <w:szCs w:val="28"/>
              </w:rPr>
              <w:t xml:space="preserve">(turpmāk – Projekts) mērķis ir noteikt profesionālās kvalifikācijas eksāmenu (turpmāk – eksāmeni), norises kārtību akreditētās profesionālās izglītības programmās. Projekts paredz atvieglot eksāmenu norisi, samazinot eksāmenu norises nodrošināšanai izstrādājamo dokumentu skaitu, kā arī atvieglo jaunu </w:t>
            </w:r>
            <w:r w:rsidR="00EB5060">
              <w:rPr>
                <w:bCs/>
                <w:sz w:val="28"/>
                <w:szCs w:val="28"/>
              </w:rPr>
              <w:t>pārbaudījumu formu ieviešanu.</w:t>
            </w:r>
            <w:r w:rsidR="005F22F3" w:rsidRPr="00A660A9">
              <w:rPr>
                <w:sz w:val="28"/>
                <w:szCs w:val="28"/>
              </w:rPr>
              <w:t xml:space="preserve"> </w:t>
            </w:r>
            <w:r w:rsidR="005F22F3" w:rsidRPr="00A660A9">
              <w:rPr>
                <w:bCs/>
                <w:sz w:val="28"/>
                <w:szCs w:val="28"/>
              </w:rPr>
              <w:t>Paredzēts, ka Projekts stāsies spēkā Oficiālo publikāciju un tiesiskās informācijas likumā noteiktajā kārtībā.</w:t>
            </w:r>
          </w:p>
        </w:tc>
      </w:tr>
    </w:tbl>
    <w:p w14:paraId="6C1AD26B" w14:textId="77777777" w:rsidR="007E6075" w:rsidRPr="00A660A9" w:rsidRDefault="007E6075" w:rsidP="003E02D2">
      <w:pPr>
        <w:pStyle w:val="naisc"/>
        <w:spacing w:before="0" w:after="0"/>
        <w:jc w:val="left"/>
        <w:rPr>
          <w:b/>
          <w:bCs/>
          <w:sz w:val="28"/>
          <w:szCs w:val="28"/>
        </w:rPr>
      </w:pPr>
    </w:p>
    <w:tbl>
      <w:tblPr>
        <w:tblStyle w:val="TableGrid"/>
        <w:tblW w:w="9243" w:type="dxa"/>
        <w:tblInd w:w="-34" w:type="dxa"/>
        <w:tblLayout w:type="fixed"/>
        <w:tblLook w:val="04A0" w:firstRow="1" w:lastRow="0" w:firstColumn="1" w:lastColumn="0" w:noHBand="0" w:noVBand="1"/>
      </w:tblPr>
      <w:tblGrid>
        <w:gridCol w:w="455"/>
        <w:gridCol w:w="1618"/>
        <w:gridCol w:w="7170"/>
      </w:tblGrid>
      <w:tr w:rsidR="009D1F13" w:rsidRPr="00A660A9" w14:paraId="5B449F13" w14:textId="77777777" w:rsidTr="005C3B7C">
        <w:tc>
          <w:tcPr>
            <w:tcW w:w="9243" w:type="dxa"/>
            <w:gridSpan w:val="3"/>
          </w:tcPr>
          <w:p w14:paraId="3C59C76E" w14:textId="77777777" w:rsidR="00F44C86" w:rsidRPr="00A660A9" w:rsidRDefault="00F44C86" w:rsidP="00234BCE">
            <w:pPr>
              <w:spacing w:before="68" w:after="68"/>
              <w:jc w:val="center"/>
              <w:rPr>
                <w:sz w:val="28"/>
                <w:szCs w:val="28"/>
              </w:rPr>
            </w:pPr>
            <w:r w:rsidRPr="00A660A9">
              <w:rPr>
                <w:b/>
                <w:bCs/>
                <w:sz w:val="28"/>
                <w:szCs w:val="28"/>
              </w:rPr>
              <w:t> I. Tiesību akta projekta izstrādes nepieciešamība</w:t>
            </w:r>
          </w:p>
        </w:tc>
      </w:tr>
      <w:tr w:rsidR="009D1F13" w:rsidRPr="00A660A9" w14:paraId="5FC07750" w14:textId="77777777" w:rsidTr="005C3B7C">
        <w:trPr>
          <w:trHeight w:val="630"/>
        </w:trPr>
        <w:tc>
          <w:tcPr>
            <w:tcW w:w="455" w:type="dxa"/>
          </w:tcPr>
          <w:p w14:paraId="72978D1E" w14:textId="77777777" w:rsidR="00F44C86" w:rsidRPr="00A660A9" w:rsidRDefault="00F44C86" w:rsidP="00234BCE">
            <w:pPr>
              <w:spacing w:before="68" w:after="68"/>
              <w:rPr>
                <w:sz w:val="28"/>
                <w:szCs w:val="28"/>
              </w:rPr>
            </w:pPr>
            <w:r w:rsidRPr="00A660A9">
              <w:rPr>
                <w:sz w:val="28"/>
                <w:szCs w:val="28"/>
              </w:rPr>
              <w:t>1.</w:t>
            </w:r>
          </w:p>
        </w:tc>
        <w:tc>
          <w:tcPr>
            <w:tcW w:w="1618" w:type="dxa"/>
          </w:tcPr>
          <w:p w14:paraId="3B0DA359" w14:textId="77777777" w:rsidR="00F44C86" w:rsidRPr="00A660A9" w:rsidRDefault="00F44C86" w:rsidP="00234BCE">
            <w:pPr>
              <w:spacing w:before="68" w:after="68"/>
              <w:rPr>
                <w:sz w:val="28"/>
                <w:szCs w:val="28"/>
              </w:rPr>
            </w:pPr>
            <w:r w:rsidRPr="00A660A9">
              <w:rPr>
                <w:sz w:val="28"/>
                <w:szCs w:val="28"/>
              </w:rPr>
              <w:t>Pamatojums</w:t>
            </w:r>
          </w:p>
        </w:tc>
        <w:tc>
          <w:tcPr>
            <w:tcW w:w="7170" w:type="dxa"/>
          </w:tcPr>
          <w:p w14:paraId="15405318" w14:textId="0B75E940" w:rsidR="00F44C86" w:rsidRPr="00A660A9" w:rsidRDefault="00A46086" w:rsidP="00F113A8">
            <w:pPr>
              <w:tabs>
                <w:tab w:val="left" w:pos="5250"/>
              </w:tabs>
              <w:jc w:val="both"/>
              <w:rPr>
                <w:sz w:val="28"/>
                <w:szCs w:val="28"/>
              </w:rPr>
            </w:pPr>
            <w:r w:rsidRPr="00A660A9">
              <w:rPr>
                <w:sz w:val="28"/>
                <w:szCs w:val="28"/>
              </w:rPr>
              <w:t>Projekts</w:t>
            </w:r>
            <w:r w:rsidR="00F44C86" w:rsidRPr="00A660A9">
              <w:rPr>
                <w:sz w:val="28"/>
                <w:szCs w:val="28"/>
              </w:rPr>
              <w:t xml:space="preserve"> izstrādāts</w:t>
            </w:r>
            <w:r w:rsidR="00F113A8">
              <w:rPr>
                <w:sz w:val="28"/>
                <w:szCs w:val="28"/>
              </w:rPr>
              <w:t xml:space="preserve"> </w:t>
            </w:r>
            <w:r w:rsidR="00F44C86" w:rsidRPr="00A660A9">
              <w:rPr>
                <w:sz w:val="28"/>
                <w:szCs w:val="28"/>
              </w:rPr>
              <w:t>saskaņā</w:t>
            </w:r>
            <w:r w:rsidR="00FC0005" w:rsidRPr="00A660A9">
              <w:rPr>
                <w:sz w:val="28"/>
                <w:szCs w:val="28"/>
              </w:rPr>
              <w:t xml:space="preserve"> </w:t>
            </w:r>
            <w:r w:rsidR="004D1AF5" w:rsidRPr="00A660A9">
              <w:rPr>
                <w:sz w:val="28"/>
                <w:szCs w:val="28"/>
              </w:rPr>
              <w:t>ar</w:t>
            </w:r>
            <w:r w:rsidR="00906F01" w:rsidRPr="00A660A9">
              <w:rPr>
                <w:sz w:val="28"/>
                <w:szCs w:val="28"/>
              </w:rPr>
              <w:t xml:space="preserve"> </w:t>
            </w:r>
            <w:r w:rsidR="002625FB" w:rsidRPr="00A660A9">
              <w:rPr>
                <w:sz w:val="28"/>
                <w:szCs w:val="28"/>
              </w:rPr>
              <w:t>Izglītības likuma 14.</w:t>
            </w:r>
            <w:r w:rsidR="007E3731">
              <w:rPr>
                <w:sz w:val="28"/>
                <w:szCs w:val="28"/>
              </w:rPr>
              <w:t> </w:t>
            </w:r>
            <w:r w:rsidR="002625FB" w:rsidRPr="00A660A9">
              <w:rPr>
                <w:sz w:val="28"/>
                <w:szCs w:val="28"/>
              </w:rPr>
              <w:t>panta 33.</w:t>
            </w:r>
            <w:r w:rsidR="001B3F13" w:rsidRPr="00A660A9">
              <w:rPr>
                <w:sz w:val="28"/>
                <w:szCs w:val="28"/>
              </w:rPr>
              <w:t> </w:t>
            </w:r>
            <w:r w:rsidR="002625FB" w:rsidRPr="00A660A9">
              <w:rPr>
                <w:sz w:val="28"/>
                <w:szCs w:val="28"/>
              </w:rPr>
              <w:t xml:space="preserve">punktu un </w:t>
            </w:r>
            <w:r w:rsidR="005D1593" w:rsidRPr="00A660A9">
              <w:rPr>
                <w:sz w:val="28"/>
                <w:szCs w:val="28"/>
              </w:rPr>
              <w:t>Profesionālās izglītības</w:t>
            </w:r>
            <w:r w:rsidR="00F3343F" w:rsidRPr="00A660A9">
              <w:rPr>
                <w:sz w:val="28"/>
                <w:szCs w:val="28"/>
              </w:rPr>
              <w:t xml:space="preserve"> likuma </w:t>
            </w:r>
            <w:r w:rsidR="00203400" w:rsidRPr="00A660A9">
              <w:rPr>
                <w:sz w:val="28"/>
                <w:szCs w:val="28"/>
              </w:rPr>
              <w:t>7</w:t>
            </w:r>
            <w:r w:rsidR="005D1593" w:rsidRPr="00A660A9">
              <w:rPr>
                <w:sz w:val="28"/>
                <w:szCs w:val="28"/>
              </w:rPr>
              <w:t>.</w:t>
            </w:r>
            <w:r w:rsidR="007E3731">
              <w:rPr>
                <w:sz w:val="28"/>
                <w:szCs w:val="28"/>
              </w:rPr>
              <w:t> </w:t>
            </w:r>
            <w:r w:rsidR="005D1593" w:rsidRPr="00A660A9">
              <w:rPr>
                <w:sz w:val="28"/>
                <w:szCs w:val="28"/>
              </w:rPr>
              <w:t>p</w:t>
            </w:r>
            <w:r w:rsidR="004B076E" w:rsidRPr="00A660A9">
              <w:rPr>
                <w:sz w:val="28"/>
                <w:szCs w:val="28"/>
              </w:rPr>
              <w:t xml:space="preserve">anta </w:t>
            </w:r>
            <w:r w:rsidR="00203400" w:rsidRPr="00A660A9">
              <w:rPr>
                <w:sz w:val="28"/>
                <w:szCs w:val="28"/>
              </w:rPr>
              <w:t>10</w:t>
            </w:r>
            <w:r w:rsidR="004B076E" w:rsidRPr="00A660A9">
              <w:rPr>
                <w:sz w:val="28"/>
                <w:szCs w:val="28"/>
              </w:rPr>
              <w:t>.</w:t>
            </w:r>
            <w:r w:rsidR="001B3F13" w:rsidRPr="00A660A9">
              <w:rPr>
                <w:sz w:val="28"/>
                <w:szCs w:val="28"/>
              </w:rPr>
              <w:t> </w:t>
            </w:r>
            <w:r w:rsidR="00203400" w:rsidRPr="00A660A9">
              <w:rPr>
                <w:sz w:val="28"/>
                <w:szCs w:val="28"/>
              </w:rPr>
              <w:t>punktu</w:t>
            </w:r>
            <w:r w:rsidR="002625FB" w:rsidRPr="00A660A9">
              <w:rPr>
                <w:sz w:val="28"/>
                <w:szCs w:val="28"/>
              </w:rPr>
              <w:t>.</w:t>
            </w:r>
          </w:p>
        </w:tc>
      </w:tr>
      <w:tr w:rsidR="009D1F13" w:rsidRPr="00A660A9" w14:paraId="6F6E601F" w14:textId="77777777" w:rsidTr="005C3B7C">
        <w:trPr>
          <w:trHeight w:val="472"/>
        </w:trPr>
        <w:tc>
          <w:tcPr>
            <w:tcW w:w="455" w:type="dxa"/>
          </w:tcPr>
          <w:p w14:paraId="75AE2FB8" w14:textId="77777777" w:rsidR="00F44C86" w:rsidRPr="00A660A9" w:rsidRDefault="00F44C86" w:rsidP="00234BCE">
            <w:pPr>
              <w:spacing w:before="68" w:after="68"/>
              <w:rPr>
                <w:sz w:val="28"/>
                <w:szCs w:val="28"/>
              </w:rPr>
            </w:pPr>
            <w:r w:rsidRPr="00A660A9">
              <w:rPr>
                <w:sz w:val="28"/>
                <w:szCs w:val="28"/>
              </w:rPr>
              <w:t>2.</w:t>
            </w:r>
          </w:p>
        </w:tc>
        <w:tc>
          <w:tcPr>
            <w:tcW w:w="1618" w:type="dxa"/>
          </w:tcPr>
          <w:p w14:paraId="3669A91E" w14:textId="77777777" w:rsidR="00F44C86" w:rsidRPr="00A660A9" w:rsidRDefault="002558EB" w:rsidP="002558EB">
            <w:pPr>
              <w:spacing w:before="68" w:after="68"/>
              <w:jc w:val="both"/>
              <w:rPr>
                <w:sz w:val="28"/>
                <w:szCs w:val="28"/>
              </w:rPr>
            </w:pPr>
            <w:r w:rsidRPr="00A660A9">
              <w:rPr>
                <w:sz w:val="28"/>
                <w:szCs w:val="28"/>
              </w:rPr>
              <w:t>Pašreizējā situācija un problēmas, kuru risināšanai tiesību akta projekts izstrādāts, tiesiskā regulējuma mērķis un būtība</w:t>
            </w:r>
          </w:p>
        </w:tc>
        <w:tc>
          <w:tcPr>
            <w:tcW w:w="7170" w:type="dxa"/>
          </w:tcPr>
          <w:p w14:paraId="0E89C6BB" w14:textId="77777777" w:rsidR="0012051C" w:rsidRPr="00A660A9" w:rsidRDefault="00A0640E" w:rsidP="007756AB">
            <w:pPr>
              <w:tabs>
                <w:tab w:val="left" w:pos="146"/>
              </w:tabs>
              <w:ind w:firstLine="388"/>
              <w:jc w:val="both"/>
              <w:rPr>
                <w:sz w:val="28"/>
                <w:szCs w:val="28"/>
              </w:rPr>
            </w:pPr>
            <w:r w:rsidRPr="00A660A9">
              <w:rPr>
                <w:sz w:val="28"/>
                <w:szCs w:val="28"/>
              </w:rPr>
              <w:t>Šobrīd profesionālās kvalifikācijas eksāmenu norises kārtību akreditētās profesionālās izglītības programmās reglamentē Ministru kabineta 2011. gada 30. augusta noteikumi Nr.662 „Profesionālās kvalifikācijas eksāmenu norises kārtība akreditētās profesionālās izglītības programmās” (turpmāk – MK noteikumi Nr.662)</w:t>
            </w:r>
            <w:r w:rsidR="006C6AA9" w:rsidRPr="00A660A9">
              <w:rPr>
                <w:sz w:val="28"/>
                <w:szCs w:val="28"/>
              </w:rPr>
              <w:t>.</w:t>
            </w:r>
            <w:r w:rsidRPr="00A660A9">
              <w:rPr>
                <w:sz w:val="28"/>
                <w:szCs w:val="28"/>
              </w:rPr>
              <w:t xml:space="preserve"> </w:t>
            </w:r>
            <w:r w:rsidR="006E3C4D" w:rsidRPr="00A660A9">
              <w:rPr>
                <w:sz w:val="28"/>
                <w:szCs w:val="28"/>
              </w:rPr>
              <w:t>P</w:t>
            </w:r>
            <w:r w:rsidR="00B8748B" w:rsidRPr="00A660A9">
              <w:rPr>
                <w:sz w:val="28"/>
                <w:szCs w:val="28"/>
              </w:rPr>
              <w:t>rojekta regulējums neattie</w:t>
            </w:r>
            <w:r w:rsidR="000A4B02" w:rsidRPr="00A660A9">
              <w:rPr>
                <w:sz w:val="28"/>
                <w:szCs w:val="28"/>
              </w:rPr>
              <w:t>k</w:t>
            </w:r>
            <w:r w:rsidR="00B8748B" w:rsidRPr="00A660A9">
              <w:rPr>
                <w:sz w:val="28"/>
                <w:szCs w:val="28"/>
              </w:rPr>
              <w:t>sies uz eksāmeniem civilās un militārās aizsardzības jomas izglītības programmās, jo</w:t>
            </w:r>
            <w:r w:rsidR="000A4B02" w:rsidRPr="00A660A9">
              <w:rPr>
                <w:sz w:val="28"/>
                <w:szCs w:val="28"/>
              </w:rPr>
              <w:t xml:space="preserve"> mācības</w:t>
            </w:r>
            <w:r w:rsidR="00B8748B" w:rsidRPr="00A660A9">
              <w:rPr>
                <w:sz w:val="28"/>
                <w:szCs w:val="28"/>
              </w:rPr>
              <w:t xml:space="preserve"> šajās </w:t>
            </w:r>
            <w:r w:rsidR="000A4B02" w:rsidRPr="00A660A9">
              <w:rPr>
                <w:sz w:val="28"/>
                <w:szCs w:val="28"/>
              </w:rPr>
              <w:t>izglītības</w:t>
            </w:r>
            <w:r w:rsidR="00B8748B" w:rsidRPr="00A660A9">
              <w:rPr>
                <w:sz w:val="28"/>
                <w:szCs w:val="28"/>
              </w:rPr>
              <w:t xml:space="preserve"> programmās </w:t>
            </w:r>
            <w:r w:rsidR="000A4B02" w:rsidRPr="00A660A9">
              <w:rPr>
                <w:sz w:val="28"/>
                <w:szCs w:val="28"/>
              </w:rPr>
              <w:t>ir ļoti specifiskas, tikai attiecīgai jomai raksturīgas un to saturu nosaka speciāli dokumenti, p</w:t>
            </w:r>
            <w:r w:rsidR="00B8748B" w:rsidRPr="00A660A9">
              <w:rPr>
                <w:sz w:val="28"/>
                <w:szCs w:val="28"/>
              </w:rPr>
              <w:t>iemēram, robežsargu profesionālās izglītības saturu nosaka arī Eiropas Robežu un krasta apsardzes Aģentūras (FRONTEX) izstrādātie robežsarga pamatapmācības standarti, kuri ir integrēti Valsts robežsardzes koledžā īstenojamajā profesionālās tālākizglītības programmā „Robežapsardze”.</w:t>
            </w:r>
            <w:r w:rsidR="00591EBC" w:rsidRPr="00A660A9">
              <w:rPr>
                <w:sz w:val="28"/>
                <w:szCs w:val="28"/>
              </w:rPr>
              <w:t xml:space="preserve"> Minēto programmu </w:t>
            </w:r>
            <w:r w:rsidR="000A4B02" w:rsidRPr="00A660A9">
              <w:rPr>
                <w:sz w:val="28"/>
                <w:szCs w:val="28"/>
              </w:rPr>
              <w:t>eksāmenos</w:t>
            </w:r>
            <w:r w:rsidR="00591EBC" w:rsidRPr="00A660A9">
              <w:rPr>
                <w:sz w:val="28"/>
                <w:szCs w:val="28"/>
              </w:rPr>
              <w:t xml:space="preserve"> </w:t>
            </w:r>
            <w:r w:rsidR="000A4B02" w:rsidRPr="00A660A9">
              <w:rPr>
                <w:sz w:val="28"/>
                <w:szCs w:val="28"/>
              </w:rPr>
              <w:t>ti</w:t>
            </w:r>
            <w:r w:rsidR="00591EBC" w:rsidRPr="00A660A9">
              <w:rPr>
                <w:sz w:val="28"/>
                <w:szCs w:val="28"/>
              </w:rPr>
              <w:t>e</w:t>
            </w:r>
            <w:r w:rsidR="000A4B02" w:rsidRPr="00A660A9">
              <w:rPr>
                <w:sz w:val="28"/>
                <w:szCs w:val="28"/>
              </w:rPr>
              <w:t xml:space="preserve">k iekļauta </w:t>
            </w:r>
            <w:r w:rsidR="007662CC" w:rsidRPr="00A660A9">
              <w:rPr>
                <w:sz w:val="28"/>
                <w:szCs w:val="28"/>
              </w:rPr>
              <w:t xml:space="preserve">informācija, kas satur valsts noslēpumu vai citāda </w:t>
            </w:r>
            <w:r w:rsidR="000A4B02" w:rsidRPr="00A660A9">
              <w:rPr>
                <w:sz w:val="28"/>
                <w:szCs w:val="28"/>
              </w:rPr>
              <w:t>ierobežotas pieejamības informācija</w:t>
            </w:r>
            <w:r w:rsidR="0012051C" w:rsidRPr="00A660A9">
              <w:rPr>
                <w:sz w:val="28"/>
                <w:szCs w:val="28"/>
              </w:rPr>
              <w:t>, kas pieejama normatīvajos aktos noteiktā kārtībā, ierobežotam personu lokam</w:t>
            </w:r>
            <w:r w:rsidR="007662CC" w:rsidRPr="00A660A9">
              <w:rPr>
                <w:sz w:val="28"/>
                <w:szCs w:val="28"/>
              </w:rPr>
              <w:t>, tai skaitā izglītojamajiem ar noteiktu dienesta pakāpi</w:t>
            </w:r>
            <w:r w:rsidR="0012051C" w:rsidRPr="00A660A9">
              <w:rPr>
                <w:sz w:val="28"/>
                <w:szCs w:val="28"/>
              </w:rPr>
              <w:t>.</w:t>
            </w:r>
          </w:p>
          <w:p w14:paraId="5699BDD0" w14:textId="78873EBC" w:rsidR="00673F30" w:rsidRPr="00A660A9" w:rsidRDefault="006C6AA9" w:rsidP="007756AB">
            <w:pPr>
              <w:tabs>
                <w:tab w:val="left" w:pos="146"/>
              </w:tabs>
              <w:ind w:firstLine="388"/>
              <w:jc w:val="both"/>
              <w:rPr>
                <w:sz w:val="28"/>
                <w:szCs w:val="28"/>
              </w:rPr>
            </w:pPr>
            <w:r w:rsidRPr="00A660A9">
              <w:rPr>
                <w:sz w:val="28"/>
                <w:szCs w:val="28"/>
              </w:rPr>
              <w:lastRenderedPageBreak/>
              <w:t>Jaunu</w:t>
            </w:r>
            <w:r w:rsidR="00D16760" w:rsidRPr="00A660A9">
              <w:rPr>
                <w:sz w:val="28"/>
                <w:szCs w:val="28"/>
              </w:rPr>
              <w:t xml:space="preserve"> </w:t>
            </w:r>
            <w:r w:rsidRPr="00A660A9">
              <w:rPr>
                <w:sz w:val="28"/>
                <w:szCs w:val="28"/>
              </w:rPr>
              <w:t>Ministru kabineta note</w:t>
            </w:r>
            <w:r w:rsidR="006E3C4D" w:rsidRPr="00A660A9">
              <w:rPr>
                <w:sz w:val="28"/>
                <w:szCs w:val="28"/>
              </w:rPr>
              <w:t>i</w:t>
            </w:r>
            <w:r w:rsidRPr="00A660A9">
              <w:rPr>
                <w:sz w:val="28"/>
                <w:szCs w:val="28"/>
              </w:rPr>
              <w:t xml:space="preserve">kumu </w:t>
            </w:r>
            <w:r w:rsidR="008D6D2B" w:rsidRPr="00A660A9">
              <w:rPr>
                <w:sz w:val="28"/>
                <w:szCs w:val="28"/>
              </w:rPr>
              <w:t>izstrāde</w:t>
            </w:r>
            <w:r w:rsidR="00CB3A11" w:rsidRPr="00A660A9">
              <w:rPr>
                <w:sz w:val="28"/>
                <w:szCs w:val="28"/>
              </w:rPr>
              <w:t>s</w:t>
            </w:r>
            <w:r w:rsidR="008D6D2B" w:rsidRPr="00A660A9">
              <w:rPr>
                <w:sz w:val="28"/>
                <w:szCs w:val="28"/>
              </w:rPr>
              <w:t xml:space="preserve"> </w:t>
            </w:r>
            <w:r w:rsidR="00557A81" w:rsidRPr="00A660A9">
              <w:rPr>
                <w:sz w:val="28"/>
                <w:szCs w:val="28"/>
              </w:rPr>
              <w:t>nepieciešam</w:t>
            </w:r>
            <w:r w:rsidR="00CB3A11" w:rsidRPr="00A660A9">
              <w:rPr>
                <w:sz w:val="28"/>
                <w:szCs w:val="28"/>
              </w:rPr>
              <w:t>īb</w:t>
            </w:r>
            <w:r w:rsidR="00557A81" w:rsidRPr="00A660A9">
              <w:rPr>
                <w:sz w:val="28"/>
                <w:szCs w:val="28"/>
              </w:rPr>
              <w:t>a</w:t>
            </w:r>
            <w:r w:rsidR="00D16760" w:rsidRPr="00A660A9">
              <w:rPr>
                <w:sz w:val="28"/>
                <w:szCs w:val="28"/>
              </w:rPr>
              <w:t xml:space="preserve"> </w:t>
            </w:r>
            <w:r w:rsidR="00CB3A11" w:rsidRPr="00A660A9">
              <w:rPr>
                <w:sz w:val="28"/>
                <w:szCs w:val="28"/>
              </w:rPr>
              <w:t>saistīta</w:t>
            </w:r>
            <w:r w:rsidR="00D87758" w:rsidRPr="00A660A9">
              <w:rPr>
                <w:sz w:val="28"/>
                <w:szCs w:val="28"/>
              </w:rPr>
              <w:t xml:space="preserve"> ar</w:t>
            </w:r>
            <w:r w:rsidR="00673F30" w:rsidRPr="00A660A9">
              <w:rPr>
                <w:sz w:val="28"/>
                <w:szCs w:val="28"/>
              </w:rPr>
              <w:t>:</w:t>
            </w:r>
            <w:r w:rsidR="00D87758" w:rsidRPr="00A660A9">
              <w:rPr>
                <w:sz w:val="28"/>
                <w:szCs w:val="28"/>
              </w:rPr>
              <w:t xml:space="preserve"> </w:t>
            </w:r>
          </w:p>
          <w:p w14:paraId="6313B225" w14:textId="655F8F68" w:rsidR="005B196A" w:rsidRPr="00A660A9" w:rsidRDefault="00673F30" w:rsidP="007756AB">
            <w:pPr>
              <w:tabs>
                <w:tab w:val="left" w:pos="146"/>
              </w:tabs>
              <w:ind w:firstLine="388"/>
              <w:jc w:val="both"/>
              <w:rPr>
                <w:sz w:val="28"/>
                <w:szCs w:val="28"/>
              </w:rPr>
            </w:pPr>
            <w:r w:rsidRPr="00A660A9">
              <w:rPr>
                <w:sz w:val="28"/>
                <w:szCs w:val="28"/>
              </w:rPr>
              <w:t xml:space="preserve">1. grozījumiem Profesionālās izglītības likumā, kas Latvijas Republikas Saeimā pieņemti </w:t>
            </w:r>
            <w:r w:rsidR="008D6D2B" w:rsidRPr="00A660A9">
              <w:rPr>
                <w:sz w:val="28"/>
                <w:szCs w:val="28"/>
              </w:rPr>
              <w:t>2015.</w:t>
            </w:r>
            <w:r w:rsidR="007662CC" w:rsidRPr="00A660A9">
              <w:rPr>
                <w:sz w:val="28"/>
                <w:szCs w:val="28"/>
              </w:rPr>
              <w:t> </w:t>
            </w:r>
            <w:r w:rsidR="008D6D2B" w:rsidRPr="00A660A9">
              <w:rPr>
                <w:sz w:val="28"/>
                <w:szCs w:val="28"/>
              </w:rPr>
              <w:t>gada 23.</w:t>
            </w:r>
            <w:r w:rsidR="007662CC" w:rsidRPr="00A660A9">
              <w:rPr>
                <w:sz w:val="28"/>
                <w:szCs w:val="28"/>
              </w:rPr>
              <w:t> </w:t>
            </w:r>
            <w:r w:rsidR="008D6D2B" w:rsidRPr="00A660A9">
              <w:rPr>
                <w:sz w:val="28"/>
                <w:szCs w:val="28"/>
              </w:rPr>
              <w:t>aprī</w:t>
            </w:r>
            <w:r w:rsidRPr="00A660A9">
              <w:rPr>
                <w:sz w:val="28"/>
                <w:szCs w:val="28"/>
              </w:rPr>
              <w:t>lī;</w:t>
            </w:r>
          </w:p>
          <w:p w14:paraId="05A630A1" w14:textId="751F676D" w:rsidR="005B196A" w:rsidRPr="00A660A9" w:rsidRDefault="00673F30" w:rsidP="007756AB">
            <w:pPr>
              <w:tabs>
                <w:tab w:val="left" w:pos="146"/>
              </w:tabs>
              <w:ind w:firstLine="388"/>
              <w:jc w:val="both"/>
              <w:rPr>
                <w:sz w:val="28"/>
                <w:szCs w:val="28"/>
              </w:rPr>
            </w:pPr>
            <w:r w:rsidRPr="00A660A9">
              <w:rPr>
                <w:sz w:val="28"/>
                <w:szCs w:val="28"/>
              </w:rPr>
              <w:t>2. </w:t>
            </w:r>
            <w:r w:rsidR="00CB3A11" w:rsidRPr="00A660A9">
              <w:rPr>
                <w:sz w:val="28"/>
                <w:szCs w:val="28"/>
              </w:rPr>
              <w:t>Eiropas Sociālā fonda</w:t>
            </w:r>
            <w:r w:rsidR="00D16760" w:rsidRPr="00A660A9">
              <w:rPr>
                <w:sz w:val="28"/>
                <w:szCs w:val="28"/>
              </w:rPr>
              <w:t xml:space="preserve"> projekta </w:t>
            </w:r>
            <w:r w:rsidR="008A44AC">
              <w:rPr>
                <w:sz w:val="28"/>
                <w:szCs w:val="28"/>
              </w:rPr>
              <w:t>“</w:t>
            </w:r>
            <w:r w:rsidR="00D16760" w:rsidRPr="00A660A9">
              <w:rPr>
                <w:sz w:val="28"/>
                <w:szCs w:val="28"/>
              </w:rPr>
              <w:t>Nozaru kvalifikācijas sistēmas izveide un profesionālās izglītības efektivitātes un kvalitātes paaugstināšana</w:t>
            </w:r>
            <w:r w:rsidR="007662CC" w:rsidRPr="00A660A9">
              <w:rPr>
                <w:sz w:val="28"/>
                <w:szCs w:val="28"/>
              </w:rPr>
              <w:t>”</w:t>
            </w:r>
            <w:r w:rsidR="007B5D99" w:rsidRPr="00A660A9">
              <w:rPr>
                <w:sz w:val="28"/>
                <w:szCs w:val="28"/>
              </w:rPr>
              <w:t xml:space="preserve"> </w:t>
            </w:r>
            <w:r w:rsidR="00D16760" w:rsidRPr="00A660A9">
              <w:rPr>
                <w:sz w:val="28"/>
                <w:szCs w:val="28"/>
              </w:rPr>
              <w:t>(Vienošanās</w:t>
            </w:r>
            <w:r w:rsidR="002D5ABA" w:rsidRPr="00A660A9">
              <w:rPr>
                <w:sz w:val="28"/>
                <w:szCs w:val="28"/>
              </w:rPr>
              <w:t xml:space="preserve"> </w:t>
            </w:r>
            <w:r w:rsidR="00D16760" w:rsidRPr="00A660A9">
              <w:rPr>
                <w:sz w:val="28"/>
                <w:szCs w:val="28"/>
              </w:rPr>
              <w:t>Nr.</w:t>
            </w:r>
            <w:r w:rsidR="00EB5060">
              <w:rPr>
                <w:sz w:val="28"/>
                <w:szCs w:val="28"/>
              </w:rPr>
              <w:t> </w:t>
            </w:r>
            <w:r w:rsidR="00D16760" w:rsidRPr="00A660A9">
              <w:rPr>
                <w:sz w:val="28"/>
                <w:szCs w:val="28"/>
              </w:rPr>
              <w:t>2010/0274/1DP/1.2.1.1.1/10/IPIA/VIAA/001)</w:t>
            </w:r>
            <w:r w:rsidR="00557A81" w:rsidRPr="00A660A9">
              <w:rPr>
                <w:sz w:val="28"/>
                <w:szCs w:val="28"/>
              </w:rPr>
              <w:t xml:space="preserve"> (turpmāk – projekts 1.2.1.1.1)</w:t>
            </w:r>
            <w:r w:rsidR="00226FE3" w:rsidRPr="00A660A9">
              <w:rPr>
                <w:sz w:val="28"/>
                <w:szCs w:val="28"/>
              </w:rPr>
              <w:t xml:space="preserve"> rezultātiem</w:t>
            </w:r>
            <w:r w:rsidR="00D16760" w:rsidRPr="00A660A9">
              <w:rPr>
                <w:sz w:val="28"/>
                <w:szCs w:val="28"/>
              </w:rPr>
              <w:t xml:space="preserve">, kura ietvaros tika identificētas un aprobētas jaunas </w:t>
            </w:r>
            <w:r w:rsidR="001079C2" w:rsidRPr="00A660A9">
              <w:rPr>
                <w:sz w:val="28"/>
                <w:szCs w:val="28"/>
              </w:rPr>
              <w:t xml:space="preserve">eksāmenu </w:t>
            </w:r>
            <w:r w:rsidR="00D16760" w:rsidRPr="00A660A9">
              <w:rPr>
                <w:sz w:val="28"/>
                <w:szCs w:val="28"/>
              </w:rPr>
              <w:t>formas</w:t>
            </w:r>
            <w:r w:rsidRPr="00A660A9">
              <w:rPr>
                <w:sz w:val="28"/>
                <w:szCs w:val="28"/>
              </w:rPr>
              <w:t>;</w:t>
            </w:r>
          </w:p>
          <w:p w14:paraId="0B418176" w14:textId="458202C2" w:rsidR="001B3F13" w:rsidRPr="00A660A9" w:rsidRDefault="00CC47B4" w:rsidP="007756AB">
            <w:pPr>
              <w:tabs>
                <w:tab w:val="left" w:pos="146"/>
              </w:tabs>
              <w:ind w:firstLine="388"/>
              <w:jc w:val="both"/>
              <w:rPr>
                <w:bCs/>
                <w:sz w:val="28"/>
                <w:szCs w:val="28"/>
              </w:rPr>
            </w:pPr>
            <w:r w:rsidRPr="00A660A9">
              <w:rPr>
                <w:sz w:val="28"/>
                <w:szCs w:val="28"/>
              </w:rPr>
              <w:t>3</w:t>
            </w:r>
            <w:r w:rsidR="00673F30" w:rsidRPr="00A660A9">
              <w:rPr>
                <w:sz w:val="28"/>
                <w:szCs w:val="28"/>
              </w:rPr>
              <w:t>.</w:t>
            </w:r>
            <w:r w:rsidR="003E51E6" w:rsidRPr="00A660A9">
              <w:rPr>
                <w:sz w:val="28"/>
                <w:szCs w:val="28"/>
              </w:rPr>
              <w:t> </w:t>
            </w:r>
            <w:r w:rsidR="002274F6" w:rsidRPr="00A660A9">
              <w:rPr>
                <w:bCs/>
                <w:sz w:val="28"/>
                <w:szCs w:val="28"/>
              </w:rPr>
              <w:t>MK noteikum</w:t>
            </w:r>
            <w:r w:rsidR="006C6AA9" w:rsidRPr="00A660A9">
              <w:rPr>
                <w:bCs/>
                <w:sz w:val="28"/>
                <w:szCs w:val="28"/>
              </w:rPr>
              <w:t>os</w:t>
            </w:r>
            <w:r w:rsidR="002274F6" w:rsidRPr="00A660A9">
              <w:rPr>
                <w:bCs/>
                <w:sz w:val="28"/>
                <w:szCs w:val="28"/>
              </w:rPr>
              <w:t xml:space="preserve"> Nr.662</w:t>
            </w:r>
            <w:r w:rsidR="00D87758" w:rsidRPr="00A660A9">
              <w:rPr>
                <w:bCs/>
                <w:sz w:val="28"/>
                <w:szCs w:val="28"/>
              </w:rPr>
              <w:t xml:space="preserve"> </w:t>
            </w:r>
            <w:r w:rsidR="002274F6" w:rsidRPr="00A660A9">
              <w:rPr>
                <w:bCs/>
                <w:sz w:val="28"/>
                <w:szCs w:val="28"/>
              </w:rPr>
              <w:t xml:space="preserve">konstatētajām </w:t>
            </w:r>
            <w:r w:rsidR="002274F6" w:rsidRPr="00A660A9">
              <w:rPr>
                <w:sz w:val="28"/>
                <w:szCs w:val="28"/>
              </w:rPr>
              <w:t>nepilnībām</w:t>
            </w:r>
            <w:r w:rsidR="00D87758" w:rsidRPr="00A660A9">
              <w:rPr>
                <w:bCs/>
                <w:sz w:val="28"/>
                <w:szCs w:val="28"/>
              </w:rPr>
              <w:t>.</w:t>
            </w:r>
          </w:p>
          <w:p w14:paraId="7655954C" w14:textId="77777777" w:rsidR="007756AB" w:rsidRDefault="007756AB" w:rsidP="007756AB">
            <w:pPr>
              <w:tabs>
                <w:tab w:val="left" w:pos="146"/>
              </w:tabs>
              <w:ind w:firstLine="388"/>
              <w:jc w:val="both"/>
              <w:rPr>
                <w:color w:val="000000" w:themeColor="text1"/>
                <w:sz w:val="28"/>
                <w:szCs w:val="28"/>
              </w:rPr>
            </w:pPr>
          </w:p>
          <w:p w14:paraId="5D9CC5C0" w14:textId="72A6714D" w:rsidR="003E51E6" w:rsidRPr="00A660A9" w:rsidRDefault="003E51E6" w:rsidP="007756AB">
            <w:pPr>
              <w:tabs>
                <w:tab w:val="left" w:pos="146"/>
              </w:tabs>
              <w:ind w:firstLine="388"/>
              <w:jc w:val="both"/>
              <w:rPr>
                <w:color w:val="000000" w:themeColor="text1"/>
                <w:sz w:val="28"/>
                <w:szCs w:val="28"/>
              </w:rPr>
            </w:pPr>
            <w:r w:rsidRPr="00A660A9">
              <w:rPr>
                <w:color w:val="000000" w:themeColor="text1"/>
                <w:sz w:val="28"/>
                <w:szCs w:val="28"/>
              </w:rPr>
              <w:t>Projektā ietvertas šādas būtisk</w:t>
            </w:r>
            <w:r w:rsidR="00DE1E43" w:rsidRPr="00A660A9">
              <w:rPr>
                <w:color w:val="000000" w:themeColor="text1"/>
                <w:sz w:val="28"/>
                <w:szCs w:val="28"/>
              </w:rPr>
              <w:t>ā</w:t>
            </w:r>
            <w:r w:rsidR="008E6E5B" w:rsidRPr="00A660A9">
              <w:rPr>
                <w:color w:val="000000" w:themeColor="text1"/>
                <w:sz w:val="28"/>
                <w:szCs w:val="28"/>
              </w:rPr>
              <w:t>kā</w:t>
            </w:r>
            <w:r w:rsidRPr="00A660A9">
              <w:rPr>
                <w:color w:val="000000" w:themeColor="text1"/>
                <w:sz w:val="28"/>
                <w:szCs w:val="28"/>
              </w:rPr>
              <w:t xml:space="preserve">s izmaiņas salīdzinājumā ar šobrīd spēkā esošajiem </w:t>
            </w:r>
            <w:r w:rsidRPr="00A660A9">
              <w:rPr>
                <w:bCs/>
                <w:sz w:val="28"/>
                <w:szCs w:val="28"/>
              </w:rPr>
              <w:t>MK noteikumi</w:t>
            </w:r>
            <w:r w:rsidR="002274F6" w:rsidRPr="00A660A9">
              <w:rPr>
                <w:bCs/>
                <w:sz w:val="28"/>
                <w:szCs w:val="28"/>
              </w:rPr>
              <w:t>em</w:t>
            </w:r>
            <w:r w:rsidRPr="00A660A9">
              <w:rPr>
                <w:bCs/>
                <w:sz w:val="28"/>
                <w:szCs w:val="28"/>
              </w:rPr>
              <w:t xml:space="preserve"> Nr.662</w:t>
            </w:r>
            <w:r w:rsidRPr="00A660A9">
              <w:rPr>
                <w:color w:val="000000" w:themeColor="text1"/>
                <w:sz w:val="28"/>
                <w:szCs w:val="28"/>
              </w:rPr>
              <w:t>:</w:t>
            </w:r>
          </w:p>
          <w:p w14:paraId="23DBF517" w14:textId="38C073FC" w:rsidR="00F06ACB" w:rsidRPr="00A660A9" w:rsidRDefault="00F06ACB" w:rsidP="00B439E4">
            <w:pPr>
              <w:pStyle w:val="NoSpacing"/>
              <w:ind w:firstLine="388"/>
              <w:jc w:val="both"/>
              <w:rPr>
                <w:rFonts w:ascii="Times New Roman" w:hAnsi="Times New Roman" w:cs="Times New Roman"/>
                <w:sz w:val="28"/>
                <w:szCs w:val="28"/>
                <w:lang w:eastAsia="lv-LV"/>
              </w:rPr>
            </w:pPr>
            <w:r w:rsidRPr="00A660A9">
              <w:rPr>
                <w:rFonts w:ascii="Times New Roman" w:hAnsi="Times New Roman" w:cs="Times New Roman"/>
                <w:bCs/>
                <w:sz w:val="28"/>
                <w:szCs w:val="28"/>
              </w:rPr>
              <w:t>1.</w:t>
            </w:r>
            <w:r w:rsidR="00AF108D">
              <w:rPr>
                <w:rFonts w:ascii="Times New Roman" w:hAnsi="Times New Roman" w:cs="Times New Roman"/>
                <w:sz w:val="28"/>
                <w:szCs w:val="28"/>
                <w:lang w:eastAsia="lv-LV"/>
              </w:rPr>
              <w:t> </w:t>
            </w:r>
            <w:r w:rsidRPr="00A660A9">
              <w:rPr>
                <w:rFonts w:ascii="Times New Roman" w:hAnsi="Times New Roman" w:cs="Times New Roman"/>
                <w:sz w:val="28"/>
                <w:szCs w:val="28"/>
                <w:lang w:eastAsia="lv-LV"/>
              </w:rPr>
              <w:t>Eksāmena programmu</w:t>
            </w:r>
            <w:r w:rsidR="006B01D2" w:rsidRPr="00A660A9">
              <w:rPr>
                <w:rFonts w:ascii="Times New Roman" w:hAnsi="Times New Roman" w:cs="Times New Roman"/>
                <w:sz w:val="28"/>
                <w:szCs w:val="28"/>
                <w:lang w:eastAsia="lv-LV"/>
              </w:rPr>
              <w:t>, eksāmena uzdevumus un to izpildes vērtēšanas kritērijus, eksaminējamo atbilžu lapas, pareizās atbildes un uzdevumu atrisinājumus</w:t>
            </w:r>
            <w:r w:rsidRPr="00A660A9">
              <w:rPr>
                <w:rFonts w:ascii="Times New Roman" w:hAnsi="Times New Roman" w:cs="Times New Roman"/>
                <w:sz w:val="28"/>
                <w:szCs w:val="28"/>
                <w:lang w:eastAsia="lv-LV"/>
              </w:rPr>
              <w:t xml:space="preserve"> </w:t>
            </w:r>
            <w:r w:rsidR="003D298B" w:rsidRPr="00A660A9">
              <w:rPr>
                <w:rFonts w:ascii="Times New Roman" w:hAnsi="Times New Roman" w:cs="Times New Roman"/>
                <w:sz w:val="28"/>
                <w:szCs w:val="28"/>
                <w:lang w:eastAsia="lv-LV"/>
              </w:rPr>
              <w:t xml:space="preserve">centralizētajiem eksāmeniem izstrādā </w:t>
            </w:r>
            <w:r w:rsidR="00E7276E">
              <w:rPr>
                <w:rFonts w:ascii="Times New Roman" w:hAnsi="Times New Roman" w:cs="Times New Roman"/>
                <w:sz w:val="28"/>
                <w:szCs w:val="28"/>
                <w:lang w:eastAsia="lv-LV"/>
              </w:rPr>
              <w:t xml:space="preserve">Valsts izglītības satura centrs (turpmāk – </w:t>
            </w:r>
            <w:r w:rsidRPr="00A660A9">
              <w:rPr>
                <w:rFonts w:ascii="Times New Roman" w:hAnsi="Times New Roman" w:cs="Times New Roman"/>
                <w:sz w:val="28"/>
                <w:szCs w:val="28"/>
                <w:lang w:eastAsia="lv-LV"/>
              </w:rPr>
              <w:t>centrs</w:t>
            </w:r>
            <w:r w:rsidR="00E7276E">
              <w:rPr>
                <w:rFonts w:ascii="Times New Roman" w:hAnsi="Times New Roman" w:cs="Times New Roman"/>
                <w:sz w:val="28"/>
                <w:szCs w:val="28"/>
                <w:lang w:eastAsia="lv-LV"/>
              </w:rPr>
              <w:t>)</w:t>
            </w:r>
            <w:r w:rsidR="006B01D2" w:rsidRPr="00A660A9">
              <w:rPr>
                <w:rFonts w:ascii="Times New Roman" w:hAnsi="Times New Roman" w:cs="Times New Roman"/>
                <w:sz w:val="28"/>
                <w:szCs w:val="28"/>
                <w:lang w:eastAsia="lv-LV"/>
              </w:rPr>
              <w:t xml:space="preserve">, bet pārējiem eksāmeniem izstrādā </w:t>
            </w:r>
            <w:r w:rsidRPr="00A660A9">
              <w:rPr>
                <w:rFonts w:ascii="Times New Roman" w:hAnsi="Times New Roman" w:cs="Times New Roman"/>
                <w:sz w:val="28"/>
                <w:szCs w:val="28"/>
                <w:lang w:eastAsia="lv-LV"/>
              </w:rPr>
              <w:t>eksaminācijas institūcija</w:t>
            </w:r>
            <w:r w:rsidR="000840EE" w:rsidRPr="00A660A9">
              <w:rPr>
                <w:rFonts w:ascii="Times New Roman" w:hAnsi="Times New Roman" w:cs="Times New Roman"/>
                <w:sz w:val="28"/>
                <w:szCs w:val="28"/>
                <w:lang w:eastAsia="lv-LV"/>
              </w:rPr>
              <w:t>, izņemot eksāmena programmu eksāmeniem, kas tiek organizēti sadarbībā ar Latvijas Nacionālais kultūras centru (turpmāk</w:t>
            </w:r>
            <w:r w:rsidR="00017DC5">
              <w:rPr>
                <w:rFonts w:ascii="Times New Roman" w:hAnsi="Times New Roman" w:cs="Times New Roman"/>
                <w:sz w:val="28"/>
                <w:szCs w:val="28"/>
                <w:lang w:eastAsia="lv-LV"/>
              </w:rPr>
              <w:t xml:space="preserve"> </w:t>
            </w:r>
            <w:r w:rsidR="000840EE" w:rsidRPr="00A660A9">
              <w:rPr>
                <w:rFonts w:ascii="Times New Roman" w:hAnsi="Times New Roman" w:cs="Times New Roman"/>
                <w:sz w:val="28"/>
                <w:szCs w:val="28"/>
                <w:lang w:eastAsia="lv-LV"/>
              </w:rPr>
              <w:t>- kultūrizglītības centrs), kuru izstrādā kultūrizglītības centrs.</w:t>
            </w:r>
            <w:r w:rsidR="00551144" w:rsidRPr="00A660A9">
              <w:rPr>
                <w:rFonts w:ascii="Times New Roman" w:hAnsi="Times New Roman" w:cs="Times New Roman"/>
                <w:sz w:val="28"/>
                <w:szCs w:val="28"/>
                <w:lang w:eastAsia="lv-LV"/>
              </w:rPr>
              <w:t xml:space="preserve"> I</w:t>
            </w:r>
            <w:r w:rsidR="000840EE" w:rsidRPr="00A660A9">
              <w:rPr>
                <w:rFonts w:ascii="Times New Roman" w:hAnsi="Times New Roman" w:cs="Times New Roman"/>
                <w:sz w:val="28"/>
                <w:szCs w:val="28"/>
                <w:lang w:eastAsia="lv-LV"/>
              </w:rPr>
              <w:t>epriekš</w:t>
            </w:r>
            <w:r w:rsidRPr="00A660A9">
              <w:rPr>
                <w:rFonts w:ascii="Times New Roman" w:hAnsi="Times New Roman" w:cs="Times New Roman"/>
                <w:sz w:val="28"/>
                <w:szCs w:val="28"/>
              </w:rPr>
              <w:t xml:space="preserve"> minēt</w:t>
            </w:r>
            <w:r w:rsidR="00551144" w:rsidRPr="00A660A9">
              <w:rPr>
                <w:rFonts w:ascii="Times New Roman" w:hAnsi="Times New Roman" w:cs="Times New Roman"/>
                <w:sz w:val="28"/>
                <w:szCs w:val="28"/>
              </w:rPr>
              <w:t xml:space="preserve">o </w:t>
            </w:r>
            <w:r w:rsidR="00551144" w:rsidRPr="00A660A9">
              <w:rPr>
                <w:rFonts w:ascii="Times New Roman" w:hAnsi="Times New Roman" w:cs="Times New Roman"/>
                <w:bCs/>
                <w:sz w:val="28"/>
                <w:szCs w:val="28"/>
              </w:rPr>
              <w:t>eksāmena dokumentāciju</w:t>
            </w:r>
            <w:r w:rsidR="00E7276E" w:rsidRPr="00A660A9">
              <w:rPr>
                <w:rFonts w:ascii="Times New Roman" w:hAnsi="Times New Roman" w:cs="Times New Roman"/>
                <w:bCs/>
                <w:sz w:val="28"/>
                <w:szCs w:val="28"/>
              </w:rPr>
              <w:t xml:space="preserve"> centrs, </w:t>
            </w:r>
            <w:r w:rsidR="00E7276E" w:rsidRPr="00A660A9">
              <w:rPr>
                <w:rFonts w:ascii="Times New Roman" w:hAnsi="Times New Roman" w:cs="Times New Roman"/>
                <w:sz w:val="28"/>
                <w:szCs w:val="28"/>
                <w:lang w:eastAsia="lv-LV"/>
              </w:rPr>
              <w:t>kultūrizglītības centrs vai eksaminācijas</w:t>
            </w:r>
            <w:r w:rsidR="00E7276E" w:rsidRPr="00A660A9">
              <w:rPr>
                <w:rFonts w:ascii="Times New Roman" w:hAnsi="Times New Roman" w:cs="Times New Roman"/>
                <w:sz w:val="28"/>
                <w:szCs w:val="28"/>
              </w:rPr>
              <w:t xml:space="preserve"> institūcija</w:t>
            </w:r>
            <w:r w:rsidR="00E7276E" w:rsidRPr="00A660A9">
              <w:rPr>
                <w:rFonts w:ascii="Times New Roman" w:hAnsi="Times New Roman" w:cs="Times New Roman"/>
                <w:sz w:val="28"/>
                <w:szCs w:val="28"/>
                <w:lang w:eastAsia="lv-LV"/>
              </w:rPr>
              <w:t> izstrādā</w:t>
            </w:r>
            <w:r w:rsidR="00B439E4">
              <w:rPr>
                <w:rFonts w:ascii="Times New Roman" w:hAnsi="Times New Roman" w:cs="Times New Roman"/>
                <w:sz w:val="28"/>
                <w:szCs w:val="28"/>
                <w:lang w:eastAsia="lv-LV"/>
              </w:rPr>
              <w:t xml:space="preserve">: </w:t>
            </w:r>
            <w:r w:rsidR="00544210">
              <w:rPr>
                <w:rFonts w:ascii="Times New Roman" w:hAnsi="Times New Roman" w:cs="Times New Roman"/>
                <w:bCs/>
                <w:sz w:val="28"/>
                <w:szCs w:val="28"/>
              </w:rPr>
              <w:t xml:space="preserve">1) </w:t>
            </w:r>
            <w:r w:rsidRPr="00A660A9">
              <w:rPr>
                <w:rFonts w:ascii="Times New Roman" w:hAnsi="Times New Roman" w:cs="Times New Roman"/>
                <w:sz w:val="28"/>
                <w:szCs w:val="28"/>
                <w:lang w:eastAsia="lv-LV"/>
              </w:rPr>
              <w:t>sadarbībā ar nozaru ekspertu padomes deleģētu ekspertu</w:t>
            </w:r>
            <w:r w:rsidRPr="00A660A9">
              <w:rPr>
                <w:rFonts w:ascii="Times New Roman" w:hAnsi="Times New Roman" w:cs="Times New Roman"/>
                <w:sz w:val="28"/>
                <w:szCs w:val="28"/>
              </w:rPr>
              <w:t xml:space="preserve"> </w:t>
            </w:r>
            <w:r w:rsidRPr="00A660A9">
              <w:rPr>
                <w:rFonts w:ascii="Times New Roman" w:hAnsi="Times New Roman" w:cs="Times New Roman"/>
                <w:sz w:val="28"/>
                <w:szCs w:val="28"/>
                <w:lang w:eastAsia="lv-LV"/>
              </w:rPr>
              <w:t>vai profesionālās organizācijas deleģētu ekspertu, ja nozares ekspertu padome nedeleģē ekspertu, kā arī eksaminācijas institūciju un n</w:t>
            </w:r>
            <w:r w:rsidR="00551144" w:rsidRPr="00A660A9">
              <w:rPr>
                <w:rFonts w:ascii="Times New Roman" w:hAnsi="Times New Roman" w:cs="Times New Roman"/>
                <w:sz w:val="28"/>
                <w:szCs w:val="28"/>
                <w:lang w:eastAsia="lv-LV"/>
              </w:rPr>
              <w:t>ozaru pārstāvjiem</w:t>
            </w:r>
            <w:r w:rsidR="00B439E4">
              <w:rPr>
                <w:rFonts w:ascii="Times New Roman" w:hAnsi="Times New Roman" w:cs="Times New Roman"/>
                <w:sz w:val="28"/>
                <w:szCs w:val="28"/>
                <w:lang w:eastAsia="lv-LV"/>
              </w:rPr>
              <w:t>;</w:t>
            </w:r>
            <w:r w:rsidR="00E7276E">
              <w:rPr>
                <w:rFonts w:ascii="Times New Roman" w:hAnsi="Times New Roman" w:cs="Times New Roman"/>
                <w:sz w:val="28"/>
                <w:szCs w:val="28"/>
                <w:lang w:eastAsia="lv-LV"/>
              </w:rPr>
              <w:t xml:space="preserve"> </w:t>
            </w:r>
            <w:r w:rsidR="00551144" w:rsidRPr="00A660A9">
              <w:rPr>
                <w:rFonts w:ascii="Times New Roman" w:hAnsi="Times New Roman" w:cs="Times New Roman"/>
                <w:sz w:val="28"/>
                <w:szCs w:val="28"/>
                <w:lang w:eastAsia="lv-LV"/>
              </w:rPr>
              <w:t>2</w:t>
            </w:r>
            <w:r w:rsidR="00544210">
              <w:rPr>
                <w:rFonts w:ascii="Times New Roman" w:hAnsi="Times New Roman" w:cs="Times New Roman"/>
                <w:sz w:val="28"/>
                <w:szCs w:val="28"/>
                <w:lang w:eastAsia="lv-LV"/>
              </w:rPr>
              <w:t>)</w:t>
            </w:r>
            <w:r w:rsidRPr="00A660A9">
              <w:rPr>
                <w:rFonts w:ascii="Times New Roman" w:hAnsi="Times New Roman" w:cs="Times New Roman"/>
                <w:sz w:val="28"/>
                <w:szCs w:val="28"/>
                <w:lang w:eastAsia="lv-LV"/>
              </w:rPr>
              <w:t xml:space="preserve"> saskaņā ar profesijas standartu vai profesi</w:t>
            </w:r>
            <w:r w:rsidR="008A44AC">
              <w:rPr>
                <w:rFonts w:ascii="Times New Roman" w:hAnsi="Times New Roman" w:cs="Times New Roman"/>
                <w:sz w:val="28"/>
                <w:szCs w:val="28"/>
                <w:lang w:eastAsia="lv-LV"/>
              </w:rPr>
              <w:t xml:space="preserve">onālās kvalifikācijas prasībām, </w:t>
            </w:r>
            <w:r w:rsidRPr="00A660A9">
              <w:rPr>
                <w:rFonts w:ascii="Times New Roman" w:hAnsi="Times New Roman" w:cs="Times New Roman"/>
                <w:sz w:val="28"/>
                <w:szCs w:val="28"/>
                <w:lang w:eastAsia="lv-LV"/>
              </w:rPr>
              <w:t>ja attiecīgās profesijas standarts vai profesionālās kvalifikācijas prasības nav iekļautas obligāti piemērojamo profesiju standartu un profesionālās kvalifikācijas prasību sarakstā, eksāmena programmu izstrādā saskaņā ar Profesiju klasifikatorā noteiktajiem attiecīgajai profesija</w:t>
            </w:r>
            <w:r w:rsidR="00551144" w:rsidRPr="00A660A9">
              <w:rPr>
                <w:rFonts w:ascii="Times New Roman" w:hAnsi="Times New Roman" w:cs="Times New Roman"/>
                <w:sz w:val="28"/>
                <w:szCs w:val="28"/>
                <w:lang w:eastAsia="lv-LV"/>
              </w:rPr>
              <w:t>i atbilstošiem pamatuzdevumiem.</w:t>
            </w:r>
          </w:p>
          <w:p w14:paraId="49A36A89" w14:textId="38C9B59E" w:rsidR="000840EE" w:rsidRPr="00A660A9" w:rsidRDefault="000840EE" w:rsidP="007756AB">
            <w:pPr>
              <w:ind w:firstLine="388"/>
              <w:jc w:val="both"/>
              <w:rPr>
                <w:sz w:val="28"/>
                <w:szCs w:val="28"/>
              </w:rPr>
            </w:pPr>
            <w:r w:rsidRPr="00A660A9">
              <w:rPr>
                <w:bCs/>
                <w:sz w:val="28"/>
                <w:szCs w:val="28"/>
              </w:rPr>
              <w:t>Izstrādājot</w:t>
            </w:r>
            <w:r w:rsidR="00551144" w:rsidRPr="00A660A9">
              <w:rPr>
                <w:bCs/>
                <w:sz w:val="28"/>
                <w:szCs w:val="28"/>
              </w:rPr>
              <w:t xml:space="preserve"> iepriekš minēto</w:t>
            </w:r>
            <w:r w:rsidRPr="00A660A9">
              <w:rPr>
                <w:bCs/>
                <w:sz w:val="28"/>
                <w:szCs w:val="28"/>
              </w:rPr>
              <w:t xml:space="preserve"> eksāmena dokumentāciju, eksaminācijas institūcijām ieteicams izmantot centra metodiku eksāmenu satura izstrādei (skat.  http://visc.gov.lv/profizglitiba/dokumenti/metmat/04_eksamenu_saturs.pdf), kas paredz diferencētu pieeju eksāmena uzbūvei atkarībā no profesiju standartos noteiktajiem profesionālās darbības pamatuzdevumiem. Eksaminācijas </w:t>
            </w:r>
            <w:r w:rsidRPr="00A660A9">
              <w:rPr>
                <w:bCs/>
                <w:sz w:val="28"/>
                <w:szCs w:val="28"/>
              </w:rPr>
              <w:lastRenderedPageBreak/>
              <w:t>institūcijas izstrādāto eksāmena dokumentāciju saskaņo  centrs vai kultūrizglītības. Saskaņoto eksāmena dokumentāciju izsniedz eksaminācijas institūcijas vadītājam vai viņa pilnvarotajai personai papīra formā ne vēlāk kā piecas darbdienas pirms eksāmena. Centrs centralizēto eksāmenu programmas ievieto tīmekļa vietnē (</w:t>
            </w:r>
            <w:hyperlink r:id="rId9" w:history="1">
              <w:r w:rsidRPr="00A660A9">
                <w:rPr>
                  <w:rStyle w:val="Hyperlink"/>
                  <w:bCs/>
                  <w:sz w:val="28"/>
                  <w:szCs w:val="28"/>
                </w:rPr>
                <w:t>www.visc.gov.lv</w:t>
              </w:r>
            </w:hyperlink>
            <w:r w:rsidRPr="00A660A9">
              <w:rPr>
                <w:bCs/>
                <w:sz w:val="28"/>
                <w:szCs w:val="28"/>
              </w:rPr>
              <w:t>) un kultūrizglītības centrs eksāmenu programmas ievieto tīmekļa vietnē (</w:t>
            </w:r>
            <w:hyperlink r:id="rId10" w:history="1">
              <w:r w:rsidRPr="00A660A9">
                <w:rPr>
                  <w:rStyle w:val="Hyperlink"/>
                  <w:bCs/>
                  <w:sz w:val="28"/>
                  <w:szCs w:val="28"/>
                </w:rPr>
                <w:t>www.lnkc.gov.lv</w:t>
              </w:r>
            </w:hyperlink>
            <w:r w:rsidRPr="00A660A9">
              <w:rPr>
                <w:bCs/>
                <w:sz w:val="28"/>
                <w:szCs w:val="28"/>
              </w:rPr>
              <w:t>) līdz attiecīgā mācību gada 1. decembrim, bet e</w:t>
            </w:r>
            <w:r w:rsidRPr="00A660A9">
              <w:rPr>
                <w:sz w:val="28"/>
                <w:szCs w:val="28"/>
              </w:rPr>
              <w:t>ksaminācijas institūcija saskaņotās eksāmenu programmas ne vēlāk kā trīs darbdienas pirms eksāmena ievieto eksaminācijas institūcijas tīmekļa vietnē.</w:t>
            </w:r>
          </w:p>
          <w:p w14:paraId="7E368042" w14:textId="4720D022" w:rsidR="00F06ACB" w:rsidRPr="00A660A9" w:rsidRDefault="00F06ACB" w:rsidP="007756AB">
            <w:pPr>
              <w:ind w:firstLine="388"/>
              <w:jc w:val="both"/>
              <w:rPr>
                <w:sz w:val="28"/>
                <w:szCs w:val="28"/>
              </w:rPr>
            </w:pPr>
            <w:r w:rsidRPr="00A660A9">
              <w:rPr>
                <w:bCs/>
                <w:sz w:val="28"/>
                <w:szCs w:val="28"/>
              </w:rPr>
              <w:t>2.</w:t>
            </w:r>
            <w:r w:rsidR="00AF108D">
              <w:rPr>
                <w:bCs/>
                <w:sz w:val="28"/>
                <w:szCs w:val="28"/>
              </w:rPr>
              <w:t xml:space="preserve"> </w:t>
            </w:r>
            <w:r w:rsidRPr="00A660A9">
              <w:rPr>
                <w:bCs/>
                <w:sz w:val="28"/>
                <w:szCs w:val="28"/>
              </w:rPr>
              <w:t xml:space="preserve">MK noteikumi Nr. 662 paredz, ka eksāmenam ir divas daļas – teorētiskā daļa un praktiskā daļa, kas uzliek ierobežojumus jaunu pārbaudījumu formu ieviešanai. </w:t>
            </w:r>
            <w:r w:rsidRPr="00A660A9">
              <w:rPr>
                <w:sz w:val="28"/>
                <w:szCs w:val="28"/>
              </w:rPr>
              <w:t xml:space="preserve">Projekta 1.2.1.1.1 ietvaros tika izstrādāti un sekmīgi aprobēti pārbaudījumi, kuru struktūra atšķiras no </w:t>
            </w:r>
            <w:r w:rsidRPr="00A660A9">
              <w:rPr>
                <w:bCs/>
                <w:sz w:val="28"/>
                <w:szCs w:val="28"/>
              </w:rPr>
              <w:t xml:space="preserve">MK noteikumos Nr.662 noteiktās struktūras. </w:t>
            </w:r>
            <w:r w:rsidRPr="00A660A9">
              <w:rPr>
                <w:sz w:val="28"/>
                <w:szCs w:val="28"/>
              </w:rPr>
              <w:t xml:space="preserve">Izstrādājot pārbaudījumu saturu projektā 1.2.1.1.1, tajos iekļauto pārbaudījuma daļu skaits </w:t>
            </w:r>
            <w:r w:rsidR="00017DC5">
              <w:rPr>
                <w:sz w:val="28"/>
                <w:szCs w:val="28"/>
              </w:rPr>
              <w:t>bija</w:t>
            </w:r>
            <w:r w:rsidRPr="00A660A9">
              <w:rPr>
                <w:sz w:val="28"/>
                <w:szCs w:val="28"/>
              </w:rPr>
              <w:t xml:space="preserve"> atšķirīgs atkarībā no profesijas specifikas un pārbaudāmo kompetenču sarežģītības. Projekt</w:t>
            </w:r>
            <w:r w:rsidR="007E3731">
              <w:rPr>
                <w:sz w:val="28"/>
                <w:szCs w:val="28"/>
              </w:rPr>
              <w:t>a</w:t>
            </w:r>
            <w:r w:rsidRPr="00A660A9">
              <w:rPr>
                <w:sz w:val="28"/>
                <w:szCs w:val="28"/>
              </w:rPr>
              <w:t xml:space="preserve"> 1.2.1.1.1</w:t>
            </w:r>
            <w:r w:rsidR="007E3731">
              <w:rPr>
                <w:sz w:val="28"/>
                <w:szCs w:val="28"/>
              </w:rPr>
              <w:t>,</w:t>
            </w:r>
            <w:r w:rsidRPr="00A660A9">
              <w:rPr>
                <w:sz w:val="28"/>
                <w:szCs w:val="28"/>
              </w:rPr>
              <w:t xml:space="preserve"> nodevumu sekmīg</w:t>
            </w:r>
            <w:r w:rsidR="007E3731">
              <w:rPr>
                <w:sz w:val="28"/>
                <w:szCs w:val="28"/>
              </w:rPr>
              <w:t>a</w:t>
            </w:r>
            <w:r w:rsidRPr="00A660A9">
              <w:rPr>
                <w:sz w:val="28"/>
                <w:szCs w:val="28"/>
              </w:rPr>
              <w:t xml:space="preserve"> aprobācija apstiprināja, ka</w:t>
            </w:r>
            <w:r w:rsidR="00017DC5">
              <w:rPr>
                <w:sz w:val="28"/>
                <w:szCs w:val="28"/>
              </w:rPr>
              <w:t>:</w:t>
            </w:r>
            <w:r w:rsidRPr="00A660A9">
              <w:rPr>
                <w:sz w:val="28"/>
                <w:szCs w:val="28"/>
              </w:rPr>
              <w:t xml:space="preserve"> 1) pārbaudījumu var veidot gan kā vienu kompleksu uzdevumu, gan kā vairāku secīgi sekojošu vai neatkarīgu uzdevumu kopumu; 2) zināšanu pārbaudei ne vienmēr ir nepieciešams atsevišķs teorētisko zināšanu pārbaudes darbs, bet tās var pārbaudīt vienlaicīgi ar prasmēm, eksaminējamajam veicot kādu praktisku uzdevumu. Ņemot vērā iepriekš minēto, Projekts neparedz obligātu eksāmena </w:t>
            </w:r>
            <w:r w:rsidRPr="00A660A9">
              <w:rPr>
                <w:bCs/>
                <w:sz w:val="28"/>
                <w:szCs w:val="28"/>
              </w:rPr>
              <w:t xml:space="preserve">teorētisko un praktisko daļu, kas </w:t>
            </w:r>
            <w:r w:rsidRPr="00A660A9">
              <w:rPr>
                <w:sz w:val="28"/>
                <w:szCs w:val="28"/>
              </w:rPr>
              <w:t xml:space="preserve">atvieglo jaunu </w:t>
            </w:r>
            <w:r w:rsidRPr="00A660A9">
              <w:rPr>
                <w:bCs/>
                <w:sz w:val="28"/>
                <w:szCs w:val="28"/>
              </w:rPr>
              <w:t xml:space="preserve">pārbaudījumu formu ieviešanu. </w:t>
            </w:r>
            <w:r w:rsidRPr="00A660A9">
              <w:rPr>
                <w:sz w:val="28"/>
                <w:szCs w:val="28"/>
              </w:rPr>
              <w:t>Projektā aprakstītā pārbaudījumu organizācija un norise attiecināma gan uz pārbaudījumiem jebkura īstenošanas ilguma un formas profesionālās izglītības programmas noslēgumā, gan uz pārbaudījumiem, kuros apliecina ārpus formālās izglītības sistēmas apgūto profesionālo kompetenci.</w:t>
            </w:r>
          </w:p>
          <w:p w14:paraId="4EFA413B" w14:textId="6966D0CB" w:rsidR="00456145" w:rsidRPr="00A660A9" w:rsidRDefault="00AF108D" w:rsidP="00E7276E">
            <w:pPr>
              <w:pStyle w:val="ListParagraph"/>
              <w:tabs>
                <w:tab w:val="left" w:pos="146"/>
              </w:tabs>
              <w:ind w:left="0" w:firstLine="388"/>
              <w:jc w:val="both"/>
              <w:rPr>
                <w:sz w:val="28"/>
                <w:szCs w:val="28"/>
              </w:rPr>
            </w:pPr>
            <w:r>
              <w:rPr>
                <w:sz w:val="28"/>
                <w:szCs w:val="28"/>
              </w:rPr>
              <w:t>3</w:t>
            </w:r>
            <w:r w:rsidR="003E51E6" w:rsidRPr="00A660A9">
              <w:rPr>
                <w:sz w:val="28"/>
                <w:szCs w:val="28"/>
              </w:rPr>
              <w:t>.</w:t>
            </w:r>
            <w:r w:rsidR="00BF3963" w:rsidRPr="00A660A9">
              <w:rPr>
                <w:sz w:val="28"/>
                <w:szCs w:val="28"/>
              </w:rPr>
              <w:t> </w:t>
            </w:r>
            <w:r w:rsidR="002D5ABA" w:rsidRPr="00A660A9">
              <w:rPr>
                <w:sz w:val="28"/>
                <w:szCs w:val="28"/>
              </w:rPr>
              <w:t>Profesionālās izglītības likuma 12.</w:t>
            </w:r>
            <w:r w:rsidR="003E51E6" w:rsidRPr="00A660A9">
              <w:rPr>
                <w:sz w:val="28"/>
                <w:szCs w:val="28"/>
              </w:rPr>
              <w:t> </w:t>
            </w:r>
            <w:r w:rsidR="002D5ABA" w:rsidRPr="00A660A9">
              <w:rPr>
                <w:sz w:val="28"/>
                <w:szCs w:val="28"/>
              </w:rPr>
              <w:t>panta</w:t>
            </w:r>
            <w:r w:rsidR="00673F30" w:rsidRPr="00A660A9">
              <w:rPr>
                <w:sz w:val="28"/>
                <w:szCs w:val="28"/>
              </w:rPr>
              <w:t xml:space="preserve"> otrās daļas</w:t>
            </w:r>
            <w:r w:rsidR="002D5ABA" w:rsidRPr="00A660A9">
              <w:rPr>
                <w:sz w:val="28"/>
                <w:szCs w:val="28"/>
              </w:rPr>
              <w:t xml:space="preserve"> </w:t>
            </w:r>
            <w:r w:rsidR="00931150" w:rsidRPr="00A660A9">
              <w:rPr>
                <w:sz w:val="28"/>
                <w:szCs w:val="28"/>
              </w:rPr>
              <w:t>5. </w:t>
            </w:r>
            <w:r w:rsidR="002D5ABA" w:rsidRPr="00A660A9">
              <w:rPr>
                <w:sz w:val="28"/>
                <w:szCs w:val="28"/>
              </w:rPr>
              <w:t xml:space="preserve">punkts paredz, ka Nozaru ekspertu padomes deleģē nozares ekspertus </w:t>
            </w:r>
            <w:r w:rsidR="00931150" w:rsidRPr="00A660A9">
              <w:rPr>
                <w:sz w:val="28"/>
                <w:szCs w:val="28"/>
              </w:rPr>
              <w:t>profesionālās kvalifikācijas eksāmenos</w:t>
            </w:r>
            <w:r w:rsidR="002D5ABA" w:rsidRPr="00A660A9">
              <w:rPr>
                <w:sz w:val="28"/>
                <w:szCs w:val="28"/>
              </w:rPr>
              <w:t xml:space="preserve">, </w:t>
            </w:r>
            <w:r w:rsidR="007408E7" w:rsidRPr="00A660A9">
              <w:rPr>
                <w:sz w:val="28"/>
                <w:szCs w:val="28"/>
              </w:rPr>
              <w:t xml:space="preserve">tādēļ </w:t>
            </w:r>
            <w:r w:rsidR="002D5ABA" w:rsidRPr="00A660A9">
              <w:rPr>
                <w:sz w:val="28"/>
                <w:szCs w:val="28"/>
              </w:rPr>
              <w:t>Projekts paredz,</w:t>
            </w:r>
            <w:r w:rsidR="00456145" w:rsidRPr="00A660A9">
              <w:rPr>
                <w:sz w:val="28"/>
                <w:szCs w:val="28"/>
              </w:rPr>
              <w:t xml:space="preserve"> ka</w:t>
            </w:r>
            <w:r w:rsidR="00E7276E">
              <w:rPr>
                <w:sz w:val="28"/>
                <w:szCs w:val="28"/>
              </w:rPr>
              <w:t xml:space="preserve"> </w:t>
            </w:r>
            <w:r w:rsidR="00456145" w:rsidRPr="00A660A9">
              <w:rPr>
                <w:sz w:val="28"/>
                <w:szCs w:val="28"/>
              </w:rPr>
              <w:t>1)</w:t>
            </w:r>
            <w:r w:rsidR="007756AB">
              <w:rPr>
                <w:sz w:val="28"/>
                <w:szCs w:val="28"/>
              </w:rPr>
              <w:t> </w:t>
            </w:r>
            <w:r w:rsidR="00F80B04" w:rsidRPr="00A660A9">
              <w:rPr>
                <w:sz w:val="28"/>
                <w:szCs w:val="28"/>
              </w:rPr>
              <w:t xml:space="preserve">eksaminācijas komisijas sastāvā jāiekļauj vismaz viens Nozares ekspertu padomes </w:t>
            </w:r>
            <w:r w:rsidR="00026C12" w:rsidRPr="00A660A9">
              <w:rPr>
                <w:sz w:val="28"/>
                <w:szCs w:val="28"/>
              </w:rPr>
              <w:t>vai profesionālās organizācijas deleģēts eksperts, ja Nozares ekspertu padome</w:t>
            </w:r>
            <w:r w:rsidR="005F22F3" w:rsidRPr="00A660A9">
              <w:rPr>
                <w:sz w:val="28"/>
                <w:szCs w:val="28"/>
              </w:rPr>
              <w:t xml:space="preserve"> nedeleģē ekspertu, piemēram, gadījumā, ja tā nav izveidota vai nav uzsākusi savu darbību</w:t>
            </w:r>
            <w:r w:rsidR="00F80B04" w:rsidRPr="00A660A9">
              <w:rPr>
                <w:sz w:val="28"/>
                <w:szCs w:val="28"/>
              </w:rPr>
              <w:t xml:space="preserve">, </w:t>
            </w:r>
            <w:r w:rsidR="00456145" w:rsidRPr="00A660A9">
              <w:rPr>
                <w:sz w:val="28"/>
                <w:szCs w:val="28"/>
              </w:rPr>
              <w:t>tad tā vietā var pieaicināt profesionālās organizācijas deleģētu ekspertu</w:t>
            </w:r>
            <w:r w:rsidR="00E7276E">
              <w:rPr>
                <w:sz w:val="28"/>
                <w:szCs w:val="28"/>
              </w:rPr>
              <w:t xml:space="preserve">, </w:t>
            </w:r>
            <w:r w:rsidR="00456145" w:rsidRPr="00A660A9">
              <w:rPr>
                <w:sz w:val="28"/>
                <w:szCs w:val="28"/>
              </w:rPr>
              <w:lastRenderedPageBreak/>
              <w:t>2</w:t>
            </w:r>
            <w:r w:rsidR="00F80B04" w:rsidRPr="00A660A9">
              <w:rPr>
                <w:sz w:val="28"/>
                <w:szCs w:val="28"/>
              </w:rPr>
              <w:t>)</w:t>
            </w:r>
            <w:r w:rsidR="00947DF6" w:rsidRPr="00A660A9">
              <w:rPr>
                <w:sz w:val="28"/>
                <w:szCs w:val="28"/>
              </w:rPr>
              <w:t xml:space="preserve"> Nozar</w:t>
            </w:r>
            <w:r w:rsidR="00E50BBE" w:rsidRPr="00A660A9">
              <w:rPr>
                <w:sz w:val="28"/>
                <w:szCs w:val="28"/>
              </w:rPr>
              <w:t>es</w:t>
            </w:r>
            <w:r w:rsidR="00947DF6" w:rsidRPr="00A660A9">
              <w:rPr>
                <w:sz w:val="28"/>
                <w:szCs w:val="28"/>
              </w:rPr>
              <w:t xml:space="preserve"> ekspertu padome var pilnvarot savu pārstāvi par eksāmena n</w:t>
            </w:r>
            <w:r w:rsidR="002D5ABA" w:rsidRPr="00A660A9">
              <w:rPr>
                <w:sz w:val="28"/>
                <w:szCs w:val="28"/>
              </w:rPr>
              <w:t>ovērotāj</w:t>
            </w:r>
            <w:r w:rsidR="00DC5BF6" w:rsidRPr="00A660A9">
              <w:rPr>
                <w:sz w:val="28"/>
                <w:szCs w:val="28"/>
              </w:rPr>
              <w:t>u</w:t>
            </w:r>
            <w:r w:rsidR="00456145" w:rsidRPr="00A660A9">
              <w:rPr>
                <w:sz w:val="28"/>
                <w:szCs w:val="28"/>
              </w:rPr>
              <w:t>.</w:t>
            </w:r>
            <w:r w:rsidR="00DC5BF6" w:rsidRPr="00A660A9">
              <w:rPr>
                <w:sz w:val="28"/>
                <w:szCs w:val="28"/>
              </w:rPr>
              <w:t xml:space="preserve"> </w:t>
            </w:r>
          </w:p>
          <w:p w14:paraId="1EA27B6D" w14:textId="65DA309A" w:rsidR="00A660A9" w:rsidRPr="00A660A9" w:rsidRDefault="00AF108D" w:rsidP="007756AB">
            <w:pPr>
              <w:pStyle w:val="ListParagraph"/>
              <w:tabs>
                <w:tab w:val="left" w:pos="146"/>
              </w:tabs>
              <w:ind w:left="0" w:firstLine="388"/>
              <w:jc w:val="both"/>
              <w:rPr>
                <w:sz w:val="28"/>
                <w:szCs w:val="28"/>
              </w:rPr>
            </w:pPr>
            <w:r>
              <w:rPr>
                <w:sz w:val="28"/>
                <w:szCs w:val="28"/>
              </w:rPr>
              <w:t>4</w:t>
            </w:r>
            <w:r w:rsidR="00456145" w:rsidRPr="00A660A9">
              <w:rPr>
                <w:sz w:val="28"/>
                <w:szCs w:val="28"/>
              </w:rPr>
              <w:t>. L</w:t>
            </w:r>
            <w:r w:rsidR="00DC5BF6" w:rsidRPr="00A660A9">
              <w:rPr>
                <w:sz w:val="28"/>
                <w:szCs w:val="28"/>
              </w:rPr>
              <w:t xml:space="preserve">ai nodrošinātu izglītības kvalitātes pārraudzību un iespēju pilnveidot kvalifikācijas eksāmenu programmas, kā arī konstatēt eksaminācijas procesā pilnveidojamus jautājumus, būtiski ir </w:t>
            </w:r>
            <w:r w:rsidR="00133AFB" w:rsidRPr="00A660A9">
              <w:rPr>
                <w:sz w:val="28"/>
                <w:szCs w:val="28"/>
              </w:rPr>
              <w:t>paredzēt</w:t>
            </w:r>
            <w:r w:rsidR="00DC5BF6" w:rsidRPr="00A660A9">
              <w:rPr>
                <w:sz w:val="28"/>
                <w:szCs w:val="28"/>
              </w:rPr>
              <w:t xml:space="preserve"> iespēju eksāmena norisi vērot gan izglītības procesā iesaistītajiem pedagogiem, gan izglītības iestādes sadarbības partneriem - darba tirgus un attiecīgo augstskolu pārstāvjiem. Ievērojot nosacījumu, ka personu loks, kuri vēro eksāmenu, tiek noteikts ar</w:t>
            </w:r>
            <w:r w:rsidR="00133AFB" w:rsidRPr="00A660A9">
              <w:rPr>
                <w:sz w:val="28"/>
                <w:szCs w:val="28"/>
              </w:rPr>
              <w:t xml:space="preserve"> eksaminācijas institūcijas vadītāja</w:t>
            </w:r>
            <w:r w:rsidR="00DC5BF6" w:rsidRPr="00A660A9">
              <w:rPr>
                <w:sz w:val="28"/>
                <w:szCs w:val="28"/>
              </w:rPr>
              <w:t xml:space="preserve"> rīkojumu, kā arī </w:t>
            </w:r>
            <w:r w:rsidR="00133AFB" w:rsidRPr="00A660A9">
              <w:rPr>
                <w:sz w:val="28"/>
                <w:szCs w:val="28"/>
              </w:rPr>
              <w:t>eksāmena norise netiek traucēta.</w:t>
            </w:r>
            <w:r w:rsidR="00DC5BF6" w:rsidRPr="00A660A9">
              <w:rPr>
                <w:sz w:val="28"/>
                <w:szCs w:val="28"/>
              </w:rPr>
              <w:t xml:space="preserve"> </w:t>
            </w:r>
            <w:r w:rsidR="00133AFB" w:rsidRPr="00A660A9">
              <w:rPr>
                <w:sz w:val="28"/>
                <w:szCs w:val="28"/>
              </w:rPr>
              <w:t>P</w:t>
            </w:r>
            <w:r w:rsidR="00DC5BF6" w:rsidRPr="00A660A9">
              <w:rPr>
                <w:sz w:val="28"/>
                <w:szCs w:val="28"/>
              </w:rPr>
              <w:t>edagogu, izglītības iestā</w:t>
            </w:r>
            <w:r w:rsidR="00133AFB" w:rsidRPr="00A660A9">
              <w:rPr>
                <w:sz w:val="28"/>
                <w:szCs w:val="28"/>
              </w:rPr>
              <w:t>žu</w:t>
            </w:r>
            <w:r w:rsidR="00DC5BF6" w:rsidRPr="00A660A9">
              <w:rPr>
                <w:sz w:val="28"/>
                <w:szCs w:val="28"/>
              </w:rPr>
              <w:t xml:space="preserve"> administrācijas un darba tirgus pārstāvju, augstskolu mācībspēku dalība kvalifikācijas eksāmenā</w:t>
            </w:r>
            <w:r w:rsidR="00133AFB" w:rsidRPr="00A660A9">
              <w:rPr>
                <w:sz w:val="28"/>
                <w:szCs w:val="28"/>
              </w:rPr>
              <w:t xml:space="preserve"> un izteiktie secinājumi un priekšlikumi par to var sniegt</w:t>
            </w:r>
            <w:r w:rsidR="00DC5BF6" w:rsidRPr="00A660A9">
              <w:rPr>
                <w:sz w:val="28"/>
                <w:szCs w:val="28"/>
              </w:rPr>
              <w:t xml:space="preserve"> </w:t>
            </w:r>
            <w:r w:rsidR="00133AFB" w:rsidRPr="00A660A9">
              <w:rPr>
                <w:sz w:val="28"/>
                <w:szCs w:val="28"/>
              </w:rPr>
              <w:t>iespēju pilnveidot eksāmena saturu atbilstošāk darba tirgus</w:t>
            </w:r>
            <w:r w:rsidR="008E6E5B" w:rsidRPr="00A660A9">
              <w:rPr>
                <w:sz w:val="28"/>
                <w:szCs w:val="28"/>
              </w:rPr>
              <w:t xml:space="preserve"> prasībām</w:t>
            </w:r>
            <w:r w:rsidR="00133AFB" w:rsidRPr="00A660A9">
              <w:rPr>
                <w:sz w:val="28"/>
                <w:szCs w:val="28"/>
              </w:rPr>
              <w:t xml:space="preserve"> vai nākamā izglītības līmeņa </w:t>
            </w:r>
            <w:r w:rsidR="008E6E5B" w:rsidRPr="00A660A9">
              <w:rPr>
                <w:sz w:val="28"/>
                <w:szCs w:val="28"/>
              </w:rPr>
              <w:t>specifikai</w:t>
            </w:r>
            <w:r w:rsidR="00133AFB" w:rsidRPr="00A660A9">
              <w:rPr>
                <w:sz w:val="28"/>
                <w:szCs w:val="28"/>
              </w:rPr>
              <w:t>.</w:t>
            </w:r>
          </w:p>
          <w:p w14:paraId="43E31F27" w14:textId="26719B8A" w:rsidR="0021081F" w:rsidRPr="00A660A9" w:rsidRDefault="00AF108D" w:rsidP="007756AB">
            <w:pPr>
              <w:shd w:val="clear" w:color="auto" w:fill="FFFFFF" w:themeFill="background1"/>
              <w:ind w:firstLine="388"/>
              <w:jc w:val="both"/>
              <w:rPr>
                <w:bCs/>
                <w:sz w:val="28"/>
                <w:szCs w:val="28"/>
              </w:rPr>
            </w:pPr>
            <w:r>
              <w:rPr>
                <w:bCs/>
                <w:sz w:val="28"/>
                <w:szCs w:val="28"/>
              </w:rPr>
              <w:t>5</w:t>
            </w:r>
            <w:r w:rsidR="00CA10CF" w:rsidRPr="00A660A9">
              <w:rPr>
                <w:bCs/>
                <w:sz w:val="28"/>
                <w:szCs w:val="28"/>
              </w:rPr>
              <w:t>. </w:t>
            </w:r>
            <w:r w:rsidR="00972EBA" w:rsidRPr="00A660A9">
              <w:rPr>
                <w:bCs/>
                <w:sz w:val="28"/>
                <w:szCs w:val="28"/>
              </w:rPr>
              <w:t>MK noteikumi Nr.662 paredz virkni darbību un dokumentu, kas ir nelietderīgi, piemēram, eksāmenu norises grafika iesniegšana, kas, lai izveidotu kopīgo eksāmenu norises grafiku, nav nepieciešama, jo informāciju par eksāmenu norises laiku un vietu centrs</w:t>
            </w:r>
            <w:r w:rsidR="00972EBA" w:rsidRPr="00A660A9">
              <w:rPr>
                <w:sz w:val="28"/>
                <w:szCs w:val="28"/>
              </w:rPr>
              <w:t xml:space="preserve"> vai </w:t>
            </w:r>
            <w:r w:rsidR="003D298B" w:rsidRPr="00A660A9">
              <w:rPr>
                <w:sz w:val="28"/>
                <w:szCs w:val="28"/>
              </w:rPr>
              <w:t>kultūrizglītības</w:t>
            </w:r>
            <w:r w:rsidR="0035331D" w:rsidRPr="00A660A9">
              <w:rPr>
                <w:sz w:val="28"/>
                <w:szCs w:val="28"/>
              </w:rPr>
              <w:t xml:space="preserve"> centrs </w:t>
            </w:r>
            <w:r w:rsidR="00972EBA" w:rsidRPr="00A660A9">
              <w:rPr>
                <w:bCs/>
                <w:sz w:val="28"/>
                <w:szCs w:val="28"/>
              </w:rPr>
              <w:t>var iegūt no</w:t>
            </w:r>
            <w:r w:rsidR="006A475C" w:rsidRPr="006A475C">
              <w:rPr>
                <w:bCs/>
                <w:sz w:val="28"/>
                <w:szCs w:val="28"/>
              </w:rPr>
              <w:t xml:space="preserve"> citiem iesniegtajiem dokumentiem</w:t>
            </w:r>
            <w:r w:rsidR="006A475C">
              <w:rPr>
                <w:bCs/>
                <w:sz w:val="28"/>
                <w:szCs w:val="28"/>
              </w:rPr>
              <w:t>.</w:t>
            </w:r>
          </w:p>
          <w:p w14:paraId="145E87FE" w14:textId="2BB37E9C" w:rsidR="00EF497B" w:rsidRPr="00A660A9" w:rsidRDefault="00AF108D" w:rsidP="007756AB">
            <w:pPr>
              <w:shd w:val="clear" w:color="auto" w:fill="FFFFFF" w:themeFill="background1"/>
              <w:ind w:firstLine="388"/>
              <w:jc w:val="both"/>
              <w:rPr>
                <w:bCs/>
                <w:sz w:val="28"/>
                <w:szCs w:val="28"/>
              </w:rPr>
            </w:pPr>
            <w:r>
              <w:rPr>
                <w:bCs/>
                <w:sz w:val="28"/>
                <w:szCs w:val="28"/>
              </w:rPr>
              <w:t>6</w:t>
            </w:r>
            <w:r w:rsidR="00EF497B" w:rsidRPr="00A660A9">
              <w:rPr>
                <w:bCs/>
                <w:sz w:val="28"/>
                <w:szCs w:val="28"/>
              </w:rPr>
              <w:t>.</w:t>
            </w:r>
            <w:r>
              <w:rPr>
                <w:bCs/>
                <w:sz w:val="28"/>
                <w:szCs w:val="28"/>
              </w:rPr>
              <w:t> </w:t>
            </w:r>
            <w:r w:rsidR="00EF497B" w:rsidRPr="00A660A9">
              <w:rPr>
                <w:bCs/>
                <w:sz w:val="28"/>
                <w:szCs w:val="28"/>
              </w:rPr>
              <w:t>V</w:t>
            </w:r>
            <w:r w:rsidR="002274F6" w:rsidRPr="00A660A9">
              <w:rPr>
                <w:bCs/>
                <w:sz w:val="28"/>
                <w:szCs w:val="28"/>
              </w:rPr>
              <w:t>airāk</w:t>
            </w:r>
            <w:r w:rsidR="00EF497B" w:rsidRPr="00A660A9">
              <w:rPr>
                <w:bCs/>
                <w:sz w:val="28"/>
                <w:szCs w:val="28"/>
              </w:rPr>
              <w:t>os</w:t>
            </w:r>
            <w:r w:rsidR="002274F6" w:rsidRPr="00A660A9">
              <w:rPr>
                <w:bCs/>
                <w:sz w:val="28"/>
                <w:szCs w:val="28"/>
              </w:rPr>
              <w:t xml:space="preserve"> MK noteikumu</w:t>
            </w:r>
            <w:r w:rsidR="00972EBA" w:rsidRPr="00A660A9">
              <w:rPr>
                <w:bCs/>
                <w:sz w:val="28"/>
                <w:szCs w:val="28"/>
              </w:rPr>
              <w:t xml:space="preserve"> Nr.662 punktos procesu apraksti nav viennozīmīgi saprotami vai izpildāmi, piemēram, nosacījumu, ka līdz attiecīgā mācību gada 15.</w:t>
            </w:r>
            <w:r w:rsidR="00CA10CF" w:rsidRPr="00A660A9">
              <w:rPr>
                <w:bCs/>
                <w:sz w:val="28"/>
                <w:szCs w:val="28"/>
              </w:rPr>
              <w:t> </w:t>
            </w:r>
            <w:r w:rsidR="00972EBA" w:rsidRPr="00A660A9">
              <w:rPr>
                <w:bCs/>
                <w:sz w:val="28"/>
                <w:szCs w:val="28"/>
              </w:rPr>
              <w:t xml:space="preserve">septembrim jāiesniedz informācija par attiecīgajā mācību gadā paredzamajiem eksāmeniem, nevar izpildīt profesionālās tālākizglītības programmu īstenotāji, jo šīs programmas tiek īstenotas nepārtraukti, </w:t>
            </w:r>
            <w:r w:rsidR="00CA10CF" w:rsidRPr="00A660A9">
              <w:rPr>
                <w:bCs/>
                <w:sz w:val="28"/>
                <w:szCs w:val="28"/>
              </w:rPr>
              <w:t xml:space="preserve">nepielāgojot tās mācību gadam. </w:t>
            </w:r>
            <w:r w:rsidR="00972EBA" w:rsidRPr="00A660A9">
              <w:rPr>
                <w:bCs/>
                <w:sz w:val="28"/>
                <w:szCs w:val="28"/>
              </w:rPr>
              <w:t xml:space="preserve">Tādēļ Projekts paredz, ka informācija par gada laikā plānotajiem tālākizglītības programmu eksāmeniem nav jāiesniedz. </w:t>
            </w:r>
          </w:p>
          <w:p w14:paraId="291B3A94" w14:textId="6F68C882" w:rsidR="00763951" w:rsidRPr="00A660A9" w:rsidRDefault="00AF108D" w:rsidP="007756AB">
            <w:pPr>
              <w:shd w:val="clear" w:color="auto" w:fill="FFFFFF" w:themeFill="background1"/>
              <w:ind w:firstLine="388"/>
              <w:jc w:val="both"/>
              <w:rPr>
                <w:bCs/>
                <w:sz w:val="28"/>
                <w:szCs w:val="28"/>
              </w:rPr>
            </w:pPr>
            <w:r>
              <w:rPr>
                <w:bCs/>
                <w:sz w:val="28"/>
                <w:szCs w:val="28"/>
              </w:rPr>
              <w:t>7</w:t>
            </w:r>
            <w:r w:rsidR="00763951" w:rsidRPr="00A660A9">
              <w:rPr>
                <w:bCs/>
                <w:sz w:val="28"/>
                <w:szCs w:val="28"/>
              </w:rPr>
              <w:t>.</w:t>
            </w:r>
            <w:r>
              <w:rPr>
                <w:sz w:val="28"/>
                <w:szCs w:val="28"/>
              </w:rPr>
              <w:t> </w:t>
            </w:r>
            <w:r w:rsidR="007E6075" w:rsidRPr="00A660A9">
              <w:rPr>
                <w:sz w:val="28"/>
                <w:szCs w:val="28"/>
              </w:rPr>
              <w:t xml:space="preserve">Projekts paredz, ka eksaminācijas institūcija līdz attiecīgā mācību gada 15. septembrim elektroniski nosūta atbilstoši piekritībai centram vai </w:t>
            </w:r>
            <w:r w:rsidR="003D298B" w:rsidRPr="00A660A9">
              <w:rPr>
                <w:sz w:val="28"/>
                <w:szCs w:val="28"/>
              </w:rPr>
              <w:t xml:space="preserve">kultūrizglītības </w:t>
            </w:r>
            <w:r w:rsidR="00B57D47" w:rsidRPr="00A660A9">
              <w:rPr>
                <w:sz w:val="28"/>
                <w:szCs w:val="28"/>
              </w:rPr>
              <w:t>centram</w:t>
            </w:r>
            <w:r w:rsidR="00B831D3" w:rsidRPr="00A660A9">
              <w:rPr>
                <w:sz w:val="28"/>
                <w:szCs w:val="28"/>
              </w:rPr>
              <w:t xml:space="preserve"> </w:t>
            </w:r>
            <w:r w:rsidR="007E6075" w:rsidRPr="00A660A9">
              <w:rPr>
                <w:sz w:val="28"/>
                <w:szCs w:val="28"/>
              </w:rPr>
              <w:t xml:space="preserve">informāciju par plānotā eksāmena norises termiņu, </w:t>
            </w:r>
            <w:r w:rsidR="00763951" w:rsidRPr="00A660A9">
              <w:rPr>
                <w:bCs/>
                <w:sz w:val="28"/>
                <w:szCs w:val="28"/>
              </w:rPr>
              <w:t>lai varētu plānot eksāmenu satura izstrādi un to norises laika noteikšanu. Šajā laikā eksaminācijas institūcijas vēl nav izplānojušas konkrētus eksāmena, vai tā daļu norises datumus un laikus</w:t>
            </w:r>
            <w:r w:rsidR="00CA26ED" w:rsidRPr="00A660A9">
              <w:rPr>
                <w:bCs/>
                <w:sz w:val="28"/>
                <w:szCs w:val="28"/>
              </w:rPr>
              <w:t>, tādēļ jāsniedz tikai plānotais termiņš</w:t>
            </w:r>
            <w:r w:rsidR="00763951" w:rsidRPr="00A660A9">
              <w:rPr>
                <w:bCs/>
                <w:sz w:val="28"/>
                <w:szCs w:val="28"/>
              </w:rPr>
              <w:t>. Savukārt</w:t>
            </w:r>
            <w:r w:rsidR="00CA26ED" w:rsidRPr="00A660A9">
              <w:rPr>
                <w:bCs/>
                <w:sz w:val="28"/>
                <w:szCs w:val="28"/>
              </w:rPr>
              <w:t xml:space="preserve"> </w:t>
            </w:r>
            <w:r w:rsidR="00B831D3" w:rsidRPr="00A660A9">
              <w:rPr>
                <w:bCs/>
                <w:sz w:val="28"/>
                <w:szCs w:val="28"/>
              </w:rPr>
              <w:t xml:space="preserve">konkrētu eksāmena (izņemot centralizētā eksāmena) vai tā daļu norises datumu un laiku t.i., precīzu brīdi, kurā sākas konkrētā eksāmena daļa, </w:t>
            </w:r>
            <w:r w:rsidR="00763951" w:rsidRPr="00A660A9">
              <w:rPr>
                <w:bCs/>
                <w:sz w:val="28"/>
                <w:szCs w:val="28"/>
              </w:rPr>
              <w:t>eksaminācijas institūcija nosaka</w:t>
            </w:r>
            <w:r w:rsidR="00B831D3" w:rsidRPr="00A660A9">
              <w:rPr>
                <w:bCs/>
                <w:sz w:val="28"/>
                <w:szCs w:val="28"/>
              </w:rPr>
              <w:t xml:space="preserve"> vēlāk </w:t>
            </w:r>
            <w:r w:rsidR="00B831D3" w:rsidRPr="00A660A9">
              <w:rPr>
                <w:sz w:val="28"/>
                <w:szCs w:val="28"/>
              </w:rPr>
              <w:t>eksāmena norises plānojumā</w:t>
            </w:r>
            <w:r w:rsidR="007E6075" w:rsidRPr="00A660A9">
              <w:rPr>
                <w:bCs/>
                <w:sz w:val="28"/>
                <w:szCs w:val="28"/>
              </w:rPr>
              <w:t>.</w:t>
            </w:r>
          </w:p>
          <w:p w14:paraId="528C9C2C" w14:textId="62522996" w:rsidR="0021081F" w:rsidRPr="00A660A9" w:rsidRDefault="00AF108D" w:rsidP="007756AB">
            <w:pPr>
              <w:shd w:val="clear" w:color="auto" w:fill="FFFFFF" w:themeFill="background1"/>
              <w:ind w:firstLine="388"/>
              <w:jc w:val="both"/>
              <w:rPr>
                <w:bCs/>
                <w:sz w:val="28"/>
                <w:szCs w:val="28"/>
              </w:rPr>
            </w:pPr>
            <w:r>
              <w:rPr>
                <w:bCs/>
                <w:sz w:val="28"/>
                <w:szCs w:val="28"/>
              </w:rPr>
              <w:lastRenderedPageBreak/>
              <w:t>8</w:t>
            </w:r>
            <w:r w:rsidR="0021081F" w:rsidRPr="00A660A9">
              <w:rPr>
                <w:bCs/>
                <w:sz w:val="28"/>
                <w:szCs w:val="28"/>
              </w:rPr>
              <w:t>.</w:t>
            </w:r>
            <w:r>
              <w:rPr>
                <w:bCs/>
                <w:sz w:val="28"/>
                <w:szCs w:val="28"/>
              </w:rPr>
              <w:t> </w:t>
            </w:r>
            <w:r w:rsidR="00972EBA" w:rsidRPr="00A660A9">
              <w:rPr>
                <w:bCs/>
                <w:sz w:val="28"/>
                <w:szCs w:val="28"/>
              </w:rPr>
              <w:t>MK noteikumi Nr.662 paredz dokumentus, kuros ietvertā informācija atkārtojas, piemēram MK noteikum</w:t>
            </w:r>
            <w:r w:rsidR="0021081F" w:rsidRPr="00A660A9">
              <w:rPr>
                <w:bCs/>
                <w:sz w:val="28"/>
                <w:szCs w:val="28"/>
              </w:rPr>
              <w:t>u</w:t>
            </w:r>
            <w:r w:rsidR="00972EBA" w:rsidRPr="00A660A9">
              <w:rPr>
                <w:bCs/>
                <w:sz w:val="28"/>
                <w:szCs w:val="28"/>
              </w:rPr>
              <w:t xml:space="preserve"> Nr.662 1.</w:t>
            </w:r>
            <w:r w:rsidR="0021081F" w:rsidRPr="00A660A9">
              <w:rPr>
                <w:bCs/>
                <w:sz w:val="28"/>
                <w:szCs w:val="28"/>
              </w:rPr>
              <w:t> </w:t>
            </w:r>
            <w:r w:rsidR="00972EBA" w:rsidRPr="00A660A9">
              <w:rPr>
                <w:bCs/>
                <w:sz w:val="28"/>
                <w:szCs w:val="28"/>
              </w:rPr>
              <w:t>un 5.</w:t>
            </w:r>
            <w:r w:rsidR="0021081F" w:rsidRPr="00A660A9">
              <w:rPr>
                <w:bCs/>
                <w:sz w:val="28"/>
                <w:szCs w:val="28"/>
              </w:rPr>
              <w:t xml:space="preserve"> </w:t>
            </w:r>
            <w:r w:rsidR="00972EBA" w:rsidRPr="00A660A9">
              <w:rPr>
                <w:bCs/>
                <w:sz w:val="28"/>
                <w:szCs w:val="28"/>
              </w:rPr>
              <w:t xml:space="preserve">pielikums. Lai atvieglotu iesaistīto pušu administratīvo slogu saistībā ar minētajiem piemēriem un citām ievērotajām neprecizitātēm, </w:t>
            </w:r>
            <w:r w:rsidR="00EF497B" w:rsidRPr="00A660A9">
              <w:rPr>
                <w:bCs/>
                <w:sz w:val="28"/>
                <w:szCs w:val="28"/>
              </w:rPr>
              <w:t>P</w:t>
            </w:r>
            <w:r w:rsidR="00972EBA" w:rsidRPr="00A660A9">
              <w:rPr>
                <w:bCs/>
                <w:sz w:val="28"/>
                <w:szCs w:val="28"/>
              </w:rPr>
              <w:t>rojektā ir precizēti un papildināti eksāmena organizācijas posmu apraksti, noteikts mazāks izstrādājamo dokumentu skaits, nekā to paredz MK noteikumi Nr.662, samazināts noteikumu pielikumu skaits, atsakoties no ne</w:t>
            </w:r>
            <w:r w:rsidR="00CA10CF" w:rsidRPr="00A660A9">
              <w:rPr>
                <w:bCs/>
                <w:sz w:val="28"/>
                <w:szCs w:val="28"/>
              </w:rPr>
              <w:t>lietderīgiem</w:t>
            </w:r>
            <w:r w:rsidR="00972EBA" w:rsidRPr="00A660A9">
              <w:rPr>
                <w:bCs/>
                <w:sz w:val="28"/>
                <w:szCs w:val="28"/>
              </w:rPr>
              <w:t xml:space="preserve"> pielikumiem</w:t>
            </w:r>
            <w:r w:rsidR="002274F6" w:rsidRPr="00A660A9">
              <w:rPr>
                <w:bCs/>
                <w:sz w:val="28"/>
                <w:szCs w:val="28"/>
              </w:rPr>
              <w:t>,</w:t>
            </w:r>
            <w:r w:rsidR="00972EBA" w:rsidRPr="00A660A9">
              <w:rPr>
                <w:bCs/>
                <w:sz w:val="28"/>
                <w:szCs w:val="28"/>
              </w:rPr>
              <w:t xml:space="preserve"> vai apvienojot </w:t>
            </w:r>
            <w:r w:rsidR="00CA10CF" w:rsidRPr="00A660A9">
              <w:rPr>
                <w:bCs/>
                <w:sz w:val="28"/>
                <w:szCs w:val="28"/>
              </w:rPr>
              <w:t>vairākus</w:t>
            </w:r>
            <w:r w:rsidR="00972EBA" w:rsidRPr="00A660A9">
              <w:rPr>
                <w:bCs/>
                <w:sz w:val="28"/>
                <w:szCs w:val="28"/>
              </w:rPr>
              <w:t xml:space="preserve"> pielikumus vienā dokumentā (Projekta 1.</w:t>
            </w:r>
            <w:r w:rsidR="0021081F" w:rsidRPr="00A660A9">
              <w:rPr>
                <w:bCs/>
                <w:sz w:val="28"/>
                <w:szCs w:val="28"/>
              </w:rPr>
              <w:t> </w:t>
            </w:r>
            <w:r w:rsidR="00972EBA" w:rsidRPr="00A660A9">
              <w:rPr>
                <w:bCs/>
                <w:sz w:val="28"/>
                <w:szCs w:val="28"/>
              </w:rPr>
              <w:t>pielikums).</w:t>
            </w:r>
          </w:p>
          <w:p w14:paraId="0134484C" w14:textId="6029EE41" w:rsidR="00400A0E" w:rsidRPr="00A660A9" w:rsidRDefault="00AF108D" w:rsidP="007756AB">
            <w:pPr>
              <w:shd w:val="clear" w:color="auto" w:fill="FFFFFF" w:themeFill="background1"/>
              <w:ind w:firstLine="388"/>
              <w:jc w:val="both"/>
              <w:rPr>
                <w:bCs/>
                <w:sz w:val="28"/>
                <w:szCs w:val="28"/>
              </w:rPr>
            </w:pPr>
            <w:r>
              <w:rPr>
                <w:bCs/>
                <w:sz w:val="28"/>
                <w:szCs w:val="28"/>
              </w:rPr>
              <w:t>9. </w:t>
            </w:r>
            <w:r w:rsidR="00931150" w:rsidRPr="00A660A9">
              <w:rPr>
                <w:bCs/>
                <w:sz w:val="28"/>
                <w:szCs w:val="28"/>
              </w:rPr>
              <w:t>Noteikumi Nr.662 paredz, ka eksaminācijas komisijas sastāvā iekļauj attiecīgajā tautsaimniecības nozarē strādājošas personas, kas var radīt situāciju, ka minēto personu profesionālā darbība nav tieši saistīta ar piešķiramo kvalifikāciju</w:t>
            </w:r>
            <w:r w:rsidR="00131D27" w:rsidRPr="00A660A9">
              <w:rPr>
                <w:bCs/>
                <w:sz w:val="28"/>
                <w:szCs w:val="28"/>
              </w:rPr>
              <w:t>, tādēļ</w:t>
            </w:r>
            <w:r w:rsidR="00931150" w:rsidRPr="00A660A9">
              <w:rPr>
                <w:bCs/>
                <w:sz w:val="28"/>
                <w:szCs w:val="28"/>
              </w:rPr>
              <w:t xml:space="preserve"> </w:t>
            </w:r>
            <w:r w:rsidR="00EF497B" w:rsidRPr="00A660A9">
              <w:rPr>
                <w:bCs/>
                <w:sz w:val="28"/>
                <w:szCs w:val="28"/>
              </w:rPr>
              <w:t>P</w:t>
            </w:r>
            <w:r w:rsidR="00931150" w:rsidRPr="00A660A9">
              <w:rPr>
                <w:bCs/>
                <w:sz w:val="28"/>
                <w:szCs w:val="28"/>
              </w:rPr>
              <w:t>rojekts paredz, ka eksaminācijas komisijas locekļiem vai nu pašiem jāveic piešķiramajai profesionālajai kvalifikācijai atbilstoši profesijas pamatuzdevumi vai jāorganizē attiecīgās profesijas darbinieku darbs.</w:t>
            </w:r>
          </w:p>
          <w:p w14:paraId="4F2F9097" w14:textId="56A0B2D1" w:rsidR="00EB0D60" w:rsidRPr="00A660A9" w:rsidRDefault="00AF108D" w:rsidP="007756AB">
            <w:pPr>
              <w:shd w:val="clear" w:color="auto" w:fill="FFFFFF" w:themeFill="background1"/>
              <w:ind w:firstLine="388"/>
              <w:jc w:val="both"/>
              <w:rPr>
                <w:bCs/>
                <w:sz w:val="28"/>
                <w:szCs w:val="28"/>
              </w:rPr>
            </w:pPr>
            <w:r>
              <w:rPr>
                <w:bCs/>
                <w:sz w:val="28"/>
                <w:szCs w:val="28"/>
              </w:rPr>
              <w:t>10</w:t>
            </w:r>
            <w:r w:rsidR="00613F5C" w:rsidRPr="00A660A9">
              <w:rPr>
                <w:bCs/>
                <w:sz w:val="28"/>
                <w:szCs w:val="28"/>
              </w:rPr>
              <w:t>.</w:t>
            </w:r>
            <w:r>
              <w:rPr>
                <w:bCs/>
                <w:sz w:val="28"/>
                <w:szCs w:val="28"/>
              </w:rPr>
              <w:t> </w:t>
            </w:r>
            <w:r w:rsidR="00613F5C" w:rsidRPr="00A660A9">
              <w:rPr>
                <w:bCs/>
                <w:sz w:val="28"/>
                <w:szCs w:val="28"/>
              </w:rPr>
              <w:t>Noteikumi Nr.</w:t>
            </w:r>
            <w:r w:rsidR="0021081F" w:rsidRPr="00A660A9">
              <w:rPr>
                <w:bCs/>
                <w:sz w:val="28"/>
                <w:szCs w:val="28"/>
              </w:rPr>
              <w:t xml:space="preserve"> </w:t>
            </w:r>
            <w:r w:rsidR="00613F5C" w:rsidRPr="00A660A9">
              <w:rPr>
                <w:bCs/>
                <w:sz w:val="28"/>
                <w:szCs w:val="28"/>
              </w:rPr>
              <w:t>662 paredz, ka eksaminācijas komisijas priekšsēdētājam jābūt</w:t>
            </w:r>
            <w:r w:rsidR="00613F5C" w:rsidRPr="00A660A9">
              <w:rPr>
                <w:sz w:val="28"/>
                <w:szCs w:val="28"/>
              </w:rPr>
              <w:t xml:space="preserve"> personai ar augstāko izglītību atbilstoši Latvijas izglītības klasifikācijas izglītības tematiskajai jomai. Projekts paredz, ka</w:t>
            </w:r>
            <w:r w:rsidR="00613F5C" w:rsidRPr="00A660A9">
              <w:rPr>
                <w:bCs/>
                <w:sz w:val="28"/>
                <w:szCs w:val="28"/>
              </w:rPr>
              <w:t xml:space="preserve"> eksaminācijas komisijas priekšsēdētājam </w:t>
            </w:r>
            <w:r w:rsidR="00613F5C" w:rsidRPr="00A660A9">
              <w:rPr>
                <w:sz w:val="28"/>
                <w:szCs w:val="28"/>
              </w:rPr>
              <w:t>saskaņā ar normatīvajiem aktiem par Latvijas izglītības klasifikāciju</w:t>
            </w:r>
            <w:r w:rsidR="00613F5C" w:rsidRPr="00A660A9">
              <w:rPr>
                <w:bCs/>
                <w:sz w:val="28"/>
                <w:szCs w:val="28"/>
              </w:rPr>
              <w:t xml:space="preserve"> jābūt</w:t>
            </w:r>
            <w:r w:rsidR="00613F5C" w:rsidRPr="00A660A9">
              <w:rPr>
                <w:sz w:val="28"/>
                <w:szCs w:val="28"/>
              </w:rPr>
              <w:t xml:space="preserve"> personai ar augstāko izglītību, kas ir atbilstoša attiecīgajai izglītības programmas kopai, t.i., jābūt</w:t>
            </w:r>
            <w:r w:rsidR="00613F5C" w:rsidRPr="00A660A9">
              <w:rPr>
                <w:bCs/>
                <w:sz w:val="28"/>
                <w:szCs w:val="28"/>
              </w:rPr>
              <w:t xml:space="preserve"> tuvākai eksāmenā iegūstamajai profesionālajai kvalifikācijai</w:t>
            </w:r>
            <w:r w:rsidR="0021081F" w:rsidRPr="00A660A9">
              <w:rPr>
                <w:bCs/>
                <w:sz w:val="28"/>
                <w:szCs w:val="28"/>
              </w:rPr>
              <w:t>.</w:t>
            </w:r>
            <w:r w:rsidR="00817B2F">
              <w:rPr>
                <w:bCs/>
                <w:sz w:val="28"/>
                <w:szCs w:val="28"/>
              </w:rPr>
              <w:t xml:space="preserve"> Projekts konkrētāk nosaka arī atbilstošu komisijas priekšsēdētāja un komisijas locekļu izglītību.</w:t>
            </w:r>
          </w:p>
          <w:p w14:paraId="11291098" w14:textId="4D6B2B45" w:rsidR="005410B1" w:rsidRPr="00A660A9" w:rsidRDefault="005410B1" w:rsidP="007756AB">
            <w:pPr>
              <w:shd w:val="clear" w:color="auto" w:fill="FFFFFF" w:themeFill="background1"/>
              <w:ind w:firstLine="388"/>
              <w:jc w:val="both"/>
              <w:rPr>
                <w:sz w:val="28"/>
                <w:szCs w:val="28"/>
              </w:rPr>
            </w:pPr>
            <w:r w:rsidRPr="00A660A9">
              <w:rPr>
                <w:iCs/>
                <w:sz w:val="28"/>
                <w:szCs w:val="28"/>
              </w:rPr>
              <w:t>1</w:t>
            </w:r>
            <w:r w:rsidR="00AF108D">
              <w:rPr>
                <w:iCs/>
                <w:sz w:val="28"/>
                <w:szCs w:val="28"/>
              </w:rPr>
              <w:t>1. </w:t>
            </w:r>
            <w:r w:rsidRPr="00A660A9">
              <w:rPr>
                <w:iCs/>
                <w:sz w:val="28"/>
                <w:szCs w:val="28"/>
              </w:rPr>
              <w:t xml:space="preserve">Projekts paredz atzīt par spēku zaudējušiem </w:t>
            </w:r>
            <w:r w:rsidRPr="00A660A9">
              <w:rPr>
                <w:sz w:val="28"/>
                <w:szCs w:val="28"/>
              </w:rPr>
              <w:t>MK noteikumus Nr.662</w:t>
            </w:r>
            <w:r w:rsidR="00FF7C88">
              <w:t xml:space="preserve"> </w:t>
            </w:r>
            <w:r w:rsidR="00FF7C88" w:rsidRPr="00FF7C88">
              <w:rPr>
                <w:sz w:val="28"/>
                <w:szCs w:val="28"/>
              </w:rPr>
              <w:t>jo MK noteikumu Nr.</w:t>
            </w:r>
            <w:r w:rsidR="00FF7C88">
              <w:rPr>
                <w:sz w:val="28"/>
                <w:szCs w:val="28"/>
              </w:rPr>
              <w:t xml:space="preserve"> 662</w:t>
            </w:r>
            <w:r w:rsidR="00FF7C88" w:rsidRPr="00FF7C88">
              <w:rPr>
                <w:sz w:val="28"/>
                <w:szCs w:val="28"/>
              </w:rPr>
              <w:t xml:space="preserve"> normu apjoms, kurās būtu veicamas gan redakcionālas izmaiņas, gan jānosaka jauns tiesību normu regulējums pārsniegtu pusi no spē</w:t>
            </w:r>
            <w:r w:rsidR="00FF7C88">
              <w:rPr>
                <w:sz w:val="28"/>
                <w:szCs w:val="28"/>
              </w:rPr>
              <w:t>kā esošo noteikumu normu apjoma</w:t>
            </w:r>
            <w:r w:rsidRPr="00A660A9">
              <w:rPr>
                <w:sz w:val="28"/>
                <w:szCs w:val="28"/>
              </w:rPr>
              <w:t>.</w:t>
            </w:r>
          </w:p>
        </w:tc>
      </w:tr>
      <w:tr w:rsidR="009D1F13" w:rsidRPr="00A660A9" w14:paraId="4060636C" w14:textId="77777777" w:rsidTr="005C3B7C">
        <w:trPr>
          <w:trHeight w:val="476"/>
        </w:trPr>
        <w:tc>
          <w:tcPr>
            <w:tcW w:w="455" w:type="dxa"/>
          </w:tcPr>
          <w:p w14:paraId="786A7B58" w14:textId="5716C795" w:rsidR="00F44C86" w:rsidRPr="00A660A9" w:rsidRDefault="00166EDB" w:rsidP="00166EDB">
            <w:pPr>
              <w:spacing w:before="68" w:after="68"/>
              <w:rPr>
                <w:sz w:val="28"/>
                <w:szCs w:val="28"/>
              </w:rPr>
            </w:pPr>
            <w:r w:rsidRPr="00A660A9">
              <w:rPr>
                <w:sz w:val="28"/>
                <w:szCs w:val="28"/>
              </w:rPr>
              <w:lastRenderedPageBreak/>
              <w:t>3</w:t>
            </w:r>
            <w:r w:rsidR="00F44C86" w:rsidRPr="00A660A9">
              <w:rPr>
                <w:sz w:val="28"/>
                <w:szCs w:val="28"/>
              </w:rPr>
              <w:t>.</w:t>
            </w:r>
          </w:p>
        </w:tc>
        <w:tc>
          <w:tcPr>
            <w:tcW w:w="1618" w:type="dxa"/>
          </w:tcPr>
          <w:p w14:paraId="280AE95D" w14:textId="77777777" w:rsidR="00F44C86" w:rsidRPr="00A660A9" w:rsidRDefault="002558EB" w:rsidP="00234BCE">
            <w:pPr>
              <w:spacing w:before="68" w:after="68"/>
              <w:rPr>
                <w:sz w:val="28"/>
                <w:szCs w:val="28"/>
              </w:rPr>
            </w:pPr>
            <w:r w:rsidRPr="00A660A9">
              <w:rPr>
                <w:sz w:val="28"/>
                <w:szCs w:val="28"/>
              </w:rPr>
              <w:t>Projekta izstrādē iesaistītās institūcijas un publiskas personas kapitālsabie</w:t>
            </w:r>
            <w:r w:rsidRPr="00A660A9">
              <w:rPr>
                <w:sz w:val="28"/>
                <w:szCs w:val="28"/>
              </w:rPr>
              <w:lastRenderedPageBreak/>
              <w:t>drības</w:t>
            </w:r>
          </w:p>
        </w:tc>
        <w:tc>
          <w:tcPr>
            <w:tcW w:w="7170" w:type="dxa"/>
          </w:tcPr>
          <w:p w14:paraId="79DEE0DD" w14:textId="0D94245E" w:rsidR="00F44C86" w:rsidRPr="00A660A9" w:rsidRDefault="00967789" w:rsidP="007756AB">
            <w:pPr>
              <w:tabs>
                <w:tab w:val="left" w:pos="0"/>
              </w:tabs>
              <w:spacing w:before="68" w:after="68"/>
              <w:ind w:firstLine="298"/>
              <w:rPr>
                <w:iCs/>
                <w:sz w:val="28"/>
                <w:szCs w:val="28"/>
              </w:rPr>
            </w:pPr>
            <w:r w:rsidRPr="00A660A9">
              <w:rPr>
                <w:sz w:val="28"/>
                <w:szCs w:val="28"/>
              </w:rPr>
              <w:lastRenderedPageBreak/>
              <w:t xml:space="preserve">Izglītības un zinātnes ministrija, </w:t>
            </w:r>
            <w:r w:rsidR="0086595E" w:rsidRPr="00A660A9">
              <w:rPr>
                <w:sz w:val="28"/>
                <w:szCs w:val="28"/>
              </w:rPr>
              <w:t>centrs un</w:t>
            </w:r>
            <w:r w:rsidR="0086595E" w:rsidRPr="00A660A9">
              <w:rPr>
                <w:iCs/>
                <w:sz w:val="28"/>
                <w:szCs w:val="28"/>
              </w:rPr>
              <w:t xml:space="preserve"> </w:t>
            </w:r>
            <w:r w:rsidR="003D298B" w:rsidRPr="00A660A9">
              <w:rPr>
                <w:iCs/>
                <w:sz w:val="28"/>
                <w:szCs w:val="28"/>
              </w:rPr>
              <w:t xml:space="preserve">kultūrizglītības </w:t>
            </w:r>
            <w:r w:rsidR="00844705" w:rsidRPr="00A660A9">
              <w:rPr>
                <w:iCs/>
                <w:sz w:val="28"/>
                <w:szCs w:val="28"/>
              </w:rPr>
              <w:t>centrs</w:t>
            </w:r>
            <w:r w:rsidR="0086595E" w:rsidRPr="00A660A9">
              <w:rPr>
                <w:iCs/>
                <w:sz w:val="28"/>
                <w:szCs w:val="28"/>
              </w:rPr>
              <w:t>.</w:t>
            </w:r>
          </w:p>
          <w:p w14:paraId="45A75B25" w14:textId="27A809BA" w:rsidR="005410B1" w:rsidRPr="00A660A9" w:rsidRDefault="005410B1" w:rsidP="005410B1">
            <w:pPr>
              <w:tabs>
                <w:tab w:val="left" w:pos="0"/>
              </w:tabs>
              <w:spacing w:before="68" w:after="68"/>
              <w:rPr>
                <w:sz w:val="28"/>
                <w:szCs w:val="28"/>
              </w:rPr>
            </w:pPr>
          </w:p>
        </w:tc>
      </w:tr>
      <w:tr w:rsidR="009D1F13" w:rsidRPr="00A660A9" w14:paraId="177EEB75" w14:textId="77777777" w:rsidTr="005C3B7C">
        <w:tc>
          <w:tcPr>
            <w:tcW w:w="455" w:type="dxa"/>
          </w:tcPr>
          <w:p w14:paraId="4CD2FCED" w14:textId="77777777" w:rsidR="00F44C86" w:rsidRPr="00A660A9" w:rsidRDefault="00166EDB" w:rsidP="00166EDB">
            <w:pPr>
              <w:spacing w:before="68" w:after="68"/>
              <w:rPr>
                <w:sz w:val="28"/>
                <w:szCs w:val="28"/>
              </w:rPr>
            </w:pPr>
            <w:r w:rsidRPr="00A660A9">
              <w:rPr>
                <w:sz w:val="28"/>
                <w:szCs w:val="28"/>
              </w:rPr>
              <w:lastRenderedPageBreak/>
              <w:t>4</w:t>
            </w:r>
            <w:r w:rsidR="00F44C86" w:rsidRPr="00A660A9">
              <w:rPr>
                <w:sz w:val="28"/>
                <w:szCs w:val="28"/>
              </w:rPr>
              <w:t>.</w:t>
            </w:r>
          </w:p>
        </w:tc>
        <w:tc>
          <w:tcPr>
            <w:tcW w:w="1618" w:type="dxa"/>
          </w:tcPr>
          <w:p w14:paraId="553DF001" w14:textId="77777777" w:rsidR="00F44C86" w:rsidRPr="00A660A9" w:rsidRDefault="00F44C86" w:rsidP="00234BCE">
            <w:pPr>
              <w:spacing w:before="68" w:after="68"/>
              <w:rPr>
                <w:sz w:val="28"/>
                <w:szCs w:val="28"/>
              </w:rPr>
            </w:pPr>
            <w:r w:rsidRPr="00A660A9">
              <w:rPr>
                <w:sz w:val="28"/>
                <w:szCs w:val="28"/>
              </w:rPr>
              <w:t>Cita informācija</w:t>
            </w:r>
          </w:p>
        </w:tc>
        <w:tc>
          <w:tcPr>
            <w:tcW w:w="7170" w:type="dxa"/>
          </w:tcPr>
          <w:p w14:paraId="442D4362" w14:textId="77777777" w:rsidR="00F44C86" w:rsidRPr="00A660A9" w:rsidRDefault="00166EDB" w:rsidP="00234BCE">
            <w:pPr>
              <w:spacing w:before="68" w:after="68"/>
              <w:rPr>
                <w:sz w:val="28"/>
                <w:szCs w:val="28"/>
              </w:rPr>
            </w:pPr>
            <w:r w:rsidRPr="00A660A9">
              <w:rPr>
                <w:sz w:val="28"/>
                <w:szCs w:val="28"/>
              </w:rPr>
              <w:t>Nav</w:t>
            </w:r>
            <w:r w:rsidR="00967789" w:rsidRPr="00A660A9">
              <w:rPr>
                <w:sz w:val="28"/>
                <w:szCs w:val="28"/>
              </w:rPr>
              <w:t>.</w:t>
            </w:r>
          </w:p>
        </w:tc>
      </w:tr>
    </w:tbl>
    <w:p w14:paraId="7B1BADB5" w14:textId="77777777" w:rsidR="00493245" w:rsidRPr="00A660A9" w:rsidRDefault="00493245" w:rsidP="00F44C86">
      <w:pPr>
        <w:jc w:val="center"/>
        <w:rPr>
          <w:sz w:val="28"/>
          <w:szCs w:val="28"/>
        </w:rPr>
      </w:pPr>
    </w:p>
    <w:tbl>
      <w:tblPr>
        <w:tblStyle w:val="TableGrid"/>
        <w:tblpPr w:leftFromText="180" w:rightFromText="180" w:vertAnchor="text" w:horzAnchor="margin" w:tblpX="40" w:tblpY="89"/>
        <w:tblW w:w="9180" w:type="dxa"/>
        <w:tblLook w:val="0000" w:firstRow="0" w:lastRow="0" w:firstColumn="0" w:lastColumn="0" w:noHBand="0" w:noVBand="0"/>
      </w:tblPr>
      <w:tblGrid>
        <w:gridCol w:w="426"/>
        <w:gridCol w:w="3226"/>
        <w:gridCol w:w="5528"/>
      </w:tblGrid>
      <w:tr w:rsidR="00C03102" w:rsidRPr="00A660A9" w14:paraId="18F4F39E" w14:textId="77777777" w:rsidTr="0095429C">
        <w:tc>
          <w:tcPr>
            <w:tcW w:w="9180" w:type="dxa"/>
            <w:gridSpan w:val="3"/>
          </w:tcPr>
          <w:p w14:paraId="6FE40085" w14:textId="77777777" w:rsidR="00C03102" w:rsidRPr="00A660A9" w:rsidRDefault="00C03102" w:rsidP="001D7757">
            <w:pPr>
              <w:pStyle w:val="naisnod"/>
              <w:rPr>
                <w:sz w:val="28"/>
                <w:szCs w:val="28"/>
              </w:rPr>
            </w:pPr>
            <w:r w:rsidRPr="00A660A9">
              <w:rPr>
                <w:sz w:val="28"/>
                <w:szCs w:val="28"/>
              </w:rPr>
              <w:t>II</w:t>
            </w:r>
            <w:r w:rsidR="00AE3CB8" w:rsidRPr="00A660A9">
              <w:rPr>
                <w:sz w:val="28"/>
                <w:szCs w:val="28"/>
              </w:rPr>
              <w:t>.</w:t>
            </w:r>
            <w:r w:rsidRPr="00A660A9">
              <w:rPr>
                <w:sz w:val="28"/>
                <w:szCs w:val="28"/>
              </w:rPr>
              <w:t xml:space="preserve"> Tiesību akta projekta ietekme uz sabiedrību</w:t>
            </w:r>
            <w:r w:rsidR="00AE3CB8" w:rsidRPr="00A660A9">
              <w:rPr>
                <w:sz w:val="28"/>
                <w:szCs w:val="28"/>
              </w:rPr>
              <w:t>, tautsaimniecības attīstību un administratīvo</w:t>
            </w:r>
            <w:r w:rsidR="00DA1D32" w:rsidRPr="00A660A9">
              <w:rPr>
                <w:sz w:val="28"/>
                <w:szCs w:val="28"/>
              </w:rPr>
              <w:t xml:space="preserve"> slogu</w:t>
            </w:r>
          </w:p>
        </w:tc>
      </w:tr>
      <w:tr w:rsidR="00C03102" w:rsidRPr="00A660A9" w14:paraId="5D681193" w14:textId="77777777" w:rsidTr="0095429C">
        <w:trPr>
          <w:trHeight w:val="467"/>
        </w:trPr>
        <w:tc>
          <w:tcPr>
            <w:tcW w:w="426" w:type="dxa"/>
          </w:tcPr>
          <w:p w14:paraId="0832AD46" w14:textId="77777777" w:rsidR="00C03102" w:rsidRPr="00A660A9" w:rsidRDefault="00C03102" w:rsidP="001D7757">
            <w:pPr>
              <w:pStyle w:val="naiskr"/>
              <w:spacing w:after="0"/>
              <w:ind w:left="181" w:hanging="181"/>
              <w:jc w:val="center"/>
              <w:rPr>
                <w:sz w:val="28"/>
                <w:szCs w:val="28"/>
              </w:rPr>
            </w:pPr>
            <w:r w:rsidRPr="00A660A9">
              <w:rPr>
                <w:sz w:val="28"/>
                <w:szCs w:val="28"/>
              </w:rPr>
              <w:t>1.</w:t>
            </w:r>
          </w:p>
        </w:tc>
        <w:tc>
          <w:tcPr>
            <w:tcW w:w="3226" w:type="dxa"/>
          </w:tcPr>
          <w:p w14:paraId="1B2E04BD" w14:textId="77777777" w:rsidR="00C03102" w:rsidRPr="00A660A9" w:rsidRDefault="002558EB" w:rsidP="002558EB">
            <w:pPr>
              <w:pStyle w:val="naiskr"/>
              <w:spacing w:after="0"/>
              <w:ind w:left="170"/>
              <w:jc w:val="both"/>
              <w:rPr>
                <w:sz w:val="28"/>
                <w:szCs w:val="28"/>
              </w:rPr>
            </w:pPr>
            <w:r w:rsidRPr="00A660A9">
              <w:rPr>
                <w:sz w:val="28"/>
                <w:szCs w:val="28"/>
              </w:rPr>
              <w:t>Sabiedrības mērķgrupas, kuras tiesiskais regulējums ietekmē vai varētu ietekmēt</w:t>
            </w:r>
          </w:p>
        </w:tc>
        <w:tc>
          <w:tcPr>
            <w:tcW w:w="5528" w:type="dxa"/>
            <w:shd w:val="clear" w:color="auto" w:fill="auto"/>
          </w:tcPr>
          <w:p w14:paraId="4F7883E0" w14:textId="77323B72" w:rsidR="00C03102" w:rsidRPr="00A660A9" w:rsidRDefault="00972EBA" w:rsidP="007756AB">
            <w:pPr>
              <w:pStyle w:val="naiskr"/>
              <w:ind w:firstLine="401"/>
              <w:jc w:val="both"/>
              <w:rPr>
                <w:iCs/>
                <w:sz w:val="28"/>
                <w:szCs w:val="28"/>
              </w:rPr>
            </w:pPr>
            <w:r w:rsidRPr="00A660A9">
              <w:rPr>
                <w:iCs/>
                <w:sz w:val="28"/>
                <w:szCs w:val="28"/>
              </w:rPr>
              <w:t xml:space="preserve">Projektā noteiktais attieksies uz </w:t>
            </w:r>
            <w:r w:rsidR="00B11359" w:rsidRPr="00A660A9">
              <w:rPr>
                <w:iCs/>
                <w:sz w:val="28"/>
                <w:szCs w:val="28"/>
              </w:rPr>
              <w:t xml:space="preserve">centra un </w:t>
            </w:r>
            <w:r w:rsidR="0035331D" w:rsidRPr="00A660A9">
              <w:rPr>
                <w:sz w:val="28"/>
                <w:szCs w:val="28"/>
              </w:rPr>
              <w:t xml:space="preserve">Latvijas Nacionālā kultūras centra </w:t>
            </w:r>
            <w:r w:rsidR="00B11359" w:rsidRPr="00A660A9">
              <w:rPr>
                <w:iCs/>
                <w:sz w:val="28"/>
                <w:szCs w:val="28"/>
              </w:rPr>
              <w:t xml:space="preserve">nodarbinātajiem, kas iesaistīti profesionālās kvalifikācijas eksāmenu nodrošināšanā, </w:t>
            </w:r>
            <w:r w:rsidRPr="00A660A9">
              <w:rPr>
                <w:iCs/>
                <w:sz w:val="28"/>
                <w:szCs w:val="28"/>
              </w:rPr>
              <w:t>profesionālās izglītības iestāžu</w:t>
            </w:r>
            <w:r w:rsidRPr="00A660A9">
              <w:rPr>
                <w:sz w:val="28"/>
                <w:szCs w:val="28"/>
              </w:rPr>
              <w:t xml:space="preserve"> </w:t>
            </w:r>
            <w:r w:rsidRPr="00A660A9">
              <w:rPr>
                <w:iCs/>
                <w:sz w:val="28"/>
                <w:szCs w:val="28"/>
              </w:rPr>
              <w:t>vadītājiem, pedagogiem un izglītojamajiem</w:t>
            </w:r>
            <w:r w:rsidR="0082284F" w:rsidRPr="00A660A9">
              <w:rPr>
                <w:iCs/>
                <w:sz w:val="28"/>
                <w:szCs w:val="28"/>
              </w:rPr>
              <w:t xml:space="preserve">, eksāmena dokumentācijas izstrādē un </w:t>
            </w:r>
            <w:r w:rsidR="0082284F" w:rsidRPr="00A660A9">
              <w:rPr>
                <w:sz w:val="28"/>
                <w:szCs w:val="28"/>
              </w:rPr>
              <w:t xml:space="preserve">eksaminācijas komisiju sastāvā iesaistītajiem nozaru un </w:t>
            </w:r>
            <w:r w:rsidR="0082284F" w:rsidRPr="00A660A9">
              <w:rPr>
                <w:iCs/>
                <w:sz w:val="28"/>
                <w:szCs w:val="28"/>
              </w:rPr>
              <w:t>sociālo partneru pārstāvjiem</w:t>
            </w:r>
            <w:r w:rsidR="00026C12" w:rsidRPr="00A660A9">
              <w:rPr>
                <w:iCs/>
                <w:sz w:val="28"/>
                <w:szCs w:val="28"/>
              </w:rPr>
              <w:t>, kā arī</w:t>
            </w:r>
            <w:r w:rsidR="0035331D" w:rsidRPr="00A660A9">
              <w:rPr>
                <w:iCs/>
                <w:sz w:val="28"/>
                <w:szCs w:val="28"/>
              </w:rPr>
              <w:t xml:space="preserve"> Nozaru ekspertu</w:t>
            </w:r>
            <w:r w:rsidR="002D6A5C" w:rsidRPr="00A660A9">
              <w:rPr>
                <w:iCs/>
                <w:sz w:val="28"/>
                <w:szCs w:val="28"/>
              </w:rPr>
              <w:t xml:space="preserve"> padomju ekspertiem.</w:t>
            </w:r>
          </w:p>
        </w:tc>
      </w:tr>
      <w:tr w:rsidR="00C03102" w:rsidRPr="00A660A9" w14:paraId="4BDAB972" w14:textId="77777777" w:rsidTr="0095429C">
        <w:trPr>
          <w:trHeight w:val="523"/>
        </w:trPr>
        <w:tc>
          <w:tcPr>
            <w:tcW w:w="426" w:type="dxa"/>
          </w:tcPr>
          <w:p w14:paraId="7C770F23" w14:textId="77777777" w:rsidR="00C03102" w:rsidRPr="00A660A9" w:rsidRDefault="00C03102" w:rsidP="001D7757">
            <w:pPr>
              <w:pStyle w:val="naiskr"/>
              <w:jc w:val="center"/>
              <w:rPr>
                <w:sz w:val="28"/>
                <w:szCs w:val="28"/>
              </w:rPr>
            </w:pPr>
            <w:r w:rsidRPr="00A660A9">
              <w:rPr>
                <w:sz w:val="28"/>
                <w:szCs w:val="28"/>
              </w:rPr>
              <w:t>2.</w:t>
            </w:r>
          </w:p>
        </w:tc>
        <w:tc>
          <w:tcPr>
            <w:tcW w:w="3226" w:type="dxa"/>
          </w:tcPr>
          <w:p w14:paraId="7E8CB0A4" w14:textId="77777777" w:rsidR="00C03102" w:rsidRPr="00A660A9" w:rsidRDefault="002558EB" w:rsidP="002558EB">
            <w:pPr>
              <w:pStyle w:val="naiskr"/>
              <w:ind w:left="170"/>
              <w:jc w:val="both"/>
              <w:rPr>
                <w:sz w:val="28"/>
                <w:szCs w:val="28"/>
              </w:rPr>
            </w:pPr>
            <w:r w:rsidRPr="00A660A9">
              <w:rPr>
                <w:sz w:val="28"/>
                <w:szCs w:val="28"/>
              </w:rPr>
              <w:t>Tiesiskā regulējuma ietekme uz tautsaimniecību un administratīvo slogu</w:t>
            </w:r>
          </w:p>
        </w:tc>
        <w:tc>
          <w:tcPr>
            <w:tcW w:w="5528" w:type="dxa"/>
          </w:tcPr>
          <w:p w14:paraId="071BAD79" w14:textId="351417A7" w:rsidR="007121FC" w:rsidRPr="00A660A9" w:rsidRDefault="00230D75" w:rsidP="007756AB">
            <w:pPr>
              <w:pStyle w:val="naiskr"/>
              <w:ind w:firstLine="311"/>
              <w:jc w:val="both"/>
              <w:rPr>
                <w:iCs/>
                <w:sz w:val="28"/>
                <w:szCs w:val="28"/>
              </w:rPr>
            </w:pPr>
            <w:r w:rsidRPr="00A660A9">
              <w:rPr>
                <w:iCs/>
                <w:sz w:val="28"/>
                <w:szCs w:val="28"/>
              </w:rPr>
              <w:t xml:space="preserve">Projekta tiesiskais regulējums </w:t>
            </w:r>
            <w:r w:rsidR="00FF27BB" w:rsidRPr="00A660A9">
              <w:rPr>
                <w:sz w:val="28"/>
                <w:szCs w:val="28"/>
              </w:rPr>
              <w:t>kopumā</w:t>
            </w:r>
            <w:r w:rsidRPr="00A660A9">
              <w:rPr>
                <w:sz w:val="28"/>
                <w:szCs w:val="28"/>
              </w:rPr>
              <w:t xml:space="preserve"> </w:t>
            </w:r>
            <w:r w:rsidRPr="00A660A9">
              <w:rPr>
                <w:iCs/>
                <w:sz w:val="28"/>
                <w:szCs w:val="28"/>
              </w:rPr>
              <w:t>būtiski</w:t>
            </w:r>
            <w:r w:rsidRPr="00A660A9">
              <w:rPr>
                <w:sz w:val="28"/>
                <w:szCs w:val="28"/>
              </w:rPr>
              <w:t xml:space="preserve"> nemaina </w:t>
            </w:r>
            <w:r w:rsidR="00FF27BB" w:rsidRPr="00A660A9">
              <w:rPr>
                <w:sz w:val="28"/>
                <w:szCs w:val="28"/>
              </w:rPr>
              <w:t>administratīvo slogu, jo tāpat kā</w:t>
            </w:r>
            <w:r w:rsidR="00FF27BB" w:rsidRPr="00A660A9">
              <w:rPr>
                <w:iCs/>
                <w:sz w:val="28"/>
                <w:szCs w:val="28"/>
              </w:rPr>
              <w:t xml:space="preserve"> līdz šim eksāmena dokumentācijas izstrādē un </w:t>
            </w:r>
            <w:r w:rsidR="00FF27BB" w:rsidRPr="00A660A9">
              <w:rPr>
                <w:sz w:val="28"/>
                <w:szCs w:val="28"/>
              </w:rPr>
              <w:t>eksaminācijas komisiju sastāvā piedalī</w:t>
            </w:r>
            <w:r w:rsidR="004253EF" w:rsidRPr="00A660A9">
              <w:rPr>
                <w:sz w:val="28"/>
                <w:szCs w:val="28"/>
              </w:rPr>
              <w:t>sies</w:t>
            </w:r>
            <w:r w:rsidR="00FF27BB" w:rsidRPr="00A660A9">
              <w:rPr>
                <w:sz w:val="28"/>
                <w:szCs w:val="28"/>
              </w:rPr>
              <w:t xml:space="preserve"> nozaru un </w:t>
            </w:r>
            <w:r w:rsidR="00FF27BB" w:rsidRPr="00A660A9">
              <w:rPr>
                <w:iCs/>
                <w:sz w:val="28"/>
                <w:szCs w:val="28"/>
              </w:rPr>
              <w:t>sociālo partneru pārstāvji. P</w:t>
            </w:r>
            <w:r w:rsidR="00935374" w:rsidRPr="00A660A9">
              <w:rPr>
                <w:iCs/>
                <w:sz w:val="28"/>
                <w:szCs w:val="28"/>
              </w:rPr>
              <w:t>rojekts paredz, ka eksāmena dokumentāciju izstrādā sadarbībā ar Nozaru ekspertu padomes deleģētiem ekspertiem un eksaminācijas komisijas sastāvā ir vismaz viens Nozares ekspertu padomes deleģēts eksperts</w:t>
            </w:r>
            <w:r w:rsidR="00FF27BB" w:rsidRPr="00A660A9">
              <w:rPr>
                <w:iCs/>
                <w:sz w:val="28"/>
                <w:szCs w:val="28"/>
              </w:rPr>
              <w:t>.</w:t>
            </w:r>
            <w:r w:rsidR="004253EF" w:rsidRPr="00A660A9">
              <w:rPr>
                <w:sz w:val="28"/>
                <w:szCs w:val="28"/>
              </w:rPr>
              <w:t xml:space="preserve"> </w:t>
            </w:r>
            <w:r w:rsidR="004253EF" w:rsidRPr="00A660A9">
              <w:rPr>
                <w:iCs/>
                <w:sz w:val="28"/>
                <w:szCs w:val="28"/>
              </w:rPr>
              <w:t>Projekta regulējums kopumā nepalielina eksāmena dokumentācijas izstrādē un eksaminācijas komisiju sastāvā iesaistīto personu skaitu.</w:t>
            </w:r>
            <w:r w:rsidR="008E6E5B" w:rsidRPr="00A660A9">
              <w:rPr>
                <w:iCs/>
                <w:sz w:val="28"/>
                <w:szCs w:val="28"/>
              </w:rPr>
              <w:t xml:space="preserve"> </w:t>
            </w:r>
            <w:r w:rsidR="001E3946" w:rsidRPr="00A660A9">
              <w:rPr>
                <w:iCs/>
                <w:sz w:val="28"/>
                <w:szCs w:val="28"/>
              </w:rPr>
              <w:t xml:space="preserve">Mazāks izstrādājamo dokumentu skaits atvieglos administratīvo slogu centra, </w:t>
            </w:r>
            <w:r w:rsidR="001E3946" w:rsidRPr="00A660A9">
              <w:rPr>
                <w:sz w:val="28"/>
                <w:szCs w:val="28"/>
              </w:rPr>
              <w:t>Latvijas Nacionālā kultūras centra un</w:t>
            </w:r>
            <w:r w:rsidR="001E3946" w:rsidRPr="00A660A9">
              <w:rPr>
                <w:iCs/>
                <w:sz w:val="28"/>
                <w:szCs w:val="28"/>
              </w:rPr>
              <w:t xml:space="preserve"> profesionālās izglītības iestāžu nodarbinātajiem. Izglītojamajiem</w:t>
            </w:r>
            <w:r w:rsidR="004E2EDC" w:rsidRPr="00A660A9">
              <w:rPr>
                <w:iCs/>
                <w:sz w:val="28"/>
                <w:szCs w:val="28"/>
              </w:rPr>
              <w:t>, kuri kārto eksāmenu</w:t>
            </w:r>
            <w:r w:rsidR="001E3946" w:rsidRPr="00A660A9">
              <w:rPr>
                <w:sz w:val="28"/>
                <w:szCs w:val="28"/>
              </w:rPr>
              <w:t xml:space="preserve"> </w:t>
            </w:r>
            <w:r w:rsidR="001E3946" w:rsidRPr="00A660A9">
              <w:rPr>
                <w:iCs/>
                <w:sz w:val="28"/>
                <w:szCs w:val="28"/>
              </w:rPr>
              <w:t>administratīvais slogs nemainās</w:t>
            </w:r>
            <w:r w:rsidR="004565F5" w:rsidRPr="00A660A9">
              <w:rPr>
                <w:iCs/>
                <w:sz w:val="28"/>
                <w:szCs w:val="28"/>
              </w:rPr>
              <w:t xml:space="preserve">, jo </w:t>
            </w:r>
            <w:r w:rsidR="00EF497B" w:rsidRPr="00A660A9">
              <w:rPr>
                <w:iCs/>
                <w:sz w:val="28"/>
                <w:szCs w:val="28"/>
              </w:rPr>
              <w:t>P</w:t>
            </w:r>
            <w:r w:rsidR="004565F5" w:rsidRPr="00A660A9">
              <w:rPr>
                <w:iCs/>
                <w:sz w:val="28"/>
                <w:szCs w:val="28"/>
              </w:rPr>
              <w:t>rojekts neparedz palielināt eksāmenu skaitu</w:t>
            </w:r>
            <w:r w:rsidR="006F46FB" w:rsidRPr="00A660A9">
              <w:rPr>
                <w:iCs/>
                <w:sz w:val="28"/>
                <w:szCs w:val="28"/>
              </w:rPr>
              <w:t xml:space="preserve"> vai ilgumu</w:t>
            </w:r>
            <w:r w:rsidR="001E3946" w:rsidRPr="00A660A9">
              <w:rPr>
                <w:iCs/>
                <w:sz w:val="28"/>
                <w:szCs w:val="28"/>
              </w:rPr>
              <w:t>.</w:t>
            </w:r>
          </w:p>
        </w:tc>
      </w:tr>
      <w:tr w:rsidR="00C03102" w:rsidRPr="00A660A9" w14:paraId="70C401AE" w14:textId="77777777" w:rsidTr="0095429C">
        <w:trPr>
          <w:trHeight w:val="517"/>
        </w:trPr>
        <w:tc>
          <w:tcPr>
            <w:tcW w:w="426" w:type="dxa"/>
          </w:tcPr>
          <w:p w14:paraId="210936FD" w14:textId="77777777" w:rsidR="00C03102" w:rsidRPr="00A660A9" w:rsidRDefault="00C03102" w:rsidP="001D7757">
            <w:pPr>
              <w:pStyle w:val="naiskr"/>
              <w:jc w:val="center"/>
              <w:rPr>
                <w:sz w:val="28"/>
                <w:szCs w:val="28"/>
              </w:rPr>
            </w:pPr>
            <w:r w:rsidRPr="00A660A9">
              <w:rPr>
                <w:sz w:val="28"/>
                <w:szCs w:val="28"/>
              </w:rPr>
              <w:t>3.</w:t>
            </w:r>
          </w:p>
        </w:tc>
        <w:tc>
          <w:tcPr>
            <w:tcW w:w="3226" w:type="dxa"/>
          </w:tcPr>
          <w:p w14:paraId="798F42F3" w14:textId="77777777" w:rsidR="00C03102" w:rsidRPr="00A660A9" w:rsidRDefault="00DA1D32" w:rsidP="001D7757">
            <w:pPr>
              <w:pStyle w:val="naiskr"/>
              <w:ind w:left="170"/>
              <w:rPr>
                <w:sz w:val="28"/>
                <w:szCs w:val="28"/>
              </w:rPr>
            </w:pPr>
            <w:r w:rsidRPr="00A660A9">
              <w:rPr>
                <w:sz w:val="28"/>
                <w:szCs w:val="28"/>
              </w:rPr>
              <w:t>Administratīvo izmaksu monetārs novērtējums</w:t>
            </w:r>
          </w:p>
        </w:tc>
        <w:tc>
          <w:tcPr>
            <w:tcW w:w="5528" w:type="dxa"/>
          </w:tcPr>
          <w:p w14:paraId="419EBF01" w14:textId="50DD790C" w:rsidR="008E6E5B" w:rsidRPr="00A660A9" w:rsidRDefault="001E3946" w:rsidP="007756AB">
            <w:pPr>
              <w:pStyle w:val="naiskr"/>
              <w:ind w:firstLine="401"/>
              <w:jc w:val="both"/>
              <w:rPr>
                <w:sz w:val="28"/>
                <w:szCs w:val="28"/>
              </w:rPr>
            </w:pPr>
            <w:r w:rsidRPr="00A660A9">
              <w:rPr>
                <w:iCs/>
                <w:sz w:val="28"/>
                <w:szCs w:val="28"/>
              </w:rPr>
              <w:t>Projektam nebūs ietekme uz administratīvajām izmaksām</w:t>
            </w:r>
            <w:r w:rsidR="009E1D56" w:rsidRPr="00A660A9">
              <w:rPr>
                <w:iCs/>
                <w:sz w:val="28"/>
                <w:szCs w:val="28"/>
              </w:rPr>
              <w:t xml:space="preserve"> (naudas izteiksmē)</w:t>
            </w:r>
            <w:r w:rsidRPr="00A660A9">
              <w:rPr>
                <w:iCs/>
                <w:sz w:val="28"/>
                <w:szCs w:val="28"/>
              </w:rPr>
              <w:t xml:space="preserve">, jo tāpat kā līdz šim ar </w:t>
            </w:r>
            <w:r w:rsidRPr="00A660A9">
              <w:rPr>
                <w:sz w:val="28"/>
                <w:szCs w:val="28"/>
              </w:rPr>
              <w:t xml:space="preserve">nozaru un </w:t>
            </w:r>
            <w:r w:rsidRPr="00A660A9">
              <w:rPr>
                <w:iCs/>
                <w:sz w:val="28"/>
                <w:szCs w:val="28"/>
              </w:rPr>
              <w:lastRenderedPageBreak/>
              <w:t xml:space="preserve">sociālo partneru pārstāvjiem, arī ar Nozares ekspertu padomes deleģētiem ekspertiem par dalību eksāmena dokumentācijas izstrādē un </w:t>
            </w:r>
            <w:r w:rsidRPr="00A660A9">
              <w:rPr>
                <w:sz w:val="28"/>
                <w:szCs w:val="28"/>
              </w:rPr>
              <w:t>eksaminācijas komisiju sastāvā</w:t>
            </w:r>
            <w:r w:rsidRPr="00A660A9">
              <w:rPr>
                <w:iCs/>
                <w:sz w:val="28"/>
                <w:szCs w:val="28"/>
              </w:rPr>
              <w:t xml:space="preserve"> tiks slēgti līgumi </w:t>
            </w:r>
            <w:r w:rsidRPr="00A660A9">
              <w:rPr>
                <w:sz w:val="28"/>
                <w:szCs w:val="28"/>
                <w:lang w:eastAsia="en-GB"/>
              </w:rPr>
              <w:t>esošo budžeta līdzekļu ietvaros</w:t>
            </w:r>
            <w:r w:rsidRPr="00A660A9">
              <w:rPr>
                <w:iCs/>
                <w:sz w:val="28"/>
                <w:szCs w:val="28"/>
              </w:rPr>
              <w:t>.</w:t>
            </w:r>
            <w:bookmarkStart w:id="0" w:name="p23"/>
            <w:bookmarkStart w:id="1" w:name="p-468668"/>
            <w:bookmarkStart w:id="2" w:name="p24"/>
            <w:bookmarkStart w:id="3" w:name="p-468669"/>
            <w:bookmarkEnd w:id="0"/>
            <w:bookmarkEnd w:id="1"/>
            <w:bookmarkEnd w:id="2"/>
            <w:bookmarkEnd w:id="3"/>
          </w:p>
          <w:p w14:paraId="001640E3" w14:textId="40E885A0" w:rsidR="007121FC" w:rsidRPr="00A660A9" w:rsidRDefault="005F22F3" w:rsidP="007756AB">
            <w:pPr>
              <w:pStyle w:val="naiskr"/>
              <w:ind w:firstLine="401"/>
              <w:jc w:val="both"/>
              <w:rPr>
                <w:sz w:val="28"/>
                <w:szCs w:val="28"/>
              </w:rPr>
            </w:pPr>
            <w:r w:rsidRPr="00A660A9">
              <w:rPr>
                <w:sz w:val="28"/>
                <w:szCs w:val="28"/>
              </w:rPr>
              <w:t>Projekts neparedz palielināt eksāmenu skaitu,</w:t>
            </w:r>
            <w:r w:rsidR="00963C34" w:rsidRPr="00A660A9">
              <w:rPr>
                <w:sz w:val="28"/>
                <w:szCs w:val="28"/>
              </w:rPr>
              <w:t xml:space="preserve"> </w:t>
            </w:r>
            <w:r w:rsidRPr="00A660A9">
              <w:rPr>
                <w:sz w:val="28"/>
                <w:szCs w:val="28"/>
              </w:rPr>
              <w:t>l</w:t>
            </w:r>
            <w:r w:rsidR="005B0F6C" w:rsidRPr="00A660A9">
              <w:rPr>
                <w:sz w:val="28"/>
                <w:szCs w:val="28"/>
              </w:rPr>
              <w:t xml:space="preserve">īdz ar to </w:t>
            </w:r>
            <w:r w:rsidR="00EF497B" w:rsidRPr="00A660A9">
              <w:rPr>
                <w:sz w:val="28"/>
                <w:szCs w:val="28"/>
              </w:rPr>
              <w:t>P</w:t>
            </w:r>
            <w:r w:rsidR="005B0F6C" w:rsidRPr="00A660A9">
              <w:rPr>
                <w:sz w:val="28"/>
                <w:szCs w:val="28"/>
              </w:rPr>
              <w:t xml:space="preserve">rojektam nav tādas ietekmes uz administratīvajām izmaksām, kas pārsniegtu 200 </w:t>
            </w:r>
            <w:proofErr w:type="spellStart"/>
            <w:r w:rsidR="005B0F6C" w:rsidRPr="00A660A9">
              <w:rPr>
                <w:i/>
                <w:sz w:val="28"/>
                <w:szCs w:val="28"/>
              </w:rPr>
              <w:t>euro</w:t>
            </w:r>
            <w:proofErr w:type="spellEnd"/>
            <w:r w:rsidR="005B0F6C" w:rsidRPr="00A660A9">
              <w:rPr>
                <w:i/>
                <w:sz w:val="28"/>
                <w:szCs w:val="28"/>
              </w:rPr>
              <w:t xml:space="preserve"> </w:t>
            </w:r>
            <w:r w:rsidR="005B0F6C" w:rsidRPr="00A660A9">
              <w:rPr>
                <w:sz w:val="28"/>
                <w:szCs w:val="28"/>
              </w:rPr>
              <w:t xml:space="preserve">(fiziskām personām) un 2000 </w:t>
            </w:r>
            <w:proofErr w:type="spellStart"/>
            <w:r w:rsidR="005B0F6C" w:rsidRPr="00A660A9">
              <w:rPr>
                <w:i/>
                <w:sz w:val="28"/>
                <w:szCs w:val="28"/>
              </w:rPr>
              <w:t>euro</w:t>
            </w:r>
            <w:proofErr w:type="spellEnd"/>
            <w:r w:rsidR="005B0F6C" w:rsidRPr="00A660A9">
              <w:rPr>
                <w:sz w:val="28"/>
                <w:szCs w:val="28"/>
              </w:rPr>
              <w:t xml:space="preserve"> (juridiskām personām).</w:t>
            </w:r>
          </w:p>
        </w:tc>
      </w:tr>
      <w:tr w:rsidR="002558EB" w:rsidRPr="00A660A9" w14:paraId="37FD2B4E" w14:textId="77777777" w:rsidTr="0095429C">
        <w:trPr>
          <w:trHeight w:val="517"/>
        </w:trPr>
        <w:tc>
          <w:tcPr>
            <w:tcW w:w="426" w:type="dxa"/>
          </w:tcPr>
          <w:p w14:paraId="2A81596A" w14:textId="77777777" w:rsidR="002558EB" w:rsidRPr="00A660A9" w:rsidRDefault="002558EB" w:rsidP="001D7757">
            <w:pPr>
              <w:pStyle w:val="naiskr"/>
              <w:jc w:val="center"/>
              <w:rPr>
                <w:sz w:val="28"/>
                <w:szCs w:val="28"/>
              </w:rPr>
            </w:pPr>
            <w:r w:rsidRPr="00A660A9">
              <w:rPr>
                <w:sz w:val="28"/>
                <w:szCs w:val="28"/>
              </w:rPr>
              <w:lastRenderedPageBreak/>
              <w:t>4.</w:t>
            </w:r>
          </w:p>
        </w:tc>
        <w:tc>
          <w:tcPr>
            <w:tcW w:w="3226" w:type="dxa"/>
          </w:tcPr>
          <w:p w14:paraId="3F4FF9AB" w14:textId="77777777" w:rsidR="002558EB" w:rsidRPr="00A660A9" w:rsidRDefault="002558EB" w:rsidP="002558EB">
            <w:pPr>
              <w:jc w:val="both"/>
              <w:rPr>
                <w:sz w:val="28"/>
                <w:szCs w:val="28"/>
              </w:rPr>
            </w:pPr>
            <w:r w:rsidRPr="00A660A9">
              <w:rPr>
                <w:sz w:val="28"/>
                <w:szCs w:val="28"/>
              </w:rPr>
              <w:t xml:space="preserve">Atbilstības izmaksu monetārs novērtējums </w:t>
            </w:r>
          </w:p>
        </w:tc>
        <w:tc>
          <w:tcPr>
            <w:tcW w:w="5528" w:type="dxa"/>
          </w:tcPr>
          <w:p w14:paraId="7A29FDDE" w14:textId="77777777" w:rsidR="002558EB" w:rsidRPr="00A660A9" w:rsidRDefault="002558EB" w:rsidP="007756AB">
            <w:pPr>
              <w:ind w:firstLine="221"/>
              <w:jc w:val="both"/>
              <w:rPr>
                <w:sz w:val="28"/>
                <w:szCs w:val="28"/>
              </w:rPr>
            </w:pPr>
            <w:r w:rsidRPr="00A660A9">
              <w:rPr>
                <w:sz w:val="28"/>
                <w:szCs w:val="28"/>
              </w:rPr>
              <w:t>Projekts neparedz atbilstības prasību nodrošināšanu.</w:t>
            </w:r>
          </w:p>
        </w:tc>
      </w:tr>
      <w:tr w:rsidR="00C03102" w:rsidRPr="00A660A9" w14:paraId="6DA92954" w14:textId="77777777" w:rsidTr="0095429C">
        <w:tc>
          <w:tcPr>
            <w:tcW w:w="426" w:type="dxa"/>
          </w:tcPr>
          <w:p w14:paraId="06731A58" w14:textId="77777777" w:rsidR="00C03102" w:rsidRPr="00A660A9" w:rsidRDefault="002558EB" w:rsidP="001D7757">
            <w:pPr>
              <w:pStyle w:val="naiskr"/>
              <w:jc w:val="center"/>
              <w:rPr>
                <w:sz w:val="28"/>
                <w:szCs w:val="28"/>
              </w:rPr>
            </w:pPr>
            <w:r w:rsidRPr="00A660A9">
              <w:rPr>
                <w:sz w:val="28"/>
                <w:szCs w:val="28"/>
              </w:rPr>
              <w:t>5</w:t>
            </w:r>
            <w:r w:rsidR="00C03102" w:rsidRPr="00A660A9">
              <w:rPr>
                <w:sz w:val="28"/>
                <w:szCs w:val="28"/>
              </w:rPr>
              <w:t>.</w:t>
            </w:r>
          </w:p>
        </w:tc>
        <w:tc>
          <w:tcPr>
            <w:tcW w:w="3226" w:type="dxa"/>
          </w:tcPr>
          <w:p w14:paraId="08C64EA1" w14:textId="77777777" w:rsidR="00C03102" w:rsidRPr="00A660A9" w:rsidRDefault="00C03102" w:rsidP="001D7757">
            <w:pPr>
              <w:pStyle w:val="naiskr"/>
              <w:ind w:left="170"/>
              <w:rPr>
                <w:sz w:val="28"/>
                <w:szCs w:val="28"/>
              </w:rPr>
            </w:pPr>
            <w:r w:rsidRPr="00A660A9">
              <w:rPr>
                <w:sz w:val="28"/>
                <w:szCs w:val="28"/>
              </w:rPr>
              <w:t>Cita informācija.</w:t>
            </w:r>
          </w:p>
        </w:tc>
        <w:tc>
          <w:tcPr>
            <w:tcW w:w="5528" w:type="dxa"/>
          </w:tcPr>
          <w:p w14:paraId="3AC333DB" w14:textId="77777777" w:rsidR="00C03102" w:rsidRPr="00A660A9" w:rsidRDefault="00C03102" w:rsidP="001D7757">
            <w:pPr>
              <w:pStyle w:val="naiskr"/>
              <w:jc w:val="both"/>
              <w:rPr>
                <w:i/>
                <w:sz w:val="28"/>
                <w:szCs w:val="28"/>
              </w:rPr>
            </w:pPr>
            <w:r w:rsidRPr="00A660A9">
              <w:rPr>
                <w:iCs/>
                <w:sz w:val="28"/>
                <w:szCs w:val="28"/>
              </w:rPr>
              <w:t>Nav</w:t>
            </w:r>
            <w:r w:rsidR="0086595E" w:rsidRPr="00A660A9">
              <w:rPr>
                <w:iCs/>
                <w:sz w:val="28"/>
                <w:szCs w:val="28"/>
              </w:rPr>
              <w:t>.</w:t>
            </w:r>
          </w:p>
        </w:tc>
      </w:tr>
    </w:tbl>
    <w:p w14:paraId="0DA37461" w14:textId="77777777" w:rsidR="00B40FD5" w:rsidRPr="00A660A9" w:rsidRDefault="00B40FD5" w:rsidP="00E417D5">
      <w:pPr>
        <w:jc w:val="center"/>
        <w:rPr>
          <w:sz w:val="28"/>
          <w:szCs w:val="28"/>
        </w:rPr>
      </w:pPr>
    </w:p>
    <w:tbl>
      <w:tblPr>
        <w:tblW w:w="5084" w:type="pct"/>
        <w:tblInd w:w="-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84"/>
      </w:tblGrid>
      <w:tr w:rsidR="00B40FD5" w:rsidRPr="00A660A9" w14:paraId="6CDDDEED" w14:textId="77777777" w:rsidTr="005C3B7C">
        <w:trPr>
          <w:trHeight w:val="360"/>
        </w:trPr>
        <w:tc>
          <w:tcPr>
            <w:tcW w:w="5000" w:type="pct"/>
            <w:tcBorders>
              <w:top w:val="single" w:sz="4" w:space="0" w:color="auto"/>
              <w:left w:val="single" w:sz="4" w:space="0" w:color="auto"/>
              <w:bottom w:val="single" w:sz="4" w:space="0" w:color="auto"/>
              <w:right w:val="single" w:sz="4" w:space="0" w:color="auto"/>
            </w:tcBorders>
            <w:vAlign w:val="center"/>
            <w:hideMark/>
          </w:tcPr>
          <w:p w14:paraId="52B46043" w14:textId="77777777" w:rsidR="00B40FD5" w:rsidRPr="00A660A9" w:rsidRDefault="00B40FD5" w:rsidP="00B40FD5">
            <w:pPr>
              <w:ind w:firstLine="300"/>
              <w:jc w:val="center"/>
              <w:rPr>
                <w:b/>
                <w:bCs/>
                <w:sz w:val="28"/>
                <w:szCs w:val="28"/>
              </w:rPr>
            </w:pPr>
            <w:r w:rsidRPr="00A660A9">
              <w:rPr>
                <w:b/>
                <w:bCs/>
                <w:sz w:val="28"/>
                <w:szCs w:val="28"/>
              </w:rPr>
              <w:t>III. Tiesību akta projekta ietekme uz valsts budžetu un pašvaldību budžetiem</w:t>
            </w:r>
          </w:p>
        </w:tc>
      </w:tr>
      <w:tr w:rsidR="00B40FD5" w:rsidRPr="00A660A9" w14:paraId="164D3609" w14:textId="77777777" w:rsidTr="005C3B7C">
        <w:trPr>
          <w:trHeight w:val="360"/>
        </w:trPr>
        <w:tc>
          <w:tcPr>
            <w:tcW w:w="5000" w:type="pct"/>
            <w:tcBorders>
              <w:top w:val="single" w:sz="4" w:space="0" w:color="auto"/>
              <w:left w:val="outset" w:sz="6" w:space="0" w:color="414142"/>
              <w:bottom w:val="outset" w:sz="6" w:space="0" w:color="414142"/>
              <w:right w:val="outset" w:sz="6" w:space="0" w:color="414142"/>
            </w:tcBorders>
            <w:vAlign w:val="center"/>
            <w:hideMark/>
          </w:tcPr>
          <w:p w14:paraId="16BE1C37" w14:textId="77777777" w:rsidR="00B40FD5" w:rsidRPr="00A660A9" w:rsidRDefault="00B40FD5" w:rsidP="00B40FD5">
            <w:pPr>
              <w:ind w:firstLine="300"/>
              <w:jc w:val="center"/>
              <w:rPr>
                <w:bCs/>
                <w:sz w:val="28"/>
                <w:szCs w:val="28"/>
              </w:rPr>
            </w:pPr>
            <w:r w:rsidRPr="00A660A9">
              <w:rPr>
                <w:bCs/>
                <w:sz w:val="28"/>
                <w:szCs w:val="28"/>
              </w:rPr>
              <w:t>Projekts šo jomu neskar.</w:t>
            </w:r>
          </w:p>
        </w:tc>
      </w:tr>
      <w:tr w:rsidR="00B40FD5" w:rsidRPr="00A660A9" w14:paraId="54A2BAE0" w14:textId="77777777" w:rsidTr="005C3B7C">
        <w:trPr>
          <w:trHeight w:val="450"/>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2B1EB8C2" w14:textId="77777777" w:rsidR="00B40FD5" w:rsidRPr="00A660A9" w:rsidRDefault="00B40FD5" w:rsidP="00B40FD5">
            <w:pPr>
              <w:ind w:firstLine="300"/>
              <w:jc w:val="center"/>
              <w:rPr>
                <w:b/>
                <w:bCs/>
                <w:sz w:val="28"/>
                <w:szCs w:val="28"/>
              </w:rPr>
            </w:pPr>
            <w:r w:rsidRPr="00A660A9">
              <w:rPr>
                <w:b/>
                <w:bCs/>
                <w:sz w:val="28"/>
                <w:szCs w:val="28"/>
              </w:rPr>
              <w:t>IV. Tiesību akta projekta ietekme uz spēkā esošo tiesību normu sistēmu</w:t>
            </w:r>
          </w:p>
        </w:tc>
      </w:tr>
      <w:tr w:rsidR="00B40FD5" w:rsidRPr="00A660A9" w14:paraId="3B575F40" w14:textId="77777777" w:rsidTr="005C3B7C">
        <w:tc>
          <w:tcPr>
            <w:tcW w:w="5000" w:type="pct"/>
            <w:tcBorders>
              <w:top w:val="outset" w:sz="6" w:space="0" w:color="414142"/>
              <w:left w:val="outset" w:sz="6" w:space="0" w:color="414142"/>
              <w:bottom w:val="outset" w:sz="6" w:space="0" w:color="414142"/>
              <w:right w:val="outset" w:sz="6" w:space="0" w:color="414142"/>
            </w:tcBorders>
            <w:hideMark/>
          </w:tcPr>
          <w:p w14:paraId="01E7F966" w14:textId="77777777" w:rsidR="00B40FD5" w:rsidRPr="00A660A9" w:rsidRDefault="00B40FD5" w:rsidP="00B40FD5">
            <w:pPr>
              <w:jc w:val="center"/>
              <w:rPr>
                <w:sz w:val="28"/>
                <w:szCs w:val="28"/>
              </w:rPr>
            </w:pPr>
            <w:r w:rsidRPr="00A660A9">
              <w:rPr>
                <w:sz w:val="28"/>
                <w:szCs w:val="28"/>
              </w:rPr>
              <w:t>Projekts šo jomu neskar.</w:t>
            </w:r>
          </w:p>
        </w:tc>
      </w:tr>
      <w:tr w:rsidR="00B40FD5" w:rsidRPr="00A660A9" w14:paraId="3DA94256" w14:textId="77777777" w:rsidTr="005C3B7C">
        <w:tc>
          <w:tcPr>
            <w:tcW w:w="5000" w:type="pct"/>
            <w:tcBorders>
              <w:top w:val="outset" w:sz="6" w:space="0" w:color="414142"/>
              <w:left w:val="outset" w:sz="6" w:space="0" w:color="414142"/>
              <w:bottom w:val="outset" w:sz="6" w:space="0" w:color="414142"/>
              <w:right w:val="outset" w:sz="6" w:space="0" w:color="414142"/>
            </w:tcBorders>
            <w:vAlign w:val="center"/>
            <w:hideMark/>
          </w:tcPr>
          <w:p w14:paraId="21EDDFA3" w14:textId="77777777" w:rsidR="00B40FD5" w:rsidRPr="00A660A9" w:rsidRDefault="00B40FD5" w:rsidP="00B40FD5">
            <w:pPr>
              <w:ind w:firstLine="300"/>
              <w:jc w:val="center"/>
              <w:rPr>
                <w:b/>
                <w:bCs/>
                <w:sz w:val="28"/>
                <w:szCs w:val="28"/>
              </w:rPr>
            </w:pPr>
            <w:r w:rsidRPr="00A660A9">
              <w:rPr>
                <w:b/>
                <w:bCs/>
                <w:sz w:val="28"/>
                <w:szCs w:val="28"/>
              </w:rPr>
              <w:t>V. Tiesību akta projekta atbilstība Latvijas Republikas starptautiskajām saistībām</w:t>
            </w:r>
          </w:p>
        </w:tc>
      </w:tr>
      <w:tr w:rsidR="00B40FD5" w:rsidRPr="00A660A9" w14:paraId="63896D20" w14:textId="77777777" w:rsidTr="005C3B7C">
        <w:tc>
          <w:tcPr>
            <w:tcW w:w="5000" w:type="pct"/>
            <w:tcBorders>
              <w:top w:val="outset" w:sz="6" w:space="0" w:color="414142"/>
              <w:left w:val="outset" w:sz="6" w:space="0" w:color="414142"/>
              <w:bottom w:val="outset" w:sz="6" w:space="0" w:color="414142"/>
              <w:right w:val="outset" w:sz="6" w:space="0" w:color="414142"/>
            </w:tcBorders>
            <w:vAlign w:val="center"/>
            <w:hideMark/>
          </w:tcPr>
          <w:p w14:paraId="2162BA15" w14:textId="77777777" w:rsidR="00B40FD5" w:rsidRPr="00A660A9" w:rsidRDefault="00B40FD5" w:rsidP="00B40FD5">
            <w:pPr>
              <w:ind w:firstLine="300"/>
              <w:jc w:val="center"/>
              <w:rPr>
                <w:bCs/>
                <w:sz w:val="28"/>
                <w:szCs w:val="28"/>
              </w:rPr>
            </w:pPr>
            <w:r w:rsidRPr="00A660A9">
              <w:rPr>
                <w:bCs/>
                <w:sz w:val="28"/>
                <w:szCs w:val="28"/>
              </w:rPr>
              <w:t>Projekts šo jomu neskar.</w:t>
            </w:r>
          </w:p>
        </w:tc>
      </w:tr>
    </w:tbl>
    <w:p w14:paraId="2A2C58FE" w14:textId="77777777" w:rsidR="00B40FD5" w:rsidRPr="00A660A9" w:rsidRDefault="00B40FD5" w:rsidP="00B40FD5">
      <w:pPr>
        <w:jc w:val="center"/>
        <w:rPr>
          <w:sz w:val="28"/>
          <w:szCs w:val="28"/>
        </w:rPr>
      </w:pPr>
    </w:p>
    <w:tbl>
      <w:tblPr>
        <w:tblStyle w:val="TableGrid"/>
        <w:tblpPr w:leftFromText="180" w:rightFromText="180" w:vertAnchor="text" w:horzAnchor="margin" w:tblpX="-24" w:tblpY="411"/>
        <w:tblW w:w="9209" w:type="dxa"/>
        <w:tblLook w:val="0000" w:firstRow="0" w:lastRow="0" w:firstColumn="0" w:lastColumn="0" w:noHBand="0" w:noVBand="0"/>
      </w:tblPr>
      <w:tblGrid>
        <w:gridCol w:w="426"/>
        <w:gridCol w:w="3368"/>
        <w:gridCol w:w="5415"/>
      </w:tblGrid>
      <w:tr w:rsidR="006071ED" w:rsidRPr="00A660A9" w14:paraId="07D6E09B" w14:textId="77777777" w:rsidTr="005C3B7C">
        <w:tc>
          <w:tcPr>
            <w:tcW w:w="9209" w:type="dxa"/>
            <w:gridSpan w:val="3"/>
          </w:tcPr>
          <w:p w14:paraId="025EBF20" w14:textId="77777777" w:rsidR="006071ED" w:rsidRPr="00A660A9" w:rsidRDefault="006071ED" w:rsidP="001D7757">
            <w:pPr>
              <w:pStyle w:val="naisnod"/>
              <w:rPr>
                <w:sz w:val="28"/>
                <w:szCs w:val="28"/>
              </w:rPr>
            </w:pPr>
            <w:r w:rsidRPr="00A660A9">
              <w:rPr>
                <w:sz w:val="28"/>
                <w:szCs w:val="28"/>
              </w:rPr>
              <w:t>V</w:t>
            </w:r>
            <w:r w:rsidR="00531591" w:rsidRPr="00A660A9">
              <w:rPr>
                <w:sz w:val="28"/>
                <w:szCs w:val="28"/>
              </w:rPr>
              <w:t>I.</w:t>
            </w:r>
            <w:r w:rsidRPr="00A660A9">
              <w:rPr>
                <w:sz w:val="28"/>
                <w:szCs w:val="28"/>
              </w:rPr>
              <w:t xml:space="preserve"> </w:t>
            </w:r>
            <w:r w:rsidR="00531591" w:rsidRPr="00A660A9">
              <w:rPr>
                <w:sz w:val="28"/>
                <w:szCs w:val="28"/>
              </w:rPr>
              <w:t>Sabiedrības līdzdalība un komunikācijas aktivitātes</w:t>
            </w:r>
          </w:p>
        </w:tc>
      </w:tr>
      <w:tr w:rsidR="006071ED" w:rsidRPr="00A660A9" w14:paraId="6811A3CA" w14:textId="77777777" w:rsidTr="005C3B7C">
        <w:trPr>
          <w:trHeight w:val="650"/>
        </w:trPr>
        <w:tc>
          <w:tcPr>
            <w:tcW w:w="426" w:type="dxa"/>
          </w:tcPr>
          <w:p w14:paraId="597353B4" w14:textId="77777777" w:rsidR="006071ED" w:rsidRPr="00A660A9" w:rsidRDefault="006071ED" w:rsidP="001D7757">
            <w:pPr>
              <w:pStyle w:val="naiskr"/>
              <w:spacing w:before="0"/>
              <w:ind w:left="181" w:hanging="181"/>
              <w:jc w:val="center"/>
              <w:rPr>
                <w:sz w:val="28"/>
                <w:szCs w:val="28"/>
              </w:rPr>
            </w:pPr>
            <w:r w:rsidRPr="00A660A9">
              <w:rPr>
                <w:sz w:val="28"/>
                <w:szCs w:val="28"/>
              </w:rPr>
              <w:t>1.</w:t>
            </w:r>
          </w:p>
        </w:tc>
        <w:tc>
          <w:tcPr>
            <w:tcW w:w="3368" w:type="dxa"/>
          </w:tcPr>
          <w:p w14:paraId="385F1678" w14:textId="77777777" w:rsidR="006071ED" w:rsidRPr="00A660A9" w:rsidRDefault="00531591" w:rsidP="001D7757">
            <w:pPr>
              <w:pStyle w:val="naiskr"/>
              <w:spacing w:before="0" w:after="0"/>
              <w:ind w:left="180" w:hanging="10"/>
              <w:rPr>
                <w:sz w:val="28"/>
                <w:szCs w:val="28"/>
              </w:rPr>
            </w:pPr>
            <w:r w:rsidRPr="00A660A9">
              <w:rPr>
                <w:sz w:val="28"/>
                <w:szCs w:val="28"/>
              </w:rPr>
              <w:t>Plānotās sabiedrības līdzdalības un komunikācijas aktivitātes saistībā ar projektu</w:t>
            </w:r>
          </w:p>
        </w:tc>
        <w:tc>
          <w:tcPr>
            <w:tcW w:w="5415" w:type="dxa"/>
          </w:tcPr>
          <w:p w14:paraId="32EDCE57" w14:textId="702B5456" w:rsidR="00E6446D" w:rsidRPr="00A660A9" w:rsidRDefault="00EA5CC9" w:rsidP="006A475C">
            <w:pPr>
              <w:pStyle w:val="naiskr"/>
              <w:spacing w:before="0" w:after="0"/>
              <w:ind w:firstLine="345"/>
              <w:jc w:val="both"/>
              <w:rPr>
                <w:i/>
                <w:sz w:val="28"/>
                <w:szCs w:val="28"/>
              </w:rPr>
            </w:pPr>
            <w:r w:rsidRPr="00A660A9">
              <w:rPr>
                <w:sz w:val="28"/>
                <w:szCs w:val="28"/>
              </w:rPr>
              <w:t xml:space="preserve"> Sabiedrības pārstāvji varēs līdzdarboties Projekta izstrādē, rakstiski sniedzot viedokli par</w:t>
            </w:r>
            <w:r w:rsidR="00EB5060">
              <w:rPr>
                <w:sz w:val="28"/>
                <w:szCs w:val="28"/>
              </w:rPr>
              <w:t xml:space="preserve"> Projektu pēc tā publiskošanas </w:t>
            </w:r>
            <w:r w:rsidRPr="00A660A9">
              <w:rPr>
                <w:sz w:val="28"/>
                <w:szCs w:val="28"/>
              </w:rPr>
              <w:t xml:space="preserve">Izglītības un zinātnes ministrijas tīmekļa vietnē </w:t>
            </w:r>
            <w:r w:rsidR="006A475C">
              <w:t xml:space="preserve"> </w:t>
            </w:r>
            <w:r w:rsidR="006A475C">
              <w:rPr>
                <w:sz w:val="28"/>
                <w:szCs w:val="28"/>
              </w:rPr>
              <w:t>www.</w:t>
            </w:r>
            <w:r w:rsidR="006A475C" w:rsidRPr="006A475C">
              <w:rPr>
                <w:sz w:val="28"/>
                <w:szCs w:val="28"/>
              </w:rPr>
              <w:t>izm.gov.lv</w:t>
            </w:r>
            <w:r w:rsidRPr="00A660A9">
              <w:rPr>
                <w:sz w:val="28"/>
                <w:szCs w:val="28"/>
              </w:rPr>
              <w:t xml:space="preserve"> un izsludināšanas Valsts sekretāru sanāksmē</w:t>
            </w:r>
            <w:r w:rsidR="00EB5060">
              <w:rPr>
                <w:sz w:val="28"/>
                <w:szCs w:val="28"/>
              </w:rPr>
              <w:t xml:space="preserve">, kad tas </w:t>
            </w:r>
            <w:r w:rsidR="00372658" w:rsidRPr="00A660A9">
              <w:rPr>
                <w:sz w:val="28"/>
                <w:szCs w:val="28"/>
              </w:rPr>
              <w:t>būs pieejams Mi</w:t>
            </w:r>
            <w:r w:rsidR="00EB5060">
              <w:rPr>
                <w:sz w:val="28"/>
                <w:szCs w:val="28"/>
              </w:rPr>
              <w:t>nistru kabineta</w:t>
            </w:r>
            <w:r w:rsidR="00372658" w:rsidRPr="00A660A9">
              <w:rPr>
                <w:sz w:val="28"/>
                <w:szCs w:val="28"/>
              </w:rPr>
              <w:t xml:space="preserve"> tīmekļa vietnē </w:t>
            </w:r>
            <w:r w:rsidR="006A475C">
              <w:t xml:space="preserve"> </w:t>
            </w:r>
            <w:r w:rsidR="006A475C">
              <w:rPr>
                <w:sz w:val="28"/>
                <w:szCs w:val="28"/>
              </w:rPr>
              <w:t>www.</w:t>
            </w:r>
            <w:r w:rsidR="00D93636">
              <w:rPr>
                <w:sz w:val="28"/>
                <w:szCs w:val="28"/>
              </w:rPr>
              <w:t>mk.gov.lv.</w:t>
            </w:r>
          </w:p>
        </w:tc>
      </w:tr>
      <w:tr w:rsidR="006071ED" w:rsidRPr="00A660A9" w14:paraId="19EC5AFC" w14:textId="77777777" w:rsidTr="005C3B7C">
        <w:trPr>
          <w:trHeight w:val="333"/>
        </w:trPr>
        <w:tc>
          <w:tcPr>
            <w:tcW w:w="426" w:type="dxa"/>
          </w:tcPr>
          <w:p w14:paraId="07C56177" w14:textId="77777777" w:rsidR="006071ED" w:rsidRPr="00A660A9" w:rsidRDefault="006071ED" w:rsidP="001D7757">
            <w:pPr>
              <w:pStyle w:val="naiskr"/>
              <w:spacing w:before="0"/>
              <w:ind w:left="181" w:hanging="181"/>
              <w:jc w:val="center"/>
              <w:rPr>
                <w:sz w:val="28"/>
                <w:szCs w:val="28"/>
              </w:rPr>
            </w:pPr>
            <w:r w:rsidRPr="00A660A9">
              <w:rPr>
                <w:sz w:val="28"/>
                <w:szCs w:val="28"/>
              </w:rPr>
              <w:t>2.</w:t>
            </w:r>
          </w:p>
        </w:tc>
        <w:tc>
          <w:tcPr>
            <w:tcW w:w="3368" w:type="dxa"/>
          </w:tcPr>
          <w:p w14:paraId="3A38C6FB" w14:textId="77777777" w:rsidR="006071ED" w:rsidRPr="00A660A9" w:rsidRDefault="00531591" w:rsidP="001D7757">
            <w:pPr>
              <w:pStyle w:val="naiskr"/>
              <w:spacing w:before="0" w:after="0"/>
              <w:ind w:left="180" w:hanging="10"/>
              <w:rPr>
                <w:sz w:val="28"/>
                <w:szCs w:val="28"/>
              </w:rPr>
            </w:pPr>
            <w:r w:rsidRPr="00A660A9">
              <w:rPr>
                <w:sz w:val="28"/>
                <w:szCs w:val="28"/>
              </w:rPr>
              <w:t>Sabiedrības līdzdalība projekta izstrādē</w:t>
            </w:r>
          </w:p>
        </w:tc>
        <w:tc>
          <w:tcPr>
            <w:tcW w:w="5415" w:type="dxa"/>
          </w:tcPr>
          <w:p w14:paraId="07D74D75" w14:textId="68D8A8BD" w:rsidR="007756AB" w:rsidRDefault="00E6446D" w:rsidP="007756AB">
            <w:pPr>
              <w:pStyle w:val="naiskr"/>
              <w:spacing w:before="0" w:after="0"/>
              <w:ind w:firstLine="255"/>
              <w:jc w:val="both"/>
              <w:rPr>
                <w:sz w:val="28"/>
                <w:szCs w:val="28"/>
              </w:rPr>
            </w:pPr>
            <w:r w:rsidRPr="00A660A9">
              <w:rPr>
                <w:sz w:val="28"/>
                <w:szCs w:val="28"/>
              </w:rPr>
              <w:t>Projekta izstrādes laikā ar to vairākkārtīgi iepazīstināt</w:t>
            </w:r>
            <w:r w:rsidR="006D7481">
              <w:rPr>
                <w:sz w:val="28"/>
                <w:szCs w:val="28"/>
              </w:rPr>
              <w:t>i</w:t>
            </w:r>
            <w:r w:rsidRPr="00A660A9">
              <w:rPr>
                <w:sz w:val="28"/>
                <w:szCs w:val="28"/>
              </w:rPr>
              <w:t xml:space="preserve">: </w:t>
            </w:r>
          </w:p>
          <w:p w14:paraId="2F36603B" w14:textId="7DDFA559" w:rsidR="000F44D9" w:rsidRPr="00A660A9" w:rsidRDefault="00E6446D" w:rsidP="007756AB">
            <w:pPr>
              <w:pStyle w:val="naiskr"/>
              <w:spacing w:before="0" w:after="0"/>
              <w:ind w:firstLine="255"/>
              <w:jc w:val="both"/>
              <w:rPr>
                <w:iCs/>
                <w:sz w:val="28"/>
                <w:szCs w:val="28"/>
              </w:rPr>
            </w:pPr>
            <w:r w:rsidRPr="00A660A9">
              <w:rPr>
                <w:sz w:val="28"/>
                <w:szCs w:val="28"/>
              </w:rPr>
              <w:t>1) profesionālās izglītības iestādes, ievietojot Projekta materiālus Valsts izglītības satura centra elektroniskajā saziņas vidē</w:t>
            </w:r>
            <w:r w:rsidR="00996CB7" w:rsidRPr="00A660A9">
              <w:rPr>
                <w:sz w:val="28"/>
                <w:szCs w:val="28"/>
              </w:rPr>
              <w:t>;</w:t>
            </w:r>
          </w:p>
          <w:p w14:paraId="54167121" w14:textId="31506EAF" w:rsidR="00E32959" w:rsidRPr="00A660A9" w:rsidRDefault="00E6446D" w:rsidP="007756AB">
            <w:pPr>
              <w:pStyle w:val="naiskr"/>
              <w:spacing w:before="0" w:after="0"/>
              <w:ind w:firstLine="255"/>
              <w:jc w:val="both"/>
              <w:rPr>
                <w:iCs/>
                <w:sz w:val="28"/>
                <w:szCs w:val="28"/>
              </w:rPr>
            </w:pPr>
            <w:r w:rsidRPr="00A660A9">
              <w:rPr>
                <w:iCs/>
                <w:sz w:val="28"/>
                <w:szCs w:val="28"/>
              </w:rPr>
              <w:t xml:space="preserve">2) </w:t>
            </w:r>
            <w:r w:rsidR="003D298B" w:rsidRPr="00A660A9">
              <w:rPr>
                <w:iCs/>
                <w:sz w:val="28"/>
                <w:szCs w:val="28"/>
              </w:rPr>
              <w:t>kultūrizglītības</w:t>
            </w:r>
            <w:r w:rsidRPr="00A660A9">
              <w:rPr>
                <w:iCs/>
                <w:sz w:val="28"/>
                <w:szCs w:val="28"/>
              </w:rPr>
              <w:t xml:space="preserve"> centrs</w:t>
            </w:r>
            <w:r w:rsidR="000E115C" w:rsidRPr="00A660A9">
              <w:rPr>
                <w:iCs/>
                <w:sz w:val="28"/>
                <w:szCs w:val="28"/>
              </w:rPr>
              <w:t>;</w:t>
            </w:r>
          </w:p>
          <w:p w14:paraId="7A07D7BD" w14:textId="01A3498C" w:rsidR="001C0373" w:rsidRPr="007756AB" w:rsidRDefault="00E32959" w:rsidP="007756AB">
            <w:pPr>
              <w:pStyle w:val="naiskr"/>
              <w:spacing w:before="0" w:after="0"/>
              <w:ind w:firstLine="255"/>
              <w:jc w:val="both"/>
              <w:rPr>
                <w:sz w:val="28"/>
                <w:szCs w:val="28"/>
              </w:rPr>
            </w:pPr>
            <w:r w:rsidRPr="00A660A9">
              <w:rPr>
                <w:iCs/>
                <w:sz w:val="28"/>
                <w:szCs w:val="28"/>
              </w:rPr>
              <w:t xml:space="preserve">3) izglītības iestādes, kuras īsteno izglītības </w:t>
            </w:r>
            <w:r w:rsidRPr="00A660A9">
              <w:rPr>
                <w:iCs/>
                <w:sz w:val="28"/>
                <w:szCs w:val="28"/>
              </w:rPr>
              <w:lastRenderedPageBreak/>
              <w:t xml:space="preserve">programmas </w:t>
            </w:r>
            <w:r w:rsidRPr="00A660A9">
              <w:rPr>
                <w:sz w:val="28"/>
                <w:szCs w:val="28"/>
              </w:rPr>
              <w:t>izglītības tematiskajā jomā “Mākslas”</w:t>
            </w:r>
            <w:r w:rsidR="007756AB">
              <w:rPr>
                <w:sz w:val="28"/>
                <w:szCs w:val="28"/>
              </w:rPr>
              <w:t>.</w:t>
            </w:r>
          </w:p>
        </w:tc>
      </w:tr>
      <w:tr w:rsidR="00531591" w:rsidRPr="00A660A9" w14:paraId="0B3DD8B4" w14:textId="77777777" w:rsidTr="005C3B7C">
        <w:trPr>
          <w:trHeight w:val="333"/>
        </w:trPr>
        <w:tc>
          <w:tcPr>
            <w:tcW w:w="426" w:type="dxa"/>
          </w:tcPr>
          <w:p w14:paraId="1B6B29A0" w14:textId="77777777" w:rsidR="00531591" w:rsidRPr="00A660A9" w:rsidRDefault="00531591" w:rsidP="001D7757">
            <w:pPr>
              <w:pStyle w:val="naiskr"/>
              <w:spacing w:before="0"/>
              <w:ind w:left="181" w:hanging="181"/>
              <w:jc w:val="center"/>
              <w:rPr>
                <w:sz w:val="28"/>
                <w:szCs w:val="28"/>
              </w:rPr>
            </w:pPr>
            <w:r w:rsidRPr="00A660A9">
              <w:rPr>
                <w:sz w:val="28"/>
                <w:szCs w:val="28"/>
              </w:rPr>
              <w:lastRenderedPageBreak/>
              <w:t>3.</w:t>
            </w:r>
          </w:p>
        </w:tc>
        <w:tc>
          <w:tcPr>
            <w:tcW w:w="3368" w:type="dxa"/>
          </w:tcPr>
          <w:p w14:paraId="79289BD0" w14:textId="77777777" w:rsidR="00531591" w:rsidRPr="00A660A9" w:rsidRDefault="00531591" w:rsidP="001D7757">
            <w:pPr>
              <w:pStyle w:val="naiskr"/>
              <w:spacing w:before="0" w:after="0"/>
              <w:ind w:left="180" w:hanging="10"/>
              <w:rPr>
                <w:sz w:val="28"/>
                <w:szCs w:val="28"/>
              </w:rPr>
            </w:pPr>
            <w:r w:rsidRPr="00A660A9">
              <w:rPr>
                <w:sz w:val="28"/>
                <w:szCs w:val="28"/>
              </w:rPr>
              <w:t>Sabiedrības līdzdalības rezultāti</w:t>
            </w:r>
          </w:p>
        </w:tc>
        <w:tc>
          <w:tcPr>
            <w:tcW w:w="5415" w:type="dxa"/>
          </w:tcPr>
          <w:p w14:paraId="5F4E0E80" w14:textId="54B21AB8" w:rsidR="00511014" w:rsidRPr="00A660A9" w:rsidRDefault="00E6446D" w:rsidP="007756AB">
            <w:pPr>
              <w:pStyle w:val="naiskr"/>
              <w:spacing w:before="0" w:after="0"/>
              <w:ind w:firstLine="255"/>
              <w:jc w:val="both"/>
              <w:rPr>
                <w:sz w:val="28"/>
                <w:szCs w:val="28"/>
              </w:rPr>
            </w:pPr>
            <w:r w:rsidRPr="00A660A9">
              <w:rPr>
                <w:sz w:val="28"/>
                <w:szCs w:val="28"/>
              </w:rPr>
              <w:t>Projekta izstrādes laikā</w:t>
            </w:r>
            <w:r w:rsidR="000E115C" w:rsidRPr="00A660A9">
              <w:rPr>
                <w:sz w:val="28"/>
                <w:szCs w:val="28"/>
              </w:rPr>
              <w:t xml:space="preserve"> profesionālās izglītības </w:t>
            </w:r>
            <w:r w:rsidR="00A47D5C" w:rsidRPr="00A660A9">
              <w:rPr>
                <w:sz w:val="28"/>
                <w:szCs w:val="28"/>
              </w:rPr>
              <w:t>iestāžu pārstāvji</w:t>
            </w:r>
            <w:r w:rsidR="00B57C1C" w:rsidRPr="00A660A9">
              <w:rPr>
                <w:sz w:val="28"/>
                <w:szCs w:val="28"/>
              </w:rPr>
              <w:t xml:space="preserve"> </w:t>
            </w:r>
            <w:r w:rsidR="00511014" w:rsidRPr="00A660A9">
              <w:rPr>
                <w:sz w:val="28"/>
                <w:szCs w:val="28"/>
              </w:rPr>
              <w:t>atbalstījuši iesniedzamo un aizpildāmo dokumentu skaita samazināšanu un snieguši ieteikumus eksāmena protokolā iekļaujamajai informācijai un šī dokumenta noformēšanai.</w:t>
            </w:r>
          </w:p>
          <w:p w14:paraId="091BD16C" w14:textId="015BA57D" w:rsidR="0008511B" w:rsidRPr="00A660A9" w:rsidRDefault="00511014" w:rsidP="007756AB">
            <w:pPr>
              <w:pStyle w:val="naiskr"/>
              <w:spacing w:before="0" w:after="0"/>
              <w:ind w:firstLine="255"/>
              <w:jc w:val="both"/>
              <w:rPr>
                <w:sz w:val="28"/>
                <w:szCs w:val="28"/>
              </w:rPr>
            </w:pPr>
            <w:r w:rsidRPr="00A660A9">
              <w:rPr>
                <w:sz w:val="28"/>
                <w:szCs w:val="28"/>
              </w:rPr>
              <w:t>Kopumā profesionālās izglītības iestādes</w:t>
            </w:r>
            <w:r w:rsidR="006E1C6C" w:rsidRPr="00A660A9">
              <w:rPr>
                <w:sz w:val="28"/>
                <w:szCs w:val="28"/>
              </w:rPr>
              <w:t xml:space="preserve"> un</w:t>
            </w:r>
            <w:r w:rsidRPr="00A660A9">
              <w:rPr>
                <w:sz w:val="28"/>
                <w:szCs w:val="28"/>
              </w:rPr>
              <w:t xml:space="preserve"> </w:t>
            </w:r>
            <w:r w:rsidR="006E1C6C" w:rsidRPr="00A660A9">
              <w:rPr>
                <w:iCs/>
                <w:sz w:val="28"/>
                <w:szCs w:val="28"/>
              </w:rPr>
              <w:t xml:space="preserve"> </w:t>
            </w:r>
            <w:r w:rsidR="003D298B" w:rsidRPr="00A660A9">
              <w:rPr>
                <w:iCs/>
                <w:sz w:val="28"/>
                <w:szCs w:val="28"/>
              </w:rPr>
              <w:t xml:space="preserve">kultūrizglītības </w:t>
            </w:r>
            <w:r w:rsidR="006E1C6C" w:rsidRPr="00A660A9">
              <w:rPr>
                <w:iCs/>
                <w:sz w:val="28"/>
                <w:szCs w:val="28"/>
              </w:rPr>
              <w:t>centrs</w:t>
            </w:r>
            <w:r w:rsidR="006E1C6C" w:rsidRPr="00A660A9">
              <w:rPr>
                <w:sz w:val="28"/>
                <w:szCs w:val="28"/>
              </w:rPr>
              <w:t xml:space="preserve"> </w:t>
            </w:r>
            <w:r w:rsidRPr="00A660A9">
              <w:rPr>
                <w:sz w:val="28"/>
                <w:szCs w:val="28"/>
              </w:rPr>
              <w:t>atbalstījušas projekta tālāko virzību</w:t>
            </w:r>
            <w:r w:rsidR="002F36A0" w:rsidRPr="00A660A9">
              <w:rPr>
                <w:sz w:val="28"/>
                <w:szCs w:val="28"/>
              </w:rPr>
              <w:t>.</w:t>
            </w:r>
          </w:p>
        </w:tc>
      </w:tr>
      <w:tr w:rsidR="00531591" w:rsidRPr="00A660A9" w14:paraId="29821091" w14:textId="77777777" w:rsidTr="005C3B7C">
        <w:trPr>
          <w:trHeight w:val="333"/>
        </w:trPr>
        <w:tc>
          <w:tcPr>
            <w:tcW w:w="426" w:type="dxa"/>
          </w:tcPr>
          <w:p w14:paraId="5EAF3B45" w14:textId="77777777" w:rsidR="00531591" w:rsidRPr="00A660A9" w:rsidRDefault="00531591" w:rsidP="001D7757">
            <w:pPr>
              <w:pStyle w:val="naiskr"/>
              <w:spacing w:before="0"/>
              <w:ind w:left="181" w:hanging="181"/>
              <w:jc w:val="center"/>
              <w:rPr>
                <w:sz w:val="28"/>
                <w:szCs w:val="28"/>
              </w:rPr>
            </w:pPr>
            <w:r w:rsidRPr="00A660A9">
              <w:rPr>
                <w:sz w:val="28"/>
                <w:szCs w:val="28"/>
              </w:rPr>
              <w:t>4.</w:t>
            </w:r>
          </w:p>
        </w:tc>
        <w:tc>
          <w:tcPr>
            <w:tcW w:w="3368" w:type="dxa"/>
          </w:tcPr>
          <w:p w14:paraId="0381A3A8" w14:textId="77777777" w:rsidR="00531591" w:rsidRPr="00A660A9" w:rsidRDefault="00531591" w:rsidP="001D7757">
            <w:pPr>
              <w:pStyle w:val="naiskr"/>
              <w:spacing w:before="0" w:after="0"/>
              <w:ind w:left="180" w:hanging="10"/>
              <w:rPr>
                <w:sz w:val="28"/>
                <w:szCs w:val="28"/>
              </w:rPr>
            </w:pPr>
            <w:r w:rsidRPr="00A660A9">
              <w:rPr>
                <w:sz w:val="28"/>
                <w:szCs w:val="28"/>
              </w:rPr>
              <w:t>Cita informācija</w:t>
            </w:r>
          </w:p>
        </w:tc>
        <w:tc>
          <w:tcPr>
            <w:tcW w:w="5415" w:type="dxa"/>
          </w:tcPr>
          <w:p w14:paraId="1F70127D" w14:textId="77777777" w:rsidR="00531591" w:rsidRPr="00A660A9" w:rsidRDefault="009E326D" w:rsidP="001D7757">
            <w:pPr>
              <w:pStyle w:val="naiskr"/>
              <w:spacing w:before="0" w:after="0"/>
              <w:jc w:val="both"/>
              <w:rPr>
                <w:sz w:val="28"/>
                <w:szCs w:val="28"/>
              </w:rPr>
            </w:pPr>
            <w:r w:rsidRPr="00A660A9">
              <w:rPr>
                <w:sz w:val="28"/>
                <w:szCs w:val="28"/>
              </w:rPr>
              <w:t>Nav</w:t>
            </w:r>
            <w:r w:rsidR="001C0373" w:rsidRPr="00A660A9">
              <w:rPr>
                <w:sz w:val="28"/>
                <w:szCs w:val="28"/>
              </w:rPr>
              <w:t>.</w:t>
            </w:r>
          </w:p>
        </w:tc>
      </w:tr>
    </w:tbl>
    <w:p w14:paraId="20E8438E" w14:textId="77777777" w:rsidR="001D7757" w:rsidRPr="00A660A9" w:rsidRDefault="001D7757" w:rsidP="001D7757">
      <w:pPr>
        <w:tabs>
          <w:tab w:val="left" w:pos="5040"/>
          <w:tab w:val="left" w:pos="6840"/>
        </w:tabs>
        <w:jc w:val="both"/>
        <w:rPr>
          <w:sz w:val="28"/>
          <w:szCs w:val="28"/>
        </w:rPr>
      </w:pPr>
    </w:p>
    <w:tbl>
      <w:tblPr>
        <w:tblStyle w:val="TableGrid"/>
        <w:tblW w:w="9309" w:type="dxa"/>
        <w:tblInd w:w="-34" w:type="dxa"/>
        <w:tblLook w:val="04A0" w:firstRow="1" w:lastRow="0" w:firstColumn="1" w:lastColumn="0" w:noHBand="0" w:noVBand="1"/>
      </w:tblPr>
      <w:tblGrid>
        <w:gridCol w:w="426"/>
        <w:gridCol w:w="3402"/>
        <w:gridCol w:w="5481"/>
      </w:tblGrid>
      <w:tr w:rsidR="00996CB7" w:rsidRPr="00A660A9" w14:paraId="53008D7F" w14:textId="77777777" w:rsidTr="00D357AB">
        <w:tc>
          <w:tcPr>
            <w:tcW w:w="9309" w:type="dxa"/>
            <w:gridSpan w:val="3"/>
          </w:tcPr>
          <w:p w14:paraId="09747030" w14:textId="77777777" w:rsidR="00996CB7" w:rsidRPr="00A660A9" w:rsidRDefault="00996CB7" w:rsidP="00D357AB">
            <w:pPr>
              <w:spacing w:before="68" w:after="68"/>
              <w:jc w:val="center"/>
              <w:rPr>
                <w:b/>
                <w:sz w:val="28"/>
                <w:szCs w:val="28"/>
              </w:rPr>
            </w:pPr>
            <w:r w:rsidRPr="00A660A9">
              <w:rPr>
                <w:b/>
                <w:sz w:val="28"/>
                <w:szCs w:val="28"/>
              </w:rPr>
              <w:t>VII. Tiesību akta projekta izpildes nodrošināšana un tās ietekme uz institūcijām</w:t>
            </w:r>
          </w:p>
        </w:tc>
      </w:tr>
      <w:tr w:rsidR="00996CB7" w:rsidRPr="00A660A9" w14:paraId="11C4BE49" w14:textId="77777777" w:rsidTr="00144B56">
        <w:trPr>
          <w:trHeight w:val="630"/>
        </w:trPr>
        <w:tc>
          <w:tcPr>
            <w:tcW w:w="426" w:type="dxa"/>
          </w:tcPr>
          <w:p w14:paraId="5741137B" w14:textId="77777777" w:rsidR="00996CB7" w:rsidRPr="00A660A9" w:rsidRDefault="00996CB7" w:rsidP="00D357AB">
            <w:pPr>
              <w:spacing w:before="68" w:after="68"/>
              <w:rPr>
                <w:sz w:val="28"/>
                <w:szCs w:val="28"/>
              </w:rPr>
            </w:pPr>
            <w:r w:rsidRPr="00A660A9">
              <w:rPr>
                <w:sz w:val="28"/>
                <w:szCs w:val="28"/>
              </w:rPr>
              <w:t>1.</w:t>
            </w:r>
          </w:p>
        </w:tc>
        <w:tc>
          <w:tcPr>
            <w:tcW w:w="3402" w:type="dxa"/>
          </w:tcPr>
          <w:p w14:paraId="7695476C" w14:textId="77777777" w:rsidR="00996CB7" w:rsidRPr="00A660A9" w:rsidRDefault="00996CB7" w:rsidP="00D357AB">
            <w:pPr>
              <w:spacing w:before="68" w:after="68"/>
              <w:rPr>
                <w:sz w:val="28"/>
                <w:szCs w:val="28"/>
              </w:rPr>
            </w:pPr>
            <w:r w:rsidRPr="00A660A9">
              <w:rPr>
                <w:sz w:val="28"/>
                <w:szCs w:val="28"/>
              </w:rPr>
              <w:t>Projekta izpildē iesaistītās institūcijas</w:t>
            </w:r>
          </w:p>
        </w:tc>
        <w:tc>
          <w:tcPr>
            <w:tcW w:w="5481" w:type="dxa"/>
          </w:tcPr>
          <w:p w14:paraId="57E1F018" w14:textId="7F576F8C" w:rsidR="00996CB7" w:rsidRPr="00A660A9" w:rsidRDefault="00996CB7" w:rsidP="00EB5060">
            <w:pPr>
              <w:ind w:firstLine="255"/>
              <w:jc w:val="both"/>
              <w:rPr>
                <w:sz w:val="28"/>
                <w:szCs w:val="28"/>
              </w:rPr>
            </w:pPr>
            <w:r w:rsidRPr="00A660A9">
              <w:rPr>
                <w:iCs/>
                <w:sz w:val="28"/>
                <w:szCs w:val="28"/>
              </w:rPr>
              <w:t>P</w:t>
            </w:r>
            <w:r w:rsidRPr="00A660A9">
              <w:rPr>
                <w:sz w:val="28"/>
                <w:szCs w:val="28"/>
              </w:rPr>
              <w:t xml:space="preserve">rojekta izpildi nodrošinās centrs, </w:t>
            </w:r>
            <w:r w:rsidR="003D298B" w:rsidRPr="00A660A9">
              <w:rPr>
                <w:sz w:val="28"/>
                <w:szCs w:val="28"/>
              </w:rPr>
              <w:t>kultūrizglītības</w:t>
            </w:r>
            <w:r w:rsidRPr="00A660A9">
              <w:rPr>
                <w:sz w:val="28"/>
                <w:szCs w:val="28"/>
              </w:rPr>
              <w:t xml:space="preserve"> centrs un profesionālās izglītības iestādes.</w:t>
            </w:r>
          </w:p>
        </w:tc>
      </w:tr>
      <w:tr w:rsidR="00996CB7" w:rsidRPr="00A660A9" w14:paraId="286391B0" w14:textId="77777777" w:rsidTr="00144B56">
        <w:trPr>
          <w:trHeight w:val="472"/>
        </w:trPr>
        <w:tc>
          <w:tcPr>
            <w:tcW w:w="426" w:type="dxa"/>
          </w:tcPr>
          <w:p w14:paraId="43C4A9C5" w14:textId="77777777" w:rsidR="00996CB7" w:rsidRPr="00A660A9" w:rsidRDefault="00996CB7" w:rsidP="00D357AB">
            <w:pPr>
              <w:spacing w:before="68" w:after="68"/>
              <w:rPr>
                <w:sz w:val="28"/>
                <w:szCs w:val="28"/>
              </w:rPr>
            </w:pPr>
            <w:r w:rsidRPr="00A660A9">
              <w:rPr>
                <w:sz w:val="28"/>
                <w:szCs w:val="28"/>
              </w:rPr>
              <w:t>2.</w:t>
            </w:r>
          </w:p>
        </w:tc>
        <w:tc>
          <w:tcPr>
            <w:tcW w:w="3402" w:type="dxa"/>
          </w:tcPr>
          <w:p w14:paraId="6AB1CDB2" w14:textId="77777777" w:rsidR="00996CB7" w:rsidRPr="00A660A9" w:rsidRDefault="00996CB7" w:rsidP="00D357AB">
            <w:pPr>
              <w:rPr>
                <w:sz w:val="28"/>
                <w:szCs w:val="28"/>
              </w:rPr>
            </w:pPr>
            <w:r w:rsidRPr="00A660A9">
              <w:rPr>
                <w:sz w:val="28"/>
                <w:szCs w:val="28"/>
              </w:rPr>
              <w:t xml:space="preserve">Projekta izpildes ietekme uz pārvaldes funkcijām un institucionālo struktūru. </w:t>
            </w:r>
          </w:p>
          <w:p w14:paraId="422D0B6B" w14:textId="77777777" w:rsidR="00996CB7" w:rsidRPr="00A660A9" w:rsidRDefault="00996CB7" w:rsidP="00D357AB">
            <w:pPr>
              <w:pStyle w:val="tvhtml"/>
              <w:rPr>
                <w:sz w:val="28"/>
                <w:szCs w:val="28"/>
              </w:rPr>
            </w:pPr>
            <w:r w:rsidRPr="00A660A9">
              <w:rPr>
                <w:sz w:val="28"/>
                <w:szCs w:val="28"/>
              </w:rPr>
              <w:t>Jaunu institūciju izveide, esošu institūciju likvidācija vai reorganizācija, to ietekme uz institūcijas cilvēkresursiem</w:t>
            </w:r>
          </w:p>
        </w:tc>
        <w:tc>
          <w:tcPr>
            <w:tcW w:w="5481" w:type="dxa"/>
          </w:tcPr>
          <w:p w14:paraId="551BD4F9" w14:textId="77777777" w:rsidR="00996CB7" w:rsidRPr="00A660A9" w:rsidRDefault="00996CB7" w:rsidP="007756AB">
            <w:pPr>
              <w:pStyle w:val="BodyText"/>
              <w:ind w:firstLine="345"/>
              <w:jc w:val="both"/>
              <w:rPr>
                <w:iCs/>
                <w:szCs w:val="28"/>
              </w:rPr>
            </w:pPr>
            <w:r w:rsidRPr="00A660A9">
              <w:rPr>
                <w:iCs/>
                <w:szCs w:val="28"/>
              </w:rPr>
              <w:t>Projekta izpilde īstenojama esošo finanšu un cilvēkresursu ietvaros.</w:t>
            </w:r>
          </w:p>
          <w:p w14:paraId="7863D15B" w14:textId="2E347CEC" w:rsidR="00996CB7" w:rsidRPr="00A660A9" w:rsidRDefault="00996CB7" w:rsidP="007756AB">
            <w:pPr>
              <w:pStyle w:val="BodyText"/>
              <w:ind w:firstLine="345"/>
              <w:jc w:val="both"/>
              <w:rPr>
                <w:iCs/>
                <w:szCs w:val="28"/>
              </w:rPr>
            </w:pPr>
            <w:r w:rsidRPr="00A660A9">
              <w:rPr>
                <w:iCs/>
                <w:szCs w:val="28"/>
              </w:rPr>
              <w:t xml:space="preserve">Projekta izpildei nav nepieciešams izveidot jaunas institūcijas vai iestādes. </w:t>
            </w:r>
          </w:p>
        </w:tc>
      </w:tr>
      <w:tr w:rsidR="00996CB7" w:rsidRPr="00A660A9" w14:paraId="1F10A6D1" w14:textId="77777777" w:rsidTr="00144B56">
        <w:trPr>
          <w:trHeight w:val="386"/>
        </w:trPr>
        <w:tc>
          <w:tcPr>
            <w:tcW w:w="426" w:type="dxa"/>
          </w:tcPr>
          <w:p w14:paraId="0ED8C9B5" w14:textId="77777777" w:rsidR="00996CB7" w:rsidRPr="00A660A9" w:rsidRDefault="00996CB7" w:rsidP="00D357AB">
            <w:pPr>
              <w:spacing w:before="68" w:after="68"/>
              <w:rPr>
                <w:sz w:val="28"/>
                <w:szCs w:val="28"/>
              </w:rPr>
            </w:pPr>
            <w:r w:rsidRPr="00A660A9">
              <w:rPr>
                <w:sz w:val="28"/>
                <w:szCs w:val="28"/>
              </w:rPr>
              <w:t>3.</w:t>
            </w:r>
          </w:p>
        </w:tc>
        <w:tc>
          <w:tcPr>
            <w:tcW w:w="3402" w:type="dxa"/>
          </w:tcPr>
          <w:p w14:paraId="2DBEE425" w14:textId="77777777" w:rsidR="00996CB7" w:rsidRPr="00A660A9" w:rsidRDefault="00996CB7" w:rsidP="00D357AB">
            <w:pPr>
              <w:spacing w:before="68" w:after="68"/>
              <w:rPr>
                <w:sz w:val="28"/>
                <w:szCs w:val="28"/>
              </w:rPr>
            </w:pPr>
            <w:r w:rsidRPr="00A660A9">
              <w:rPr>
                <w:sz w:val="28"/>
                <w:szCs w:val="28"/>
              </w:rPr>
              <w:t>Cita informācija</w:t>
            </w:r>
          </w:p>
        </w:tc>
        <w:tc>
          <w:tcPr>
            <w:tcW w:w="5481" w:type="dxa"/>
          </w:tcPr>
          <w:p w14:paraId="0F432C8C" w14:textId="77777777" w:rsidR="00996CB7" w:rsidRPr="00A660A9" w:rsidRDefault="00996CB7" w:rsidP="00D357AB">
            <w:pPr>
              <w:jc w:val="both"/>
              <w:rPr>
                <w:sz w:val="28"/>
                <w:szCs w:val="28"/>
              </w:rPr>
            </w:pPr>
            <w:r w:rsidRPr="00A660A9">
              <w:rPr>
                <w:sz w:val="28"/>
                <w:szCs w:val="28"/>
              </w:rPr>
              <w:t>Nav.</w:t>
            </w:r>
          </w:p>
        </w:tc>
      </w:tr>
    </w:tbl>
    <w:p w14:paraId="5CDC5CFE" w14:textId="77777777" w:rsidR="00996CB7" w:rsidRPr="00A660A9" w:rsidRDefault="00996CB7" w:rsidP="001D7757">
      <w:pPr>
        <w:tabs>
          <w:tab w:val="left" w:pos="5040"/>
          <w:tab w:val="left" w:pos="6840"/>
        </w:tabs>
        <w:jc w:val="both"/>
        <w:rPr>
          <w:sz w:val="28"/>
          <w:szCs w:val="28"/>
        </w:rPr>
      </w:pPr>
    </w:p>
    <w:p w14:paraId="0CE8578A" w14:textId="77777777" w:rsidR="00996CB7" w:rsidRPr="00A660A9" w:rsidRDefault="00996CB7" w:rsidP="001D7757">
      <w:pPr>
        <w:tabs>
          <w:tab w:val="left" w:pos="5040"/>
          <w:tab w:val="left" w:pos="6840"/>
        </w:tabs>
        <w:jc w:val="both"/>
        <w:rPr>
          <w:sz w:val="28"/>
          <w:szCs w:val="28"/>
        </w:rPr>
      </w:pPr>
    </w:p>
    <w:p w14:paraId="035AC581" w14:textId="77777777" w:rsidR="007033DC" w:rsidRPr="007033DC" w:rsidRDefault="007033DC" w:rsidP="007033DC">
      <w:pPr>
        <w:rPr>
          <w:sz w:val="28"/>
          <w:szCs w:val="28"/>
        </w:rPr>
      </w:pPr>
      <w:r w:rsidRPr="007033DC">
        <w:rPr>
          <w:sz w:val="28"/>
          <w:szCs w:val="28"/>
        </w:rPr>
        <w:t xml:space="preserve">Izglītības un zinātnes ministra vietā – </w:t>
      </w:r>
    </w:p>
    <w:p w14:paraId="7FB06E90" w14:textId="36A3BCEF" w:rsidR="00F44C86" w:rsidRPr="00A660A9" w:rsidRDefault="007033DC" w:rsidP="007033DC">
      <w:pPr>
        <w:rPr>
          <w:sz w:val="28"/>
          <w:szCs w:val="28"/>
        </w:rPr>
      </w:pPr>
      <w:r w:rsidRPr="007033DC">
        <w:rPr>
          <w:sz w:val="28"/>
          <w:szCs w:val="28"/>
        </w:rPr>
        <w:t>labklājības ministrs</w:t>
      </w:r>
      <w:proofErr w:type="gramStart"/>
      <w:r w:rsidRPr="007033DC">
        <w:rPr>
          <w:sz w:val="28"/>
          <w:szCs w:val="28"/>
        </w:rPr>
        <w:t xml:space="preserve">    </w:t>
      </w:r>
      <w:r>
        <w:rPr>
          <w:sz w:val="28"/>
          <w:szCs w:val="28"/>
        </w:rPr>
        <w:t xml:space="preserve">                        </w:t>
      </w:r>
      <w:r w:rsidRPr="007033DC">
        <w:rPr>
          <w:sz w:val="28"/>
          <w:szCs w:val="28"/>
        </w:rPr>
        <w:t xml:space="preserve">                                                           </w:t>
      </w:r>
      <w:proofErr w:type="gramEnd"/>
      <w:r w:rsidRPr="007033DC">
        <w:rPr>
          <w:sz w:val="28"/>
          <w:szCs w:val="28"/>
        </w:rPr>
        <w:t>J.Reirs</w:t>
      </w:r>
    </w:p>
    <w:p w14:paraId="0443A4FB" w14:textId="77777777" w:rsidR="00210C9A" w:rsidRPr="00A660A9" w:rsidRDefault="00210C9A" w:rsidP="00F44C86">
      <w:pPr>
        <w:rPr>
          <w:sz w:val="28"/>
          <w:szCs w:val="28"/>
        </w:rPr>
      </w:pPr>
    </w:p>
    <w:p w14:paraId="321CF31F" w14:textId="77777777" w:rsidR="00210C9A" w:rsidRPr="00A660A9" w:rsidRDefault="00210C9A" w:rsidP="00F44C86">
      <w:pPr>
        <w:rPr>
          <w:sz w:val="28"/>
          <w:szCs w:val="28"/>
        </w:rPr>
      </w:pPr>
    </w:p>
    <w:p w14:paraId="1BA7C01C" w14:textId="77777777" w:rsidR="00210C9A" w:rsidRPr="00A660A9" w:rsidRDefault="00210C9A" w:rsidP="00F44C86">
      <w:pPr>
        <w:rPr>
          <w:sz w:val="28"/>
          <w:szCs w:val="28"/>
        </w:rPr>
      </w:pPr>
    </w:p>
    <w:p w14:paraId="0E049679" w14:textId="77777777" w:rsidR="00210C9A" w:rsidRPr="00A660A9" w:rsidRDefault="00210C9A" w:rsidP="00F44C86">
      <w:pPr>
        <w:rPr>
          <w:sz w:val="28"/>
          <w:szCs w:val="28"/>
        </w:rPr>
      </w:pPr>
    </w:p>
    <w:p w14:paraId="2CB84376" w14:textId="2076C349" w:rsidR="00F44C86" w:rsidRPr="00A660A9" w:rsidRDefault="00F44C86" w:rsidP="001D7757">
      <w:pPr>
        <w:tabs>
          <w:tab w:val="left" w:pos="3855"/>
        </w:tabs>
      </w:pPr>
      <w:r w:rsidRPr="00A660A9">
        <w:tab/>
      </w:r>
    </w:p>
    <w:p w14:paraId="3400D0F2" w14:textId="2390AD88" w:rsidR="00F44C86" w:rsidRPr="00A660A9" w:rsidRDefault="00D34B5E" w:rsidP="001D7757">
      <w:r w:rsidRPr="00A660A9">
        <w:t>R.Ančup</w:t>
      </w:r>
      <w:r w:rsidR="00A67680" w:rsidRPr="00A660A9">
        <w:t>āne</w:t>
      </w:r>
      <w:r w:rsidR="00091BA3">
        <w:t xml:space="preserve"> </w:t>
      </w:r>
    </w:p>
    <w:p w14:paraId="1E5CADE8" w14:textId="309C950D" w:rsidR="003256FF" w:rsidRPr="00A660A9" w:rsidRDefault="002F36A0" w:rsidP="001D7757">
      <w:r w:rsidRPr="00A660A9">
        <w:rPr>
          <w:color w:val="222222"/>
        </w:rPr>
        <w:t>64615342</w:t>
      </w:r>
      <w:r w:rsidR="00F44C86" w:rsidRPr="00A660A9">
        <w:t xml:space="preserve">, </w:t>
      </w:r>
      <w:r w:rsidR="001D3165" w:rsidRPr="00A660A9">
        <w:t>ruta.ancupane@852.visc.gov.lv</w:t>
      </w:r>
    </w:p>
    <w:sectPr w:rsidR="003256FF" w:rsidRPr="00A660A9" w:rsidSect="001D7757">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1134" w:left="1701" w:header="709" w:footer="7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C0C9E1" w14:textId="77777777" w:rsidR="009A12CD" w:rsidRDefault="009A12CD" w:rsidP="00F44C86">
      <w:r>
        <w:separator/>
      </w:r>
    </w:p>
  </w:endnote>
  <w:endnote w:type="continuationSeparator" w:id="0">
    <w:p w14:paraId="0456A8F4" w14:textId="77777777" w:rsidR="009A12CD" w:rsidRDefault="009A12CD" w:rsidP="00F44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99295" w14:textId="77777777" w:rsidR="00375970" w:rsidRDefault="003759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C99A5" w14:textId="17F10795" w:rsidR="00D3726D" w:rsidRPr="003E3880" w:rsidRDefault="00A46086" w:rsidP="00A46086">
    <w:pPr>
      <w:pStyle w:val="naisc"/>
      <w:spacing w:before="0" w:after="0"/>
      <w:jc w:val="both"/>
      <w:rPr>
        <w:sz w:val="20"/>
        <w:szCs w:val="20"/>
      </w:rPr>
    </w:pPr>
    <w:r w:rsidRPr="003E3880">
      <w:rPr>
        <w:sz w:val="20"/>
        <w:szCs w:val="20"/>
      </w:rPr>
      <w:t>IZMAnot_</w:t>
    </w:r>
    <w:r w:rsidR="001D1C74" w:rsidRPr="001D1C74">
      <w:rPr>
        <w:sz w:val="20"/>
        <w:szCs w:val="20"/>
      </w:rPr>
      <w:t>090119</w:t>
    </w:r>
    <w:r w:rsidR="003E3880" w:rsidRPr="003E3880">
      <w:rPr>
        <w:sz w:val="20"/>
        <w:szCs w:val="20"/>
      </w:rPr>
      <w:t>_PKE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F48E7" w14:textId="3694F4A2" w:rsidR="00D3726D" w:rsidRPr="00A345D1" w:rsidRDefault="003E3880" w:rsidP="00F3343F">
    <w:pPr>
      <w:pStyle w:val="naisc"/>
      <w:spacing w:before="0" w:after="0"/>
      <w:jc w:val="both"/>
      <w:rPr>
        <w:sz w:val="20"/>
        <w:szCs w:val="20"/>
      </w:rPr>
    </w:pPr>
    <w:r w:rsidRPr="003E3880">
      <w:rPr>
        <w:sz w:val="20"/>
        <w:szCs w:val="20"/>
      </w:rPr>
      <w:t>IZMAnot_</w:t>
    </w:r>
    <w:r w:rsidR="001D1C74" w:rsidRPr="001D1C74">
      <w:rPr>
        <w:sz w:val="20"/>
        <w:szCs w:val="20"/>
      </w:rPr>
      <w:t>090119</w:t>
    </w:r>
    <w:bookmarkStart w:id="4" w:name="_GoBack"/>
    <w:bookmarkEnd w:id="4"/>
    <w:r w:rsidRPr="003E3880">
      <w:rPr>
        <w:sz w:val="20"/>
        <w:szCs w:val="20"/>
      </w:rPr>
      <w:t>_PKE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77C108" w14:textId="77777777" w:rsidR="009A12CD" w:rsidRDefault="009A12CD" w:rsidP="00F44C86">
      <w:r>
        <w:separator/>
      </w:r>
    </w:p>
  </w:footnote>
  <w:footnote w:type="continuationSeparator" w:id="0">
    <w:p w14:paraId="32AA39F5" w14:textId="77777777" w:rsidR="009A12CD" w:rsidRDefault="009A12CD" w:rsidP="00F44C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39F61" w14:textId="77777777" w:rsidR="00375970" w:rsidRDefault="003759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11ACC" w14:textId="02BC3705" w:rsidR="00D3726D" w:rsidRDefault="00D3726D">
    <w:pPr>
      <w:pStyle w:val="Header"/>
      <w:jc w:val="center"/>
    </w:pPr>
    <w:r>
      <w:fldChar w:fldCharType="begin"/>
    </w:r>
    <w:r>
      <w:instrText xml:space="preserve"> PAGE   \* MERGEFORMAT </w:instrText>
    </w:r>
    <w:r>
      <w:fldChar w:fldCharType="separate"/>
    </w:r>
    <w:r w:rsidR="001D1C74">
      <w:rPr>
        <w:noProof/>
      </w:rPr>
      <w:t>8</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70F8A" w14:textId="77777777" w:rsidR="00375970" w:rsidRDefault="003759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D4099"/>
    <w:multiLevelType w:val="hybridMultilevel"/>
    <w:tmpl w:val="3B522456"/>
    <w:lvl w:ilvl="0" w:tplc="04260001">
      <w:start w:val="1"/>
      <w:numFmt w:val="bullet"/>
      <w:lvlText w:val=""/>
      <w:lvlJc w:val="left"/>
      <w:pPr>
        <w:ind w:left="852" w:hanging="360"/>
      </w:pPr>
      <w:rPr>
        <w:rFonts w:ascii="Symbol" w:hAnsi="Symbol" w:hint="default"/>
      </w:rPr>
    </w:lvl>
    <w:lvl w:ilvl="1" w:tplc="04260003" w:tentative="1">
      <w:start w:val="1"/>
      <w:numFmt w:val="bullet"/>
      <w:lvlText w:val="o"/>
      <w:lvlJc w:val="left"/>
      <w:pPr>
        <w:ind w:left="1572" w:hanging="360"/>
      </w:pPr>
      <w:rPr>
        <w:rFonts w:ascii="Courier New" w:hAnsi="Courier New" w:cs="Courier New" w:hint="default"/>
      </w:rPr>
    </w:lvl>
    <w:lvl w:ilvl="2" w:tplc="04260005" w:tentative="1">
      <w:start w:val="1"/>
      <w:numFmt w:val="bullet"/>
      <w:lvlText w:val=""/>
      <w:lvlJc w:val="left"/>
      <w:pPr>
        <w:ind w:left="2292" w:hanging="360"/>
      </w:pPr>
      <w:rPr>
        <w:rFonts w:ascii="Wingdings" w:hAnsi="Wingdings" w:hint="default"/>
      </w:rPr>
    </w:lvl>
    <w:lvl w:ilvl="3" w:tplc="04260001" w:tentative="1">
      <w:start w:val="1"/>
      <w:numFmt w:val="bullet"/>
      <w:lvlText w:val=""/>
      <w:lvlJc w:val="left"/>
      <w:pPr>
        <w:ind w:left="3012" w:hanging="360"/>
      </w:pPr>
      <w:rPr>
        <w:rFonts w:ascii="Symbol" w:hAnsi="Symbol" w:hint="default"/>
      </w:rPr>
    </w:lvl>
    <w:lvl w:ilvl="4" w:tplc="04260003" w:tentative="1">
      <w:start w:val="1"/>
      <w:numFmt w:val="bullet"/>
      <w:lvlText w:val="o"/>
      <w:lvlJc w:val="left"/>
      <w:pPr>
        <w:ind w:left="3732" w:hanging="360"/>
      </w:pPr>
      <w:rPr>
        <w:rFonts w:ascii="Courier New" w:hAnsi="Courier New" w:cs="Courier New" w:hint="default"/>
      </w:rPr>
    </w:lvl>
    <w:lvl w:ilvl="5" w:tplc="04260005" w:tentative="1">
      <w:start w:val="1"/>
      <w:numFmt w:val="bullet"/>
      <w:lvlText w:val=""/>
      <w:lvlJc w:val="left"/>
      <w:pPr>
        <w:ind w:left="4452" w:hanging="360"/>
      </w:pPr>
      <w:rPr>
        <w:rFonts w:ascii="Wingdings" w:hAnsi="Wingdings" w:hint="default"/>
      </w:rPr>
    </w:lvl>
    <w:lvl w:ilvl="6" w:tplc="04260001" w:tentative="1">
      <w:start w:val="1"/>
      <w:numFmt w:val="bullet"/>
      <w:lvlText w:val=""/>
      <w:lvlJc w:val="left"/>
      <w:pPr>
        <w:ind w:left="5172" w:hanging="360"/>
      </w:pPr>
      <w:rPr>
        <w:rFonts w:ascii="Symbol" w:hAnsi="Symbol" w:hint="default"/>
      </w:rPr>
    </w:lvl>
    <w:lvl w:ilvl="7" w:tplc="04260003" w:tentative="1">
      <w:start w:val="1"/>
      <w:numFmt w:val="bullet"/>
      <w:lvlText w:val="o"/>
      <w:lvlJc w:val="left"/>
      <w:pPr>
        <w:ind w:left="5892" w:hanging="360"/>
      </w:pPr>
      <w:rPr>
        <w:rFonts w:ascii="Courier New" w:hAnsi="Courier New" w:cs="Courier New" w:hint="default"/>
      </w:rPr>
    </w:lvl>
    <w:lvl w:ilvl="8" w:tplc="04260005" w:tentative="1">
      <w:start w:val="1"/>
      <w:numFmt w:val="bullet"/>
      <w:lvlText w:val=""/>
      <w:lvlJc w:val="left"/>
      <w:pPr>
        <w:ind w:left="6612" w:hanging="360"/>
      </w:pPr>
      <w:rPr>
        <w:rFonts w:ascii="Wingdings" w:hAnsi="Wingdings" w:hint="default"/>
      </w:rPr>
    </w:lvl>
  </w:abstractNum>
  <w:abstractNum w:abstractNumId="1">
    <w:nsid w:val="347E75D5"/>
    <w:multiLevelType w:val="hybridMultilevel"/>
    <w:tmpl w:val="0B42665C"/>
    <w:lvl w:ilvl="0" w:tplc="5C243ADC">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7551659B"/>
    <w:multiLevelType w:val="hybridMultilevel"/>
    <w:tmpl w:val="8152C09A"/>
    <w:lvl w:ilvl="0" w:tplc="04260001">
      <w:start w:val="1"/>
      <w:numFmt w:val="bullet"/>
      <w:lvlText w:val=""/>
      <w:lvlJc w:val="left"/>
      <w:pPr>
        <w:ind w:left="852" w:hanging="360"/>
      </w:pPr>
      <w:rPr>
        <w:rFonts w:ascii="Symbol" w:hAnsi="Symbol" w:hint="default"/>
      </w:rPr>
    </w:lvl>
    <w:lvl w:ilvl="1" w:tplc="04260003" w:tentative="1">
      <w:start w:val="1"/>
      <w:numFmt w:val="bullet"/>
      <w:lvlText w:val="o"/>
      <w:lvlJc w:val="left"/>
      <w:pPr>
        <w:ind w:left="1572" w:hanging="360"/>
      </w:pPr>
      <w:rPr>
        <w:rFonts w:ascii="Courier New" w:hAnsi="Courier New" w:cs="Courier New" w:hint="default"/>
      </w:rPr>
    </w:lvl>
    <w:lvl w:ilvl="2" w:tplc="04260005" w:tentative="1">
      <w:start w:val="1"/>
      <w:numFmt w:val="bullet"/>
      <w:lvlText w:val=""/>
      <w:lvlJc w:val="left"/>
      <w:pPr>
        <w:ind w:left="2292" w:hanging="360"/>
      </w:pPr>
      <w:rPr>
        <w:rFonts w:ascii="Wingdings" w:hAnsi="Wingdings" w:hint="default"/>
      </w:rPr>
    </w:lvl>
    <w:lvl w:ilvl="3" w:tplc="04260001" w:tentative="1">
      <w:start w:val="1"/>
      <w:numFmt w:val="bullet"/>
      <w:lvlText w:val=""/>
      <w:lvlJc w:val="left"/>
      <w:pPr>
        <w:ind w:left="3012" w:hanging="360"/>
      </w:pPr>
      <w:rPr>
        <w:rFonts w:ascii="Symbol" w:hAnsi="Symbol" w:hint="default"/>
      </w:rPr>
    </w:lvl>
    <w:lvl w:ilvl="4" w:tplc="04260003" w:tentative="1">
      <w:start w:val="1"/>
      <w:numFmt w:val="bullet"/>
      <w:lvlText w:val="o"/>
      <w:lvlJc w:val="left"/>
      <w:pPr>
        <w:ind w:left="3732" w:hanging="360"/>
      </w:pPr>
      <w:rPr>
        <w:rFonts w:ascii="Courier New" w:hAnsi="Courier New" w:cs="Courier New" w:hint="default"/>
      </w:rPr>
    </w:lvl>
    <w:lvl w:ilvl="5" w:tplc="04260005" w:tentative="1">
      <w:start w:val="1"/>
      <w:numFmt w:val="bullet"/>
      <w:lvlText w:val=""/>
      <w:lvlJc w:val="left"/>
      <w:pPr>
        <w:ind w:left="4452" w:hanging="360"/>
      </w:pPr>
      <w:rPr>
        <w:rFonts w:ascii="Wingdings" w:hAnsi="Wingdings" w:hint="default"/>
      </w:rPr>
    </w:lvl>
    <w:lvl w:ilvl="6" w:tplc="04260001" w:tentative="1">
      <w:start w:val="1"/>
      <w:numFmt w:val="bullet"/>
      <w:lvlText w:val=""/>
      <w:lvlJc w:val="left"/>
      <w:pPr>
        <w:ind w:left="5172" w:hanging="360"/>
      </w:pPr>
      <w:rPr>
        <w:rFonts w:ascii="Symbol" w:hAnsi="Symbol" w:hint="default"/>
      </w:rPr>
    </w:lvl>
    <w:lvl w:ilvl="7" w:tplc="04260003" w:tentative="1">
      <w:start w:val="1"/>
      <w:numFmt w:val="bullet"/>
      <w:lvlText w:val="o"/>
      <w:lvlJc w:val="left"/>
      <w:pPr>
        <w:ind w:left="5892" w:hanging="360"/>
      </w:pPr>
      <w:rPr>
        <w:rFonts w:ascii="Courier New" w:hAnsi="Courier New" w:cs="Courier New" w:hint="default"/>
      </w:rPr>
    </w:lvl>
    <w:lvl w:ilvl="8" w:tplc="04260005" w:tentative="1">
      <w:start w:val="1"/>
      <w:numFmt w:val="bullet"/>
      <w:lvlText w:val=""/>
      <w:lvlJc w:val="left"/>
      <w:pPr>
        <w:ind w:left="6612" w:hanging="360"/>
      </w:pPr>
      <w:rPr>
        <w:rFonts w:ascii="Wingdings" w:hAnsi="Wingdings" w:hint="default"/>
      </w:rPr>
    </w:lvl>
  </w:abstractNum>
  <w:abstractNum w:abstractNumId="3">
    <w:nsid w:val="773453DF"/>
    <w:multiLevelType w:val="hybridMultilevel"/>
    <w:tmpl w:val="8BBE5B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79766A35"/>
    <w:multiLevelType w:val="hybridMultilevel"/>
    <w:tmpl w:val="F872BDBC"/>
    <w:lvl w:ilvl="0" w:tplc="779052FE">
      <w:start w:val="1"/>
      <w:numFmt w:val="decimal"/>
      <w:lvlText w:val="%1."/>
      <w:lvlJc w:val="left"/>
      <w:pPr>
        <w:ind w:left="720" w:hanging="360"/>
      </w:pPr>
      <w:rPr>
        <w:rFonts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C86"/>
    <w:rsid w:val="00001838"/>
    <w:rsid w:val="000111F4"/>
    <w:rsid w:val="000148DD"/>
    <w:rsid w:val="00015FCC"/>
    <w:rsid w:val="00017DC5"/>
    <w:rsid w:val="00020613"/>
    <w:rsid w:val="0002276C"/>
    <w:rsid w:val="00026C12"/>
    <w:rsid w:val="00030A63"/>
    <w:rsid w:val="000317C1"/>
    <w:rsid w:val="00034304"/>
    <w:rsid w:val="00034457"/>
    <w:rsid w:val="00034D1C"/>
    <w:rsid w:val="00046D09"/>
    <w:rsid w:val="00051724"/>
    <w:rsid w:val="000570E3"/>
    <w:rsid w:val="000606F1"/>
    <w:rsid w:val="00063904"/>
    <w:rsid w:val="00066911"/>
    <w:rsid w:val="00072F76"/>
    <w:rsid w:val="00074CAF"/>
    <w:rsid w:val="0007792C"/>
    <w:rsid w:val="000840EE"/>
    <w:rsid w:val="0008511B"/>
    <w:rsid w:val="00091BA3"/>
    <w:rsid w:val="00092674"/>
    <w:rsid w:val="00096DB3"/>
    <w:rsid w:val="000A02D6"/>
    <w:rsid w:val="000A2BB5"/>
    <w:rsid w:val="000A4B02"/>
    <w:rsid w:val="000A7341"/>
    <w:rsid w:val="000B365B"/>
    <w:rsid w:val="000B4AAE"/>
    <w:rsid w:val="000D033C"/>
    <w:rsid w:val="000D04C1"/>
    <w:rsid w:val="000D0C87"/>
    <w:rsid w:val="000E115C"/>
    <w:rsid w:val="000E74C4"/>
    <w:rsid w:val="000F37E9"/>
    <w:rsid w:val="000F44D9"/>
    <w:rsid w:val="000F6757"/>
    <w:rsid w:val="000F6C9E"/>
    <w:rsid w:val="00101DDE"/>
    <w:rsid w:val="0010678C"/>
    <w:rsid w:val="001079C2"/>
    <w:rsid w:val="00110BD9"/>
    <w:rsid w:val="0011433F"/>
    <w:rsid w:val="00120347"/>
    <w:rsid w:val="0012051C"/>
    <w:rsid w:val="001227DB"/>
    <w:rsid w:val="0012295F"/>
    <w:rsid w:val="00126545"/>
    <w:rsid w:val="0013079D"/>
    <w:rsid w:val="00131D27"/>
    <w:rsid w:val="00133AFB"/>
    <w:rsid w:val="00142635"/>
    <w:rsid w:val="00144B56"/>
    <w:rsid w:val="001464CB"/>
    <w:rsid w:val="0015374E"/>
    <w:rsid w:val="001539AA"/>
    <w:rsid w:val="00154C29"/>
    <w:rsid w:val="00156ECE"/>
    <w:rsid w:val="00166EDB"/>
    <w:rsid w:val="00174597"/>
    <w:rsid w:val="00174D73"/>
    <w:rsid w:val="001807DF"/>
    <w:rsid w:val="0018083A"/>
    <w:rsid w:val="0018216A"/>
    <w:rsid w:val="00192A90"/>
    <w:rsid w:val="001935B2"/>
    <w:rsid w:val="00193AFD"/>
    <w:rsid w:val="001953EF"/>
    <w:rsid w:val="001A2623"/>
    <w:rsid w:val="001A2A11"/>
    <w:rsid w:val="001A2A88"/>
    <w:rsid w:val="001B3F13"/>
    <w:rsid w:val="001C0373"/>
    <w:rsid w:val="001C6174"/>
    <w:rsid w:val="001C791F"/>
    <w:rsid w:val="001D08E1"/>
    <w:rsid w:val="001D09A3"/>
    <w:rsid w:val="001D1C74"/>
    <w:rsid w:val="001D3165"/>
    <w:rsid w:val="001D58ED"/>
    <w:rsid w:val="001D7757"/>
    <w:rsid w:val="001E0B42"/>
    <w:rsid w:val="001E3946"/>
    <w:rsid w:val="001E728D"/>
    <w:rsid w:val="00203400"/>
    <w:rsid w:val="00205F8F"/>
    <w:rsid w:val="0021081F"/>
    <w:rsid w:val="00210C9A"/>
    <w:rsid w:val="002124D4"/>
    <w:rsid w:val="00216BEF"/>
    <w:rsid w:val="002241EB"/>
    <w:rsid w:val="00226FE3"/>
    <w:rsid w:val="002274F6"/>
    <w:rsid w:val="00230D75"/>
    <w:rsid w:val="00234BCE"/>
    <w:rsid w:val="00236E10"/>
    <w:rsid w:val="002463CF"/>
    <w:rsid w:val="00254427"/>
    <w:rsid w:val="002558EB"/>
    <w:rsid w:val="002603E3"/>
    <w:rsid w:val="002625FB"/>
    <w:rsid w:val="0026724F"/>
    <w:rsid w:val="00271925"/>
    <w:rsid w:val="00275935"/>
    <w:rsid w:val="00277222"/>
    <w:rsid w:val="00282DD2"/>
    <w:rsid w:val="00293E9A"/>
    <w:rsid w:val="002972EE"/>
    <w:rsid w:val="00297B2E"/>
    <w:rsid w:val="002A57AF"/>
    <w:rsid w:val="002B425F"/>
    <w:rsid w:val="002B4FB0"/>
    <w:rsid w:val="002D0460"/>
    <w:rsid w:val="002D127E"/>
    <w:rsid w:val="002D4818"/>
    <w:rsid w:val="002D5ABA"/>
    <w:rsid w:val="002D6A5C"/>
    <w:rsid w:val="002E3AB1"/>
    <w:rsid w:val="002E4F5A"/>
    <w:rsid w:val="002E7326"/>
    <w:rsid w:val="002F36A0"/>
    <w:rsid w:val="002F4960"/>
    <w:rsid w:val="002F6D99"/>
    <w:rsid w:val="002F7635"/>
    <w:rsid w:val="0030399E"/>
    <w:rsid w:val="00304EF9"/>
    <w:rsid w:val="0031493B"/>
    <w:rsid w:val="003160BB"/>
    <w:rsid w:val="00322309"/>
    <w:rsid w:val="003256FF"/>
    <w:rsid w:val="00326872"/>
    <w:rsid w:val="0033240B"/>
    <w:rsid w:val="00337D17"/>
    <w:rsid w:val="00340BF7"/>
    <w:rsid w:val="0035277C"/>
    <w:rsid w:val="0035331D"/>
    <w:rsid w:val="00372658"/>
    <w:rsid w:val="003752CD"/>
    <w:rsid w:val="00375876"/>
    <w:rsid w:val="00375970"/>
    <w:rsid w:val="003771A8"/>
    <w:rsid w:val="00377F68"/>
    <w:rsid w:val="00380671"/>
    <w:rsid w:val="00383113"/>
    <w:rsid w:val="00393780"/>
    <w:rsid w:val="003A57C4"/>
    <w:rsid w:val="003B1FB0"/>
    <w:rsid w:val="003B4853"/>
    <w:rsid w:val="003C619C"/>
    <w:rsid w:val="003C64E8"/>
    <w:rsid w:val="003D298B"/>
    <w:rsid w:val="003E02D2"/>
    <w:rsid w:val="003E3880"/>
    <w:rsid w:val="003E51E6"/>
    <w:rsid w:val="003E686C"/>
    <w:rsid w:val="00400A0E"/>
    <w:rsid w:val="00401BB0"/>
    <w:rsid w:val="00403490"/>
    <w:rsid w:val="004105CE"/>
    <w:rsid w:val="00410C33"/>
    <w:rsid w:val="00415DB4"/>
    <w:rsid w:val="0041685E"/>
    <w:rsid w:val="004253EF"/>
    <w:rsid w:val="004259D6"/>
    <w:rsid w:val="00425A81"/>
    <w:rsid w:val="004364F7"/>
    <w:rsid w:val="00442F97"/>
    <w:rsid w:val="00443C3F"/>
    <w:rsid w:val="00447EDB"/>
    <w:rsid w:val="004505F7"/>
    <w:rsid w:val="0045136D"/>
    <w:rsid w:val="00456145"/>
    <w:rsid w:val="004565F5"/>
    <w:rsid w:val="00456C77"/>
    <w:rsid w:val="00470AC2"/>
    <w:rsid w:val="00477EC4"/>
    <w:rsid w:val="00493245"/>
    <w:rsid w:val="00496E85"/>
    <w:rsid w:val="004B076E"/>
    <w:rsid w:val="004B10B1"/>
    <w:rsid w:val="004B3709"/>
    <w:rsid w:val="004B453A"/>
    <w:rsid w:val="004C341B"/>
    <w:rsid w:val="004C43C1"/>
    <w:rsid w:val="004C5C7C"/>
    <w:rsid w:val="004C6EF0"/>
    <w:rsid w:val="004C7DE2"/>
    <w:rsid w:val="004D1AF5"/>
    <w:rsid w:val="004D308E"/>
    <w:rsid w:val="004D716A"/>
    <w:rsid w:val="004E2EDC"/>
    <w:rsid w:val="004E3EDA"/>
    <w:rsid w:val="004E47CC"/>
    <w:rsid w:val="004E6919"/>
    <w:rsid w:val="004F244B"/>
    <w:rsid w:val="004F5229"/>
    <w:rsid w:val="00511014"/>
    <w:rsid w:val="00516936"/>
    <w:rsid w:val="00516DE3"/>
    <w:rsid w:val="005177C4"/>
    <w:rsid w:val="00525643"/>
    <w:rsid w:val="00527513"/>
    <w:rsid w:val="00527908"/>
    <w:rsid w:val="00531591"/>
    <w:rsid w:val="00534070"/>
    <w:rsid w:val="00536592"/>
    <w:rsid w:val="005410B1"/>
    <w:rsid w:val="00543816"/>
    <w:rsid w:val="00543EE6"/>
    <w:rsid w:val="00544210"/>
    <w:rsid w:val="005510B9"/>
    <w:rsid w:val="00551144"/>
    <w:rsid w:val="0055542C"/>
    <w:rsid w:val="00557A81"/>
    <w:rsid w:val="00560CAB"/>
    <w:rsid w:val="0056158A"/>
    <w:rsid w:val="00573727"/>
    <w:rsid w:val="00580835"/>
    <w:rsid w:val="00581452"/>
    <w:rsid w:val="0058164B"/>
    <w:rsid w:val="005868A4"/>
    <w:rsid w:val="00591EBC"/>
    <w:rsid w:val="00593713"/>
    <w:rsid w:val="00597162"/>
    <w:rsid w:val="005A4CB9"/>
    <w:rsid w:val="005B0F6C"/>
    <w:rsid w:val="005B196A"/>
    <w:rsid w:val="005B3F46"/>
    <w:rsid w:val="005C035C"/>
    <w:rsid w:val="005C3B7C"/>
    <w:rsid w:val="005C58CE"/>
    <w:rsid w:val="005D1593"/>
    <w:rsid w:val="005D2055"/>
    <w:rsid w:val="005D2FA8"/>
    <w:rsid w:val="005D5528"/>
    <w:rsid w:val="005E1408"/>
    <w:rsid w:val="005E1B66"/>
    <w:rsid w:val="005F22F3"/>
    <w:rsid w:val="005F63F9"/>
    <w:rsid w:val="005F6439"/>
    <w:rsid w:val="005F7AFA"/>
    <w:rsid w:val="00601CEB"/>
    <w:rsid w:val="00604A1D"/>
    <w:rsid w:val="0060507D"/>
    <w:rsid w:val="006071ED"/>
    <w:rsid w:val="00607475"/>
    <w:rsid w:val="0060770A"/>
    <w:rsid w:val="00611EC5"/>
    <w:rsid w:val="00613F5C"/>
    <w:rsid w:val="0061471F"/>
    <w:rsid w:val="00615DEA"/>
    <w:rsid w:val="00616B27"/>
    <w:rsid w:val="00633834"/>
    <w:rsid w:val="006371E9"/>
    <w:rsid w:val="0064206B"/>
    <w:rsid w:val="006454F6"/>
    <w:rsid w:val="00651F70"/>
    <w:rsid w:val="00662C98"/>
    <w:rsid w:val="00666A1B"/>
    <w:rsid w:val="00673F30"/>
    <w:rsid w:val="00674D83"/>
    <w:rsid w:val="00677E6C"/>
    <w:rsid w:val="006875ED"/>
    <w:rsid w:val="006A475C"/>
    <w:rsid w:val="006B01D2"/>
    <w:rsid w:val="006B053B"/>
    <w:rsid w:val="006B154B"/>
    <w:rsid w:val="006B1924"/>
    <w:rsid w:val="006B2121"/>
    <w:rsid w:val="006B32C1"/>
    <w:rsid w:val="006C3A85"/>
    <w:rsid w:val="006C6AA9"/>
    <w:rsid w:val="006D0BE7"/>
    <w:rsid w:val="006D1581"/>
    <w:rsid w:val="006D3AE8"/>
    <w:rsid w:val="006D7481"/>
    <w:rsid w:val="006E1C6C"/>
    <w:rsid w:val="006E2ADB"/>
    <w:rsid w:val="006E3C4D"/>
    <w:rsid w:val="006E5C1D"/>
    <w:rsid w:val="006E630B"/>
    <w:rsid w:val="006E65BF"/>
    <w:rsid w:val="006F457E"/>
    <w:rsid w:val="006F46FB"/>
    <w:rsid w:val="006F525A"/>
    <w:rsid w:val="006F56D8"/>
    <w:rsid w:val="00702913"/>
    <w:rsid w:val="007033DC"/>
    <w:rsid w:val="00707BD0"/>
    <w:rsid w:val="007121FC"/>
    <w:rsid w:val="00720C0E"/>
    <w:rsid w:val="00731FCB"/>
    <w:rsid w:val="0073548D"/>
    <w:rsid w:val="00736BC1"/>
    <w:rsid w:val="007370CA"/>
    <w:rsid w:val="007408E7"/>
    <w:rsid w:val="007416EF"/>
    <w:rsid w:val="00741D13"/>
    <w:rsid w:val="0074370A"/>
    <w:rsid w:val="00750ECA"/>
    <w:rsid w:val="00751F16"/>
    <w:rsid w:val="00752A74"/>
    <w:rsid w:val="007636E8"/>
    <w:rsid w:val="00763951"/>
    <w:rsid w:val="007662CC"/>
    <w:rsid w:val="00767F1E"/>
    <w:rsid w:val="00773DC4"/>
    <w:rsid w:val="007756AB"/>
    <w:rsid w:val="00776B95"/>
    <w:rsid w:val="00783576"/>
    <w:rsid w:val="00785123"/>
    <w:rsid w:val="007958FC"/>
    <w:rsid w:val="007A35D1"/>
    <w:rsid w:val="007A74AB"/>
    <w:rsid w:val="007B354A"/>
    <w:rsid w:val="007B5D99"/>
    <w:rsid w:val="007B740E"/>
    <w:rsid w:val="007C0B2D"/>
    <w:rsid w:val="007C0B53"/>
    <w:rsid w:val="007C1DCE"/>
    <w:rsid w:val="007C2089"/>
    <w:rsid w:val="007C61FE"/>
    <w:rsid w:val="007C7411"/>
    <w:rsid w:val="007D12D5"/>
    <w:rsid w:val="007D19C7"/>
    <w:rsid w:val="007E3731"/>
    <w:rsid w:val="007E6075"/>
    <w:rsid w:val="007F309B"/>
    <w:rsid w:val="008069E9"/>
    <w:rsid w:val="008118B1"/>
    <w:rsid w:val="00817B2F"/>
    <w:rsid w:val="0082284F"/>
    <w:rsid w:val="00822FF0"/>
    <w:rsid w:val="0083233B"/>
    <w:rsid w:val="0083277D"/>
    <w:rsid w:val="008336DD"/>
    <w:rsid w:val="0083791C"/>
    <w:rsid w:val="008429F2"/>
    <w:rsid w:val="00844705"/>
    <w:rsid w:val="00844DD3"/>
    <w:rsid w:val="0084784F"/>
    <w:rsid w:val="0086595E"/>
    <w:rsid w:val="00866B40"/>
    <w:rsid w:val="008839F0"/>
    <w:rsid w:val="008A44AC"/>
    <w:rsid w:val="008B0C3B"/>
    <w:rsid w:val="008B185E"/>
    <w:rsid w:val="008D2C19"/>
    <w:rsid w:val="008D303B"/>
    <w:rsid w:val="008D34F8"/>
    <w:rsid w:val="008D55FC"/>
    <w:rsid w:val="008D6D2B"/>
    <w:rsid w:val="008E2430"/>
    <w:rsid w:val="008E2A0A"/>
    <w:rsid w:val="008E6E5B"/>
    <w:rsid w:val="008E7C38"/>
    <w:rsid w:val="008F23CF"/>
    <w:rsid w:val="008F3803"/>
    <w:rsid w:val="008F70D8"/>
    <w:rsid w:val="00906F01"/>
    <w:rsid w:val="00911244"/>
    <w:rsid w:val="0091246C"/>
    <w:rsid w:val="00931150"/>
    <w:rsid w:val="00935374"/>
    <w:rsid w:val="00946B73"/>
    <w:rsid w:val="00947DF6"/>
    <w:rsid w:val="00953B4B"/>
    <w:rsid w:val="0095429C"/>
    <w:rsid w:val="009557B8"/>
    <w:rsid w:val="00957165"/>
    <w:rsid w:val="009605C4"/>
    <w:rsid w:val="00963C34"/>
    <w:rsid w:val="00967789"/>
    <w:rsid w:val="00972EBA"/>
    <w:rsid w:val="0097580F"/>
    <w:rsid w:val="0097785B"/>
    <w:rsid w:val="0097793B"/>
    <w:rsid w:val="00980A6B"/>
    <w:rsid w:val="00981788"/>
    <w:rsid w:val="009818ED"/>
    <w:rsid w:val="0098250D"/>
    <w:rsid w:val="0098301F"/>
    <w:rsid w:val="00984748"/>
    <w:rsid w:val="00987FC6"/>
    <w:rsid w:val="00994B83"/>
    <w:rsid w:val="00996CB7"/>
    <w:rsid w:val="009A12CD"/>
    <w:rsid w:val="009A17E8"/>
    <w:rsid w:val="009A3A5A"/>
    <w:rsid w:val="009A512F"/>
    <w:rsid w:val="009A7B59"/>
    <w:rsid w:val="009B63EF"/>
    <w:rsid w:val="009D0E66"/>
    <w:rsid w:val="009D1F13"/>
    <w:rsid w:val="009D377C"/>
    <w:rsid w:val="009E1D56"/>
    <w:rsid w:val="009E326D"/>
    <w:rsid w:val="009E39FA"/>
    <w:rsid w:val="009E511E"/>
    <w:rsid w:val="00A01258"/>
    <w:rsid w:val="00A0640E"/>
    <w:rsid w:val="00A07004"/>
    <w:rsid w:val="00A0774A"/>
    <w:rsid w:val="00A1232A"/>
    <w:rsid w:val="00A1595B"/>
    <w:rsid w:val="00A17B7C"/>
    <w:rsid w:val="00A17EAF"/>
    <w:rsid w:val="00A255A1"/>
    <w:rsid w:val="00A345D1"/>
    <w:rsid w:val="00A35C9E"/>
    <w:rsid w:val="00A37CC0"/>
    <w:rsid w:val="00A42490"/>
    <w:rsid w:val="00A437CD"/>
    <w:rsid w:val="00A46086"/>
    <w:rsid w:val="00A461A5"/>
    <w:rsid w:val="00A47D5C"/>
    <w:rsid w:val="00A527BD"/>
    <w:rsid w:val="00A660A9"/>
    <w:rsid w:val="00A67680"/>
    <w:rsid w:val="00A7596E"/>
    <w:rsid w:val="00A84D2E"/>
    <w:rsid w:val="00A9356D"/>
    <w:rsid w:val="00A951F5"/>
    <w:rsid w:val="00A97673"/>
    <w:rsid w:val="00AA0897"/>
    <w:rsid w:val="00AA0D7B"/>
    <w:rsid w:val="00AA6A7A"/>
    <w:rsid w:val="00AB5ECC"/>
    <w:rsid w:val="00AB61F9"/>
    <w:rsid w:val="00AE0FE6"/>
    <w:rsid w:val="00AE3CB8"/>
    <w:rsid w:val="00AF108D"/>
    <w:rsid w:val="00AF2810"/>
    <w:rsid w:val="00B005AA"/>
    <w:rsid w:val="00B02441"/>
    <w:rsid w:val="00B02993"/>
    <w:rsid w:val="00B03DDE"/>
    <w:rsid w:val="00B0586D"/>
    <w:rsid w:val="00B110B0"/>
    <w:rsid w:val="00B11359"/>
    <w:rsid w:val="00B13B85"/>
    <w:rsid w:val="00B161B9"/>
    <w:rsid w:val="00B22260"/>
    <w:rsid w:val="00B2281A"/>
    <w:rsid w:val="00B248EF"/>
    <w:rsid w:val="00B2762F"/>
    <w:rsid w:val="00B3195E"/>
    <w:rsid w:val="00B34671"/>
    <w:rsid w:val="00B403AA"/>
    <w:rsid w:val="00B40FD5"/>
    <w:rsid w:val="00B433E1"/>
    <w:rsid w:val="00B439E4"/>
    <w:rsid w:val="00B44419"/>
    <w:rsid w:val="00B457E6"/>
    <w:rsid w:val="00B4621F"/>
    <w:rsid w:val="00B46349"/>
    <w:rsid w:val="00B51B00"/>
    <w:rsid w:val="00B5471F"/>
    <w:rsid w:val="00B57C14"/>
    <w:rsid w:val="00B57C1C"/>
    <w:rsid w:val="00B57D47"/>
    <w:rsid w:val="00B65C63"/>
    <w:rsid w:val="00B71313"/>
    <w:rsid w:val="00B7336D"/>
    <w:rsid w:val="00B74D5F"/>
    <w:rsid w:val="00B7545C"/>
    <w:rsid w:val="00B777FD"/>
    <w:rsid w:val="00B831D3"/>
    <w:rsid w:val="00B83D0D"/>
    <w:rsid w:val="00B8748B"/>
    <w:rsid w:val="00B87F19"/>
    <w:rsid w:val="00B922A1"/>
    <w:rsid w:val="00B96671"/>
    <w:rsid w:val="00BA19DB"/>
    <w:rsid w:val="00BA1ED1"/>
    <w:rsid w:val="00BA3289"/>
    <w:rsid w:val="00BB392D"/>
    <w:rsid w:val="00BB3B7A"/>
    <w:rsid w:val="00BD1AE5"/>
    <w:rsid w:val="00BE2CA8"/>
    <w:rsid w:val="00BE4318"/>
    <w:rsid w:val="00BF16D6"/>
    <w:rsid w:val="00BF2822"/>
    <w:rsid w:val="00BF3963"/>
    <w:rsid w:val="00BF53DC"/>
    <w:rsid w:val="00BF7812"/>
    <w:rsid w:val="00BF7F4E"/>
    <w:rsid w:val="00C03102"/>
    <w:rsid w:val="00C05FF3"/>
    <w:rsid w:val="00C122B3"/>
    <w:rsid w:val="00C40A77"/>
    <w:rsid w:val="00C438B9"/>
    <w:rsid w:val="00C43C69"/>
    <w:rsid w:val="00C464D9"/>
    <w:rsid w:val="00C60955"/>
    <w:rsid w:val="00C6250B"/>
    <w:rsid w:val="00C62991"/>
    <w:rsid w:val="00C64429"/>
    <w:rsid w:val="00C653E0"/>
    <w:rsid w:val="00C67725"/>
    <w:rsid w:val="00C76FA5"/>
    <w:rsid w:val="00C8008B"/>
    <w:rsid w:val="00C81364"/>
    <w:rsid w:val="00C82CB2"/>
    <w:rsid w:val="00C85179"/>
    <w:rsid w:val="00C85A8D"/>
    <w:rsid w:val="00C85FDA"/>
    <w:rsid w:val="00C87050"/>
    <w:rsid w:val="00CA10CF"/>
    <w:rsid w:val="00CA26ED"/>
    <w:rsid w:val="00CB0663"/>
    <w:rsid w:val="00CB3A11"/>
    <w:rsid w:val="00CB540A"/>
    <w:rsid w:val="00CB6B06"/>
    <w:rsid w:val="00CC1D73"/>
    <w:rsid w:val="00CC47B4"/>
    <w:rsid w:val="00CC5C47"/>
    <w:rsid w:val="00CD2491"/>
    <w:rsid w:val="00CD33A7"/>
    <w:rsid w:val="00CE2C74"/>
    <w:rsid w:val="00CE2DDD"/>
    <w:rsid w:val="00CF04A1"/>
    <w:rsid w:val="00CF196C"/>
    <w:rsid w:val="00CF6108"/>
    <w:rsid w:val="00D03405"/>
    <w:rsid w:val="00D05EB6"/>
    <w:rsid w:val="00D06682"/>
    <w:rsid w:val="00D12898"/>
    <w:rsid w:val="00D16760"/>
    <w:rsid w:val="00D229BC"/>
    <w:rsid w:val="00D27374"/>
    <w:rsid w:val="00D3039E"/>
    <w:rsid w:val="00D309E4"/>
    <w:rsid w:val="00D33BBE"/>
    <w:rsid w:val="00D34B5E"/>
    <w:rsid w:val="00D364E5"/>
    <w:rsid w:val="00D3726D"/>
    <w:rsid w:val="00D46FB9"/>
    <w:rsid w:val="00D571FB"/>
    <w:rsid w:val="00D6000E"/>
    <w:rsid w:val="00D600F5"/>
    <w:rsid w:val="00D60135"/>
    <w:rsid w:val="00D67A80"/>
    <w:rsid w:val="00D711D2"/>
    <w:rsid w:val="00D73C56"/>
    <w:rsid w:val="00D74B3B"/>
    <w:rsid w:val="00D7574C"/>
    <w:rsid w:val="00D766D7"/>
    <w:rsid w:val="00D76BC5"/>
    <w:rsid w:val="00D807BE"/>
    <w:rsid w:val="00D840B3"/>
    <w:rsid w:val="00D840D0"/>
    <w:rsid w:val="00D8432A"/>
    <w:rsid w:val="00D87758"/>
    <w:rsid w:val="00D878B1"/>
    <w:rsid w:val="00D93202"/>
    <w:rsid w:val="00D93636"/>
    <w:rsid w:val="00D95B2E"/>
    <w:rsid w:val="00DA06B5"/>
    <w:rsid w:val="00DA080A"/>
    <w:rsid w:val="00DA1D32"/>
    <w:rsid w:val="00DA2488"/>
    <w:rsid w:val="00DA3D9A"/>
    <w:rsid w:val="00DA4C62"/>
    <w:rsid w:val="00DB0E19"/>
    <w:rsid w:val="00DB7868"/>
    <w:rsid w:val="00DC5BF6"/>
    <w:rsid w:val="00DC7241"/>
    <w:rsid w:val="00DD12AF"/>
    <w:rsid w:val="00DD1985"/>
    <w:rsid w:val="00DD56B0"/>
    <w:rsid w:val="00DE0764"/>
    <w:rsid w:val="00DE1E43"/>
    <w:rsid w:val="00DE3672"/>
    <w:rsid w:val="00DE7293"/>
    <w:rsid w:val="00DE7DEF"/>
    <w:rsid w:val="00DF548D"/>
    <w:rsid w:val="00E05EFE"/>
    <w:rsid w:val="00E27A1D"/>
    <w:rsid w:val="00E309A1"/>
    <w:rsid w:val="00E32959"/>
    <w:rsid w:val="00E45604"/>
    <w:rsid w:val="00E50BBE"/>
    <w:rsid w:val="00E565AD"/>
    <w:rsid w:val="00E57943"/>
    <w:rsid w:val="00E61A37"/>
    <w:rsid w:val="00E6374C"/>
    <w:rsid w:val="00E6446D"/>
    <w:rsid w:val="00E7276E"/>
    <w:rsid w:val="00EA54FE"/>
    <w:rsid w:val="00EA5A4D"/>
    <w:rsid w:val="00EA5CC9"/>
    <w:rsid w:val="00EB032E"/>
    <w:rsid w:val="00EB0D60"/>
    <w:rsid w:val="00EB5060"/>
    <w:rsid w:val="00EB6B48"/>
    <w:rsid w:val="00EB6DAE"/>
    <w:rsid w:val="00EC0E3A"/>
    <w:rsid w:val="00EC2D39"/>
    <w:rsid w:val="00EC427D"/>
    <w:rsid w:val="00ED0A4E"/>
    <w:rsid w:val="00EE3E64"/>
    <w:rsid w:val="00EE403C"/>
    <w:rsid w:val="00EE6421"/>
    <w:rsid w:val="00EF497B"/>
    <w:rsid w:val="00F0439A"/>
    <w:rsid w:val="00F0483E"/>
    <w:rsid w:val="00F06ACB"/>
    <w:rsid w:val="00F10BD1"/>
    <w:rsid w:val="00F113A8"/>
    <w:rsid w:val="00F14C1A"/>
    <w:rsid w:val="00F16DFB"/>
    <w:rsid w:val="00F27AAB"/>
    <w:rsid w:val="00F30E98"/>
    <w:rsid w:val="00F32E5A"/>
    <w:rsid w:val="00F3343F"/>
    <w:rsid w:val="00F44C86"/>
    <w:rsid w:val="00F5302B"/>
    <w:rsid w:val="00F53BDA"/>
    <w:rsid w:val="00F6155D"/>
    <w:rsid w:val="00F66790"/>
    <w:rsid w:val="00F66B3F"/>
    <w:rsid w:val="00F77CD5"/>
    <w:rsid w:val="00F80B04"/>
    <w:rsid w:val="00F85F4E"/>
    <w:rsid w:val="00F867A5"/>
    <w:rsid w:val="00F86E11"/>
    <w:rsid w:val="00F91171"/>
    <w:rsid w:val="00F93F0A"/>
    <w:rsid w:val="00F96E07"/>
    <w:rsid w:val="00F97DDA"/>
    <w:rsid w:val="00FA26CD"/>
    <w:rsid w:val="00FA52FC"/>
    <w:rsid w:val="00FA6ADF"/>
    <w:rsid w:val="00FB2796"/>
    <w:rsid w:val="00FB505A"/>
    <w:rsid w:val="00FB709D"/>
    <w:rsid w:val="00FC0005"/>
    <w:rsid w:val="00FC5F2D"/>
    <w:rsid w:val="00FD68A0"/>
    <w:rsid w:val="00FE2C70"/>
    <w:rsid w:val="00FE3F6A"/>
    <w:rsid w:val="00FF04AB"/>
    <w:rsid w:val="00FF27BB"/>
    <w:rsid w:val="00FF351B"/>
    <w:rsid w:val="00FF37AC"/>
    <w:rsid w:val="00FF7C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655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C8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F44C86"/>
    <w:pPr>
      <w:spacing w:before="100" w:beforeAutospacing="1" w:after="100" w:afterAutospacing="1"/>
    </w:pPr>
  </w:style>
  <w:style w:type="paragraph" w:styleId="Header">
    <w:name w:val="header"/>
    <w:basedOn w:val="Normal"/>
    <w:link w:val="HeaderChar"/>
    <w:uiPriority w:val="99"/>
    <w:unhideWhenUsed/>
    <w:rsid w:val="00F44C86"/>
    <w:pPr>
      <w:tabs>
        <w:tab w:val="center" w:pos="4153"/>
        <w:tab w:val="right" w:pos="8306"/>
      </w:tabs>
    </w:pPr>
  </w:style>
  <w:style w:type="character" w:customStyle="1" w:styleId="HeaderChar">
    <w:name w:val="Header Char"/>
    <w:link w:val="Header"/>
    <w:uiPriority w:val="99"/>
    <w:rsid w:val="00F44C86"/>
    <w:rPr>
      <w:rFonts w:ascii="Times New Roman" w:eastAsia="Times New Roman" w:hAnsi="Times New Roman" w:cs="Times New Roman"/>
      <w:sz w:val="24"/>
      <w:szCs w:val="24"/>
      <w:lang w:eastAsia="lv-LV"/>
    </w:rPr>
  </w:style>
  <w:style w:type="paragraph" w:styleId="BodyText">
    <w:name w:val="Body Text"/>
    <w:basedOn w:val="Normal"/>
    <w:link w:val="BodyTextChar"/>
    <w:unhideWhenUsed/>
    <w:rsid w:val="00F44C86"/>
    <w:rPr>
      <w:sz w:val="28"/>
      <w:lang w:eastAsia="en-US"/>
    </w:rPr>
  </w:style>
  <w:style w:type="character" w:customStyle="1" w:styleId="BodyTextChar">
    <w:name w:val="Body Text Char"/>
    <w:link w:val="BodyText"/>
    <w:rsid w:val="00F44C86"/>
    <w:rPr>
      <w:rFonts w:ascii="Times New Roman" w:eastAsia="Times New Roman" w:hAnsi="Times New Roman" w:cs="Times New Roman"/>
      <w:sz w:val="28"/>
      <w:szCs w:val="24"/>
    </w:rPr>
  </w:style>
  <w:style w:type="paragraph" w:customStyle="1" w:styleId="naiskr">
    <w:name w:val="naiskr"/>
    <w:basedOn w:val="Normal"/>
    <w:rsid w:val="00F44C86"/>
    <w:pPr>
      <w:spacing w:before="75" w:after="75"/>
    </w:pPr>
  </w:style>
  <w:style w:type="paragraph" w:customStyle="1" w:styleId="naisnod">
    <w:name w:val="naisnod"/>
    <w:basedOn w:val="Normal"/>
    <w:rsid w:val="00F44C86"/>
    <w:pPr>
      <w:spacing w:before="150" w:after="150"/>
      <w:jc w:val="center"/>
    </w:pPr>
    <w:rPr>
      <w:b/>
      <w:bCs/>
    </w:rPr>
  </w:style>
  <w:style w:type="paragraph" w:customStyle="1" w:styleId="naisc">
    <w:name w:val="naisc"/>
    <w:basedOn w:val="Normal"/>
    <w:rsid w:val="00F44C86"/>
    <w:pPr>
      <w:spacing w:before="450" w:after="300"/>
      <w:jc w:val="center"/>
    </w:pPr>
    <w:rPr>
      <w:sz w:val="26"/>
      <w:szCs w:val="26"/>
    </w:rPr>
  </w:style>
  <w:style w:type="paragraph" w:customStyle="1" w:styleId="StyleRight">
    <w:name w:val="Style Right"/>
    <w:basedOn w:val="Normal"/>
    <w:rsid w:val="00F44C86"/>
    <w:pPr>
      <w:spacing w:after="120"/>
      <w:ind w:firstLine="720"/>
      <w:jc w:val="right"/>
    </w:pPr>
    <w:rPr>
      <w:sz w:val="28"/>
      <w:szCs w:val="28"/>
      <w:lang w:eastAsia="en-US"/>
    </w:rPr>
  </w:style>
  <w:style w:type="paragraph" w:styleId="FootnoteText">
    <w:name w:val="footnote text"/>
    <w:basedOn w:val="Normal"/>
    <w:link w:val="FootnoteTextChar"/>
    <w:semiHidden/>
    <w:rsid w:val="00F44C86"/>
    <w:rPr>
      <w:sz w:val="20"/>
      <w:szCs w:val="20"/>
    </w:rPr>
  </w:style>
  <w:style w:type="character" w:customStyle="1" w:styleId="FootnoteTextChar">
    <w:name w:val="Footnote Text Char"/>
    <w:link w:val="FootnoteText"/>
    <w:semiHidden/>
    <w:rsid w:val="00F44C86"/>
    <w:rPr>
      <w:rFonts w:ascii="Times New Roman" w:eastAsia="Times New Roman" w:hAnsi="Times New Roman" w:cs="Times New Roman"/>
      <w:sz w:val="20"/>
      <w:szCs w:val="20"/>
      <w:lang w:eastAsia="lv-LV"/>
    </w:rPr>
  </w:style>
  <w:style w:type="paragraph" w:styleId="Footer">
    <w:name w:val="footer"/>
    <w:basedOn w:val="Normal"/>
    <w:link w:val="FooterChar"/>
    <w:unhideWhenUsed/>
    <w:rsid w:val="00F44C86"/>
    <w:pPr>
      <w:tabs>
        <w:tab w:val="center" w:pos="4153"/>
        <w:tab w:val="right" w:pos="8306"/>
      </w:tabs>
    </w:pPr>
  </w:style>
  <w:style w:type="character" w:customStyle="1" w:styleId="FooterChar">
    <w:name w:val="Footer Char"/>
    <w:link w:val="Footer"/>
    <w:rsid w:val="00F44C86"/>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uiPriority w:val="99"/>
    <w:unhideWhenUsed/>
    <w:rsid w:val="00FC0005"/>
    <w:pPr>
      <w:spacing w:after="120"/>
      <w:ind w:left="283"/>
    </w:pPr>
  </w:style>
  <w:style w:type="character" w:customStyle="1" w:styleId="BodyTextIndentChar">
    <w:name w:val="Body Text Indent Char"/>
    <w:link w:val="BodyTextIndent"/>
    <w:uiPriority w:val="99"/>
    <w:rsid w:val="00FC0005"/>
    <w:rPr>
      <w:rFonts w:ascii="Times New Roman" w:eastAsia="Times New Roman" w:hAnsi="Times New Roman"/>
      <w:sz w:val="24"/>
      <w:szCs w:val="24"/>
    </w:rPr>
  </w:style>
  <w:style w:type="paragraph" w:customStyle="1" w:styleId="RakstzRakstz">
    <w:name w:val="Rakstz. Rakstz."/>
    <w:basedOn w:val="Normal"/>
    <w:rsid w:val="00FC0005"/>
    <w:pPr>
      <w:spacing w:before="40"/>
    </w:pPr>
    <w:rPr>
      <w:sz w:val="28"/>
      <w:szCs w:val="28"/>
      <w:lang w:eastAsia="en-US"/>
    </w:rPr>
  </w:style>
  <w:style w:type="paragraph" w:styleId="NormalWeb">
    <w:name w:val="Normal (Web)"/>
    <w:basedOn w:val="Normal"/>
    <w:uiPriority w:val="99"/>
    <w:unhideWhenUsed/>
    <w:rsid w:val="00C438B9"/>
    <w:pPr>
      <w:spacing w:before="100" w:beforeAutospacing="1" w:after="100" w:afterAutospacing="1"/>
    </w:pPr>
    <w:rPr>
      <w:rFonts w:ascii="Verdana" w:hAnsi="Verdana"/>
      <w:sz w:val="15"/>
      <w:szCs w:val="15"/>
    </w:rPr>
  </w:style>
  <w:style w:type="character" w:styleId="Strong">
    <w:name w:val="Strong"/>
    <w:uiPriority w:val="22"/>
    <w:qFormat/>
    <w:rsid w:val="00C438B9"/>
    <w:rPr>
      <w:b/>
      <w:bCs/>
    </w:rPr>
  </w:style>
  <w:style w:type="paragraph" w:styleId="BalloonText">
    <w:name w:val="Balloon Text"/>
    <w:basedOn w:val="Normal"/>
    <w:semiHidden/>
    <w:rsid w:val="006B1924"/>
    <w:rPr>
      <w:rFonts w:ascii="Tahoma" w:hAnsi="Tahoma" w:cs="Tahoma"/>
      <w:sz w:val="16"/>
      <w:szCs w:val="16"/>
    </w:rPr>
  </w:style>
  <w:style w:type="character" w:styleId="Hyperlink">
    <w:name w:val="Hyperlink"/>
    <w:uiPriority w:val="99"/>
    <w:unhideWhenUsed/>
    <w:rsid w:val="003256FF"/>
    <w:rPr>
      <w:color w:val="0000FF"/>
      <w:u w:val="single"/>
    </w:rPr>
  </w:style>
  <w:style w:type="paragraph" w:customStyle="1" w:styleId="tvhtml">
    <w:name w:val="tv_html"/>
    <w:basedOn w:val="Normal"/>
    <w:rsid w:val="000570E3"/>
    <w:pPr>
      <w:spacing w:before="100" w:beforeAutospacing="1" w:after="100" w:afterAutospacing="1"/>
    </w:pPr>
  </w:style>
  <w:style w:type="table" w:styleId="TableGrid">
    <w:name w:val="Table Grid"/>
    <w:basedOn w:val="TableNormal"/>
    <w:uiPriority w:val="59"/>
    <w:rsid w:val="00C81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3400"/>
    <w:pPr>
      <w:ind w:left="720"/>
      <w:contextualSpacing/>
    </w:pPr>
  </w:style>
  <w:style w:type="character" w:styleId="CommentReference">
    <w:name w:val="annotation reference"/>
    <w:basedOn w:val="DefaultParagraphFont"/>
    <w:uiPriority w:val="99"/>
    <w:semiHidden/>
    <w:unhideWhenUsed/>
    <w:rsid w:val="00673F30"/>
    <w:rPr>
      <w:sz w:val="16"/>
      <w:szCs w:val="16"/>
    </w:rPr>
  </w:style>
  <w:style w:type="paragraph" w:styleId="CommentText">
    <w:name w:val="annotation text"/>
    <w:basedOn w:val="Normal"/>
    <w:link w:val="CommentTextChar"/>
    <w:uiPriority w:val="99"/>
    <w:unhideWhenUsed/>
    <w:rsid w:val="00673F30"/>
    <w:rPr>
      <w:sz w:val="20"/>
      <w:szCs w:val="20"/>
    </w:rPr>
  </w:style>
  <w:style w:type="character" w:customStyle="1" w:styleId="CommentTextChar">
    <w:name w:val="Comment Text Char"/>
    <w:basedOn w:val="DefaultParagraphFont"/>
    <w:link w:val="CommentText"/>
    <w:uiPriority w:val="99"/>
    <w:rsid w:val="00673F30"/>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673F30"/>
    <w:rPr>
      <w:b/>
      <w:bCs/>
    </w:rPr>
  </w:style>
  <w:style w:type="character" w:customStyle="1" w:styleId="CommentSubjectChar">
    <w:name w:val="Comment Subject Char"/>
    <w:basedOn w:val="CommentTextChar"/>
    <w:link w:val="CommentSubject"/>
    <w:uiPriority w:val="99"/>
    <w:semiHidden/>
    <w:rsid w:val="00673F30"/>
    <w:rPr>
      <w:rFonts w:ascii="Times New Roman" w:eastAsia="Times New Roman" w:hAnsi="Times New Roman"/>
      <w:b/>
      <w:bCs/>
    </w:rPr>
  </w:style>
  <w:style w:type="paragraph" w:styleId="NoSpacing">
    <w:name w:val="No Spacing"/>
    <w:uiPriority w:val="1"/>
    <w:qFormat/>
    <w:rsid w:val="006E5C1D"/>
    <w:rPr>
      <w:rFonts w:asciiTheme="minorHAnsi" w:eastAsiaTheme="minorHAnsi" w:hAnsiTheme="minorHAnsi" w:cstheme="minorBidi"/>
      <w:sz w:val="22"/>
      <w:szCs w:val="22"/>
      <w:lang w:eastAsia="en-US"/>
    </w:rPr>
  </w:style>
  <w:style w:type="paragraph" w:customStyle="1" w:styleId="tv213">
    <w:name w:val="tv213"/>
    <w:basedOn w:val="Normal"/>
    <w:rsid w:val="0008511B"/>
    <w:pPr>
      <w:spacing w:before="100" w:beforeAutospacing="1" w:after="100" w:afterAutospacing="1"/>
    </w:pPr>
  </w:style>
  <w:style w:type="paragraph" w:customStyle="1" w:styleId="labojumupamats">
    <w:name w:val="labojumu_pamats"/>
    <w:basedOn w:val="Normal"/>
    <w:rsid w:val="00B005AA"/>
    <w:pPr>
      <w:spacing w:before="100" w:beforeAutospacing="1" w:after="100" w:afterAutospacing="1"/>
    </w:pPr>
  </w:style>
  <w:style w:type="character" w:customStyle="1" w:styleId="fontsize2">
    <w:name w:val="fontsize2"/>
    <w:basedOn w:val="DefaultParagraphFont"/>
    <w:rsid w:val="00B005AA"/>
  </w:style>
  <w:style w:type="character" w:customStyle="1" w:styleId="UnresolvedMention1">
    <w:name w:val="Unresolved Mention1"/>
    <w:basedOn w:val="DefaultParagraphFont"/>
    <w:uiPriority w:val="99"/>
    <w:semiHidden/>
    <w:unhideWhenUsed/>
    <w:rsid w:val="004C341B"/>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C8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F44C86"/>
    <w:pPr>
      <w:spacing w:before="100" w:beforeAutospacing="1" w:after="100" w:afterAutospacing="1"/>
    </w:pPr>
  </w:style>
  <w:style w:type="paragraph" w:styleId="Header">
    <w:name w:val="header"/>
    <w:basedOn w:val="Normal"/>
    <w:link w:val="HeaderChar"/>
    <w:uiPriority w:val="99"/>
    <w:unhideWhenUsed/>
    <w:rsid w:val="00F44C86"/>
    <w:pPr>
      <w:tabs>
        <w:tab w:val="center" w:pos="4153"/>
        <w:tab w:val="right" w:pos="8306"/>
      </w:tabs>
    </w:pPr>
  </w:style>
  <w:style w:type="character" w:customStyle="1" w:styleId="HeaderChar">
    <w:name w:val="Header Char"/>
    <w:link w:val="Header"/>
    <w:uiPriority w:val="99"/>
    <w:rsid w:val="00F44C86"/>
    <w:rPr>
      <w:rFonts w:ascii="Times New Roman" w:eastAsia="Times New Roman" w:hAnsi="Times New Roman" w:cs="Times New Roman"/>
      <w:sz w:val="24"/>
      <w:szCs w:val="24"/>
      <w:lang w:eastAsia="lv-LV"/>
    </w:rPr>
  </w:style>
  <w:style w:type="paragraph" w:styleId="BodyText">
    <w:name w:val="Body Text"/>
    <w:basedOn w:val="Normal"/>
    <w:link w:val="BodyTextChar"/>
    <w:unhideWhenUsed/>
    <w:rsid w:val="00F44C86"/>
    <w:rPr>
      <w:sz w:val="28"/>
      <w:lang w:eastAsia="en-US"/>
    </w:rPr>
  </w:style>
  <w:style w:type="character" w:customStyle="1" w:styleId="BodyTextChar">
    <w:name w:val="Body Text Char"/>
    <w:link w:val="BodyText"/>
    <w:rsid w:val="00F44C86"/>
    <w:rPr>
      <w:rFonts w:ascii="Times New Roman" w:eastAsia="Times New Roman" w:hAnsi="Times New Roman" w:cs="Times New Roman"/>
      <w:sz w:val="28"/>
      <w:szCs w:val="24"/>
    </w:rPr>
  </w:style>
  <w:style w:type="paragraph" w:customStyle="1" w:styleId="naiskr">
    <w:name w:val="naiskr"/>
    <w:basedOn w:val="Normal"/>
    <w:rsid w:val="00F44C86"/>
    <w:pPr>
      <w:spacing w:before="75" w:after="75"/>
    </w:pPr>
  </w:style>
  <w:style w:type="paragraph" w:customStyle="1" w:styleId="naisnod">
    <w:name w:val="naisnod"/>
    <w:basedOn w:val="Normal"/>
    <w:rsid w:val="00F44C86"/>
    <w:pPr>
      <w:spacing w:before="150" w:after="150"/>
      <w:jc w:val="center"/>
    </w:pPr>
    <w:rPr>
      <w:b/>
      <w:bCs/>
    </w:rPr>
  </w:style>
  <w:style w:type="paragraph" w:customStyle="1" w:styleId="naisc">
    <w:name w:val="naisc"/>
    <w:basedOn w:val="Normal"/>
    <w:rsid w:val="00F44C86"/>
    <w:pPr>
      <w:spacing w:before="450" w:after="300"/>
      <w:jc w:val="center"/>
    </w:pPr>
    <w:rPr>
      <w:sz w:val="26"/>
      <w:szCs w:val="26"/>
    </w:rPr>
  </w:style>
  <w:style w:type="paragraph" w:customStyle="1" w:styleId="StyleRight">
    <w:name w:val="Style Right"/>
    <w:basedOn w:val="Normal"/>
    <w:rsid w:val="00F44C86"/>
    <w:pPr>
      <w:spacing w:after="120"/>
      <w:ind w:firstLine="720"/>
      <w:jc w:val="right"/>
    </w:pPr>
    <w:rPr>
      <w:sz w:val="28"/>
      <w:szCs w:val="28"/>
      <w:lang w:eastAsia="en-US"/>
    </w:rPr>
  </w:style>
  <w:style w:type="paragraph" w:styleId="FootnoteText">
    <w:name w:val="footnote text"/>
    <w:basedOn w:val="Normal"/>
    <w:link w:val="FootnoteTextChar"/>
    <w:semiHidden/>
    <w:rsid w:val="00F44C86"/>
    <w:rPr>
      <w:sz w:val="20"/>
      <w:szCs w:val="20"/>
    </w:rPr>
  </w:style>
  <w:style w:type="character" w:customStyle="1" w:styleId="FootnoteTextChar">
    <w:name w:val="Footnote Text Char"/>
    <w:link w:val="FootnoteText"/>
    <w:semiHidden/>
    <w:rsid w:val="00F44C86"/>
    <w:rPr>
      <w:rFonts w:ascii="Times New Roman" w:eastAsia="Times New Roman" w:hAnsi="Times New Roman" w:cs="Times New Roman"/>
      <w:sz w:val="20"/>
      <w:szCs w:val="20"/>
      <w:lang w:eastAsia="lv-LV"/>
    </w:rPr>
  </w:style>
  <w:style w:type="paragraph" w:styleId="Footer">
    <w:name w:val="footer"/>
    <w:basedOn w:val="Normal"/>
    <w:link w:val="FooterChar"/>
    <w:unhideWhenUsed/>
    <w:rsid w:val="00F44C86"/>
    <w:pPr>
      <w:tabs>
        <w:tab w:val="center" w:pos="4153"/>
        <w:tab w:val="right" w:pos="8306"/>
      </w:tabs>
    </w:pPr>
  </w:style>
  <w:style w:type="character" w:customStyle="1" w:styleId="FooterChar">
    <w:name w:val="Footer Char"/>
    <w:link w:val="Footer"/>
    <w:rsid w:val="00F44C86"/>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uiPriority w:val="99"/>
    <w:unhideWhenUsed/>
    <w:rsid w:val="00FC0005"/>
    <w:pPr>
      <w:spacing w:after="120"/>
      <w:ind w:left="283"/>
    </w:pPr>
  </w:style>
  <w:style w:type="character" w:customStyle="1" w:styleId="BodyTextIndentChar">
    <w:name w:val="Body Text Indent Char"/>
    <w:link w:val="BodyTextIndent"/>
    <w:uiPriority w:val="99"/>
    <w:rsid w:val="00FC0005"/>
    <w:rPr>
      <w:rFonts w:ascii="Times New Roman" w:eastAsia="Times New Roman" w:hAnsi="Times New Roman"/>
      <w:sz w:val="24"/>
      <w:szCs w:val="24"/>
    </w:rPr>
  </w:style>
  <w:style w:type="paragraph" w:customStyle="1" w:styleId="RakstzRakstz">
    <w:name w:val="Rakstz. Rakstz."/>
    <w:basedOn w:val="Normal"/>
    <w:rsid w:val="00FC0005"/>
    <w:pPr>
      <w:spacing w:before="40"/>
    </w:pPr>
    <w:rPr>
      <w:sz w:val="28"/>
      <w:szCs w:val="28"/>
      <w:lang w:eastAsia="en-US"/>
    </w:rPr>
  </w:style>
  <w:style w:type="paragraph" w:styleId="NormalWeb">
    <w:name w:val="Normal (Web)"/>
    <w:basedOn w:val="Normal"/>
    <w:uiPriority w:val="99"/>
    <w:unhideWhenUsed/>
    <w:rsid w:val="00C438B9"/>
    <w:pPr>
      <w:spacing w:before="100" w:beforeAutospacing="1" w:after="100" w:afterAutospacing="1"/>
    </w:pPr>
    <w:rPr>
      <w:rFonts w:ascii="Verdana" w:hAnsi="Verdana"/>
      <w:sz w:val="15"/>
      <w:szCs w:val="15"/>
    </w:rPr>
  </w:style>
  <w:style w:type="character" w:styleId="Strong">
    <w:name w:val="Strong"/>
    <w:uiPriority w:val="22"/>
    <w:qFormat/>
    <w:rsid w:val="00C438B9"/>
    <w:rPr>
      <w:b/>
      <w:bCs/>
    </w:rPr>
  </w:style>
  <w:style w:type="paragraph" w:styleId="BalloonText">
    <w:name w:val="Balloon Text"/>
    <w:basedOn w:val="Normal"/>
    <w:semiHidden/>
    <w:rsid w:val="006B1924"/>
    <w:rPr>
      <w:rFonts w:ascii="Tahoma" w:hAnsi="Tahoma" w:cs="Tahoma"/>
      <w:sz w:val="16"/>
      <w:szCs w:val="16"/>
    </w:rPr>
  </w:style>
  <w:style w:type="character" w:styleId="Hyperlink">
    <w:name w:val="Hyperlink"/>
    <w:uiPriority w:val="99"/>
    <w:unhideWhenUsed/>
    <w:rsid w:val="003256FF"/>
    <w:rPr>
      <w:color w:val="0000FF"/>
      <w:u w:val="single"/>
    </w:rPr>
  </w:style>
  <w:style w:type="paragraph" w:customStyle="1" w:styleId="tvhtml">
    <w:name w:val="tv_html"/>
    <w:basedOn w:val="Normal"/>
    <w:rsid w:val="000570E3"/>
    <w:pPr>
      <w:spacing w:before="100" w:beforeAutospacing="1" w:after="100" w:afterAutospacing="1"/>
    </w:pPr>
  </w:style>
  <w:style w:type="table" w:styleId="TableGrid">
    <w:name w:val="Table Grid"/>
    <w:basedOn w:val="TableNormal"/>
    <w:uiPriority w:val="59"/>
    <w:rsid w:val="00C81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3400"/>
    <w:pPr>
      <w:ind w:left="720"/>
      <w:contextualSpacing/>
    </w:pPr>
  </w:style>
  <w:style w:type="character" w:styleId="CommentReference">
    <w:name w:val="annotation reference"/>
    <w:basedOn w:val="DefaultParagraphFont"/>
    <w:uiPriority w:val="99"/>
    <w:semiHidden/>
    <w:unhideWhenUsed/>
    <w:rsid w:val="00673F30"/>
    <w:rPr>
      <w:sz w:val="16"/>
      <w:szCs w:val="16"/>
    </w:rPr>
  </w:style>
  <w:style w:type="paragraph" w:styleId="CommentText">
    <w:name w:val="annotation text"/>
    <w:basedOn w:val="Normal"/>
    <w:link w:val="CommentTextChar"/>
    <w:uiPriority w:val="99"/>
    <w:unhideWhenUsed/>
    <w:rsid w:val="00673F30"/>
    <w:rPr>
      <w:sz w:val="20"/>
      <w:szCs w:val="20"/>
    </w:rPr>
  </w:style>
  <w:style w:type="character" w:customStyle="1" w:styleId="CommentTextChar">
    <w:name w:val="Comment Text Char"/>
    <w:basedOn w:val="DefaultParagraphFont"/>
    <w:link w:val="CommentText"/>
    <w:uiPriority w:val="99"/>
    <w:rsid w:val="00673F30"/>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673F30"/>
    <w:rPr>
      <w:b/>
      <w:bCs/>
    </w:rPr>
  </w:style>
  <w:style w:type="character" w:customStyle="1" w:styleId="CommentSubjectChar">
    <w:name w:val="Comment Subject Char"/>
    <w:basedOn w:val="CommentTextChar"/>
    <w:link w:val="CommentSubject"/>
    <w:uiPriority w:val="99"/>
    <w:semiHidden/>
    <w:rsid w:val="00673F30"/>
    <w:rPr>
      <w:rFonts w:ascii="Times New Roman" w:eastAsia="Times New Roman" w:hAnsi="Times New Roman"/>
      <w:b/>
      <w:bCs/>
    </w:rPr>
  </w:style>
  <w:style w:type="paragraph" w:styleId="NoSpacing">
    <w:name w:val="No Spacing"/>
    <w:uiPriority w:val="1"/>
    <w:qFormat/>
    <w:rsid w:val="006E5C1D"/>
    <w:rPr>
      <w:rFonts w:asciiTheme="minorHAnsi" w:eastAsiaTheme="minorHAnsi" w:hAnsiTheme="minorHAnsi" w:cstheme="minorBidi"/>
      <w:sz w:val="22"/>
      <w:szCs w:val="22"/>
      <w:lang w:eastAsia="en-US"/>
    </w:rPr>
  </w:style>
  <w:style w:type="paragraph" w:customStyle="1" w:styleId="tv213">
    <w:name w:val="tv213"/>
    <w:basedOn w:val="Normal"/>
    <w:rsid w:val="0008511B"/>
    <w:pPr>
      <w:spacing w:before="100" w:beforeAutospacing="1" w:after="100" w:afterAutospacing="1"/>
    </w:pPr>
  </w:style>
  <w:style w:type="paragraph" w:customStyle="1" w:styleId="labojumupamats">
    <w:name w:val="labojumu_pamats"/>
    <w:basedOn w:val="Normal"/>
    <w:rsid w:val="00B005AA"/>
    <w:pPr>
      <w:spacing w:before="100" w:beforeAutospacing="1" w:after="100" w:afterAutospacing="1"/>
    </w:pPr>
  </w:style>
  <w:style w:type="character" w:customStyle="1" w:styleId="fontsize2">
    <w:name w:val="fontsize2"/>
    <w:basedOn w:val="DefaultParagraphFont"/>
    <w:rsid w:val="00B005AA"/>
  </w:style>
  <w:style w:type="character" w:customStyle="1" w:styleId="UnresolvedMention1">
    <w:name w:val="Unresolved Mention1"/>
    <w:basedOn w:val="DefaultParagraphFont"/>
    <w:uiPriority w:val="99"/>
    <w:semiHidden/>
    <w:unhideWhenUsed/>
    <w:rsid w:val="004C34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152878">
      <w:bodyDiv w:val="1"/>
      <w:marLeft w:val="0"/>
      <w:marRight w:val="0"/>
      <w:marTop w:val="0"/>
      <w:marBottom w:val="0"/>
      <w:divBdr>
        <w:top w:val="none" w:sz="0" w:space="0" w:color="auto"/>
        <w:left w:val="none" w:sz="0" w:space="0" w:color="auto"/>
        <w:bottom w:val="none" w:sz="0" w:space="0" w:color="auto"/>
        <w:right w:val="none" w:sz="0" w:space="0" w:color="auto"/>
      </w:divBdr>
    </w:div>
    <w:div w:id="519705235">
      <w:bodyDiv w:val="1"/>
      <w:marLeft w:val="0"/>
      <w:marRight w:val="0"/>
      <w:marTop w:val="0"/>
      <w:marBottom w:val="0"/>
      <w:divBdr>
        <w:top w:val="none" w:sz="0" w:space="0" w:color="auto"/>
        <w:left w:val="none" w:sz="0" w:space="0" w:color="auto"/>
        <w:bottom w:val="none" w:sz="0" w:space="0" w:color="auto"/>
        <w:right w:val="none" w:sz="0" w:space="0" w:color="auto"/>
      </w:divBdr>
    </w:div>
    <w:div w:id="704602896">
      <w:bodyDiv w:val="1"/>
      <w:marLeft w:val="0"/>
      <w:marRight w:val="0"/>
      <w:marTop w:val="0"/>
      <w:marBottom w:val="0"/>
      <w:divBdr>
        <w:top w:val="none" w:sz="0" w:space="0" w:color="auto"/>
        <w:left w:val="none" w:sz="0" w:space="0" w:color="auto"/>
        <w:bottom w:val="none" w:sz="0" w:space="0" w:color="auto"/>
        <w:right w:val="none" w:sz="0" w:space="0" w:color="auto"/>
      </w:divBdr>
    </w:div>
    <w:div w:id="733969650">
      <w:bodyDiv w:val="1"/>
      <w:marLeft w:val="0"/>
      <w:marRight w:val="0"/>
      <w:marTop w:val="0"/>
      <w:marBottom w:val="0"/>
      <w:divBdr>
        <w:top w:val="none" w:sz="0" w:space="0" w:color="auto"/>
        <w:left w:val="none" w:sz="0" w:space="0" w:color="auto"/>
        <w:bottom w:val="none" w:sz="0" w:space="0" w:color="auto"/>
        <w:right w:val="none" w:sz="0" w:space="0" w:color="auto"/>
      </w:divBdr>
      <w:divsChild>
        <w:div w:id="1345550970">
          <w:marLeft w:val="0"/>
          <w:marRight w:val="0"/>
          <w:marTop w:val="0"/>
          <w:marBottom w:val="0"/>
          <w:divBdr>
            <w:top w:val="none" w:sz="0" w:space="0" w:color="auto"/>
            <w:left w:val="none" w:sz="0" w:space="0" w:color="auto"/>
            <w:bottom w:val="none" w:sz="0" w:space="0" w:color="auto"/>
            <w:right w:val="none" w:sz="0" w:space="0" w:color="auto"/>
          </w:divBdr>
        </w:div>
        <w:div w:id="934480574">
          <w:marLeft w:val="0"/>
          <w:marRight w:val="0"/>
          <w:marTop w:val="0"/>
          <w:marBottom w:val="0"/>
          <w:divBdr>
            <w:top w:val="none" w:sz="0" w:space="0" w:color="auto"/>
            <w:left w:val="none" w:sz="0" w:space="0" w:color="auto"/>
            <w:bottom w:val="none" w:sz="0" w:space="0" w:color="auto"/>
            <w:right w:val="none" w:sz="0" w:space="0" w:color="auto"/>
          </w:divBdr>
        </w:div>
        <w:div w:id="443958438">
          <w:marLeft w:val="0"/>
          <w:marRight w:val="0"/>
          <w:marTop w:val="0"/>
          <w:marBottom w:val="0"/>
          <w:divBdr>
            <w:top w:val="none" w:sz="0" w:space="0" w:color="auto"/>
            <w:left w:val="none" w:sz="0" w:space="0" w:color="auto"/>
            <w:bottom w:val="none" w:sz="0" w:space="0" w:color="auto"/>
            <w:right w:val="none" w:sz="0" w:space="0" w:color="auto"/>
          </w:divBdr>
        </w:div>
      </w:divsChild>
    </w:div>
    <w:div w:id="1015620999">
      <w:bodyDiv w:val="1"/>
      <w:marLeft w:val="0"/>
      <w:marRight w:val="0"/>
      <w:marTop w:val="0"/>
      <w:marBottom w:val="0"/>
      <w:divBdr>
        <w:top w:val="none" w:sz="0" w:space="0" w:color="auto"/>
        <w:left w:val="none" w:sz="0" w:space="0" w:color="auto"/>
        <w:bottom w:val="none" w:sz="0" w:space="0" w:color="auto"/>
        <w:right w:val="none" w:sz="0" w:space="0" w:color="auto"/>
      </w:divBdr>
    </w:div>
    <w:div w:id="1125274647">
      <w:bodyDiv w:val="1"/>
      <w:marLeft w:val="0"/>
      <w:marRight w:val="0"/>
      <w:marTop w:val="0"/>
      <w:marBottom w:val="0"/>
      <w:divBdr>
        <w:top w:val="none" w:sz="0" w:space="0" w:color="auto"/>
        <w:left w:val="none" w:sz="0" w:space="0" w:color="auto"/>
        <w:bottom w:val="none" w:sz="0" w:space="0" w:color="auto"/>
        <w:right w:val="none" w:sz="0" w:space="0" w:color="auto"/>
      </w:divBdr>
    </w:div>
    <w:div w:id="1215505872">
      <w:bodyDiv w:val="1"/>
      <w:marLeft w:val="0"/>
      <w:marRight w:val="0"/>
      <w:marTop w:val="0"/>
      <w:marBottom w:val="0"/>
      <w:divBdr>
        <w:top w:val="none" w:sz="0" w:space="0" w:color="auto"/>
        <w:left w:val="none" w:sz="0" w:space="0" w:color="auto"/>
        <w:bottom w:val="none" w:sz="0" w:space="0" w:color="auto"/>
        <w:right w:val="none" w:sz="0" w:space="0" w:color="auto"/>
      </w:divBdr>
      <w:divsChild>
        <w:div w:id="1970816718">
          <w:marLeft w:val="0"/>
          <w:marRight w:val="0"/>
          <w:marTop w:val="0"/>
          <w:marBottom w:val="0"/>
          <w:divBdr>
            <w:top w:val="none" w:sz="0" w:space="0" w:color="auto"/>
            <w:left w:val="none" w:sz="0" w:space="0" w:color="auto"/>
            <w:bottom w:val="none" w:sz="0" w:space="0" w:color="auto"/>
            <w:right w:val="none" w:sz="0" w:space="0" w:color="auto"/>
          </w:divBdr>
        </w:div>
        <w:div w:id="1770661542">
          <w:marLeft w:val="0"/>
          <w:marRight w:val="0"/>
          <w:marTop w:val="0"/>
          <w:marBottom w:val="0"/>
          <w:divBdr>
            <w:top w:val="none" w:sz="0" w:space="0" w:color="auto"/>
            <w:left w:val="none" w:sz="0" w:space="0" w:color="auto"/>
            <w:bottom w:val="none" w:sz="0" w:space="0" w:color="auto"/>
            <w:right w:val="none" w:sz="0" w:space="0" w:color="auto"/>
          </w:divBdr>
        </w:div>
      </w:divsChild>
    </w:div>
    <w:div w:id="1297561693">
      <w:bodyDiv w:val="1"/>
      <w:marLeft w:val="0"/>
      <w:marRight w:val="0"/>
      <w:marTop w:val="0"/>
      <w:marBottom w:val="0"/>
      <w:divBdr>
        <w:top w:val="none" w:sz="0" w:space="0" w:color="auto"/>
        <w:left w:val="none" w:sz="0" w:space="0" w:color="auto"/>
        <w:bottom w:val="none" w:sz="0" w:space="0" w:color="auto"/>
        <w:right w:val="none" w:sz="0" w:space="0" w:color="auto"/>
      </w:divBdr>
    </w:div>
    <w:div w:id="1393574518">
      <w:bodyDiv w:val="1"/>
      <w:marLeft w:val="0"/>
      <w:marRight w:val="0"/>
      <w:marTop w:val="0"/>
      <w:marBottom w:val="0"/>
      <w:divBdr>
        <w:top w:val="none" w:sz="0" w:space="0" w:color="auto"/>
        <w:left w:val="none" w:sz="0" w:space="0" w:color="auto"/>
        <w:bottom w:val="none" w:sz="0" w:space="0" w:color="auto"/>
        <w:right w:val="none" w:sz="0" w:space="0" w:color="auto"/>
      </w:divBdr>
    </w:div>
    <w:div w:id="1502891987">
      <w:bodyDiv w:val="1"/>
      <w:marLeft w:val="0"/>
      <w:marRight w:val="0"/>
      <w:marTop w:val="0"/>
      <w:marBottom w:val="0"/>
      <w:divBdr>
        <w:top w:val="none" w:sz="0" w:space="0" w:color="auto"/>
        <w:left w:val="none" w:sz="0" w:space="0" w:color="auto"/>
        <w:bottom w:val="none" w:sz="0" w:space="0" w:color="auto"/>
        <w:right w:val="none" w:sz="0" w:space="0" w:color="auto"/>
      </w:divBdr>
    </w:div>
    <w:div w:id="1574200267">
      <w:bodyDiv w:val="1"/>
      <w:marLeft w:val="0"/>
      <w:marRight w:val="0"/>
      <w:marTop w:val="0"/>
      <w:marBottom w:val="0"/>
      <w:divBdr>
        <w:top w:val="none" w:sz="0" w:space="0" w:color="auto"/>
        <w:left w:val="none" w:sz="0" w:space="0" w:color="auto"/>
        <w:bottom w:val="none" w:sz="0" w:space="0" w:color="auto"/>
        <w:right w:val="none" w:sz="0" w:space="0" w:color="auto"/>
      </w:divBdr>
      <w:divsChild>
        <w:div w:id="520972731">
          <w:marLeft w:val="0"/>
          <w:marRight w:val="0"/>
          <w:marTop w:val="0"/>
          <w:marBottom w:val="0"/>
          <w:divBdr>
            <w:top w:val="none" w:sz="0" w:space="0" w:color="auto"/>
            <w:left w:val="none" w:sz="0" w:space="0" w:color="auto"/>
            <w:bottom w:val="none" w:sz="0" w:space="0" w:color="auto"/>
            <w:right w:val="none" w:sz="0" w:space="0" w:color="auto"/>
          </w:divBdr>
          <w:divsChild>
            <w:div w:id="290668429">
              <w:marLeft w:val="0"/>
              <w:marRight w:val="0"/>
              <w:marTop w:val="0"/>
              <w:marBottom w:val="0"/>
              <w:divBdr>
                <w:top w:val="none" w:sz="0" w:space="0" w:color="auto"/>
                <w:left w:val="none" w:sz="0" w:space="0" w:color="auto"/>
                <w:bottom w:val="none" w:sz="0" w:space="0" w:color="auto"/>
                <w:right w:val="none" w:sz="0" w:space="0" w:color="auto"/>
              </w:divBdr>
              <w:divsChild>
                <w:div w:id="762796532">
                  <w:marLeft w:val="0"/>
                  <w:marRight w:val="0"/>
                  <w:marTop w:val="0"/>
                  <w:marBottom w:val="0"/>
                  <w:divBdr>
                    <w:top w:val="none" w:sz="0" w:space="0" w:color="auto"/>
                    <w:left w:val="none" w:sz="0" w:space="0" w:color="auto"/>
                    <w:bottom w:val="none" w:sz="0" w:space="0" w:color="auto"/>
                    <w:right w:val="none" w:sz="0" w:space="0" w:color="auto"/>
                  </w:divBdr>
                  <w:divsChild>
                    <w:div w:id="1169901781">
                      <w:marLeft w:val="0"/>
                      <w:marRight w:val="0"/>
                      <w:marTop w:val="0"/>
                      <w:marBottom w:val="0"/>
                      <w:divBdr>
                        <w:top w:val="none" w:sz="0" w:space="0" w:color="auto"/>
                        <w:left w:val="none" w:sz="0" w:space="0" w:color="auto"/>
                        <w:bottom w:val="none" w:sz="0" w:space="0" w:color="auto"/>
                        <w:right w:val="none" w:sz="0" w:space="0" w:color="auto"/>
                      </w:divBdr>
                      <w:divsChild>
                        <w:div w:id="1916477202">
                          <w:marLeft w:val="0"/>
                          <w:marRight w:val="0"/>
                          <w:marTop w:val="0"/>
                          <w:marBottom w:val="0"/>
                          <w:divBdr>
                            <w:top w:val="none" w:sz="0" w:space="0" w:color="auto"/>
                            <w:left w:val="none" w:sz="0" w:space="0" w:color="auto"/>
                            <w:bottom w:val="none" w:sz="0" w:space="0" w:color="auto"/>
                            <w:right w:val="none" w:sz="0" w:space="0" w:color="auto"/>
                          </w:divBdr>
                          <w:divsChild>
                            <w:div w:id="196744426">
                              <w:marLeft w:val="0"/>
                              <w:marRight w:val="0"/>
                              <w:marTop w:val="0"/>
                              <w:marBottom w:val="567"/>
                              <w:divBdr>
                                <w:top w:val="none" w:sz="0" w:space="0" w:color="auto"/>
                                <w:left w:val="none" w:sz="0" w:space="0" w:color="auto"/>
                                <w:bottom w:val="none" w:sz="0" w:space="0" w:color="auto"/>
                                <w:right w:val="none" w:sz="0" w:space="0" w:color="auto"/>
                              </w:divBdr>
                            </w:div>
                            <w:div w:id="1379815356">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392229">
      <w:bodyDiv w:val="1"/>
      <w:marLeft w:val="0"/>
      <w:marRight w:val="0"/>
      <w:marTop w:val="0"/>
      <w:marBottom w:val="0"/>
      <w:divBdr>
        <w:top w:val="none" w:sz="0" w:space="0" w:color="auto"/>
        <w:left w:val="none" w:sz="0" w:space="0" w:color="auto"/>
        <w:bottom w:val="none" w:sz="0" w:space="0" w:color="auto"/>
        <w:right w:val="none" w:sz="0" w:space="0" w:color="auto"/>
      </w:divBdr>
    </w:div>
    <w:div w:id="188540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lnkc.gov.lv" TargetMode="External"/><Relationship Id="rId4" Type="http://schemas.microsoft.com/office/2007/relationships/stylesWithEffects" Target="stylesWithEffects.xml"/><Relationship Id="rId9" Type="http://schemas.openxmlformats.org/officeDocument/2006/relationships/hyperlink" Target="http://www.visc.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102DD-B77C-4ACA-B4F4-0254CCD09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8</Pages>
  <Words>10254</Words>
  <Characters>5846</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Ministru kabineta noteikumu projekta „Profesionālo kvalifikāciju saraksts, kuras iegūstot kārtojami centralizētie profesionālās kvalifikācijas eksāmeni” sākotnējās ietekmes novērtējuma ziņojums (anotācija)</vt:lpstr>
    </vt:vector>
  </TitlesOfParts>
  <Manager>Valsts izglītības satura centrs</Manager>
  <Company>Izglītības un zinātnes ministrija</Company>
  <LinksUpToDate>false</LinksUpToDate>
  <CharactersWithSpaces>16068</CharactersWithSpaces>
  <SharedDoc>false</SharedDoc>
  <HLinks>
    <vt:vector size="6" baseType="variant">
      <vt:variant>
        <vt:i4>4784245</vt:i4>
      </vt:variant>
      <vt:variant>
        <vt:i4>0</vt:i4>
      </vt:variant>
      <vt:variant>
        <vt:i4>0</vt:i4>
      </vt:variant>
      <vt:variant>
        <vt:i4>5</vt:i4>
      </vt:variant>
      <vt:variant>
        <vt:lpwstr>mailto:ruta.ancupane@visc.gov.lv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„Profesionālo kvalifikāciju saraksts, kuras iegūstot kārtojami centralizētie profesionālās kvalifikācijas eksāmeni” sākotnējās ietekmes novērtējuma ziņojums (anotācija)</dc:title>
  <dc:subject>Anotācija</dc:subject>
  <dc:creator>Ruta.Ancupane@visc.gov.lv</dc:creator>
  <dc:description>64615342, ruta.ancupane@852.visc.gov.lv</dc:description>
  <cp:lastModifiedBy>Ivars Zemļanskis</cp:lastModifiedBy>
  <cp:revision>35</cp:revision>
  <cp:lastPrinted>2018-10-30T13:01:00Z</cp:lastPrinted>
  <dcterms:created xsi:type="dcterms:W3CDTF">2018-05-02T10:00:00Z</dcterms:created>
  <dcterms:modified xsi:type="dcterms:W3CDTF">2019-01-09T08:47:00Z</dcterms:modified>
</cp:coreProperties>
</file>