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DC" w:rsidRDefault="00660DDC"/>
    <w:p w:rsidR="003C6E8D" w:rsidRDefault="003C6E8D"/>
    <w:tbl>
      <w:tblPr>
        <w:tblStyle w:val="TableGrid"/>
        <w:tblW w:w="0" w:type="auto"/>
        <w:tblInd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0"/>
      </w:tblGrid>
      <w:tr w:rsidR="003C6E8D" w:rsidRPr="003C6E8D" w:rsidTr="008266B3">
        <w:tc>
          <w:tcPr>
            <w:tcW w:w="6010" w:type="dxa"/>
          </w:tcPr>
          <w:p w:rsidR="00AF7272" w:rsidRDefault="003C6E8D" w:rsidP="00AF7272">
            <w:pPr>
              <w:jc w:val="right"/>
              <w:rPr>
                <w:i/>
              </w:rPr>
            </w:pPr>
            <w:r w:rsidRPr="00AF7272">
              <w:rPr>
                <w:i/>
              </w:rPr>
              <w:t>Pielikums</w:t>
            </w:r>
          </w:p>
          <w:p w:rsidR="003C6E8D" w:rsidRPr="00AF7272" w:rsidRDefault="003C6E8D" w:rsidP="00AF7272">
            <w:pPr>
              <w:jc w:val="right"/>
              <w:rPr>
                <w:i/>
              </w:rPr>
            </w:pPr>
            <w:r w:rsidRPr="00AF7272">
              <w:rPr>
                <w:i/>
              </w:rPr>
              <w:t xml:space="preserve"> </w:t>
            </w:r>
          </w:p>
          <w:p w:rsidR="003C6E8D" w:rsidRPr="008266B3" w:rsidRDefault="00474B35" w:rsidP="003C6E8D">
            <w:pPr>
              <w:shd w:val="clear" w:color="auto" w:fill="FFFFFF"/>
              <w:jc w:val="both"/>
              <w:rPr>
                <w:bCs/>
                <w:lang w:eastAsia="lv-LV"/>
              </w:rPr>
            </w:pPr>
            <w:sdt>
              <w:sdtPr>
                <w:rPr>
                  <w:bCs/>
                  <w:lang w:eastAsia="lv-LV"/>
                </w:rPr>
                <w:id w:val="882755678"/>
                <w:placeholder>
                  <w:docPart w:val="B975C58959A542F0A1192EC45BB5CDF0"/>
                </w:placeholder>
              </w:sdtPr>
              <w:sdtEndPr/>
              <w:sdtContent>
                <w:r w:rsidR="003C6E8D" w:rsidRPr="008266B3">
                  <w:rPr>
                    <w:rFonts w:eastAsiaTheme="minorHAnsi"/>
                    <w:bCs/>
                  </w:rPr>
                  <w:t>Ministru kabineta rīkojuma projekta</w:t>
                </w:r>
                <w:r w:rsidR="00AF7272" w:rsidRPr="008266B3">
                  <w:rPr>
                    <w:rFonts w:eastAsiaTheme="minorHAnsi"/>
                    <w:bCs/>
                  </w:rPr>
                  <w:t>m</w:t>
                </w:r>
                <w:r w:rsidR="003C6E8D" w:rsidRPr="008266B3">
                  <w:rPr>
                    <w:rFonts w:eastAsiaTheme="minorHAnsi"/>
                    <w:bCs/>
                  </w:rPr>
                  <w:t xml:space="preserve"> „Par Eiropas Ekonomikas zonas finanšu instrumenta un Norvēģijas finanšu instrumenta 2014. -2021. gada perioda līdzfinansētās programmas „</w:t>
                </w:r>
                <w:r w:rsidR="003C6E8D" w:rsidRPr="008266B3">
                  <w:rPr>
                    <w:rFonts w:eastAsiaTheme="minorHAnsi"/>
                  </w:rPr>
                  <w:t>Pētniecība un izglītība</w:t>
                </w:r>
                <w:r w:rsidR="003C6E8D" w:rsidRPr="008266B3">
                  <w:rPr>
                    <w:rFonts w:eastAsiaTheme="minorHAnsi"/>
                    <w:bCs/>
                  </w:rPr>
                  <w:t>” koncepcijas projektu”</w:t>
                </w:r>
              </w:sdtContent>
            </w:sdt>
            <w:r w:rsidR="003C6E8D" w:rsidRPr="008266B3">
              <w:rPr>
                <w:bCs/>
                <w:lang w:eastAsia="lv-LV"/>
              </w:rPr>
              <w:t xml:space="preserve"> projekta sākotnējās ietekmes novērtējuma ziņojuma (anotācijai)</w:t>
            </w:r>
          </w:p>
          <w:p w:rsidR="003C6E8D" w:rsidRPr="003C6E8D" w:rsidRDefault="003C6E8D" w:rsidP="003C6E8D">
            <w:pPr>
              <w:jc w:val="both"/>
            </w:pPr>
          </w:p>
        </w:tc>
      </w:tr>
    </w:tbl>
    <w:p w:rsidR="003C6E8D" w:rsidRDefault="003C6E8D">
      <w:pPr>
        <w:rPr>
          <w:highlight w:val="green"/>
        </w:rPr>
      </w:pPr>
    </w:p>
    <w:p w:rsidR="003C6E8D" w:rsidRDefault="003C6E8D">
      <w:pPr>
        <w:rPr>
          <w:highlight w:val="green"/>
        </w:rPr>
      </w:pPr>
    </w:p>
    <w:p w:rsidR="003C6E8D" w:rsidRPr="003C6E8D" w:rsidRDefault="003C6E8D" w:rsidP="003C6E8D">
      <w:pPr>
        <w:jc w:val="center"/>
        <w:rPr>
          <w:b/>
          <w:sz w:val="28"/>
          <w:szCs w:val="28"/>
        </w:rPr>
      </w:pPr>
      <w:r w:rsidRPr="003C6E8D">
        <w:rPr>
          <w:b/>
          <w:sz w:val="28"/>
          <w:szCs w:val="28"/>
        </w:rPr>
        <w:t>Informācija par</w:t>
      </w:r>
      <w:r w:rsidRPr="003C6E8D">
        <w:rPr>
          <w:rFonts w:eastAsiaTheme="minorHAnsi"/>
          <w:b/>
          <w:bCs/>
          <w:sz w:val="28"/>
          <w:szCs w:val="28"/>
        </w:rPr>
        <w:t xml:space="preserve"> Eiropas Ekonomikas zonas finanšu instrumenta un Norvēģijas finanšu instrumenta 2014. -2021. gada perioda līdzfinansētās programmas „</w:t>
      </w:r>
      <w:r w:rsidRPr="003C6E8D">
        <w:rPr>
          <w:rFonts w:eastAsiaTheme="minorHAnsi"/>
          <w:b/>
          <w:sz w:val="28"/>
          <w:szCs w:val="28"/>
        </w:rPr>
        <w:t>Pētniecība un izglītība</w:t>
      </w:r>
      <w:r w:rsidRPr="003C6E8D">
        <w:rPr>
          <w:rFonts w:eastAsiaTheme="minorHAnsi"/>
          <w:b/>
          <w:bCs/>
          <w:sz w:val="28"/>
          <w:szCs w:val="28"/>
        </w:rPr>
        <w:t xml:space="preserve">” koncepcijas projektā </w:t>
      </w:r>
      <w:r w:rsidRPr="003C6E8D">
        <w:rPr>
          <w:b/>
          <w:sz w:val="28"/>
          <w:szCs w:val="28"/>
        </w:rPr>
        <w:t xml:space="preserve"> iekļauto </w:t>
      </w:r>
    </w:p>
    <w:p w:rsidR="003C6E8D" w:rsidRPr="003C6E8D" w:rsidRDefault="003C6E8D" w:rsidP="003C6E8D">
      <w:pPr>
        <w:jc w:val="center"/>
        <w:rPr>
          <w:b/>
          <w:sz w:val="28"/>
          <w:szCs w:val="28"/>
        </w:rPr>
      </w:pPr>
      <w:r w:rsidRPr="003C6E8D">
        <w:rPr>
          <w:b/>
          <w:sz w:val="28"/>
          <w:szCs w:val="28"/>
        </w:rPr>
        <w:t xml:space="preserve">rezultātu un iznākumu rādītāju </w:t>
      </w:r>
      <w:bookmarkStart w:id="0" w:name="_GoBack"/>
      <w:bookmarkEnd w:id="0"/>
      <w:r w:rsidRPr="003C6E8D">
        <w:rPr>
          <w:b/>
          <w:sz w:val="28"/>
          <w:szCs w:val="28"/>
        </w:rPr>
        <w:t>mērķa vērtību aprēķinu</w:t>
      </w:r>
    </w:p>
    <w:tbl>
      <w:tblPr>
        <w:tblStyle w:val="TableGrid1"/>
        <w:tblW w:w="5000" w:type="pct"/>
        <w:tblLook w:val="04A0" w:firstRow="1" w:lastRow="0" w:firstColumn="1" w:lastColumn="0" w:noHBand="0" w:noVBand="1"/>
      </w:tblPr>
      <w:tblGrid>
        <w:gridCol w:w="1547"/>
        <w:gridCol w:w="1568"/>
        <w:gridCol w:w="2246"/>
        <w:gridCol w:w="1392"/>
        <w:gridCol w:w="1328"/>
        <w:gridCol w:w="5867"/>
      </w:tblGrid>
      <w:tr w:rsidR="003C6E8D" w:rsidRPr="0033170D" w:rsidTr="002D3E29">
        <w:trPr>
          <w:trHeight w:val="438"/>
          <w:tblHeader/>
        </w:trPr>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6E8D" w:rsidRPr="0033170D" w:rsidRDefault="003C6E8D" w:rsidP="00FD0272">
            <w:pPr>
              <w:jc w:val="both"/>
              <w:rPr>
                <w:b/>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6E8D" w:rsidRPr="0033170D" w:rsidRDefault="003C6E8D" w:rsidP="00FD0272">
            <w:pPr>
              <w:jc w:val="both"/>
              <w:rPr>
                <w:rFonts w:eastAsia="Times New Roman,Calibri"/>
                <w:b/>
                <w:sz w:val="20"/>
                <w:szCs w:val="20"/>
              </w:rPr>
            </w:pPr>
            <w:r w:rsidRPr="0033170D">
              <w:rPr>
                <w:b/>
                <w:sz w:val="20"/>
                <w:szCs w:val="20"/>
              </w:rPr>
              <w:t>Apraksts</w:t>
            </w:r>
          </w:p>
        </w:tc>
        <w:tc>
          <w:tcPr>
            <w:tcW w:w="80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6E8D" w:rsidRPr="0033170D" w:rsidRDefault="003C6E8D" w:rsidP="00FD0272">
            <w:pPr>
              <w:jc w:val="both"/>
              <w:rPr>
                <w:rFonts w:eastAsia="Calibri"/>
                <w:b/>
                <w:sz w:val="20"/>
                <w:szCs w:val="20"/>
              </w:rPr>
            </w:pPr>
            <w:r w:rsidRPr="0033170D">
              <w:rPr>
                <w:b/>
                <w:sz w:val="20"/>
                <w:szCs w:val="20"/>
              </w:rPr>
              <w:t xml:space="preserve">Rādītāji </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6E8D" w:rsidRPr="0033170D" w:rsidRDefault="003C6E8D" w:rsidP="00FD0272">
            <w:pPr>
              <w:jc w:val="both"/>
              <w:rPr>
                <w:b/>
                <w:sz w:val="20"/>
                <w:szCs w:val="20"/>
              </w:rPr>
            </w:pPr>
            <w:r w:rsidRPr="0033170D">
              <w:rPr>
                <w:b/>
                <w:sz w:val="20"/>
                <w:szCs w:val="20"/>
              </w:rPr>
              <w:t xml:space="preserve">Bāzes līnija </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6E8D" w:rsidRPr="0033170D" w:rsidRDefault="003C6E8D" w:rsidP="002D3E29">
            <w:pPr>
              <w:rPr>
                <w:b/>
                <w:sz w:val="20"/>
                <w:szCs w:val="20"/>
              </w:rPr>
            </w:pPr>
            <w:r w:rsidRPr="0033170D">
              <w:rPr>
                <w:b/>
                <w:sz w:val="20"/>
                <w:szCs w:val="20"/>
              </w:rPr>
              <w:t xml:space="preserve">Uzdevumi </w:t>
            </w:r>
          </w:p>
        </w:tc>
        <w:tc>
          <w:tcPr>
            <w:tcW w:w="21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6E8D" w:rsidRPr="0033170D" w:rsidRDefault="003C6E8D" w:rsidP="002D3E29">
            <w:pPr>
              <w:rPr>
                <w:b/>
                <w:sz w:val="20"/>
                <w:szCs w:val="20"/>
              </w:rPr>
            </w:pPr>
            <w:r w:rsidRPr="0033170D">
              <w:rPr>
                <w:b/>
                <w:sz w:val="20"/>
                <w:szCs w:val="20"/>
              </w:rPr>
              <w:t>Pamatojums</w:t>
            </w:r>
          </w:p>
        </w:tc>
      </w:tr>
      <w:tr w:rsidR="003C6E8D" w:rsidRPr="0033170D" w:rsidTr="002D3E29">
        <w:trPr>
          <w:trHeight w:val="438"/>
          <w:tblHeader/>
        </w:trPr>
        <w:tc>
          <w:tcPr>
            <w:tcW w:w="55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 xml:space="preserve">Mērķis </w:t>
            </w:r>
          </w:p>
        </w:tc>
        <w:tc>
          <w:tcPr>
            <w:tcW w:w="2342" w:type="pct"/>
            <w:gridSpan w:val="4"/>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 xml:space="preserve">Padziļinātu uz pētījumiem balstītu zināšanu attīstību </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b/>
                <w:sz w:val="20"/>
                <w:szCs w:val="20"/>
              </w:rPr>
            </w:pPr>
          </w:p>
        </w:tc>
      </w:tr>
      <w:tr w:rsidR="003C6E8D" w:rsidRPr="0033170D" w:rsidTr="002D3E29">
        <w:trPr>
          <w:trHeight w:val="438"/>
          <w:tblHeader/>
        </w:trPr>
        <w:tc>
          <w:tcPr>
            <w:tcW w:w="555" w:type="pct"/>
            <w:vMerge w:val="restart"/>
            <w:tcBorders>
              <w:top w:val="single" w:sz="4" w:space="0" w:color="auto"/>
              <w:left w:val="single" w:sz="4" w:space="0" w:color="auto"/>
              <w:bottom w:val="single" w:sz="4" w:space="0" w:color="auto"/>
              <w:right w:val="single" w:sz="4" w:space="0" w:color="auto"/>
            </w:tcBorders>
          </w:tcPr>
          <w:p w:rsidR="003C6E8D" w:rsidRPr="0033170D" w:rsidRDefault="003C6E8D" w:rsidP="002D3E29">
            <w:pPr>
              <w:rPr>
                <w:b/>
                <w:sz w:val="20"/>
                <w:szCs w:val="20"/>
              </w:rPr>
            </w:pPr>
            <w:bookmarkStart w:id="1" w:name="_Hlk531079268"/>
            <w:r w:rsidRPr="0033170D">
              <w:rPr>
                <w:b/>
                <w:sz w:val="20"/>
                <w:szCs w:val="20"/>
              </w:rPr>
              <w:t>1. rezultāts</w:t>
            </w:r>
          </w:p>
          <w:p w:rsidR="003C6E8D" w:rsidRPr="0033170D" w:rsidRDefault="003C6E8D" w:rsidP="002D3E29">
            <w:pPr>
              <w:rPr>
                <w:b/>
                <w:sz w:val="20"/>
                <w:szCs w:val="20"/>
                <w:lang w:val="en-GB"/>
              </w:rPr>
            </w:pPr>
          </w:p>
        </w:tc>
        <w:tc>
          <w:tcPr>
            <w:tcW w:w="562"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Starptautiskā līmenī uzlabots Baltijas pētniecības sniegums.</w:t>
            </w:r>
            <w:r w:rsidRPr="0033170D">
              <w:rPr>
                <w:rStyle w:val="FootnoteReference"/>
                <w:rFonts w:eastAsia="Times New Roman,Calibri"/>
                <w:b/>
                <w:sz w:val="20"/>
                <w:szCs w:val="20"/>
                <w:lang w:val="en-GB"/>
              </w:rPr>
              <w:footnoteReference w:id="1"/>
            </w:r>
            <w:r w:rsidRPr="0033170D">
              <w:rPr>
                <w:b/>
                <w:sz w:val="20"/>
                <w:szCs w:val="20"/>
                <w:lang w:val="en-GB"/>
              </w:rPr>
              <w:t xml:space="preserve"> </w:t>
            </w: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sz w:val="20"/>
                <w:szCs w:val="20"/>
              </w:rPr>
              <w:t xml:space="preserve"> </w:t>
            </w:r>
            <w:r w:rsidRPr="0033170D">
              <w:rPr>
                <w:b/>
                <w:sz w:val="20"/>
                <w:szCs w:val="20"/>
              </w:rPr>
              <w:t>Kopīgi iesniegto recenzēto zinātnisko publikāciju skaits</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50</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 xml:space="preserve">Ņemot vērā to, ka Eiropas Ekonomikas zonas finanšu instrumenta un Norvēģijas finanšu instrumenta 2009.–2014.gada perioda programmas "Pētniecība un stipendijas" izvērtēšanas ziņojumā norādīts, ka iepriekšējā periodā Zinātniskās darbības rādītāju jomā starptautiski recenzētu </w:t>
            </w:r>
            <w:proofErr w:type="spellStart"/>
            <w:r w:rsidRPr="0033170D">
              <w:rPr>
                <w:sz w:val="20"/>
                <w:szCs w:val="20"/>
              </w:rPr>
              <w:t>koppublikāciju</w:t>
            </w:r>
            <w:proofErr w:type="spellEnd"/>
            <w:r w:rsidRPr="0033170D">
              <w:rPr>
                <w:sz w:val="20"/>
                <w:szCs w:val="20"/>
              </w:rPr>
              <w:t xml:space="preserve"> skaits bija plānots 40, taču tiks publicētas 68, šajā periodā plānots palielināt starptautiski recenzētu </w:t>
            </w:r>
            <w:proofErr w:type="spellStart"/>
            <w:r w:rsidRPr="0033170D">
              <w:rPr>
                <w:sz w:val="20"/>
                <w:szCs w:val="20"/>
              </w:rPr>
              <w:t>koppublikāciju</w:t>
            </w:r>
            <w:proofErr w:type="spellEnd"/>
            <w:r w:rsidRPr="0033170D">
              <w:rPr>
                <w:sz w:val="20"/>
                <w:szCs w:val="20"/>
              </w:rPr>
              <w:t xml:space="preserve"> skaitu uz 50, vidēji katrā projektā plānojot 5-7 </w:t>
            </w:r>
            <w:proofErr w:type="spellStart"/>
            <w:r w:rsidRPr="0033170D">
              <w:rPr>
                <w:sz w:val="20"/>
                <w:szCs w:val="20"/>
              </w:rPr>
              <w:t>koppublikācijas</w:t>
            </w:r>
            <w:proofErr w:type="spellEnd"/>
            <w:r w:rsidRPr="0033170D">
              <w:rPr>
                <w:sz w:val="20"/>
                <w:szCs w:val="20"/>
              </w:rPr>
              <w:t xml:space="preserve"> (atkarībā no apstiprināto projektu skaita). Pārbaudes avots ir projektu noslēguma pārskati, programmas novērtēšana</w:t>
            </w:r>
            <w:r w:rsidRPr="0033170D">
              <w:rPr>
                <w:color w:val="1F497D"/>
                <w:sz w:val="20"/>
                <w:szCs w:val="20"/>
              </w:rPr>
              <w:t>.</w:t>
            </w:r>
          </w:p>
        </w:tc>
        <w:bookmarkEnd w:id="1"/>
      </w:tr>
      <w:tr w:rsidR="003C6E8D" w:rsidRPr="0033170D" w:rsidTr="002D3E29">
        <w:trPr>
          <w:trHeight w:val="438"/>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b/>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b/>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Kopīgo pieteikumu skaits turpmākam finansējumam (sadalīts pa pieteikumu veidiem</w:t>
            </w:r>
            <w:r w:rsidRPr="0033170D">
              <w:rPr>
                <w:rStyle w:val="FootnoteReference"/>
                <w:b/>
                <w:sz w:val="20"/>
                <w:szCs w:val="20"/>
                <w:lang w:val="en-GB"/>
              </w:rPr>
              <w:footnoteReference w:id="2"/>
            </w:r>
            <w:r w:rsidRPr="0033170D">
              <w:rPr>
                <w:b/>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10</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Ņemot vērā, ka:</w:t>
            </w:r>
          </w:p>
          <w:p w:rsidR="003C6E8D" w:rsidRPr="0033170D" w:rsidRDefault="003C6E8D" w:rsidP="002D3E29">
            <w:pPr>
              <w:pStyle w:val="ListParagraph"/>
              <w:numPr>
                <w:ilvl w:val="0"/>
                <w:numId w:val="1"/>
              </w:numPr>
              <w:rPr>
                <w:sz w:val="20"/>
                <w:szCs w:val="20"/>
                <w:lang w:eastAsia="en-GB"/>
              </w:rPr>
            </w:pPr>
            <w:r w:rsidRPr="004C1CB6">
              <w:rPr>
                <w:sz w:val="20"/>
                <w:szCs w:val="20"/>
              </w:rPr>
              <w:t xml:space="preserve">pēc </w:t>
            </w:r>
            <w:r w:rsidR="004C1CB6" w:rsidRPr="004C1CB6">
              <w:rPr>
                <w:sz w:val="20"/>
                <w:szCs w:val="20"/>
              </w:rPr>
              <w:t xml:space="preserve">Eiropas Ekonomikas zonas finanšu instrumenta un Norvēģijas finanšu instrumenta </w:t>
            </w:r>
            <w:r w:rsidRPr="004C1CB6">
              <w:rPr>
                <w:sz w:val="20"/>
                <w:szCs w:val="20"/>
              </w:rPr>
              <w:t xml:space="preserve">2009.–2014.gada perioda programmas </w:t>
            </w:r>
            <w:r w:rsidR="004C1CB6" w:rsidRPr="004C1CB6">
              <w:rPr>
                <w:sz w:val="20"/>
                <w:szCs w:val="20"/>
              </w:rPr>
              <w:t xml:space="preserve">"Pētniecība un stipendijas" </w:t>
            </w:r>
            <w:r w:rsidRPr="004C1CB6">
              <w:rPr>
                <w:sz w:val="20"/>
                <w:szCs w:val="20"/>
              </w:rPr>
              <w:t xml:space="preserve">projektu pabeigšanas sadarbībā ar Norvēģijas partneriem tika sagatavoti un iesniegti 4 pieteikumi dažādos starptautiskos </w:t>
            </w:r>
            <w:r w:rsidRPr="0033170D">
              <w:rPr>
                <w:sz w:val="20"/>
                <w:szCs w:val="20"/>
              </w:rPr>
              <w:t>konkursos un</w:t>
            </w:r>
          </w:p>
          <w:p w:rsidR="003C6E8D" w:rsidRPr="0033170D" w:rsidRDefault="003C6E8D" w:rsidP="002D3E29">
            <w:pPr>
              <w:pStyle w:val="ListParagraph"/>
              <w:numPr>
                <w:ilvl w:val="0"/>
                <w:numId w:val="1"/>
              </w:numPr>
              <w:rPr>
                <w:sz w:val="20"/>
                <w:szCs w:val="20"/>
                <w:lang w:eastAsia="en-GB"/>
              </w:rPr>
            </w:pPr>
            <w:r w:rsidRPr="0033170D">
              <w:rPr>
                <w:sz w:val="20"/>
                <w:szCs w:val="20"/>
              </w:rPr>
              <w:t>3 pieteikumi, ko, turpinot iesākto sadarbību, iesnieguši sadarbības partneri, kas nav Latvijas institūcijas,</w:t>
            </w:r>
          </w:p>
          <w:p w:rsidR="003C6E8D" w:rsidRPr="0033170D" w:rsidRDefault="003C6E8D" w:rsidP="002D3E29">
            <w:pPr>
              <w:rPr>
                <w:sz w:val="20"/>
                <w:szCs w:val="20"/>
                <w:lang w:eastAsia="en-GB"/>
              </w:rPr>
            </w:pPr>
            <w:r w:rsidRPr="0033170D">
              <w:rPr>
                <w:sz w:val="20"/>
                <w:szCs w:val="20"/>
              </w:rPr>
              <w:t xml:space="preserve">tad, lai veicinātu Baltijas valstu un </w:t>
            </w:r>
            <w:proofErr w:type="spellStart"/>
            <w:r w:rsidRPr="0033170D">
              <w:rPr>
                <w:sz w:val="20"/>
                <w:szCs w:val="20"/>
              </w:rPr>
              <w:t>donorvalstu</w:t>
            </w:r>
            <w:proofErr w:type="spellEnd"/>
            <w:r w:rsidRPr="0033170D">
              <w:rPr>
                <w:sz w:val="20"/>
                <w:szCs w:val="20"/>
              </w:rPr>
              <w:t xml:space="preserve"> starptautiskās sadarbības turpināšanu un stiprināšanu, plānots, ka pēc projektu pabeigšanas tiks sagatavoti un iesniegti jauni 10 pieteikumi (vismaz viens katrā projektā). Pārbaudes avots ir projektu noslēguma pārskati, programmas novērtēšana</w:t>
            </w:r>
            <w:r w:rsidRPr="0033170D">
              <w:rPr>
                <w:color w:val="1F497D"/>
                <w:sz w:val="20"/>
                <w:szCs w:val="20"/>
              </w:rPr>
              <w:t>.</w:t>
            </w:r>
          </w:p>
        </w:tc>
      </w:tr>
      <w:tr w:rsidR="003C6E8D" w:rsidRPr="0033170D" w:rsidTr="002D3E29">
        <w:trPr>
          <w:trHeight w:val="740"/>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b/>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b/>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bCs/>
                <w:sz w:val="20"/>
                <w:szCs w:val="20"/>
              </w:rPr>
            </w:pPr>
            <w:r w:rsidRPr="0033170D">
              <w:rPr>
                <w:b/>
                <w:sz w:val="20"/>
                <w:szCs w:val="20"/>
              </w:rPr>
              <w:t>Kopīgi reģistrēto pieteikumu skaits intelektuālā īpašuma aizsardzībai</w:t>
            </w:r>
            <w:r w:rsidRPr="0033170D">
              <w:rPr>
                <w:sz w:val="20"/>
                <w:szCs w:val="20"/>
              </w:rPr>
              <w:t xml:space="preserve"> </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3</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 xml:space="preserve">Eiropas Ekonomikas zonas finanšu instrumenta un Norvēģijas finanšu instrumenta 2009.–2014.gada perioda programmas "Pētniecība un stipendijas" izvērtēšanas ziņojumā norādīts, ka pamatā visos projektu pieteikumos norādīts, ka tie veic fundamentālo pētniecību (divos norādīti arī lietišķie pētījumi), tādēļ piecu projektu rezultātu </w:t>
            </w:r>
            <w:proofErr w:type="spellStart"/>
            <w:r w:rsidRPr="0033170D">
              <w:rPr>
                <w:sz w:val="20"/>
                <w:szCs w:val="20"/>
              </w:rPr>
              <w:t>pielietojamība</w:t>
            </w:r>
            <w:proofErr w:type="spellEnd"/>
            <w:r w:rsidRPr="0033170D">
              <w:rPr>
                <w:sz w:val="20"/>
                <w:szCs w:val="20"/>
              </w:rPr>
              <w:t xml:space="preserve"> vērtējama kā vidēji augsta. Taču neviens no projektiem nebija plānojis reģistrēt vai reģistrējis intelektuālo īpašumu, balstoties uz pētniecības rezultātiem. Lai uzlabotu pētniecības </w:t>
            </w:r>
            <w:proofErr w:type="spellStart"/>
            <w:r w:rsidRPr="0033170D">
              <w:rPr>
                <w:sz w:val="20"/>
                <w:szCs w:val="20"/>
              </w:rPr>
              <w:t>pielietojamību</w:t>
            </w:r>
            <w:proofErr w:type="spellEnd"/>
            <w:r w:rsidRPr="0033170D">
              <w:rPr>
                <w:sz w:val="20"/>
                <w:szCs w:val="20"/>
              </w:rPr>
              <w:t xml:space="preserve"> tautsaimniecībā, kā arī veicinātu ekonomikas transformāciju atbilstoši RIS 3 stratēģijai, plānots, ka šinī periodā akcents tiks likts uz lietišķajiem pētījumiem un būs  3 kopīgi reģistrēti pieteikumi intelektuālā īpašuma aizsardzībai. Pārbaudes avots ir projektu noslēguma pārskati, programmas novērtēšana</w:t>
            </w:r>
            <w:r w:rsidRPr="0033170D">
              <w:rPr>
                <w:color w:val="1F497D"/>
                <w:sz w:val="20"/>
                <w:szCs w:val="20"/>
              </w:rPr>
              <w:t>.</w:t>
            </w:r>
          </w:p>
        </w:tc>
      </w:tr>
      <w:tr w:rsidR="003C6E8D" w:rsidRPr="0033170D" w:rsidTr="002D3E29">
        <w:trPr>
          <w:trHeight w:val="438"/>
          <w:tblHeader/>
        </w:trPr>
        <w:tc>
          <w:tcPr>
            <w:tcW w:w="55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sz w:val="20"/>
                <w:szCs w:val="20"/>
              </w:rPr>
              <w:t>1.1. iznākums</w:t>
            </w:r>
          </w:p>
        </w:tc>
        <w:tc>
          <w:tcPr>
            <w:tcW w:w="562"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rFonts w:eastAsiaTheme="minorHAnsi"/>
                <w:b/>
                <w:sz w:val="20"/>
                <w:szCs w:val="20"/>
              </w:rPr>
            </w:pPr>
            <w:r w:rsidRPr="0033170D">
              <w:rPr>
                <w:sz w:val="20"/>
                <w:szCs w:val="20"/>
              </w:rPr>
              <w:t>Veikta pētniecības zināšanu apmaiņa.</w:t>
            </w: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rFonts w:eastAsia="Calibri"/>
                <w:b/>
                <w:sz w:val="20"/>
                <w:szCs w:val="20"/>
              </w:rPr>
            </w:pPr>
            <w:r w:rsidRPr="0033170D">
              <w:rPr>
                <w:sz w:val="20"/>
                <w:szCs w:val="20"/>
              </w:rPr>
              <w:t>Atbalstīto pētnieku skaits (sadalīts pa saņēmējvalstīm, dzimumiem, izglītības pakāpēm</w:t>
            </w:r>
            <w:r w:rsidRPr="0033170D">
              <w:rPr>
                <w:rStyle w:val="FootnoteReference"/>
                <w:sz w:val="20"/>
                <w:szCs w:val="20"/>
                <w:lang w:val="en-GB"/>
              </w:rPr>
              <w:footnoteReference w:id="3"/>
            </w:r>
            <w:r w:rsidRPr="0033170D">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sz w:val="20"/>
                <w:szCs w:val="20"/>
              </w:rPr>
              <w:t>25</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Paredzēts, ka vienā pētniecības sadarbības projektā tiks iesaistīti vismaz 4 – 5 pētnieki. Rādītāju vērtība tika aprēķināta ar nosacījumu, ka programmā minimāli tiks atbalstīti 6-7 sadarbības pētniecības projekti. Pārbaudes avots ir projektu noslēguma pārskati, programmas novērtēšana</w:t>
            </w:r>
            <w:r w:rsidRPr="0033170D">
              <w:rPr>
                <w:color w:val="1F497D"/>
                <w:sz w:val="20"/>
                <w:szCs w:val="20"/>
              </w:rPr>
              <w:t>.</w:t>
            </w:r>
          </w:p>
        </w:tc>
      </w:tr>
      <w:tr w:rsidR="002D3E29" w:rsidRPr="0033170D" w:rsidTr="002D3E29">
        <w:trPr>
          <w:trHeight w:val="547"/>
          <w:tblHeader/>
        </w:trPr>
        <w:tc>
          <w:tcPr>
            <w:tcW w:w="555" w:type="pct"/>
            <w:vMerge w:val="restart"/>
            <w:tcBorders>
              <w:top w:val="single" w:sz="4" w:space="0" w:color="auto"/>
              <w:left w:val="single" w:sz="4" w:space="0" w:color="auto"/>
              <w:bottom w:val="single" w:sz="4" w:space="0" w:color="auto"/>
              <w:right w:val="single" w:sz="4" w:space="0" w:color="auto"/>
            </w:tcBorders>
          </w:tcPr>
          <w:p w:rsidR="002D3E29" w:rsidRPr="0033170D" w:rsidRDefault="002D3E29" w:rsidP="002D3E29">
            <w:pPr>
              <w:rPr>
                <w:b/>
                <w:sz w:val="20"/>
                <w:szCs w:val="20"/>
              </w:rPr>
            </w:pPr>
            <w:r w:rsidRPr="0033170D">
              <w:rPr>
                <w:b/>
                <w:sz w:val="20"/>
                <w:szCs w:val="20"/>
              </w:rPr>
              <w:t>2. rezultāts</w:t>
            </w:r>
          </w:p>
          <w:p w:rsidR="002D3E29" w:rsidRPr="0033170D" w:rsidRDefault="002D3E29" w:rsidP="002D3E29">
            <w:pPr>
              <w:rPr>
                <w:sz w:val="20"/>
                <w:szCs w:val="20"/>
              </w:rPr>
            </w:pPr>
          </w:p>
        </w:tc>
        <w:tc>
          <w:tcPr>
            <w:tcW w:w="562" w:type="pct"/>
            <w:vMerge w:val="restart"/>
            <w:tcBorders>
              <w:top w:val="single" w:sz="4" w:space="0" w:color="auto"/>
              <w:left w:val="single" w:sz="4" w:space="0" w:color="auto"/>
              <w:bottom w:val="single" w:sz="4" w:space="0" w:color="auto"/>
              <w:right w:val="single" w:sz="4" w:space="0" w:color="auto"/>
            </w:tcBorders>
            <w:hideMark/>
          </w:tcPr>
          <w:p w:rsidR="002D3E29" w:rsidRPr="0033170D" w:rsidRDefault="002D3E29" w:rsidP="002D3E29">
            <w:pPr>
              <w:rPr>
                <w:sz w:val="20"/>
                <w:szCs w:val="20"/>
              </w:rPr>
            </w:pPr>
            <w:r w:rsidRPr="0033170D">
              <w:rPr>
                <w:b/>
                <w:sz w:val="20"/>
                <w:szCs w:val="20"/>
              </w:rPr>
              <w:t>Uzlabotas studentu un personāla prasmes un kompetences augstākās izglītības un pētniecības jomā.</w:t>
            </w:r>
          </w:p>
        </w:tc>
        <w:tc>
          <w:tcPr>
            <w:tcW w:w="805" w:type="pct"/>
            <w:tcBorders>
              <w:top w:val="single" w:sz="4" w:space="0" w:color="auto"/>
              <w:left w:val="single" w:sz="4" w:space="0" w:color="auto"/>
              <w:bottom w:val="single" w:sz="4" w:space="0" w:color="auto"/>
              <w:right w:val="single" w:sz="4" w:space="0" w:color="auto"/>
            </w:tcBorders>
          </w:tcPr>
          <w:p w:rsidR="002D3E29" w:rsidRPr="008266B3" w:rsidRDefault="002D3E29" w:rsidP="002D3E29">
            <w:pPr>
              <w:tabs>
                <w:tab w:val="left" w:pos="4287"/>
              </w:tabs>
              <w:rPr>
                <w:sz w:val="20"/>
                <w:szCs w:val="20"/>
                <w:lang w:val="fr-BE"/>
              </w:rPr>
            </w:pPr>
          </w:p>
        </w:tc>
        <w:tc>
          <w:tcPr>
            <w:tcW w:w="499" w:type="pct"/>
            <w:tcBorders>
              <w:top w:val="single" w:sz="4" w:space="0" w:color="auto"/>
              <w:left w:val="single" w:sz="4" w:space="0" w:color="auto"/>
              <w:bottom w:val="single" w:sz="4" w:space="0" w:color="auto"/>
              <w:right w:val="single" w:sz="4" w:space="0" w:color="auto"/>
            </w:tcBorders>
          </w:tcPr>
          <w:p w:rsidR="002D3E29" w:rsidRPr="008266B3" w:rsidRDefault="002D3E29" w:rsidP="002D3E29">
            <w:pPr>
              <w:tabs>
                <w:tab w:val="left" w:pos="4287"/>
              </w:tabs>
              <w:rPr>
                <w:sz w:val="20"/>
                <w:szCs w:val="20"/>
                <w:lang w:val="fr-BE"/>
              </w:rPr>
            </w:pPr>
          </w:p>
        </w:tc>
        <w:tc>
          <w:tcPr>
            <w:tcW w:w="476" w:type="pct"/>
            <w:tcBorders>
              <w:top w:val="single" w:sz="4" w:space="0" w:color="auto"/>
              <w:left w:val="single" w:sz="4" w:space="0" w:color="auto"/>
              <w:bottom w:val="single" w:sz="4" w:space="0" w:color="auto"/>
              <w:right w:val="single" w:sz="4" w:space="0" w:color="auto"/>
            </w:tcBorders>
          </w:tcPr>
          <w:p w:rsidR="002D3E29" w:rsidRPr="008266B3" w:rsidRDefault="002D3E29" w:rsidP="002D3E29">
            <w:pPr>
              <w:tabs>
                <w:tab w:val="left" w:pos="4287"/>
              </w:tabs>
              <w:rPr>
                <w:sz w:val="20"/>
                <w:szCs w:val="20"/>
                <w:lang w:val="fr-BE"/>
              </w:rPr>
            </w:pPr>
          </w:p>
        </w:tc>
        <w:tc>
          <w:tcPr>
            <w:tcW w:w="2103" w:type="pct"/>
            <w:tcBorders>
              <w:top w:val="single" w:sz="4" w:space="0" w:color="auto"/>
              <w:left w:val="single" w:sz="4" w:space="0" w:color="auto"/>
              <w:bottom w:val="single" w:sz="4" w:space="0" w:color="auto"/>
              <w:right w:val="single" w:sz="4" w:space="0" w:color="auto"/>
            </w:tcBorders>
          </w:tcPr>
          <w:p w:rsidR="002D3E29" w:rsidRPr="008266B3" w:rsidRDefault="002D3E29" w:rsidP="002D3E29">
            <w:pPr>
              <w:tabs>
                <w:tab w:val="left" w:pos="4287"/>
              </w:tabs>
              <w:rPr>
                <w:sz w:val="20"/>
                <w:szCs w:val="20"/>
                <w:lang w:val="fr-BE"/>
              </w:rPr>
            </w:pPr>
          </w:p>
        </w:tc>
      </w:tr>
      <w:tr w:rsidR="003C6E8D" w:rsidRPr="0033170D" w:rsidTr="002D3E29">
        <w:trPr>
          <w:trHeight w:val="547"/>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8266B3" w:rsidRDefault="003C6E8D" w:rsidP="002D3E29">
            <w:pPr>
              <w:rPr>
                <w:rFonts w:eastAsia="Calibri"/>
                <w:sz w:val="20"/>
                <w:szCs w:val="20"/>
                <w:lang w:val="fr-BE"/>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b/>
                <w:sz w:val="20"/>
                <w:szCs w:val="20"/>
              </w:rPr>
              <w:t xml:space="preserve">Studentu skaits ar ECTS kredītpunktiem </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b/>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b/>
                <w:sz w:val="20"/>
                <w:szCs w:val="20"/>
              </w:rPr>
              <w:t>90</w:t>
            </w:r>
          </w:p>
        </w:tc>
        <w:tc>
          <w:tcPr>
            <w:tcW w:w="2103" w:type="pct"/>
            <w:tcBorders>
              <w:top w:val="single" w:sz="4" w:space="0" w:color="auto"/>
              <w:left w:val="single" w:sz="4" w:space="0" w:color="auto"/>
              <w:right w:val="single" w:sz="4" w:space="0" w:color="auto"/>
            </w:tcBorders>
          </w:tcPr>
          <w:p w:rsidR="003C6E8D" w:rsidRPr="0033170D" w:rsidRDefault="003C6E8D" w:rsidP="002D3E29">
            <w:pPr>
              <w:rPr>
                <w:b/>
                <w:sz w:val="20"/>
                <w:szCs w:val="20"/>
              </w:rPr>
            </w:pPr>
            <w:r w:rsidRPr="0033170D">
              <w:rPr>
                <w:sz w:val="20"/>
                <w:szCs w:val="20"/>
              </w:rPr>
              <w:t>Paredzēts, ka visi AII studenti, kas piedalīsies apmaiņā, iegūs ECTS kredītpunktus. Pārbaudes avots ir projektu noslēguma pārskati, programmas novērtēšana</w:t>
            </w:r>
            <w:r w:rsidRPr="0033170D">
              <w:rPr>
                <w:color w:val="1F497D"/>
                <w:sz w:val="20"/>
                <w:szCs w:val="20"/>
              </w:rPr>
              <w:t>.</w:t>
            </w:r>
          </w:p>
        </w:tc>
      </w:tr>
      <w:tr w:rsidR="003C6E8D" w:rsidRPr="0033170D" w:rsidTr="002D3E29">
        <w:trPr>
          <w:trHeight w:val="547"/>
          <w:tblHeader/>
        </w:trPr>
        <w:tc>
          <w:tcPr>
            <w:tcW w:w="555" w:type="pct"/>
            <w:vMerge w:val="restar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br w:type="page"/>
              <w:t>2.2. iznākums</w:t>
            </w:r>
          </w:p>
          <w:p w:rsidR="003C6E8D" w:rsidRPr="0033170D" w:rsidRDefault="003C6E8D" w:rsidP="002D3E29">
            <w:pPr>
              <w:rPr>
                <w:rFonts w:eastAsia="Calibri"/>
                <w:sz w:val="20"/>
                <w:szCs w:val="20"/>
                <w:lang w:val="en-GB"/>
              </w:rPr>
            </w:pPr>
          </w:p>
          <w:p w:rsidR="003C6E8D" w:rsidRPr="0033170D" w:rsidRDefault="003C6E8D" w:rsidP="002D3E29">
            <w:pPr>
              <w:rPr>
                <w:sz w:val="20"/>
                <w:szCs w:val="20"/>
                <w:lang w:val="en-GB"/>
              </w:rPr>
            </w:pPr>
          </w:p>
        </w:tc>
        <w:tc>
          <w:tcPr>
            <w:tcW w:w="562" w:type="pct"/>
            <w:vMerge w:val="restar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 xml:space="preserve">Veicināta mācību mobilitāte augstākās izglītības jomā </w:t>
            </w:r>
            <w:r w:rsidRPr="0033170D">
              <w:rPr>
                <w:sz w:val="20"/>
                <w:szCs w:val="20"/>
              </w:rPr>
              <w:lastRenderedPageBreak/>
              <w:t xml:space="preserve">(AII studenti un AII personāls) starp saņēmējvalsti un </w:t>
            </w:r>
            <w:proofErr w:type="spellStart"/>
            <w:r w:rsidRPr="0033170D">
              <w:rPr>
                <w:sz w:val="20"/>
                <w:szCs w:val="20"/>
              </w:rPr>
              <w:t>donorvalstīm</w:t>
            </w:r>
            <w:proofErr w:type="spellEnd"/>
            <w:r w:rsidRPr="0033170D">
              <w:rPr>
                <w:sz w:val="20"/>
                <w:szCs w:val="20"/>
              </w:rPr>
              <w:t>.</w:t>
            </w:r>
          </w:p>
          <w:p w:rsidR="003C6E8D" w:rsidRPr="0033170D" w:rsidRDefault="003C6E8D" w:rsidP="002D3E29">
            <w:pPr>
              <w:rPr>
                <w:sz w:val="20"/>
                <w:szCs w:val="20"/>
                <w:lang w:val="en-GB"/>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F7150E" w:rsidP="002D3E29">
            <w:pPr>
              <w:rPr>
                <w:sz w:val="20"/>
                <w:szCs w:val="20"/>
              </w:rPr>
            </w:pPr>
            <w:r>
              <w:rPr>
                <w:sz w:val="20"/>
                <w:szCs w:val="20"/>
              </w:rPr>
              <w:lastRenderedPageBreak/>
              <w:t>P</w:t>
            </w:r>
            <w:r w:rsidR="003C6E8D" w:rsidRPr="0033170D">
              <w:rPr>
                <w:sz w:val="20"/>
                <w:szCs w:val="20"/>
              </w:rPr>
              <w:t xml:space="preserve">ersonāla skaits no Latvijas, kuri piedalījušies apmaiņā (sadalīts pa </w:t>
            </w:r>
            <w:proofErr w:type="spellStart"/>
            <w:r w:rsidR="003C6E8D" w:rsidRPr="0033170D">
              <w:rPr>
                <w:sz w:val="20"/>
                <w:szCs w:val="20"/>
              </w:rPr>
              <w:t>donorvalstīm</w:t>
            </w:r>
            <w:proofErr w:type="spellEnd"/>
            <w:r w:rsidR="003C6E8D" w:rsidRPr="0033170D">
              <w:rPr>
                <w:sz w:val="20"/>
                <w:szCs w:val="20"/>
              </w:rPr>
              <w:t xml:space="preserve"> un dzimumiem)</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100</w:t>
            </w:r>
          </w:p>
        </w:tc>
        <w:tc>
          <w:tcPr>
            <w:tcW w:w="2103" w:type="pct"/>
            <w:vMerge w:val="restart"/>
            <w:tcBorders>
              <w:left w:val="single" w:sz="4" w:space="0" w:color="auto"/>
              <w:right w:val="single" w:sz="4" w:space="0" w:color="auto"/>
            </w:tcBorders>
          </w:tcPr>
          <w:p w:rsidR="003C6E8D" w:rsidRPr="0033170D" w:rsidRDefault="003C6E8D" w:rsidP="002D3E29">
            <w:pPr>
              <w:rPr>
                <w:sz w:val="20"/>
                <w:szCs w:val="20"/>
              </w:rPr>
            </w:pPr>
            <w:r w:rsidRPr="0033170D">
              <w:rPr>
                <w:sz w:val="20"/>
                <w:szCs w:val="20"/>
              </w:rPr>
              <w:t xml:space="preserve">Programma ir vērsta uz to, lai palielinātu AII  studentu un AII personāla mobilitāti starp Latviju un </w:t>
            </w:r>
            <w:proofErr w:type="spellStart"/>
            <w:r w:rsidRPr="0033170D">
              <w:rPr>
                <w:sz w:val="20"/>
                <w:szCs w:val="20"/>
              </w:rPr>
              <w:t>donorvalstīm</w:t>
            </w:r>
            <w:proofErr w:type="spellEnd"/>
            <w:r w:rsidRPr="0033170D">
              <w:rPr>
                <w:sz w:val="20"/>
                <w:szCs w:val="20"/>
              </w:rPr>
              <w:t xml:space="preserve">. Rādītāji tika izvēlēti, lai attēlotu kvantitatīvi to AII studentu un AII personāla, kas guvuši labumu no programmas, skaita pieaugumu. Tā kā programma atbalsta AII studentu un AII personāla mobilitāti abos virzienos, </w:t>
            </w:r>
            <w:r w:rsidRPr="0033170D">
              <w:rPr>
                <w:sz w:val="20"/>
                <w:szCs w:val="20"/>
              </w:rPr>
              <w:lastRenderedPageBreak/>
              <w:t xml:space="preserve">kvantitatīvie rādītāji ir noteikti abām  šī mērķa grupām. Rādītāju vērtības aprēķinātas AII studentu mobilitātei ar ilgumu 3-11 mēneši un AII darbinieku mobilitātei ar ilgumu 2-6 nedēļas, kā arī ievērojot Izglītības programmu vadlīniju 3.pielikuma a) un c) sadaļās noteiktās vienības izmaksas ceļa izdevumiem un stipendiju lielumam AII studentiem un AII personālam no Latvijas uz </w:t>
            </w:r>
            <w:proofErr w:type="spellStart"/>
            <w:r w:rsidRPr="0033170D">
              <w:rPr>
                <w:sz w:val="20"/>
                <w:szCs w:val="20"/>
              </w:rPr>
              <w:t>donorvalstīm</w:t>
            </w:r>
            <w:proofErr w:type="spellEnd"/>
            <w:r w:rsidRPr="0033170D">
              <w:rPr>
                <w:sz w:val="20"/>
                <w:szCs w:val="20"/>
              </w:rPr>
              <w:t xml:space="preserve"> un no </w:t>
            </w:r>
            <w:proofErr w:type="spellStart"/>
            <w:r w:rsidRPr="0033170D">
              <w:rPr>
                <w:sz w:val="20"/>
                <w:szCs w:val="20"/>
              </w:rPr>
              <w:t>donorvalsīm</w:t>
            </w:r>
            <w:proofErr w:type="spellEnd"/>
            <w:r w:rsidRPr="0033170D">
              <w:rPr>
                <w:sz w:val="20"/>
                <w:szCs w:val="20"/>
              </w:rPr>
              <w:t xml:space="preserve"> uz Latviju. Pārbaudes avots ir projektu noslēguma pārskati, programmas novērtēšana</w:t>
            </w:r>
            <w:r w:rsidRPr="0033170D">
              <w:rPr>
                <w:color w:val="1F497D"/>
                <w:sz w:val="20"/>
                <w:szCs w:val="20"/>
              </w:rPr>
              <w:t>.</w:t>
            </w:r>
          </w:p>
        </w:tc>
      </w:tr>
      <w:tr w:rsidR="003C6E8D" w:rsidRPr="0033170D" w:rsidTr="002D3E29">
        <w:trPr>
          <w:trHeight w:val="547"/>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lang w:val="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lang w:val="en-GB"/>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F7150E" w:rsidP="002D3E29">
            <w:pPr>
              <w:rPr>
                <w:sz w:val="20"/>
                <w:szCs w:val="20"/>
              </w:rPr>
            </w:pPr>
            <w:r>
              <w:rPr>
                <w:sz w:val="20"/>
                <w:szCs w:val="20"/>
              </w:rPr>
              <w:t>P</w:t>
            </w:r>
            <w:r w:rsidR="003C6E8D" w:rsidRPr="0033170D">
              <w:rPr>
                <w:sz w:val="20"/>
                <w:szCs w:val="20"/>
              </w:rPr>
              <w:t xml:space="preserve">ersonāla skaits no </w:t>
            </w:r>
            <w:proofErr w:type="spellStart"/>
            <w:r w:rsidR="003C6E8D" w:rsidRPr="0033170D">
              <w:rPr>
                <w:sz w:val="20"/>
                <w:szCs w:val="20"/>
              </w:rPr>
              <w:t>donorvalstīm</w:t>
            </w:r>
            <w:proofErr w:type="spellEnd"/>
            <w:r w:rsidR="003C6E8D" w:rsidRPr="0033170D">
              <w:rPr>
                <w:sz w:val="20"/>
                <w:szCs w:val="20"/>
              </w:rPr>
              <w:t xml:space="preserve">, kuri piedalījušies apmaiņā (sadalīts pa </w:t>
            </w:r>
            <w:proofErr w:type="spellStart"/>
            <w:r w:rsidR="003C6E8D" w:rsidRPr="0033170D">
              <w:rPr>
                <w:sz w:val="20"/>
                <w:szCs w:val="20"/>
              </w:rPr>
              <w:t>donorvalstīm</w:t>
            </w:r>
            <w:proofErr w:type="spellEnd"/>
            <w:r w:rsidR="003C6E8D" w:rsidRPr="0033170D">
              <w:rPr>
                <w:sz w:val="20"/>
                <w:szCs w:val="20"/>
              </w:rPr>
              <w:t xml:space="preserve"> un dzimumiem)</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50</w:t>
            </w:r>
          </w:p>
        </w:tc>
        <w:tc>
          <w:tcPr>
            <w:tcW w:w="2103" w:type="pct"/>
            <w:vMerge/>
            <w:tcBorders>
              <w:left w:val="single" w:sz="4" w:space="0" w:color="auto"/>
              <w:right w:val="single" w:sz="4" w:space="0" w:color="auto"/>
            </w:tcBorders>
          </w:tcPr>
          <w:p w:rsidR="003C6E8D" w:rsidRPr="0033170D" w:rsidRDefault="003C6E8D" w:rsidP="002D3E29">
            <w:pPr>
              <w:rPr>
                <w:sz w:val="20"/>
                <w:szCs w:val="20"/>
              </w:rPr>
            </w:pPr>
          </w:p>
        </w:tc>
      </w:tr>
      <w:tr w:rsidR="003C6E8D" w:rsidRPr="0033170D" w:rsidTr="002D3E29">
        <w:trPr>
          <w:trHeight w:val="547"/>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lang w:val="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lang w:val="en-GB"/>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F7150E" w:rsidP="002D3E29">
            <w:pPr>
              <w:rPr>
                <w:sz w:val="20"/>
                <w:szCs w:val="20"/>
              </w:rPr>
            </w:pPr>
            <w:r>
              <w:rPr>
                <w:sz w:val="20"/>
                <w:szCs w:val="20"/>
              </w:rPr>
              <w:t>S</w:t>
            </w:r>
            <w:r w:rsidR="003C6E8D" w:rsidRPr="0033170D">
              <w:rPr>
                <w:sz w:val="20"/>
                <w:szCs w:val="20"/>
              </w:rPr>
              <w:t xml:space="preserve">tudentu skaits no Latvijas, kuri piedalījušies apmaiņā (sadalīts pa </w:t>
            </w:r>
            <w:proofErr w:type="spellStart"/>
            <w:r w:rsidR="003C6E8D" w:rsidRPr="0033170D">
              <w:rPr>
                <w:sz w:val="20"/>
                <w:szCs w:val="20"/>
              </w:rPr>
              <w:t>donorvalstīm</w:t>
            </w:r>
            <w:proofErr w:type="spellEnd"/>
            <w:r w:rsidR="003C6E8D" w:rsidRPr="0033170D">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80</w:t>
            </w:r>
          </w:p>
        </w:tc>
        <w:tc>
          <w:tcPr>
            <w:tcW w:w="2103" w:type="pct"/>
            <w:vMerge/>
            <w:tcBorders>
              <w:left w:val="single" w:sz="4" w:space="0" w:color="auto"/>
              <w:right w:val="single" w:sz="4" w:space="0" w:color="auto"/>
            </w:tcBorders>
          </w:tcPr>
          <w:p w:rsidR="003C6E8D" w:rsidRPr="0033170D" w:rsidRDefault="003C6E8D" w:rsidP="002D3E29">
            <w:pPr>
              <w:rPr>
                <w:sz w:val="20"/>
                <w:szCs w:val="20"/>
              </w:rPr>
            </w:pPr>
          </w:p>
        </w:tc>
      </w:tr>
      <w:tr w:rsidR="003C6E8D" w:rsidRPr="0033170D" w:rsidTr="002D3E29">
        <w:trPr>
          <w:trHeight w:val="1277"/>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lang w:val="en-GB"/>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lang w:val="en-GB"/>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F7150E" w:rsidP="002D3E29">
            <w:pPr>
              <w:rPr>
                <w:sz w:val="20"/>
                <w:szCs w:val="20"/>
              </w:rPr>
            </w:pPr>
            <w:r>
              <w:rPr>
                <w:sz w:val="20"/>
                <w:szCs w:val="20"/>
              </w:rPr>
              <w:t>S</w:t>
            </w:r>
            <w:r w:rsidR="003C6E8D" w:rsidRPr="0033170D">
              <w:rPr>
                <w:sz w:val="20"/>
                <w:szCs w:val="20"/>
              </w:rPr>
              <w:t xml:space="preserve">tudentu skaits no </w:t>
            </w:r>
            <w:proofErr w:type="spellStart"/>
            <w:r w:rsidR="003C6E8D" w:rsidRPr="0033170D">
              <w:rPr>
                <w:sz w:val="20"/>
                <w:szCs w:val="20"/>
              </w:rPr>
              <w:t>donorvalstīm</w:t>
            </w:r>
            <w:proofErr w:type="spellEnd"/>
            <w:r w:rsidR="003C6E8D" w:rsidRPr="0033170D">
              <w:rPr>
                <w:sz w:val="20"/>
                <w:szCs w:val="20"/>
              </w:rPr>
              <w:t xml:space="preserve">, kuri piedalījušies apmaiņā (sadalīts pa </w:t>
            </w:r>
            <w:proofErr w:type="spellStart"/>
            <w:r w:rsidR="003C6E8D" w:rsidRPr="0033170D">
              <w:rPr>
                <w:sz w:val="20"/>
                <w:szCs w:val="20"/>
              </w:rPr>
              <w:t>donorvalstīm</w:t>
            </w:r>
            <w:proofErr w:type="spellEnd"/>
            <w:r w:rsidR="003C6E8D" w:rsidRPr="0033170D">
              <w:rPr>
                <w:sz w:val="20"/>
                <w:szCs w:val="20"/>
              </w:rPr>
              <w:t>)  </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10</w:t>
            </w:r>
          </w:p>
        </w:tc>
        <w:tc>
          <w:tcPr>
            <w:tcW w:w="2103" w:type="pct"/>
            <w:vMerge/>
            <w:tcBorders>
              <w:left w:val="single" w:sz="4" w:space="0" w:color="auto"/>
              <w:bottom w:val="single" w:sz="4" w:space="0" w:color="auto"/>
              <w:right w:val="single" w:sz="4" w:space="0" w:color="auto"/>
            </w:tcBorders>
          </w:tcPr>
          <w:p w:rsidR="003C6E8D" w:rsidRPr="0033170D" w:rsidRDefault="003C6E8D" w:rsidP="002D3E29">
            <w:pPr>
              <w:rPr>
                <w:sz w:val="20"/>
                <w:szCs w:val="20"/>
              </w:rPr>
            </w:pPr>
          </w:p>
        </w:tc>
      </w:tr>
      <w:tr w:rsidR="003C6E8D" w:rsidRPr="0033170D" w:rsidTr="00E64FCB">
        <w:trPr>
          <w:trHeight w:val="1916"/>
          <w:tblHeader/>
        </w:trPr>
        <w:tc>
          <w:tcPr>
            <w:tcW w:w="555"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b/>
                <w:sz w:val="20"/>
                <w:szCs w:val="20"/>
              </w:rPr>
              <w:t>3. rezultāts</w:t>
            </w:r>
          </w:p>
        </w:tc>
        <w:tc>
          <w:tcPr>
            <w:tcW w:w="562"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bookmarkStart w:id="2" w:name="_Hlk530556247"/>
            <w:r w:rsidRPr="0033170D">
              <w:rPr>
                <w:b/>
                <w:sz w:val="20"/>
                <w:szCs w:val="20"/>
              </w:rPr>
              <w:t>Veicināta reģionālo zināšanu attīstība STEM (zinātnes, tehnoloģiju, inženierzinātņu un matemātikas) jomā.</w:t>
            </w:r>
            <w:bookmarkEnd w:id="2"/>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Skolēnu un studentu skaits,</w:t>
            </w:r>
            <w:r w:rsidR="00EA0F48">
              <w:rPr>
                <w:b/>
                <w:sz w:val="20"/>
                <w:szCs w:val="20"/>
              </w:rPr>
              <w:t xml:space="preserve"> kuri guvuši labumu no inovācijas</w:t>
            </w:r>
            <w:r w:rsidRPr="0033170D">
              <w:rPr>
                <w:b/>
                <w:sz w:val="20"/>
                <w:szCs w:val="20"/>
              </w:rPr>
              <w:t xml:space="preserve"> centros organizētajām izglītības un mācību programmām (sadalīts pa dzimumiem, vecuma grupām)</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800</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Programmas ietvaros ir plānots</w:t>
            </w:r>
            <w:r w:rsidR="00B56657">
              <w:rPr>
                <w:sz w:val="20"/>
                <w:szCs w:val="20"/>
              </w:rPr>
              <w:t xml:space="preserve"> izveidot 4 reģionālos inovācijas</w:t>
            </w:r>
            <w:r w:rsidRPr="0033170D">
              <w:rPr>
                <w:sz w:val="20"/>
                <w:szCs w:val="20"/>
              </w:rPr>
              <w:t xml:space="preserve"> centrus, kas vidēji iesaistīs katrs 200 skolēnus vai studentus to organizētajās izglītības un mācību programmās.</w:t>
            </w:r>
          </w:p>
          <w:p w:rsidR="003C6E8D" w:rsidRPr="0033170D" w:rsidRDefault="003C6E8D" w:rsidP="002D3E29">
            <w:pPr>
              <w:rPr>
                <w:sz w:val="20"/>
                <w:szCs w:val="20"/>
              </w:rPr>
            </w:pPr>
            <w:r w:rsidRPr="0033170D">
              <w:rPr>
                <w:sz w:val="20"/>
                <w:szCs w:val="20"/>
              </w:rPr>
              <w:t>Pārbaudes avots ir projektu noslēguma pārskati, programmas novērtēšana</w:t>
            </w:r>
            <w:r w:rsidRPr="0033170D">
              <w:rPr>
                <w:color w:val="1F497D"/>
                <w:sz w:val="20"/>
                <w:szCs w:val="20"/>
              </w:rPr>
              <w:t>.</w:t>
            </w:r>
          </w:p>
        </w:tc>
      </w:tr>
      <w:tr w:rsidR="003C6E8D" w:rsidRPr="0033170D" w:rsidTr="002D3E29">
        <w:trPr>
          <w:trHeight w:val="547"/>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Skolotāju daļa, kuri paziņojuši par kompetenču uzlabošanos STEM mācīšanā</w:t>
            </w:r>
            <w:r w:rsidRPr="0033170D">
              <w:rPr>
                <w:b/>
                <w:sz w:val="20"/>
                <w:szCs w:val="20"/>
              </w:rPr>
              <w:tab/>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Nav attiecināms</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sz w:val="20"/>
                <w:szCs w:val="20"/>
              </w:rPr>
              <w:t xml:space="preserve">≥ 80 % </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Programmas ietvaros ir plānots, ka kopā vismaz160 skolotāji,</w:t>
            </w:r>
            <w:r w:rsidR="00B56657">
              <w:rPr>
                <w:sz w:val="20"/>
                <w:szCs w:val="20"/>
              </w:rPr>
              <w:t xml:space="preserve"> kuri ir piedalījušies inovācijas</w:t>
            </w:r>
            <w:r w:rsidRPr="0033170D">
              <w:rPr>
                <w:sz w:val="20"/>
                <w:szCs w:val="20"/>
              </w:rPr>
              <w:t xml:space="preserve"> centru organizētajās izglītības un mācību programmās un darbnīcās, novērtēs, ka viņu kompetences STEM mācīšanā ir uzlabojušās. </w:t>
            </w:r>
          </w:p>
          <w:p w:rsidR="003C6E8D" w:rsidRPr="0033170D" w:rsidRDefault="003C6E8D" w:rsidP="002D3E29">
            <w:pPr>
              <w:rPr>
                <w:sz w:val="20"/>
                <w:szCs w:val="20"/>
              </w:rPr>
            </w:pPr>
            <w:r w:rsidRPr="0033170D">
              <w:rPr>
                <w:sz w:val="20"/>
                <w:szCs w:val="20"/>
              </w:rPr>
              <w:t>Pārbaudes avots – projektu veiktās skolotāju aptaujas pēc dalības izglītības un mācību programmā vai darbnīcā.</w:t>
            </w:r>
          </w:p>
        </w:tc>
      </w:tr>
      <w:tr w:rsidR="003C6E8D" w:rsidRPr="0033170D" w:rsidTr="002D3E29">
        <w:trPr>
          <w:trHeight w:val="547"/>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Skolēnu un studentu daļa, kuri paziņojuši par intereses palielināšanos par STEM</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b/>
                <w:sz w:val="20"/>
                <w:szCs w:val="20"/>
              </w:rPr>
              <w:t>Nav attiecināms</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b/>
                <w:sz w:val="20"/>
                <w:szCs w:val="20"/>
              </w:rPr>
            </w:pPr>
            <w:r w:rsidRPr="0033170D">
              <w:rPr>
                <w:sz w:val="20"/>
                <w:szCs w:val="20"/>
              </w:rPr>
              <w:t xml:space="preserve">≥ 80 % </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Programmas ietvaros ir plānots, ka kopā vismaz 640 skolēni un studenti, kuri ir piedalījušies inovācij</w:t>
            </w:r>
            <w:r w:rsidR="00B56657">
              <w:rPr>
                <w:sz w:val="20"/>
                <w:szCs w:val="20"/>
              </w:rPr>
              <w:t>as</w:t>
            </w:r>
            <w:r w:rsidRPr="0033170D">
              <w:rPr>
                <w:sz w:val="20"/>
                <w:szCs w:val="20"/>
              </w:rPr>
              <w:t xml:space="preserve"> centru organizētajās izglītības un mācību programmās, novērtēs, ka viņu  interes</w:t>
            </w:r>
            <w:r w:rsidR="00294468" w:rsidRPr="0033170D">
              <w:rPr>
                <w:sz w:val="20"/>
                <w:szCs w:val="20"/>
              </w:rPr>
              <w:t>e par STEM  ir palielinājusies.</w:t>
            </w:r>
            <w:r w:rsidRPr="0033170D">
              <w:rPr>
                <w:sz w:val="20"/>
                <w:szCs w:val="20"/>
              </w:rPr>
              <w:t xml:space="preserve"> </w:t>
            </w:r>
          </w:p>
          <w:p w:rsidR="003C6E8D" w:rsidRPr="0033170D" w:rsidRDefault="003C6E8D" w:rsidP="002D3E29">
            <w:pPr>
              <w:rPr>
                <w:sz w:val="20"/>
                <w:szCs w:val="20"/>
              </w:rPr>
            </w:pPr>
            <w:r w:rsidRPr="0033170D">
              <w:rPr>
                <w:sz w:val="20"/>
                <w:szCs w:val="20"/>
              </w:rPr>
              <w:t>Pārbaudes avots – projektu veiktās skolēnu un studentu aptaujas pēc dalības izglītības un mācību programmā.</w:t>
            </w:r>
          </w:p>
        </w:tc>
      </w:tr>
      <w:tr w:rsidR="003C6E8D" w:rsidRPr="0033170D" w:rsidTr="002D3E29">
        <w:trPr>
          <w:trHeight w:val="547"/>
          <w:tblHeader/>
        </w:trPr>
        <w:tc>
          <w:tcPr>
            <w:tcW w:w="555"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3.1. iznākums</w:t>
            </w:r>
          </w:p>
        </w:tc>
        <w:tc>
          <w:tcPr>
            <w:tcW w:w="562"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B56657" w:rsidP="002D3E29">
            <w:pPr>
              <w:rPr>
                <w:sz w:val="20"/>
                <w:szCs w:val="20"/>
              </w:rPr>
            </w:pPr>
            <w:r>
              <w:rPr>
                <w:sz w:val="20"/>
                <w:szCs w:val="20"/>
              </w:rPr>
              <w:t>Inovācijas</w:t>
            </w:r>
            <w:r w:rsidR="003C6E8D" w:rsidRPr="0033170D">
              <w:rPr>
                <w:sz w:val="20"/>
                <w:szCs w:val="20"/>
              </w:rPr>
              <w:t xml:space="preserve"> centros īstenotās izglītības un mācību programmas</w:t>
            </w: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Izglītības un mācību programmās un darbnīcās iesaistīto skolotāju skaits</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200</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Programmas ietvaros ir plānots</w:t>
            </w:r>
            <w:r w:rsidR="00B56657">
              <w:rPr>
                <w:sz w:val="20"/>
                <w:szCs w:val="20"/>
              </w:rPr>
              <w:t xml:space="preserve"> izveidot 4 reģionālos inovācijas</w:t>
            </w:r>
            <w:r w:rsidRPr="0033170D">
              <w:rPr>
                <w:sz w:val="20"/>
                <w:szCs w:val="20"/>
              </w:rPr>
              <w:t xml:space="preserve"> centrus, kas vidēji iesaistīs katrs 50 skolotājus to organizētajās izglītības un mācību programmās un darbnīcās.</w:t>
            </w:r>
          </w:p>
          <w:p w:rsidR="003C6E8D" w:rsidRPr="0033170D" w:rsidRDefault="003C6E8D" w:rsidP="002D3E29">
            <w:pPr>
              <w:rPr>
                <w:sz w:val="20"/>
                <w:szCs w:val="20"/>
              </w:rPr>
            </w:pPr>
            <w:r w:rsidRPr="0033170D">
              <w:rPr>
                <w:sz w:val="20"/>
                <w:szCs w:val="20"/>
              </w:rPr>
              <w:t>Pārbaudes avots ir projektu noslēguma pārskati, programmas novērtēšana</w:t>
            </w:r>
            <w:r w:rsidRPr="0033170D">
              <w:rPr>
                <w:color w:val="1F497D"/>
                <w:sz w:val="20"/>
                <w:szCs w:val="20"/>
              </w:rPr>
              <w:t>.</w:t>
            </w:r>
          </w:p>
        </w:tc>
      </w:tr>
      <w:tr w:rsidR="003C6E8D" w:rsidRPr="0033170D" w:rsidTr="002D3E29">
        <w:trPr>
          <w:trHeight w:val="580"/>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EA0F48" w:rsidP="002D3E29">
            <w:pPr>
              <w:rPr>
                <w:sz w:val="20"/>
                <w:szCs w:val="20"/>
              </w:rPr>
            </w:pPr>
            <w:r>
              <w:rPr>
                <w:sz w:val="20"/>
                <w:szCs w:val="20"/>
              </w:rPr>
              <w:t>Inovācijas</w:t>
            </w:r>
            <w:r w:rsidR="003C6E8D" w:rsidRPr="0033170D">
              <w:rPr>
                <w:sz w:val="20"/>
                <w:szCs w:val="20"/>
              </w:rPr>
              <w:t xml:space="preserve"> centros īstenoto izglītības un mācību programmu skaits</w:t>
            </w:r>
          </w:p>
        </w:tc>
        <w:tc>
          <w:tcPr>
            <w:tcW w:w="499"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0</w:t>
            </w:r>
          </w:p>
          <w:p w:rsidR="003C6E8D" w:rsidRPr="0033170D" w:rsidRDefault="003C6E8D" w:rsidP="002D3E29">
            <w:pPr>
              <w:rPr>
                <w:sz w:val="20"/>
                <w:szCs w:val="20"/>
                <w:lang w:val="en-GB"/>
              </w:rPr>
            </w:pPr>
          </w:p>
        </w:tc>
        <w:tc>
          <w:tcPr>
            <w:tcW w:w="476"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12</w:t>
            </w:r>
          </w:p>
          <w:p w:rsidR="003C6E8D" w:rsidRPr="0033170D" w:rsidRDefault="003C6E8D" w:rsidP="002D3E29">
            <w:pPr>
              <w:rPr>
                <w:sz w:val="20"/>
                <w:szCs w:val="20"/>
                <w:lang w:val="en-GB"/>
              </w:rPr>
            </w:pP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Programmas ietvaros ir plānots, ka vidēji kat</w:t>
            </w:r>
            <w:r w:rsidR="00B56657">
              <w:rPr>
                <w:sz w:val="20"/>
                <w:szCs w:val="20"/>
              </w:rPr>
              <w:t>rs inovācijas</w:t>
            </w:r>
            <w:r w:rsidRPr="0033170D">
              <w:rPr>
                <w:sz w:val="20"/>
                <w:szCs w:val="20"/>
              </w:rPr>
              <w:t xml:space="preserve"> centrs izstrādās un īstenos 3 izglītības un mācību programmas.</w:t>
            </w:r>
          </w:p>
        </w:tc>
      </w:tr>
      <w:tr w:rsidR="003C6E8D" w:rsidRPr="0033170D" w:rsidTr="002D3E29">
        <w:trPr>
          <w:trHeight w:val="972"/>
          <w:tblHeader/>
        </w:trPr>
        <w:tc>
          <w:tcPr>
            <w:tcW w:w="555"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Divpusējais rezultāts </w:t>
            </w:r>
          </w:p>
        </w:tc>
        <w:tc>
          <w:tcPr>
            <w:tcW w:w="562" w:type="pct"/>
            <w:vMerge w:val="restar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Uzlabota sadarbība starp programmā iesaistītajām saņēmējvalstu un </w:t>
            </w:r>
            <w:proofErr w:type="spellStart"/>
            <w:r w:rsidRPr="0033170D">
              <w:rPr>
                <w:sz w:val="20"/>
                <w:szCs w:val="20"/>
              </w:rPr>
              <w:t>donorvalstu</w:t>
            </w:r>
            <w:proofErr w:type="spellEnd"/>
            <w:r w:rsidRPr="0033170D">
              <w:rPr>
                <w:sz w:val="20"/>
                <w:szCs w:val="20"/>
              </w:rPr>
              <w:t xml:space="preserve"> organizācijām.</w:t>
            </w: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Uzticības līmenis starp sadarbībā iesaistītajām saņēmējvalstu un </w:t>
            </w:r>
            <w:proofErr w:type="spellStart"/>
            <w:r w:rsidRPr="0033170D">
              <w:rPr>
                <w:sz w:val="20"/>
                <w:szCs w:val="20"/>
              </w:rPr>
              <w:t>donorvalstu</w:t>
            </w:r>
            <w:proofErr w:type="spellEnd"/>
            <w:r w:rsidRPr="0033170D">
              <w:rPr>
                <w:sz w:val="20"/>
                <w:szCs w:val="20"/>
              </w:rPr>
              <w:t xml:space="preserve"> organizācijām</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Tiks nolemts pēc projektu parakstīšanas. </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4,5 un pieaugums salīdzinājumā ar sākotnējo stāvokli</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spacing w:line="276" w:lineRule="auto"/>
              <w:rPr>
                <w:sz w:val="20"/>
                <w:szCs w:val="20"/>
              </w:rPr>
            </w:pPr>
            <w:r w:rsidRPr="0033170D">
              <w:rPr>
                <w:sz w:val="20"/>
                <w:szCs w:val="20"/>
              </w:rPr>
              <w:t xml:space="preserve">Divpusējās sadarbības rezultātu noteica </w:t>
            </w:r>
            <w:proofErr w:type="spellStart"/>
            <w:r w:rsidRPr="0033170D">
              <w:rPr>
                <w:sz w:val="20"/>
                <w:szCs w:val="20"/>
              </w:rPr>
              <w:t>donorvalstis</w:t>
            </w:r>
            <w:proofErr w:type="spellEnd"/>
            <w:r w:rsidRPr="0033170D">
              <w:rPr>
                <w:sz w:val="20"/>
                <w:szCs w:val="20"/>
              </w:rPr>
              <w:t xml:space="preserve">, tas tiks </w:t>
            </w:r>
            <w:r w:rsidR="00B10041" w:rsidRPr="0033170D">
              <w:rPr>
                <w:sz w:val="20"/>
                <w:szCs w:val="20"/>
              </w:rPr>
              <w:t>iz</w:t>
            </w:r>
            <w:r w:rsidRPr="0033170D">
              <w:rPr>
                <w:sz w:val="20"/>
                <w:szCs w:val="20"/>
              </w:rPr>
              <w:t>vērtēts</w:t>
            </w:r>
            <w:r w:rsidR="00B10041" w:rsidRPr="0033170D">
              <w:rPr>
                <w:sz w:val="20"/>
                <w:szCs w:val="20"/>
              </w:rPr>
              <w:t xml:space="preserve">, vienojoties ar programmas </w:t>
            </w:r>
            <w:proofErr w:type="spellStart"/>
            <w:r w:rsidR="00B10041" w:rsidRPr="0033170D">
              <w:rPr>
                <w:sz w:val="20"/>
                <w:szCs w:val="20"/>
              </w:rPr>
              <w:t>donorvalstu</w:t>
            </w:r>
            <w:proofErr w:type="spellEnd"/>
            <w:r w:rsidR="00B10041" w:rsidRPr="0033170D">
              <w:rPr>
                <w:sz w:val="20"/>
                <w:szCs w:val="20"/>
              </w:rPr>
              <w:t xml:space="preserve"> partneriem</w:t>
            </w:r>
            <w:r w:rsidRPr="0033170D">
              <w:rPr>
                <w:sz w:val="20"/>
                <w:szCs w:val="20"/>
              </w:rPr>
              <w:t>.</w:t>
            </w:r>
          </w:p>
          <w:p w:rsidR="003C6E8D" w:rsidRPr="0033170D" w:rsidRDefault="003C6E8D" w:rsidP="002D3E29">
            <w:pPr>
              <w:rPr>
                <w:sz w:val="20"/>
                <w:szCs w:val="20"/>
              </w:rPr>
            </w:pPr>
          </w:p>
        </w:tc>
      </w:tr>
      <w:tr w:rsidR="003C6E8D" w:rsidRPr="0033170D" w:rsidTr="002D3E29">
        <w:trPr>
          <w:trHeight w:val="920"/>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Apmierinātības līmenis ar partnerību</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Tiks nolemts pēc projektu parakstīšanas.</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4,5 un pieaugums salīdzinājumā ar sākotnējo stāvokli</w:t>
            </w:r>
          </w:p>
        </w:tc>
        <w:tc>
          <w:tcPr>
            <w:tcW w:w="2103" w:type="pct"/>
            <w:tcBorders>
              <w:top w:val="single" w:sz="4" w:space="0" w:color="auto"/>
              <w:left w:val="single" w:sz="4" w:space="0" w:color="auto"/>
              <w:bottom w:val="single" w:sz="4" w:space="0" w:color="auto"/>
              <w:right w:val="single" w:sz="4" w:space="0" w:color="auto"/>
            </w:tcBorders>
          </w:tcPr>
          <w:p w:rsidR="00B10041" w:rsidRPr="0033170D" w:rsidRDefault="003C6E8D" w:rsidP="002D3E29">
            <w:pPr>
              <w:spacing w:line="276" w:lineRule="auto"/>
              <w:rPr>
                <w:sz w:val="20"/>
                <w:szCs w:val="20"/>
              </w:rPr>
            </w:pPr>
            <w:r w:rsidRPr="0033170D">
              <w:rPr>
                <w:sz w:val="20"/>
                <w:szCs w:val="20"/>
              </w:rPr>
              <w:t xml:space="preserve">Divpusējās sadarbības rezultātu noteica </w:t>
            </w:r>
            <w:proofErr w:type="spellStart"/>
            <w:r w:rsidRPr="0033170D">
              <w:rPr>
                <w:sz w:val="20"/>
                <w:szCs w:val="20"/>
              </w:rPr>
              <w:t>donorvalstis</w:t>
            </w:r>
            <w:proofErr w:type="spellEnd"/>
            <w:r w:rsidRPr="0033170D">
              <w:rPr>
                <w:sz w:val="20"/>
                <w:szCs w:val="20"/>
              </w:rPr>
              <w:t xml:space="preserve">, </w:t>
            </w:r>
            <w:r w:rsidR="00B10041" w:rsidRPr="0033170D">
              <w:rPr>
                <w:sz w:val="20"/>
                <w:szCs w:val="20"/>
              </w:rPr>
              <w:t xml:space="preserve">tas tiks izvērtēts, vienojoties ar programmas </w:t>
            </w:r>
            <w:proofErr w:type="spellStart"/>
            <w:r w:rsidR="00B10041" w:rsidRPr="0033170D">
              <w:rPr>
                <w:sz w:val="20"/>
                <w:szCs w:val="20"/>
              </w:rPr>
              <w:t>donorvalstu</w:t>
            </w:r>
            <w:proofErr w:type="spellEnd"/>
            <w:r w:rsidR="00B10041" w:rsidRPr="0033170D">
              <w:rPr>
                <w:sz w:val="20"/>
                <w:szCs w:val="20"/>
              </w:rPr>
              <w:t xml:space="preserve"> partneriem.</w:t>
            </w:r>
          </w:p>
          <w:p w:rsidR="003C6E8D" w:rsidRPr="0033170D" w:rsidRDefault="003C6E8D" w:rsidP="002D3E29">
            <w:pPr>
              <w:spacing w:line="276" w:lineRule="auto"/>
              <w:rPr>
                <w:sz w:val="20"/>
                <w:szCs w:val="20"/>
              </w:rPr>
            </w:pPr>
          </w:p>
        </w:tc>
      </w:tr>
      <w:tr w:rsidR="003C6E8D" w:rsidRPr="0033170D" w:rsidTr="002D3E29">
        <w:trPr>
          <w:trHeight w:val="1153"/>
          <w:tblHeader/>
        </w:trPr>
        <w:tc>
          <w:tcPr>
            <w:tcW w:w="555"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3C6E8D" w:rsidRPr="0033170D" w:rsidRDefault="003C6E8D" w:rsidP="002D3E29">
            <w:pPr>
              <w:rPr>
                <w:rFonts w:eastAsia="Calibri"/>
                <w:sz w:val="20"/>
                <w:szCs w:val="20"/>
              </w:rPr>
            </w:pP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Sadarbībā iesaistītās organizācijas, kuras izmanto no divpusējām partnerattiecībām iegūtās zināšanas </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Nav attiecināms</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50 % un pieaugums salīdzinājumā ar sākotnējo stāvokli</w:t>
            </w:r>
          </w:p>
        </w:tc>
        <w:tc>
          <w:tcPr>
            <w:tcW w:w="2103" w:type="pct"/>
            <w:tcBorders>
              <w:top w:val="single" w:sz="4" w:space="0" w:color="auto"/>
              <w:left w:val="single" w:sz="4" w:space="0" w:color="auto"/>
              <w:bottom w:val="single" w:sz="4" w:space="0" w:color="auto"/>
              <w:right w:val="single" w:sz="4" w:space="0" w:color="auto"/>
            </w:tcBorders>
          </w:tcPr>
          <w:p w:rsidR="00B10041" w:rsidRPr="0033170D" w:rsidRDefault="003C6E8D" w:rsidP="002D3E29">
            <w:pPr>
              <w:spacing w:line="276" w:lineRule="auto"/>
              <w:rPr>
                <w:sz w:val="20"/>
                <w:szCs w:val="20"/>
              </w:rPr>
            </w:pPr>
            <w:r w:rsidRPr="0033170D">
              <w:rPr>
                <w:sz w:val="20"/>
                <w:szCs w:val="20"/>
              </w:rPr>
              <w:t xml:space="preserve">Divpusējās sadarbības rezultātu noteica </w:t>
            </w:r>
            <w:proofErr w:type="spellStart"/>
            <w:r w:rsidRPr="0033170D">
              <w:rPr>
                <w:sz w:val="20"/>
                <w:szCs w:val="20"/>
              </w:rPr>
              <w:t>donorvalstis</w:t>
            </w:r>
            <w:proofErr w:type="spellEnd"/>
            <w:r w:rsidRPr="0033170D">
              <w:rPr>
                <w:sz w:val="20"/>
                <w:szCs w:val="20"/>
              </w:rPr>
              <w:t xml:space="preserve">, </w:t>
            </w:r>
            <w:r w:rsidR="00B10041" w:rsidRPr="0033170D">
              <w:rPr>
                <w:sz w:val="20"/>
                <w:szCs w:val="20"/>
              </w:rPr>
              <w:t xml:space="preserve">tas tiks izvērtēts, vienojoties ar programmas </w:t>
            </w:r>
            <w:proofErr w:type="spellStart"/>
            <w:r w:rsidR="00B10041" w:rsidRPr="0033170D">
              <w:rPr>
                <w:sz w:val="20"/>
                <w:szCs w:val="20"/>
              </w:rPr>
              <w:t>donorvalstu</w:t>
            </w:r>
            <w:proofErr w:type="spellEnd"/>
            <w:r w:rsidR="00B10041" w:rsidRPr="0033170D">
              <w:rPr>
                <w:sz w:val="20"/>
                <w:szCs w:val="20"/>
              </w:rPr>
              <w:t xml:space="preserve"> partneriem.</w:t>
            </w:r>
          </w:p>
          <w:p w:rsidR="003C6E8D" w:rsidRPr="0033170D" w:rsidRDefault="003C6E8D" w:rsidP="002D3E29">
            <w:pPr>
              <w:spacing w:line="276" w:lineRule="auto"/>
              <w:rPr>
                <w:sz w:val="20"/>
                <w:szCs w:val="20"/>
              </w:rPr>
            </w:pPr>
            <w:r w:rsidRPr="0033170D">
              <w:rPr>
                <w:sz w:val="20"/>
                <w:szCs w:val="20"/>
              </w:rPr>
              <w:t xml:space="preserve"> </w:t>
            </w:r>
          </w:p>
          <w:p w:rsidR="003C6E8D" w:rsidRPr="0033170D" w:rsidRDefault="003C6E8D" w:rsidP="002D3E29">
            <w:pPr>
              <w:rPr>
                <w:sz w:val="20"/>
                <w:szCs w:val="20"/>
              </w:rPr>
            </w:pPr>
          </w:p>
        </w:tc>
      </w:tr>
      <w:tr w:rsidR="003C6E8D" w:rsidRPr="0033170D" w:rsidTr="002D3E29">
        <w:trPr>
          <w:trHeight w:val="1153"/>
          <w:tblHeader/>
        </w:trPr>
        <w:tc>
          <w:tcPr>
            <w:tcW w:w="55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1. divpusējais iznākums</w:t>
            </w:r>
          </w:p>
        </w:tc>
        <w:tc>
          <w:tcPr>
            <w:tcW w:w="562"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Veicināta sadarbība starp </w:t>
            </w:r>
            <w:proofErr w:type="spellStart"/>
            <w:r w:rsidRPr="0033170D">
              <w:rPr>
                <w:sz w:val="20"/>
                <w:szCs w:val="20"/>
              </w:rPr>
              <w:t>donorvalstīm</w:t>
            </w:r>
            <w:proofErr w:type="spellEnd"/>
            <w:r w:rsidRPr="0033170D">
              <w:rPr>
                <w:sz w:val="20"/>
                <w:szCs w:val="20"/>
              </w:rPr>
              <w:t xml:space="preserve"> un saņēmējvalsti.</w:t>
            </w:r>
          </w:p>
        </w:tc>
        <w:tc>
          <w:tcPr>
            <w:tcW w:w="805"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 xml:space="preserve">Projektu skaits, kuru ietvaros notika sadarbība ar donoru projekta partneri </w:t>
            </w:r>
          </w:p>
        </w:tc>
        <w:tc>
          <w:tcPr>
            <w:tcW w:w="499"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0</w:t>
            </w:r>
          </w:p>
        </w:tc>
        <w:tc>
          <w:tcPr>
            <w:tcW w:w="476" w:type="pct"/>
            <w:tcBorders>
              <w:top w:val="single" w:sz="4" w:space="0" w:color="auto"/>
              <w:left w:val="single" w:sz="4" w:space="0" w:color="auto"/>
              <w:bottom w:val="single" w:sz="4" w:space="0" w:color="auto"/>
              <w:right w:val="single" w:sz="4" w:space="0" w:color="auto"/>
            </w:tcBorders>
            <w:hideMark/>
          </w:tcPr>
          <w:p w:rsidR="003C6E8D" w:rsidRPr="0033170D" w:rsidRDefault="003C6E8D" w:rsidP="002D3E29">
            <w:pPr>
              <w:rPr>
                <w:sz w:val="20"/>
                <w:szCs w:val="20"/>
              </w:rPr>
            </w:pPr>
            <w:r w:rsidRPr="0033170D">
              <w:rPr>
                <w:sz w:val="20"/>
                <w:szCs w:val="20"/>
              </w:rPr>
              <w:t>17</w:t>
            </w:r>
          </w:p>
        </w:tc>
        <w:tc>
          <w:tcPr>
            <w:tcW w:w="2103" w:type="pct"/>
            <w:tcBorders>
              <w:top w:val="single" w:sz="4" w:space="0" w:color="auto"/>
              <w:left w:val="single" w:sz="4" w:space="0" w:color="auto"/>
              <w:bottom w:val="single" w:sz="4" w:space="0" w:color="auto"/>
              <w:right w:val="single" w:sz="4" w:space="0" w:color="auto"/>
            </w:tcBorders>
          </w:tcPr>
          <w:p w:rsidR="003C6E8D" w:rsidRPr="0033170D" w:rsidRDefault="003C6E8D" w:rsidP="002D3E29">
            <w:pPr>
              <w:rPr>
                <w:sz w:val="20"/>
                <w:szCs w:val="20"/>
              </w:rPr>
            </w:pPr>
            <w:r w:rsidRPr="0033170D">
              <w:rPr>
                <w:sz w:val="20"/>
                <w:szCs w:val="20"/>
              </w:rPr>
              <w:t>Programmas ietvaros plānoti vismaz 17 projekti, kuru ietvaros notiks sadarbība ar donoru projekta partneri:</w:t>
            </w:r>
          </w:p>
          <w:p w:rsidR="003C6E8D" w:rsidRPr="0033170D" w:rsidRDefault="003C6E8D" w:rsidP="002D3E29">
            <w:pPr>
              <w:pStyle w:val="ListParagraph"/>
              <w:numPr>
                <w:ilvl w:val="0"/>
                <w:numId w:val="2"/>
              </w:numPr>
              <w:rPr>
                <w:sz w:val="20"/>
                <w:szCs w:val="20"/>
              </w:rPr>
            </w:pPr>
            <w:r w:rsidRPr="0033170D">
              <w:rPr>
                <w:sz w:val="20"/>
                <w:szCs w:val="20"/>
              </w:rPr>
              <w:t>~ 7 projekti Baltijas pētniecības programmā;</w:t>
            </w:r>
          </w:p>
          <w:p w:rsidR="003C6E8D" w:rsidRPr="0033170D" w:rsidRDefault="003C6E8D" w:rsidP="002D3E29">
            <w:pPr>
              <w:pStyle w:val="ListParagraph"/>
              <w:numPr>
                <w:ilvl w:val="0"/>
                <w:numId w:val="2"/>
              </w:numPr>
              <w:rPr>
                <w:sz w:val="20"/>
                <w:szCs w:val="20"/>
              </w:rPr>
            </w:pPr>
            <w:r w:rsidRPr="0033170D">
              <w:rPr>
                <w:sz w:val="20"/>
                <w:szCs w:val="20"/>
              </w:rPr>
              <w:t>~ 6 mobilitātes (stipendiju) projekti;</w:t>
            </w:r>
          </w:p>
          <w:p w:rsidR="003C6E8D" w:rsidRPr="0033170D" w:rsidRDefault="00B56657" w:rsidP="002D3E29">
            <w:pPr>
              <w:pStyle w:val="ListParagraph"/>
              <w:numPr>
                <w:ilvl w:val="0"/>
                <w:numId w:val="2"/>
              </w:numPr>
              <w:rPr>
                <w:sz w:val="20"/>
                <w:szCs w:val="20"/>
              </w:rPr>
            </w:pPr>
            <w:r>
              <w:rPr>
                <w:sz w:val="20"/>
                <w:szCs w:val="20"/>
              </w:rPr>
              <w:t>4 inovācijas</w:t>
            </w:r>
            <w:r w:rsidR="003C6E8D" w:rsidRPr="0033170D">
              <w:rPr>
                <w:sz w:val="20"/>
                <w:szCs w:val="20"/>
              </w:rPr>
              <w:t xml:space="preserve"> centru projekti.</w:t>
            </w:r>
          </w:p>
        </w:tc>
      </w:tr>
    </w:tbl>
    <w:p w:rsidR="003C6E8D" w:rsidRPr="0033170D" w:rsidRDefault="003C6E8D" w:rsidP="00AC4279">
      <w:pPr>
        <w:rPr>
          <w:sz w:val="20"/>
          <w:szCs w:val="20"/>
        </w:rPr>
      </w:pPr>
    </w:p>
    <w:sectPr w:rsidR="003C6E8D" w:rsidRPr="0033170D" w:rsidSect="008266B3">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35" w:rsidRDefault="00474B35" w:rsidP="003C6E8D">
      <w:r>
        <w:separator/>
      </w:r>
    </w:p>
  </w:endnote>
  <w:endnote w:type="continuationSeparator" w:id="0">
    <w:p w:rsidR="00474B35" w:rsidRDefault="00474B35" w:rsidP="003C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71" w:rsidRDefault="00D54371">
    <w:pPr>
      <w:pStyle w:val="Footer"/>
    </w:pPr>
    <w:r>
      <w:t>IZManotp_070119_EEZ_NO</w:t>
    </w:r>
  </w:p>
  <w:p w:rsidR="00D54371" w:rsidRDefault="00D54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B3" w:rsidRDefault="008266B3" w:rsidP="008266B3">
    <w:pPr>
      <w:pStyle w:val="Footer"/>
    </w:pPr>
    <w:r>
      <w:t>IZManotp_070119_EEZ_NO</w:t>
    </w:r>
  </w:p>
  <w:p w:rsidR="008266B3" w:rsidRDefault="00826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35" w:rsidRDefault="00474B35" w:rsidP="003C6E8D">
      <w:r>
        <w:separator/>
      </w:r>
    </w:p>
  </w:footnote>
  <w:footnote w:type="continuationSeparator" w:id="0">
    <w:p w:rsidR="00474B35" w:rsidRDefault="00474B35" w:rsidP="003C6E8D">
      <w:r>
        <w:continuationSeparator/>
      </w:r>
    </w:p>
  </w:footnote>
  <w:footnote w:id="1">
    <w:p w:rsidR="003C6E8D" w:rsidRPr="004C1CB6" w:rsidRDefault="003C6E8D" w:rsidP="003C6E8D">
      <w:pPr>
        <w:pStyle w:val="NormalWeb"/>
        <w:spacing w:before="0" w:beforeAutospacing="0" w:after="0" w:afterAutospacing="0"/>
        <w:rPr>
          <w:sz w:val="20"/>
          <w:szCs w:val="20"/>
        </w:rPr>
      </w:pPr>
      <w:r>
        <w:rPr>
          <w:rStyle w:val="FootnoteReference"/>
          <w:sz w:val="20"/>
          <w:szCs w:val="20"/>
          <w:lang w:val="en-GB"/>
        </w:rPr>
        <w:footnoteRef/>
      </w:r>
      <w:r>
        <w:rPr>
          <w:rStyle w:val="FootnoteReference"/>
          <w:lang w:val="en-GB"/>
        </w:rPr>
        <w:t xml:space="preserve"> </w:t>
      </w:r>
      <w:r w:rsidRPr="004C1CB6">
        <w:rPr>
          <w:sz w:val="20"/>
          <w:szCs w:val="20"/>
        </w:rPr>
        <w:t xml:space="preserve">Ar vārdu "kopīgi" rādītāju kolonnā 1. rezultāta rindā ir saprotams Baltijas un </w:t>
      </w:r>
      <w:proofErr w:type="spellStart"/>
      <w:r w:rsidRPr="004C1CB6">
        <w:rPr>
          <w:sz w:val="20"/>
          <w:szCs w:val="20"/>
        </w:rPr>
        <w:t>donorvalstu</w:t>
      </w:r>
      <w:proofErr w:type="spellEnd"/>
      <w:r w:rsidRPr="004C1CB6">
        <w:rPr>
          <w:sz w:val="20"/>
          <w:szCs w:val="20"/>
        </w:rPr>
        <w:t xml:space="preserve"> kopīgais darbs, kur piedalās vismaz 1 Baltijas valsts un vismaz 1 </w:t>
      </w:r>
      <w:proofErr w:type="spellStart"/>
      <w:r w:rsidRPr="004C1CB6">
        <w:rPr>
          <w:sz w:val="20"/>
          <w:szCs w:val="20"/>
        </w:rPr>
        <w:t>donorvalsts</w:t>
      </w:r>
      <w:proofErr w:type="spellEnd"/>
      <w:r w:rsidRPr="004C1CB6">
        <w:rPr>
          <w:sz w:val="20"/>
          <w:szCs w:val="20"/>
        </w:rPr>
        <w:t xml:space="preserve">. Sasniegumus šiem rādītājiem aprēķina, pamatojoties uz Latvijas projektu iesniedzēju īstenotajiem projektiem. </w:t>
      </w:r>
    </w:p>
  </w:footnote>
  <w:footnote w:id="2">
    <w:p w:rsidR="003C6E8D" w:rsidRPr="004C1CB6" w:rsidRDefault="003C6E8D" w:rsidP="003C6E8D">
      <w:pPr>
        <w:pStyle w:val="FootnoteText"/>
        <w:spacing w:after="0"/>
        <w:rPr>
          <w:rFonts w:ascii="Times New Roman" w:hAnsi="Times New Roman"/>
          <w:sz w:val="20"/>
          <w:szCs w:val="20"/>
        </w:rPr>
      </w:pPr>
      <w:r w:rsidRPr="004C1CB6">
        <w:rPr>
          <w:rStyle w:val="FootnoteReference"/>
          <w:rFonts w:ascii="Times New Roman" w:hAnsi="Times New Roman"/>
          <w:sz w:val="20"/>
          <w:szCs w:val="20"/>
        </w:rPr>
        <w:footnoteRef/>
      </w:r>
      <w:r w:rsidRPr="004C1CB6">
        <w:rPr>
          <w:rFonts w:ascii="Times New Roman" w:hAnsi="Times New Roman"/>
          <w:sz w:val="20"/>
          <w:szCs w:val="20"/>
        </w:rPr>
        <w:t xml:space="preserve"> </w:t>
      </w:r>
      <w:r w:rsidRPr="004C1CB6">
        <w:rPr>
          <w:rFonts w:ascii="Times New Roman" w:hAnsi="Times New Roman"/>
          <w:sz w:val="20"/>
          <w:szCs w:val="20"/>
        </w:rPr>
        <w:t>Valsts finansējums, ES finansējums vai starptautiskais finansējums (atskaitot ES)</w:t>
      </w:r>
    </w:p>
  </w:footnote>
  <w:footnote w:id="3">
    <w:p w:rsidR="003C6E8D" w:rsidRPr="004C1CB6" w:rsidRDefault="003C6E8D" w:rsidP="003C6E8D">
      <w:pPr>
        <w:pStyle w:val="FootnoteText"/>
        <w:rPr>
          <w:rFonts w:ascii="Times New Roman" w:hAnsi="Times New Roman"/>
          <w:sz w:val="20"/>
          <w:szCs w:val="20"/>
        </w:rPr>
      </w:pPr>
      <w:r w:rsidRPr="004C1CB6">
        <w:rPr>
          <w:rStyle w:val="FootnoteReference"/>
          <w:rFonts w:ascii="Times New Roman" w:hAnsi="Times New Roman"/>
          <w:sz w:val="20"/>
          <w:szCs w:val="20"/>
        </w:rPr>
        <w:footnoteRef/>
      </w:r>
      <w:r w:rsidRPr="004C1CB6">
        <w:rPr>
          <w:rFonts w:ascii="Times New Roman" w:hAnsi="Times New Roman"/>
          <w:sz w:val="20"/>
          <w:szCs w:val="20"/>
        </w:rPr>
        <w:t xml:space="preserve"> </w:t>
      </w:r>
      <w:r w:rsidRPr="004C1CB6">
        <w:rPr>
          <w:rFonts w:ascii="Times New Roman" w:hAnsi="Times New Roman"/>
          <w:sz w:val="20"/>
          <w:szCs w:val="20"/>
        </w:rPr>
        <w:t xml:space="preserve">Doktoranti un </w:t>
      </w:r>
      <w:proofErr w:type="spellStart"/>
      <w:r w:rsidRPr="004C1CB6">
        <w:rPr>
          <w:rFonts w:ascii="Times New Roman" w:hAnsi="Times New Roman"/>
          <w:sz w:val="20"/>
          <w:szCs w:val="20"/>
        </w:rPr>
        <w:t>pēcdoktoranti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67557"/>
      <w:docPartObj>
        <w:docPartGallery w:val="Page Numbers (Top of Page)"/>
        <w:docPartUnique/>
      </w:docPartObj>
    </w:sdtPr>
    <w:sdtEndPr>
      <w:rPr>
        <w:noProof/>
      </w:rPr>
    </w:sdtEndPr>
    <w:sdtContent>
      <w:p w:rsidR="003C6E8D" w:rsidRDefault="003C6E8D">
        <w:pPr>
          <w:pStyle w:val="Header"/>
          <w:jc w:val="center"/>
        </w:pPr>
        <w:r>
          <w:fldChar w:fldCharType="begin"/>
        </w:r>
        <w:r>
          <w:instrText xml:space="preserve"> PAGE   \* MERGEFORMAT </w:instrText>
        </w:r>
        <w:r>
          <w:fldChar w:fldCharType="separate"/>
        </w:r>
        <w:r w:rsidR="008266B3">
          <w:rPr>
            <w:noProof/>
          </w:rPr>
          <w:t>5</w:t>
        </w:r>
        <w:r>
          <w:rPr>
            <w:noProof/>
          </w:rPr>
          <w:fldChar w:fldCharType="end"/>
        </w:r>
      </w:p>
    </w:sdtContent>
  </w:sdt>
  <w:p w:rsidR="003C6E8D" w:rsidRDefault="003C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308"/>
    <w:multiLevelType w:val="hybridMultilevel"/>
    <w:tmpl w:val="E732E4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6B4FDB"/>
    <w:multiLevelType w:val="hybridMultilevel"/>
    <w:tmpl w:val="937A55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8D"/>
    <w:rsid w:val="001C549B"/>
    <w:rsid w:val="00294468"/>
    <w:rsid w:val="002D3E29"/>
    <w:rsid w:val="0033170D"/>
    <w:rsid w:val="00344697"/>
    <w:rsid w:val="00364A8C"/>
    <w:rsid w:val="003C6E8D"/>
    <w:rsid w:val="00474B35"/>
    <w:rsid w:val="004C1CB6"/>
    <w:rsid w:val="00660DDC"/>
    <w:rsid w:val="00785460"/>
    <w:rsid w:val="00785D93"/>
    <w:rsid w:val="008266B3"/>
    <w:rsid w:val="00AC4279"/>
    <w:rsid w:val="00AF7272"/>
    <w:rsid w:val="00B10041"/>
    <w:rsid w:val="00B56657"/>
    <w:rsid w:val="00BA13B7"/>
    <w:rsid w:val="00D54371"/>
    <w:rsid w:val="00E64FCB"/>
    <w:rsid w:val="00EA0F48"/>
    <w:rsid w:val="00EA59D8"/>
    <w:rsid w:val="00ED5193"/>
    <w:rsid w:val="00F55E6A"/>
    <w:rsid w:val="00F71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77D6C-D08A-479A-B98E-C904930F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E8D"/>
    <w:pPr>
      <w:spacing w:before="100" w:beforeAutospacing="1" w:after="100" w:afterAutospacing="1"/>
    </w:pPr>
    <w:rPr>
      <w:lang w:eastAsia="lt-LT"/>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semiHidden/>
    <w:locked/>
    <w:rsid w:val="003C6E8D"/>
    <w:rPr>
      <w:rFonts w:ascii="Calibri" w:hAnsi="Calibri" w:cs="Calibri"/>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n"/>
    <w:basedOn w:val="Normal"/>
    <w:link w:val="FootnoteTextChar"/>
    <w:uiPriority w:val="99"/>
    <w:semiHidden/>
    <w:unhideWhenUsed/>
    <w:rsid w:val="003C6E8D"/>
    <w:pPr>
      <w:spacing w:after="120"/>
    </w:pPr>
    <w:rPr>
      <w:rFonts w:ascii="Calibri" w:eastAsiaTheme="minorHAnsi" w:hAnsi="Calibri" w:cs="Calibri"/>
      <w:sz w:val="22"/>
      <w:szCs w:val="22"/>
    </w:rPr>
  </w:style>
  <w:style w:type="character" w:customStyle="1" w:styleId="FootnoteTextChar1">
    <w:name w:val="Footnote Text Char1"/>
    <w:basedOn w:val="DefaultParagraphFont"/>
    <w:uiPriority w:val="99"/>
    <w:semiHidden/>
    <w:rsid w:val="003C6E8D"/>
    <w:rPr>
      <w:rFonts w:ascii="Times New Roman" w:eastAsia="Times New Roman" w:hAnsi="Times New Roman" w:cs="Times New Roman"/>
      <w:sz w:val="20"/>
      <w:szCs w:val="20"/>
    </w:rPr>
  </w:style>
  <w:style w:type="character" w:styleId="FootnoteReference">
    <w:name w:val="footnote reference"/>
    <w:aliases w:val="BVI fnr,BVI fnr Car Car,BVI fnr Car,BVI fnr Car Car Car Car,BVI fnr Car Car Car Car Char,Odwołanie przypisu,Footnote symbol,Footnote Reference_LVL6,Footnote Reference_LVL61,Footnote Reference_LVL62,Footnote Reference_LVL63,SUPERS"/>
    <w:link w:val="Char2"/>
    <w:uiPriority w:val="99"/>
    <w:unhideWhenUsed/>
    <w:rsid w:val="003C6E8D"/>
    <w:rPr>
      <w:vertAlign w:val="superscript"/>
    </w:rPr>
  </w:style>
  <w:style w:type="paragraph" w:customStyle="1" w:styleId="Char2">
    <w:name w:val="Char2"/>
    <w:basedOn w:val="Normal"/>
    <w:link w:val="FootnoteReference"/>
    <w:uiPriority w:val="99"/>
    <w:rsid w:val="003C6E8D"/>
    <w:pPr>
      <w:spacing w:after="160" w:line="240" w:lineRule="exact"/>
    </w:pPr>
    <w:rPr>
      <w:rFonts w:asciiTheme="minorHAnsi" w:eastAsiaTheme="minorHAnsi" w:hAnsiTheme="minorHAnsi" w:cstheme="minorBidi"/>
      <w:sz w:val="22"/>
      <w:szCs w:val="22"/>
      <w:vertAlign w:val="superscript"/>
    </w:rPr>
  </w:style>
  <w:style w:type="table" w:customStyle="1" w:styleId="TableGrid1">
    <w:name w:val="Table Grid1"/>
    <w:basedOn w:val="TableNormal"/>
    <w:uiPriority w:val="39"/>
    <w:rsid w:val="003C6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E8D"/>
    <w:pPr>
      <w:ind w:left="720"/>
      <w:contextualSpacing/>
    </w:pPr>
  </w:style>
  <w:style w:type="table" w:styleId="TableGrid">
    <w:name w:val="Table Grid"/>
    <w:basedOn w:val="TableNormal"/>
    <w:uiPriority w:val="39"/>
    <w:rsid w:val="003C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8D"/>
    <w:pPr>
      <w:tabs>
        <w:tab w:val="center" w:pos="4153"/>
        <w:tab w:val="right" w:pos="8306"/>
      </w:tabs>
    </w:pPr>
  </w:style>
  <w:style w:type="character" w:customStyle="1" w:styleId="HeaderChar">
    <w:name w:val="Header Char"/>
    <w:basedOn w:val="DefaultParagraphFont"/>
    <w:link w:val="Header"/>
    <w:uiPriority w:val="99"/>
    <w:rsid w:val="003C6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E8D"/>
    <w:pPr>
      <w:tabs>
        <w:tab w:val="center" w:pos="4153"/>
        <w:tab w:val="right" w:pos="8306"/>
      </w:tabs>
    </w:pPr>
  </w:style>
  <w:style w:type="character" w:customStyle="1" w:styleId="FooterChar">
    <w:name w:val="Footer Char"/>
    <w:basedOn w:val="DefaultParagraphFont"/>
    <w:link w:val="Footer"/>
    <w:uiPriority w:val="99"/>
    <w:rsid w:val="003C6E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5C58959A542F0A1192EC45BB5CDF0"/>
        <w:category>
          <w:name w:val="General"/>
          <w:gallery w:val="placeholder"/>
        </w:category>
        <w:types>
          <w:type w:val="bbPlcHdr"/>
        </w:types>
        <w:behaviors>
          <w:behavior w:val="content"/>
        </w:behaviors>
        <w:guid w:val="{85C4A25D-DAC6-44B4-A4D9-34E9DF675A52}"/>
      </w:docPartPr>
      <w:docPartBody>
        <w:p w:rsidR="00D54A00" w:rsidRDefault="00294787" w:rsidP="00294787">
          <w:pPr>
            <w:pStyle w:val="B975C58959A542F0A1192EC45BB5CDF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87"/>
    <w:rsid w:val="002140DF"/>
    <w:rsid w:val="00292175"/>
    <w:rsid w:val="00294787"/>
    <w:rsid w:val="00705D40"/>
    <w:rsid w:val="00773FE2"/>
    <w:rsid w:val="00A54ACC"/>
    <w:rsid w:val="00B60891"/>
    <w:rsid w:val="00C87128"/>
    <w:rsid w:val="00D54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787"/>
    <w:rPr>
      <w:color w:val="808080"/>
    </w:rPr>
  </w:style>
  <w:style w:type="paragraph" w:customStyle="1" w:styleId="B975C58959A542F0A1192EC45BB5CDF0">
    <w:name w:val="B975C58959A542F0A1192EC45BB5CDF0"/>
    <w:rsid w:val="00294787"/>
  </w:style>
  <w:style w:type="paragraph" w:customStyle="1" w:styleId="F552656A7E8C4B9CA1767F3BF7965715">
    <w:name w:val="F552656A7E8C4B9CA1767F3BF7965715"/>
    <w:rsid w:val="00A54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5500</Words>
  <Characters>3135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Jansone</dc:creator>
  <cp:keywords/>
  <dc:description/>
  <cp:lastModifiedBy>Anita Depkovska</cp:lastModifiedBy>
  <cp:revision>2</cp:revision>
  <dcterms:created xsi:type="dcterms:W3CDTF">2019-01-08T11:51:00Z</dcterms:created>
  <dcterms:modified xsi:type="dcterms:W3CDTF">2019-01-08T11:51:00Z</dcterms:modified>
</cp:coreProperties>
</file>