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8424" w14:textId="765ECFE6" w:rsidR="009B5A53" w:rsidRPr="0022764E" w:rsidRDefault="009B5A53" w:rsidP="009B5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64E">
        <w:rPr>
          <w:rFonts w:ascii="Times New Roman" w:hAnsi="Times New Roman" w:cs="Times New Roman"/>
          <w:sz w:val="24"/>
          <w:szCs w:val="24"/>
        </w:rPr>
        <w:t>2. pielikums</w:t>
      </w:r>
    </w:p>
    <w:p w14:paraId="7EC6D881" w14:textId="77777777" w:rsidR="0022764E" w:rsidRDefault="0022764E" w:rsidP="0089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1106A" w14:textId="67533937" w:rsidR="0089382C" w:rsidRPr="0022764E" w:rsidRDefault="0089382C" w:rsidP="0089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64E">
        <w:rPr>
          <w:rFonts w:ascii="Times New Roman" w:hAnsi="Times New Roman" w:cs="Times New Roman"/>
          <w:b/>
          <w:sz w:val="24"/>
          <w:szCs w:val="24"/>
        </w:rPr>
        <w:t xml:space="preserve">Privāto pakalpojumu sniedzēju iesaistes īpatsvars Labklājības ministrijas nekustamo īpašumu pārvaldīšanā un apsaimniekošanā </w:t>
      </w:r>
    </w:p>
    <w:p w14:paraId="7E8F6D79" w14:textId="77777777" w:rsidR="0089382C" w:rsidRPr="0022764E" w:rsidRDefault="0089382C" w:rsidP="00893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64E">
        <w:rPr>
          <w:rFonts w:ascii="Times New Roman" w:hAnsi="Times New Roman" w:cs="Times New Roman"/>
          <w:sz w:val="24"/>
          <w:szCs w:val="24"/>
        </w:rPr>
        <w:t>(2018. gads)</w:t>
      </w:r>
    </w:p>
    <w:p w14:paraId="293C08F3" w14:textId="033A6EBA" w:rsidR="0089382C" w:rsidRPr="0022764E" w:rsidRDefault="0089382C" w:rsidP="0089382C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2835"/>
        <w:gridCol w:w="1843"/>
      </w:tblGrid>
      <w:tr w:rsidR="0022764E" w:rsidRPr="0022764E" w14:paraId="764FEA1C" w14:textId="77777777" w:rsidTr="0079230F"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2D89" w14:textId="77777777" w:rsidR="0089382C" w:rsidRPr="0022764E" w:rsidRDefault="0089382C" w:rsidP="009B5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Pārvaldīšanas darbības </w:t>
            </w:r>
          </w:p>
        </w:tc>
      </w:tr>
      <w:tr w:rsidR="0022764E" w:rsidRPr="0022764E" w14:paraId="29B66B72" w14:textId="77777777" w:rsidTr="0079230F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326C" w14:textId="77777777" w:rsidR="0089382C" w:rsidRPr="0022764E" w:rsidRDefault="0089382C" w:rsidP="00637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Pārvaldīšanas darbības</w:t>
            </w:r>
          </w:p>
          <w:p w14:paraId="77FC5BFB" w14:textId="77777777" w:rsidR="0089382C" w:rsidRPr="0022764E" w:rsidRDefault="0089382C" w:rsidP="006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(plānošana, NI lietas, kontrole, uzraudzība</w:t>
            </w:r>
            <w:r w:rsidR="009847EB" w:rsidRPr="0022764E">
              <w:rPr>
                <w:rFonts w:ascii="Times New Roman" w:hAnsi="Times New Roman" w:cs="Times New Roman"/>
                <w:sz w:val="24"/>
                <w:szCs w:val="24"/>
              </w:rPr>
              <w:t>, apsekošanas, atzinumi</w:t>
            </w: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 xml:space="preserve"> utt.)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AB0A" w14:textId="77777777" w:rsidR="0089382C" w:rsidRPr="0022764E" w:rsidRDefault="0063770F" w:rsidP="0063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660A" w14:textId="77777777" w:rsidR="0089382C" w:rsidRPr="0022764E" w:rsidRDefault="0089382C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100 %</w:t>
            </w:r>
          </w:p>
        </w:tc>
      </w:tr>
      <w:tr w:rsidR="0022764E" w:rsidRPr="0022764E" w14:paraId="254B0C16" w14:textId="77777777" w:rsidTr="0079230F"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B7C6" w14:textId="77777777" w:rsidR="0089382C" w:rsidRPr="0022764E" w:rsidRDefault="0089382C" w:rsidP="009B5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Centralizētās iepirkumu iestādes funkcija </w:t>
            </w:r>
          </w:p>
        </w:tc>
      </w:tr>
      <w:tr w:rsidR="0022764E" w:rsidRPr="0022764E" w14:paraId="3796AE34" w14:textId="77777777" w:rsidTr="0079230F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63B6" w14:textId="77777777" w:rsidR="0063770F" w:rsidRPr="0022764E" w:rsidRDefault="0063770F" w:rsidP="009B5A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Saimniecisko iepirkumu organizēšana</w:t>
            </w:r>
          </w:p>
          <w:p w14:paraId="74CD0E09" w14:textId="0AFBE696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A53" w:rsidRPr="0022764E">
              <w:rPr>
                <w:rFonts w:ascii="Times New Roman" w:hAnsi="Times New Roman" w:cs="Times New Roman"/>
                <w:sz w:val="24"/>
                <w:szCs w:val="24"/>
              </w:rPr>
              <w:t>tehnisko specifikāciju izstrāde un saskaņošana, nolikumu u.c. iepirkumu dokumentācijas sagatavošana, iepirkumu komisijas darbs</w:t>
            </w: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 xml:space="preserve"> utt.)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7610" w14:textId="77777777" w:rsidR="0063770F" w:rsidRPr="0022764E" w:rsidRDefault="0063770F" w:rsidP="00C8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3B53" w14:textId="77777777" w:rsidR="0063770F" w:rsidRPr="0022764E" w:rsidRDefault="0063770F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100 %</w:t>
            </w:r>
          </w:p>
        </w:tc>
      </w:tr>
      <w:tr w:rsidR="0022764E" w:rsidRPr="0022764E" w14:paraId="35A5C20D" w14:textId="77777777" w:rsidTr="0079230F"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CC92" w14:textId="301AC8D9" w:rsidR="0063770F" w:rsidRPr="0022764E" w:rsidRDefault="0063770F" w:rsidP="009B5A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b/>
                <w:sz w:val="24"/>
                <w:szCs w:val="24"/>
              </w:rPr>
              <w:t>Apsaimniekošanas darbības</w:t>
            </w:r>
          </w:p>
        </w:tc>
      </w:tr>
      <w:tr w:rsidR="0022764E" w:rsidRPr="0022764E" w14:paraId="582362CF" w14:textId="77777777" w:rsidTr="0079230F"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22B5D" w14:textId="77777777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Inženierkomunikāciju</w:t>
            </w:r>
            <w:r w:rsidR="00675A91" w:rsidRPr="0022764E">
              <w:rPr>
                <w:rFonts w:ascii="Times New Roman" w:hAnsi="Times New Roman" w:cs="Times New Roman"/>
                <w:sz w:val="24"/>
                <w:szCs w:val="24"/>
              </w:rPr>
              <w:t xml:space="preserve"> apkope un</w:t>
            </w: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 xml:space="preserve"> apkalpošana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62EE" w14:textId="77777777" w:rsidR="0063770F" w:rsidRPr="0022764E" w:rsidRDefault="0063770F" w:rsidP="00C826DD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1DA1" w14:textId="77777777" w:rsidR="0063770F" w:rsidRPr="0022764E" w:rsidRDefault="0063770F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4 %</w:t>
            </w:r>
          </w:p>
        </w:tc>
      </w:tr>
      <w:tr w:rsidR="0022764E" w:rsidRPr="0022764E" w14:paraId="16FC3449" w14:textId="77777777" w:rsidTr="0079230F"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27750" w14:textId="77777777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2947" w14:textId="77777777" w:rsidR="0063770F" w:rsidRPr="0022764E" w:rsidRDefault="0063770F" w:rsidP="00C826DD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743D" w14:textId="77777777" w:rsidR="0063770F" w:rsidRPr="0022764E" w:rsidRDefault="0063770F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96 %</w:t>
            </w:r>
          </w:p>
        </w:tc>
      </w:tr>
      <w:tr w:rsidR="0022764E" w:rsidRPr="0022764E" w14:paraId="672756BB" w14:textId="77777777" w:rsidTr="0079230F"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8C1D" w14:textId="77777777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Teritorijas uzkopšanas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2C33" w14:textId="77777777" w:rsidR="0063770F" w:rsidRPr="0022764E" w:rsidRDefault="0063770F" w:rsidP="00C826DD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5713" w14:textId="6862E0AB" w:rsidR="0063770F" w:rsidRPr="0022764E" w:rsidRDefault="0063770F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2EA" w:rsidRPr="00227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64E" w:rsidRPr="0022764E" w14:paraId="0C02E25A" w14:textId="77777777" w:rsidTr="0079230F"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374209" w14:textId="77777777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4802" w14:textId="77777777" w:rsidR="0063770F" w:rsidRPr="0022764E" w:rsidRDefault="0063770F" w:rsidP="00C826DD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4E91" w14:textId="3451E700" w:rsidR="0063770F" w:rsidRPr="0022764E" w:rsidRDefault="001F05BD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362EA" w:rsidRPr="00227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770F" w:rsidRPr="002276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64E" w:rsidRPr="0022764E" w14:paraId="3B152D3E" w14:textId="77777777" w:rsidTr="0079230F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49B8" w14:textId="77777777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Telpu uzkopšana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0C70" w14:textId="77777777" w:rsidR="0063770F" w:rsidRPr="0022764E" w:rsidRDefault="0063770F" w:rsidP="00C826DD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CA13" w14:textId="4517AD89" w:rsidR="0063770F" w:rsidRPr="0022764E" w:rsidRDefault="0063770F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2EA" w:rsidRPr="00227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64E" w:rsidRPr="0022764E" w14:paraId="1CAE69E2" w14:textId="77777777" w:rsidTr="0079230F"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848E" w14:textId="77777777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1E0A" w14:textId="77777777" w:rsidR="0063770F" w:rsidRPr="0022764E" w:rsidRDefault="0063770F" w:rsidP="00C826DD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 xml:space="preserve">Ārpakalpojums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C5967" w14:textId="38694600" w:rsidR="0063770F" w:rsidRPr="0022764E" w:rsidRDefault="001F05BD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362EA" w:rsidRPr="00227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770F" w:rsidRPr="002276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64E" w:rsidRPr="0022764E" w14:paraId="4CA401A7" w14:textId="77777777" w:rsidTr="0079230F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0D60C" w14:textId="6A5E33D5" w:rsidR="0063770F" w:rsidRPr="0022764E" w:rsidRDefault="0063770F" w:rsidP="00C826DD">
            <w:pPr>
              <w:ind w:left="13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Apsardze (fiziskā, tehniskā)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720" w14:textId="77777777" w:rsidR="0063770F" w:rsidRPr="0022764E" w:rsidRDefault="0063770F" w:rsidP="00C826DD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528" w14:textId="759DDD49" w:rsidR="0063770F" w:rsidRPr="0022764E" w:rsidRDefault="001362EA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0 %</w:t>
            </w:r>
          </w:p>
        </w:tc>
      </w:tr>
      <w:tr w:rsidR="0022764E" w:rsidRPr="0022764E" w14:paraId="4AAE8740" w14:textId="77777777" w:rsidTr="0079230F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081" w14:textId="77777777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70BA" w14:textId="77777777" w:rsidR="0063770F" w:rsidRPr="0022764E" w:rsidRDefault="0063770F" w:rsidP="00C826DD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D92" w14:textId="77777777" w:rsidR="0063770F" w:rsidRPr="0022764E" w:rsidRDefault="0063770F" w:rsidP="00BF45E0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100 %</w:t>
            </w:r>
          </w:p>
        </w:tc>
      </w:tr>
      <w:tr w:rsidR="0022764E" w:rsidRPr="0022764E" w14:paraId="7EC35C11" w14:textId="77777777" w:rsidTr="0079230F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7A98" w14:textId="4960346A" w:rsidR="0063770F" w:rsidRPr="0022764E" w:rsidRDefault="009059D7" w:rsidP="001362EA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Ugunsdrošības sistēmu, inventāra apkope, iegāde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29C" w14:textId="77777777" w:rsidR="0063770F" w:rsidRPr="0022764E" w:rsidRDefault="0063770F" w:rsidP="00C826DD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B01E" w14:textId="7DA72354" w:rsidR="0063770F" w:rsidRPr="0022764E" w:rsidRDefault="009059D7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45E0" w:rsidRPr="00227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64E" w:rsidRPr="0022764E" w14:paraId="7DD2834A" w14:textId="77777777" w:rsidTr="0079230F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EB0B" w14:textId="77777777" w:rsidR="0063770F" w:rsidRPr="0022764E" w:rsidRDefault="0063770F" w:rsidP="001362EA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A02" w14:textId="77777777" w:rsidR="0063770F" w:rsidRPr="0022764E" w:rsidRDefault="0063770F" w:rsidP="00C826DD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D5D" w14:textId="1E2146D5" w:rsidR="0063770F" w:rsidRPr="0022764E" w:rsidRDefault="009059D7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F45E0" w:rsidRPr="00227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64E" w:rsidRPr="0022764E" w14:paraId="5E46BA72" w14:textId="77777777" w:rsidTr="0079230F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3AD7D" w14:textId="3055BC0C" w:rsidR="0063770F" w:rsidRPr="0022764E" w:rsidRDefault="009059D7" w:rsidP="001362EA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Liftu, pacēlāju tehniskā apkope, remontdarbi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4C5" w14:textId="77777777" w:rsidR="0063770F" w:rsidRPr="0022764E" w:rsidRDefault="0063770F" w:rsidP="00C826DD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AE4" w14:textId="6F71822E" w:rsidR="0063770F" w:rsidRPr="0022764E" w:rsidRDefault="001362EA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0 %</w:t>
            </w:r>
          </w:p>
        </w:tc>
      </w:tr>
      <w:tr w:rsidR="0022764E" w:rsidRPr="0022764E" w14:paraId="111B9700" w14:textId="77777777" w:rsidTr="0079230F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DB9" w14:textId="77777777" w:rsidR="0063770F" w:rsidRPr="0022764E" w:rsidRDefault="0063770F" w:rsidP="006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B24" w14:textId="77777777" w:rsidR="0063770F" w:rsidRPr="0022764E" w:rsidRDefault="0063770F" w:rsidP="00C826DD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345D" w14:textId="70D7B400" w:rsidR="0063770F" w:rsidRPr="0022764E" w:rsidRDefault="009059D7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45E0" w:rsidRPr="00227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64E" w:rsidRPr="0022764E" w14:paraId="6D0A5CE2" w14:textId="77777777" w:rsidTr="0079230F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C8BDA" w14:textId="79761A7A" w:rsidR="00BF45E0" w:rsidRPr="0022764E" w:rsidRDefault="00BF45E0" w:rsidP="00BF45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Būvju apdrošināšana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485" w14:textId="38BFF423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027E" w14:textId="3705B403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0 %</w:t>
            </w:r>
          </w:p>
        </w:tc>
      </w:tr>
      <w:tr w:rsidR="0022764E" w:rsidRPr="0022764E" w14:paraId="21FA6B34" w14:textId="77777777" w:rsidTr="0079230F">
        <w:tc>
          <w:tcPr>
            <w:tcW w:w="4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35DF" w14:textId="77777777" w:rsidR="00BF45E0" w:rsidRPr="0022764E" w:rsidRDefault="00BF45E0" w:rsidP="00BF45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B94" w14:textId="2BBB0D00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 xml:space="preserve"> 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86F" w14:textId="41EE7086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764E" w:rsidRPr="0022764E" w14:paraId="1D2A7CBF" w14:textId="77777777" w:rsidTr="0079230F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37FF" w14:textId="1BFDFA40" w:rsidR="00BF45E0" w:rsidRPr="0022764E" w:rsidRDefault="00BF45E0" w:rsidP="00BF45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Energopārvaldības</w:t>
            </w:r>
            <w:proofErr w:type="spellEnd"/>
            <w:r w:rsidRPr="0022764E">
              <w:rPr>
                <w:rFonts w:ascii="Times New Roman" w:hAnsi="Times New Roman" w:cs="Times New Roman"/>
                <w:sz w:val="24"/>
                <w:szCs w:val="24"/>
              </w:rPr>
              <w:t xml:space="preserve"> sistēmas uzturēšana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524" w14:textId="77777777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12A" w14:textId="10035870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30 %</w:t>
            </w:r>
          </w:p>
        </w:tc>
      </w:tr>
      <w:tr w:rsidR="0022764E" w:rsidRPr="0022764E" w14:paraId="576DF6F2" w14:textId="77777777" w:rsidTr="0079230F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5F9E" w14:textId="77777777" w:rsidR="00BF45E0" w:rsidRPr="0022764E" w:rsidRDefault="00BF45E0" w:rsidP="00BF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D4A9" w14:textId="77777777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44E" w14:textId="6B646B2B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70 %</w:t>
            </w:r>
          </w:p>
        </w:tc>
      </w:tr>
      <w:tr w:rsidR="0022764E" w:rsidRPr="0022764E" w14:paraId="563E654D" w14:textId="77777777" w:rsidTr="0079230F"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463" w14:textId="06705074" w:rsidR="00BF45E0" w:rsidRPr="0022764E" w:rsidRDefault="00BF45E0" w:rsidP="00BF4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Remontdarbi un būvdarbi (t.sk., projektēšana un būvuzraudzība)</w:t>
            </w:r>
          </w:p>
        </w:tc>
      </w:tr>
      <w:tr w:rsidR="0022764E" w:rsidRPr="0022764E" w14:paraId="58BC7F42" w14:textId="77777777" w:rsidTr="0079230F">
        <w:trPr>
          <w:trHeight w:val="307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24EC" w14:textId="77777777" w:rsidR="00BF45E0" w:rsidRPr="0022764E" w:rsidRDefault="00BF45E0" w:rsidP="00BF45E0">
            <w:pPr>
              <w:ind w:left="13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Plānošana, nepieciešamo darbu organizēšana un kontrole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56E" w14:textId="77777777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2AD" w14:textId="77777777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100 %</w:t>
            </w:r>
          </w:p>
        </w:tc>
      </w:tr>
      <w:tr w:rsidR="0022764E" w:rsidRPr="0022764E" w14:paraId="5EA99D23" w14:textId="77777777" w:rsidTr="0079230F">
        <w:trPr>
          <w:trHeight w:val="104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DCEB" w14:textId="77777777" w:rsidR="00BF45E0" w:rsidRPr="0022764E" w:rsidRDefault="00BF45E0" w:rsidP="00BF45E0">
            <w:pPr>
              <w:ind w:left="13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Projektēšana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A0A52" w14:textId="076B5399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ADBA8" w14:textId="6462FFA2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100 %</w:t>
            </w:r>
          </w:p>
        </w:tc>
      </w:tr>
      <w:tr w:rsidR="0022764E" w:rsidRPr="0022764E" w14:paraId="63E5FFCD" w14:textId="77777777" w:rsidTr="0079230F">
        <w:trPr>
          <w:trHeight w:val="104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CD260" w14:textId="77777777" w:rsidR="00BF45E0" w:rsidRPr="0022764E" w:rsidRDefault="00BF45E0" w:rsidP="00BF45E0">
            <w:pPr>
              <w:ind w:left="13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Būvprojektu ekspertīze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FAA01" w14:textId="09D22449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9CF65" w14:textId="714BBF8E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100 %</w:t>
            </w:r>
          </w:p>
        </w:tc>
      </w:tr>
      <w:tr w:rsidR="0022764E" w:rsidRPr="0022764E" w14:paraId="62F6C34F" w14:textId="77777777" w:rsidTr="0079230F">
        <w:trPr>
          <w:trHeight w:val="388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C3A75" w14:textId="77777777" w:rsidR="00BF45E0" w:rsidRPr="0022764E" w:rsidRDefault="00BF45E0" w:rsidP="00BF45E0">
            <w:pPr>
              <w:ind w:left="13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Tehniskā apsekošana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3E6" w14:textId="77777777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7DA3" w14:textId="77777777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18 %</w:t>
            </w:r>
          </w:p>
        </w:tc>
      </w:tr>
      <w:tr w:rsidR="0022764E" w:rsidRPr="0022764E" w14:paraId="2CC7E209" w14:textId="77777777" w:rsidTr="0079230F">
        <w:trPr>
          <w:trHeight w:val="388"/>
        </w:trPr>
        <w:tc>
          <w:tcPr>
            <w:tcW w:w="4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9986" w14:textId="77777777" w:rsidR="00BF45E0" w:rsidRPr="0022764E" w:rsidRDefault="00BF45E0" w:rsidP="00BF45E0">
            <w:pPr>
              <w:ind w:left="131"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BC3" w14:textId="77777777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FFD" w14:textId="77777777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82  %</w:t>
            </w:r>
          </w:p>
        </w:tc>
      </w:tr>
      <w:tr w:rsidR="0022764E" w:rsidRPr="0022764E" w14:paraId="327CD6A4" w14:textId="77777777" w:rsidTr="0079230F">
        <w:trPr>
          <w:trHeight w:val="90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744CC" w14:textId="77777777" w:rsidR="00BF45E0" w:rsidRPr="0022764E" w:rsidRDefault="00BF45E0" w:rsidP="00BF45E0">
            <w:pPr>
              <w:spacing w:after="0"/>
              <w:ind w:left="131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Būvdarbu un remontdarbu izpilde</w:t>
            </w:r>
            <w:r w:rsidRPr="0022764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B32" w14:textId="77777777" w:rsidR="00BF45E0" w:rsidRPr="0022764E" w:rsidRDefault="00BF45E0" w:rsidP="00C443D3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VSIA “Šampētera nams”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9FF" w14:textId="77777777" w:rsidR="00BF45E0" w:rsidRPr="0022764E" w:rsidRDefault="00BF45E0" w:rsidP="00BF45E0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10 %</w:t>
            </w:r>
          </w:p>
        </w:tc>
      </w:tr>
      <w:tr w:rsidR="0022764E" w:rsidRPr="0022764E" w14:paraId="547C0A2F" w14:textId="77777777" w:rsidTr="0079230F">
        <w:trPr>
          <w:trHeight w:val="53"/>
        </w:trPr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2498" w14:textId="77777777" w:rsidR="00BF45E0" w:rsidRPr="0022764E" w:rsidRDefault="00BF45E0" w:rsidP="00BF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E54F" w14:textId="77777777" w:rsidR="00BF45E0" w:rsidRPr="0022764E" w:rsidRDefault="00BF45E0" w:rsidP="00BF45E0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Ārpakalpojums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EE9" w14:textId="77777777" w:rsidR="00BF45E0" w:rsidRPr="0022764E" w:rsidRDefault="00BF45E0" w:rsidP="00BF45E0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E">
              <w:rPr>
                <w:rFonts w:ascii="Times New Roman" w:hAnsi="Times New Roman" w:cs="Times New Roman"/>
                <w:sz w:val="24"/>
                <w:szCs w:val="24"/>
              </w:rPr>
              <w:t>90 %</w:t>
            </w:r>
          </w:p>
        </w:tc>
      </w:tr>
    </w:tbl>
    <w:p w14:paraId="359F893D" w14:textId="02EA11D7" w:rsidR="00AF25DA" w:rsidRPr="0022764E" w:rsidRDefault="00AF25DA" w:rsidP="0067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5DA" w:rsidRPr="0022764E" w:rsidSect="00C826D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03FB" w14:textId="77777777" w:rsidR="009605D8" w:rsidRDefault="009605D8" w:rsidP="00675A91">
      <w:pPr>
        <w:spacing w:after="0" w:line="240" w:lineRule="auto"/>
      </w:pPr>
      <w:r>
        <w:separator/>
      </w:r>
    </w:p>
  </w:endnote>
  <w:endnote w:type="continuationSeparator" w:id="0">
    <w:p w14:paraId="3A85903D" w14:textId="77777777" w:rsidR="009605D8" w:rsidRDefault="009605D8" w:rsidP="0067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8296E" w14:textId="77777777" w:rsidR="009605D8" w:rsidRDefault="009605D8" w:rsidP="00675A91">
      <w:pPr>
        <w:spacing w:after="0" w:line="240" w:lineRule="auto"/>
      </w:pPr>
      <w:r>
        <w:separator/>
      </w:r>
    </w:p>
  </w:footnote>
  <w:footnote w:type="continuationSeparator" w:id="0">
    <w:p w14:paraId="2787611E" w14:textId="77777777" w:rsidR="009605D8" w:rsidRDefault="009605D8" w:rsidP="00675A91">
      <w:pPr>
        <w:spacing w:after="0" w:line="240" w:lineRule="auto"/>
      </w:pPr>
      <w:r>
        <w:continuationSeparator/>
      </w:r>
    </w:p>
  </w:footnote>
  <w:footnote w:id="1">
    <w:p w14:paraId="4460ACAC" w14:textId="635046D5" w:rsidR="00BF45E0" w:rsidRPr="00675A91" w:rsidRDefault="00BF45E0">
      <w:pPr>
        <w:pStyle w:val="FootnoteText"/>
        <w:rPr>
          <w:rFonts w:ascii="Times New Roman" w:hAnsi="Times New Roman" w:cs="Times New Roman"/>
        </w:rPr>
      </w:pPr>
      <w:r w:rsidRPr="00675A91">
        <w:rPr>
          <w:rStyle w:val="FootnoteReference"/>
          <w:rFonts w:ascii="Times New Roman" w:hAnsi="Times New Roman" w:cs="Times New Roman"/>
        </w:rPr>
        <w:footnoteRef/>
      </w:r>
      <w:r w:rsidRPr="00675A91">
        <w:rPr>
          <w:rFonts w:ascii="Times New Roman" w:hAnsi="Times New Roman" w:cs="Times New Roman"/>
        </w:rPr>
        <w:t xml:space="preserve"> Tabulā atspoguļotais</w:t>
      </w:r>
      <w:r>
        <w:rPr>
          <w:rFonts w:ascii="Times New Roman" w:hAnsi="Times New Roman" w:cs="Times New Roman"/>
        </w:rPr>
        <w:t xml:space="preserve"> īpatsvars ietver gan sīkos ikdienas uzturēšanas remontdarbus (piemēram, sanitārtehnisko iekārtu remonts, durvju slēdzeņu remonts, rozešu nomaiņa u.tml.), gan lielāka apjoma būvdarbus un remontdarbus. Ikdienas uzturēšanas darbus nodrošina </w:t>
      </w:r>
      <w:r w:rsidRPr="00675A91">
        <w:rPr>
          <w:rFonts w:ascii="Times New Roman" w:hAnsi="Times New Roman" w:cs="Times New Roman"/>
        </w:rPr>
        <w:t>VSIA “Šampētera nams”</w:t>
      </w:r>
      <w:r>
        <w:rPr>
          <w:rFonts w:ascii="Times New Roman" w:hAnsi="Times New Roman" w:cs="Times New Roman"/>
        </w:rPr>
        <w:t xml:space="preserve"> (tas veido norādītos 18 %), savukārt remontdarbus un būvdarbus 100 % apmērā nodrošina ārpakalpojuma sniedzēji, kas tiek izvēlēti Publisko iepirkumu likumā noteiktajā kārtībā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C"/>
    <w:rsid w:val="00117CCE"/>
    <w:rsid w:val="001362EA"/>
    <w:rsid w:val="00182A40"/>
    <w:rsid w:val="001F05BD"/>
    <w:rsid w:val="0022764E"/>
    <w:rsid w:val="002C72A4"/>
    <w:rsid w:val="00520C34"/>
    <w:rsid w:val="005B5EDE"/>
    <w:rsid w:val="0063623E"/>
    <w:rsid w:val="0063770F"/>
    <w:rsid w:val="00675A91"/>
    <w:rsid w:val="006D7F26"/>
    <w:rsid w:val="0079230F"/>
    <w:rsid w:val="00836639"/>
    <w:rsid w:val="0089382C"/>
    <w:rsid w:val="009059D7"/>
    <w:rsid w:val="009605D8"/>
    <w:rsid w:val="009847EB"/>
    <w:rsid w:val="00987CFE"/>
    <w:rsid w:val="009B5A53"/>
    <w:rsid w:val="00AF25DA"/>
    <w:rsid w:val="00B45158"/>
    <w:rsid w:val="00B6214C"/>
    <w:rsid w:val="00B97154"/>
    <w:rsid w:val="00BF131B"/>
    <w:rsid w:val="00BF45E0"/>
    <w:rsid w:val="00C443D3"/>
    <w:rsid w:val="00C826DD"/>
    <w:rsid w:val="00E50050"/>
    <w:rsid w:val="00F30DCB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327F9"/>
  <w15:chartTrackingRefBased/>
  <w15:docId w15:val="{18B65390-C90A-4E45-B482-A33F225B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2C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5A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A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A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9FF3-E041-440A-816E-5613A06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Muhka</dc:creator>
  <cp:keywords/>
  <dc:description/>
  <cp:lastModifiedBy>Dace Kļaviņa</cp:lastModifiedBy>
  <cp:revision>2</cp:revision>
  <dcterms:created xsi:type="dcterms:W3CDTF">2019-01-22T08:01:00Z</dcterms:created>
  <dcterms:modified xsi:type="dcterms:W3CDTF">2019-01-22T08:01:00Z</dcterms:modified>
</cp:coreProperties>
</file>