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12CAD0C" w:rsidR="004D15A9" w:rsidRPr="00BC2633" w:rsidRDefault="000D62B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"Valsts vienotā jurista profesionālās kvalifikācijas eksāmena kārtība"</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0D62B9">
        <w:trPr>
          <w:cantSplit/>
        </w:trPr>
        <w:tc>
          <w:tcPr>
            <w:tcW w:w="3256"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2A46BD8F" w14:textId="31A0E25D" w:rsidR="00AC34C2" w:rsidRDefault="00246B8A" w:rsidP="00AC34C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"Valsts vienotā jurista profesionālās kvalifikācijas eksāmena kārtība" (turpmāk – projekts) izstrādāts ar mērķi novērst nepilnības, kas konstatētas, uzsākot darbu pie valsts vienotā jurista profesionālās kvalifikācijas eksāmena</w:t>
            </w:r>
            <w:r w:rsidR="00204BAE">
              <w:rPr>
                <w:rFonts w:ascii="Times New Roman" w:eastAsia="Times New Roman" w:hAnsi="Times New Roman" w:cs="Times New Roman"/>
                <w:sz w:val="24"/>
                <w:szCs w:val="24"/>
                <w:lang w:eastAsia="lv-LV"/>
              </w:rPr>
              <w:t xml:space="preserve"> (turpmāk – kvalifikācijas eksāmens)</w:t>
            </w:r>
            <w:r>
              <w:rPr>
                <w:rFonts w:ascii="Times New Roman" w:eastAsia="Times New Roman" w:hAnsi="Times New Roman" w:cs="Times New Roman"/>
                <w:sz w:val="24"/>
                <w:szCs w:val="24"/>
                <w:lang w:eastAsia="lv-LV"/>
              </w:rPr>
              <w:t xml:space="preserve"> ieviešanas. </w:t>
            </w:r>
          </w:p>
          <w:p w14:paraId="2D343C0B" w14:textId="2A590572" w:rsidR="00CD4E50" w:rsidRPr="00A1552F" w:rsidRDefault="00CD4E50" w:rsidP="00CD4E5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w:t>
            </w:r>
            <w:r w:rsidR="00A73FAF">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stāsies spēkā atbilstoši Oficiālo publikāciju un tiesiskās informācijas likumā noteiktaj</w:t>
            </w:r>
            <w:r w:rsidR="0016424F">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kārtīb</w:t>
            </w:r>
            <w:r w:rsidR="0016424F">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911"/>
        <w:gridCol w:w="5799"/>
      </w:tblGrid>
      <w:tr w:rsidR="00BC2633" w:rsidRPr="00BC2633" w14:paraId="2C53EF84" w14:textId="77777777" w:rsidTr="006C3F78">
        <w:trPr>
          <w:trHeight w:val="405"/>
        </w:trPr>
        <w:tc>
          <w:tcPr>
            <w:tcW w:w="4994"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6C3F7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2"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2" w:type="pct"/>
            <w:tcBorders>
              <w:top w:val="outset" w:sz="6" w:space="0" w:color="414142"/>
              <w:left w:val="outset" w:sz="6" w:space="0" w:color="414142"/>
              <w:bottom w:val="outset" w:sz="6" w:space="0" w:color="414142"/>
              <w:right w:val="outset" w:sz="6" w:space="0" w:color="414142"/>
            </w:tcBorders>
            <w:hideMark/>
          </w:tcPr>
          <w:p w14:paraId="23C19B70" w14:textId="74D83BB5" w:rsidR="00C241D8" w:rsidRDefault="00C80743" w:rsidP="00C241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AA1D80">
              <w:rPr>
                <w:rFonts w:ascii="Times New Roman" w:eastAsia="Times New Roman" w:hAnsi="Times New Roman" w:cs="Times New Roman"/>
                <w:sz w:val="24"/>
                <w:szCs w:val="24"/>
                <w:lang w:eastAsia="lv-LV"/>
              </w:rPr>
              <w:t>izstrādāts pēc Tieslietu ministrijas iniciatīvas.</w:t>
            </w:r>
            <w:r w:rsidR="00C241D8">
              <w:rPr>
                <w:rFonts w:ascii="Times New Roman" w:eastAsia="Times New Roman" w:hAnsi="Times New Roman" w:cs="Times New Roman"/>
                <w:sz w:val="24"/>
                <w:szCs w:val="24"/>
                <w:lang w:eastAsia="lv-LV"/>
              </w:rPr>
              <w:t xml:space="preserve"> Cita starpā projekta izstrādes pamatojums noteikts:</w:t>
            </w:r>
          </w:p>
          <w:p w14:paraId="5574D042" w14:textId="77777777" w:rsidR="00C241D8" w:rsidRDefault="00C241D8" w:rsidP="00C241D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Ministru kabineta 2015. gada 10. novembra sēdes protokola Nr. 58 23.§ 2.1. apakšpunktā;</w:t>
            </w:r>
          </w:p>
          <w:p w14:paraId="0A3EB312" w14:textId="182BCFEE" w:rsidR="00707C58" w:rsidRPr="00BC2633" w:rsidRDefault="00C241D8" w:rsidP="00323AB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Augstskolu likuma 58. panta ceturtajā daļā paredzētajā pilnvarojumā Ministru kabinetam noteikt </w:t>
            </w:r>
            <w:r w:rsidRPr="00AC34C2">
              <w:rPr>
                <w:rFonts w:ascii="Times New Roman" w:eastAsia="Times New Roman" w:hAnsi="Times New Roman" w:cs="Times New Roman"/>
                <w:sz w:val="24"/>
                <w:szCs w:val="24"/>
                <w:u w:val="single"/>
                <w:lang w:eastAsia="lv-LV"/>
              </w:rPr>
              <w:t>valsts eksāmena satura pamatvirzienus, kas izriet no profesijas standart</w:t>
            </w:r>
            <w:r w:rsidRPr="000114FD">
              <w:rPr>
                <w:rFonts w:ascii="Times New Roman" w:eastAsia="Times New Roman" w:hAnsi="Times New Roman" w:cs="Times New Roman"/>
                <w:sz w:val="24"/>
                <w:szCs w:val="24"/>
                <w:u w:val="single"/>
                <w:lang w:eastAsia="lv-LV"/>
              </w:rPr>
              <w:t>a</w:t>
            </w:r>
            <w:r>
              <w:rPr>
                <w:rFonts w:ascii="Times New Roman" w:eastAsia="Times New Roman" w:hAnsi="Times New Roman" w:cs="Times New Roman"/>
                <w:sz w:val="24"/>
                <w:szCs w:val="24"/>
                <w:lang w:eastAsia="lv-LV"/>
              </w:rPr>
              <w:t>, valsts eksāmena organizēšanas, norises, finansēšanas, vērtēšanas, komisijas izveidošanas un tās darbības kārtību, kā arī par valsts eksāmenu atbildīgo institūciju.</w:t>
            </w:r>
          </w:p>
        </w:tc>
      </w:tr>
      <w:tr w:rsidR="00DA326E" w:rsidRPr="00BC2633" w14:paraId="5FF7B6AF" w14:textId="77777777" w:rsidTr="006C3F7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2" w:type="pct"/>
            <w:tcBorders>
              <w:top w:val="outset" w:sz="6" w:space="0" w:color="414142"/>
              <w:left w:val="outset" w:sz="6" w:space="0" w:color="414142"/>
              <w:bottom w:val="outset" w:sz="6" w:space="0" w:color="414142"/>
              <w:right w:val="outset" w:sz="6" w:space="0" w:color="414142"/>
            </w:tcBorders>
            <w:hideMark/>
          </w:tcPr>
          <w:p w14:paraId="7B9225C8" w14:textId="2A622859" w:rsidR="00E90E9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2B10C31" w14:textId="77777777" w:rsidR="00E90E93" w:rsidRPr="00E90E93" w:rsidRDefault="00E90E93" w:rsidP="00E90E93">
            <w:pPr>
              <w:rPr>
                <w:rFonts w:ascii="Times New Roman" w:eastAsia="Times New Roman" w:hAnsi="Times New Roman" w:cs="Times New Roman"/>
                <w:sz w:val="24"/>
                <w:szCs w:val="24"/>
                <w:lang w:eastAsia="lv-LV"/>
              </w:rPr>
            </w:pPr>
          </w:p>
          <w:p w14:paraId="1C796662" w14:textId="77777777" w:rsidR="00E90E93" w:rsidRPr="00E90E93" w:rsidRDefault="00E90E93" w:rsidP="00E90E93">
            <w:pPr>
              <w:rPr>
                <w:rFonts w:ascii="Times New Roman" w:eastAsia="Times New Roman" w:hAnsi="Times New Roman" w:cs="Times New Roman"/>
                <w:sz w:val="24"/>
                <w:szCs w:val="24"/>
                <w:lang w:eastAsia="lv-LV"/>
              </w:rPr>
            </w:pPr>
          </w:p>
          <w:p w14:paraId="1DAC7767" w14:textId="77777777" w:rsidR="00E90E93" w:rsidRPr="00E90E93" w:rsidRDefault="00E90E93" w:rsidP="00E90E93">
            <w:pPr>
              <w:rPr>
                <w:rFonts w:ascii="Times New Roman" w:eastAsia="Times New Roman" w:hAnsi="Times New Roman" w:cs="Times New Roman"/>
                <w:sz w:val="24"/>
                <w:szCs w:val="24"/>
                <w:lang w:eastAsia="lv-LV"/>
              </w:rPr>
            </w:pPr>
          </w:p>
          <w:p w14:paraId="0A956D6B" w14:textId="77777777" w:rsidR="00E90E93" w:rsidRPr="00E90E93" w:rsidRDefault="00E90E93" w:rsidP="00E90E93">
            <w:pPr>
              <w:rPr>
                <w:rFonts w:ascii="Times New Roman" w:eastAsia="Times New Roman" w:hAnsi="Times New Roman" w:cs="Times New Roman"/>
                <w:sz w:val="24"/>
                <w:szCs w:val="24"/>
                <w:lang w:eastAsia="lv-LV"/>
              </w:rPr>
            </w:pPr>
          </w:p>
          <w:p w14:paraId="12B2A9F0" w14:textId="7C6D5CFE" w:rsidR="004D15A9" w:rsidRPr="00E90E93" w:rsidRDefault="004D15A9" w:rsidP="00E90E93">
            <w:pPr>
              <w:ind w:firstLine="720"/>
              <w:rPr>
                <w:rFonts w:ascii="Times New Roman" w:eastAsia="Times New Roman" w:hAnsi="Times New Roman" w:cs="Times New Roman"/>
                <w:sz w:val="24"/>
                <w:szCs w:val="24"/>
                <w:lang w:eastAsia="lv-LV"/>
              </w:rPr>
            </w:pPr>
          </w:p>
        </w:tc>
        <w:tc>
          <w:tcPr>
            <w:tcW w:w="3192" w:type="pct"/>
            <w:tcBorders>
              <w:top w:val="outset" w:sz="6" w:space="0" w:color="414142"/>
              <w:left w:val="outset" w:sz="6" w:space="0" w:color="414142"/>
              <w:bottom w:val="outset" w:sz="6" w:space="0" w:color="414142"/>
              <w:right w:val="outset" w:sz="6" w:space="0" w:color="414142"/>
            </w:tcBorders>
            <w:hideMark/>
          </w:tcPr>
          <w:p w14:paraId="6F82F3FE" w14:textId="56981BBC" w:rsidR="00AA1D80" w:rsidRPr="00C941C5" w:rsidRDefault="00AA1D80" w:rsidP="00AA1D8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2018.</w:t>
            </w:r>
            <w:r w:rsidR="00C241D8"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gada 1.</w:t>
            </w:r>
            <w:r w:rsidR="00C241D8"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janvārī stājās spēkā </w:t>
            </w:r>
            <w:r w:rsidR="00C241D8" w:rsidRPr="00C941C5">
              <w:rPr>
                <w:rFonts w:ascii="Times New Roman" w:hAnsi="Times New Roman" w:cs="Times New Roman"/>
                <w:sz w:val="24"/>
                <w:szCs w:val="24"/>
              </w:rPr>
              <w:t>Ministru kabineta 2017. gada 19. decembra noteikumi Nr. 771 "Valsts vienotā jurista profesionālās kvalifikācijas eksāmena kārtība" (turpmāk – noteikumi Nr. 771)</w:t>
            </w:r>
            <w:r w:rsidRPr="00C941C5">
              <w:rPr>
                <w:rFonts w:ascii="Times New Roman" w:eastAsia="Times New Roman" w:hAnsi="Times New Roman" w:cs="Times New Roman"/>
                <w:sz w:val="24"/>
                <w:szCs w:val="24"/>
                <w:lang w:eastAsia="lv-LV"/>
              </w:rPr>
              <w:t>, kas augstskolās, kuras īsteno profesionālo maģistra studiju programmu jurista profesionālās kvalifikācijas iegūšanai, kā obligātu studiju programmas sastāvdaļu paredz kvalifikācijas eksāmenu. Noteikumu Nr. 771 noslēguma jautājumi no</w:t>
            </w:r>
            <w:r w:rsidR="00FD0A8E" w:rsidRPr="00C941C5">
              <w:rPr>
                <w:rFonts w:ascii="Times New Roman" w:eastAsia="Times New Roman" w:hAnsi="Times New Roman" w:cs="Times New Roman"/>
                <w:sz w:val="24"/>
                <w:szCs w:val="24"/>
                <w:lang w:eastAsia="lv-LV"/>
              </w:rPr>
              <w:t>teica</w:t>
            </w:r>
            <w:r w:rsidRPr="00C941C5">
              <w:rPr>
                <w:rFonts w:ascii="Times New Roman" w:eastAsia="Times New Roman" w:hAnsi="Times New Roman" w:cs="Times New Roman"/>
                <w:sz w:val="24"/>
                <w:szCs w:val="24"/>
                <w:lang w:eastAsia="lv-LV"/>
              </w:rPr>
              <w:t>, ka noteikumus piemēro attiecībā uz studējošajiem, kuri studijas profesionālā maģistra studiju programmā uzsākuši</w:t>
            </w:r>
            <w:r w:rsidR="002C4C64" w:rsidRPr="00C941C5">
              <w:rPr>
                <w:rFonts w:ascii="Times New Roman" w:eastAsia="Times New Roman" w:hAnsi="Times New Roman" w:cs="Times New Roman"/>
                <w:sz w:val="24"/>
                <w:szCs w:val="24"/>
                <w:lang w:eastAsia="lv-LV"/>
              </w:rPr>
              <w:t xml:space="preserve"> </w:t>
            </w:r>
            <w:r w:rsidRPr="00C941C5">
              <w:rPr>
                <w:rFonts w:ascii="Times New Roman" w:eastAsia="Times New Roman" w:hAnsi="Times New Roman" w:cs="Times New Roman"/>
                <w:sz w:val="24"/>
                <w:szCs w:val="24"/>
                <w:lang w:eastAsia="lv-LV"/>
              </w:rPr>
              <w:t>2019.</w:t>
            </w:r>
            <w:r w:rsidR="004B511C"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gada rudens semestr</w:t>
            </w:r>
            <w:r w:rsidR="002C4C64" w:rsidRPr="00C941C5">
              <w:rPr>
                <w:rFonts w:ascii="Times New Roman" w:eastAsia="Times New Roman" w:hAnsi="Times New Roman" w:cs="Times New Roman"/>
                <w:sz w:val="24"/>
                <w:szCs w:val="24"/>
                <w:lang w:eastAsia="lv-LV"/>
              </w:rPr>
              <w:t>ī</w:t>
            </w:r>
            <w:r w:rsidRPr="00C941C5">
              <w:rPr>
                <w:rFonts w:ascii="Times New Roman" w:eastAsia="Times New Roman" w:hAnsi="Times New Roman" w:cs="Times New Roman"/>
                <w:sz w:val="24"/>
                <w:szCs w:val="24"/>
                <w:lang w:eastAsia="lv-LV"/>
              </w:rPr>
              <w:t>, līdz ar to pirmais kvalifikācijas eksāmens tiek plānots 2021.</w:t>
            </w:r>
            <w:r w:rsidR="0075125D"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gada pavasara semestrī. </w:t>
            </w:r>
          </w:p>
          <w:p w14:paraId="0DD74C8A" w14:textId="3D7471EE" w:rsidR="00AA1D80" w:rsidRPr="00C941C5" w:rsidRDefault="00AA1D80" w:rsidP="00AA1D8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Ņemot vērā to, ka pirmais kvalifikācijas eksāmens tiek plānots 2021.</w:t>
            </w:r>
            <w:r w:rsidR="0075125D"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gada pavasara semestrī, Tieslietu ministrija jau ir uzsākusi darbu pie kvalifikācijas eksāmena ieviešanas. Veicot padziļinātu noteikumu Nr. 771 regulējuma izpēti un analīzi kopsakarā ar praktiskajiem kvalifikācijas eksāmena ieviešanas aspektiem, Tieslietu ministrija ir konstatējusi, ka noteikumu Nr. 771 regulējums ir jāpilnveido. Līdz ar to ir izstrādāts projekts. </w:t>
            </w:r>
          </w:p>
          <w:p w14:paraId="1D5EFC1A" w14:textId="266CE092" w:rsidR="007C5B8E" w:rsidRPr="00C941C5" w:rsidRDefault="00BD4584" w:rsidP="000114FD">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Ar</w:t>
            </w:r>
            <w:r w:rsidR="00C241D8" w:rsidRPr="00C941C5">
              <w:rPr>
                <w:rFonts w:ascii="Times New Roman" w:eastAsia="Times New Roman" w:hAnsi="Times New Roman" w:cs="Times New Roman"/>
                <w:sz w:val="24"/>
                <w:szCs w:val="24"/>
                <w:lang w:eastAsia="lv-LV"/>
              </w:rPr>
              <w:t xml:space="preserve"> </w:t>
            </w:r>
            <w:r w:rsidRPr="00C941C5">
              <w:rPr>
                <w:rFonts w:ascii="Times New Roman" w:eastAsia="Times New Roman" w:hAnsi="Times New Roman" w:cs="Times New Roman"/>
                <w:sz w:val="24"/>
                <w:szCs w:val="24"/>
                <w:lang w:eastAsia="lv-LV"/>
              </w:rPr>
              <w:t>grozījumiem Augstskolu likumā</w:t>
            </w:r>
            <w:r w:rsidR="00A451F7" w:rsidRPr="00C941C5">
              <w:rPr>
                <w:rFonts w:ascii="Times New Roman" w:eastAsia="Times New Roman" w:hAnsi="Times New Roman" w:cs="Times New Roman"/>
                <w:sz w:val="24"/>
                <w:szCs w:val="24"/>
                <w:lang w:eastAsia="lv-LV"/>
              </w:rPr>
              <w:t xml:space="preserve">, kas </w:t>
            </w:r>
            <w:r w:rsidR="00BA4965" w:rsidRPr="00C941C5">
              <w:rPr>
                <w:rFonts w:ascii="Times New Roman" w:eastAsia="Times New Roman" w:hAnsi="Times New Roman" w:cs="Times New Roman"/>
                <w:sz w:val="24"/>
                <w:szCs w:val="24"/>
                <w:lang w:eastAsia="lv-LV"/>
              </w:rPr>
              <w:t xml:space="preserve">stājās spēkā </w:t>
            </w:r>
            <w:r w:rsidR="00A451F7" w:rsidRPr="00C941C5">
              <w:rPr>
                <w:rFonts w:ascii="Times New Roman" w:eastAsia="Times New Roman" w:hAnsi="Times New Roman" w:cs="Times New Roman"/>
                <w:sz w:val="24"/>
                <w:szCs w:val="24"/>
                <w:lang w:eastAsia="lv-LV"/>
              </w:rPr>
              <w:t>2018.</w:t>
            </w:r>
            <w:r w:rsidR="004B511C" w:rsidRPr="00C941C5">
              <w:rPr>
                <w:rFonts w:ascii="Times New Roman" w:eastAsia="Times New Roman" w:hAnsi="Times New Roman" w:cs="Times New Roman"/>
                <w:sz w:val="24"/>
                <w:szCs w:val="24"/>
                <w:lang w:eastAsia="lv-LV"/>
              </w:rPr>
              <w:t> </w:t>
            </w:r>
            <w:r w:rsidR="00A451F7" w:rsidRPr="00C941C5">
              <w:rPr>
                <w:rFonts w:ascii="Times New Roman" w:eastAsia="Times New Roman" w:hAnsi="Times New Roman" w:cs="Times New Roman"/>
                <w:sz w:val="24"/>
                <w:szCs w:val="24"/>
                <w:lang w:eastAsia="lv-LV"/>
              </w:rPr>
              <w:t xml:space="preserve">gada </w:t>
            </w:r>
            <w:r w:rsidR="00BA619B" w:rsidRPr="00C941C5">
              <w:rPr>
                <w:rFonts w:ascii="Times New Roman" w:eastAsia="Times New Roman" w:hAnsi="Times New Roman" w:cs="Times New Roman"/>
                <w:sz w:val="24"/>
                <w:szCs w:val="24"/>
                <w:lang w:eastAsia="lv-LV"/>
              </w:rPr>
              <w:t>15.</w:t>
            </w:r>
            <w:r w:rsidR="004B511C" w:rsidRPr="00C941C5">
              <w:rPr>
                <w:rFonts w:ascii="Times New Roman" w:eastAsia="Times New Roman" w:hAnsi="Times New Roman" w:cs="Times New Roman"/>
                <w:sz w:val="24"/>
                <w:szCs w:val="24"/>
                <w:lang w:eastAsia="lv-LV"/>
              </w:rPr>
              <w:t> </w:t>
            </w:r>
            <w:r w:rsidR="00BA619B" w:rsidRPr="00C941C5">
              <w:rPr>
                <w:rFonts w:ascii="Times New Roman" w:eastAsia="Times New Roman" w:hAnsi="Times New Roman" w:cs="Times New Roman"/>
                <w:sz w:val="24"/>
                <w:szCs w:val="24"/>
                <w:lang w:eastAsia="lv-LV"/>
              </w:rPr>
              <w:t>novembrī</w:t>
            </w:r>
            <w:r w:rsidR="00A451F7" w:rsidRPr="00C941C5">
              <w:rPr>
                <w:rFonts w:ascii="Times New Roman" w:eastAsia="Times New Roman" w:hAnsi="Times New Roman" w:cs="Times New Roman"/>
                <w:sz w:val="24"/>
                <w:szCs w:val="24"/>
                <w:lang w:eastAsia="lv-LV"/>
              </w:rPr>
              <w:t>,</w:t>
            </w:r>
            <w:r w:rsidRPr="00C941C5">
              <w:rPr>
                <w:rFonts w:ascii="Times New Roman" w:eastAsia="Times New Roman" w:hAnsi="Times New Roman" w:cs="Times New Roman"/>
                <w:sz w:val="24"/>
                <w:szCs w:val="24"/>
                <w:lang w:eastAsia="lv-LV"/>
              </w:rPr>
              <w:t xml:space="preserve"> ti</w:t>
            </w:r>
            <w:r w:rsidR="00BD51C5" w:rsidRPr="00C941C5">
              <w:rPr>
                <w:rFonts w:ascii="Times New Roman" w:eastAsia="Times New Roman" w:hAnsi="Times New Roman" w:cs="Times New Roman"/>
                <w:sz w:val="24"/>
                <w:szCs w:val="24"/>
                <w:lang w:eastAsia="lv-LV"/>
              </w:rPr>
              <w:t>ek</w:t>
            </w:r>
            <w:r w:rsidRPr="00C941C5">
              <w:rPr>
                <w:rFonts w:ascii="Times New Roman" w:eastAsia="Times New Roman" w:hAnsi="Times New Roman" w:cs="Times New Roman"/>
                <w:sz w:val="24"/>
                <w:szCs w:val="24"/>
                <w:lang w:eastAsia="lv-LV"/>
              </w:rPr>
              <w:t xml:space="preserve"> precizēts likuma 58.</w:t>
            </w:r>
            <w:r w:rsidR="004B511C"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panta ceturtajā daļā ietvertais pilnvarojums Ministru kabinetam, nosakot, ka arī kvalifikācijas eksāmena satura </w:t>
            </w:r>
            <w:r w:rsidRPr="00C941C5">
              <w:rPr>
                <w:rFonts w:ascii="Times New Roman" w:eastAsia="Times New Roman" w:hAnsi="Times New Roman" w:cs="Times New Roman"/>
                <w:sz w:val="24"/>
                <w:szCs w:val="24"/>
                <w:lang w:eastAsia="lv-LV"/>
              </w:rPr>
              <w:lastRenderedPageBreak/>
              <w:t xml:space="preserve">pamatvirzienus, kas izriet no profesijas standarta, nosaka Ministru kabinets. </w:t>
            </w:r>
            <w:r w:rsidR="007C5B8E" w:rsidRPr="00C941C5">
              <w:rPr>
                <w:rFonts w:ascii="Times New Roman" w:eastAsia="Times New Roman" w:hAnsi="Times New Roman" w:cs="Times New Roman"/>
                <w:sz w:val="24"/>
                <w:szCs w:val="24"/>
                <w:lang w:eastAsia="lv-LV"/>
              </w:rPr>
              <w:t>Ņemot vērā to, ka likuma 58.</w:t>
            </w:r>
            <w:r w:rsidR="004B511C" w:rsidRPr="00C941C5">
              <w:rPr>
                <w:rFonts w:ascii="Times New Roman" w:eastAsia="Times New Roman" w:hAnsi="Times New Roman" w:cs="Times New Roman"/>
                <w:sz w:val="24"/>
                <w:szCs w:val="24"/>
                <w:lang w:eastAsia="lv-LV"/>
              </w:rPr>
              <w:t> </w:t>
            </w:r>
            <w:r w:rsidR="007C5B8E" w:rsidRPr="00C941C5">
              <w:rPr>
                <w:rFonts w:ascii="Times New Roman" w:eastAsia="Times New Roman" w:hAnsi="Times New Roman" w:cs="Times New Roman"/>
                <w:sz w:val="24"/>
                <w:szCs w:val="24"/>
                <w:lang w:eastAsia="lv-LV"/>
              </w:rPr>
              <w:t>panta ceturtā daļa, kurā cita starpā arī ietverts pilnvarojums Ministru kabinetam</w:t>
            </w:r>
            <w:r w:rsidR="00784B71" w:rsidRPr="00C941C5">
              <w:rPr>
                <w:rFonts w:ascii="Times New Roman" w:eastAsia="Times New Roman" w:hAnsi="Times New Roman" w:cs="Times New Roman"/>
                <w:sz w:val="24"/>
                <w:szCs w:val="24"/>
                <w:lang w:eastAsia="lv-LV"/>
              </w:rPr>
              <w:t xml:space="preserve"> izdot noteikumos, ir izteikta jaunā redakcijā, </w:t>
            </w:r>
            <w:r w:rsidR="000114FD" w:rsidRPr="00C941C5">
              <w:rPr>
                <w:rFonts w:ascii="Times New Roman" w:eastAsia="Times New Roman" w:hAnsi="Times New Roman" w:cs="Times New Roman"/>
                <w:sz w:val="24"/>
                <w:szCs w:val="24"/>
                <w:lang w:eastAsia="lv-LV"/>
              </w:rPr>
              <w:t>noteikumi Nr.</w:t>
            </w:r>
            <w:r w:rsidR="004B511C" w:rsidRPr="00C941C5">
              <w:rPr>
                <w:rFonts w:ascii="Times New Roman" w:eastAsia="Times New Roman" w:hAnsi="Times New Roman" w:cs="Times New Roman"/>
                <w:sz w:val="24"/>
                <w:szCs w:val="24"/>
                <w:lang w:eastAsia="lv-LV"/>
              </w:rPr>
              <w:t> </w:t>
            </w:r>
            <w:r w:rsidR="000114FD" w:rsidRPr="00C941C5">
              <w:rPr>
                <w:rFonts w:ascii="Times New Roman" w:eastAsia="Times New Roman" w:hAnsi="Times New Roman" w:cs="Times New Roman"/>
                <w:sz w:val="24"/>
                <w:szCs w:val="24"/>
                <w:lang w:eastAsia="lv-LV"/>
              </w:rPr>
              <w:t xml:space="preserve">771 zaudējuši spēku un tehniski tie ir jāizdod no jauna. </w:t>
            </w:r>
            <w:r w:rsidR="00C241D8" w:rsidRPr="00C941C5">
              <w:rPr>
                <w:rFonts w:ascii="Times New Roman" w:eastAsia="Times New Roman" w:hAnsi="Times New Roman" w:cs="Times New Roman"/>
                <w:sz w:val="24"/>
                <w:szCs w:val="24"/>
                <w:lang w:eastAsia="lv-LV"/>
              </w:rPr>
              <w:t>P</w:t>
            </w:r>
            <w:r w:rsidR="00784B71" w:rsidRPr="00C941C5">
              <w:rPr>
                <w:rFonts w:ascii="Times New Roman" w:eastAsia="Times New Roman" w:hAnsi="Times New Roman" w:cs="Times New Roman"/>
                <w:sz w:val="24"/>
                <w:szCs w:val="24"/>
                <w:lang w:eastAsia="lv-LV"/>
              </w:rPr>
              <w:t>rojektā ietvertais pamata regulējums saistībā ar kvalifikācijas eksāmena ieviešanu un nodrošināšanu pēc būtības nav daudz mainījies no noteikumos Nr.</w:t>
            </w:r>
            <w:r w:rsidR="004B511C" w:rsidRPr="00C941C5">
              <w:rPr>
                <w:rFonts w:ascii="Times New Roman" w:eastAsia="Times New Roman" w:hAnsi="Times New Roman" w:cs="Times New Roman"/>
                <w:sz w:val="24"/>
                <w:szCs w:val="24"/>
                <w:lang w:eastAsia="lv-LV"/>
              </w:rPr>
              <w:t> </w:t>
            </w:r>
            <w:r w:rsidR="00784B71" w:rsidRPr="00C941C5">
              <w:rPr>
                <w:rFonts w:ascii="Times New Roman" w:eastAsia="Times New Roman" w:hAnsi="Times New Roman" w:cs="Times New Roman"/>
                <w:sz w:val="24"/>
                <w:szCs w:val="24"/>
                <w:lang w:eastAsia="lv-LV"/>
              </w:rPr>
              <w:t xml:space="preserve">771 ietvertā regulējuma; precizēts </w:t>
            </w:r>
            <w:r w:rsidR="00C241D8" w:rsidRPr="00C941C5">
              <w:rPr>
                <w:rFonts w:ascii="Times New Roman" w:eastAsia="Times New Roman" w:hAnsi="Times New Roman" w:cs="Times New Roman"/>
                <w:sz w:val="24"/>
                <w:szCs w:val="24"/>
                <w:lang w:eastAsia="lv-LV"/>
              </w:rPr>
              <w:t>regulējums</w:t>
            </w:r>
            <w:r w:rsidR="00784B71" w:rsidRPr="00C941C5">
              <w:rPr>
                <w:rFonts w:ascii="Times New Roman" w:eastAsia="Times New Roman" w:hAnsi="Times New Roman" w:cs="Times New Roman"/>
                <w:sz w:val="24"/>
                <w:szCs w:val="24"/>
                <w:lang w:eastAsia="lv-LV"/>
              </w:rPr>
              <w:t xml:space="preserve">, kas nepieciešamas, lai pilnvērtīgi un kvalitatīvi ieviestu </w:t>
            </w:r>
            <w:r w:rsidR="00B7279F" w:rsidRPr="00C941C5">
              <w:rPr>
                <w:rFonts w:ascii="Times New Roman" w:eastAsia="Times New Roman" w:hAnsi="Times New Roman" w:cs="Times New Roman"/>
                <w:sz w:val="24"/>
                <w:szCs w:val="24"/>
                <w:lang w:eastAsia="lv-LV"/>
              </w:rPr>
              <w:t>kvalifikācijas</w:t>
            </w:r>
            <w:r w:rsidR="00784B71" w:rsidRPr="00C941C5">
              <w:rPr>
                <w:rFonts w:ascii="Times New Roman" w:eastAsia="Times New Roman" w:hAnsi="Times New Roman" w:cs="Times New Roman"/>
                <w:sz w:val="24"/>
                <w:szCs w:val="24"/>
                <w:lang w:eastAsia="lv-LV"/>
              </w:rPr>
              <w:t xml:space="preserve"> eksāmenu. </w:t>
            </w:r>
          </w:p>
          <w:p w14:paraId="3D28BA86" w14:textId="5B9B3D60" w:rsidR="000114FD" w:rsidRPr="00C941C5" w:rsidRDefault="000114FD" w:rsidP="004B511C">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Precizēts projekta 1.1. apakšpunkts atbilstoši Augstskolu likuma 58. panta ceturtajā daļā precizētajam pilnvarojumam Ministru kabinetam izdot noteikumus. </w:t>
            </w:r>
            <w:r w:rsidR="004B511C" w:rsidRPr="00C941C5">
              <w:rPr>
                <w:rFonts w:ascii="Times New Roman" w:eastAsia="Times New Roman" w:hAnsi="Times New Roman" w:cs="Times New Roman"/>
                <w:sz w:val="24"/>
                <w:szCs w:val="24"/>
                <w:lang w:eastAsia="lv-LV"/>
              </w:rPr>
              <w:t xml:space="preserve">Kvalifikācijas eksāmena satura pamatvirzieni, kas izriet no profesijas standarta, noteikti projekta </w:t>
            </w:r>
            <w:r w:rsidR="00FD0A8E" w:rsidRPr="00C941C5">
              <w:rPr>
                <w:rFonts w:ascii="Times New Roman" w:eastAsia="Times New Roman" w:hAnsi="Times New Roman" w:cs="Times New Roman"/>
                <w:sz w:val="24"/>
                <w:szCs w:val="24"/>
                <w:lang w:eastAsia="lv-LV"/>
              </w:rPr>
              <w:t>2</w:t>
            </w:r>
            <w:r w:rsidR="007F6166" w:rsidRPr="00C941C5">
              <w:rPr>
                <w:rFonts w:ascii="Times New Roman" w:eastAsia="Times New Roman" w:hAnsi="Times New Roman" w:cs="Times New Roman"/>
                <w:sz w:val="24"/>
                <w:szCs w:val="24"/>
                <w:lang w:eastAsia="lv-LV"/>
              </w:rPr>
              <w:t>4</w:t>
            </w:r>
            <w:r w:rsidR="004B511C" w:rsidRPr="00C941C5">
              <w:rPr>
                <w:rFonts w:ascii="Times New Roman" w:eastAsia="Times New Roman" w:hAnsi="Times New Roman" w:cs="Times New Roman"/>
                <w:sz w:val="24"/>
                <w:szCs w:val="24"/>
                <w:lang w:eastAsia="lv-LV"/>
              </w:rPr>
              <w:t>.</w:t>
            </w:r>
            <w:r w:rsidR="007F0103" w:rsidRPr="00C941C5">
              <w:t> </w:t>
            </w:r>
            <w:r w:rsidR="004B511C" w:rsidRPr="00C941C5">
              <w:rPr>
                <w:rFonts w:ascii="Times New Roman" w:eastAsia="Times New Roman" w:hAnsi="Times New Roman" w:cs="Times New Roman"/>
                <w:sz w:val="24"/>
                <w:szCs w:val="24"/>
                <w:lang w:eastAsia="lv-LV"/>
              </w:rPr>
              <w:t xml:space="preserve">punktā. </w:t>
            </w:r>
          </w:p>
          <w:p w14:paraId="17A007F4" w14:textId="3FD94F6A" w:rsidR="00AA1D80" w:rsidRPr="00C941C5" w:rsidRDefault="00784B71" w:rsidP="00784B71">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Visā projektā vārdi "augstskolas elektroniskā vide" aizstāti ar vārdiem "elektroniskā vide". Minētais precizējums nepieciešams, lai </w:t>
            </w:r>
            <w:r w:rsidR="00AA1D80" w:rsidRPr="00C941C5">
              <w:rPr>
                <w:rFonts w:ascii="Times New Roman" w:eastAsia="Times New Roman" w:hAnsi="Times New Roman" w:cs="Times New Roman"/>
                <w:sz w:val="24"/>
                <w:szCs w:val="24"/>
                <w:lang w:eastAsia="lv-LV"/>
              </w:rPr>
              <w:t>vispārinātu vides, kurā notiks kvalifikācijas eksāmens, nosaukumu, proti, elektroniskā vide.</w:t>
            </w:r>
          </w:p>
          <w:p w14:paraId="715DC97E" w14:textId="28BB996B" w:rsidR="00AA1D80" w:rsidRPr="00C941C5" w:rsidRDefault="0000556D" w:rsidP="00AA1D8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w:t>
            </w:r>
            <w:r w:rsidR="00AA1D80" w:rsidRPr="00C941C5">
              <w:rPr>
                <w:rFonts w:ascii="Times New Roman" w:eastAsia="Times New Roman" w:hAnsi="Times New Roman" w:cs="Times New Roman"/>
                <w:sz w:val="24"/>
                <w:szCs w:val="24"/>
                <w:lang w:eastAsia="lv-LV"/>
              </w:rPr>
              <w:t xml:space="preserve">rojekta </w:t>
            </w:r>
            <w:r w:rsidR="00784B71" w:rsidRPr="00C941C5">
              <w:rPr>
                <w:rFonts w:ascii="Times New Roman" w:eastAsia="Times New Roman" w:hAnsi="Times New Roman" w:cs="Times New Roman"/>
                <w:sz w:val="24"/>
                <w:szCs w:val="24"/>
                <w:lang w:eastAsia="lv-LV"/>
              </w:rPr>
              <w:t>6.</w:t>
            </w:r>
            <w:r w:rsidR="007F6166" w:rsidRPr="00C941C5">
              <w:rPr>
                <w:rFonts w:ascii="Times New Roman" w:eastAsia="Times New Roman" w:hAnsi="Times New Roman" w:cs="Times New Roman"/>
                <w:sz w:val="24"/>
                <w:szCs w:val="24"/>
                <w:lang w:eastAsia="lv-LV"/>
              </w:rPr>
              <w:t> </w:t>
            </w:r>
            <w:r w:rsidR="00AA1D80" w:rsidRPr="00C941C5">
              <w:rPr>
                <w:rFonts w:ascii="Times New Roman" w:eastAsia="Times New Roman" w:hAnsi="Times New Roman" w:cs="Times New Roman"/>
                <w:sz w:val="24"/>
                <w:szCs w:val="24"/>
                <w:lang w:eastAsia="lv-LV"/>
              </w:rPr>
              <w:t xml:space="preserve">punktā ietvertais </w:t>
            </w:r>
            <w:r w:rsidR="00A320F7" w:rsidRPr="00C941C5">
              <w:rPr>
                <w:rFonts w:ascii="Times New Roman" w:eastAsia="Times New Roman" w:hAnsi="Times New Roman" w:cs="Times New Roman"/>
                <w:sz w:val="24"/>
                <w:szCs w:val="24"/>
                <w:lang w:eastAsia="lv-LV"/>
              </w:rPr>
              <w:t>precizējošais regulējums</w:t>
            </w:r>
            <w:r w:rsidR="00AA1D80" w:rsidRPr="00C941C5">
              <w:rPr>
                <w:rFonts w:ascii="Times New Roman" w:eastAsia="Times New Roman" w:hAnsi="Times New Roman" w:cs="Times New Roman"/>
                <w:sz w:val="24"/>
                <w:szCs w:val="24"/>
                <w:lang w:eastAsia="lv-LV"/>
              </w:rPr>
              <w:t xml:space="preserve"> ir saistīts ar kvalifikācijas eksāmena norises nodrošināšanu elektroniskajā vidē. Augstskolu likuma 58.</w:t>
            </w:r>
            <w:r w:rsidR="00B7279F" w:rsidRPr="00C941C5">
              <w:rPr>
                <w:rFonts w:ascii="Times New Roman" w:eastAsia="Times New Roman" w:hAnsi="Times New Roman" w:cs="Times New Roman"/>
                <w:sz w:val="24"/>
                <w:szCs w:val="24"/>
                <w:lang w:eastAsia="lv-LV"/>
              </w:rPr>
              <w:t> </w:t>
            </w:r>
            <w:r w:rsidR="00AA1D80" w:rsidRPr="00C941C5">
              <w:rPr>
                <w:rFonts w:ascii="Times New Roman" w:eastAsia="Times New Roman" w:hAnsi="Times New Roman" w:cs="Times New Roman"/>
                <w:sz w:val="24"/>
                <w:szCs w:val="24"/>
                <w:lang w:eastAsia="lv-LV"/>
              </w:rPr>
              <w:t>panta septītā daļa nosaka, ka par eksāmenu atbildīgajai institūcijai ir tiesības uzdevumus, kas saistīti ar valsts eksāmena norises tehnisko (materiāltehnisko) nodrošinājumu, deleģēt privātpersonai vai publiskai personai. Ņemot vērā to, ka Tieslietu ministrija kā par kvalifikācijas eksāmenu atbildīgā institūcija nespēs pilnvērtīgi nodrošināt kvalifikācijas eksāmena tehnisko (materiāltehnisko) pusi, projekt</w:t>
            </w:r>
            <w:r w:rsidR="0075125D" w:rsidRPr="00C941C5">
              <w:rPr>
                <w:rFonts w:ascii="Times New Roman" w:eastAsia="Times New Roman" w:hAnsi="Times New Roman" w:cs="Times New Roman"/>
                <w:sz w:val="24"/>
                <w:szCs w:val="24"/>
                <w:lang w:eastAsia="lv-LV"/>
              </w:rPr>
              <w:t>ā</w:t>
            </w:r>
            <w:r w:rsidR="00AA1D80" w:rsidRPr="00C941C5">
              <w:rPr>
                <w:rFonts w:ascii="Times New Roman" w:eastAsia="Times New Roman" w:hAnsi="Times New Roman" w:cs="Times New Roman"/>
                <w:sz w:val="24"/>
                <w:szCs w:val="24"/>
                <w:lang w:eastAsia="lv-LV"/>
              </w:rPr>
              <w:t xml:space="preserve"> tiek noteikts, ka elektronisko vidi, kurā notiek kvalifikācijas eksāmens, uztur Latvijas Universitāte. Attiecībā par minētā uzdevuma izpildi tiks noslēgts deleģēšanas līgums atbilstoši Valsts pārvaldes iekārtas likumā noteiktajam regulējumam. </w:t>
            </w:r>
          </w:p>
          <w:p w14:paraId="3607ED45" w14:textId="5B9F6460" w:rsidR="00AA1D80" w:rsidRPr="00C941C5" w:rsidRDefault="00AA1D80" w:rsidP="00AA1D8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Minētais</w:t>
            </w:r>
            <w:r w:rsidR="00940130" w:rsidRPr="00C941C5">
              <w:rPr>
                <w:rFonts w:ascii="Times New Roman" w:eastAsia="Times New Roman" w:hAnsi="Times New Roman" w:cs="Times New Roman"/>
                <w:sz w:val="24"/>
                <w:szCs w:val="24"/>
                <w:lang w:eastAsia="lv-LV"/>
              </w:rPr>
              <w:t xml:space="preserve"> precizējums</w:t>
            </w:r>
            <w:r w:rsidRPr="00C941C5">
              <w:rPr>
                <w:rFonts w:ascii="Times New Roman" w:eastAsia="Times New Roman" w:hAnsi="Times New Roman" w:cs="Times New Roman"/>
                <w:sz w:val="24"/>
                <w:szCs w:val="24"/>
                <w:lang w:eastAsia="lv-LV"/>
              </w:rPr>
              <w:t xml:space="preserve"> galvenokārt saistīts ar elektroniskās vides pielāgošanas un uzturēšanas uzdevumiem, kā arī, piemēram, datoru nodrošināšanu, ko atsevišķos gadījumos pilnvērtīgāk un resursiem atbilstošāk veiktu cita publiska persona, nevis Tieslietu ministrija. </w:t>
            </w:r>
          </w:p>
          <w:p w14:paraId="778CD86B" w14:textId="3D487627" w:rsidR="003B6EA1" w:rsidRPr="00C941C5" w:rsidRDefault="003B6EA1" w:rsidP="003B6EA1">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Latvijas Universitāte kā atbilstošākā publiskā persona minētā uzdevuma izpildei izvēlēta, jo tā jau šobrīd strādā ar elektronisko vidi, kas ir pieejama lielākajai daļai no augstskolām, kurās īsteno profesionālo maģistra studiju programmu jurista kvalifikācijas iegūšanai. Līdz ar to Latvijas Universitātei ir praktiska pieredze darbā ar elektronisko vidi, tās pielāgošanu un uzturēšanu.</w:t>
            </w:r>
          </w:p>
          <w:p w14:paraId="1FE994A8" w14:textId="354613EE" w:rsidR="008F6DFA" w:rsidRPr="00C941C5" w:rsidRDefault="008F6DFA" w:rsidP="003B6EA1">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Projekta </w:t>
            </w:r>
            <w:r w:rsidR="007F6166" w:rsidRPr="00C941C5">
              <w:rPr>
                <w:rFonts w:ascii="Times New Roman" w:eastAsia="Times New Roman" w:hAnsi="Times New Roman" w:cs="Times New Roman"/>
                <w:sz w:val="24"/>
                <w:szCs w:val="24"/>
                <w:lang w:eastAsia="lv-LV"/>
              </w:rPr>
              <w:t>8</w:t>
            </w:r>
            <w:r w:rsidRPr="00C941C5">
              <w:rPr>
                <w:rFonts w:ascii="Times New Roman" w:eastAsia="Times New Roman" w:hAnsi="Times New Roman" w:cs="Times New Roman"/>
                <w:sz w:val="24"/>
                <w:szCs w:val="24"/>
                <w:lang w:eastAsia="lv-LV"/>
              </w:rPr>
              <w:t xml:space="preserve">. punktā precizēts laiks, kad augstskolai jāiesniedz informācija par studējošo skaitu, kuri kārtos kvalifikācijas eksāmenu, nosakot, ka minētā informācija </w:t>
            </w:r>
            <w:r w:rsidRPr="00C941C5">
              <w:rPr>
                <w:rFonts w:ascii="Times New Roman" w:eastAsia="Times New Roman" w:hAnsi="Times New Roman" w:cs="Times New Roman"/>
                <w:sz w:val="24"/>
                <w:szCs w:val="24"/>
                <w:lang w:eastAsia="lv-LV"/>
              </w:rPr>
              <w:lastRenderedPageBreak/>
              <w:t xml:space="preserve">jāiesniedz trīs mēnešus pirms ziemas un vasaras sesijas sākšanās (iepriekš – viens mēnesis). Minētais pamatojams ar to, ka komisijai jau mēnesi pirms kvalifikācijas eksāmena norises dienas ir jāpieņem lēmums par kvalifikācijas eksāmena kārtošanas datumu un laiku. Tāpat arī nepieciešams laiks komisijas izveidošanai un apstiprināšanai. </w:t>
            </w:r>
          </w:p>
          <w:p w14:paraId="7CDC1414" w14:textId="5BBAAB8D" w:rsidR="008F6DFA" w:rsidRPr="00C941C5" w:rsidRDefault="008F6DFA" w:rsidP="008F6DF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Tāpat arī projekta </w:t>
            </w:r>
            <w:r w:rsidR="00FD5CAA" w:rsidRPr="00C941C5">
              <w:rPr>
                <w:rFonts w:ascii="Times New Roman" w:eastAsia="Times New Roman" w:hAnsi="Times New Roman" w:cs="Times New Roman"/>
                <w:sz w:val="24"/>
                <w:szCs w:val="24"/>
                <w:lang w:eastAsia="lv-LV"/>
              </w:rPr>
              <w:t>8</w:t>
            </w:r>
            <w:r w:rsidRPr="00C941C5">
              <w:rPr>
                <w:rFonts w:ascii="Times New Roman" w:eastAsia="Times New Roman" w:hAnsi="Times New Roman" w:cs="Times New Roman"/>
                <w:sz w:val="24"/>
                <w:szCs w:val="24"/>
                <w:lang w:eastAsia="lv-LV"/>
              </w:rPr>
              <w:t>. punkts precizēts, nosakot, ka augstskola paziņo informāciju par prognozējamo studējošo skaitu, kuri kārtos kvalifikācijas eksāmenu. Ņemot vērā to, ka provizoriski komisijas sastāvs pirmo reizi jāapstiprina 2021. gada sākumā, Tieslietu ministrija pieļauj, ka augstskola vēl varētu nezināt konkrētu studējošo skaitu, kuri kārtos kvalifikācijas eksāmenu.</w:t>
            </w:r>
          </w:p>
          <w:p w14:paraId="235438B6" w14:textId="2F77DB6C" w:rsidR="002C4C64" w:rsidRPr="00C941C5" w:rsidRDefault="002C4C64" w:rsidP="002C4C64">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Papildus norādām, ka gadījumā, ja arī norādītais prognozējamais studējošo skaits atšķirsies no praktiskā kvalifikācijas eksāmena kārtojošo studējošo skaitu, tas neietekmēs jau izveidotās komisijas sastāvu; tas nemainīsies.</w:t>
            </w:r>
          </w:p>
          <w:p w14:paraId="3E6BA758" w14:textId="54E66BF2" w:rsidR="00FD5CAA" w:rsidRPr="00C941C5" w:rsidRDefault="0000556D" w:rsidP="00AA1D8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w:t>
            </w:r>
            <w:r w:rsidR="00AA1D80" w:rsidRPr="00C941C5">
              <w:rPr>
                <w:rFonts w:ascii="Times New Roman" w:eastAsia="Times New Roman" w:hAnsi="Times New Roman" w:cs="Times New Roman"/>
                <w:sz w:val="24"/>
                <w:szCs w:val="24"/>
                <w:lang w:eastAsia="lv-LV"/>
              </w:rPr>
              <w:t>rojekta</w:t>
            </w:r>
            <w:r w:rsidR="00672A60" w:rsidRPr="00C941C5">
              <w:rPr>
                <w:rFonts w:ascii="Times New Roman" w:eastAsia="Times New Roman" w:hAnsi="Times New Roman" w:cs="Times New Roman"/>
                <w:sz w:val="24"/>
                <w:szCs w:val="24"/>
                <w:lang w:eastAsia="lv-LV"/>
              </w:rPr>
              <w:t xml:space="preserve"> </w:t>
            </w:r>
            <w:r w:rsidR="00FD5CAA" w:rsidRPr="00C941C5">
              <w:rPr>
                <w:rFonts w:ascii="Times New Roman" w:eastAsia="Times New Roman" w:hAnsi="Times New Roman" w:cs="Times New Roman"/>
                <w:sz w:val="24"/>
                <w:szCs w:val="24"/>
                <w:lang w:eastAsia="lv-LV"/>
              </w:rPr>
              <w:t>9</w:t>
            </w:r>
            <w:r w:rsidR="00940130" w:rsidRPr="00C941C5">
              <w:rPr>
                <w:rFonts w:ascii="Times New Roman" w:eastAsia="Times New Roman" w:hAnsi="Times New Roman" w:cs="Times New Roman"/>
                <w:sz w:val="24"/>
                <w:szCs w:val="24"/>
                <w:lang w:eastAsia="lv-LV"/>
              </w:rPr>
              <w:t>.</w:t>
            </w:r>
            <w:r w:rsidR="008554A9" w:rsidRPr="00C941C5">
              <w:rPr>
                <w:rFonts w:ascii="Times New Roman" w:eastAsia="Times New Roman" w:hAnsi="Times New Roman" w:cs="Times New Roman"/>
                <w:sz w:val="24"/>
                <w:szCs w:val="24"/>
                <w:lang w:eastAsia="lv-LV"/>
              </w:rPr>
              <w:t> </w:t>
            </w:r>
            <w:r w:rsidR="00940130" w:rsidRPr="00C941C5">
              <w:rPr>
                <w:rFonts w:ascii="Times New Roman" w:eastAsia="Times New Roman" w:hAnsi="Times New Roman" w:cs="Times New Roman"/>
                <w:sz w:val="24"/>
                <w:szCs w:val="24"/>
                <w:lang w:eastAsia="lv-LV"/>
              </w:rPr>
              <w:t xml:space="preserve">punkts precizēts, </w:t>
            </w:r>
            <w:r w:rsidR="00AA1D80" w:rsidRPr="00C941C5">
              <w:rPr>
                <w:rFonts w:ascii="Times New Roman" w:eastAsia="Times New Roman" w:hAnsi="Times New Roman" w:cs="Times New Roman"/>
                <w:sz w:val="24"/>
                <w:szCs w:val="24"/>
                <w:lang w:eastAsia="lv-LV"/>
              </w:rPr>
              <w:t>paredz</w:t>
            </w:r>
            <w:r w:rsidR="00940130" w:rsidRPr="00C941C5">
              <w:rPr>
                <w:rFonts w:ascii="Times New Roman" w:eastAsia="Times New Roman" w:hAnsi="Times New Roman" w:cs="Times New Roman"/>
                <w:sz w:val="24"/>
                <w:szCs w:val="24"/>
                <w:lang w:eastAsia="lv-LV"/>
              </w:rPr>
              <w:t>ot</w:t>
            </w:r>
            <w:r w:rsidR="001C632E" w:rsidRPr="00C941C5">
              <w:rPr>
                <w:rFonts w:ascii="Times New Roman" w:eastAsia="Times New Roman" w:hAnsi="Times New Roman" w:cs="Times New Roman"/>
                <w:sz w:val="24"/>
                <w:szCs w:val="24"/>
                <w:lang w:eastAsia="lv-LV"/>
              </w:rPr>
              <w:t xml:space="preserve">, ka </w:t>
            </w:r>
            <w:r w:rsidR="00AA1D80" w:rsidRPr="00C941C5">
              <w:rPr>
                <w:rFonts w:ascii="Times New Roman" w:eastAsia="Times New Roman" w:hAnsi="Times New Roman" w:cs="Times New Roman"/>
                <w:sz w:val="24"/>
                <w:szCs w:val="24"/>
                <w:lang w:eastAsia="lv-LV"/>
              </w:rPr>
              <w:t>komisijas locekli atļaut</w:t>
            </w:r>
            <w:r w:rsidR="001C632E" w:rsidRPr="00C941C5">
              <w:rPr>
                <w:rFonts w:ascii="Times New Roman" w:eastAsia="Times New Roman" w:hAnsi="Times New Roman" w:cs="Times New Roman"/>
                <w:sz w:val="24"/>
                <w:szCs w:val="24"/>
                <w:lang w:eastAsia="lv-LV"/>
              </w:rPr>
              <w:t>s</w:t>
            </w:r>
            <w:r w:rsidR="00AA1D80" w:rsidRPr="00C941C5">
              <w:rPr>
                <w:rFonts w:ascii="Times New Roman" w:eastAsia="Times New Roman" w:hAnsi="Times New Roman" w:cs="Times New Roman"/>
                <w:sz w:val="24"/>
                <w:szCs w:val="24"/>
                <w:lang w:eastAsia="lv-LV"/>
              </w:rPr>
              <w:t xml:space="preserve"> </w:t>
            </w:r>
            <w:r w:rsidR="001C632E" w:rsidRPr="00C941C5">
              <w:rPr>
                <w:rFonts w:ascii="Times New Roman" w:eastAsia="Times New Roman" w:hAnsi="Times New Roman" w:cs="Times New Roman"/>
                <w:sz w:val="24"/>
                <w:szCs w:val="24"/>
                <w:lang w:eastAsia="lv-LV"/>
              </w:rPr>
              <w:t>iekļaut</w:t>
            </w:r>
            <w:r w:rsidR="00AA1D80" w:rsidRPr="00C941C5">
              <w:rPr>
                <w:rFonts w:ascii="Times New Roman" w:eastAsia="Times New Roman" w:hAnsi="Times New Roman" w:cs="Times New Roman"/>
                <w:sz w:val="24"/>
                <w:szCs w:val="24"/>
                <w:lang w:eastAsia="lv-LV"/>
              </w:rPr>
              <w:t xml:space="preserve"> komisijas sastāvā atkārtoti. </w:t>
            </w:r>
            <w:r w:rsidR="007F0103" w:rsidRPr="00C941C5">
              <w:rPr>
                <w:rFonts w:ascii="Times New Roman" w:eastAsia="Times New Roman" w:hAnsi="Times New Roman" w:cs="Times New Roman"/>
                <w:sz w:val="24"/>
                <w:szCs w:val="24"/>
                <w:lang w:eastAsia="lv-LV"/>
              </w:rPr>
              <w:t xml:space="preserve">Projekta </w:t>
            </w:r>
            <w:r w:rsidR="00FD5CAA" w:rsidRPr="00C941C5">
              <w:rPr>
                <w:rFonts w:ascii="Times New Roman" w:eastAsia="Times New Roman" w:hAnsi="Times New Roman" w:cs="Times New Roman"/>
                <w:sz w:val="24"/>
                <w:szCs w:val="24"/>
                <w:lang w:eastAsia="lv-LV"/>
              </w:rPr>
              <w:t>9</w:t>
            </w:r>
            <w:r w:rsidRPr="00C941C5">
              <w:rPr>
                <w:rFonts w:ascii="Times New Roman" w:eastAsia="Times New Roman" w:hAnsi="Times New Roman" w:cs="Times New Roman"/>
                <w:sz w:val="24"/>
                <w:szCs w:val="24"/>
                <w:lang w:eastAsia="lv-LV"/>
              </w:rPr>
              <w:t>.</w:t>
            </w:r>
            <w:r w:rsidR="00AA1D80" w:rsidRPr="00C941C5">
              <w:rPr>
                <w:rFonts w:ascii="Times New Roman" w:eastAsia="Times New Roman" w:hAnsi="Times New Roman" w:cs="Times New Roman"/>
                <w:sz w:val="24"/>
                <w:szCs w:val="24"/>
                <w:lang w:eastAsia="lv-LV"/>
              </w:rPr>
              <w:t> punkta pirmais teikums nosaka, ka komisiju ne retāk kā reizi gadā apstiprina 45 locekļu sastāvā. Tieslietu ministrij</w:t>
            </w:r>
            <w:r w:rsidR="00B7279F" w:rsidRPr="00C941C5">
              <w:rPr>
                <w:rFonts w:ascii="Times New Roman" w:eastAsia="Times New Roman" w:hAnsi="Times New Roman" w:cs="Times New Roman"/>
                <w:sz w:val="24"/>
                <w:szCs w:val="24"/>
                <w:lang w:eastAsia="lv-LV"/>
              </w:rPr>
              <w:t xml:space="preserve">u </w:t>
            </w:r>
            <w:r w:rsidR="00AA1D80" w:rsidRPr="00C941C5">
              <w:rPr>
                <w:rFonts w:ascii="Times New Roman" w:eastAsia="Times New Roman" w:hAnsi="Times New Roman" w:cs="Times New Roman"/>
                <w:sz w:val="24"/>
                <w:szCs w:val="24"/>
                <w:lang w:eastAsia="lv-LV"/>
              </w:rPr>
              <w:t>māc bažas, ka augstskolās, Ģenerālprokuratūrā un juridisko nozari pārstāvošajās organizācij</w:t>
            </w:r>
            <w:r w:rsidR="007F0103" w:rsidRPr="00C941C5">
              <w:rPr>
                <w:rFonts w:ascii="Times New Roman" w:eastAsia="Times New Roman" w:hAnsi="Times New Roman" w:cs="Times New Roman"/>
                <w:sz w:val="24"/>
                <w:szCs w:val="24"/>
                <w:lang w:eastAsia="lv-LV"/>
              </w:rPr>
              <w:t>ā</w:t>
            </w:r>
            <w:r w:rsidR="00AA1D80" w:rsidRPr="00C941C5">
              <w:rPr>
                <w:rFonts w:ascii="Times New Roman" w:eastAsia="Times New Roman" w:hAnsi="Times New Roman" w:cs="Times New Roman"/>
                <w:sz w:val="24"/>
                <w:szCs w:val="24"/>
                <w:lang w:eastAsia="lv-LV"/>
              </w:rPr>
              <w:t>s varētu nebūt pietiekams skaits pārstāvju, ko izvirzīt komisijas sastāvam, ja tā katru gadu būtu jāveido no jauniem komisijas locekļiem. Līdz ar to, lai mazinātu minētās bažas, projektā noteikts, ka komisijas locekli atļaut</w:t>
            </w:r>
            <w:r w:rsidR="001C632E" w:rsidRPr="00C941C5">
              <w:rPr>
                <w:rFonts w:ascii="Times New Roman" w:eastAsia="Times New Roman" w:hAnsi="Times New Roman" w:cs="Times New Roman"/>
                <w:sz w:val="24"/>
                <w:szCs w:val="24"/>
                <w:lang w:eastAsia="lv-LV"/>
              </w:rPr>
              <w:t>s</w:t>
            </w:r>
            <w:r w:rsidR="00AA1D80" w:rsidRPr="00C941C5">
              <w:rPr>
                <w:rFonts w:ascii="Times New Roman" w:eastAsia="Times New Roman" w:hAnsi="Times New Roman" w:cs="Times New Roman"/>
                <w:sz w:val="24"/>
                <w:szCs w:val="24"/>
                <w:lang w:eastAsia="lv-LV"/>
              </w:rPr>
              <w:t xml:space="preserve"> </w:t>
            </w:r>
            <w:r w:rsidR="001C632E" w:rsidRPr="00C941C5">
              <w:rPr>
                <w:rFonts w:ascii="Times New Roman" w:eastAsia="Times New Roman" w:hAnsi="Times New Roman" w:cs="Times New Roman"/>
                <w:sz w:val="24"/>
                <w:szCs w:val="24"/>
                <w:lang w:eastAsia="lv-LV"/>
              </w:rPr>
              <w:t>iekļau</w:t>
            </w:r>
            <w:r w:rsidR="00AA1D80" w:rsidRPr="00C941C5">
              <w:rPr>
                <w:rFonts w:ascii="Times New Roman" w:eastAsia="Times New Roman" w:hAnsi="Times New Roman" w:cs="Times New Roman"/>
                <w:sz w:val="24"/>
                <w:szCs w:val="24"/>
                <w:lang w:eastAsia="lv-LV"/>
              </w:rPr>
              <w:t>t komisijas sastāvā atkārtoti.</w:t>
            </w:r>
          </w:p>
          <w:p w14:paraId="69264BB4" w14:textId="26C80945" w:rsidR="00AA1D80" w:rsidRPr="00C941C5" w:rsidRDefault="00FD5CAA" w:rsidP="00FD5CA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 9.</w:t>
            </w:r>
            <w:r w:rsidR="008554A9"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punktā paredzēts, ka tieslietu ministrs komisijas sastāvu apstiprina ne retāk kā reizi gadā, līdz ar to, ja nepieciešams, komisijas sastāvs tiks pārskatīts un aktualizēts atbilstoši prognozējamajam studējošo skaitam, kuri kārtos kvalifikācijas eksāmenu, </w:t>
            </w:r>
            <w:r w:rsidR="002D18B4" w:rsidRPr="00C941C5">
              <w:rPr>
                <w:rFonts w:ascii="Times New Roman" w:eastAsia="Times New Roman" w:hAnsi="Times New Roman" w:cs="Times New Roman"/>
                <w:sz w:val="24"/>
                <w:szCs w:val="24"/>
                <w:lang w:eastAsia="lv-LV"/>
              </w:rPr>
              <w:t xml:space="preserve">katrā </w:t>
            </w:r>
            <w:r w:rsidRPr="00C941C5">
              <w:rPr>
                <w:rFonts w:ascii="Times New Roman" w:eastAsia="Times New Roman" w:hAnsi="Times New Roman" w:cs="Times New Roman"/>
                <w:sz w:val="24"/>
                <w:szCs w:val="24"/>
                <w:lang w:eastAsia="lv-LV"/>
              </w:rPr>
              <w:t xml:space="preserve">attiecīgajā sesijā. </w:t>
            </w:r>
          </w:p>
          <w:p w14:paraId="4CEA0BAB" w14:textId="0E5645C5" w:rsidR="00D8469C" w:rsidRPr="00C941C5" w:rsidRDefault="0002590C" w:rsidP="00953B4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w:t>
            </w:r>
            <w:r w:rsidR="00D8469C" w:rsidRPr="00C941C5">
              <w:rPr>
                <w:rFonts w:ascii="Times New Roman" w:eastAsia="Times New Roman" w:hAnsi="Times New Roman" w:cs="Times New Roman"/>
                <w:sz w:val="24"/>
                <w:szCs w:val="24"/>
                <w:lang w:eastAsia="lv-LV"/>
              </w:rPr>
              <w:t xml:space="preserve">rojekta </w:t>
            </w:r>
            <w:r w:rsidR="00940130" w:rsidRPr="00C941C5">
              <w:rPr>
                <w:rFonts w:ascii="Times New Roman" w:eastAsia="Times New Roman" w:hAnsi="Times New Roman" w:cs="Times New Roman"/>
                <w:sz w:val="24"/>
                <w:szCs w:val="24"/>
                <w:lang w:eastAsia="lv-LV"/>
              </w:rPr>
              <w:t>1</w:t>
            </w:r>
            <w:r w:rsidR="00FD5CAA" w:rsidRPr="00C941C5">
              <w:rPr>
                <w:rFonts w:ascii="Times New Roman" w:eastAsia="Times New Roman" w:hAnsi="Times New Roman" w:cs="Times New Roman"/>
                <w:sz w:val="24"/>
                <w:szCs w:val="24"/>
                <w:lang w:eastAsia="lv-LV"/>
              </w:rPr>
              <w:t>1</w:t>
            </w:r>
            <w:r w:rsidR="00D8469C" w:rsidRPr="00C941C5">
              <w:rPr>
                <w:rFonts w:ascii="Times New Roman" w:eastAsia="Times New Roman" w:hAnsi="Times New Roman" w:cs="Times New Roman"/>
                <w:sz w:val="24"/>
                <w:szCs w:val="24"/>
                <w:lang w:eastAsia="lv-LV"/>
              </w:rPr>
              <w:t>. punkt</w:t>
            </w:r>
            <w:r w:rsidR="00940130" w:rsidRPr="00C941C5">
              <w:rPr>
                <w:rFonts w:ascii="Times New Roman" w:eastAsia="Times New Roman" w:hAnsi="Times New Roman" w:cs="Times New Roman"/>
                <w:sz w:val="24"/>
                <w:szCs w:val="24"/>
                <w:lang w:eastAsia="lv-LV"/>
              </w:rPr>
              <w:t xml:space="preserve">ā precizēts </w:t>
            </w:r>
            <w:r w:rsidR="00D8469C" w:rsidRPr="00C941C5">
              <w:rPr>
                <w:rFonts w:ascii="Times New Roman" w:eastAsia="Times New Roman" w:hAnsi="Times New Roman" w:cs="Times New Roman"/>
                <w:sz w:val="24"/>
                <w:szCs w:val="24"/>
                <w:lang w:eastAsia="lv-LV"/>
              </w:rPr>
              <w:t>kritērij</w:t>
            </w:r>
            <w:r w:rsidR="00940130" w:rsidRPr="00C941C5">
              <w:rPr>
                <w:rFonts w:ascii="Times New Roman" w:eastAsia="Times New Roman" w:hAnsi="Times New Roman" w:cs="Times New Roman"/>
                <w:sz w:val="24"/>
                <w:szCs w:val="24"/>
                <w:lang w:eastAsia="lv-LV"/>
              </w:rPr>
              <w:t>s</w:t>
            </w:r>
            <w:r w:rsidR="00D8469C" w:rsidRPr="00C941C5">
              <w:rPr>
                <w:rFonts w:ascii="Times New Roman" w:eastAsia="Times New Roman" w:hAnsi="Times New Roman" w:cs="Times New Roman"/>
                <w:sz w:val="24"/>
                <w:szCs w:val="24"/>
                <w:lang w:eastAsia="lv-LV"/>
              </w:rPr>
              <w:t xml:space="preserve"> augstskolas pārstāvju izvirzīšanai komisijas sastāvam. </w:t>
            </w:r>
            <w:r w:rsidR="00FD0A8E" w:rsidRPr="00C941C5">
              <w:rPr>
                <w:rFonts w:ascii="Times New Roman" w:eastAsia="Times New Roman" w:hAnsi="Times New Roman" w:cs="Times New Roman"/>
                <w:sz w:val="24"/>
                <w:szCs w:val="24"/>
                <w:lang w:eastAsia="lv-LV"/>
              </w:rPr>
              <w:t>N</w:t>
            </w:r>
            <w:r w:rsidR="0066185B" w:rsidRPr="00C941C5">
              <w:rPr>
                <w:rFonts w:ascii="Times New Roman" w:eastAsia="Times New Roman" w:hAnsi="Times New Roman" w:cs="Times New Roman"/>
                <w:sz w:val="24"/>
                <w:szCs w:val="24"/>
                <w:lang w:eastAsia="lv-LV"/>
              </w:rPr>
              <w:t>oteikumu Nr. 771 12.</w:t>
            </w:r>
            <w:r w:rsidR="0084472A" w:rsidRPr="00C941C5">
              <w:rPr>
                <w:rFonts w:ascii="Times New Roman" w:eastAsia="Times New Roman" w:hAnsi="Times New Roman" w:cs="Times New Roman"/>
                <w:sz w:val="24"/>
                <w:szCs w:val="24"/>
                <w:lang w:eastAsia="lv-LV"/>
              </w:rPr>
              <w:t> </w:t>
            </w:r>
            <w:r w:rsidR="0066185B" w:rsidRPr="00C941C5">
              <w:rPr>
                <w:rFonts w:ascii="Times New Roman" w:eastAsia="Times New Roman" w:hAnsi="Times New Roman" w:cs="Times New Roman"/>
                <w:sz w:val="24"/>
                <w:szCs w:val="24"/>
                <w:lang w:eastAsia="lv-LV"/>
              </w:rPr>
              <w:t>punkts paredz</w:t>
            </w:r>
            <w:r w:rsidR="00FD0A8E" w:rsidRPr="00C941C5">
              <w:rPr>
                <w:rFonts w:ascii="Times New Roman" w:eastAsia="Times New Roman" w:hAnsi="Times New Roman" w:cs="Times New Roman"/>
                <w:sz w:val="24"/>
                <w:szCs w:val="24"/>
                <w:lang w:eastAsia="lv-LV"/>
              </w:rPr>
              <w:t>ēja</w:t>
            </w:r>
            <w:r w:rsidR="0066185B" w:rsidRPr="00C941C5">
              <w:rPr>
                <w:rFonts w:ascii="Times New Roman" w:eastAsia="Times New Roman" w:hAnsi="Times New Roman" w:cs="Times New Roman"/>
                <w:sz w:val="24"/>
                <w:szCs w:val="24"/>
                <w:lang w:eastAsia="lv-LV"/>
              </w:rPr>
              <w:t xml:space="preserve">, ka augstskola </w:t>
            </w:r>
            <w:r w:rsidR="00953B4A" w:rsidRPr="00C941C5">
              <w:rPr>
                <w:rFonts w:ascii="Times New Roman" w:eastAsia="Times New Roman" w:hAnsi="Times New Roman" w:cs="Times New Roman"/>
                <w:sz w:val="24"/>
                <w:szCs w:val="24"/>
                <w:lang w:eastAsia="lv-LV"/>
              </w:rPr>
              <w:t xml:space="preserve">dalībai komisijā </w:t>
            </w:r>
            <w:r w:rsidR="0066185B" w:rsidRPr="00C941C5">
              <w:rPr>
                <w:rFonts w:ascii="Times New Roman" w:eastAsia="Times New Roman" w:hAnsi="Times New Roman" w:cs="Times New Roman"/>
                <w:sz w:val="24"/>
                <w:szCs w:val="24"/>
                <w:lang w:eastAsia="lv-LV"/>
              </w:rPr>
              <w:t>izvirza noteiktu pārstāvju</w:t>
            </w:r>
            <w:r w:rsidR="00953B4A" w:rsidRPr="00C941C5">
              <w:rPr>
                <w:rFonts w:ascii="Times New Roman" w:eastAsia="Times New Roman" w:hAnsi="Times New Roman" w:cs="Times New Roman"/>
                <w:sz w:val="24"/>
                <w:szCs w:val="24"/>
                <w:lang w:eastAsia="lv-LV"/>
              </w:rPr>
              <w:t xml:space="preserve"> skaitu, kas ir proporcionāls studējošo skaitam, kuri kārto kvalifikācijas eksāmenu. </w:t>
            </w:r>
            <w:r w:rsidR="00157683" w:rsidRPr="00C941C5">
              <w:rPr>
                <w:rFonts w:ascii="Times New Roman" w:eastAsia="Times New Roman" w:hAnsi="Times New Roman" w:cs="Times New Roman"/>
                <w:sz w:val="24"/>
                <w:szCs w:val="24"/>
                <w:lang w:eastAsia="lv-LV"/>
              </w:rPr>
              <w:t xml:space="preserve">Ņemot vērā to, </w:t>
            </w:r>
            <w:r w:rsidR="0066185B" w:rsidRPr="00C941C5">
              <w:rPr>
                <w:rFonts w:ascii="Times New Roman" w:eastAsia="Times New Roman" w:hAnsi="Times New Roman" w:cs="Times New Roman"/>
                <w:sz w:val="24"/>
                <w:szCs w:val="24"/>
                <w:lang w:eastAsia="lv-LV"/>
              </w:rPr>
              <w:t>ka provizoriski komisijas sastāvs pirmo reizi jāapstiprina 2021.</w:t>
            </w:r>
            <w:r w:rsidR="00953B4A" w:rsidRPr="00C941C5">
              <w:rPr>
                <w:rFonts w:ascii="Times New Roman" w:eastAsia="Times New Roman" w:hAnsi="Times New Roman" w:cs="Times New Roman"/>
                <w:sz w:val="24"/>
                <w:szCs w:val="24"/>
                <w:lang w:eastAsia="lv-LV"/>
              </w:rPr>
              <w:t> </w:t>
            </w:r>
            <w:r w:rsidR="0066185B" w:rsidRPr="00C941C5">
              <w:rPr>
                <w:rFonts w:ascii="Times New Roman" w:eastAsia="Times New Roman" w:hAnsi="Times New Roman" w:cs="Times New Roman"/>
                <w:sz w:val="24"/>
                <w:szCs w:val="24"/>
                <w:lang w:eastAsia="lv-LV"/>
              </w:rPr>
              <w:t xml:space="preserve">gada sākumā, Tieslietu ministrija pieļauj, ka augstskola vēl varētu nezināt </w:t>
            </w:r>
            <w:r w:rsidR="00953B4A" w:rsidRPr="00C941C5">
              <w:rPr>
                <w:rFonts w:ascii="Times New Roman" w:eastAsia="Times New Roman" w:hAnsi="Times New Roman" w:cs="Times New Roman"/>
                <w:sz w:val="24"/>
                <w:szCs w:val="24"/>
                <w:lang w:eastAsia="lv-LV"/>
              </w:rPr>
              <w:t xml:space="preserve">konkrētu </w:t>
            </w:r>
            <w:r w:rsidR="0066185B" w:rsidRPr="00C941C5">
              <w:rPr>
                <w:rFonts w:ascii="Times New Roman" w:eastAsia="Times New Roman" w:hAnsi="Times New Roman" w:cs="Times New Roman"/>
                <w:sz w:val="24"/>
                <w:szCs w:val="24"/>
                <w:lang w:eastAsia="lv-LV"/>
              </w:rPr>
              <w:t>studējošo skaitu, kuri kārto</w:t>
            </w:r>
            <w:r w:rsidR="00953B4A" w:rsidRPr="00C941C5">
              <w:rPr>
                <w:rFonts w:ascii="Times New Roman" w:eastAsia="Times New Roman" w:hAnsi="Times New Roman" w:cs="Times New Roman"/>
                <w:sz w:val="24"/>
                <w:szCs w:val="24"/>
                <w:lang w:eastAsia="lv-LV"/>
              </w:rPr>
              <w:t>s</w:t>
            </w:r>
            <w:r w:rsidR="0066185B" w:rsidRPr="00C941C5">
              <w:rPr>
                <w:rFonts w:ascii="Times New Roman" w:eastAsia="Times New Roman" w:hAnsi="Times New Roman" w:cs="Times New Roman"/>
                <w:sz w:val="24"/>
                <w:szCs w:val="24"/>
                <w:lang w:eastAsia="lv-LV"/>
              </w:rPr>
              <w:t xml:space="preserve"> kvalifikācijas eksāmenu</w:t>
            </w:r>
            <w:r w:rsidR="00953B4A" w:rsidRPr="00C941C5">
              <w:rPr>
                <w:rFonts w:ascii="Times New Roman" w:eastAsia="Times New Roman" w:hAnsi="Times New Roman" w:cs="Times New Roman"/>
                <w:sz w:val="24"/>
                <w:szCs w:val="24"/>
                <w:lang w:eastAsia="lv-LV"/>
              </w:rPr>
              <w:t xml:space="preserve">, līdz ar to tiek precizēts </w:t>
            </w:r>
            <w:r w:rsidR="00940130" w:rsidRPr="00C941C5">
              <w:rPr>
                <w:rFonts w:ascii="Times New Roman" w:eastAsia="Times New Roman" w:hAnsi="Times New Roman" w:cs="Times New Roman"/>
                <w:sz w:val="24"/>
                <w:szCs w:val="24"/>
                <w:lang w:eastAsia="lv-LV"/>
              </w:rPr>
              <w:t>projekta</w:t>
            </w:r>
            <w:r w:rsidR="00953B4A" w:rsidRPr="00C941C5">
              <w:rPr>
                <w:rFonts w:ascii="Times New Roman" w:eastAsia="Times New Roman" w:hAnsi="Times New Roman" w:cs="Times New Roman"/>
                <w:sz w:val="24"/>
                <w:szCs w:val="24"/>
                <w:lang w:eastAsia="lv-LV"/>
              </w:rPr>
              <w:t xml:space="preserve"> 1</w:t>
            </w:r>
            <w:r w:rsidR="00FD5CAA" w:rsidRPr="00C941C5">
              <w:rPr>
                <w:rFonts w:ascii="Times New Roman" w:eastAsia="Times New Roman" w:hAnsi="Times New Roman" w:cs="Times New Roman"/>
                <w:sz w:val="24"/>
                <w:szCs w:val="24"/>
                <w:lang w:eastAsia="lv-LV"/>
              </w:rPr>
              <w:t>1</w:t>
            </w:r>
            <w:r w:rsidR="00953B4A" w:rsidRPr="00C941C5">
              <w:rPr>
                <w:rFonts w:ascii="Times New Roman" w:eastAsia="Times New Roman" w:hAnsi="Times New Roman" w:cs="Times New Roman"/>
                <w:sz w:val="24"/>
                <w:szCs w:val="24"/>
                <w:lang w:eastAsia="lv-LV"/>
              </w:rPr>
              <w:t>. punkt</w:t>
            </w:r>
            <w:r w:rsidR="00940130" w:rsidRPr="00C941C5">
              <w:rPr>
                <w:rFonts w:ascii="Times New Roman" w:eastAsia="Times New Roman" w:hAnsi="Times New Roman" w:cs="Times New Roman"/>
                <w:sz w:val="24"/>
                <w:szCs w:val="24"/>
                <w:lang w:eastAsia="lv-LV"/>
              </w:rPr>
              <w:t>a regulējums</w:t>
            </w:r>
            <w:r w:rsidR="00953B4A" w:rsidRPr="00C941C5">
              <w:rPr>
                <w:rFonts w:ascii="Times New Roman" w:eastAsia="Times New Roman" w:hAnsi="Times New Roman" w:cs="Times New Roman"/>
                <w:sz w:val="24"/>
                <w:szCs w:val="24"/>
                <w:lang w:eastAsia="lv-LV"/>
              </w:rPr>
              <w:t xml:space="preserve">, nosakot, ka augstskola dalībai komisijā izvirza noteiktu pārstāvju skaitu, kas ir proporcionāls prognozējamajam studējošo skaitam, kuri kārtos kvalifikācijas eksāmenu. </w:t>
            </w:r>
          </w:p>
          <w:p w14:paraId="3EB26A45" w14:textId="3A91B236" w:rsidR="001C632E" w:rsidRPr="00C941C5" w:rsidRDefault="001C632E" w:rsidP="001C632E">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Salīdzinājumā ar noteikumu Nr. 771 saturu projekts precizēts, svītrojot regulējumu par to, ka tieslietu ministrs apstiprina komisijas nolikumu. Minētais pamatojams ar to, ka projektā jau daudz izvērstāk tiek regulēti jautājumi, kas </w:t>
            </w:r>
            <w:r w:rsidRPr="00C941C5">
              <w:rPr>
                <w:rFonts w:ascii="Times New Roman" w:eastAsia="Times New Roman" w:hAnsi="Times New Roman" w:cs="Times New Roman"/>
                <w:sz w:val="24"/>
                <w:szCs w:val="24"/>
                <w:lang w:eastAsia="lv-LV"/>
              </w:rPr>
              <w:lastRenderedPageBreak/>
              <w:t>saistīti ar komisijas darbības kārtību, kā to paredz Augstskolu likuma 58.</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panta ceturtajā daļā ietvertais pilnvarojums Ministru kabinetam.</w:t>
            </w:r>
            <w:r w:rsidR="00FA4F28" w:rsidRPr="00C941C5">
              <w:rPr>
                <w:rFonts w:ascii="Times New Roman" w:eastAsia="Times New Roman" w:hAnsi="Times New Roman" w:cs="Times New Roman"/>
                <w:sz w:val="24"/>
                <w:szCs w:val="24"/>
                <w:lang w:eastAsia="lv-LV"/>
              </w:rPr>
              <w:t xml:space="preserve"> Līdz ar to obligāta komisijas nolikuma izstrāde nav nepieciešama.</w:t>
            </w:r>
          </w:p>
          <w:p w14:paraId="29F33498" w14:textId="2E1A9C0E" w:rsidR="00EE13AA" w:rsidRPr="00C941C5" w:rsidRDefault="001C632E" w:rsidP="003B0AF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Tāpat arī s</w:t>
            </w:r>
            <w:r w:rsidR="00EE13AA" w:rsidRPr="00C941C5">
              <w:rPr>
                <w:rFonts w:ascii="Times New Roman" w:eastAsia="Times New Roman" w:hAnsi="Times New Roman" w:cs="Times New Roman"/>
                <w:sz w:val="24"/>
                <w:szCs w:val="24"/>
                <w:lang w:eastAsia="lv-LV"/>
              </w:rPr>
              <w:t>alīdzinājumā ar noteikumu Nr. 771 saturu projekts precizēts, svītrojot regulējumu par to, ka studējošajam elektroniskajā vidē ir pieejams saraksts ar kvalifikācijas eksāmena teorētiskās daļas vispārīgiem tematiem šo noteikumu 2</w:t>
            </w:r>
            <w:r w:rsidR="00FD5CAA" w:rsidRPr="00C941C5">
              <w:rPr>
                <w:rFonts w:ascii="Times New Roman" w:eastAsia="Times New Roman" w:hAnsi="Times New Roman" w:cs="Times New Roman"/>
                <w:sz w:val="24"/>
                <w:szCs w:val="24"/>
                <w:lang w:eastAsia="lv-LV"/>
              </w:rPr>
              <w:t>4</w:t>
            </w:r>
            <w:r w:rsidR="00EE13AA"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00EE13AA" w:rsidRPr="00C941C5">
              <w:rPr>
                <w:rFonts w:ascii="Times New Roman" w:eastAsia="Times New Roman" w:hAnsi="Times New Roman" w:cs="Times New Roman"/>
                <w:sz w:val="24"/>
                <w:szCs w:val="24"/>
                <w:lang w:eastAsia="lv-LV"/>
              </w:rPr>
              <w:t xml:space="preserve">punktā minētajās jomās. Minētais pamatojams ar to, ka augstskolām savā darbībā ir jānodrošina augstskolu pilnīga autonomija; arī izstrādājot studiju programmas. Projektā tiek noteikti kvalifikācijas eksāmena satura pamatvirzieni, kas izriet no profesijas standarta, un no kuriem attiecīgi arī augstskolām ir jāvadās, izstrādājot studiju programmas saturu. Tieslietu ministrija norāda, ka minētais precizējums cita starpā nepieciešams arī tāpēc, lai studiju procesa ietvaros izslēgtu studējošo gatavošanos tikai uz publicētajiem kvalifikācijas eksāmena teorētiskās daļas vispārīgajiem tematiem. </w:t>
            </w:r>
          </w:p>
          <w:p w14:paraId="2EDD6B24" w14:textId="5405640E" w:rsidR="00FF5D0C" w:rsidRPr="00C941C5" w:rsidRDefault="00FF5D0C" w:rsidP="003B0AF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 1</w:t>
            </w:r>
            <w:r w:rsidR="00FD5CAA" w:rsidRPr="00C941C5">
              <w:rPr>
                <w:rFonts w:ascii="Times New Roman" w:eastAsia="Times New Roman" w:hAnsi="Times New Roman" w:cs="Times New Roman"/>
                <w:sz w:val="24"/>
                <w:szCs w:val="24"/>
                <w:lang w:eastAsia="lv-LV"/>
              </w:rPr>
              <w:t>4</w:t>
            </w:r>
            <w:r w:rsidRPr="00C941C5">
              <w:rPr>
                <w:rFonts w:ascii="Times New Roman" w:eastAsia="Times New Roman" w:hAnsi="Times New Roman" w:cs="Times New Roman"/>
                <w:sz w:val="24"/>
                <w:szCs w:val="24"/>
                <w:lang w:eastAsia="lv-LV"/>
              </w:rPr>
              <w:t>., 1</w:t>
            </w:r>
            <w:r w:rsidR="00FD5CAA" w:rsidRPr="00C941C5">
              <w:rPr>
                <w:rFonts w:ascii="Times New Roman" w:eastAsia="Times New Roman" w:hAnsi="Times New Roman" w:cs="Times New Roman"/>
                <w:sz w:val="24"/>
                <w:szCs w:val="24"/>
                <w:lang w:eastAsia="lv-LV"/>
              </w:rPr>
              <w:t>7</w:t>
            </w:r>
            <w:r w:rsidRPr="00C941C5">
              <w:rPr>
                <w:rFonts w:ascii="Times New Roman" w:eastAsia="Times New Roman" w:hAnsi="Times New Roman" w:cs="Times New Roman"/>
                <w:sz w:val="24"/>
                <w:szCs w:val="24"/>
                <w:lang w:eastAsia="lv-LV"/>
              </w:rPr>
              <w:t>., 1</w:t>
            </w:r>
            <w:r w:rsidR="00FD5CAA" w:rsidRPr="00C941C5">
              <w:rPr>
                <w:rFonts w:ascii="Times New Roman" w:eastAsia="Times New Roman" w:hAnsi="Times New Roman" w:cs="Times New Roman"/>
                <w:sz w:val="24"/>
                <w:szCs w:val="24"/>
                <w:lang w:eastAsia="lv-LV"/>
              </w:rPr>
              <w:t>8</w:t>
            </w:r>
            <w:r w:rsidRPr="00C941C5">
              <w:rPr>
                <w:rFonts w:ascii="Times New Roman" w:eastAsia="Times New Roman" w:hAnsi="Times New Roman" w:cs="Times New Roman"/>
                <w:sz w:val="24"/>
                <w:szCs w:val="24"/>
                <w:lang w:eastAsia="lv-LV"/>
              </w:rPr>
              <w:t xml:space="preserve">. un </w:t>
            </w:r>
            <w:r w:rsidR="00FD5CAA" w:rsidRPr="00C941C5">
              <w:rPr>
                <w:rFonts w:ascii="Times New Roman" w:eastAsia="Times New Roman" w:hAnsi="Times New Roman" w:cs="Times New Roman"/>
                <w:sz w:val="24"/>
                <w:szCs w:val="24"/>
                <w:lang w:eastAsia="lv-LV"/>
              </w:rPr>
              <w:t>19</w:t>
            </w:r>
            <w:r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punktā ietverts izvērstāks regulējums par komisijas darbības kārtību (kā to paredz Augstskolu likuma 58. panta ceturtajā daļā ietvertais pilnvarojums Ministru kabinetam). </w:t>
            </w:r>
            <w:r w:rsidR="00B73A1E" w:rsidRPr="00C941C5">
              <w:rPr>
                <w:rFonts w:ascii="Times New Roman" w:eastAsia="Times New Roman" w:hAnsi="Times New Roman" w:cs="Times New Roman"/>
                <w:sz w:val="24"/>
                <w:szCs w:val="24"/>
                <w:lang w:eastAsia="lv-LV"/>
              </w:rPr>
              <w:t xml:space="preserve">Ņemot vērā to, ka par kvalifikācijas eksāmenu atbildīgā ir Tieslietu ministrija, komisijas pirmās sēdes sasaukšanas pienākums </w:t>
            </w:r>
            <w:r w:rsidR="007F0103" w:rsidRPr="00C941C5">
              <w:rPr>
                <w:rFonts w:ascii="Times New Roman" w:eastAsia="Times New Roman" w:hAnsi="Times New Roman" w:cs="Times New Roman"/>
                <w:sz w:val="24"/>
                <w:szCs w:val="24"/>
                <w:lang w:eastAsia="lv-LV"/>
              </w:rPr>
              <w:t>ir noteikts</w:t>
            </w:r>
            <w:r w:rsidR="00B73A1E" w:rsidRPr="00C941C5">
              <w:rPr>
                <w:rFonts w:ascii="Times New Roman" w:eastAsia="Times New Roman" w:hAnsi="Times New Roman" w:cs="Times New Roman"/>
                <w:sz w:val="24"/>
                <w:szCs w:val="24"/>
                <w:lang w:eastAsia="lv-LV"/>
              </w:rPr>
              <w:t xml:space="preserve"> Tieslietu ministrija</w:t>
            </w:r>
            <w:r w:rsidR="007F0103" w:rsidRPr="00C941C5">
              <w:rPr>
                <w:rFonts w:ascii="Times New Roman" w:eastAsia="Times New Roman" w:hAnsi="Times New Roman" w:cs="Times New Roman"/>
                <w:sz w:val="24"/>
                <w:szCs w:val="24"/>
                <w:lang w:eastAsia="lv-LV"/>
              </w:rPr>
              <w:t>i</w:t>
            </w:r>
            <w:r w:rsidR="00B73A1E" w:rsidRPr="00C941C5">
              <w:rPr>
                <w:rFonts w:ascii="Times New Roman" w:eastAsia="Times New Roman" w:hAnsi="Times New Roman" w:cs="Times New Roman"/>
                <w:sz w:val="24"/>
                <w:szCs w:val="24"/>
                <w:lang w:eastAsia="lv-LV"/>
              </w:rPr>
              <w:t>, tāpat arī komisijas sekretāra pienākumus pildīs Tieslietu ministrijas norīkota persona</w:t>
            </w:r>
            <w:r w:rsidR="00FA4F28" w:rsidRPr="00C941C5">
              <w:rPr>
                <w:rFonts w:ascii="Times New Roman" w:eastAsia="Times New Roman" w:hAnsi="Times New Roman" w:cs="Times New Roman"/>
                <w:sz w:val="24"/>
                <w:szCs w:val="24"/>
                <w:lang w:eastAsia="lv-LV"/>
              </w:rPr>
              <w:t xml:space="preserve"> (atbalsta persona).</w:t>
            </w:r>
            <w:r w:rsidR="00B73A1E" w:rsidRPr="00C941C5">
              <w:rPr>
                <w:rFonts w:ascii="Times New Roman" w:eastAsia="Times New Roman" w:hAnsi="Times New Roman" w:cs="Times New Roman"/>
                <w:sz w:val="24"/>
                <w:szCs w:val="24"/>
                <w:lang w:eastAsia="lv-LV"/>
              </w:rPr>
              <w:t xml:space="preserve"> </w:t>
            </w:r>
          </w:p>
          <w:p w14:paraId="3A679B46" w14:textId="36DBE0CC" w:rsidR="00737C14" w:rsidRPr="00C941C5" w:rsidRDefault="00737C14" w:rsidP="003B0AF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 1</w:t>
            </w:r>
            <w:r w:rsidR="00FD5CAA" w:rsidRPr="00C941C5">
              <w:rPr>
                <w:rFonts w:ascii="Times New Roman" w:eastAsia="Times New Roman" w:hAnsi="Times New Roman" w:cs="Times New Roman"/>
                <w:sz w:val="24"/>
                <w:szCs w:val="24"/>
                <w:lang w:eastAsia="lv-LV"/>
              </w:rPr>
              <w:t>5</w:t>
            </w:r>
            <w:r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punkts precizēts, paredzot arī komisijas priekšsēdētāja vietnieka ievēlēšanas kārtību. Tas pamatojams ar to, ka komisijas priekšsēdētāja prombūtnes laikā ir nepieciešama kāda persona, kas rīkojas tā vietā. Turklāt komisiju, kas plānota 45 locekļu sastāvā, noteikti ir </w:t>
            </w:r>
            <w:r w:rsidR="00FA4F28" w:rsidRPr="00C941C5">
              <w:rPr>
                <w:rFonts w:ascii="Times New Roman" w:eastAsia="Times New Roman" w:hAnsi="Times New Roman" w:cs="Times New Roman"/>
                <w:sz w:val="24"/>
                <w:szCs w:val="24"/>
                <w:lang w:eastAsia="lv-LV"/>
              </w:rPr>
              <w:t xml:space="preserve">kādam </w:t>
            </w:r>
            <w:r w:rsidRPr="00C941C5">
              <w:rPr>
                <w:rFonts w:ascii="Times New Roman" w:eastAsia="Times New Roman" w:hAnsi="Times New Roman" w:cs="Times New Roman"/>
                <w:sz w:val="24"/>
                <w:szCs w:val="24"/>
                <w:lang w:eastAsia="lv-LV"/>
              </w:rPr>
              <w:t>jākoordinē un jāvada</w:t>
            </w:r>
            <w:r w:rsidR="00FA4F28" w:rsidRPr="00C941C5">
              <w:rPr>
                <w:rFonts w:ascii="Times New Roman" w:eastAsia="Times New Roman" w:hAnsi="Times New Roman" w:cs="Times New Roman"/>
                <w:sz w:val="24"/>
                <w:szCs w:val="24"/>
                <w:lang w:eastAsia="lv-LV"/>
              </w:rPr>
              <w:t xml:space="preserve"> arī komisijas priekšsēdētāja prombūtnē.</w:t>
            </w:r>
          </w:p>
          <w:p w14:paraId="7E612458" w14:textId="56A9B893" w:rsidR="007315DA" w:rsidRPr="00C941C5" w:rsidRDefault="00FA4F28" w:rsidP="00FA4F28">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Tāpat arī projekta 1</w:t>
            </w:r>
            <w:r w:rsidR="00FD5CAA" w:rsidRPr="00C941C5">
              <w:rPr>
                <w:rFonts w:ascii="Times New Roman" w:eastAsia="Times New Roman" w:hAnsi="Times New Roman" w:cs="Times New Roman"/>
                <w:sz w:val="24"/>
                <w:szCs w:val="24"/>
                <w:lang w:eastAsia="lv-LV"/>
              </w:rPr>
              <w:t>5</w:t>
            </w:r>
            <w:r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punkts precizēts, nosakot, ka komisijas priekšsēdētājs un komisijas priekšsēdētāja vietnieks nevar būt augstskolas pārstāvi</w:t>
            </w:r>
            <w:r w:rsidR="007315DA" w:rsidRPr="00C941C5">
              <w:rPr>
                <w:rFonts w:ascii="Times New Roman" w:eastAsia="Times New Roman" w:hAnsi="Times New Roman" w:cs="Times New Roman"/>
                <w:sz w:val="24"/>
                <w:szCs w:val="24"/>
                <w:lang w:eastAsia="lv-LV"/>
              </w:rPr>
              <w:t xml:space="preserve">s, kā arī </w:t>
            </w:r>
            <w:r w:rsidR="007315DA" w:rsidRPr="00C941C5">
              <w:rPr>
                <w:rFonts w:ascii="Times New Roman" w:hAnsi="Times New Roman" w:cs="Times New Roman"/>
                <w:sz w:val="24"/>
                <w:szCs w:val="24"/>
                <w:u w:val="single"/>
              </w:rPr>
              <w:t>juridisko nozari pārstāvošās organizācijas pārstāvis, kurš piedalās studiju programmas īstenošanā augstskolā.</w:t>
            </w:r>
            <w:r w:rsidRPr="00C941C5">
              <w:rPr>
                <w:rFonts w:ascii="Times New Roman" w:eastAsia="Times New Roman" w:hAnsi="Times New Roman" w:cs="Times New Roman"/>
                <w:sz w:val="24"/>
                <w:szCs w:val="24"/>
                <w:u w:val="single"/>
                <w:lang w:eastAsia="lv-LV"/>
              </w:rPr>
              <w:t xml:space="preserve"> Minētais ierobežojums </w:t>
            </w:r>
            <w:r w:rsidR="007315DA" w:rsidRPr="00C941C5">
              <w:rPr>
                <w:rFonts w:ascii="Times New Roman" w:eastAsia="Times New Roman" w:hAnsi="Times New Roman" w:cs="Times New Roman"/>
                <w:sz w:val="24"/>
                <w:szCs w:val="24"/>
                <w:u w:val="single"/>
                <w:lang w:eastAsia="lv-LV"/>
              </w:rPr>
              <w:t xml:space="preserve">ir </w:t>
            </w:r>
            <w:r w:rsidRPr="00C941C5">
              <w:rPr>
                <w:rFonts w:ascii="Times New Roman" w:eastAsia="Times New Roman" w:hAnsi="Times New Roman" w:cs="Times New Roman"/>
                <w:sz w:val="24"/>
                <w:szCs w:val="24"/>
                <w:u w:val="single"/>
                <w:lang w:eastAsia="lv-LV"/>
              </w:rPr>
              <w:t>saistīts ar komisijas locekļu objektivitāti lēmumu pieņemšanā</w:t>
            </w:r>
            <w:r w:rsidR="007315DA" w:rsidRPr="00C941C5">
              <w:rPr>
                <w:rFonts w:ascii="Times New Roman" w:eastAsia="Times New Roman" w:hAnsi="Times New Roman" w:cs="Times New Roman"/>
                <w:sz w:val="24"/>
                <w:szCs w:val="24"/>
                <w:u w:val="single"/>
                <w:lang w:eastAsia="lv-LV"/>
              </w:rPr>
              <w:t>, mazinot interešu konflikta riskus</w:t>
            </w:r>
            <w:r w:rsidR="0042432D" w:rsidRPr="00C941C5">
              <w:rPr>
                <w:rFonts w:ascii="Times New Roman" w:eastAsia="Times New Roman" w:hAnsi="Times New Roman" w:cs="Times New Roman"/>
                <w:sz w:val="24"/>
                <w:szCs w:val="24"/>
                <w:u w:val="single"/>
                <w:lang w:eastAsia="lv-LV"/>
              </w:rPr>
              <w:t xml:space="preserve"> un nodrošinot konfidencialitāti eksāmena organizēšanas procesā. Turklāt šis risinājums paredz pasargāt augstskolas personālu no paaugstinātas spriedzes un iespējamā spiediena no to personu puses, kuras ir ieinteresētas eksāmena saturā un rezultātā.</w:t>
            </w:r>
            <w:r w:rsidR="0042432D" w:rsidRPr="00C941C5">
              <w:rPr>
                <w:rFonts w:ascii="Times New Roman" w:eastAsia="Times New Roman" w:hAnsi="Times New Roman" w:cs="Times New Roman"/>
                <w:sz w:val="24"/>
                <w:szCs w:val="24"/>
                <w:lang w:eastAsia="lv-LV"/>
              </w:rPr>
              <w:t xml:space="preserve"> </w:t>
            </w:r>
          </w:p>
          <w:p w14:paraId="481AD6B0" w14:textId="2212AA0B" w:rsidR="00926308" w:rsidRPr="00C941C5" w:rsidRDefault="00926308" w:rsidP="00FA4F28">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u w:val="single"/>
                <w:lang w:eastAsia="lv-LV"/>
              </w:rPr>
              <w:t xml:space="preserve">Ņemot vērā to, ka valsts vienotais jurista eksāmens tiks organizēts pirmo reizi, šobrīd šis risinājums ir uzskatāms par optimālāko regulējumu, </w:t>
            </w:r>
            <w:r w:rsidR="000C3FDD" w:rsidRPr="00C941C5">
              <w:rPr>
                <w:rFonts w:ascii="Times New Roman" w:eastAsia="Times New Roman" w:hAnsi="Times New Roman" w:cs="Times New Roman"/>
                <w:sz w:val="24"/>
                <w:szCs w:val="24"/>
                <w:u w:val="single"/>
                <w:lang w:eastAsia="lv-LV"/>
              </w:rPr>
              <w:t xml:space="preserve">lai nodrošinātu </w:t>
            </w:r>
            <w:r w:rsidRPr="00C941C5">
              <w:rPr>
                <w:rFonts w:ascii="Times New Roman" w:eastAsia="Times New Roman" w:hAnsi="Times New Roman" w:cs="Times New Roman"/>
                <w:sz w:val="24"/>
                <w:szCs w:val="24"/>
                <w:u w:val="single"/>
                <w:lang w:eastAsia="lv-LV"/>
              </w:rPr>
              <w:t>eksāmena organizēšanas procesa objektivitāti. Pēc pirmā</w:t>
            </w:r>
            <w:r w:rsidRPr="00C941C5">
              <w:rPr>
                <w:rFonts w:ascii="Times New Roman" w:eastAsia="Times New Roman" w:hAnsi="Times New Roman" w:cs="Times New Roman"/>
                <w:sz w:val="24"/>
                <w:szCs w:val="24"/>
                <w:lang w:eastAsia="lv-LV"/>
              </w:rPr>
              <w:t xml:space="preserve"> </w:t>
            </w:r>
            <w:r w:rsidRPr="00C941C5">
              <w:rPr>
                <w:rFonts w:ascii="Times New Roman" w:eastAsia="Times New Roman" w:hAnsi="Times New Roman" w:cs="Times New Roman"/>
                <w:sz w:val="24"/>
                <w:szCs w:val="24"/>
                <w:u w:val="single"/>
                <w:lang w:eastAsia="lv-LV"/>
              </w:rPr>
              <w:lastRenderedPageBreak/>
              <w:t>eksāmena organizēšanas tiesiskais regulējums var tikt pārskatīts, izvērtējot</w:t>
            </w:r>
            <w:r w:rsidR="000C3FDD" w:rsidRPr="00C941C5">
              <w:rPr>
                <w:rFonts w:ascii="Times New Roman" w:eastAsia="Times New Roman" w:hAnsi="Times New Roman" w:cs="Times New Roman"/>
                <w:sz w:val="24"/>
                <w:szCs w:val="24"/>
                <w:u w:val="single"/>
                <w:lang w:eastAsia="lv-LV"/>
              </w:rPr>
              <w:t xml:space="preserve">, </w:t>
            </w:r>
            <w:r w:rsidRPr="00C941C5">
              <w:rPr>
                <w:rFonts w:ascii="Times New Roman" w:eastAsia="Times New Roman" w:hAnsi="Times New Roman" w:cs="Times New Roman"/>
                <w:sz w:val="24"/>
                <w:szCs w:val="24"/>
                <w:u w:val="single"/>
                <w:lang w:eastAsia="lv-LV"/>
              </w:rPr>
              <w:t>vai arī turpmāk šie ierobežojumi ir nepieciešami</w:t>
            </w:r>
            <w:r w:rsidR="000C3FDD" w:rsidRPr="00C941C5">
              <w:rPr>
                <w:rFonts w:ascii="Times New Roman" w:eastAsia="Times New Roman" w:hAnsi="Times New Roman" w:cs="Times New Roman"/>
                <w:sz w:val="24"/>
                <w:szCs w:val="24"/>
                <w:u w:val="single"/>
                <w:lang w:eastAsia="lv-LV"/>
              </w:rPr>
              <w:t>, ņemot vērā procesa norisi un konstatētās problēmas</w:t>
            </w:r>
            <w:r w:rsidRPr="00C941C5">
              <w:rPr>
                <w:rFonts w:ascii="Times New Roman" w:eastAsia="Times New Roman" w:hAnsi="Times New Roman" w:cs="Times New Roman"/>
                <w:sz w:val="24"/>
                <w:szCs w:val="24"/>
                <w:u w:val="single"/>
                <w:lang w:eastAsia="lv-LV"/>
              </w:rPr>
              <w:t>.</w:t>
            </w:r>
          </w:p>
          <w:p w14:paraId="272E98DA" w14:textId="2A30F60A" w:rsidR="00FF5D0C" w:rsidRPr="00C941C5" w:rsidRDefault="005F4309" w:rsidP="005D35F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 2</w:t>
            </w:r>
            <w:r w:rsidR="00FD5CAA" w:rsidRPr="00C941C5">
              <w:rPr>
                <w:rFonts w:ascii="Times New Roman" w:eastAsia="Times New Roman" w:hAnsi="Times New Roman" w:cs="Times New Roman"/>
                <w:sz w:val="24"/>
                <w:szCs w:val="24"/>
                <w:lang w:eastAsia="lv-LV"/>
              </w:rPr>
              <w:t>7</w:t>
            </w:r>
            <w:r w:rsidRPr="00C941C5">
              <w:rPr>
                <w:rFonts w:ascii="Times New Roman" w:eastAsia="Times New Roman" w:hAnsi="Times New Roman" w:cs="Times New Roman"/>
                <w:sz w:val="24"/>
                <w:szCs w:val="24"/>
                <w:lang w:eastAsia="lv-LV"/>
              </w:rPr>
              <w:t>.-3</w:t>
            </w:r>
            <w:r w:rsidR="00FD5CAA" w:rsidRPr="00C941C5">
              <w:rPr>
                <w:rFonts w:ascii="Times New Roman" w:eastAsia="Times New Roman" w:hAnsi="Times New Roman" w:cs="Times New Roman"/>
                <w:sz w:val="24"/>
                <w:szCs w:val="24"/>
                <w:lang w:eastAsia="lv-LV"/>
              </w:rPr>
              <w:t>0</w:t>
            </w:r>
            <w:r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punkts paredz regulējumu saistībā ar komisijas darbību kvalifikācijas eksāmena jautājumu un uzdevumu (kāzusu) izstrād</w:t>
            </w:r>
            <w:r w:rsidR="00FA4F28" w:rsidRPr="00C941C5">
              <w:rPr>
                <w:rFonts w:ascii="Times New Roman" w:eastAsia="Times New Roman" w:hAnsi="Times New Roman" w:cs="Times New Roman"/>
                <w:sz w:val="24"/>
                <w:szCs w:val="24"/>
                <w:lang w:eastAsia="lv-LV"/>
              </w:rPr>
              <w:t>ē</w:t>
            </w:r>
            <w:r w:rsidRPr="00C941C5">
              <w:rPr>
                <w:rFonts w:ascii="Times New Roman" w:eastAsia="Times New Roman" w:hAnsi="Times New Roman" w:cs="Times New Roman"/>
                <w:sz w:val="24"/>
                <w:szCs w:val="24"/>
                <w:lang w:eastAsia="lv-LV"/>
              </w:rPr>
              <w:t xml:space="preserve">. Atbildīgs par jautājumu un uzdevumu (kāzusu) izstrādi </w:t>
            </w:r>
            <w:r w:rsidR="00FA4F28" w:rsidRPr="00C941C5">
              <w:rPr>
                <w:rFonts w:ascii="Times New Roman" w:eastAsia="Times New Roman" w:hAnsi="Times New Roman" w:cs="Times New Roman"/>
                <w:sz w:val="24"/>
                <w:szCs w:val="24"/>
                <w:lang w:eastAsia="lv-LV"/>
              </w:rPr>
              <w:t xml:space="preserve">ir </w:t>
            </w:r>
            <w:r w:rsidRPr="00C941C5">
              <w:rPr>
                <w:rFonts w:ascii="Times New Roman" w:eastAsia="Times New Roman" w:hAnsi="Times New Roman" w:cs="Times New Roman"/>
                <w:sz w:val="24"/>
                <w:szCs w:val="24"/>
                <w:lang w:eastAsia="lv-LV"/>
              </w:rPr>
              <w:t>komisijas priekšsēdētājs un komisija tos izstrādā komisijas priekšsēdētāja noteiktajā termiņā. Lai nodrošinātu objektivitāti kvalifikācijas eksāmena jautājumu izstrādē un konkrētu jautājumu, kas tiks ietverti kvalifikācijas eksāmena teorētiskajā daļā, izvēlē, projekt</w:t>
            </w:r>
            <w:r w:rsidR="00FD0A8E" w:rsidRPr="00C941C5">
              <w:rPr>
                <w:rFonts w:ascii="Times New Roman" w:eastAsia="Times New Roman" w:hAnsi="Times New Roman" w:cs="Times New Roman"/>
                <w:sz w:val="24"/>
                <w:szCs w:val="24"/>
                <w:lang w:eastAsia="lv-LV"/>
              </w:rPr>
              <w:t>ā</w:t>
            </w:r>
            <w:r w:rsidRPr="00C941C5">
              <w:rPr>
                <w:rFonts w:ascii="Times New Roman" w:eastAsia="Times New Roman" w:hAnsi="Times New Roman" w:cs="Times New Roman"/>
                <w:sz w:val="24"/>
                <w:szCs w:val="24"/>
                <w:lang w:eastAsia="lv-LV"/>
              </w:rPr>
              <w:t xml:space="preserve"> tiek paredzēts, ka komisija izstrādās lielāku iespējamo kvalifikācijas eksāmena jautājumu skaitu, no kuriem </w:t>
            </w:r>
            <w:r w:rsidR="005D35F0" w:rsidRPr="00C941C5">
              <w:rPr>
                <w:rFonts w:ascii="Times New Roman" w:eastAsia="Times New Roman" w:hAnsi="Times New Roman" w:cs="Times New Roman"/>
                <w:sz w:val="24"/>
                <w:szCs w:val="24"/>
                <w:lang w:eastAsia="lv-LV"/>
              </w:rPr>
              <w:t xml:space="preserve">izvēlēties trīs jautājumus katrā kvalifikācijas eksāmena jomā. Iespējamos kvalifikācijas eksāmena jautājumus apstiprina komisijas sēdē. Savukārt attiecīgi pēc tam komisijas priekšsēdētājs noteiks tos jautājumus un to skaitu, no kuriem izvēlēties trīs jautājumus katrā jomā, kurus iekļaus elektroniskajā vidē. Konkrētus kvalifikācijas jautājumus noteiks komisijas priekšsēdētājs sadarbībā ar komisijas priekšsēdētāja vietnieku un nozares pārstāvjiem no Ģenerālprokuratūras un </w:t>
            </w:r>
            <w:r w:rsidR="007F0103" w:rsidRPr="00C941C5">
              <w:rPr>
                <w:rFonts w:ascii="Times New Roman" w:eastAsia="Times New Roman" w:hAnsi="Times New Roman" w:cs="Times New Roman"/>
                <w:sz w:val="24"/>
                <w:szCs w:val="24"/>
                <w:lang w:eastAsia="lv-LV"/>
              </w:rPr>
              <w:t xml:space="preserve">tiesību </w:t>
            </w:r>
            <w:r w:rsidR="005D35F0" w:rsidRPr="00C941C5">
              <w:rPr>
                <w:rFonts w:ascii="Times New Roman" w:eastAsia="Times New Roman" w:hAnsi="Times New Roman" w:cs="Times New Roman"/>
                <w:sz w:val="24"/>
                <w:szCs w:val="24"/>
                <w:lang w:eastAsia="lv-LV"/>
              </w:rPr>
              <w:t>nozari pārstāvošajām organizācijām. Minētais pamatoj</w:t>
            </w:r>
            <w:r w:rsidR="00595681" w:rsidRPr="00C941C5">
              <w:rPr>
                <w:rFonts w:ascii="Times New Roman" w:eastAsia="Times New Roman" w:hAnsi="Times New Roman" w:cs="Times New Roman"/>
                <w:sz w:val="24"/>
                <w:szCs w:val="24"/>
                <w:lang w:eastAsia="lv-LV"/>
              </w:rPr>
              <w:t>a</w:t>
            </w:r>
            <w:r w:rsidR="005D35F0" w:rsidRPr="00C941C5">
              <w:rPr>
                <w:rFonts w:ascii="Times New Roman" w:eastAsia="Times New Roman" w:hAnsi="Times New Roman" w:cs="Times New Roman"/>
                <w:sz w:val="24"/>
                <w:szCs w:val="24"/>
                <w:lang w:eastAsia="lv-LV"/>
              </w:rPr>
              <w:t>ms ar kvalifikācijas eksāmena jautājumu izvēles objektivitāti</w:t>
            </w:r>
            <w:r w:rsidR="00595681" w:rsidRPr="00C941C5">
              <w:rPr>
                <w:rFonts w:ascii="Times New Roman" w:eastAsia="Times New Roman" w:hAnsi="Times New Roman" w:cs="Times New Roman"/>
                <w:sz w:val="24"/>
                <w:szCs w:val="24"/>
                <w:lang w:eastAsia="lv-LV"/>
              </w:rPr>
              <w:t>, kā arī lai mazinātu jautājumu izpaušanas iespēju</w:t>
            </w:r>
            <w:r w:rsidR="0042432D" w:rsidRPr="00C941C5">
              <w:rPr>
                <w:rFonts w:ascii="Times New Roman" w:eastAsia="Times New Roman" w:hAnsi="Times New Roman" w:cs="Times New Roman"/>
                <w:sz w:val="24"/>
                <w:szCs w:val="24"/>
                <w:lang w:eastAsia="lv-LV"/>
              </w:rPr>
              <w:t xml:space="preserve"> </w:t>
            </w:r>
            <w:r w:rsidR="0042432D" w:rsidRPr="00C941C5">
              <w:rPr>
                <w:rFonts w:ascii="Times New Roman" w:eastAsia="Times New Roman" w:hAnsi="Times New Roman" w:cs="Times New Roman"/>
                <w:sz w:val="24"/>
                <w:szCs w:val="24"/>
                <w:u w:val="single"/>
                <w:lang w:eastAsia="lv-LV"/>
              </w:rPr>
              <w:t>un pasargātu augstskolas personālu no paaugstinātas spriedzes.</w:t>
            </w:r>
          </w:p>
          <w:p w14:paraId="498E782A" w14:textId="108BE209" w:rsidR="00FD5CAA" w:rsidRPr="00C941C5" w:rsidRDefault="00FD5CAA" w:rsidP="00FD5CAA">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hAnsi="Times New Roman" w:cs="Times New Roman"/>
                <w:sz w:val="24"/>
                <w:szCs w:val="24"/>
              </w:rPr>
              <w:t>Papildus norādām, ka elektroniskās vides (sistēmas) uzturētāji nodrošinās pilnvērtīgu un kvalitatīvu elektroniskās vides darbību; arī reaģēšanu kļūdas gadījumā. Minētie aspekti tiks atrunāti noslēgtajā deleģēšanas līgumā.</w:t>
            </w:r>
          </w:p>
          <w:p w14:paraId="4DCD4EBB" w14:textId="695404E0" w:rsidR="00EC0C00" w:rsidRPr="00C941C5" w:rsidRDefault="00474963" w:rsidP="00474963">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Projekta </w:t>
            </w:r>
            <w:r w:rsidR="005D35F0" w:rsidRPr="00C941C5">
              <w:rPr>
                <w:rFonts w:ascii="Times New Roman" w:eastAsia="Times New Roman" w:hAnsi="Times New Roman" w:cs="Times New Roman"/>
                <w:sz w:val="24"/>
                <w:szCs w:val="24"/>
                <w:lang w:eastAsia="lv-LV"/>
              </w:rPr>
              <w:t>3</w:t>
            </w:r>
            <w:r w:rsidR="00FD5CAA" w:rsidRPr="00C941C5">
              <w:rPr>
                <w:rFonts w:ascii="Times New Roman" w:eastAsia="Times New Roman" w:hAnsi="Times New Roman" w:cs="Times New Roman"/>
                <w:sz w:val="24"/>
                <w:szCs w:val="24"/>
                <w:lang w:eastAsia="lv-LV"/>
              </w:rPr>
              <w:t>3</w:t>
            </w:r>
            <w:r w:rsidRPr="00C941C5">
              <w:rPr>
                <w:rFonts w:ascii="Times New Roman" w:eastAsia="Times New Roman" w:hAnsi="Times New Roman" w:cs="Times New Roman"/>
                <w:sz w:val="24"/>
                <w:szCs w:val="24"/>
                <w:lang w:eastAsia="lv-LV"/>
              </w:rPr>
              <w:t>.</w:t>
            </w:r>
            <w:r w:rsidR="007F010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punkt</w:t>
            </w:r>
            <w:r w:rsidR="007F0103" w:rsidRPr="00C941C5">
              <w:rPr>
                <w:rFonts w:ascii="Times New Roman" w:eastAsia="Times New Roman" w:hAnsi="Times New Roman" w:cs="Times New Roman"/>
                <w:sz w:val="24"/>
                <w:szCs w:val="24"/>
                <w:lang w:eastAsia="lv-LV"/>
              </w:rPr>
              <w:t>s</w:t>
            </w:r>
            <w:r w:rsidRPr="00C941C5">
              <w:rPr>
                <w:rFonts w:ascii="Times New Roman" w:eastAsia="Times New Roman" w:hAnsi="Times New Roman" w:cs="Times New Roman"/>
                <w:sz w:val="24"/>
                <w:szCs w:val="24"/>
                <w:lang w:eastAsia="lv-LV"/>
              </w:rPr>
              <w:t xml:space="preserve"> precizēts, nosakot, ka </w:t>
            </w:r>
            <w:r w:rsidR="00EC0C00" w:rsidRPr="00C941C5">
              <w:rPr>
                <w:rFonts w:ascii="Times New Roman" w:eastAsia="Times New Roman" w:hAnsi="Times New Roman" w:cs="Times New Roman"/>
                <w:sz w:val="24"/>
                <w:szCs w:val="24"/>
                <w:lang w:eastAsia="lv-LV"/>
              </w:rPr>
              <w:t>piekļuves tiesības elektroniskās vides kvalifikācijas eksāmena sadaļai ir arī Tieslietu ministrijai. Minētais</w:t>
            </w:r>
            <w:r w:rsidRPr="00C941C5">
              <w:rPr>
                <w:rFonts w:ascii="Times New Roman" w:eastAsia="Times New Roman" w:hAnsi="Times New Roman" w:cs="Times New Roman"/>
                <w:sz w:val="24"/>
                <w:szCs w:val="24"/>
                <w:lang w:eastAsia="lv-LV"/>
              </w:rPr>
              <w:t xml:space="preserve"> precizējums</w:t>
            </w:r>
            <w:r w:rsidR="00EC0C00" w:rsidRPr="00C941C5">
              <w:rPr>
                <w:rFonts w:ascii="Times New Roman" w:eastAsia="Times New Roman" w:hAnsi="Times New Roman" w:cs="Times New Roman"/>
                <w:sz w:val="24"/>
                <w:szCs w:val="24"/>
                <w:lang w:eastAsia="lv-LV"/>
              </w:rPr>
              <w:t xml:space="preserve"> nepieciešams, jo Tieslietu ministrija ir atbildīgā institūcija par kvalifikācijas eksāmenu; Tieslietu ministrijas nodarbinātais būs komisijas atbalsta persona</w:t>
            </w:r>
            <w:r w:rsidR="00FD5CAA" w:rsidRPr="00C941C5">
              <w:rPr>
                <w:rFonts w:ascii="Times New Roman" w:eastAsia="Times New Roman" w:hAnsi="Times New Roman" w:cs="Times New Roman"/>
                <w:sz w:val="24"/>
                <w:szCs w:val="24"/>
                <w:lang w:eastAsia="lv-LV"/>
              </w:rPr>
              <w:t>,</w:t>
            </w:r>
            <w:r w:rsidR="006659E3" w:rsidRPr="00C941C5">
              <w:rPr>
                <w:rFonts w:ascii="Times New Roman" w:eastAsia="Times New Roman" w:hAnsi="Times New Roman" w:cs="Times New Roman"/>
                <w:sz w:val="24"/>
                <w:szCs w:val="24"/>
                <w:lang w:eastAsia="lv-LV"/>
              </w:rPr>
              <w:t xml:space="preserve"> </w:t>
            </w:r>
            <w:r w:rsidR="00EC0C00" w:rsidRPr="00C941C5">
              <w:rPr>
                <w:rFonts w:ascii="Times New Roman" w:eastAsia="Times New Roman" w:hAnsi="Times New Roman" w:cs="Times New Roman"/>
                <w:sz w:val="24"/>
                <w:szCs w:val="24"/>
                <w:lang w:eastAsia="lv-LV"/>
              </w:rPr>
              <w:t>un</w:t>
            </w:r>
            <w:r w:rsidR="005D7B0D" w:rsidRPr="00C941C5">
              <w:rPr>
                <w:rFonts w:ascii="Times New Roman" w:eastAsia="Times New Roman" w:hAnsi="Times New Roman" w:cs="Times New Roman"/>
                <w:sz w:val="24"/>
                <w:szCs w:val="24"/>
                <w:lang w:eastAsia="lv-LV"/>
              </w:rPr>
              <w:t xml:space="preserve"> </w:t>
            </w:r>
            <w:r w:rsidR="00EC0C00" w:rsidRPr="00C941C5">
              <w:rPr>
                <w:rFonts w:ascii="Times New Roman" w:eastAsia="Times New Roman" w:hAnsi="Times New Roman" w:cs="Times New Roman"/>
                <w:sz w:val="24"/>
                <w:szCs w:val="24"/>
                <w:lang w:eastAsia="lv-LV"/>
              </w:rPr>
              <w:t xml:space="preserve">tai ir nepieciešama piekļuve elektroniskajai videi, kurā notiks kvalifikācijas eksāmena kārtošana. </w:t>
            </w:r>
          </w:p>
          <w:p w14:paraId="62E284FB" w14:textId="172BF6B9" w:rsidR="00EC0C00" w:rsidRPr="00C941C5" w:rsidRDefault="00474963" w:rsidP="008701FC">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w:t>
            </w:r>
            <w:r w:rsidR="00EC0C00" w:rsidRPr="00C941C5">
              <w:rPr>
                <w:rFonts w:ascii="Times New Roman" w:eastAsia="Times New Roman" w:hAnsi="Times New Roman" w:cs="Times New Roman"/>
                <w:sz w:val="24"/>
                <w:szCs w:val="24"/>
                <w:lang w:eastAsia="lv-LV"/>
              </w:rPr>
              <w:t xml:space="preserve">rojekta </w:t>
            </w:r>
            <w:r w:rsidR="005D35F0" w:rsidRPr="00C941C5">
              <w:rPr>
                <w:rFonts w:ascii="Times New Roman" w:eastAsia="Times New Roman" w:hAnsi="Times New Roman" w:cs="Times New Roman"/>
                <w:sz w:val="24"/>
                <w:szCs w:val="24"/>
                <w:lang w:eastAsia="lv-LV"/>
              </w:rPr>
              <w:t>3</w:t>
            </w:r>
            <w:r w:rsidR="00FD5CAA" w:rsidRPr="00C941C5">
              <w:rPr>
                <w:rFonts w:ascii="Times New Roman" w:eastAsia="Times New Roman" w:hAnsi="Times New Roman" w:cs="Times New Roman"/>
                <w:sz w:val="24"/>
                <w:szCs w:val="24"/>
                <w:lang w:eastAsia="lv-LV"/>
              </w:rPr>
              <w:t>4</w:t>
            </w:r>
            <w:r w:rsidR="00EC0C00" w:rsidRPr="00C941C5">
              <w:rPr>
                <w:rFonts w:ascii="Times New Roman" w:eastAsia="Times New Roman" w:hAnsi="Times New Roman" w:cs="Times New Roman"/>
                <w:sz w:val="24"/>
                <w:szCs w:val="24"/>
                <w:lang w:eastAsia="lv-LV"/>
              </w:rPr>
              <w:t>.</w:t>
            </w:r>
            <w:r w:rsidR="006659E3" w:rsidRPr="00C941C5">
              <w:rPr>
                <w:rFonts w:ascii="Times New Roman" w:eastAsia="Times New Roman" w:hAnsi="Times New Roman" w:cs="Times New Roman"/>
                <w:sz w:val="24"/>
                <w:szCs w:val="24"/>
                <w:lang w:eastAsia="lv-LV"/>
              </w:rPr>
              <w:t> </w:t>
            </w:r>
            <w:r w:rsidR="00EC0C00" w:rsidRPr="00C941C5">
              <w:rPr>
                <w:rFonts w:ascii="Times New Roman" w:eastAsia="Times New Roman" w:hAnsi="Times New Roman" w:cs="Times New Roman"/>
                <w:sz w:val="24"/>
                <w:szCs w:val="24"/>
                <w:lang w:eastAsia="lv-LV"/>
              </w:rPr>
              <w:t>punktā ietvert</w:t>
            </w:r>
            <w:r w:rsidRPr="00C941C5">
              <w:rPr>
                <w:rFonts w:ascii="Times New Roman" w:eastAsia="Times New Roman" w:hAnsi="Times New Roman" w:cs="Times New Roman"/>
                <w:sz w:val="24"/>
                <w:szCs w:val="24"/>
                <w:lang w:eastAsia="lv-LV"/>
              </w:rPr>
              <w:t>ais regulējums paredz, ka</w:t>
            </w:r>
            <w:r w:rsidR="006659E3" w:rsidRPr="00C941C5">
              <w:rPr>
                <w:rFonts w:ascii="Times New Roman" w:eastAsia="Times New Roman" w:hAnsi="Times New Roman" w:cs="Times New Roman"/>
                <w:sz w:val="24"/>
                <w:szCs w:val="24"/>
                <w:lang w:eastAsia="lv-LV"/>
              </w:rPr>
              <w:t xml:space="preserve"> </w:t>
            </w:r>
            <w:r w:rsidR="00EC0C00" w:rsidRPr="00C941C5">
              <w:rPr>
                <w:rFonts w:ascii="Times New Roman" w:eastAsia="Times New Roman" w:hAnsi="Times New Roman" w:cs="Times New Roman"/>
                <w:sz w:val="24"/>
                <w:szCs w:val="24"/>
                <w:lang w:eastAsia="lv-LV"/>
              </w:rPr>
              <w:t xml:space="preserve">šo noteikumu izpildei augstskola nodrošina atbilstošu kvalifikācijas eksāmena norises darba vidi un aprīkojumu. </w:t>
            </w:r>
            <w:r w:rsidR="00A20D7B" w:rsidRPr="00C941C5">
              <w:rPr>
                <w:rFonts w:ascii="Times New Roman" w:eastAsia="Times New Roman" w:hAnsi="Times New Roman" w:cs="Times New Roman"/>
                <w:sz w:val="24"/>
                <w:szCs w:val="24"/>
                <w:lang w:eastAsia="lv-LV"/>
              </w:rPr>
              <w:t xml:space="preserve">Minētais </w:t>
            </w:r>
            <w:r w:rsidRPr="00C941C5">
              <w:rPr>
                <w:rFonts w:ascii="Times New Roman" w:eastAsia="Times New Roman" w:hAnsi="Times New Roman" w:cs="Times New Roman"/>
                <w:sz w:val="24"/>
                <w:szCs w:val="24"/>
                <w:lang w:eastAsia="lv-LV"/>
              </w:rPr>
              <w:t>precizējums</w:t>
            </w:r>
            <w:r w:rsidR="00A20D7B" w:rsidRPr="00C941C5">
              <w:rPr>
                <w:rFonts w:ascii="Times New Roman" w:eastAsia="Times New Roman" w:hAnsi="Times New Roman" w:cs="Times New Roman"/>
                <w:sz w:val="24"/>
                <w:szCs w:val="24"/>
                <w:lang w:eastAsia="lv-LV"/>
              </w:rPr>
              <w:t xml:space="preserve"> paredz, ka augstskolai, lai savās telpās varētu nodrošināt kvalifikācijas eksāmena norisi, </w:t>
            </w:r>
            <w:r w:rsidR="00603159" w:rsidRPr="00C941C5">
              <w:rPr>
                <w:rFonts w:ascii="Times New Roman" w:eastAsia="Times New Roman" w:hAnsi="Times New Roman" w:cs="Times New Roman"/>
                <w:sz w:val="24"/>
                <w:szCs w:val="24"/>
                <w:lang w:eastAsia="lv-LV"/>
              </w:rPr>
              <w:t>ir jāspēj nodrošināt attiecīga darba vide un aprīkojums, piemēram, datori, iespēja noslēgt/nobloķēt interneta tīklus, neizmantot telefonus. Izstrādājot noteikumus Nr.</w:t>
            </w:r>
            <w:r w:rsidR="006659E3" w:rsidRPr="00C941C5">
              <w:rPr>
                <w:rFonts w:ascii="Times New Roman" w:eastAsia="Times New Roman" w:hAnsi="Times New Roman" w:cs="Times New Roman"/>
                <w:sz w:val="24"/>
                <w:szCs w:val="24"/>
                <w:lang w:eastAsia="lv-LV"/>
              </w:rPr>
              <w:t> </w:t>
            </w:r>
            <w:r w:rsidR="00603159" w:rsidRPr="00C941C5">
              <w:rPr>
                <w:rFonts w:ascii="Times New Roman" w:eastAsia="Times New Roman" w:hAnsi="Times New Roman" w:cs="Times New Roman"/>
                <w:sz w:val="24"/>
                <w:szCs w:val="24"/>
                <w:lang w:eastAsia="lv-LV"/>
              </w:rPr>
              <w:t xml:space="preserve">771, tika nolemts, ka Rīgas augstskolas kvalifikācijas eksāmenu kārtos Latvijas Universitātes Dabas mājā, kas atrodas Torņkalnā, jo tajā vienlaikus ir iespējams nodrošināt pietiekamu skaitu ar datoriem un iespējams noslēgt/nobloķēt interneta piekļuvi. </w:t>
            </w:r>
            <w:r w:rsidR="00603159" w:rsidRPr="00C941C5">
              <w:rPr>
                <w:rFonts w:ascii="Times New Roman" w:eastAsia="Times New Roman" w:hAnsi="Times New Roman" w:cs="Times New Roman"/>
                <w:sz w:val="24"/>
                <w:szCs w:val="24"/>
                <w:lang w:eastAsia="lv-LV"/>
              </w:rPr>
              <w:lastRenderedPageBreak/>
              <w:t xml:space="preserve">Attiecīgi, ja reģionālās augstskolas spēs nodrošināt tādus pašus kvalifikācijas eksāmena norises apstākļus, tad pastāv iespēja kvalifikācijas eksāmenu kārtot savas augstskolas telpās. Savukārt, ja reģionālās augstskolas minētos apstākļus nespēs nodrošināt, kvalifikācijas eksāmens arī reģionālajām augstskolām būs jākārto Rīgā. </w:t>
            </w:r>
          </w:p>
          <w:p w14:paraId="74AFF5D4" w14:textId="3D078C44" w:rsidR="00603159" w:rsidRPr="00C941C5" w:rsidRDefault="00CA55DA" w:rsidP="00253C23">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Ņemot vērā studējošo iebildumus un arī uzklausot augstskolu pārstāvju viedokļus, </w:t>
            </w:r>
            <w:r w:rsidR="00474963" w:rsidRPr="00C941C5">
              <w:rPr>
                <w:rFonts w:ascii="Times New Roman" w:eastAsia="Times New Roman" w:hAnsi="Times New Roman" w:cs="Times New Roman"/>
                <w:sz w:val="24"/>
                <w:szCs w:val="24"/>
                <w:lang w:eastAsia="lv-LV"/>
              </w:rPr>
              <w:t xml:space="preserve">precizēts kvalifikācijas eksāmena daļu kārtošanas biežums. </w:t>
            </w:r>
            <w:r w:rsidR="00253C23" w:rsidRPr="00C941C5">
              <w:rPr>
                <w:rFonts w:ascii="Times New Roman" w:eastAsia="Times New Roman" w:hAnsi="Times New Roman" w:cs="Times New Roman"/>
                <w:sz w:val="24"/>
                <w:szCs w:val="24"/>
                <w:lang w:eastAsia="lv-LV"/>
              </w:rPr>
              <w:t>Projekta 4</w:t>
            </w:r>
            <w:r w:rsidR="006D0E8C" w:rsidRPr="00C941C5">
              <w:rPr>
                <w:rFonts w:ascii="Times New Roman" w:eastAsia="Times New Roman" w:hAnsi="Times New Roman" w:cs="Times New Roman"/>
                <w:sz w:val="24"/>
                <w:szCs w:val="24"/>
                <w:lang w:eastAsia="lv-LV"/>
              </w:rPr>
              <w:t>6</w:t>
            </w:r>
            <w:r w:rsidR="00253C23" w:rsidRPr="00C941C5">
              <w:rPr>
                <w:rFonts w:ascii="Times New Roman" w:eastAsia="Times New Roman" w:hAnsi="Times New Roman" w:cs="Times New Roman"/>
                <w:sz w:val="24"/>
                <w:szCs w:val="24"/>
                <w:lang w:eastAsia="lv-LV"/>
              </w:rPr>
              <w:t>.</w:t>
            </w:r>
            <w:r w:rsidR="006659E3" w:rsidRPr="00C941C5">
              <w:rPr>
                <w:rFonts w:ascii="Times New Roman" w:eastAsia="Times New Roman" w:hAnsi="Times New Roman" w:cs="Times New Roman"/>
                <w:sz w:val="24"/>
                <w:szCs w:val="24"/>
                <w:lang w:eastAsia="lv-LV"/>
              </w:rPr>
              <w:t xml:space="preserve"> </w:t>
            </w:r>
            <w:r w:rsidR="00253C23" w:rsidRPr="00C941C5">
              <w:rPr>
                <w:rFonts w:ascii="Times New Roman" w:eastAsia="Times New Roman" w:hAnsi="Times New Roman" w:cs="Times New Roman"/>
                <w:sz w:val="24"/>
                <w:szCs w:val="24"/>
                <w:lang w:eastAsia="lv-LV"/>
              </w:rPr>
              <w:t xml:space="preserve">punkts paredz, ka </w:t>
            </w:r>
            <w:r w:rsidRPr="00C941C5">
              <w:rPr>
                <w:rFonts w:ascii="Times New Roman" w:eastAsia="Times New Roman" w:hAnsi="Times New Roman" w:cs="Times New Roman"/>
                <w:sz w:val="24"/>
                <w:szCs w:val="24"/>
                <w:lang w:eastAsia="lv-LV"/>
              </w:rPr>
              <w:t>kvalifikācijas eksāmenu organizē ne ilgāk kā divu nedēļu garumā, nodrošinot, ka pārtraukums starp kvalifikācijas eksāmena daļām ir vismaz viena diena. Tādējādi studējošajiem tiks noteikta vismaz viena brīva diena starp kvalifikācijas eksāmena daļu kārtošanas, kuras ietv</w:t>
            </w:r>
            <w:r w:rsidR="00707C58" w:rsidRPr="00C941C5">
              <w:rPr>
                <w:rFonts w:ascii="Times New Roman" w:eastAsia="Times New Roman" w:hAnsi="Times New Roman" w:cs="Times New Roman"/>
                <w:sz w:val="24"/>
                <w:szCs w:val="24"/>
                <w:lang w:eastAsia="lv-LV"/>
              </w:rPr>
              <w:t>a</w:t>
            </w:r>
            <w:r w:rsidRPr="00C941C5">
              <w:rPr>
                <w:rFonts w:ascii="Times New Roman" w:eastAsia="Times New Roman" w:hAnsi="Times New Roman" w:cs="Times New Roman"/>
                <w:sz w:val="24"/>
                <w:szCs w:val="24"/>
                <w:lang w:eastAsia="lv-LV"/>
              </w:rPr>
              <w:t xml:space="preserve">ros studējošais varēs atpūsties vai pievērsties nākamās kvalifikācijas eksāmena daļas vielas apguvei. Kopā kvalifikācijas eksāmenu veido piecas daļas </w:t>
            </w:r>
            <w:r w:rsidR="00253C23" w:rsidRPr="00C941C5">
              <w:rPr>
                <w:rFonts w:ascii="Times New Roman" w:eastAsia="Times New Roman" w:hAnsi="Times New Roman" w:cs="Times New Roman"/>
                <w:sz w:val="24"/>
                <w:szCs w:val="24"/>
                <w:lang w:eastAsia="lv-LV"/>
              </w:rPr>
              <w:t>projekta</w:t>
            </w:r>
            <w:r w:rsidRPr="00C941C5">
              <w:rPr>
                <w:rFonts w:ascii="Times New Roman" w:eastAsia="Times New Roman" w:hAnsi="Times New Roman" w:cs="Times New Roman"/>
                <w:sz w:val="24"/>
                <w:szCs w:val="24"/>
                <w:lang w:eastAsia="lv-LV"/>
              </w:rPr>
              <w:t xml:space="preserve"> </w:t>
            </w:r>
            <w:r w:rsidR="00FD0A8E" w:rsidRPr="00C941C5">
              <w:rPr>
                <w:rFonts w:ascii="Times New Roman" w:eastAsia="Times New Roman" w:hAnsi="Times New Roman" w:cs="Times New Roman"/>
                <w:sz w:val="24"/>
                <w:szCs w:val="24"/>
                <w:lang w:eastAsia="lv-LV"/>
              </w:rPr>
              <w:t>2</w:t>
            </w:r>
            <w:r w:rsidR="006D0E8C" w:rsidRPr="00C941C5">
              <w:rPr>
                <w:rFonts w:ascii="Times New Roman" w:eastAsia="Times New Roman" w:hAnsi="Times New Roman" w:cs="Times New Roman"/>
                <w:sz w:val="24"/>
                <w:szCs w:val="24"/>
                <w:lang w:eastAsia="lv-LV"/>
              </w:rPr>
              <w:t>4</w:t>
            </w:r>
            <w:r w:rsidRPr="00C941C5">
              <w:rPr>
                <w:rFonts w:ascii="Times New Roman" w:eastAsia="Times New Roman" w:hAnsi="Times New Roman" w:cs="Times New Roman"/>
                <w:sz w:val="24"/>
                <w:szCs w:val="24"/>
                <w:lang w:eastAsia="lv-LV"/>
              </w:rPr>
              <w:t>.</w:t>
            </w:r>
            <w:r w:rsidR="0084472A"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punktā noteiktajās jomās; katrā jomā trīs teorētiskās daļas jautājumi un viens uzdevums (kāzuss), kas kā viena daļa tiks kārto</w:t>
            </w:r>
            <w:r w:rsidR="0002590C" w:rsidRPr="00C941C5">
              <w:rPr>
                <w:rFonts w:ascii="Times New Roman" w:eastAsia="Times New Roman" w:hAnsi="Times New Roman" w:cs="Times New Roman"/>
                <w:sz w:val="24"/>
                <w:szCs w:val="24"/>
                <w:lang w:eastAsia="lv-LV"/>
              </w:rPr>
              <w:t>t</w:t>
            </w:r>
            <w:r w:rsidRPr="00C941C5">
              <w:rPr>
                <w:rFonts w:ascii="Times New Roman" w:eastAsia="Times New Roman" w:hAnsi="Times New Roman" w:cs="Times New Roman"/>
                <w:sz w:val="24"/>
                <w:szCs w:val="24"/>
                <w:lang w:eastAsia="lv-LV"/>
              </w:rPr>
              <w:t>s vienā dienā.</w:t>
            </w:r>
          </w:p>
          <w:p w14:paraId="0CBE8232" w14:textId="44D9E5BD" w:rsidR="005D35F0" w:rsidRPr="00C941C5" w:rsidRDefault="005D35F0" w:rsidP="005D35F0">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 xml:space="preserve">Projekta </w:t>
            </w:r>
            <w:r w:rsidR="00FD0A8E" w:rsidRPr="00C941C5">
              <w:rPr>
                <w:rFonts w:ascii="Times New Roman" w:eastAsia="Times New Roman" w:hAnsi="Times New Roman" w:cs="Times New Roman"/>
                <w:sz w:val="24"/>
                <w:szCs w:val="24"/>
                <w:lang w:eastAsia="lv-LV"/>
              </w:rPr>
              <w:t>4</w:t>
            </w:r>
            <w:r w:rsidR="006D0E8C" w:rsidRPr="00C941C5">
              <w:rPr>
                <w:rFonts w:ascii="Times New Roman" w:eastAsia="Times New Roman" w:hAnsi="Times New Roman" w:cs="Times New Roman"/>
                <w:sz w:val="24"/>
                <w:szCs w:val="24"/>
                <w:lang w:eastAsia="lv-LV"/>
              </w:rPr>
              <w:t>8</w:t>
            </w:r>
            <w:r w:rsidRPr="00C941C5">
              <w:rPr>
                <w:rFonts w:ascii="Times New Roman" w:eastAsia="Times New Roman" w:hAnsi="Times New Roman" w:cs="Times New Roman"/>
                <w:sz w:val="24"/>
                <w:szCs w:val="24"/>
                <w:lang w:eastAsia="lv-LV"/>
              </w:rPr>
              <w:t>.</w:t>
            </w:r>
            <w:r w:rsidR="006659E3"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punkts paredz, ka kvalifikācijas eksāmena vērtēšanas metodiku apstiprina komisija. Kvalifikācijas eksāmena vērtēšanas metodika saistīta ar konkrēto kvalifikācijas eksāmena jautājumu un uzdevumu (kāzusu) vērtēšanu, proti, tā tiks izstrādā neilgi pirms kvalifikācijas eksāmena norises vai tieši tā norises laikā. Tā nodrošinās objektivitāti kvalifikācijas eksāmena vērtēšanā komisijas locekļu vidū. </w:t>
            </w:r>
          </w:p>
          <w:p w14:paraId="23A2765B" w14:textId="2144F1C6" w:rsidR="006D0E8C" w:rsidRPr="00C941C5" w:rsidRDefault="006D0E8C" w:rsidP="006D0E8C">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Kvalifikācijas eksāmena vērtēšanas metodikā tiks noteikti konkrēto teorijas jautājumu un uzdevumu (kāzusu) vērtēšanas principi. Minēto metodiku izstrādās komisija savam darbam, proti, kā vadlīnijas vai iekšējo dokumentu.</w:t>
            </w:r>
          </w:p>
          <w:p w14:paraId="7AB6F9A4" w14:textId="26278993" w:rsidR="00253C23" w:rsidRPr="00C941C5" w:rsidRDefault="0002590C" w:rsidP="00253C23">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w:t>
            </w:r>
            <w:r w:rsidR="00CA55DA" w:rsidRPr="00C941C5">
              <w:rPr>
                <w:rFonts w:ascii="Times New Roman" w:eastAsia="Times New Roman" w:hAnsi="Times New Roman" w:cs="Times New Roman"/>
                <w:sz w:val="24"/>
                <w:szCs w:val="24"/>
                <w:lang w:eastAsia="lv-LV"/>
              </w:rPr>
              <w:t xml:space="preserve">rojekta </w:t>
            </w:r>
            <w:r w:rsidR="005D35F0" w:rsidRPr="00C941C5">
              <w:rPr>
                <w:rFonts w:ascii="Times New Roman" w:eastAsia="Times New Roman" w:hAnsi="Times New Roman" w:cs="Times New Roman"/>
                <w:sz w:val="24"/>
                <w:szCs w:val="24"/>
                <w:lang w:eastAsia="lv-LV"/>
              </w:rPr>
              <w:t>5</w:t>
            </w:r>
            <w:r w:rsidR="006D0E8C" w:rsidRPr="00C941C5">
              <w:rPr>
                <w:rFonts w:ascii="Times New Roman" w:eastAsia="Times New Roman" w:hAnsi="Times New Roman" w:cs="Times New Roman"/>
                <w:sz w:val="24"/>
                <w:szCs w:val="24"/>
                <w:lang w:eastAsia="lv-LV"/>
              </w:rPr>
              <w:t>1</w:t>
            </w:r>
            <w:r w:rsidR="00253C23" w:rsidRPr="00C941C5">
              <w:rPr>
                <w:rFonts w:ascii="Times New Roman" w:eastAsia="Times New Roman" w:hAnsi="Times New Roman" w:cs="Times New Roman"/>
                <w:sz w:val="24"/>
                <w:szCs w:val="24"/>
                <w:lang w:eastAsia="lv-LV"/>
              </w:rPr>
              <w:t>.</w:t>
            </w:r>
            <w:r w:rsidR="005D35F0" w:rsidRPr="00C941C5">
              <w:rPr>
                <w:rFonts w:ascii="Times New Roman" w:eastAsia="Times New Roman" w:hAnsi="Times New Roman" w:cs="Times New Roman"/>
                <w:sz w:val="24"/>
                <w:szCs w:val="24"/>
                <w:lang w:eastAsia="lv-LV"/>
              </w:rPr>
              <w:t> </w:t>
            </w:r>
            <w:r w:rsidR="00253C23" w:rsidRPr="00C941C5">
              <w:rPr>
                <w:rFonts w:ascii="Times New Roman" w:eastAsia="Times New Roman" w:hAnsi="Times New Roman" w:cs="Times New Roman"/>
                <w:sz w:val="24"/>
                <w:szCs w:val="24"/>
                <w:lang w:eastAsia="lv-LV"/>
              </w:rPr>
              <w:t>punktā un pielikumā</w:t>
            </w:r>
            <w:r w:rsidR="00CA55DA" w:rsidRPr="00C941C5">
              <w:rPr>
                <w:rFonts w:ascii="Times New Roman" w:eastAsia="Times New Roman" w:hAnsi="Times New Roman" w:cs="Times New Roman"/>
                <w:sz w:val="24"/>
                <w:szCs w:val="24"/>
                <w:lang w:eastAsia="lv-LV"/>
              </w:rPr>
              <w:t xml:space="preserve"> paredzēts regulējums par kvalifikācijas eksāmena vērtēšanu. Proti, pielikumā noteikt</w:t>
            </w:r>
            <w:r w:rsidR="001C0443" w:rsidRPr="00C941C5">
              <w:rPr>
                <w:rFonts w:ascii="Times New Roman" w:eastAsia="Times New Roman" w:hAnsi="Times New Roman" w:cs="Times New Roman"/>
                <w:sz w:val="24"/>
                <w:szCs w:val="24"/>
                <w:lang w:eastAsia="lv-LV"/>
              </w:rPr>
              <w:t>s</w:t>
            </w:r>
            <w:r w:rsidR="00CA55DA" w:rsidRPr="00C941C5">
              <w:rPr>
                <w:rFonts w:ascii="Times New Roman" w:eastAsia="Times New Roman" w:hAnsi="Times New Roman" w:cs="Times New Roman"/>
                <w:sz w:val="24"/>
                <w:szCs w:val="24"/>
                <w:lang w:eastAsia="lv-LV"/>
              </w:rPr>
              <w:t xml:space="preserve"> kvalifikācijas eksāmena </w:t>
            </w:r>
            <w:r w:rsidR="001C0443" w:rsidRPr="00C941C5">
              <w:rPr>
                <w:rFonts w:ascii="Times New Roman" w:eastAsia="Times New Roman" w:hAnsi="Times New Roman" w:cs="Times New Roman"/>
                <w:sz w:val="24"/>
                <w:szCs w:val="24"/>
                <w:lang w:eastAsia="lv-LV"/>
              </w:rPr>
              <w:t>vērtējumu apraksts</w:t>
            </w:r>
            <w:r w:rsidR="00CA55DA" w:rsidRPr="00C941C5">
              <w:rPr>
                <w:rFonts w:ascii="Times New Roman" w:eastAsia="Times New Roman" w:hAnsi="Times New Roman" w:cs="Times New Roman"/>
                <w:sz w:val="24"/>
                <w:szCs w:val="24"/>
                <w:lang w:eastAsia="lv-LV"/>
              </w:rPr>
              <w:t xml:space="preserve">. </w:t>
            </w:r>
            <w:r w:rsidR="00DD1EA2" w:rsidRPr="00C941C5">
              <w:rPr>
                <w:rFonts w:ascii="Times New Roman" w:eastAsia="Times New Roman" w:hAnsi="Times New Roman" w:cs="Times New Roman"/>
                <w:sz w:val="24"/>
                <w:szCs w:val="24"/>
                <w:lang w:eastAsia="lv-LV"/>
              </w:rPr>
              <w:t xml:space="preserve">Komisijas loceklis atbildes uz kvalifikācijas teorētiskās daļas jautājumiem un praktiskās daļas uzdevumu (kāzusu) vērtēs 10 ballu sistēmā. </w:t>
            </w:r>
          </w:p>
          <w:p w14:paraId="55D5899E" w14:textId="63185430" w:rsidR="001C0443" w:rsidRPr="00C941C5" w:rsidRDefault="001C0443" w:rsidP="00253C23">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 54.</w:t>
            </w:r>
            <w:r w:rsidR="008554A9" w:rsidRPr="00C941C5">
              <w:rPr>
                <w:rFonts w:ascii="Times New Roman" w:eastAsia="Times New Roman" w:hAnsi="Times New Roman" w:cs="Times New Roman"/>
                <w:sz w:val="24"/>
                <w:szCs w:val="24"/>
                <w:lang w:eastAsia="lv-LV"/>
              </w:rPr>
              <w:t> </w:t>
            </w:r>
            <w:r w:rsidRPr="00C941C5">
              <w:rPr>
                <w:rFonts w:ascii="Times New Roman" w:eastAsia="Times New Roman" w:hAnsi="Times New Roman" w:cs="Times New Roman"/>
                <w:sz w:val="24"/>
                <w:szCs w:val="24"/>
                <w:lang w:eastAsia="lv-LV"/>
              </w:rPr>
              <w:t xml:space="preserve">punkts paredz, ka kvalifikācijas eksāmena rezultātus paziņo elektroniskajā vidē viena mēneša laikā no kvalifikācijas eksāmena pirmās daļas (jomas) kārtošanas dienas. </w:t>
            </w:r>
          </w:p>
          <w:p w14:paraId="30C06537" w14:textId="24E3EA8C" w:rsidR="00926308" w:rsidRPr="00C941C5" w:rsidRDefault="00253C23" w:rsidP="00926308">
            <w:pPr>
              <w:spacing w:after="0" w:line="240" w:lineRule="auto"/>
              <w:ind w:firstLine="720"/>
              <w:jc w:val="both"/>
              <w:rPr>
                <w:rFonts w:ascii="Times New Roman" w:eastAsia="Times New Roman" w:hAnsi="Times New Roman" w:cs="Times New Roman"/>
                <w:sz w:val="24"/>
                <w:szCs w:val="24"/>
                <w:lang w:eastAsia="lv-LV"/>
              </w:rPr>
            </w:pPr>
            <w:r w:rsidRPr="00C941C5">
              <w:rPr>
                <w:rFonts w:ascii="Times New Roman" w:eastAsia="Times New Roman" w:hAnsi="Times New Roman" w:cs="Times New Roman"/>
                <w:sz w:val="24"/>
                <w:szCs w:val="24"/>
                <w:lang w:eastAsia="lv-LV"/>
              </w:rPr>
              <w:t>Projekta</w:t>
            </w:r>
            <w:r w:rsidR="00A03053" w:rsidRPr="00C941C5">
              <w:rPr>
                <w:rFonts w:ascii="Times New Roman" w:eastAsia="Times New Roman" w:hAnsi="Times New Roman" w:cs="Times New Roman"/>
                <w:sz w:val="24"/>
                <w:szCs w:val="24"/>
                <w:lang w:eastAsia="lv-LV"/>
              </w:rPr>
              <w:t xml:space="preserve"> </w:t>
            </w:r>
            <w:r w:rsidR="005D35F0" w:rsidRPr="00C941C5">
              <w:rPr>
                <w:rFonts w:ascii="Times New Roman" w:eastAsia="Times New Roman" w:hAnsi="Times New Roman" w:cs="Times New Roman"/>
                <w:sz w:val="24"/>
                <w:szCs w:val="24"/>
                <w:lang w:eastAsia="lv-LV"/>
              </w:rPr>
              <w:t>5</w:t>
            </w:r>
            <w:r w:rsidR="006D0E8C" w:rsidRPr="00C941C5">
              <w:rPr>
                <w:rFonts w:ascii="Times New Roman" w:eastAsia="Times New Roman" w:hAnsi="Times New Roman" w:cs="Times New Roman"/>
                <w:sz w:val="24"/>
                <w:szCs w:val="24"/>
                <w:lang w:eastAsia="lv-LV"/>
              </w:rPr>
              <w:t>5</w:t>
            </w:r>
            <w:r w:rsidR="00A03053" w:rsidRPr="00C941C5">
              <w:rPr>
                <w:rFonts w:ascii="Times New Roman" w:eastAsia="Times New Roman" w:hAnsi="Times New Roman" w:cs="Times New Roman"/>
                <w:sz w:val="24"/>
                <w:szCs w:val="24"/>
                <w:lang w:eastAsia="lv-LV"/>
              </w:rPr>
              <w:t>.</w:t>
            </w:r>
            <w:r w:rsidR="0084472A" w:rsidRPr="00C941C5">
              <w:rPr>
                <w:rFonts w:ascii="Times New Roman" w:eastAsia="Times New Roman" w:hAnsi="Times New Roman" w:cs="Times New Roman"/>
                <w:sz w:val="24"/>
                <w:szCs w:val="24"/>
                <w:lang w:eastAsia="lv-LV"/>
              </w:rPr>
              <w:t> </w:t>
            </w:r>
            <w:r w:rsidR="00A03053" w:rsidRPr="00C941C5">
              <w:rPr>
                <w:rFonts w:ascii="Times New Roman" w:eastAsia="Times New Roman" w:hAnsi="Times New Roman" w:cs="Times New Roman"/>
                <w:sz w:val="24"/>
                <w:szCs w:val="24"/>
                <w:lang w:eastAsia="lv-LV"/>
              </w:rPr>
              <w:t>punktā ietvert</w:t>
            </w:r>
            <w:r w:rsidRPr="00C941C5">
              <w:rPr>
                <w:rFonts w:ascii="Times New Roman" w:eastAsia="Times New Roman" w:hAnsi="Times New Roman" w:cs="Times New Roman"/>
                <w:sz w:val="24"/>
                <w:szCs w:val="24"/>
                <w:lang w:eastAsia="lv-LV"/>
              </w:rPr>
              <w:t>ai</w:t>
            </w:r>
            <w:r w:rsidR="00A03053" w:rsidRPr="00C941C5">
              <w:rPr>
                <w:rFonts w:ascii="Times New Roman" w:eastAsia="Times New Roman" w:hAnsi="Times New Roman" w:cs="Times New Roman"/>
                <w:sz w:val="24"/>
                <w:szCs w:val="24"/>
                <w:lang w:eastAsia="lv-LV"/>
              </w:rPr>
              <w:t xml:space="preserve">s regulējums </w:t>
            </w:r>
            <w:r w:rsidRPr="00C941C5">
              <w:rPr>
                <w:rFonts w:ascii="Times New Roman" w:eastAsia="Times New Roman" w:hAnsi="Times New Roman" w:cs="Times New Roman"/>
                <w:sz w:val="24"/>
                <w:szCs w:val="24"/>
                <w:lang w:eastAsia="lv-LV"/>
              </w:rPr>
              <w:t xml:space="preserve">precizēts, nosakot, ka </w:t>
            </w:r>
            <w:r w:rsidR="00A03053" w:rsidRPr="00C941C5">
              <w:rPr>
                <w:rFonts w:ascii="Times New Roman" w:eastAsia="Times New Roman" w:hAnsi="Times New Roman" w:cs="Times New Roman"/>
                <w:sz w:val="24"/>
                <w:szCs w:val="24"/>
                <w:lang w:eastAsia="lv-LV"/>
              </w:rPr>
              <w:t>komisijas priekšsēdētājs katrā no apstrīdēšanas gadījumiem apstiprina apelācijas komisiju trīs locekļu sastāvā.</w:t>
            </w:r>
          </w:p>
        </w:tc>
      </w:tr>
      <w:tr w:rsidR="00DA326E" w:rsidRPr="00BC2633" w14:paraId="1AA028D9" w14:textId="77777777" w:rsidTr="006C3F7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629AD28" w:rsidR="004D15A9" w:rsidRPr="00BC2633" w:rsidRDefault="00E3415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602"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2" w:type="pct"/>
            <w:tcBorders>
              <w:top w:val="outset" w:sz="6" w:space="0" w:color="414142"/>
              <w:left w:val="outset" w:sz="6" w:space="0" w:color="414142"/>
              <w:bottom w:val="outset" w:sz="6" w:space="0" w:color="414142"/>
              <w:right w:val="outset" w:sz="6" w:space="0" w:color="414142"/>
            </w:tcBorders>
            <w:hideMark/>
          </w:tcPr>
          <w:p w14:paraId="6EFE964F" w14:textId="77777777" w:rsidR="00AA1D80" w:rsidRPr="00B21EDB" w:rsidRDefault="00AA1D80" w:rsidP="00AA1D80">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Tieslietu ministrija.</w:t>
            </w:r>
          </w:p>
          <w:p w14:paraId="09DA66A3" w14:textId="1CDD52BC" w:rsidR="004D15A9" w:rsidRPr="00BC2633" w:rsidRDefault="004D15A9" w:rsidP="00AA1D80">
            <w:pPr>
              <w:spacing w:after="0" w:line="240" w:lineRule="auto"/>
              <w:jc w:val="both"/>
              <w:rPr>
                <w:rFonts w:ascii="Times New Roman" w:eastAsia="Times New Roman" w:hAnsi="Times New Roman" w:cs="Times New Roman"/>
                <w:sz w:val="24"/>
                <w:szCs w:val="24"/>
                <w:lang w:eastAsia="lv-LV"/>
              </w:rPr>
            </w:pPr>
          </w:p>
        </w:tc>
      </w:tr>
      <w:tr w:rsidR="00DA326E" w:rsidRPr="00BC2633" w14:paraId="4416C82A" w14:textId="77777777" w:rsidTr="006C3F78">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602"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2" w:type="pct"/>
            <w:tcBorders>
              <w:top w:val="outset" w:sz="6" w:space="0" w:color="414142"/>
              <w:left w:val="outset" w:sz="6" w:space="0" w:color="414142"/>
              <w:bottom w:val="outset" w:sz="6" w:space="0" w:color="414142"/>
              <w:right w:val="outset" w:sz="6" w:space="0" w:color="414142"/>
            </w:tcBorders>
            <w:hideMark/>
          </w:tcPr>
          <w:p w14:paraId="545C8E91" w14:textId="5B4CC73B" w:rsidR="00B606C9" w:rsidRDefault="00B606C9" w:rsidP="00C31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kas veidosies uz vienu studējošo, kas vēlas iegūt jurista kvalifikāciju (aprēķinu skatīt zemāk).</w:t>
            </w:r>
          </w:p>
          <w:p w14:paraId="0DF38308" w14:textId="136D1860" w:rsidR="00C31A94" w:rsidRDefault="00C31A94" w:rsidP="00C31A94">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Minēto summu veido kvalifikācijas eksāmena ieviešanas izmaksas (galvenokārt saistībā ar komisijas darbības nodrošināšanu).</w:t>
            </w:r>
          </w:p>
          <w:p w14:paraId="1042D7C2" w14:textId="77777777" w:rsidR="001A5826" w:rsidRPr="00A36896" w:rsidRDefault="001A5826" w:rsidP="00C31A94">
            <w:pPr>
              <w:spacing w:after="0" w:line="240" w:lineRule="auto"/>
              <w:jc w:val="both"/>
              <w:rPr>
                <w:rFonts w:ascii="Times New Roman" w:eastAsia="Times New Roman" w:hAnsi="Times New Roman" w:cs="Times New Roman"/>
                <w:sz w:val="24"/>
                <w:szCs w:val="24"/>
                <w:lang w:eastAsia="lv-LV"/>
              </w:rPr>
            </w:pPr>
          </w:p>
          <w:tbl>
            <w:tblPr>
              <w:tblW w:w="5778" w:type="dxa"/>
              <w:tblLayout w:type="fixed"/>
              <w:tblLook w:val="04A0" w:firstRow="1" w:lastRow="0" w:firstColumn="1" w:lastColumn="0" w:noHBand="0" w:noVBand="1"/>
            </w:tblPr>
            <w:tblGrid>
              <w:gridCol w:w="2376"/>
              <w:gridCol w:w="1418"/>
              <w:gridCol w:w="1984"/>
            </w:tblGrid>
            <w:tr w:rsidR="00C31A94" w:rsidRPr="00B21EDB" w14:paraId="43D32CDF" w14:textId="77777777" w:rsidTr="004B3386">
              <w:trPr>
                <w:trHeight w:val="750"/>
              </w:trPr>
              <w:tc>
                <w:tcPr>
                  <w:tcW w:w="23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F6868F" w14:textId="77777777" w:rsidR="00C31A94" w:rsidRPr="00B21EDB" w:rsidRDefault="00C31A94" w:rsidP="00C31A94">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Izmaksas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950A6E" w14:textId="77777777" w:rsidR="00C31A94" w:rsidRPr="00B21EDB" w:rsidRDefault="00C31A94" w:rsidP="00C31A94">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Pastāvīgās izmaksas </w:t>
                  </w:r>
                </w:p>
                <w:p w14:paraId="65BE0476" w14:textId="77777777" w:rsidR="00C31A94" w:rsidRPr="00B21EDB" w:rsidRDefault="00C31A94" w:rsidP="00C31A94">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BE0F4A" w14:textId="77777777" w:rsidR="00C31A94" w:rsidRPr="00B21EDB" w:rsidRDefault="00C31A94" w:rsidP="00C31A94">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Mainīgās izmaksas</w:t>
                  </w:r>
                </w:p>
                <w:p w14:paraId="275D5D5B" w14:textId="77777777" w:rsidR="00C31A94" w:rsidRPr="00B21EDB" w:rsidRDefault="00C31A94" w:rsidP="00C31A94">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r>
            <w:tr w:rsidR="00C31A94" w:rsidRPr="004736F9" w14:paraId="1AD6EC3B" w14:textId="77777777" w:rsidTr="004B338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456D" w14:textId="77777777" w:rsidR="00C31A94" w:rsidRPr="00B21EDB" w:rsidRDefault="00C31A94" w:rsidP="00C31A94">
                  <w:pPr>
                    <w:pStyle w:val="Sarakstarindkopa"/>
                    <w:numPr>
                      <w:ilvl w:val="0"/>
                      <w:numId w:val="2"/>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Atlīdzība komisijas locekļiem</w:t>
                  </w:r>
                </w:p>
              </w:tc>
              <w:tc>
                <w:tcPr>
                  <w:tcW w:w="1418" w:type="dxa"/>
                  <w:tcBorders>
                    <w:top w:val="nil"/>
                    <w:left w:val="nil"/>
                    <w:bottom w:val="single" w:sz="4" w:space="0" w:color="auto"/>
                    <w:right w:val="single" w:sz="4" w:space="0" w:color="auto"/>
                  </w:tcBorders>
                  <w:shd w:val="clear" w:color="auto" w:fill="auto"/>
                  <w:noWrap/>
                  <w:vAlign w:val="center"/>
                  <w:hideMark/>
                </w:tcPr>
                <w:p w14:paraId="560D14FA"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850</w:t>
                  </w:r>
                </w:p>
              </w:tc>
              <w:tc>
                <w:tcPr>
                  <w:tcW w:w="1984" w:type="dxa"/>
                  <w:tcBorders>
                    <w:top w:val="nil"/>
                    <w:left w:val="nil"/>
                    <w:bottom w:val="single" w:sz="4" w:space="0" w:color="auto"/>
                    <w:right w:val="single" w:sz="4" w:space="0" w:color="auto"/>
                  </w:tcBorders>
                  <w:shd w:val="clear" w:color="auto" w:fill="auto"/>
                  <w:noWrap/>
                  <w:vAlign w:val="center"/>
                  <w:hideMark/>
                </w:tcPr>
                <w:p w14:paraId="4EEAA55E"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C31A94" w:rsidRPr="004736F9" w14:paraId="36A5F9C0" w14:textId="77777777" w:rsidTr="004B338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482F" w14:textId="77777777" w:rsidR="00C31A94" w:rsidRPr="00B21EDB" w:rsidRDefault="00C31A94" w:rsidP="00C31A94">
                  <w:pPr>
                    <w:pStyle w:val="Sarakstarindkopa"/>
                    <w:numPr>
                      <w:ilvl w:val="0"/>
                      <w:numId w:val="2"/>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Komisijas materiāltehniskais nodrošinājums</w:t>
                  </w:r>
                </w:p>
              </w:tc>
              <w:tc>
                <w:tcPr>
                  <w:tcW w:w="1418" w:type="dxa"/>
                  <w:tcBorders>
                    <w:top w:val="nil"/>
                    <w:left w:val="nil"/>
                    <w:bottom w:val="single" w:sz="4" w:space="0" w:color="auto"/>
                    <w:right w:val="single" w:sz="4" w:space="0" w:color="auto"/>
                  </w:tcBorders>
                  <w:shd w:val="clear" w:color="auto" w:fill="auto"/>
                  <w:noWrap/>
                  <w:vAlign w:val="center"/>
                  <w:hideMark/>
                </w:tcPr>
                <w:p w14:paraId="77AB081D"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1671</w:t>
                  </w:r>
                </w:p>
              </w:tc>
              <w:tc>
                <w:tcPr>
                  <w:tcW w:w="1984" w:type="dxa"/>
                  <w:tcBorders>
                    <w:top w:val="nil"/>
                    <w:left w:val="nil"/>
                    <w:bottom w:val="single" w:sz="4" w:space="0" w:color="auto"/>
                    <w:right w:val="single" w:sz="4" w:space="0" w:color="auto"/>
                  </w:tcBorders>
                  <w:shd w:val="clear" w:color="auto" w:fill="auto"/>
                  <w:noWrap/>
                  <w:vAlign w:val="center"/>
                  <w:hideMark/>
                </w:tcPr>
                <w:p w14:paraId="776346F4"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p>
              </w:tc>
            </w:tr>
            <w:tr w:rsidR="00C31A94" w:rsidRPr="004736F9" w14:paraId="4EF56027" w14:textId="77777777" w:rsidTr="004B338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AFF03" w14:textId="77777777" w:rsidR="00C31A94" w:rsidRPr="00B21EDB" w:rsidRDefault="00C31A94" w:rsidP="00C31A94">
                  <w:pPr>
                    <w:pStyle w:val="Sarakstarindkopa"/>
                    <w:numPr>
                      <w:ilvl w:val="0"/>
                      <w:numId w:val="2"/>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Informācijas sistēmas uzturēšana</w:t>
                  </w:r>
                </w:p>
              </w:tc>
              <w:tc>
                <w:tcPr>
                  <w:tcW w:w="1418" w:type="dxa"/>
                  <w:tcBorders>
                    <w:top w:val="nil"/>
                    <w:left w:val="nil"/>
                    <w:bottom w:val="single" w:sz="4" w:space="0" w:color="auto"/>
                    <w:right w:val="single" w:sz="4" w:space="0" w:color="auto"/>
                  </w:tcBorders>
                  <w:shd w:val="clear" w:color="auto" w:fill="auto"/>
                  <w:noWrap/>
                  <w:vAlign w:val="center"/>
                  <w:hideMark/>
                </w:tcPr>
                <w:p w14:paraId="5BC5DBC6"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508D11EC"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p>
              </w:tc>
            </w:tr>
            <w:tr w:rsidR="00C31A94" w:rsidRPr="004736F9" w14:paraId="6EF0ED03" w14:textId="77777777" w:rsidTr="004B3386">
              <w:trPr>
                <w:trHeight w:val="375"/>
              </w:trPr>
              <w:tc>
                <w:tcPr>
                  <w:tcW w:w="23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7694B5" w14:textId="77777777" w:rsidR="00C31A94" w:rsidRPr="00B21EDB" w:rsidRDefault="00C31A94" w:rsidP="00C31A94">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kopā</w:t>
                  </w:r>
                </w:p>
              </w:tc>
              <w:tc>
                <w:tcPr>
                  <w:tcW w:w="1418" w:type="dxa"/>
                  <w:tcBorders>
                    <w:top w:val="nil"/>
                    <w:left w:val="nil"/>
                    <w:bottom w:val="single" w:sz="4" w:space="0" w:color="auto"/>
                    <w:right w:val="single" w:sz="4" w:space="0" w:color="auto"/>
                  </w:tcBorders>
                  <w:shd w:val="clear" w:color="auto" w:fill="auto"/>
                  <w:noWrap/>
                  <w:vAlign w:val="center"/>
                  <w:hideMark/>
                </w:tcPr>
                <w:p w14:paraId="7E33A3BD"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47</w:t>
                  </w:r>
                  <w:r>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521</w:t>
                  </w:r>
                </w:p>
              </w:tc>
              <w:tc>
                <w:tcPr>
                  <w:tcW w:w="1984" w:type="dxa"/>
                  <w:tcBorders>
                    <w:top w:val="nil"/>
                    <w:left w:val="nil"/>
                    <w:bottom w:val="single" w:sz="4" w:space="0" w:color="auto"/>
                    <w:right w:val="single" w:sz="4" w:space="0" w:color="auto"/>
                  </w:tcBorders>
                  <w:shd w:val="clear" w:color="auto" w:fill="auto"/>
                  <w:noWrap/>
                  <w:vAlign w:val="center"/>
                  <w:hideMark/>
                </w:tcPr>
                <w:p w14:paraId="1E1D8E83" w14:textId="77777777" w:rsidR="00C31A94" w:rsidRPr="004736F9" w:rsidRDefault="00C31A94" w:rsidP="00C31A94">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C31A94" w:rsidRPr="00B21EDB" w14:paraId="508DEE2C" w14:textId="77777777" w:rsidTr="004B3386">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797D" w14:textId="77777777" w:rsidR="00C31A94" w:rsidRPr="00B21EDB" w:rsidRDefault="00C31A94" w:rsidP="00C31A94">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Aptu</w:t>
                  </w:r>
                  <w:r>
                    <w:rPr>
                      <w:rFonts w:ascii="Times New Roman" w:eastAsia="Times New Roman" w:hAnsi="Times New Roman" w:cs="Times New Roman"/>
                      <w:sz w:val="24"/>
                      <w:szCs w:val="24"/>
                      <w:lang w:eastAsia="lv-LV"/>
                    </w:rPr>
                    <w:t>venās izmaksas uz vienu studējošo (kopā 650 studējošie</w:t>
                  </w:r>
                  <w:r w:rsidRPr="00B21EDB">
                    <w:rPr>
                      <w:rFonts w:ascii="Times New Roman" w:eastAsia="Times New Roman" w:hAnsi="Times New Roman" w:cs="Times New Roman"/>
                      <w:sz w:val="24"/>
                      <w:szCs w:val="24"/>
                      <w:lang w:eastAsia="lv-LV"/>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5E6B61" w14:textId="77777777" w:rsidR="00C31A94" w:rsidRPr="00B21EDB" w:rsidRDefault="00C31A94" w:rsidP="00C31A9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4A4035" w14:textId="77777777" w:rsidR="00C31A94" w:rsidRPr="00B21EDB" w:rsidRDefault="00C31A94" w:rsidP="00C31A9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p>
              </w:tc>
            </w:tr>
            <w:tr w:rsidR="00C31A94" w14:paraId="3B4028CE" w14:textId="77777777" w:rsidTr="004B3386">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6FF6DB4F" w14:textId="77777777" w:rsidR="00C31A94" w:rsidRPr="00B21EDB" w:rsidRDefault="00C31A94" w:rsidP="00C31A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uz vienu studējošo kopā:</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6C4850EB" w14:textId="77777777" w:rsidR="00C31A94" w:rsidRDefault="00C31A94" w:rsidP="00C31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(25 850:650)+84=40+84=</w:t>
                  </w:r>
                </w:p>
                <w:p w14:paraId="2D5544E1" w14:textId="77777777" w:rsidR="00C31A94" w:rsidRDefault="00C31A94" w:rsidP="00C31A94">
                  <w:pPr>
                    <w:spacing w:after="0" w:line="240" w:lineRule="auto"/>
                    <w:jc w:val="both"/>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124</w:t>
                  </w:r>
                  <w:r>
                    <w:rPr>
                      <w:rFonts w:ascii="Times New Roman" w:eastAsia="Times New Roman" w:hAnsi="Times New Roman" w:cs="Times New Roman"/>
                      <w:sz w:val="24"/>
                      <w:szCs w:val="24"/>
                      <w:lang w:eastAsia="lv-LV"/>
                    </w:rPr>
                    <w:t> </w:t>
                  </w:r>
                  <w:r w:rsidRPr="00A24E4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tc>
            </w:tr>
          </w:tbl>
          <w:p w14:paraId="5272E096" w14:textId="77777777" w:rsidR="001A5826" w:rsidRDefault="001A5826" w:rsidP="00C31A94">
            <w:pPr>
              <w:spacing w:after="0" w:line="240" w:lineRule="auto"/>
              <w:jc w:val="both"/>
              <w:rPr>
                <w:rFonts w:ascii="Times New Roman" w:eastAsia="Times New Roman" w:hAnsi="Times New Roman" w:cs="Times New Roman"/>
                <w:sz w:val="24"/>
                <w:szCs w:val="24"/>
              </w:rPr>
            </w:pPr>
          </w:p>
          <w:p w14:paraId="2CE6B6A1" w14:textId="7A34B0E3"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Kvalifikācijas eksāmena pastāvīgās izmaksas, kas nav atkarīgas no studējošo skaita:</w:t>
            </w:r>
          </w:p>
          <w:p w14:paraId="29F8FB7B"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Izmaksas komisijas locekļu darbības nodrošināšanai – 25 850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4FD471FA"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1.1.</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darba, kvalifikācijas eksāmena sagatavošanas un tā izvērtēšanas organizēšana - vidēji 4</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1 komisijas loceklis = 100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24256AEC"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1.2.</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darbs kvalifikācijas eksāmena organizatoriskā sēdē – vidēji 2</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45 komisijas locekļi = 2250</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4A83B72D"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1.3.</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eksāmenu darba materiālu sagatavošana – vidēji 13 h/gadā x 25</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10</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locekļi = 3250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3A171237"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1.4.</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eksāmena novērošana – vidēji 30</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7 komisijas locekļi = 5250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22228BCB"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1.5.</w:t>
            </w:r>
            <w:r>
              <w:t> </w:t>
            </w:r>
            <w:r w:rsidRPr="006061A5">
              <w:rPr>
                <w:rFonts w:ascii="Times New Roman" w:eastAsia="Times New Roman" w:hAnsi="Times New Roman" w:cs="Times New Roman"/>
                <w:sz w:val="24"/>
                <w:szCs w:val="24"/>
              </w:rPr>
              <w:t>kvalifikācijas eksāmena rezultātu un eksāmena procesa apstrīdēšana – vidēji 200</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3 komisijas locekļi = 15 000</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p>
          <w:p w14:paraId="2259ACFC" w14:textId="77777777" w:rsidR="00C31A94" w:rsidRPr="006061A5" w:rsidRDefault="00C31A94" w:rsidP="00C31A94">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Kvalifikācijas eksāmena mainīgās izmaksas, kas atkarīgas no studējošo skaita:</w:t>
            </w:r>
          </w:p>
          <w:p w14:paraId="68E50E7D" w14:textId="083A4238" w:rsidR="001A5826" w:rsidRPr="00BF039F" w:rsidRDefault="00C31A94" w:rsidP="00AA1D80">
            <w:pPr>
              <w:spacing w:after="0" w:line="240" w:lineRule="auto"/>
              <w:jc w:val="both"/>
              <w:rPr>
                <w:rFonts w:ascii="Times New Roman" w:eastAsia="Times New Roman" w:hAnsi="Times New Roman" w:cs="Times New Roman"/>
                <w:sz w:val="24"/>
                <w:szCs w:val="24"/>
                <w:u w:val="single"/>
              </w:rPr>
            </w:pPr>
            <w:r w:rsidRPr="006061A5">
              <w:rPr>
                <w:rFonts w:ascii="Times New Roman" w:eastAsia="Times New Roman" w:hAnsi="Times New Roman" w:cs="Times New Roman"/>
                <w:sz w:val="24"/>
                <w:szCs w:val="24"/>
              </w:rPr>
              <w:t xml:space="preserve">Kvalifikācijas eksāmena teorētiskās daļas un praktiskās daļas labošanas izmaksas katrā </w:t>
            </w:r>
            <w:r>
              <w:rPr>
                <w:rFonts w:ascii="Times New Roman" w:eastAsia="Times New Roman" w:hAnsi="Times New Roman" w:cs="Times New Roman"/>
                <w:sz w:val="24"/>
                <w:szCs w:val="24"/>
              </w:rPr>
              <w:t>kvalifikācijas eksāmena apakšsekcijā</w:t>
            </w:r>
            <w:r w:rsidRPr="006061A5">
              <w:rPr>
                <w:rFonts w:ascii="Times New Roman" w:eastAsia="Times New Roman" w:hAnsi="Times New Roman" w:cs="Times New Roman"/>
                <w:sz w:val="24"/>
                <w:szCs w:val="24"/>
              </w:rPr>
              <w:t xml:space="preserve"> (kopā 5 </w:t>
            </w:r>
            <w:r>
              <w:rPr>
                <w:rFonts w:ascii="Times New Roman" w:eastAsia="Times New Roman" w:hAnsi="Times New Roman" w:cs="Times New Roman"/>
                <w:sz w:val="24"/>
                <w:szCs w:val="24"/>
              </w:rPr>
              <w:t>apakšsekcijas</w:t>
            </w:r>
            <w:r w:rsidRPr="006061A5">
              <w:rPr>
                <w:rFonts w:ascii="Times New Roman" w:eastAsia="Times New Roman" w:hAnsi="Times New Roman" w:cs="Times New Roman"/>
                <w:sz w:val="24"/>
                <w:szCs w:val="24"/>
              </w:rPr>
              <w:t xml:space="preserve">) - 5 h/1 studentam x 650 </w:t>
            </w:r>
            <w:r w:rsidRPr="006061A5">
              <w:rPr>
                <w:rFonts w:ascii="Times New Roman" w:eastAsia="Times New Roman" w:hAnsi="Times New Roman" w:cs="Times New Roman"/>
                <w:sz w:val="24"/>
                <w:szCs w:val="24"/>
              </w:rPr>
              <w:lastRenderedPageBreak/>
              <w:t>studenti x 25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 81</w:t>
            </w:r>
            <w:r>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Pieņemot, ka 33 % no kvalifikācijas eksāmena teorētiskās daļas un praktiskās daļas labošanas darba veiks </w:t>
            </w:r>
            <w:r w:rsidRPr="006061A5">
              <w:rPr>
                <w:rFonts w:ascii="Times New Roman" w:eastAsia="Times New Roman" w:hAnsi="Times New Roman" w:cs="Times New Roman"/>
                <w:sz w:val="24"/>
                <w:szCs w:val="24"/>
                <w:lang w:eastAsia="lv-LV"/>
              </w:rPr>
              <w:t>ar juridisko nozari pārstāvošo profesionālo organizāciju un Ģenerālprokuratūras izvirzītie pārstāvji</w:t>
            </w:r>
            <w:r>
              <w:rPr>
                <w:rFonts w:ascii="Times New Roman" w:eastAsia="Times New Roman" w:hAnsi="Times New Roman" w:cs="Times New Roman"/>
                <w:sz w:val="24"/>
                <w:szCs w:val="24"/>
                <w:lang w:eastAsia="lv-LV"/>
              </w:rPr>
              <w:t>,</w:t>
            </w:r>
            <w:r w:rsidRPr="006061A5">
              <w:rPr>
                <w:rFonts w:ascii="Times New Roman" w:eastAsia="Times New Roman" w:hAnsi="Times New Roman" w:cs="Times New Roman"/>
                <w:sz w:val="24"/>
                <w:szCs w:val="24"/>
                <w:lang w:eastAsia="lv-LV"/>
              </w:rPr>
              <w:t xml:space="preserve"> kopējās izmaksas par k</w:t>
            </w:r>
            <w:r w:rsidRPr="006061A5">
              <w:rPr>
                <w:rFonts w:ascii="Times New Roman" w:eastAsia="Times New Roman" w:hAnsi="Times New Roman" w:cs="Times New Roman"/>
                <w:sz w:val="24"/>
                <w:szCs w:val="24"/>
              </w:rPr>
              <w:t>valifikācijas eksāmenu labošanu</w:t>
            </w:r>
            <w:r>
              <w:rPr>
                <w:rFonts w:ascii="Times New Roman" w:eastAsia="Times New Roman" w:hAnsi="Times New Roman" w:cs="Times New Roman"/>
                <w:sz w:val="24"/>
                <w:szCs w:val="24"/>
              </w:rPr>
              <w:t xml:space="preserve"> veido</w:t>
            </w:r>
            <w:r w:rsidRPr="006061A5">
              <w:rPr>
                <w:rFonts w:ascii="Times New Roman" w:eastAsia="Times New Roman" w:hAnsi="Times New Roman" w:cs="Times New Roman"/>
                <w:sz w:val="24"/>
                <w:szCs w:val="24"/>
              </w:rPr>
              <w:t xml:space="preserve"> 81 250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 (81 250</w:t>
            </w:r>
            <w:r>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x 33%) = </w:t>
            </w:r>
            <w:r w:rsidRPr="00DE655F">
              <w:rPr>
                <w:rFonts w:ascii="Times New Roman" w:eastAsia="Times New Roman" w:hAnsi="Times New Roman" w:cs="Times New Roman"/>
                <w:sz w:val="24"/>
                <w:szCs w:val="24"/>
                <w:u w:val="single"/>
              </w:rPr>
              <w:t>54 437,50</w:t>
            </w:r>
            <w:r>
              <w:rPr>
                <w:rFonts w:ascii="Times New Roman" w:eastAsia="Times New Roman" w:hAnsi="Times New Roman" w:cs="Times New Roman"/>
                <w:sz w:val="24"/>
                <w:szCs w:val="24"/>
                <w:u w:val="single"/>
              </w:rPr>
              <w:t> </w:t>
            </w:r>
            <w:r w:rsidRPr="00DE655F">
              <w:rPr>
                <w:rFonts w:ascii="Times New Roman" w:eastAsia="Times New Roman" w:hAnsi="Times New Roman" w:cs="Times New Roman"/>
                <w:i/>
                <w:sz w:val="24"/>
                <w:szCs w:val="24"/>
                <w:u w:val="single"/>
              </w:rPr>
              <w:t>euro</w:t>
            </w:r>
            <w:r w:rsidRPr="00DE655F">
              <w:rPr>
                <w:rFonts w:ascii="Times New Roman" w:eastAsia="Times New Roman" w:hAnsi="Times New Roman" w:cs="Times New Roman"/>
                <w:sz w:val="24"/>
                <w:szCs w:val="24"/>
                <w:u w:val="single"/>
              </w:rPr>
              <w:t>.</w:t>
            </w:r>
          </w:p>
          <w:p w14:paraId="1182056C" w14:textId="416505A0" w:rsidR="00C31A94" w:rsidRPr="00BC2633" w:rsidRDefault="00C31A94" w:rsidP="00AA1D80">
            <w:pPr>
              <w:spacing w:after="0" w:line="240" w:lineRule="auto"/>
              <w:jc w:val="both"/>
              <w:rPr>
                <w:rFonts w:ascii="Times New Roman" w:eastAsia="Times New Roman" w:hAnsi="Times New Roman" w:cs="Times New Roman"/>
                <w:sz w:val="24"/>
                <w:szCs w:val="24"/>
              </w:rPr>
            </w:pPr>
          </w:p>
        </w:tc>
      </w:tr>
      <w:tr w:rsidR="005D4E8A" w:rsidRPr="00BC2633" w14:paraId="4A35F0EC" w14:textId="77777777" w:rsidTr="006C3F78">
        <w:trPr>
          <w:trHeight w:val="128"/>
        </w:trPr>
        <w:tc>
          <w:tcPr>
            <w:tcW w:w="4994" w:type="pct"/>
            <w:gridSpan w:val="3"/>
            <w:tcBorders>
              <w:top w:val="outset" w:sz="6" w:space="0" w:color="414142"/>
              <w:left w:val="nil"/>
              <w:bottom w:val="outset" w:sz="6" w:space="0" w:color="414142"/>
              <w:right w:val="nil"/>
            </w:tcBorders>
          </w:tcPr>
          <w:p w14:paraId="371871E1" w14:textId="77777777" w:rsidR="006C3F7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p w14:paraId="3909DB7C" w14:textId="316DC7EE" w:rsidR="006659E3" w:rsidRPr="00BC2633" w:rsidRDefault="006659E3"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6C3F78">
        <w:trPr>
          <w:trHeight w:val="555"/>
        </w:trPr>
        <w:tc>
          <w:tcPr>
            <w:tcW w:w="4994"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6C3F7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2"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2" w:type="pct"/>
            <w:tcBorders>
              <w:top w:val="outset" w:sz="6" w:space="0" w:color="414142"/>
              <w:left w:val="outset" w:sz="6" w:space="0" w:color="414142"/>
              <w:bottom w:val="outset" w:sz="6" w:space="0" w:color="414142"/>
              <w:right w:val="outset" w:sz="6" w:space="0" w:color="414142"/>
            </w:tcBorders>
            <w:hideMark/>
          </w:tcPr>
          <w:p w14:paraId="3F1BC552" w14:textId="77777777"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Studējošie, kuri vēlas iegūt jurista kvalifikāciju (aptuveni 650).</w:t>
            </w:r>
          </w:p>
          <w:p w14:paraId="276DAC8A" w14:textId="77777777"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Augstskolu </w:t>
            </w:r>
            <w:r w:rsidRPr="00B21EDB">
              <w:rPr>
                <w:rFonts w:ascii="Times New Roman" w:eastAsia="Times New Roman" w:hAnsi="Times New Roman" w:cs="Times New Roman"/>
                <w:sz w:val="24"/>
                <w:szCs w:val="24"/>
                <w:lang w:eastAsia="lv-LV"/>
              </w:rPr>
              <w:t>nodarbinātie (komisijas locekļi un augstskolu personāls).</w:t>
            </w:r>
          </w:p>
          <w:p w14:paraId="3580E421" w14:textId="77777777"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Juridisko nozari pārstāvošo profesionālo organizāciju un Ģenerālprokuratūras pārstāvji (komisijas locekļi).</w:t>
            </w:r>
          </w:p>
          <w:p w14:paraId="674A68B1" w14:textId="5E336FD5" w:rsidR="004D15A9" w:rsidRPr="00BC2633" w:rsidRDefault="00AA1D80" w:rsidP="00AA1D8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ministrijas nodarbināt</w:t>
            </w:r>
            <w:r w:rsidR="00BE5463">
              <w:rPr>
                <w:rFonts w:ascii="Times New Roman" w:eastAsia="Times New Roman" w:hAnsi="Times New Roman" w:cs="Times New Roman"/>
                <w:sz w:val="24"/>
                <w:szCs w:val="24"/>
                <w:lang w:eastAsia="lv-LV"/>
              </w:rPr>
              <w:t>ais</w:t>
            </w:r>
            <w:r w:rsidRPr="00B21EDB">
              <w:rPr>
                <w:rFonts w:ascii="Times New Roman" w:eastAsia="Times New Roman" w:hAnsi="Times New Roman" w:cs="Times New Roman"/>
                <w:sz w:val="24"/>
                <w:szCs w:val="24"/>
                <w:lang w:eastAsia="lv-LV"/>
              </w:rPr>
              <w:t xml:space="preserve"> (</w:t>
            </w:r>
            <w:r w:rsidR="003C3465">
              <w:rPr>
                <w:rFonts w:ascii="Times New Roman" w:eastAsia="Times New Roman" w:hAnsi="Times New Roman" w:cs="Times New Roman"/>
                <w:sz w:val="24"/>
                <w:szCs w:val="24"/>
                <w:lang w:eastAsia="lv-LV"/>
              </w:rPr>
              <w:t>1</w:t>
            </w:r>
            <w:r w:rsidRPr="00B21EDB">
              <w:rPr>
                <w:rFonts w:ascii="Times New Roman" w:eastAsia="Times New Roman" w:hAnsi="Times New Roman" w:cs="Times New Roman"/>
                <w:sz w:val="24"/>
                <w:szCs w:val="24"/>
                <w:lang w:eastAsia="lv-LV"/>
              </w:rPr>
              <w:t xml:space="preserve"> nodarbinā</w:t>
            </w:r>
            <w:r w:rsidR="003C3465">
              <w:rPr>
                <w:rFonts w:ascii="Times New Roman" w:eastAsia="Times New Roman" w:hAnsi="Times New Roman" w:cs="Times New Roman"/>
                <w:sz w:val="24"/>
                <w:szCs w:val="24"/>
                <w:lang w:eastAsia="lv-LV"/>
              </w:rPr>
              <w:t>tais</w:t>
            </w:r>
            <w:r w:rsidRPr="00B21EDB">
              <w:rPr>
                <w:rFonts w:ascii="Times New Roman" w:eastAsia="Times New Roman" w:hAnsi="Times New Roman" w:cs="Times New Roman"/>
                <w:sz w:val="24"/>
                <w:szCs w:val="24"/>
                <w:lang w:eastAsia="lv-LV"/>
              </w:rPr>
              <w:t>).</w:t>
            </w:r>
          </w:p>
        </w:tc>
      </w:tr>
      <w:tr w:rsidR="00DA326E" w:rsidRPr="00BC2633" w14:paraId="135FDA25" w14:textId="77777777" w:rsidTr="006C3F7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2"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2" w:type="pct"/>
            <w:tcBorders>
              <w:top w:val="outset" w:sz="6" w:space="0" w:color="414142"/>
              <w:left w:val="outset" w:sz="6" w:space="0" w:color="414142"/>
              <w:bottom w:val="outset" w:sz="6" w:space="0" w:color="414142"/>
              <w:right w:val="outset" w:sz="6" w:space="0" w:color="414142"/>
            </w:tcBorders>
            <w:hideMark/>
          </w:tcPr>
          <w:p w14:paraId="05DFDBF3" w14:textId="77777777"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Administratīvais slogs palielināsies vismaz šādā apmērā:</w:t>
            </w:r>
          </w:p>
          <w:p w14:paraId="7805A735" w14:textId="77777777"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Studējošajiem, kuri vēlas iegūt jurista kvalifikāciju – lai iegūtu jurista kvalifikāciju, </w:t>
            </w:r>
            <w:r w:rsidRPr="00B21EDB">
              <w:rPr>
                <w:rFonts w:ascii="Times New Roman" w:eastAsia="Times New Roman" w:hAnsi="Times New Roman" w:cs="Times New Roman"/>
                <w:sz w:val="24"/>
                <w:szCs w:val="24"/>
                <w:lang w:eastAsia="lv-LV"/>
              </w:rPr>
              <w:t>kā obligāta prasība tiks noteikta kvalifikācijas eksāmena nokārtošana;</w:t>
            </w:r>
          </w:p>
          <w:p w14:paraId="0BEC835C" w14:textId="21AE7D0C" w:rsidR="00AA1D80" w:rsidRPr="00B21EDB" w:rsidRDefault="00AA1D80" w:rsidP="00AA1D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augstskolām </w:t>
            </w:r>
            <w:r w:rsidRPr="00B21EDB">
              <w:rPr>
                <w:rFonts w:ascii="Times New Roman" w:eastAsia="Times New Roman" w:hAnsi="Times New Roman" w:cs="Times New Roman"/>
                <w:sz w:val="24"/>
                <w:szCs w:val="24"/>
                <w:lang w:eastAsia="lv-LV"/>
              </w:rPr>
              <w:t>– būs jānodrošina nākamā akreditācijas perioda studiju programmas jurista kvalifikācijas iegūšanai pielāgošana projekta prasībām, kvalifikācijas eksāmena norises organizēšanā jāsadarbojas ar Tieslietu ministriju un daļēji jānodrošina tā norise;</w:t>
            </w:r>
            <w:r w:rsidR="006D0E8C">
              <w:rPr>
                <w:rFonts w:ascii="Times New Roman" w:eastAsia="Times New Roman" w:hAnsi="Times New Roman" w:cs="Times New Roman"/>
                <w:sz w:val="24"/>
                <w:szCs w:val="24"/>
                <w:lang w:eastAsia="lv-LV"/>
              </w:rPr>
              <w:t xml:space="preserve"> tāpat arī augstskolas pārstāvjiem būs jāaptver kvalifikācijas eksāmena komisijas sastāvs;</w:t>
            </w:r>
          </w:p>
          <w:p w14:paraId="4675BC49" w14:textId="77777777" w:rsidR="004D15A9" w:rsidRDefault="00AA1D80" w:rsidP="001C5969">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Tieslietu ministrijai – kvalifikācijas eksāmena organizēšanas un norises pilnvērtīga </w:t>
            </w:r>
            <w:r w:rsidRPr="00B21EDB">
              <w:rPr>
                <w:rFonts w:ascii="Times New Roman" w:eastAsia="Times New Roman" w:hAnsi="Times New Roman" w:cs="Times New Roman"/>
                <w:sz w:val="24"/>
                <w:szCs w:val="24"/>
                <w:lang w:eastAsia="lv-LV"/>
              </w:rPr>
              <w:t>nodrošināšana</w:t>
            </w:r>
            <w:r w:rsidR="006D0E8C">
              <w:rPr>
                <w:rFonts w:ascii="Times New Roman" w:eastAsia="Times New Roman" w:hAnsi="Times New Roman" w:cs="Times New Roman"/>
                <w:sz w:val="24"/>
                <w:szCs w:val="24"/>
                <w:lang w:eastAsia="lv-LV"/>
              </w:rPr>
              <w:t>;</w:t>
            </w:r>
          </w:p>
          <w:p w14:paraId="12DBBFF5" w14:textId="25DC223D" w:rsidR="006D0E8C" w:rsidRPr="00BC2633" w:rsidRDefault="006D0E8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Ģenerālprokuratūrai un juridisko nozari pārstāvošajām organizācijām – būs jānodrošina pārstāvju dalība kvalifikācijas eksāmena komisijas sastāvā; tāpat arī palielināsies slogs, ievērojot to, ka komisijas priekšsēdētājs un vietnieks nevar būt augstskolas pārstāvis.</w:t>
            </w:r>
          </w:p>
        </w:tc>
      </w:tr>
      <w:tr w:rsidR="00DA326E" w:rsidRPr="00BC2633" w14:paraId="5245BA7A" w14:textId="77777777" w:rsidTr="006C3F7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2"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2" w:type="pct"/>
            <w:tcBorders>
              <w:top w:val="outset" w:sz="6" w:space="0" w:color="414142"/>
              <w:left w:val="outset" w:sz="6" w:space="0" w:color="414142"/>
              <w:bottom w:val="outset" w:sz="6" w:space="0" w:color="414142"/>
              <w:right w:val="outset" w:sz="6" w:space="0" w:color="414142"/>
            </w:tcBorders>
            <w:hideMark/>
          </w:tcPr>
          <w:p w14:paraId="5D564945" w14:textId="76111C43" w:rsidR="004D15A9" w:rsidRPr="00BC2633" w:rsidRDefault="00ED20B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A1D80">
              <w:rPr>
                <w:rFonts w:ascii="Times New Roman" w:eastAsia="Times New Roman" w:hAnsi="Times New Roman" w:cs="Times New Roman"/>
                <w:sz w:val="24"/>
                <w:szCs w:val="24"/>
                <w:lang w:eastAsia="lv-LV"/>
              </w:rPr>
              <w:t>rojekts šo jomu neskar.</w:t>
            </w:r>
          </w:p>
        </w:tc>
      </w:tr>
      <w:tr w:rsidR="00DA326E" w:rsidRPr="00BC2633" w14:paraId="2C02878A" w14:textId="77777777" w:rsidTr="006C3F78">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2"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2" w:type="pct"/>
            <w:tcBorders>
              <w:top w:val="outset" w:sz="6" w:space="0" w:color="414142"/>
              <w:left w:val="outset" w:sz="6" w:space="0" w:color="414142"/>
              <w:bottom w:val="outset" w:sz="6" w:space="0" w:color="414142"/>
              <w:right w:val="outset" w:sz="6" w:space="0" w:color="414142"/>
            </w:tcBorders>
          </w:tcPr>
          <w:p w14:paraId="0C5B7775" w14:textId="0F7122DD" w:rsidR="00A1552F" w:rsidRPr="00BC2633" w:rsidRDefault="00ED20B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6C3F7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2"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2" w:type="pct"/>
            <w:tcBorders>
              <w:top w:val="outset" w:sz="6" w:space="0" w:color="414142"/>
              <w:left w:val="outset" w:sz="6" w:space="0" w:color="414142"/>
              <w:bottom w:val="single" w:sz="4" w:space="0" w:color="auto"/>
              <w:right w:val="outset" w:sz="6" w:space="0" w:color="414142"/>
            </w:tcBorders>
            <w:hideMark/>
          </w:tcPr>
          <w:p w14:paraId="5CC17AB0" w14:textId="545B74E7" w:rsidR="004D15A9" w:rsidRPr="00BC2633" w:rsidRDefault="00AA1D8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0"/>
        <w:gridCol w:w="850"/>
        <w:gridCol w:w="1099"/>
        <w:gridCol w:w="834"/>
        <w:gridCol w:w="1064"/>
        <w:gridCol w:w="943"/>
        <w:gridCol w:w="1231"/>
        <w:gridCol w:w="10"/>
        <w:gridCol w:w="1190"/>
      </w:tblGrid>
      <w:tr w:rsidR="00E6238C" w:rsidRPr="00AB0440" w14:paraId="6470ABE9" w14:textId="77777777" w:rsidTr="008C7CCB">
        <w:trPr>
          <w:trHeight w:val="342"/>
        </w:trPr>
        <w:tc>
          <w:tcPr>
            <w:tcW w:w="9351" w:type="dxa"/>
            <w:gridSpan w:val="9"/>
            <w:tcBorders>
              <w:bottom w:val="single" w:sz="4" w:space="0" w:color="auto"/>
            </w:tcBorders>
            <w:vAlign w:val="center"/>
          </w:tcPr>
          <w:p w14:paraId="45DA580C" w14:textId="77777777" w:rsidR="00E6238C" w:rsidRPr="00314220" w:rsidRDefault="00E6238C" w:rsidP="00E6238C">
            <w:pPr>
              <w:spacing w:after="0" w:line="240" w:lineRule="auto"/>
              <w:ind w:firstLine="431"/>
              <w:jc w:val="center"/>
              <w:rPr>
                <w:rFonts w:ascii="Times New Roman" w:eastAsia="Times New Roman" w:hAnsi="Times New Roman" w:cs="Times New Roman"/>
                <w:lang w:eastAsia="lv-LV"/>
              </w:rPr>
            </w:pPr>
            <w:r w:rsidRPr="00314220">
              <w:rPr>
                <w:rFonts w:ascii="Times New Roman" w:eastAsia="Times New Roman" w:hAnsi="Times New Roman" w:cs="Times New Roman"/>
                <w:b/>
                <w:bCs/>
                <w:sz w:val="24"/>
                <w:szCs w:val="24"/>
                <w:lang w:eastAsia="lv-LV"/>
              </w:rPr>
              <w:t>III. Tiesību akta projekta ietekme uz valsts budžetu un pašvaldību budžetiem</w:t>
            </w:r>
          </w:p>
        </w:tc>
      </w:tr>
      <w:tr w:rsidR="00E6238C" w:rsidRPr="00AB0440" w14:paraId="488FB23F" w14:textId="77777777" w:rsidTr="008C7CCB">
        <w:trPr>
          <w:trHeight w:val="351"/>
        </w:trPr>
        <w:tc>
          <w:tcPr>
            <w:tcW w:w="2130" w:type="dxa"/>
            <w:vMerge w:val="restart"/>
            <w:vAlign w:val="center"/>
          </w:tcPr>
          <w:p w14:paraId="517FE488" w14:textId="77777777" w:rsidR="00E6238C" w:rsidRPr="00314220" w:rsidRDefault="00E6238C" w:rsidP="00E6238C">
            <w:pPr>
              <w:spacing w:after="0" w:line="240" w:lineRule="auto"/>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Rādītāji</w:t>
            </w:r>
          </w:p>
          <w:p w14:paraId="326F1BE9" w14:textId="77777777" w:rsidR="00E6238C" w:rsidRPr="00314220" w:rsidRDefault="00E6238C" w:rsidP="00E6238C">
            <w:pPr>
              <w:spacing w:after="0" w:line="240" w:lineRule="auto"/>
              <w:rPr>
                <w:rFonts w:ascii="Times New Roman" w:eastAsia="Times New Roman" w:hAnsi="Times New Roman" w:cs="Times New Roman"/>
                <w:bCs/>
                <w:sz w:val="24"/>
                <w:szCs w:val="24"/>
                <w:lang w:eastAsia="lv-LV"/>
              </w:rPr>
            </w:pPr>
          </w:p>
        </w:tc>
        <w:tc>
          <w:tcPr>
            <w:tcW w:w="1949" w:type="dxa"/>
            <w:gridSpan w:val="2"/>
            <w:vMerge w:val="restart"/>
            <w:vAlign w:val="center"/>
          </w:tcPr>
          <w:p w14:paraId="6B8E7FB3"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2018.</w:t>
            </w:r>
            <w:r>
              <w:rPr>
                <w:rFonts w:ascii="Times New Roman" w:eastAsia="Times New Roman" w:hAnsi="Times New Roman" w:cs="Times New Roman"/>
                <w:bCs/>
                <w:sz w:val="24"/>
                <w:szCs w:val="24"/>
                <w:lang w:eastAsia="lv-LV"/>
              </w:rPr>
              <w:t> </w:t>
            </w:r>
            <w:r w:rsidRPr="00314220">
              <w:rPr>
                <w:rFonts w:ascii="Times New Roman" w:eastAsia="Times New Roman" w:hAnsi="Times New Roman" w:cs="Times New Roman"/>
                <w:bCs/>
                <w:sz w:val="24"/>
                <w:szCs w:val="24"/>
                <w:lang w:eastAsia="lv-LV"/>
              </w:rPr>
              <w:t>gads</w:t>
            </w:r>
          </w:p>
        </w:tc>
        <w:tc>
          <w:tcPr>
            <w:tcW w:w="5272" w:type="dxa"/>
            <w:gridSpan w:val="6"/>
            <w:vAlign w:val="center"/>
          </w:tcPr>
          <w:p w14:paraId="54C5EFD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Turpmākie trīs gadi (</w:t>
            </w:r>
            <w:r w:rsidRPr="00314220">
              <w:rPr>
                <w:rFonts w:ascii="Times New Roman" w:eastAsia="Times New Roman" w:hAnsi="Times New Roman" w:cs="Times New Roman"/>
                <w:bCs/>
                <w:i/>
                <w:sz w:val="24"/>
                <w:szCs w:val="24"/>
                <w:lang w:eastAsia="lv-LV"/>
              </w:rPr>
              <w:t>euro</w:t>
            </w:r>
            <w:r w:rsidRPr="00314220">
              <w:rPr>
                <w:rFonts w:ascii="Times New Roman" w:eastAsia="Times New Roman" w:hAnsi="Times New Roman" w:cs="Times New Roman"/>
                <w:bCs/>
                <w:sz w:val="24"/>
                <w:szCs w:val="24"/>
                <w:lang w:eastAsia="lv-LV"/>
              </w:rPr>
              <w:t>)</w:t>
            </w:r>
          </w:p>
        </w:tc>
      </w:tr>
      <w:tr w:rsidR="00E6238C" w:rsidRPr="00AB0440" w14:paraId="7F9EAB16" w14:textId="77777777" w:rsidTr="008C7CCB">
        <w:trPr>
          <w:trHeight w:val="348"/>
        </w:trPr>
        <w:tc>
          <w:tcPr>
            <w:tcW w:w="2130" w:type="dxa"/>
            <w:vMerge/>
            <w:vAlign w:val="center"/>
          </w:tcPr>
          <w:p w14:paraId="4BB6073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949" w:type="dxa"/>
            <w:gridSpan w:val="2"/>
            <w:vMerge/>
            <w:vAlign w:val="center"/>
          </w:tcPr>
          <w:p w14:paraId="2140554D"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898" w:type="dxa"/>
            <w:gridSpan w:val="2"/>
            <w:vAlign w:val="center"/>
          </w:tcPr>
          <w:p w14:paraId="3C152FE8" w14:textId="77777777" w:rsidR="00E6238C" w:rsidRPr="00314220" w:rsidRDefault="00E6238C" w:rsidP="00E6238C">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2019.</w:t>
            </w:r>
          </w:p>
        </w:tc>
        <w:tc>
          <w:tcPr>
            <w:tcW w:w="2174" w:type="dxa"/>
            <w:gridSpan w:val="2"/>
            <w:vAlign w:val="center"/>
          </w:tcPr>
          <w:p w14:paraId="13DBB552" w14:textId="77777777" w:rsidR="00E6238C" w:rsidRPr="00314220" w:rsidRDefault="00E6238C" w:rsidP="00E6238C">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2020.</w:t>
            </w:r>
          </w:p>
        </w:tc>
        <w:tc>
          <w:tcPr>
            <w:tcW w:w="1200" w:type="dxa"/>
            <w:gridSpan w:val="2"/>
            <w:vAlign w:val="center"/>
          </w:tcPr>
          <w:p w14:paraId="6EC7BCB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2021.</w:t>
            </w:r>
          </w:p>
        </w:tc>
      </w:tr>
      <w:tr w:rsidR="00E24225" w:rsidRPr="00AB0440" w14:paraId="26C12652" w14:textId="77777777" w:rsidTr="008C7CCB">
        <w:trPr>
          <w:trHeight w:val="2225"/>
        </w:trPr>
        <w:tc>
          <w:tcPr>
            <w:tcW w:w="2130" w:type="dxa"/>
            <w:vMerge/>
            <w:vAlign w:val="center"/>
          </w:tcPr>
          <w:p w14:paraId="051674A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850" w:type="dxa"/>
            <w:vAlign w:val="center"/>
          </w:tcPr>
          <w:p w14:paraId="49855E9E"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valsts budžetu kārtējam gadam</w:t>
            </w:r>
          </w:p>
        </w:tc>
        <w:tc>
          <w:tcPr>
            <w:tcW w:w="1099" w:type="dxa"/>
            <w:vAlign w:val="center"/>
          </w:tcPr>
          <w:p w14:paraId="1C8B9F3A"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kārtējā gadā, salīdzinot ar valsts budžetu kārtējam gadam</w:t>
            </w:r>
          </w:p>
        </w:tc>
        <w:tc>
          <w:tcPr>
            <w:tcW w:w="834" w:type="dxa"/>
            <w:vAlign w:val="center"/>
          </w:tcPr>
          <w:p w14:paraId="33684704"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vidēja termiņa budžeta ietvaru</w:t>
            </w:r>
          </w:p>
        </w:tc>
        <w:tc>
          <w:tcPr>
            <w:tcW w:w="1064" w:type="dxa"/>
            <w:vAlign w:val="center"/>
          </w:tcPr>
          <w:p w14:paraId="42794137"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salīdzinot ar vidēja termiņa budžeta ietvaru 2019. gadam</w:t>
            </w:r>
          </w:p>
        </w:tc>
        <w:tc>
          <w:tcPr>
            <w:tcW w:w="943" w:type="dxa"/>
            <w:vAlign w:val="center"/>
          </w:tcPr>
          <w:p w14:paraId="40C7AFE0"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vidēja termiņa budžeta ietvaru</w:t>
            </w:r>
          </w:p>
        </w:tc>
        <w:tc>
          <w:tcPr>
            <w:tcW w:w="1231" w:type="dxa"/>
            <w:vAlign w:val="center"/>
          </w:tcPr>
          <w:p w14:paraId="47B2F67F"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salīdzinot ar vidēja termiņa budžeta ietvaru 2020. gadam</w:t>
            </w:r>
          </w:p>
        </w:tc>
        <w:tc>
          <w:tcPr>
            <w:tcW w:w="1200" w:type="dxa"/>
            <w:gridSpan w:val="2"/>
            <w:vAlign w:val="center"/>
          </w:tcPr>
          <w:p w14:paraId="37A742F9" w14:textId="77777777" w:rsidR="00E6238C" w:rsidRPr="00314220" w:rsidRDefault="00E6238C" w:rsidP="00E6238C">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 xml:space="preserve">izmaiņas, salīdzinot ar vidēja termiņa budžeta ietvaru </w:t>
            </w:r>
            <w:r w:rsidRPr="00314220">
              <w:rPr>
                <w:rFonts w:ascii="Times New Roman" w:eastAsia="Times New Roman" w:hAnsi="Times New Roman" w:cs="Times New Roman"/>
                <w:sz w:val="24"/>
                <w:szCs w:val="24"/>
                <w:lang w:eastAsia="lv-LV"/>
              </w:rPr>
              <w:br/>
              <w:t>2020. gadam</w:t>
            </w:r>
          </w:p>
        </w:tc>
      </w:tr>
      <w:tr w:rsidR="00E24225" w:rsidRPr="00AB0440" w14:paraId="47B90ED3" w14:textId="77777777" w:rsidTr="008C7CCB">
        <w:trPr>
          <w:trHeight w:val="348"/>
        </w:trPr>
        <w:tc>
          <w:tcPr>
            <w:tcW w:w="2130" w:type="dxa"/>
            <w:vAlign w:val="center"/>
          </w:tcPr>
          <w:p w14:paraId="5AE7E5CA" w14:textId="77777777" w:rsidR="00E6238C" w:rsidRPr="00314220" w:rsidRDefault="00E6238C" w:rsidP="00E6238C">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1.</w:t>
            </w:r>
          </w:p>
        </w:tc>
        <w:tc>
          <w:tcPr>
            <w:tcW w:w="850" w:type="dxa"/>
            <w:vAlign w:val="center"/>
          </w:tcPr>
          <w:p w14:paraId="0D675399"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w:t>
            </w:r>
          </w:p>
        </w:tc>
        <w:tc>
          <w:tcPr>
            <w:tcW w:w="1099" w:type="dxa"/>
            <w:vAlign w:val="center"/>
          </w:tcPr>
          <w:p w14:paraId="4FFEC68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3.</w:t>
            </w:r>
          </w:p>
        </w:tc>
        <w:tc>
          <w:tcPr>
            <w:tcW w:w="834" w:type="dxa"/>
            <w:vAlign w:val="center"/>
          </w:tcPr>
          <w:p w14:paraId="7C143BB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4.</w:t>
            </w:r>
          </w:p>
        </w:tc>
        <w:tc>
          <w:tcPr>
            <w:tcW w:w="1064" w:type="dxa"/>
            <w:vAlign w:val="center"/>
          </w:tcPr>
          <w:p w14:paraId="2F436DD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5.</w:t>
            </w:r>
          </w:p>
        </w:tc>
        <w:tc>
          <w:tcPr>
            <w:tcW w:w="943" w:type="dxa"/>
            <w:vAlign w:val="center"/>
          </w:tcPr>
          <w:p w14:paraId="48D997E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6.</w:t>
            </w:r>
          </w:p>
        </w:tc>
        <w:tc>
          <w:tcPr>
            <w:tcW w:w="1231" w:type="dxa"/>
            <w:vAlign w:val="center"/>
          </w:tcPr>
          <w:p w14:paraId="5EA5B86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7.</w:t>
            </w:r>
          </w:p>
        </w:tc>
        <w:tc>
          <w:tcPr>
            <w:tcW w:w="1200" w:type="dxa"/>
            <w:gridSpan w:val="2"/>
            <w:vAlign w:val="center"/>
          </w:tcPr>
          <w:p w14:paraId="16A15EA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8.</w:t>
            </w:r>
          </w:p>
        </w:tc>
      </w:tr>
      <w:tr w:rsidR="00E24225" w:rsidRPr="00AB0440" w14:paraId="6D6407B8" w14:textId="77777777" w:rsidTr="008C7CCB">
        <w:trPr>
          <w:trHeight w:val="360"/>
        </w:trPr>
        <w:tc>
          <w:tcPr>
            <w:tcW w:w="2130" w:type="dxa"/>
            <w:vAlign w:val="center"/>
          </w:tcPr>
          <w:p w14:paraId="217A8C8C" w14:textId="77777777" w:rsidR="00E6238C" w:rsidRPr="00314220" w:rsidRDefault="00E6238C" w:rsidP="00E6238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Budžeta ieņēmumi</w:t>
            </w:r>
          </w:p>
        </w:tc>
        <w:tc>
          <w:tcPr>
            <w:tcW w:w="850" w:type="dxa"/>
            <w:vAlign w:val="center"/>
          </w:tcPr>
          <w:p w14:paraId="756E8CC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2D1CB2A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40FE4EDD"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772455D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47FE05F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77381EC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3F02E6F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0527D0C1" w14:textId="77777777" w:rsidTr="008C7CCB">
        <w:trPr>
          <w:trHeight w:val="351"/>
        </w:trPr>
        <w:tc>
          <w:tcPr>
            <w:tcW w:w="2130" w:type="dxa"/>
            <w:shd w:val="clear" w:color="auto" w:fill="auto"/>
          </w:tcPr>
          <w:p w14:paraId="31890432"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0" w:type="dxa"/>
            <w:vAlign w:val="center"/>
          </w:tcPr>
          <w:p w14:paraId="7072D0C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7FC10BC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2BECEFD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3BB8CC6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3B86CDC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3D91523D"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0B0CCD2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5E2EB068" w14:textId="77777777" w:rsidTr="008C7CCB">
        <w:trPr>
          <w:trHeight w:val="351"/>
        </w:trPr>
        <w:tc>
          <w:tcPr>
            <w:tcW w:w="2130" w:type="dxa"/>
            <w:shd w:val="clear" w:color="auto" w:fill="auto"/>
          </w:tcPr>
          <w:p w14:paraId="63801F54"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1.2. valsts speciālais budžets</w:t>
            </w:r>
          </w:p>
        </w:tc>
        <w:tc>
          <w:tcPr>
            <w:tcW w:w="850" w:type="dxa"/>
            <w:vAlign w:val="center"/>
          </w:tcPr>
          <w:p w14:paraId="453EC19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1395A329"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6EA1258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372A5AE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6EEE313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42E43C3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48E6ED69"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7735417E" w14:textId="77777777" w:rsidTr="008C7CCB">
        <w:trPr>
          <w:trHeight w:val="351"/>
        </w:trPr>
        <w:tc>
          <w:tcPr>
            <w:tcW w:w="2130" w:type="dxa"/>
            <w:shd w:val="clear" w:color="auto" w:fill="auto"/>
          </w:tcPr>
          <w:p w14:paraId="403268C3"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1.3. pašvaldību budžets</w:t>
            </w:r>
          </w:p>
        </w:tc>
        <w:tc>
          <w:tcPr>
            <w:tcW w:w="850" w:type="dxa"/>
            <w:vAlign w:val="center"/>
          </w:tcPr>
          <w:p w14:paraId="68E9D8A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6E297A5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48488A7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21F3FBAD"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280AE18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447AF56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3C251F79"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5933393F" w14:textId="77777777" w:rsidTr="008C7CCB">
        <w:trPr>
          <w:trHeight w:val="351"/>
        </w:trPr>
        <w:tc>
          <w:tcPr>
            <w:tcW w:w="2130" w:type="dxa"/>
            <w:shd w:val="clear" w:color="auto" w:fill="auto"/>
          </w:tcPr>
          <w:p w14:paraId="511E6520"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 Budžeta izdevumi</w:t>
            </w:r>
          </w:p>
        </w:tc>
        <w:tc>
          <w:tcPr>
            <w:tcW w:w="850" w:type="dxa"/>
            <w:vAlign w:val="center"/>
          </w:tcPr>
          <w:p w14:paraId="161A5B43"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0C2BDCA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09BBC45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0366F0E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1F349E7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40B01F2F" w14:textId="621EB0DF" w:rsidR="00E6238C" w:rsidRPr="00314220" w:rsidRDefault="00DA083A"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20 405</w:t>
            </w:r>
          </w:p>
        </w:tc>
        <w:tc>
          <w:tcPr>
            <w:tcW w:w="1190" w:type="dxa"/>
            <w:vAlign w:val="center"/>
          </w:tcPr>
          <w:p w14:paraId="3FA933C1" w14:textId="0CA5F5A1" w:rsidR="00E6238C" w:rsidRPr="00314220" w:rsidRDefault="00016373"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4 526</w:t>
            </w:r>
          </w:p>
        </w:tc>
      </w:tr>
      <w:tr w:rsidR="00E24225" w:rsidRPr="00AB0440" w14:paraId="11158AB8" w14:textId="77777777" w:rsidTr="008C7CCB">
        <w:trPr>
          <w:trHeight w:val="351"/>
        </w:trPr>
        <w:tc>
          <w:tcPr>
            <w:tcW w:w="2130" w:type="dxa"/>
            <w:shd w:val="clear" w:color="auto" w:fill="auto"/>
          </w:tcPr>
          <w:p w14:paraId="1D280054"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2.1. valsts pamatbudžets</w:t>
            </w:r>
          </w:p>
        </w:tc>
        <w:tc>
          <w:tcPr>
            <w:tcW w:w="850" w:type="dxa"/>
            <w:vAlign w:val="center"/>
          </w:tcPr>
          <w:p w14:paraId="22A1533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2201F70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406F0BD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7F26A67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08CE637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70CA22CB" w14:textId="6F36E9DB" w:rsidR="00E6238C" w:rsidRPr="00314220" w:rsidRDefault="00DA083A"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20 405</w:t>
            </w:r>
          </w:p>
        </w:tc>
        <w:tc>
          <w:tcPr>
            <w:tcW w:w="1190" w:type="dxa"/>
            <w:vAlign w:val="center"/>
          </w:tcPr>
          <w:p w14:paraId="15A5B4CB" w14:textId="55CCE539" w:rsidR="00E6238C" w:rsidRPr="00314220" w:rsidRDefault="00016373"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4 526</w:t>
            </w:r>
          </w:p>
        </w:tc>
      </w:tr>
      <w:tr w:rsidR="00E24225" w:rsidRPr="00AB0440" w14:paraId="5F3A5B53" w14:textId="77777777" w:rsidTr="008C7CCB">
        <w:trPr>
          <w:trHeight w:val="351"/>
        </w:trPr>
        <w:tc>
          <w:tcPr>
            <w:tcW w:w="2130" w:type="dxa"/>
            <w:shd w:val="clear" w:color="auto" w:fill="auto"/>
          </w:tcPr>
          <w:p w14:paraId="02776673"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2.2. valsts speciālais budžets</w:t>
            </w:r>
          </w:p>
        </w:tc>
        <w:tc>
          <w:tcPr>
            <w:tcW w:w="850" w:type="dxa"/>
            <w:vAlign w:val="center"/>
          </w:tcPr>
          <w:p w14:paraId="39A206B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17E7A7F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2D249723"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6FC6E7B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3CB434B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685642A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50476D5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2794B0A4" w14:textId="77777777" w:rsidTr="008C7CCB">
        <w:trPr>
          <w:trHeight w:val="351"/>
        </w:trPr>
        <w:tc>
          <w:tcPr>
            <w:tcW w:w="2130" w:type="dxa"/>
            <w:shd w:val="clear" w:color="auto" w:fill="auto"/>
          </w:tcPr>
          <w:p w14:paraId="5CCE6C3F"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2.3. pašvaldību budžets</w:t>
            </w:r>
          </w:p>
        </w:tc>
        <w:tc>
          <w:tcPr>
            <w:tcW w:w="850" w:type="dxa"/>
            <w:vAlign w:val="center"/>
          </w:tcPr>
          <w:p w14:paraId="761B98B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1BBE403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6CB1ECD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00D71DA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5798DF0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1EB160E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15DF037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5A154B7F" w14:textId="77777777" w:rsidTr="008C7CCB">
        <w:trPr>
          <w:trHeight w:val="351"/>
        </w:trPr>
        <w:tc>
          <w:tcPr>
            <w:tcW w:w="2130" w:type="dxa"/>
            <w:shd w:val="clear" w:color="auto" w:fill="auto"/>
          </w:tcPr>
          <w:p w14:paraId="0E495734"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 Finansiālā ietekme</w:t>
            </w:r>
          </w:p>
        </w:tc>
        <w:tc>
          <w:tcPr>
            <w:tcW w:w="850" w:type="dxa"/>
            <w:vAlign w:val="center"/>
          </w:tcPr>
          <w:p w14:paraId="2EA30E4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40678FF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600AA5DC"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1389CC6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287453D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11C0CAE1" w14:textId="442DBFA5" w:rsidR="00E6238C" w:rsidRPr="00314220" w:rsidRDefault="00E6238C"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w:t>
            </w:r>
            <w:r w:rsidR="00DA083A">
              <w:rPr>
                <w:rFonts w:ascii="Times New Roman" w:eastAsia="Times New Roman" w:hAnsi="Times New Roman" w:cs="Times New Roman"/>
                <w:bCs/>
                <w:sz w:val="24"/>
                <w:szCs w:val="24"/>
                <w:lang w:eastAsia="lv-LV"/>
              </w:rPr>
              <w:t>20 405</w:t>
            </w:r>
          </w:p>
        </w:tc>
        <w:tc>
          <w:tcPr>
            <w:tcW w:w="1190" w:type="dxa"/>
            <w:vAlign w:val="center"/>
          </w:tcPr>
          <w:p w14:paraId="2C33CB91" w14:textId="1DDAE015" w:rsidR="00E6238C" w:rsidRPr="00314220" w:rsidRDefault="00016373"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E24225">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4 526</w:t>
            </w:r>
          </w:p>
        </w:tc>
      </w:tr>
      <w:tr w:rsidR="00E24225" w:rsidRPr="00AB0440" w14:paraId="6B186570" w14:textId="77777777" w:rsidTr="008C7CCB">
        <w:trPr>
          <w:trHeight w:val="351"/>
        </w:trPr>
        <w:tc>
          <w:tcPr>
            <w:tcW w:w="2130" w:type="dxa"/>
            <w:shd w:val="clear" w:color="auto" w:fill="auto"/>
          </w:tcPr>
          <w:p w14:paraId="7DFE2E76"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3.1. valsts pamatbudžets</w:t>
            </w:r>
          </w:p>
        </w:tc>
        <w:tc>
          <w:tcPr>
            <w:tcW w:w="850" w:type="dxa"/>
            <w:vAlign w:val="center"/>
          </w:tcPr>
          <w:p w14:paraId="1B49513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66BD77A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0DA354B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4DF6130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7443C003"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662A2B33" w14:textId="2A1DF582" w:rsidR="00E6238C" w:rsidRPr="00314220" w:rsidRDefault="00E6238C"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w:t>
            </w:r>
            <w:r w:rsidR="00DA083A">
              <w:rPr>
                <w:rFonts w:ascii="Times New Roman" w:eastAsia="Times New Roman" w:hAnsi="Times New Roman" w:cs="Times New Roman"/>
                <w:bCs/>
                <w:sz w:val="24"/>
                <w:szCs w:val="24"/>
                <w:lang w:eastAsia="lv-LV"/>
              </w:rPr>
              <w:t>20 405</w:t>
            </w:r>
          </w:p>
        </w:tc>
        <w:tc>
          <w:tcPr>
            <w:tcW w:w="1190" w:type="dxa"/>
            <w:vAlign w:val="center"/>
          </w:tcPr>
          <w:p w14:paraId="7AC823F5" w14:textId="76F41C6B" w:rsidR="00E6238C" w:rsidRPr="00314220" w:rsidRDefault="00016373"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E24225">
              <w:rPr>
                <w:rFonts w:ascii="Times New Roman" w:eastAsia="Times New Roman" w:hAnsi="Times New Roman" w:cs="Times New Roman"/>
                <w:bCs/>
                <w:sz w:val="24"/>
                <w:szCs w:val="24"/>
                <w:lang w:eastAsia="lv-LV"/>
              </w:rPr>
              <w:t> 4 526</w:t>
            </w:r>
          </w:p>
        </w:tc>
      </w:tr>
      <w:tr w:rsidR="00E24225" w:rsidRPr="00AB0440" w14:paraId="43D7A173" w14:textId="77777777" w:rsidTr="008C7CCB">
        <w:trPr>
          <w:trHeight w:val="351"/>
        </w:trPr>
        <w:tc>
          <w:tcPr>
            <w:tcW w:w="2130" w:type="dxa"/>
            <w:shd w:val="clear" w:color="auto" w:fill="auto"/>
          </w:tcPr>
          <w:p w14:paraId="21F86835"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3.2. speciālais budžets</w:t>
            </w:r>
          </w:p>
        </w:tc>
        <w:tc>
          <w:tcPr>
            <w:tcW w:w="850" w:type="dxa"/>
            <w:vAlign w:val="center"/>
          </w:tcPr>
          <w:p w14:paraId="51C2901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301ED69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2A1A371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4AC052F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4F3B668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34D94DF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0F90DF6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7C28C12F" w14:textId="77777777" w:rsidTr="008C7CCB">
        <w:trPr>
          <w:trHeight w:val="351"/>
        </w:trPr>
        <w:tc>
          <w:tcPr>
            <w:tcW w:w="2130" w:type="dxa"/>
            <w:shd w:val="clear" w:color="auto" w:fill="auto"/>
          </w:tcPr>
          <w:p w14:paraId="42599E9B"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3.3. pašvaldību budžets</w:t>
            </w:r>
          </w:p>
        </w:tc>
        <w:tc>
          <w:tcPr>
            <w:tcW w:w="850" w:type="dxa"/>
            <w:vAlign w:val="center"/>
          </w:tcPr>
          <w:p w14:paraId="0326746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9" w:type="dxa"/>
            <w:vAlign w:val="center"/>
          </w:tcPr>
          <w:p w14:paraId="754B7F6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6C64A92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6CB945C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1AB7E28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1B7B18A9"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5C6DD24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68FBD3B4" w14:textId="77777777" w:rsidTr="008C7CCB">
        <w:trPr>
          <w:trHeight w:val="351"/>
        </w:trPr>
        <w:tc>
          <w:tcPr>
            <w:tcW w:w="2130" w:type="dxa"/>
            <w:shd w:val="clear" w:color="auto" w:fill="auto"/>
          </w:tcPr>
          <w:p w14:paraId="42882EA5"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0" w:type="dxa"/>
            <w:vAlign w:val="center"/>
          </w:tcPr>
          <w:p w14:paraId="7D72527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099" w:type="dxa"/>
            <w:vAlign w:val="center"/>
          </w:tcPr>
          <w:p w14:paraId="25D2C05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Align w:val="center"/>
          </w:tcPr>
          <w:p w14:paraId="21291E6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64" w:type="dxa"/>
            <w:vAlign w:val="center"/>
          </w:tcPr>
          <w:p w14:paraId="417F03C5"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Align w:val="center"/>
          </w:tcPr>
          <w:p w14:paraId="40C06D9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241" w:type="dxa"/>
            <w:gridSpan w:val="2"/>
            <w:vAlign w:val="center"/>
          </w:tcPr>
          <w:p w14:paraId="313814B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4F7F7D6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706F0F69" w14:textId="77777777" w:rsidTr="008C7CCB">
        <w:trPr>
          <w:trHeight w:val="351"/>
        </w:trPr>
        <w:tc>
          <w:tcPr>
            <w:tcW w:w="2130" w:type="dxa"/>
            <w:shd w:val="clear" w:color="auto" w:fill="auto"/>
          </w:tcPr>
          <w:p w14:paraId="1FF58C11"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 Precizēta finansiālā ietekme</w:t>
            </w:r>
          </w:p>
        </w:tc>
        <w:tc>
          <w:tcPr>
            <w:tcW w:w="850" w:type="dxa"/>
            <w:vMerge w:val="restart"/>
            <w:vAlign w:val="center"/>
          </w:tcPr>
          <w:p w14:paraId="2A0B1C5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099" w:type="dxa"/>
            <w:vAlign w:val="center"/>
          </w:tcPr>
          <w:p w14:paraId="074A862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Merge w:val="restart"/>
            <w:vAlign w:val="center"/>
          </w:tcPr>
          <w:p w14:paraId="510A4703"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064" w:type="dxa"/>
            <w:vAlign w:val="center"/>
          </w:tcPr>
          <w:p w14:paraId="12530FB1"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Merge w:val="restart"/>
            <w:vAlign w:val="center"/>
          </w:tcPr>
          <w:p w14:paraId="178DA55D"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241" w:type="dxa"/>
            <w:gridSpan w:val="2"/>
            <w:vAlign w:val="center"/>
          </w:tcPr>
          <w:p w14:paraId="300D8CC5" w14:textId="7908C025" w:rsidR="00E6238C" w:rsidRPr="00314220" w:rsidRDefault="00E6238C"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w:t>
            </w:r>
            <w:r w:rsidR="00DA083A">
              <w:rPr>
                <w:rFonts w:ascii="Times New Roman" w:eastAsia="Times New Roman" w:hAnsi="Times New Roman" w:cs="Times New Roman"/>
                <w:bCs/>
                <w:sz w:val="24"/>
                <w:szCs w:val="24"/>
                <w:lang w:eastAsia="lv-LV"/>
              </w:rPr>
              <w:t>20 405</w:t>
            </w:r>
          </w:p>
        </w:tc>
        <w:tc>
          <w:tcPr>
            <w:tcW w:w="1190" w:type="dxa"/>
            <w:vAlign w:val="center"/>
          </w:tcPr>
          <w:p w14:paraId="12DE2CF3" w14:textId="028DBD9C" w:rsidR="00E6238C" w:rsidRPr="00314220" w:rsidRDefault="00E24225"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- 4 526</w:t>
            </w:r>
          </w:p>
        </w:tc>
      </w:tr>
      <w:tr w:rsidR="00E24225" w:rsidRPr="00AB0440" w14:paraId="174C0677" w14:textId="77777777" w:rsidTr="008C7CCB">
        <w:trPr>
          <w:trHeight w:val="351"/>
        </w:trPr>
        <w:tc>
          <w:tcPr>
            <w:tcW w:w="2130" w:type="dxa"/>
            <w:shd w:val="clear" w:color="auto" w:fill="auto"/>
          </w:tcPr>
          <w:p w14:paraId="6FAF24A1"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5.1. valsts pamatbudžets</w:t>
            </w:r>
          </w:p>
        </w:tc>
        <w:tc>
          <w:tcPr>
            <w:tcW w:w="850" w:type="dxa"/>
            <w:vMerge/>
            <w:vAlign w:val="center"/>
          </w:tcPr>
          <w:p w14:paraId="2D1D2D8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99" w:type="dxa"/>
            <w:vAlign w:val="center"/>
          </w:tcPr>
          <w:p w14:paraId="53674876"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Merge/>
            <w:vAlign w:val="center"/>
          </w:tcPr>
          <w:p w14:paraId="3C53C337"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64" w:type="dxa"/>
            <w:vAlign w:val="center"/>
          </w:tcPr>
          <w:p w14:paraId="7474E17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Merge/>
            <w:vAlign w:val="center"/>
          </w:tcPr>
          <w:p w14:paraId="42FB16F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241" w:type="dxa"/>
            <w:gridSpan w:val="2"/>
            <w:vAlign w:val="center"/>
          </w:tcPr>
          <w:p w14:paraId="35AD7938" w14:textId="5FC04C2B" w:rsidR="00E6238C" w:rsidRPr="00314220" w:rsidRDefault="00E6238C"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w:t>
            </w:r>
            <w:r w:rsidR="00DA083A">
              <w:rPr>
                <w:rFonts w:ascii="Times New Roman" w:eastAsia="Times New Roman" w:hAnsi="Times New Roman" w:cs="Times New Roman"/>
                <w:bCs/>
                <w:sz w:val="24"/>
                <w:szCs w:val="24"/>
                <w:lang w:eastAsia="lv-LV"/>
              </w:rPr>
              <w:t>20 405</w:t>
            </w:r>
          </w:p>
        </w:tc>
        <w:tc>
          <w:tcPr>
            <w:tcW w:w="1190" w:type="dxa"/>
            <w:vAlign w:val="center"/>
          </w:tcPr>
          <w:p w14:paraId="5B10319C" w14:textId="4A88F0E1" w:rsidR="00E6238C" w:rsidRPr="00314220" w:rsidRDefault="00E24225" w:rsidP="008C7CCB">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- 4 526</w:t>
            </w:r>
          </w:p>
        </w:tc>
      </w:tr>
      <w:tr w:rsidR="00E24225" w:rsidRPr="00AB0440" w14:paraId="5C8F98FC" w14:textId="77777777" w:rsidTr="008C7CCB">
        <w:trPr>
          <w:trHeight w:val="351"/>
        </w:trPr>
        <w:tc>
          <w:tcPr>
            <w:tcW w:w="2130" w:type="dxa"/>
            <w:shd w:val="clear" w:color="auto" w:fill="auto"/>
          </w:tcPr>
          <w:p w14:paraId="5AA0C012"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5.2. speciālais budžets</w:t>
            </w:r>
          </w:p>
        </w:tc>
        <w:tc>
          <w:tcPr>
            <w:tcW w:w="850" w:type="dxa"/>
            <w:vMerge/>
            <w:vAlign w:val="center"/>
          </w:tcPr>
          <w:p w14:paraId="63F55F4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99" w:type="dxa"/>
            <w:vAlign w:val="center"/>
          </w:tcPr>
          <w:p w14:paraId="5754565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Merge/>
            <w:vAlign w:val="center"/>
          </w:tcPr>
          <w:p w14:paraId="59805E7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64" w:type="dxa"/>
            <w:vAlign w:val="center"/>
          </w:tcPr>
          <w:p w14:paraId="2CB5749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Merge/>
            <w:vAlign w:val="center"/>
          </w:tcPr>
          <w:p w14:paraId="4846B1E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241" w:type="dxa"/>
            <w:gridSpan w:val="2"/>
            <w:vAlign w:val="center"/>
          </w:tcPr>
          <w:p w14:paraId="5B22C33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vAlign w:val="center"/>
          </w:tcPr>
          <w:p w14:paraId="5FA874A4"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24225" w:rsidRPr="00AB0440" w14:paraId="6A6CDA24" w14:textId="77777777" w:rsidTr="008C7CCB">
        <w:trPr>
          <w:trHeight w:val="342"/>
        </w:trPr>
        <w:tc>
          <w:tcPr>
            <w:tcW w:w="2130" w:type="dxa"/>
            <w:tcBorders>
              <w:bottom w:val="single" w:sz="4" w:space="0" w:color="auto"/>
            </w:tcBorders>
            <w:vAlign w:val="center"/>
          </w:tcPr>
          <w:p w14:paraId="0BECDA7C" w14:textId="77777777" w:rsidR="00E6238C" w:rsidRPr="00314220" w:rsidRDefault="00E6238C" w:rsidP="00E6238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5.3. pašvaldību budžets</w:t>
            </w:r>
          </w:p>
        </w:tc>
        <w:tc>
          <w:tcPr>
            <w:tcW w:w="850" w:type="dxa"/>
            <w:vMerge/>
            <w:tcBorders>
              <w:bottom w:val="single" w:sz="4" w:space="0" w:color="auto"/>
            </w:tcBorders>
            <w:vAlign w:val="center"/>
          </w:tcPr>
          <w:p w14:paraId="18867FD8"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99" w:type="dxa"/>
            <w:tcBorders>
              <w:bottom w:val="single" w:sz="4" w:space="0" w:color="auto"/>
            </w:tcBorders>
            <w:vAlign w:val="center"/>
          </w:tcPr>
          <w:p w14:paraId="7AE34F2B"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34" w:type="dxa"/>
            <w:vMerge/>
            <w:tcBorders>
              <w:bottom w:val="single" w:sz="4" w:space="0" w:color="auto"/>
            </w:tcBorders>
            <w:vAlign w:val="center"/>
          </w:tcPr>
          <w:p w14:paraId="7D610C52"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064" w:type="dxa"/>
            <w:tcBorders>
              <w:bottom w:val="single" w:sz="4" w:space="0" w:color="auto"/>
            </w:tcBorders>
            <w:vAlign w:val="center"/>
          </w:tcPr>
          <w:p w14:paraId="0F228E9E"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43" w:type="dxa"/>
            <w:vMerge/>
            <w:tcBorders>
              <w:bottom w:val="single" w:sz="4" w:space="0" w:color="auto"/>
            </w:tcBorders>
            <w:vAlign w:val="center"/>
          </w:tcPr>
          <w:p w14:paraId="3BC5FB5F"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p>
        </w:tc>
        <w:tc>
          <w:tcPr>
            <w:tcW w:w="1241" w:type="dxa"/>
            <w:gridSpan w:val="2"/>
            <w:tcBorders>
              <w:bottom w:val="single" w:sz="4" w:space="0" w:color="auto"/>
            </w:tcBorders>
            <w:vAlign w:val="center"/>
          </w:tcPr>
          <w:p w14:paraId="3549394A"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90" w:type="dxa"/>
            <w:tcBorders>
              <w:bottom w:val="single" w:sz="4" w:space="0" w:color="auto"/>
            </w:tcBorders>
            <w:vAlign w:val="center"/>
          </w:tcPr>
          <w:p w14:paraId="55279430" w14:textId="77777777" w:rsidR="00E6238C" w:rsidRPr="00314220" w:rsidRDefault="00E6238C" w:rsidP="00E6238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E6238C" w:rsidRPr="00AB0440" w14:paraId="75FB2D89" w14:textId="77777777" w:rsidTr="008C7CCB">
        <w:trPr>
          <w:trHeight w:val="351"/>
        </w:trPr>
        <w:tc>
          <w:tcPr>
            <w:tcW w:w="2130" w:type="dxa"/>
            <w:shd w:val="clear" w:color="auto" w:fill="auto"/>
          </w:tcPr>
          <w:p w14:paraId="6CF975B6"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7221" w:type="dxa"/>
            <w:gridSpan w:val="8"/>
            <w:vMerge w:val="restart"/>
            <w:vAlign w:val="center"/>
          </w:tcPr>
          <w:p w14:paraId="7F2896A8" w14:textId="63D827E2" w:rsidR="00E6238C" w:rsidRPr="00A77769" w:rsidRDefault="00E6238C" w:rsidP="00E6238C">
            <w:pPr>
              <w:spacing w:after="0" w:line="240" w:lineRule="auto"/>
              <w:ind w:firstLine="720"/>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Kvalifikācijas eksāmena organizēšanai Tieslietu ministrijai </w:t>
            </w:r>
            <w:r>
              <w:rPr>
                <w:rFonts w:ascii="Times New Roman" w:eastAsia="Times New Roman" w:hAnsi="Times New Roman" w:cs="Times New Roman"/>
                <w:sz w:val="24"/>
                <w:szCs w:val="24"/>
                <w:lang w:eastAsia="lv-LV"/>
              </w:rPr>
              <w:t xml:space="preserve">papildus </w:t>
            </w:r>
            <w:r w:rsidRPr="00A77769">
              <w:rPr>
                <w:rFonts w:ascii="Times New Roman" w:eastAsia="Times New Roman" w:hAnsi="Times New Roman" w:cs="Times New Roman"/>
                <w:sz w:val="24"/>
                <w:szCs w:val="24"/>
                <w:lang w:eastAsia="lv-LV"/>
              </w:rPr>
              <w:t xml:space="preserve">nepieciešams finansējums </w:t>
            </w:r>
            <w:r w:rsidRPr="00016373">
              <w:rPr>
                <w:rFonts w:ascii="Times New Roman" w:eastAsia="Times New Roman" w:hAnsi="Times New Roman" w:cs="Times New Roman"/>
                <w:b/>
                <w:sz w:val="24"/>
                <w:szCs w:val="24"/>
                <w:lang w:eastAsia="lv-LV"/>
              </w:rPr>
              <w:t xml:space="preserve">2021. gadā un turpmāk ik gadu – </w:t>
            </w:r>
            <w:r w:rsidR="004B6480" w:rsidRPr="00016373">
              <w:rPr>
                <w:rFonts w:ascii="Times New Roman" w:eastAsia="Times New Roman" w:hAnsi="Times New Roman" w:cs="Times New Roman"/>
                <w:b/>
                <w:sz w:val="24"/>
                <w:szCs w:val="24"/>
                <w:lang w:eastAsia="lv-LV"/>
              </w:rPr>
              <w:t>1 677</w:t>
            </w:r>
            <w:r w:rsidR="00016373" w:rsidRPr="00016373">
              <w:rPr>
                <w:rFonts w:ascii="Times New Roman" w:eastAsia="Times New Roman" w:hAnsi="Times New Roman" w:cs="Times New Roman"/>
                <w:b/>
                <w:sz w:val="24"/>
                <w:szCs w:val="24"/>
                <w:lang w:eastAsia="lv-LV"/>
              </w:rPr>
              <w:t> </w:t>
            </w:r>
            <w:r w:rsidRPr="00016373">
              <w:rPr>
                <w:rFonts w:ascii="Times New Roman" w:eastAsia="Times New Roman" w:hAnsi="Times New Roman" w:cs="Times New Roman"/>
                <w:b/>
                <w:i/>
                <w:sz w:val="24"/>
                <w:szCs w:val="24"/>
                <w:lang w:eastAsia="lv-LV"/>
              </w:rPr>
              <w:t>euro</w:t>
            </w:r>
            <w:r w:rsidRPr="00A77769">
              <w:rPr>
                <w:rFonts w:ascii="Times New Roman" w:eastAsia="Times New Roman" w:hAnsi="Times New Roman" w:cs="Times New Roman"/>
                <w:sz w:val="24"/>
                <w:szCs w:val="24"/>
                <w:lang w:eastAsia="lv-LV"/>
              </w:rPr>
              <w:t>:</w:t>
            </w:r>
          </w:p>
          <w:p w14:paraId="53289607" w14:textId="6BFE674F" w:rsidR="00E6238C" w:rsidRPr="00A77769" w:rsidRDefault="00E6238C" w:rsidP="00E6238C">
            <w:pPr>
              <w:pStyle w:val="Sarakstarindkopa"/>
              <w:tabs>
                <w:tab w:val="left" w:pos="300"/>
              </w:tabs>
              <w:spacing w:after="0" w:line="240" w:lineRule="auto"/>
              <w:ind w:left="14"/>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1. Komisijas darbības nodrošināšana Tieslietu ministrijas ietvaros – </w:t>
            </w:r>
            <w:r w:rsidR="004B6480">
              <w:rPr>
                <w:rFonts w:ascii="Times New Roman" w:eastAsia="Times New Roman" w:hAnsi="Times New Roman" w:cs="Times New Roman"/>
                <w:sz w:val="24"/>
                <w:szCs w:val="24"/>
                <w:lang w:eastAsia="lv-LV"/>
              </w:rPr>
              <w:t>1 677</w:t>
            </w:r>
            <w:r>
              <w:rPr>
                <w:rFonts w:ascii="Times New Roman" w:eastAsia="Times New Roman" w:hAnsi="Times New Roman" w:cs="Times New Roman"/>
                <w:sz w:val="24"/>
                <w:szCs w:val="24"/>
                <w:lang w:eastAsia="lv-LV"/>
              </w:rPr>
              <w:t>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57107311" w14:textId="430CDD3F" w:rsidR="00E6238C" w:rsidRPr="00A77769" w:rsidRDefault="00E6238C" w:rsidP="00323AB5">
            <w:pPr>
              <w:pStyle w:val="Sarakstarindkopa"/>
              <w:tabs>
                <w:tab w:val="left" w:pos="300"/>
              </w:tabs>
              <w:spacing w:after="0" w:line="240" w:lineRule="auto"/>
              <w:ind w:left="0" w:firstLine="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 xml:space="preserve">1.1. atlīdzība: </w:t>
            </w:r>
            <w:r w:rsidR="004B6480">
              <w:rPr>
                <w:rFonts w:ascii="Times New Roman" w:hAnsi="Times New Roman" w:cs="Times New Roman"/>
                <w:sz w:val="24"/>
              </w:rPr>
              <w:t>1 226,</w:t>
            </w:r>
            <w:r w:rsidR="00525150">
              <w:rPr>
                <w:rFonts w:ascii="Times New Roman" w:hAnsi="Times New Roman" w:cs="Times New Roman"/>
                <w:sz w:val="24"/>
              </w:rPr>
              <w:t>26</w:t>
            </w:r>
            <w:r>
              <w:rPr>
                <w:rFonts w:ascii="Times New Roman" w:hAnsi="Times New Roman" w:cs="Times New Roman"/>
                <w:sz w:val="24"/>
              </w:rPr>
              <w:t> </w:t>
            </w:r>
            <w:r w:rsidRPr="00A77769">
              <w:rPr>
                <w:rFonts w:ascii="Times New Roman" w:hAnsi="Times New Roman" w:cs="Times New Roman"/>
                <w:i/>
                <w:sz w:val="24"/>
              </w:rPr>
              <w:t>euro</w:t>
            </w:r>
            <w:r w:rsidRPr="00A77769">
              <w:rPr>
                <w:rFonts w:ascii="Times New Roman" w:hAnsi="Times New Roman" w:cs="Times New Roman"/>
                <w:sz w:val="24"/>
              </w:rPr>
              <w:t xml:space="preserve"> (t.sk. atalgojums – 988</w:t>
            </w:r>
            <w:r w:rsidR="004B6480">
              <w:rPr>
                <w:rFonts w:ascii="Times New Roman" w:hAnsi="Times New Roman" w:cs="Times New Roman"/>
                <w:sz w:val="24"/>
              </w:rPr>
              <w:t>,20</w:t>
            </w:r>
            <w:r>
              <w:rPr>
                <w:rFonts w:ascii="Times New Roman" w:hAnsi="Times New Roman" w:cs="Times New Roman"/>
                <w:sz w:val="24"/>
              </w:rPr>
              <w:t> </w:t>
            </w:r>
            <w:r w:rsidRPr="00A77769">
              <w:rPr>
                <w:rFonts w:ascii="Times New Roman" w:hAnsi="Times New Roman" w:cs="Times New Roman"/>
                <w:i/>
                <w:sz w:val="24"/>
              </w:rPr>
              <w:t>euro</w:t>
            </w:r>
            <w:r w:rsidRPr="00A77769">
              <w:rPr>
                <w:rFonts w:ascii="Times New Roman" w:hAnsi="Times New Roman" w:cs="Times New Roman"/>
                <w:sz w:val="24"/>
              </w:rPr>
              <w:t xml:space="preserve">, darba devēja VSAOI – </w:t>
            </w:r>
            <w:r w:rsidR="004B6480">
              <w:rPr>
                <w:rFonts w:ascii="Times New Roman" w:hAnsi="Times New Roman" w:cs="Times New Roman"/>
                <w:sz w:val="24"/>
              </w:rPr>
              <w:t>238,06</w:t>
            </w:r>
            <w:r>
              <w:rPr>
                <w:rFonts w:ascii="Times New Roman" w:hAnsi="Times New Roman" w:cs="Times New Roman"/>
                <w:sz w:val="24"/>
              </w:rPr>
              <w:t> </w:t>
            </w:r>
            <w:r w:rsidRPr="00A77769">
              <w:rPr>
                <w:rFonts w:ascii="Times New Roman" w:hAnsi="Times New Roman" w:cs="Times New Roman"/>
                <w:i/>
                <w:sz w:val="24"/>
              </w:rPr>
              <w:t>euro</w:t>
            </w:r>
            <w:r w:rsidRPr="00A77769">
              <w:rPr>
                <w:rFonts w:ascii="Times New Roman" w:hAnsi="Times New Roman" w:cs="Times New Roman"/>
                <w:sz w:val="24"/>
              </w:rPr>
              <w:t>):</w:t>
            </w:r>
          </w:p>
          <w:p w14:paraId="2D1B3BED" w14:textId="00ED869D" w:rsidR="00E6238C" w:rsidRPr="00A77769" w:rsidRDefault="00E6238C" w:rsidP="00E6238C">
            <w:pPr>
              <w:spacing w:after="0" w:line="240" w:lineRule="auto"/>
              <w:jc w:val="both"/>
              <w:rPr>
                <w:rFonts w:ascii="Times New Roman" w:hAnsi="Times New Roman" w:cs="Times New Roman"/>
                <w:sz w:val="24"/>
              </w:rPr>
            </w:pPr>
            <w:r w:rsidRPr="00A77769">
              <w:rPr>
                <w:rFonts w:ascii="Times New Roman" w:hAnsi="Times New Roman" w:cs="Times New Roman"/>
                <w:sz w:val="24"/>
              </w:rPr>
              <w:t xml:space="preserve">Piemaksa par papildu darbu Tieslietu ministrijas juristam 30 % apmēra no mēnešalgas (36. saime III </w:t>
            </w:r>
            <w:proofErr w:type="spellStart"/>
            <w:r w:rsidRPr="00A77769">
              <w:rPr>
                <w:rFonts w:ascii="Times New Roman" w:hAnsi="Times New Roman" w:cs="Times New Roman"/>
                <w:sz w:val="24"/>
              </w:rPr>
              <w:t>līm</w:t>
            </w:r>
            <w:proofErr w:type="spellEnd"/>
            <w:r w:rsidRPr="00A77769">
              <w:rPr>
                <w:rFonts w:ascii="Times New Roman" w:hAnsi="Times New Roman" w:cs="Times New Roman"/>
                <w:sz w:val="24"/>
              </w:rPr>
              <w:t>. 12. mēnešalgu grupa 3. kategorija) – 1</w:t>
            </w:r>
            <w:r>
              <w:rPr>
                <w:rFonts w:ascii="Times New Roman" w:hAnsi="Times New Roman" w:cs="Times New Roman"/>
                <w:sz w:val="24"/>
              </w:rPr>
              <w:t> </w:t>
            </w:r>
            <w:r w:rsidRPr="00A77769">
              <w:rPr>
                <w:rFonts w:ascii="Times New Roman" w:hAnsi="Times New Roman" w:cs="Times New Roman"/>
                <w:sz w:val="24"/>
              </w:rPr>
              <w:t>647</w:t>
            </w:r>
            <w:r>
              <w:rPr>
                <w:rFonts w:ascii="Times New Roman" w:hAnsi="Times New Roman" w:cs="Times New Roman"/>
                <w:sz w:val="24"/>
              </w:rPr>
              <w:t> </w:t>
            </w:r>
            <w:r w:rsidRPr="00A77769">
              <w:rPr>
                <w:rFonts w:ascii="Times New Roman" w:hAnsi="Times New Roman" w:cs="Times New Roman"/>
                <w:i/>
                <w:sz w:val="24"/>
              </w:rPr>
              <w:t>euro</w:t>
            </w:r>
            <w:r w:rsidRPr="00A77769">
              <w:rPr>
                <w:rFonts w:ascii="Times New Roman" w:hAnsi="Times New Roman" w:cs="Times New Roman"/>
                <w:sz w:val="24"/>
              </w:rPr>
              <w:t xml:space="preserve"> x 30</w:t>
            </w:r>
            <w:r>
              <w:rPr>
                <w:rFonts w:ascii="Times New Roman" w:hAnsi="Times New Roman" w:cs="Times New Roman"/>
                <w:sz w:val="24"/>
              </w:rPr>
              <w:t> </w:t>
            </w:r>
            <w:r w:rsidRPr="00A77769">
              <w:rPr>
                <w:rFonts w:ascii="Times New Roman" w:hAnsi="Times New Roman" w:cs="Times New Roman"/>
                <w:sz w:val="24"/>
              </w:rPr>
              <w:t>% = 494,10</w:t>
            </w:r>
            <w:r>
              <w:rPr>
                <w:rFonts w:ascii="Times New Roman" w:hAnsi="Times New Roman" w:cs="Times New Roman"/>
                <w:sz w:val="24"/>
              </w:rPr>
              <w:t>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 xml:space="preserve"> x 2</w:t>
            </w:r>
            <w:r>
              <w:rPr>
                <w:rFonts w:ascii="Times New Roman" w:hAnsi="Times New Roman" w:cs="Times New Roman"/>
                <w:sz w:val="24"/>
              </w:rPr>
              <w:t> </w:t>
            </w:r>
            <w:proofErr w:type="spellStart"/>
            <w:r w:rsidRPr="00A77769">
              <w:rPr>
                <w:rFonts w:ascii="Times New Roman" w:hAnsi="Times New Roman" w:cs="Times New Roman"/>
                <w:sz w:val="24"/>
              </w:rPr>
              <w:t>mēn</w:t>
            </w:r>
            <w:proofErr w:type="spellEnd"/>
            <w:r w:rsidRPr="00A77769">
              <w:rPr>
                <w:rFonts w:ascii="Times New Roman" w:hAnsi="Times New Roman" w:cs="Times New Roman"/>
                <w:sz w:val="24"/>
              </w:rPr>
              <w:t>. = 988</w:t>
            </w:r>
            <w:r w:rsidR="00777E9B">
              <w:rPr>
                <w:rFonts w:ascii="Times New Roman" w:hAnsi="Times New Roman" w:cs="Times New Roman"/>
                <w:sz w:val="24"/>
              </w:rPr>
              <w:t>,20</w:t>
            </w:r>
            <w:r>
              <w:rPr>
                <w:rFonts w:ascii="Times New Roman" w:hAnsi="Times New Roman" w:cs="Times New Roman"/>
                <w:sz w:val="24"/>
              </w:rPr>
              <w:t> </w:t>
            </w:r>
            <w:r w:rsidRPr="00A77769">
              <w:rPr>
                <w:rFonts w:ascii="Times New Roman" w:hAnsi="Times New Roman" w:cs="Times New Roman"/>
                <w:i/>
                <w:sz w:val="24"/>
              </w:rPr>
              <w:t>euro</w:t>
            </w:r>
            <w:r w:rsidRPr="00A77769">
              <w:rPr>
                <w:rFonts w:ascii="Times New Roman" w:hAnsi="Times New Roman" w:cs="Times New Roman"/>
                <w:sz w:val="24"/>
              </w:rPr>
              <w:t>;</w:t>
            </w:r>
          </w:p>
          <w:p w14:paraId="08D6CA65" w14:textId="3AB830C1" w:rsidR="00E6238C" w:rsidRPr="00A77769" w:rsidRDefault="00E6238C" w:rsidP="00E6238C">
            <w:pPr>
              <w:spacing w:after="0" w:line="240" w:lineRule="auto"/>
              <w:ind w:left="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1.2. </w:t>
            </w:r>
            <w:r w:rsidRPr="00A77769">
              <w:rPr>
                <w:rFonts w:ascii="Times New Roman" w:eastAsia="Times New Roman" w:hAnsi="Times New Roman" w:cs="Times New Roman"/>
                <w:sz w:val="24"/>
                <w:szCs w:val="24"/>
                <w:lang w:eastAsia="lv-LV"/>
              </w:rPr>
              <w:t>biroja un kancelejas preces – 450</w:t>
            </w:r>
            <w:r>
              <w:rPr>
                <w:rFonts w:ascii="Times New Roman" w:eastAsia="Times New Roman" w:hAnsi="Times New Roman" w:cs="Times New Roman"/>
                <w:sz w:val="24"/>
                <w:szCs w:val="24"/>
                <w:lang w:eastAsia="lv-LV"/>
              </w:rPr>
              <w:t>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4D7E9507" w14:textId="77777777" w:rsidR="00E6238C" w:rsidRPr="00A77769" w:rsidRDefault="00E6238C" w:rsidP="00E6238C">
            <w:pPr>
              <w:spacing w:after="0" w:line="240" w:lineRule="auto"/>
              <w:jc w:val="both"/>
              <w:rPr>
                <w:rFonts w:ascii="Times New Roman" w:eastAsia="Times New Roman" w:hAnsi="Times New Roman" w:cs="Times New Roman"/>
                <w:color w:val="FF0000"/>
                <w:sz w:val="24"/>
                <w:szCs w:val="24"/>
                <w:lang w:eastAsia="lv-LV"/>
              </w:rPr>
            </w:pPr>
          </w:p>
          <w:p w14:paraId="0C281566" w14:textId="1D51FBF7" w:rsidR="00E6238C" w:rsidRPr="00002050" w:rsidRDefault="00E6238C" w:rsidP="00E6238C">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Tieslietu ministrijas jurista papildu darba pienākumiem, par kuriem veidosies piemaksa 30</w:t>
            </w:r>
            <w:r>
              <w:rPr>
                <w:rFonts w:ascii="Times New Roman" w:eastAsia="Times New Roman" w:hAnsi="Times New Roman" w:cs="Times New Roman"/>
                <w:sz w:val="24"/>
                <w:szCs w:val="24"/>
                <w:lang w:eastAsia="lv-LV"/>
              </w:rPr>
              <w:t> </w:t>
            </w:r>
            <w:r w:rsidRPr="00002050">
              <w:rPr>
                <w:rFonts w:ascii="Times New Roman" w:eastAsia="Times New Roman" w:hAnsi="Times New Roman" w:cs="Times New Roman"/>
                <w:sz w:val="24"/>
                <w:szCs w:val="24"/>
                <w:lang w:eastAsia="lv-LV"/>
              </w:rPr>
              <w:t xml:space="preserve">% apmērā no mēnešalgas, norādām, ka jurists divas reizes gadā mēneša tvērumā (atbilstoši ziemas un vasaras sesijai augstskolās), kad norisināsies darbs pie kvalifikācijas eksāmena organizēšanas un norises, veiks ar komisijas izveidošanu saistītos pienākumus un nodrošinās atbalsta funkciju komisijas locekļiem. Atbalsta ietvaros jurists piedalīsies komisijas izveidošanas procesā (piemēram, sagatavos uzaicinājumu augstskolām un profesionālajām organizācijām, kā arī Ģenerālprokuratūrai; apkopos un izvērtēs no minētajām institūcijām saņemto informāciju; sagatavos dokumentus, kas saistīti ar komisijas apstiprināšanu), veiks no augstskolām saņemtās informācijas apkopošanu un analīzi (piemēram, par augstskolas akadēmisko gadu un studējošo skaitu, kuri kārtos kvalifikācijas eksāmenu), piedalīsies komisijas sēžu un kvalifikācijas eksāmena norises organizēšanā (piemēram, informēs augstskolas par kvalifikācijas eksāmena datumu un laiku; nepieciešamības gadījumā sazināsies ar kvalifikācijas eksāmena locekļiem un risinās dažādus ar kvalifikācijas eksāmena norisi saistītus jautājumus). </w:t>
            </w:r>
          </w:p>
          <w:p w14:paraId="68430C5F" w14:textId="77777777" w:rsidR="00E6238C" w:rsidRPr="00002050" w:rsidRDefault="00E6238C" w:rsidP="00E6238C">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papildu izdevumiem, kas saistīti ar biroja un kancelejas precēm, norādām, ka šāds aprēķins, proti, 450</w:t>
            </w:r>
            <w:r>
              <w:rPr>
                <w:rFonts w:ascii="Times New Roman" w:eastAsia="Times New Roman" w:hAnsi="Times New Roman" w:cs="Times New Roman"/>
                <w:sz w:val="24"/>
                <w:szCs w:val="24"/>
                <w:lang w:eastAsia="lv-LV"/>
              </w:rPr>
              <w:t> </w:t>
            </w:r>
            <w:r w:rsidRPr="00002050">
              <w:rPr>
                <w:rFonts w:ascii="Times New Roman" w:eastAsia="Times New Roman" w:hAnsi="Times New Roman" w:cs="Times New Roman"/>
                <w:i/>
                <w:sz w:val="24"/>
                <w:szCs w:val="24"/>
                <w:lang w:eastAsia="lv-LV"/>
              </w:rPr>
              <w:t>euro</w:t>
            </w:r>
            <w:r w:rsidRPr="00002050">
              <w:rPr>
                <w:rFonts w:ascii="Times New Roman" w:eastAsia="Times New Roman" w:hAnsi="Times New Roman" w:cs="Times New Roman"/>
                <w:sz w:val="24"/>
                <w:szCs w:val="24"/>
                <w:lang w:eastAsia="lv-LV"/>
              </w:rPr>
              <w:t>, veikts, pamatojoties uz informatīvajā ziņojumā "Par valsts vienotā jurista kvalifikācijas eksāmena ieviešanu", kas izskatīs un pieņemts zināšanai Ministru kabineta 2015. gada 10. novembra sēdē, norādītajiem apsvērumiem.</w:t>
            </w:r>
          </w:p>
          <w:p w14:paraId="57D31AD9" w14:textId="77777777" w:rsidR="0042378F" w:rsidRDefault="0042378F" w:rsidP="00E6238C">
            <w:pPr>
              <w:spacing w:after="0" w:line="240" w:lineRule="auto"/>
              <w:ind w:firstLine="431"/>
              <w:rPr>
                <w:rFonts w:ascii="Times New Roman" w:eastAsia="Times New Roman" w:hAnsi="Times New Roman" w:cs="Times New Roman"/>
                <w:bCs/>
                <w:sz w:val="24"/>
                <w:szCs w:val="24"/>
                <w:lang w:eastAsia="lv-LV"/>
              </w:rPr>
            </w:pPr>
          </w:p>
          <w:p w14:paraId="58B9E19B" w14:textId="2E40BF53" w:rsidR="0042378F" w:rsidRPr="006C3F78" w:rsidRDefault="008C7CCB" w:rsidP="0042378F">
            <w:pPr>
              <w:spacing w:after="0" w:line="240" w:lineRule="auto"/>
              <w:ind w:firstLine="720"/>
              <w:jc w:val="both"/>
              <w:rPr>
                <w:rStyle w:val="Izteiksmgs"/>
                <w:rFonts w:ascii="Times New Roman" w:hAnsi="Times New Roman" w:cs="Times New Roman"/>
                <w:b w:val="0"/>
                <w:sz w:val="24"/>
                <w:szCs w:val="24"/>
              </w:rPr>
            </w:pPr>
            <w:r>
              <w:rPr>
                <w:rStyle w:val="Izteiksmgs"/>
                <w:rFonts w:ascii="Times New Roman" w:hAnsi="Times New Roman" w:cs="Times New Roman"/>
                <w:b w:val="0"/>
                <w:sz w:val="24"/>
                <w:szCs w:val="24"/>
              </w:rPr>
              <w:t>E</w:t>
            </w:r>
            <w:r w:rsidR="0042378F" w:rsidRPr="006C3F78">
              <w:rPr>
                <w:rStyle w:val="Izteiksmgs"/>
                <w:rFonts w:ascii="Times New Roman" w:hAnsi="Times New Roman" w:cs="Times New Roman"/>
                <w:b w:val="0"/>
                <w:sz w:val="24"/>
                <w:szCs w:val="24"/>
              </w:rPr>
              <w:t>lektroniskās vides pielāgošana</w:t>
            </w:r>
            <w:r w:rsidR="00016373">
              <w:rPr>
                <w:rStyle w:val="Izteiksmgs"/>
                <w:rFonts w:ascii="Times New Roman" w:hAnsi="Times New Roman" w:cs="Times New Roman"/>
                <w:b w:val="0"/>
                <w:sz w:val="24"/>
                <w:szCs w:val="24"/>
              </w:rPr>
              <w:t>i</w:t>
            </w:r>
            <w:r w:rsidR="0042378F" w:rsidRPr="006C3F78">
              <w:rPr>
                <w:rStyle w:val="Izteiksmgs"/>
                <w:rFonts w:ascii="Times New Roman" w:hAnsi="Times New Roman" w:cs="Times New Roman"/>
                <w:b w:val="0"/>
                <w:sz w:val="24"/>
                <w:szCs w:val="24"/>
              </w:rPr>
              <w:t xml:space="preserve"> </w:t>
            </w:r>
            <w:r w:rsidR="00016373" w:rsidRPr="008C7CCB">
              <w:rPr>
                <w:rStyle w:val="Izteiksmgs"/>
                <w:rFonts w:ascii="Times New Roman" w:hAnsi="Times New Roman" w:cs="Times New Roman"/>
                <w:b w:val="0"/>
                <w:sz w:val="24"/>
                <w:szCs w:val="24"/>
              </w:rPr>
              <w:t xml:space="preserve">Tieslietu ministrijai papildus nepieciešams finansējums </w:t>
            </w:r>
            <w:r w:rsidR="00016373" w:rsidRPr="00016373">
              <w:rPr>
                <w:rStyle w:val="Izteiksmgs"/>
                <w:rFonts w:ascii="Times New Roman" w:hAnsi="Times New Roman" w:cs="Times New Roman"/>
                <w:sz w:val="24"/>
                <w:szCs w:val="24"/>
              </w:rPr>
              <w:t>2020. gadā</w:t>
            </w:r>
            <w:r w:rsidR="0042378F" w:rsidRPr="00016373">
              <w:rPr>
                <w:rStyle w:val="Izteiksmgs"/>
                <w:rFonts w:ascii="Times New Roman" w:hAnsi="Times New Roman" w:cs="Times New Roman"/>
                <w:sz w:val="24"/>
                <w:szCs w:val="24"/>
              </w:rPr>
              <w:t xml:space="preserve"> </w:t>
            </w:r>
            <w:r w:rsidR="00016373" w:rsidRPr="00016373">
              <w:rPr>
                <w:rStyle w:val="Izteiksmgs"/>
                <w:rFonts w:ascii="Times New Roman" w:hAnsi="Times New Roman" w:cs="Times New Roman"/>
                <w:sz w:val="24"/>
                <w:szCs w:val="24"/>
              </w:rPr>
              <w:t>20 405</w:t>
            </w:r>
            <w:r w:rsidR="00016373">
              <w:rPr>
                <w:rStyle w:val="Izteiksmgs"/>
                <w:rFonts w:ascii="Times New Roman" w:hAnsi="Times New Roman" w:cs="Times New Roman"/>
                <w:sz w:val="24"/>
                <w:szCs w:val="24"/>
              </w:rPr>
              <w:t> </w:t>
            </w:r>
            <w:r w:rsidR="00016373" w:rsidRPr="008C7CCB">
              <w:rPr>
                <w:rStyle w:val="Izteiksmgs"/>
                <w:rFonts w:ascii="Times New Roman" w:hAnsi="Times New Roman" w:cs="Times New Roman"/>
                <w:i/>
                <w:sz w:val="24"/>
                <w:szCs w:val="24"/>
              </w:rPr>
              <w:t>euro</w:t>
            </w:r>
            <w:r w:rsidR="00016373" w:rsidRPr="008C7CCB">
              <w:rPr>
                <w:rStyle w:val="Izteiksmgs"/>
                <w:rFonts w:ascii="Times New Roman" w:hAnsi="Times New Roman" w:cs="Times New Roman"/>
                <w:b w:val="0"/>
                <w:sz w:val="24"/>
                <w:szCs w:val="24"/>
              </w:rPr>
              <w:t xml:space="preserve"> un elektroniskās vides uzturēšanai </w:t>
            </w:r>
            <w:r w:rsidR="00016373" w:rsidRPr="00016373">
              <w:rPr>
                <w:rStyle w:val="Izteiksmgs"/>
                <w:rFonts w:ascii="Times New Roman" w:hAnsi="Times New Roman" w:cs="Times New Roman"/>
                <w:sz w:val="24"/>
                <w:szCs w:val="24"/>
              </w:rPr>
              <w:t>2021.</w:t>
            </w:r>
            <w:r>
              <w:rPr>
                <w:rStyle w:val="Izteiksmgs"/>
                <w:rFonts w:ascii="Times New Roman" w:hAnsi="Times New Roman" w:cs="Times New Roman"/>
                <w:sz w:val="24"/>
                <w:szCs w:val="24"/>
              </w:rPr>
              <w:t> </w:t>
            </w:r>
            <w:r w:rsidR="00016373" w:rsidRPr="00016373">
              <w:rPr>
                <w:rStyle w:val="Izteiksmgs"/>
                <w:rFonts w:ascii="Times New Roman" w:hAnsi="Times New Roman" w:cs="Times New Roman"/>
                <w:sz w:val="24"/>
                <w:szCs w:val="24"/>
              </w:rPr>
              <w:t>gadā un turpmāk ik gadu 2 849</w:t>
            </w:r>
            <w:r w:rsidR="00016373">
              <w:rPr>
                <w:rStyle w:val="Izteiksmgs"/>
                <w:rFonts w:ascii="Times New Roman" w:hAnsi="Times New Roman" w:cs="Times New Roman"/>
                <w:sz w:val="24"/>
                <w:szCs w:val="24"/>
              </w:rPr>
              <w:t> </w:t>
            </w:r>
            <w:r w:rsidR="00016373" w:rsidRPr="008C7CCB">
              <w:rPr>
                <w:rStyle w:val="Izteiksmgs"/>
                <w:rFonts w:ascii="Times New Roman" w:hAnsi="Times New Roman" w:cs="Times New Roman"/>
                <w:i/>
                <w:sz w:val="24"/>
                <w:szCs w:val="24"/>
              </w:rPr>
              <w:t>euro</w:t>
            </w:r>
            <w:r w:rsidR="00016373">
              <w:rPr>
                <w:rStyle w:val="Izteiksmgs"/>
                <w:rFonts w:ascii="Times New Roman" w:hAnsi="Times New Roman" w:cs="Times New Roman"/>
                <w:b w:val="0"/>
                <w:sz w:val="24"/>
                <w:szCs w:val="24"/>
              </w:rPr>
              <w:t>.</w:t>
            </w:r>
          </w:p>
          <w:p w14:paraId="6E10CAED" w14:textId="77777777" w:rsidR="0042378F" w:rsidRPr="006C3F78" w:rsidRDefault="0042378F" w:rsidP="0042378F">
            <w:pPr>
              <w:spacing w:after="0" w:line="240" w:lineRule="auto"/>
              <w:jc w:val="both"/>
              <w:rPr>
                <w:rStyle w:val="Izteiksmgs"/>
                <w:rFonts w:ascii="Times New Roman" w:hAnsi="Times New Roman" w:cs="Times New Roman"/>
                <w:b w:val="0"/>
                <w:sz w:val="24"/>
                <w:szCs w:val="24"/>
              </w:rPr>
            </w:pPr>
          </w:p>
          <w:p w14:paraId="1545DB37" w14:textId="75258761" w:rsidR="0042378F" w:rsidRPr="006C3F78" w:rsidRDefault="0042378F" w:rsidP="0042378F">
            <w:pPr>
              <w:spacing w:after="0" w:line="240" w:lineRule="auto"/>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1</w:t>
            </w:r>
            <w:r w:rsidRPr="003F2408">
              <w:rPr>
                <w:rStyle w:val="Izteiksmgs"/>
                <w:rFonts w:ascii="Times New Roman" w:hAnsi="Times New Roman" w:cs="Times New Roman"/>
                <w:b w:val="0"/>
                <w:sz w:val="24"/>
                <w:szCs w:val="24"/>
              </w:rPr>
              <w:t>. </w:t>
            </w:r>
            <w:r w:rsidR="00016373" w:rsidRPr="008C7CCB">
              <w:rPr>
                <w:rStyle w:val="Izteiksmgs"/>
                <w:rFonts w:ascii="Times New Roman" w:hAnsi="Times New Roman" w:cs="Times New Roman"/>
                <w:b w:val="0"/>
                <w:sz w:val="24"/>
                <w:szCs w:val="24"/>
              </w:rPr>
              <w:t xml:space="preserve"> Augstskolas elektroniskās vides pielāgošanas aptuvenās izmaksas</w:t>
            </w:r>
            <w:r w:rsidR="003F2408">
              <w:rPr>
                <w:rStyle w:val="Izteiksmgs"/>
                <w:rFonts w:ascii="Times New Roman" w:hAnsi="Times New Roman" w:cs="Times New Roman"/>
                <w:b w:val="0"/>
                <w:sz w:val="24"/>
                <w:szCs w:val="24"/>
              </w:rPr>
              <w:t>:</w:t>
            </w:r>
          </w:p>
          <w:tbl>
            <w:tblPr>
              <w:tblStyle w:val="Reatabula"/>
              <w:tblW w:w="5836" w:type="dxa"/>
              <w:tblLook w:val="04A0" w:firstRow="1" w:lastRow="0" w:firstColumn="1" w:lastColumn="0" w:noHBand="0" w:noVBand="1"/>
            </w:tblPr>
            <w:tblGrid>
              <w:gridCol w:w="1787"/>
              <w:gridCol w:w="1443"/>
              <w:gridCol w:w="919"/>
              <w:gridCol w:w="1687"/>
            </w:tblGrid>
            <w:tr w:rsidR="0042378F" w:rsidRPr="006C3F78" w14:paraId="3C457C21" w14:textId="77777777" w:rsidTr="00016373">
              <w:trPr>
                <w:trHeight w:val="704"/>
              </w:trPr>
              <w:tc>
                <w:tcPr>
                  <w:tcW w:w="1787" w:type="dxa"/>
                </w:tcPr>
                <w:p w14:paraId="5015EEFC"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Pakalpojums</w:t>
                  </w:r>
                </w:p>
              </w:tc>
              <w:tc>
                <w:tcPr>
                  <w:tcW w:w="1443" w:type="dxa"/>
                </w:tcPr>
                <w:p w14:paraId="747E1C26"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Stundas izmaksas</w:t>
                  </w:r>
                </w:p>
              </w:tc>
              <w:tc>
                <w:tcPr>
                  <w:tcW w:w="919" w:type="dxa"/>
                </w:tcPr>
                <w:p w14:paraId="250ADF82"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Stundu skaits</w:t>
                  </w:r>
                </w:p>
              </w:tc>
              <w:tc>
                <w:tcPr>
                  <w:tcW w:w="1687" w:type="dxa"/>
                </w:tcPr>
                <w:p w14:paraId="2D2D41E3"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Summa</w:t>
                  </w:r>
                </w:p>
              </w:tc>
            </w:tr>
            <w:tr w:rsidR="0042378F" w:rsidRPr="006C3F78" w14:paraId="69A5442F" w14:textId="77777777" w:rsidTr="00016373">
              <w:trPr>
                <w:trHeight w:val="1517"/>
              </w:trPr>
              <w:tc>
                <w:tcPr>
                  <w:tcW w:w="1787" w:type="dxa"/>
                </w:tcPr>
                <w:p w14:paraId="50B7CF96"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Sistēmas veidlapu papildināšana eksāmenu datu ievadei, apskatei un rediģēšanai</w:t>
                  </w:r>
                </w:p>
              </w:tc>
              <w:tc>
                <w:tcPr>
                  <w:tcW w:w="1443" w:type="dxa"/>
                </w:tcPr>
                <w:p w14:paraId="36A37FEA"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396F065B"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100 h</w:t>
                  </w:r>
                </w:p>
              </w:tc>
              <w:tc>
                <w:tcPr>
                  <w:tcW w:w="1687" w:type="dxa"/>
                </w:tcPr>
                <w:p w14:paraId="73539C6F"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p>
              </w:tc>
            </w:tr>
            <w:tr w:rsidR="0042378F" w:rsidRPr="006C3F78" w14:paraId="37539244" w14:textId="77777777" w:rsidTr="00016373">
              <w:trPr>
                <w:trHeight w:val="248"/>
              </w:trPr>
              <w:tc>
                <w:tcPr>
                  <w:tcW w:w="1787" w:type="dxa"/>
                </w:tcPr>
                <w:p w14:paraId="0435B4A4"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xml:space="preserve">- Sistēmas pielāgošana </w:t>
                  </w:r>
                  <w:r w:rsidRPr="006C3F78">
                    <w:rPr>
                      <w:rStyle w:val="Izteiksmgs"/>
                      <w:rFonts w:ascii="Times New Roman" w:hAnsi="Times New Roman" w:cs="Times New Roman"/>
                      <w:b w:val="0"/>
                      <w:sz w:val="24"/>
                      <w:szCs w:val="24"/>
                    </w:rPr>
                    <w:lastRenderedPageBreak/>
                    <w:t>Tieslietu ministrijas vajadzībām</w:t>
                  </w:r>
                </w:p>
              </w:tc>
              <w:tc>
                <w:tcPr>
                  <w:tcW w:w="1443" w:type="dxa"/>
                </w:tcPr>
                <w:p w14:paraId="1B5FAAD5"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lastRenderedPageBreak/>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40296A25"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213 h</w:t>
                  </w:r>
                </w:p>
              </w:tc>
              <w:tc>
                <w:tcPr>
                  <w:tcW w:w="1687" w:type="dxa"/>
                </w:tcPr>
                <w:p w14:paraId="0FD9F333"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6268,59 </w:t>
                  </w:r>
                  <w:r w:rsidRPr="006C3F78">
                    <w:rPr>
                      <w:rStyle w:val="Izteiksmgs"/>
                      <w:rFonts w:ascii="Times New Roman" w:hAnsi="Times New Roman" w:cs="Times New Roman"/>
                      <w:b w:val="0"/>
                      <w:i/>
                      <w:sz w:val="24"/>
                      <w:szCs w:val="24"/>
                    </w:rPr>
                    <w:t>euro</w:t>
                  </w:r>
                </w:p>
              </w:tc>
            </w:tr>
            <w:tr w:rsidR="0042378F" w:rsidRPr="006C3F78" w14:paraId="3E563694" w14:textId="77777777" w:rsidTr="00016373">
              <w:trPr>
                <w:trHeight w:val="248"/>
              </w:trPr>
              <w:tc>
                <w:tcPr>
                  <w:tcW w:w="1787" w:type="dxa"/>
                </w:tcPr>
                <w:p w14:paraId="1C1F1106"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Atskaišu formu sagatavošana</w:t>
                  </w:r>
                </w:p>
              </w:tc>
              <w:tc>
                <w:tcPr>
                  <w:tcW w:w="1443" w:type="dxa"/>
                </w:tcPr>
                <w:p w14:paraId="6EDCD03E"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282DDC27"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80 h</w:t>
                  </w:r>
                </w:p>
              </w:tc>
              <w:tc>
                <w:tcPr>
                  <w:tcW w:w="1687" w:type="dxa"/>
                </w:tcPr>
                <w:p w14:paraId="026380F0"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2354,4 </w:t>
                  </w:r>
                  <w:r w:rsidRPr="006C3F78">
                    <w:rPr>
                      <w:rStyle w:val="Izteiksmgs"/>
                      <w:rFonts w:ascii="Times New Roman" w:hAnsi="Times New Roman" w:cs="Times New Roman"/>
                      <w:b w:val="0"/>
                      <w:i/>
                      <w:sz w:val="24"/>
                      <w:szCs w:val="24"/>
                    </w:rPr>
                    <w:t>euro</w:t>
                  </w:r>
                </w:p>
              </w:tc>
            </w:tr>
            <w:tr w:rsidR="0042378F" w:rsidRPr="006C3F78" w14:paraId="700A08C2" w14:textId="77777777" w:rsidTr="00016373">
              <w:trPr>
                <w:trHeight w:val="248"/>
              </w:trPr>
              <w:tc>
                <w:tcPr>
                  <w:tcW w:w="1787" w:type="dxa"/>
                </w:tcPr>
                <w:p w14:paraId="0C7898DF"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Ekrāna veidlapu un sistēmas testēšana un aprobācija</w:t>
                  </w:r>
                </w:p>
              </w:tc>
              <w:tc>
                <w:tcPr>
                  <w:tcW w:w="1443" w:type="dxa"/>
                </w:tcPr>
                <w:p w14:paraId="098D69F9"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11272976"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140 h</w:t>
                  </w:r>
                </w:p>
              </w:tc>
              <w:tc>
                <w:tcPr>
                  <w:tcW w:w="1687" w:type="dxa"/>
                </w:tcPr>
                <w:p w14:paraId="266E4998"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4120,2 </w:t>
                  </w:r>
                  <w:r w:rsidRPr="006C3F78">
                    <w:rPr>
                      <w:rStyle w:val="Izteiksmgs"/>
                      <w:rFonts w:ascii="Times New Roman" w:hAnsi="Times New Roman" w:cs="Times New Roman"/>
                      <w:b w:val="0"/>
                      <w:i/>
                      <w:sz w:val="24"/>
                      <w:szCs w:val="24"/>
                    </w:rPr>
                    <w:t>euro</w:t>
                  </w:r>
                </w:p>
              </w:tc>
            </w:tr>
            <w:tr w:rsidR="0042378F" w:rsidRPr="006C3F78" w14:paraId="270254C1" w14:textId="77777777" w:rsidTr="00016373">
              <w:trPr>
                <w:trHeight w:val="248"/>
              </w:trPr>
              <w:tc>
                <w:tcPr>
                  <w:tcW w:w="1787" w:type="dxa"/>
                </w:tcPr>
                <w:p w14:paraId="4BFEF1B0"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Atbildīgo darbinieku apmācība un konsultēšana</w:t>
                  </w:r>
                </w:p>
              </w:tc>
              <w:tc>
                <w:tcPr>
                  <w:tcW w:w="1443" w:type="dxa"/>
                </w:tcPr>
                <w:p w14:paraId="0E8AC67B"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7CED127B"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32 h</w:t>
                  </w:r>
                </w:p>
              </w:tc>
              <w:tc>
                <w:tcPr>
                  <w:tcW w:w="1687" w:type="dxa"/>
                </w:tcPr>
                <w:p w14:paraId="2DEAE28F"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941,76 </w:t>
                  </w:r>
                  <w:r w:rsidRPr="006C3F78">
                    <w:rPr>
                      <w:rStyle w:val="Izteiksmgs"/>
                      <w:rFonts w:ascii="Times New Roman" w:hAnsi="Times New Roman" w:cs="Times New Roman"/>
                      <w:b w:val="0"/>
                      <w:i/>
                      <w:sz w:val="24"/>
                      <w:szCs w:val="24"/>
                    </w:rPr>
                    <w:t>euro</w:t>
                  </w:r>
                </w:p>
              </w:tc>
            </w:tr>
            <w:tr w:rsidR="0042378F" w:rsidRPr="006C3F78" w14:paraId="462B5B4B" w14:textId="77777777" w:rsidTr="00016373">
              <w:trPr>
                <w:trHeight w:val="248"/>
              </w:trPr>
              <w:tc>
                <w:tcPr>
                  <w:tcW w:w="1787" w:type="dxa"/>
                </w:tcPr>
                <w:p w14:paraId="1F7A2A8F"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Lietotāju pilnvaru definēšana</w:t>
                  </w:r>
                </w:p>
              </w:tc>
              <w:tc>
                <w:tcPr>
                  <w:tcW w:w="1443" w:type="dxa"/>
                </w:tcPr>
                <w:p w14:paraId="2CBF7D80"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19" w:type="dxa"/>
                </w:tcPr>
                <w:p w14:paraId="493E7144"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8 h</w:t>
                  </w:r>
                </w:p>
              </w:tc>
              <w:tc>
                <w:tcPr>
                  <w:tcW w:w="1687" w:type="dxa"/>
                </w:tcPr>
                <w:p w14:paraId="7B8C0867"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235,44 </w:t>
                  </w:r>
                  <w:r w:rsidRPr="006C3F78">
                    <w:rPr>
                      <w:rStyle w:val="Izteiksmgs"/>
                      <w:rFonts w:ascii="Times New Roman" w:hAnsi="Times New Roman" w:cs="Times New Roman"/>
                      <w:b w:val="0"/>
                      <w:i/>
                      <w:sz w:val="24"/>
                      <w:szCs w:val="24"/>
                    </w:rPr>
                    <w:t>euro</w:t>
                  </w:r>
                </w:p>
              </w:tc>
            </w:tr>
            <w:tr w:rsidR="0042378F" w:rsidRPr="006C3F78" w14:paraId="5F2283A4" w14:textId="77777777" w:rsidTr="00016373">
              <w:trPr>
                <w:trHeight w:val="248"/>
              </w:trPr>
              <w:tc>
                <w:tcPr>
                  <w:tcW w:w="4149" w:type="dxa"/>
                  <w:gridSpan w:val="3"/>
                </w:tcPr>
                <w:p w14:paraId="085A1A1A"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Summa bez pievienotās vērtības nodokļa</w:t>
                  </w:r>
                </w:p>
              </w:tc>
              <w:tc>
                <w:tcPr>
                  <w:tcW w:w="1687" w:type="dxa"/>
                </w:tcPr>
                <w:p w14:paraId="03A8005C"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16 863,39 </w:t>
                  </w:r>
                  <w:r w:rsidRPr="006C3F78">
                    <w:rPr>
                      <w:rStyle w:val="Izteiksmgs"/>
                      <w:rFonts w:ascii="Times New Roman" w:hAnsi="Times New Roman" w:cs="Times New Roman"/>
                      <w:b w:val="0"/>
                      <w:i/>
                      <w:sz w:val="24"/>
                      <w:szCs w:val="24"/>
                    </w:rPr>
                    <w:t>euro</w:t>
                  </w:r>
                </w:p>
              </w:tc>
            </w:tr>
            <w:tr w:rsidR="0042378F" w:rsidRPr="006C3F78" w14:paraId="200887D5" w14:textId="77777777" w:rsidTr="00016373">
              <w:trPr>
                <w:trHeight w:val="248"/>
              </w:trPr>
              <w:tc>
                <w:tcPr>
                  <w:tcW w:w="4149" w:type="dxa"/>
                  <w:gridSpan w:val="3"/>
                </w:tcPr>
                <w:p w14:paraId="4A210996"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Pievienotās vērtības nodoklis 21%</w:t>
                  </w:r>
                </w:p>
                <w:p w14:paraId="7079A59E"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p>
              </w:tc>
              <w:tc>
                <w:tcPr>
                  <w:tcW w:w="1687" w:type="dxa"/>
                </w:tcPr>
                <w:p w14:paraId="05D38E58" w14:textId="2EE73648"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3541,</w:t>
                  </w:r>
                  <w:r>
                    <w:rPr>
                      <w:rStyle w:val="Izteiksmgs"/>
                      <w:rFonts w:ascii="Times New Roman" w:hAnsi="Times New Roman" w:cs="Times New Roman"/>
                      <w:b w:val="0"/>
                      <w:sz w:val="24"/>
                      <w:szCs w:val="24"/>
                    </w:rPr>
                    <w:t>31</w:t>
                  </w:r>
                  <w:r w:rsidRPr="006C3F78">
                    <w:rPr>
                      <w:rStyle w:val="Izteiksmgs"/>
                      <w:rFonts w:ascii="Times New Roman" w:hAnsi="Times New Roman" w:cs="Times New Roman"/>
                      <w:b w:val="0"/>
                      <w:sz w:val="24"/>
                      <w:szCs w:val="24"/>
                    </w:rPr>
                    <w:t> </w:t>
                  </w:r>
                  <w:r w:rsidRPr="006C3F78">
                    <w:rPr>
                      <w:rStyle w:val="Izteiksmgs"/>
                      <w:rFonts w:ascii="Times New Roman" w:hAnsi="Times New Roman" w:cs="Times New Roman"/>
                      <w:b w:val="0"/>
                      <w:i/>
                      <w:sz w:val="24"/>
                      <w:szCs w:val="24"/>
                    </w:rPr>
                    <w:t>euro</w:t>
                  </w:r>
                </w:p>
              </w:tc>
            </w:tr>
            <w:tr w:rsidR="0042378F" w:rsidRPr="006C3F78" w14:paraId="3FFDF09E" w14:textId="77777777" w:rsidTr="00016373">
              <w:trPr>
                <w:trHeight w:val="248"/>
              </w:trPr>
              <w:tc>
                <w:tcPr>
                  <w:tcW w:w="4149" w:type="dxa"/>
                  <w:gridSpan w:val="3"/>
                </w:tcPr>
                <w:p w14:paraId="024FC342"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Summa kopā</w:t>
                  </w:r>
                </w:p>
                <w:p w14:paraId="49027C64"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p>
              </w:tc>
              <w:tc>
                <w:tcPr>
                  <w:tcW w:w="1687" w:type="dxa"/>
                </w:tcPr>
                <w:p w14:paraId="7F6AD1C2" w14:textId="29A1D888"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20 404,</w:t>
                  </w:r>
                  <w:r>
                    <w:rPr>
                      <w:rStyle w:val="Izteiksmgs"/>
                      <w:rFonts w:ascii="Times New Roman" w:hAnsi="Times New Roman" w:cs="Times New Roman"/>
                      <w:b w:val="0"/>
                      <w:sz w:val="24"/>
                      <w:szCs w:val="24"/>
                    </w:rPr>
                    <w:t>70</w:t>
                  </w:r>
                  <w:r w:rsidRPr="006C3F78">
                    <w:rPr>
                      <w:rStyle w:val="Izteiksmgs"/>
                      <w:rFonts w:ascii="Times New Roman" w:hAnsi="Times New Roman" w:cs="Times New Roman"/>
                      <w:b w:val="0"/>
                      <w:sz w:val="24"/>
                      <w:szCs w:val="24"/>
                    </w:rPr>
                    <w:t> </w:t>
                  </w:r>
                  <w:r w:rsidRPr="006C3F78">
                    <w:rPr>
                      <w:rStyle w:val="Izteiksmgs"/>
                      <w:rFonts w:ascii="Times New Roman" w:hAnsi="Times New Roman" w:cs="Times New Roman"/>
                      <w:b w:val="0"/>
                      <w:i/>
                      <w:sz w:val="24"/>
                      <w:szCs w:val="24"/>
                    </w:rPr>
                    <w:t>euro</w:t>
                  </w:r>
                </w:p>
              </w:tc>
            </w:tr>
          </w:tbl>
          <w:p w14:paraId="0C04C208" w14:textId="77777777" w:rsidR="0042378F" w:rsidRPr="006C3F78" w:rsidRDefault="0042378F" w:rsidP="0042378F">
            <w:pPr>
              <w:spacing w:after="0" w:line="240" w:lineRule="auto"/>
              <w:jc w:val="both"/>
              <w:rPr>
                <w:rStyle w:val="Izteiksmgs"/>
                <w:rFonts w:ascii="Times New Roman" w:hAnsi="Times New Roman" w:cs="Times New Roman"/>
                <w:b w:val="0"/>
                <w:sz w:val="24"/>
                <w:szCs w:val="24"/>
              </w:rPr>
            </w:pPr>
          </w:p>
          <w:p w14:paraId="2D945E36" w14:textId="3F884F22" w:rsidR="0042378F" w:rsidRPr="006C3F78" w:rsidRDefault="0042378F" w:rsidP="0042378F">
            <w:pPr>
              <w:spacing w:after="0" w:line="240" w:lineRule="auto"/>
              <w:ind w:firstLine="720"/>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Lai nodrošinātu kvalitatīvu un pilnvērtīgu kvalifikācijas eksāmena norisi,</w:t>
            </w:r>
            <w:r w:rsidR="008C7CCB">
              <w:rPr>
                <w:rStyle w:val="Izteiksmgs"/>
                <w:rFonts w:ascii="Times New Roman" w:hAnsi="Times New Roman" w:cs="Times New Roman"/>
                <w:b w:val="0"/>
                <w:sz w:val="24"/>
                <w:szCs w:val="24"/>
              </w:rPr>
              <w:t xml:space="preserve"> </w:t>
            </w:r>
            <w:r w:rsidRPr="006C3F78">
              <w:rPr>
                <w:rStyle w:val="Izteiksmgs"/>
                <w:rFonts w:ascii="Times New Roman" w:hAnsi="Times New Roman" w:cs="Times New Roman"/>
                <w:b w:val="0"/>
                <w:sz w:val="24"/>
                <w:szCs w:val="24"/>
              </w:rPr>
              <w:t>elektroniskās vides funkcionalitāti nepieciešams pielāgot kvalifikācijas eksāmena prasībām. Sistēmas funkcionalitāte tiks izstrādāta, ņemot par pamatu un papildinot funkcionējošo mācību priekšmetu olimpiāžu norises tiešsaistes un zinātniski pētniecisko darbu, kā arī Latvijas Universitātes e-studiju vides vienoto sistēmu. Latvijas Universitātes e-studiju vides sistēmas nodrošināšanai ir jaudīgs un mūsdienīgs serveris ar 32 procesoru kodoliem, 256 GB operatīvo atmiņu, SSD</w:t>
            </w:r>
            <w:r w:rsidRPr="00002050">
              <w:rPr>
                <w:rStyle w:val="Izteiksmgs"/>
                <w:rFonts w:ascii="Times New Roman" w:hAnsi="Times New Roman" w:cs="Times New Roman"/>
                <w:sz w:val="24"/>
                <w:szCs w:val="24"/>
              </w:rPr>
              <w:t xml:space="preserve"> </w:t>
            </w:r>
            <w:r w:rsidRPr="006C3F78">
              <w:rPr>
                <w:rStyle w:val="Izteiksmgs"/>
                <w:rFonts w:ascii="Times New Roman" w:hAnsi="Times New Roman" w:cs="Times New Roman"/>
                <w:b w:val="0"/>
                <w:sz w:val="24"/>
                <w:szCs w:val="24"/>
              </w:rPr>
              <w:t>diskiem zibenīgai informācijas saglabāšanas nodrošināšanai. Serveris ar tā programmnodrošinājumu ir praksē pārbaudīts ar vairāk nekā 2500 vienlaicīgiem tiešsaistes olimpiādes dalībniekiem, turklāt servera noslodze nepārsniedza 50% (līdz ar to sistēma spēj nodrošināt tiešsaistes testa norisi un darbu vērtēšanu vairāk nekā 5000 vienlaicīgiem dalībniekiem). Sistēmas programmatūra ļauj efektīvi pārvaldīt un kontrolēt visus tiešsaistes eksāmena posmus – gan dalībnieku pieteikšanu, gan reģistrēšanos, kā arī atļauj nodalīt eksāmena iesaistīto dalībnieku lomas un atbildības. Eksāmena pārvaldības modulī ir iespējams:</w:t>
            </w:r>
          </w:p>
          <w:p w14:paraId="2FEF0506"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Norādīt e-pasta tekstu šablonus, kuri tiek dinamiski izmantoti automātiski izsūtīto e-pastu sagatavošanai, piesakot dalībniekus un eksaminētājus, piesakot izglītības iestāžu atbildīgos, uzaicinot dalībniekus, uzaicinot eksaminētājus, atceļot dalībnieku uzaicinājumus;</w:t>
            </w:r>
          </w:p>
          <w:p w14:paraId="7FA094FD"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Katram eksāmenam noteikt un kontrolēt pieteikšanas sākumu un beigu datumus, uzaicināšanas beigu datumu un uzaicinājumu atcelšanas beigu datumus;</w:t>
            </w:r>
          </w:p>
          <w:p w14:paraId="4E8097A2"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Katram eksāmenam definēt patvaļīgu dalībnieku skaitu, kā arī elastīgi organizēt piekļuves tiesības katrai dalībnieku grupai;</w:t>
            </w:r>
          </w:p>
          <w:p w14:paraId="36460715"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lastRenderedPageBreak/>
              <w:t>Atbildīgajiem nodrošināt kaskadētu atbildīgo pieteikšanas funkciju, kā arī iespēju ērti pārskatīt pieteiktos dalībniekus un to statusus;</w:t>
            </w:r>
          </w:p>
          <w:p w14:paraId="378A7351"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Iestāžu atbildīgajiem pieteikt dalībniekus, kā arī redzēt visus savā iestādē pieteiktos dalībniekus un to statusu eksaminācijā (pieteikts, uzaicināts uz eksāmenu, bet nav reģistrējies, uzaicināts uz eksāmenu, un ir reģistrējies), labot to kontaktinformāciju un nomainīt paroles;</w:t>
            </w:r>
          </w:p>
          <w:p w14:paraId="5576B73A"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Uzkrāt vienotu eksaminācijā efektīvi izmantojamu dalībnieku datu bāzi;</w:t>
            </w:r>
          </w:p>
          <w:p w14:paraId="46600CE1"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 xml:space="preserve">Jaunu dalībnieku pieteikšanas brīdī automātiski pārbaudīt personas kodu </w:t>
            </w:r>
            <w:proofErr w:type="spellStart"/>
            <w:r w:rsidRPr="006C3F78">
              <w:rPr>
                <w:rStyle w:val="Izteiksmgs"/>
                <w:rFonts w:ascii="Times New Roman" w:hAnsi="Times New Roman"/>
                <w:b w:val="0"/>
                <w:sz w:val="24"/>
                <w:szCs w:val="24"/>
              </w:rPr>
              <w:t>validitāti</w:t>
            </w:r>
            <w:proofErr w:type="spellEnd"/>
            <w:r w:rsidRPr="006C3F78">
              <w:rPr>
                <w:rStyle w:val="Izteiksmgs"/>
                <w:rFonts w:ascii="Times New Roman" w:hAnsi="Times New Roman"/>
                <w:b w:val="0"/>
                <w:sz w:val="24"/>
                <w:szCs w:val="24"/>
              </w:rPr>
              <w:t xml:space="preserve"> atbilstoši normatīvajiem aktiem, lai maksimāli samazinātu ievadīto datu kļūdu iespējamību;</w:t>
            </w:r>
          </w:p>
          <w:p w14:paraId="6DDAE149"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Personas datu glabāšanu atbilstoši normatīvajiem aktiem personas datu aizsardzības nodrošināšanas jomā;</w:t>
            </w:r>
          </w:p>
          <w:p w14:paraId="0101ADA7"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Nodrošināt eksaminācijas dalībniekiem reģistrēšanos uz eksāmenu atbilstoši pārvaldības modulī noteiktajiem termiņiem;</w:t>
            </w:r>
          </w:p>
          <w:p w14:paraId="386F8429"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Nodrošināt eksaminācijas dalībnieku individuālu laika kontroli eksāmenu norises laikā;</w:t>
            </w:r>
          </w:p>
          <w:p w14:paraId="292DDDFB"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Nodrošināt atbilstoši prasībām automātisku vai anonīmu iesniegto darbu vērtēšanu;</w:t>
            </w:r>
          </w:p>
          <w:p w14:paraId="5FA9B741" w14:textId="77777777" w:rsidR="0042378F" w:rsidRPr="006C3F78" w:rsidRDefault="0042378F" w:rsidP="0042378F">
            <w:pPr>
              <w:pStyle w:val="Sarakstarindkopa"/>
              <w:numPr>
                <w:ilvl w:val="0"/>
                <w:numId w:val="3"/>
              </w:numPr>
              <w:spacing w:after="0" w:line="240" w:lineRule="auto"/>
              <w:jc w:val="both"/>
              <w:rPr>
                <w:rStyle w:val="Izteiksmgs"/>
                <w:rFonts w:ascii="Times New Roman" w:hAnsi="Times New Roman"/>
                <w:b w:val="0"/>
                <w:sz w:val="24"/>
                <w:szCs w:val="24"/>
              </w:rPr>
            </w:pPr>
            <w:r w:rsidRPr="006C3F78">
              <w:rPr>
                <w:rStyle w:val="Izteiksmgs"/>
                <w:rFonts w:ascii="Times New Roman" w:hAnsi="Times New Roman"/>
                <w:b w:val="0"/>
                <w:sz w:val="24"/>
                <w:szCs w:val="24"/>
              </w:rPr>
              <w:t>Eksaminācijas dalībniekiem ilgstoši pēc eksāmena pabeigšanas nodrošināt savu rezultātu pieejamību;</w:t>
            </w:r>
          </w:p>
          <w:p w14:paraId="0CE826FC" w14:textId="77777777" w:rsidR="0042378F" w:rsidRPr="006C3F78" w:rsidRDefault="0042378F" w:rsidP="0042378F">
            <w:pPr>
              <w:pStyle w:val="Sarakstarindkopa"/>
              <w:numPr>
                <w:ilvl w:val="0"/>
                <w:numId w:val="3"/>
              </w:numPr>
              <w:spacing w:after="0" w:line="240" w:lineRule="auto"/>
              <w:jc w:val="both"/>
              <w:rPr>
                <w:rFonts w:ascii="Times New Roman" w:hAnsi="Times New Roman"/>
                <w:b/>
                <w:bCs/>
                <w:sz w:val="24"/>
                <w:szCs w:val="24"/>
              </w:rPr>
            </w:pPr>
            <w:r w:rsidRPr="006C3F78">
              <w:rPr>
                <w:rStyle w:val="Izteiksmgs"/>
                <w:rFonts w:ascii="Times New Roman" w:hAnsi="Times New Roman"/>
                <w:b w:val="0"/>
                <w:sz w:val="24"/>
                <w:szCs w:val="24"/>
              </w:rPr>
              <w:t>Dažāda veida atskaites par eksāmeniem.</w:t>
            </w:r>
          </w:p>
          <w:p w14:paraId="412C5A61" w14:textId="5C7306C9" w:rsidR="0042378F" w:rsidRPr="003F2408" w:rsidRDefault="0042378F" w:rsidP="0042378F">
            <w:pPr>
              <w:spacing w:after="0" w:line="240" w:lineRule="auto"/>
              <w:jc w:val="both"/>
              <w:rPr>
                <w:rFonts w:ascii="Times New Roman" w:eastAsia="Times New Roman" w:hAnsi="Times New Roman" w:cs="Times New Roman"/>
                <w:sz w:val="24"/>
                <w:szCs w:val="24"/>
                <w:lang w:eastAsia="lv-LV"/>
              </w:rPr>
            </w:pPr>
            <w:r w:rsidRPr="003F2408">
              <w:rPr>
                <w:rFonts w:ascii="Times New Roman" w:eastAsia="Times New Roman" w:hAnsi="Times New Roman" w:cs="Times New Roman"/>
                <w:sz w:val="24"/>
                <w:szCs w:val="24"/>
                <w:lang w:eastAsia="lv-LV"/>
              </w:rPr>
              <w:t>2. </w:t>
            </w:r>
            <w:r w:rsidR="005C3F97" w:rsidRPr="008C7CCB">
              <w:rPr>
                <w:rStyle w:val="Izteiksmgs"/>
                <w:rFonts w:ascii="Times New Roman" w:hAnsi="Times New Roman" w:cs="Times New Roman"/>
                <w:b w:val="0"/>
                <w:sz w:val="24"/>
                <w:szCs w:val="24"/>
              </w:rPr>
              <w:t xml:space="preserve"> </w:t>
            </w:r>
            <w:r w:rsidR="008C7CCB">
              <w:rPr>
                <w:rStyle w:val="Izteiksmgs"/>
                <w:rFonts w:ascii="Times New Roman" w:hAnsi="Times New Roman" w:cs="Times New Roman"/>
                <w:b w:val="0"/>
                <w:sz w:val="24"/>
                <w:szCs w:val="24"/>
              </w:rPr>
              <w:t>E</w:t>
            </w:r>
            <w:r w:rsidR="005C3F97" w:rsidRPr="008C7CCB">
              <w:rPr>
                <w:rStyle w:val="Izteiksmgs"/>
                <w:rFonts w:ascii="Times New Roman" w:hAnsi="Times New Roman" w:cs="Times New Roman"/>
                <w:b w:val="0"/>
                <w:sz w:val="24"/>
                <w:szCs w:val="24"/>
              </w:rPr>
              <w:t>lektroniskās vides uzturēšana (izmaksas katru gadu) aptuvenās izmaksas</w:t>
            </w:r>
            <w:r w:rsidR="003F2408">
              <w:rPr>
                <w:rStyle w:val="Izteiksmgs"/>
                <w:rFonts w:ascii="Times New Roman" w:hAnsi="Times New Roman" w:cs="Times New Roman"/>
                <w:b w:val="0"/>
                <w:sz w:val="24"/>
                <w:szCs w:val="24"/>
              </w:rPr>
              <w:t>:</w:t>
            </w:r>
          </w:p>
          <w:tbl>
            <w:tblPr>
              <w:tblStyle w:val="Reatabula"/>
              <w:tblW w:w="5836" w:type="dxa"/>
              <w:tblLook w:val="04A0" w:firstRow="1" w:lastRow="0" w:firstColumn="1" w:lastColumn="0" w:noHBand="0" w:noVBand="1"/>
            </w:tblPr>
            <w:tblGrid>
              <w:gridCol w:w="1875"/>
              <w:gridCol w:w="1443"/>
              <w:gridCol w:w="922"/>
              <w:gridCol w:w="1596"/>
            </w:tblGrid>
            <w:tr w:rsidR="0042378F" w:rsidRPr="006C3F78" w14:paraId="655233FB" w14:textId="77777777" w:rsidTr="008C7CCB">
              <w:trPr>
                <w:trHeight w:val="704"/>
              </w:trPr>
              <w:tc>
                <w:tcPr>
                  <w:tcW w:w="1875" w:type="dxa"/>
                </w:tcPr>
                <w:p w14:paraId="09DE8E82"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Pakalpojums</w:t>
                  </w:r>
                </w:p>
              </w:tc>
              <w:tc>
                <w:tcPr>
                  <w:tcW w:w="1443" w:type="dxa"/>
                </w:tcPr>
                <w:p w14:paraId="3A0DD6C3"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Stundas izmaksas</w:t>
                  </w:r>
                </w:p>
              </w:tc>
              <w:tc>
                <w:tcPr>
                  <w:tcW w:w="922" w:type="dxa"/>
                </w:tcPr>
                <w:p w14:paraId="3FF4BFE5"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Stundu skaits</w:t>
                  </w:r>
                </w:p>
              </w:tc>
              <w:tc>
                <w:tcPr>
                  <w:tcW w:w="1596" w:type="dxa"/>
                </w:tcPr>
                <w:p w14:paraId="2B7291DA"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i/>
                      <w:sz w:val="24"/>
                      <w:szCs w:val="24"/>
                    </w:rPr>
                  </w:pPr>
                  <w:r w:rsidRPr="006C3F78">
                    <w:rPr>
                      <w:rStyle w:val="Izteiksmgs"/>
                      <w:rFonts w:ascii="Times New Roman" w:hAnsi="Times New Roman" w:cs="Times New Roman"/>
                      <w:b w:val="0"/>
                      <w:i/>
                      <w:sz w:val="24"/>
                      <w:szCs w:val="24"/>
                    </w:rPr>
                    <w:t>Summa</w:t>
                  </w:r>
                </w:p>
              </w:tc>
            </w:tr>
            <w:tr w:rsidR="0042378F" w:rsidRPr="006C3F78" w14:paraId="2CB3AEE8" w14:textId="77777777" w:rsidTr="008C7CCB">
              <w:trPr>
                <w:trHeight w:val="1517"/>
              </w:trPr>
              <w:tc>
                <w:tcPr>
                  <w:tcW w:w="1875" w:type="dxa"/>
                </w:tcPr>
                <w:p w14:paraId="1DA11195" w14:textId="77777777" w:rsidR="0042378F" w:rsidRPr="006C3F78" w:rsidRDefault="0042378F" w:rsidP="00943CE9">
                  <w:pPr>
                    <w:framePr w:hSpace="180" w:wrap="around" w:vAnchor="text" w:hAnchor="margin" w:xAlign="center" w:y="149"/>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 Sistēmas uzturēšana (rezerves kopijas, piekļuve datiem, ikgadēja kvalifikācijas eksāmena nodrošināšana)</w:t>
                  </w:r>
                </w:p>
              </w:tc>
              <w:tc>
                <w:tcPr>
                  <w:tcW w:w="1443" w:type="dxa"/>
                </w:tcPr>
                <w:p w14:paraId="472C3C19"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29,43 </w:t>
                  </w:r>
                  <w:r w:rsidRPr="006C3F78">
                    <w:rPr>
                      <w:rStyle w:val="Izteiksmgs"/>
                      <w:rFonts w:ascii="Times New Roman" w:hAnsi="Times New Roman" w:cs="Times New Roman"/>
                      <w:b w:val="0"/>
                      <w:i/>
                      <w:sz w:val="24"/>
                      <w:szCs w:val="24"/>
                    </w:rPr>
                    <w:t>euro</w:t>
                  </w:r>
                  <w:r w:rsidRPr="006C3F78">
                    <w:rPr>
                      <w:rStyle w:val="Izteiksmgs"/>
                      <w:rFonts w:ascii="Times New Roman" w:hAnsi="Times New Roman" w:cs="Times New Roman"/>
                      <w:b w:val="0"/>
                      <w:sz w:val="24"/>
                      <w:szCs w:val="24"/>
                    </w:rPr>
                    <w:t>/h</w:t>
                  </w:r>
                </w:p>
              </w:tc>
              <w:tc>
                <w:tcPr>
                  <w:tcW w:w="922" w:type="dxa"/>
                </w:tcPr>
                <w:p w14:paraId="070A630D"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80 h</w:t>
                  </w:r>
                </w:p>
              </w:tc>
              <w:tc>
                <w:tcPr>
                  <w:tcW w:w="1596" w:type="dxa"/>
                </w:tcPr>
                <w:p w14:paraId="3486A6A4"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2354,40 </w:t>
                  </w:r>
                  <w:r w:rsidRPr="006C3F78">
                    <w:rPr>
                      <w:rStyle w:val="Izteiksmgs"/>
                      <w:rFonts w:ascii="Times New Roman" w:hAnsi="Times New Roman" w:cs="Times New Roman"/>
                      <w:b w:val="0"/>
                      <w:i/>
                      <w:sz w:val="24"/>
                      <w:szCs w:val="24"/>
                    </w:rPr>
                    <w:t>euro</w:t>
                  </w:r>
                </w:p>
              </w:tc>
            </w:tr>
            <w:tr w:rsidR="0042378F" w:rsidRPr="006C3F78" w14:paraId="76842AD3" w14:textId="77777777" w:rsidTr="008C7CCB">
              <w:trPr>
                <w:trHeight w:val="704"/>
              </w:trPr>
              <w:tc>
                <w:tcPr>
                  <w:tcW w:w="4240" w:type="dxa"/>
                  <w:gridSpan w:val="3"/>
                </w:tcPr>
                <w:p w14:paraId="0449BF25"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Summa bez pievienotās vērtības nodokļa</w:t>
                  </w:r>
                </w:p>
              </w:tc>
              <w:tc>
                <w:tcPr>
                  <w:tcW w:w="1596" w:type="dxa"/>
                </w:tcPr>
                <w:p w14:paraId="1C369F26"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2354,40 </w:t>
                  </w:r>
                  <w:r w:rsidRPr="006C3F78">
                    <w:rPr>
                      <w:rStyle w:val="Izteiksmgs"/>
                      <w:rFonts w:ascii="Times New Roman" w:hAnsi="Times New Roman" w:cs="Times New Roman"/>
                      <w:b w:val="0"/>
                      <w:i/>
                      <w:sz w:val="24"/>
                      <w:szCs w:val="24"/>
                    </w:rPr>
                    <w:t>euro</w:t>
                  </w:r>
                </w:p>
              </w:tc>
            </w:tr>
            <w:tr w:rsidR="0042378F" w:rsidRPr="006C3F78" w14:paraId="5CCAC406" w14:textId="77777777" w:rsidTr="008C7CCB">
              <w:trPr>
                <w:trHeight w:val="704"/>
              </w:trPr>
              <w:tc>
                <w:tcPr>
                  <w:tcW w:w="4240" w:type="dxa"/>
                  <w:gridSpan w:val="3"/>
                </w:tcPr>
                <w:p w14:paraId="476BDF6E"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Pievienotās vērtības nodoklis 21%</w:t>
                  </w:r>
                </w:p>
                <w:p w14:paraId="106765B1"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p>
              </w:tc>
              <w:tc>
                <w:tcPr>
                  <w:tcW w:w="1596" w:type="dxa"/>
                </w:tcPr>
                <w:p w14:paraId="69B4EBE6"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494,42 </w:t>
                  </w:r>
                  <w:r w:rsidRPr="006C3F78">
                    <w:rPr>
                      <w:rStyle w:val="Izteiksmgs"/>
                      <w:rFonts w:ascii="Times New Roman" w:hAnsi="Times New Roman" w:cs="Times New Roman"/>
                      <w:b w:val="0"/>
                      <w:i/>
                      <w:sz w:val="24"/>
                      <w:szCs w:val="24"/>
                    </w:rPr>
                    <w:t>euro</w:t>
                  </w:r>
                </w:p>
              </w:tc>
            </w:tr>
            <w:tr w:rsidR="0042378F" w:rsidRPr="006C3F78" w14:paraId="6E835ED4" w14:textId="77777777" w:rsidTr="008C7CCB">
              <w:trPr>
                <w:trHeight w:val="704"/>
              </w:trPr>
              <w:tc>
                <w:tcPr>
                  <w:tcW w:w="4240" w:type="dxa"/>
                  <w:gridSpan w:val="3"/>
                </w:tcPr>
                <w:p w14:paraId="69CF027A"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Summa kopā</w:t>
                  </w:r>
                </w:p>
                <w:p w14:paraId="459EFC87" w14:textId="77777777" w:rsidR="0042378F" w:rsidRPr="006C3F78" w:rsidRDefault="0042378F" w:rsidP="00943CE9">
                  <w:pPr>
                    <w:framePr w:hSpace="180" w:wrap="around" w:vAnchor="text" w:hAnchor="margin" w:xAlign="center" w:y="149"/>
                    <w:jc w:val="right"/>
                    <w:rPr>
                      <w:rStyle w:val="Izteiksmgs"/>
                      <w:rFonts w:ascii="Times New Roman" w:hAnsi="Times New Roman" w:cs="Times New Roman"/>
                      <w:b w:val="0"/>
                      <w:sz w:val="24"/>
                      <w:szCs w:val="24"/>
                    </w:rPr>
                  </w:pPr>
                </w:p>
              </w:tc>
              <w:tc>
                <w:tcPr>
                  <w:tcW w:w="1596" w:type="dxa"/>
                </w:tcPr>
                <w:p w14:paraId="7F4AAAB2" w14:textId="77777777" w:rsidR="0042378F" w:rsidRPr="006C3F78" w:rsidRDefault="0042378F" w:rsidP="00943CE9">
                  <w:pPr>
                    <w:framePr w:hSpace="180" w:wrap="around" w:vAnchor="text" w:hAnchor="margin" w:xAlign="center" w:y="149"/>
                    <w:jc w:val="both"/>
                    <w:rPr>
                      <w:rStyle w:val="Izteiksmgs"/>
                      <w:rFonts w:ascii="Times New Roman" w:hAnsi="Times New Roman" w:cs="Times New Roman"/>
                      <w:b w:val="0"/>
                      <w:sz w:val="24"/>
                      <w:szCs w:val="24"/>
                    </w:rPr>
                  </w:pPr>
                  <w:r w:rsidRPr="006C3F78">
                    <w:rPr>
                      <w:rStyle w:val="Izteiksmgs"/>
                      <w:rFonts w:ascii="Times New Roman" w:hAnsi="Times New Roman" w:cs="Times New Roman"/>
                      <w:b w:val="0"/>
                      <w:sz w:val="24"/>
                      <w:szCs w:val="24"/>
                    </w:rPr>
                    <w:t>2848,82 </w:t>
                  </w:r>
                  <w:r w:rsidRPr="006C3F78">
                    <w:rPr>
                      <w:rStyle w:val="Izteiksmgs"/>
                      <w:rFonts w:ascii="Times New Roman" w:hAnsi="Times New Roman" w:cs="Times New Roman"/>
                      <w:b w:val="0"/>
                      <w:i/>
                      <w:sz w:val="24"/>
                      <w:szCs w:val="24"/>
                    </w:rPr>
                    <w:t>euro</w:t>
                  </w:r>
                </w:p>
              </w:tc>
            </w:tr>
          </w:tbl>
          <w:p w14:paraId="40D9E812" w14:textId="77777777" w:rsidR="0042378F" w:rsidRPr="00002050" w:rsidRDefault="0042378F" w:rsidP="0042378F">
            <w:pPr>
              <w:spacing w:after="0" w:line="240" w:lineRule="auto"/>
              <w:jc w:val="both"/>
              <w:rPr>
                <w:rFonts w:ascii="Times New Roman" w:eastAsia="Times New Roman" w:hAnsi="Times New Roman" w:cs="Times New Roman"/>
                <w:sz w:val="24"/>
                <w:szCs w:val="24"/>
                <w:lang w:eastAsia="lv-LV"/>
              </w:rPr>
            </w:pPr>
          </w:p>
          <w:p w14:paraId="3925B0C4" w14:textId="3EECADB3" w:rsidR="0042378F" w:rsidRPr="00314220" w:rsidRDefault="0042378F" w:rsidP="008C7CCB">
            <w:pPr>
              <w:spacing w:after="0" w:line="240" w:lineRule="auto"/>
              <w:jc w:val="both"/>
              <w:rPr>
                <w:rFonts w:ascii="Times New Roman" w:eastAsia="Times New Roman" w:hAnsi="Times New Roman" w:cs="Times New Roman"/>
                <w:bCs/>
                <w:sz w:val="24"/>
                <w:szCs w:val="24"/>
                <w:lang w:eastAsia="lv-LV"/>
              </w:rPr>
            </w:pPr>
            <w:r w:rsidRPr="00002050">
              <w:rPr>
                <w:rFonts w:ascii="Times New Roman" w:eastAsia="Times New Roman" w:hAnsi="Times New Roman" w:cs="Times New Roman"/>
                <w:sz w:val="24"/>
                <w:szCs w:val="24"/>
                <w:lang w:eastAsia="lv-LV"/>
              </w:rPr>
              <w:t>Ņemot vērā to, ka katru gadu dažādi funkcionējoši aspekti saistībā ar kvalifikācijas eksāmenu un tā norisi var mainīties, kā arī faktu, ka  elektroniskās vides uzturēšana veido izmaksas, gadā veidosies papildu izmaksas elektroniskās vides uzturēšanai iepriekš norādītajā apmērā.</w:t>
            </w:r>
          </w:p>
        </w:tc>
      </w:tr>
      <w:tr w:rsidR="00E6238C" w:rsidRPr="00AB0440" w14:paraId="7A1F2CB8" w14:textId="77777777" w:rsidTr="008C7CCB">
        <w:trPr>
          <w:trHeight w:val="348"/>
        </w:trPr>
        <w:tc>
          <w:tcPr>
            <w:tcW w:w="2130" w:type="dxa"/>
            <w:shd w:val="clear" w:color="auto" w:fill="auto"/>
          </w:tcPr>
          <w:p w14:paraId="400ED4E9"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6.1. detalizēts ieņēmumu aprēķins</w:t>
            </w:r>
          </w:p>
        </w:tc>
        <w:tc>
          <w:tcPr>
            <w:tcW w:w="7221" w:type="dxa"/>
            <w:gridSpan w:val="8"/>
            <w:vMerge/>
            <w:vAlign w:val="center"/>
          </w:tcPr>
          <w:p w14:paraId="140AB71A" w14:textId="77777777" w:rsidR="00E6238C" w:rsidRPr="00314220" w:rsidRDefault="00E6238C" w:rsidP="00E6238C">
            <w:pPr>
              <w:spacing w:after="0" w:line="240" w:lineRule="auto"/>
              <w:ind w:firstLine="431"/>
              <w:jc w:val="center"/>
              <w:rPr>
                <w:rFonts w:ascii="Times New Roman" w:eastAsia="Times New Roman" w:hAnsi="Times New Roman" w:cs="Times New Roman"/>
                <w:bCs/>
                <w:sz w:val="24"/>
                <w:szCs w:val="24"/>
                <w:lang w:eastAsia="lv-LV"/>
              </w:rPr>
            </w:pPr>
          </w:p>
        </w:tc>
      </w:tr>
      <w:tr w:rsidR="00E6238C" w:rsidRPr="00AB0440" w14:paraId="3F8B9232" w14:textId="77777777" w:rsidTr="008C7CCB">
        <w:trPr>
          <w:trHeight w:val="348"/>
        </w:trPr>
        <w:tc>
          <w:tcPr>
            <w:tcW w:w="2130" w:type="dxa"/>
            <w:shd w:val="clear" w:color="auto" w:fill="auto"/>
          </w:tcPr>
          <w:p w14:paraId="19038B9A"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6.2. detalizēts izdevumu aprēķins</w:t>
            </w:r>
          </w:p>
        </w:tc>
        <w:tc>
          <w:tcPr>
            <w:tcW w:w="7221" w:type="dxa"/>
            <w:gridSpan w:val="8"/>
            <w:vMerge/>
            <w:vAlign w:val="center"/>
          </w:tcPr>
          <w:p w14:paraId="380F570E" w14:textId="77777777" w:rsidR="00E6238C" w:rsidRPr="00314220" w:rsidRDefault="00E6238C" w:rsidP="00E6238C">
            <w:pPr>
              <w:spacing w:after="0" w:line="240" w:lineRule="auto"/>
              <w:ind w:firstLine="431"/>
              <w:jc w:val="center"/>
              <w:rPr>
                <w:rFonts w:ascii="Times New Roman" w:eastAsia="Times New Roman" w:hAnsi="Times New Roman" w:cs="Times New Roman"/>
                <w:bCs/>
                <w:sz w:val="24"/>
                <w:szCs w:val="24"/>
                <w:lang w:eastAsia="lv-LV"/>
              </w:rPr>
            </w:pPr>
          </w:p>
        </w:tc>
      </w:tr>
      <w:tr w:rsidR="00E6238C" w:rsidRPr="00AB0440" w14:paraId="6D1D04C9" w14:textId="77777777" w:rsidTr="008C7CCB">
        <w:trPr>
          <w:trHeight w:val="348"/>
        </w:trPr>
        <w:tc>
          <w:tcPr>
            <w:tcW w:w="2130" w:type="dxa"/>
            <w:shd w:val="clear" w:color="auto" w:fill="auto"/>
          </w:tcPr>
          <w:p w14:paraId="68746765" w14:textId="77777777" w:rsidR="00E6238C" w:rsidRPr="001B3605" w:rsidRDefault="00E6238C" w:rsidP="00E6238C">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7. Amata vietu skaita izmaiņas</w:t>
            </w:r>
          </w:p>
        </w:tc>
        <w:tc>
          <w:tcPr>
            <w:tcW w:w="7221" w:type="dxa"/>
            <w:gridSpan w:val="8"/>
            <w:vAlign w:val="center"/>
          </w:tcPr>
          <w:p w14:paraId="54AF88B9" w14:textId="37629127" w:rsidR="00E6238C" w:rsidRPr="00314220" w:rsidRDefault="008554A9" w:rsidP="00A324DC">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E6238C">
              <w:rPr>
                <w:rFonts w:ascii="Times New Roman" w:eastAsia="Times New Roman" w:hAnsi="Times New Roman" w:cs="Times New Roman"/>
                <w:bCs/>
                <w:sz w:val="24"/>
                <w:szCs w:val="24"/>
                <w:lang w:eastAsia="lv-LV"/>
              </w:rPr>
              <w:t xml:space="preserve">rojekts šo jomu neskar. </w:t>
            </w:r>
          </w:p>
        </w:tc>
      </w:tr>
      <w:tr w:rsidR="008A1005" w:rsidRPr="00AB0440" w14:paraId="1BA8E8B2" w14:textId="77777777" w:rsidTr="008C7CCB">
        <w:trPr>
          <w:trHeight w:val="348"/>
        </w:trPr>
        <w:tc>
          <w:tcPr>
            <w:tcW w:w="2130" w:type="dxa"/>
            <w:shd w:val="clear" w:color="auto" w:fill="auto"/>
          </w:tcPr>
          <w:p w14:paraId="0D4D7C39" w14:textId="77777777" w:rsidR="008A1005" w:rsidRPr="001B3605" w:rsidRDefault="008A1005" w:rsidP="008A10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 Cita informācija.</w:t>
            </w:r>
          </w:p>
        </w:tc>
        <w:tc>
          <w:tcPr>
            <w:tcW w:w="7221" w:type="dxa"/>
            <w:gridSpan w:val="8"/>
          </w:tcPr>
          <w:p w14:paraId="432C759D" w14:textId="03134C1E" w:rsidR="008A1005" w:rsidRPr="00C422C9" w:rsidRDefault="00D2405B" w:rsidP="008C7CCB">
            <w:pPr>
              <w:spacing w:after="0" w:line="240" w:lineRule="auto"/>
              <w:jc w:val="both"/>
              <w:rPr>
                <w:rFonts w:ascii="Times New Roman" w:hAnsi="Times New Roman" w:cs="Times New Roman"/>
                <w:bCs/>
                <w:sz w:val="24"/>
                <w:szCs w:val="24"/>
              </w:rPr>
            </w:pPr>
            <w:r w:rsidRPr="008C7CCB">
              <w:rPr>
                <w:rFonts w:ascii="Times New Roman" w:hAnsi="Times New Roman" w:cs="Times New Roman"/>
                <w:sz w:val="24"/>
                <w:szCs w:val="24"/>
              </w:rPr>
              <w:t>Jautājums par Tieslietu ministrijai nepieciešamo finansējumu 2020. gadā 20 405 </w:t>
            </w:r>
            <w:r w:rsidRPr="008C7CCB">
              <w:rPr>
                <w:rFonts w:ascii="Times New Roman" w:hAnsi="Times New Roman" w:cs="Times New Roman"/>
                <w:i/>
                <w:sz w:val="24"/>
                <w:szCs w:val="24"/>
              </w:rPr>
              <w:t>euro</w:t>
            </w:r>
            <w:r w:rsidRPr="008C7CCB">
              <w:rPr>
                <w:rFonts w:ascii="Times New Roman" w:hAnsi="Times New Roman" w:cs="Times New Roman"/>
                <w:sz w:val="24"/>
                <w:szCs w:val="24"/>
              </w:rPr>
              <w:t xml:space="preserve"> apmērā un 2021. gadā un turpmākajiem gadiem 4 526 </w:t>
            </w:r>
            <w:r w:rsidRPr="008C7CCB">
              <w:rPr>
                <w:rFonts w:ascii="Times New Roman" w:hAnsi="Times New Roman" w:cs="Times New Roman"/>
                <w:i/>
                <w:sz w:val="24"/>
                <w:szCs w:val="24"/>
              </w:rPr>
              <w:t>euro</w:t>
            </w:r>
            <w:r w:rsidRPr="008C7CCB">
              <w:rPr>
                <w:rFonts w:ascii="Times New Roman" w:hAnsi="Times New Roman" w:cs="Times New Roman"/>
                <w:sz w:val="24"/>
                <w:szCs w:val="24"/>
              </w:rPr>
              <w:t xml:space="preserve"> apmērā ik gadu skatāms Ministru kabineta sēdē likumprojekta "Par valsts budžetu 2020. gadam" sagatavošanas procesā kopā ar visu ministriju un citu valsts pārvaldes iestāžu prioritāro pasākumu pieprasījumiem</w:t>
            </w:r>
            <w:r>
              <w:rPr>
                <w:rFonts w:ascii="Times New Roman" w:hAnsi="Times New Roman" w:cs="Times New Roman"/>
                <w:sz w:val="24"/>
                <w:szCs w:val="24"/>
              </w:rPr>
              <w:t>.</w:t>
            </w: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78"/>
      </w:tblGrid>
      <w:tr w:rsidR="0059057E" w:rsidRPr="00BC2633" w14:paraId="347A5AC7" w14:textId="77777777" w:rsidTr="008C7CCB">
        <w:trPr>
          <w:trHeight w:val="360"/>
        </w:trPr>
        <w:tc>
          <w:tcPr>
            <w:tcW w:w="5000" w:type="pct"/>
            <w:tcBorders>
              <w:top w:val="single" w:sz="4" w:space="0" w:color="auto"/>
              <w:left w:val="nil"/>
              <w:bottom w:val="nil"/>
              <w:right w:val="nil"/>
            </w:tcBorders>
            <w:vAlign w:val="center"/>
          </w:tcPr>
          <w:p w14:paraId="541E9657" w14:textId="2391035D" w:rsidR="00E6238C" w:rsidRDefault="00E6238C" w:rsidP="00CA1E84">
            <w:pPr>
              <w:spacing w:after="0" w:line="240" w:lineRule="auto"/>
              <w:rPr>
                <w:rFonts w:ascii="Times New Roman" w:eastAsia="Times New Roman" w:hAnsi="Times New Roman" w:cs="Times New Roman"/>
                <w:b/>
                <w:bCs/>
                <w:sz w:val="24"/>
                <w:szCs w:val="24"/>
                <w:lang w:eastAsia="lv-LV"/>
              </w:rPr>
            </w:pPr>
          </w:p>
        </w:tc>
      </w:tr>
      <w:tr w:rsidR="00BC2633" w:rsidRPr="00BC2633" w14:paraId="4F0360E3" w14:textId="77777777" w:rsidTr="004D15A9">
        <w:trPr>
          <w:trHeight w:val="450"/>
        </w:trPr>
        <w:tc>
          <w:tcPr>
            <w:tcW w:w="9055" w:type="dxa"/>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22A38" w:rsidRPr="00BC2633" w14:paraId="0B379FE7" w14:textId="77777777" w:rsidTr="00F22A38">
        <w:trPr>
          <w:trHeight w:val="360"/>
        </w:trPr>
        <w:tc>
          <w:tcPr>
            <w:tcW w:w="5000" w:type="pct"/>
            <w:tcBorders>
              <w:top w:val="outset" w:sz="6" w:space="0" w:color="414142"/>
              <w:left w:val="outset" w:sz="6" w:space="0" w:color="414142"/>
              <w:right w:val="outset" w:sz="6" w:space="0" w:color="414142"/>
            </w:tcBorders>
            <w:hideMark/>
          </w:tcPr>
          <w:p w14:paraId="1B579D3B" w14:textId="234F99F2" w:rsidR="00F22A38" w:rsidRPr="00BC2633" w:rsidRDefault="00F22A38" w:rsidP="00F22A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F22A38" w:rsidRPr="00BC2633" w14:paraId="3D3E697F" w14:textId="77777777" w:rsidTr="00F22A38">
        <w:tc>
          <w:tcPr>
            <w:tcW w:w="5000" w:type="pct"/>
            <w:tcBorders>
              <w:top w:val="outset" w:sz="6" w:space="0" w:color="414142"/>
              <w:left w:val="outset" w:sz="6" w:space="0" w:color="414142"/>
              <w:bottom w:val="outset" w:sz="6" w:space="0" w:color="414142"/>
              <w:right w:val="outset" w:sz="6" w:space="0" w:color="414142"/>
            </w:tcBorders>
            <w:hideMark/>
          </w:tcPr>
          <w:p w14:paraId="46F4ED3F" w14:textId="4167110D" w:rsidR="00F22A38" w:rsidRPr="00BC2633" w:rsidRDefault="00F22A38" w:rsidP="00F22A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41C0C" w:rsidRPr="00BC2633" w14:paraId="7B1FA7B2" w14:textId="77777777" w:rsidTr="00441C0C">
        <w:trPr>
          <w:trHeight w:val="234"/>
        </w:trPr>
        <w:tc>
          <w:tcPr>
            <w:tcW w:w="5000" w:type="pct"/>
            <w:tcBorders>
              <w:top w:val="outset" w:sz="6" w:space="0" w:color="414142"/>
              <w:left w:val="outset" w:sz="6" w:space="0" w:color="414142"/>
              <w:right w:val="outset" w:sz="6" w:space="0" w:color="414142"/>
            </w:tcBorders>
            <w:hideMark/>
          </w:tcPr>
          <w:p w14:paraId="298F5795" w14:textId="35AC455A" w:rsidR="00441C0C" w:rsidRPr="001C5969" w:rsidRDefault="00441C0C" w:rsidP="00441C0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bl>
    <w:p w14:paraId="2511183B" w14:textId="77777777" w:rsidR="00E16C9C" w:rsidRPr="00BC2633" w:rsidRDefault="00E16C9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E9B6B76" w:rsidR="004D15A9" w:rsidRPr="00BC2633" w:rsidRDefault="00F22A38"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44C14C9" w:rsidR="004D15A9" w:rsidRPr="00BC2633" w:rsidRDefault="00367C52"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Tieslietu ministrija nodrošinās esošo cilvēkresursu ietvaros.</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DDF80D2" w:rsidR="004D15A9" w:rsidRPr="00BC2633" w:rsidRDefault="00F22A38"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materiāltehniski nodrošinās Tieslietu ministrija.</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171977C8" w14:textId="77777777" w:rsidR="00367C52" w:rsidRPr="00187CA1" w:rsidRDefault="00367C52" w:rsidP="00367C52">
      <w:pPr>
        <w:spacing w:after="0" w:line="240" w:lineRule="auto"/>
        <w:jc w:val="both"/>
        <w:rPr>
          <w:rFonts w:ascii="Times New Roman" w:eastAsia="Times New Roman" w:hAnsi="Times New Roman" w:cs="Times New Roman"/>
          <w:sz w:val="24"/>
          <w:szCs w:val="24"/>
        </w:rPr>
      </w:pPr>
      <w:r w:rsidRPr="00187CA1">
        <w:rPr>
          <w:rFonts w:ascii="Times New Roman" w:eastAsia="Times New Roman" w:hAnsi="Times New Roman" w:cs="Times New Roman"/>
          <w:sz w:val="24"/>
          <w:szCs w:val="24"/>
        </w:rPr>
        <w:t>Iesniedzējs:</w:t>
      </w:r>
    </w:p>
    <w:p w14:paraId="4714F764" w14:textId="77777777" w:rsidR="00367C52" w:rsidRPr="00187CA1" w:rsidRDefault="00367C52" w:rsidP="00367C52">
      <w:pPr>
        <w:tabs>
          <w:tab w:val="left" w:pos="6946"/>
          <w:tab w:val="right" w:pos="9074"/>
        </w:tabs>
        <w:rPr>
          <w:rFonts w:ascii="Times New Roman" w:hAnsi="Times New Roman" w:cs="Times New Roman"/>
          <w:sz w:val="24"/>
          <w:szCs w:val="24"/>
        </w:rPr>
      </w:pPr>
      <w:bookmarkStart w:id="0" w:name="_Hlk521311591"/>
      <w:r w:rsidRPr="00187CA1">
        <w:rPr>
          <w:rFonts w:ascii="Times New Roman" w:hAnsi="Times New Roman" w:cs="Times New Roman"/>
          <w:sz w:val="24"/>
          <w:szCs w:val="24"/>
        </w:rPr>
        <w:t>tieslietu ministrs</w:t>
      </w:r>
      <w:r w:rsidRPr="00187CA1">
        <w:rPr>
          <w:rFonts w:ascii="Times New Roman" w:hAnsi="Times New Roman" w:cs="Times New Roman"/>
          <w:sz w:val="24"/>
          <w:szCs w:val="24"/>
        </w:rPr>
        <w:tab/>
        <w:t>Dzintars Rasnačs</w:t>
      </w:r>
    </w:p>
    <w:bookmarkEnd w:id="0"/>
    <w:p w14:paraId="21E4DA6B" w14:textId="7C1A1B6F" w:rsidR="003A2A0B" w:rsidRPr="003B6A0F" w:rsidRDefault="003A2A0B" w:rsidP="00DA596D">
      <w:pPr>
        <w:pStyle w:val="StyleRight"/>
        <w:spacing w:after="0"/>
        <w:ind w:firstLine="0"/>
        <w:jc w:val="both"/>
        <w:rPr>
          <w:sz w:val="20"/>
          <w:szCs w:val="20"/>
        </w:rPr>
      </w:pPr>
    </w:p>
    <w:p w14:paraId="639C0679" w14:textId="6586FCA5" w:rsidR="00BC2633" w:rsidRPr="003B6A0F" w:rsidRDefault="00AE1067" w:rsidP="00BC2633">
      <w:pPr>
        <w:spacing w:after="0" w:line="240" w:lineRule="auto"/>
        <w:rPr>
          <w:rFonts w:ascii="Times New Roman" w:hAnsi="Times New Roman" w:cs="Times New Roman"/>
          <w:sz w:val="20"/>
          <w:szCs w:val="20"/>
        </w:rPr>
      </w:pPr>
      <w:r w:rsidRPr="003B6A0F">
        <w:rPr>
          <w:rFonts w:ascii="Times New Roman" w:hAnsi="Times New Roman" w:cs="Times New Roman"/>
          <w:sz w:val="20"/>
          <w:szCs w:val="20"/>
        </w:rPr>
        <w:t>Jurika</w:t>
      </w:r>
      <w:r w:rsidR="00BC2633" w:rsidRPr="003B6A0F">
        <w:rPr>
          <w:rFonts w:ascii="Times New Roman" w:hAnsi="Times New Roman" w:cs="Times New Roman"/>
          <w:sz w:val="20"/>
          <w:szCs w:val="20"/>
        </w:rPr>
        <w:t xml:space="preserve"> 67036</w:t>
      </w:r>
      <w:r w:rsidRPr="003B6A0F">
        <w:rPr>
          <w:rFonts w:ascii="Times New Roman" w:hAnsi="Times New Roman" w:cs="Times New Roman"/>
          <w:sz w:val="20"/>
          <w:szCs w:val="20"/>
        </w:rPr>
        <w:t>906</w:t>
      </w:r>
    </w:p>
    <w:p w14:paraId="73B1345C" w14:textId="4C1E7C34" w:rsidR="00BC2633" w:rsidRPr="003B6A0F" w:rsidRDefault="00AE1067" w:rsidP="00BC2633">
      <w:pPr>
        <w:spacing w:after="0" w:line="240" w:lineRule="auto"/>
        <w:rPr>
          <w:rFonts w:ascii="Times New Roman" w:hAnsi="Times New Roman" w:cs="Times New Roman"/>
          <w:sz w:val="20"/>
          <w:szCs w:val="20"/>
        </w:rPr>
      </w:pPr>
      <w:r w:rsidRPr="003B6A0F">
        <w:rPr>
          <w:rFonts w:ascii="Times New Roman" w:hAnsi="Times New Roman" w:cs="Times New Roman"/>
          <w:sz w:val="20"/>
          <w:szCs w:val="20"/>
        </w:rPr>
        <w:t>Anete.Jurika</w:t>
      </w:r>
      <w:r w:rsidR="00BC2633" w:rsidRPr="003B6A0F">
        <w:rPr>
          <w:rFonts w:ascii="Times New Roman" w:hAnsi="Times New Roman" w:cs="Times New Roman"/>
          <w:sz w:val="20"/>
          <w:szCs w:val="20"/>
        </w:rPr>
        <w:t>@tm.gov.lv</w:t>
      </w:r>
    </w:p>
    <w:sectPr w:rsidR="00BC2633" w:rsidRPr="003B6A0F" w:rsidSect="00323AB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E25587" w:rsidRDefault="00E25587" w:rsidP="004D15A9">
      <w:pPr>
        <w:spacing w:after="0" w:line="240" w:lineRule="auto"/>
      </w:pPr>
      <w:r>
        <w:separator/>
      </w:r>
    </w:p>
  </w:endnote>
  <w:endnote w:type="continuationSeparator" w:id="0">
    <w:p w14:paraId="455CECB7" w14:textId="77777777" w:rsidR="00E25587" w:rsidRDefault="00E2558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4F7C" w14:textId="77777777" w:rsidR="00943CE9" w:rsidRDefault="00943CE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25587" w:rsidRDefault="00E25587" w:rsidP="0042645D">
    <w:pPr>
      <w:pStyle w:val="Kjene"/>
      <w:rPr>
        <w:rFonts w:ascii="Times New Roman" w:hAnsi="Times New Roman" w:cs="Times New Roman"/>
        <w:sz w:val="20"/>
        <w:szCs w:val="20"/>
      </w:rPr>
    </w:pPr>
  </w:p>
  <w:p w14:paraId="6A190106" w14:textId="6698BF04" w:rsidR="00E25587" w:rsidRPr="00AE1067" w:rsidRDefault="00E2558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A4965">
      <w:rPr>
        <w:rFonts w:ascii="Times New Roman" w:hAnsi="Times New Roman" w:cs="Times New Roman"/>
        <w:noProof/>
        <w:sz w:val="20"/>
        <w:szCs w:val="20"/>
      </w:rPr>
      <w:t>TMAnot_</w:t>
    </w:r>
    <w:r w:rsidR="00943CE9">
      <w:rPr>
        <w:rFonts w:ascii="Times New Roman" w:hAnsi="Times New Roman" w:cs="Times New Roman"/>
        <w:noProof/>
        <w:sz w:val="20"/>
        <w:szCs w:val="20"/>
      </w:rPr>
      <w:t>15</w:t>
    </w:r>
    <w:bookmarkStart w:id="1" w:name="_GoBack"/>
    <w:bookmarkEnd w:id="1"/>
    <w:r w:rsidR="00175401">
      <w:rPr>
        <w:rFonts w:ascii="Times New Roman" w:hAnsi="Times New Roman" w:cs="Times New Roman"/>
        <w:noProof/>
        <w:sz w:val="20"/>
        <w:szCs w:val="20"/>
      </w:rPr>
      <w:t>0119</w:t>
    </w:r>
    <w:r w:rsidR="00BA4965">
      <w:rPr>
        <w:rFonts w:ascii="Times New Roman" w:hAnsi="Times New Roman" w:cs="Times New Roman"/>
        <w:noProof/>
        <w:sz w:val="20"/>
        <w:szCs w:val="20"/>
      </w:rPr>
      <w:t>_JuristaEks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1F16EAB" w:rsidR="00E25587" w:rsidRPr="0042645D" w:rsidRDefault="00E2558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A4965">
      <w:rPr>
        <w:rFonts w:ascii="Times New Roman" w:hAnsi="Times New Roman" w:cs="Times New Roman"/>
        <w:noProof/>
        <w:sz w:val="20"/>
        <w:szCs w:val="20"/>
      </w:rPr>
      <w:t>TMAnot_</w:t>
    </w:r>
    <w:r w:rsidR="00943CE9">
      <w:rPr>
        <w:rFonts w:ascii="Times New Roman" w:hAnsi="Times New Roman" w:cs="Times New Roman"/>
        <w:noProof/>
        <w:sz w:val="20"/>
        <w:szCs w:val="20"/>
      </w:rPr>
      <w:t>15</w:t>
    </w:r>
    <w:r w:rsidR="00175401">
      <w:rPr>
        <w:rFonts w:ascii="Times New Roman" w:hAnsi="Times New Roman" w:cs="Times New Roman"/>
        <w:noProof/>
        <w:sz w:val="20"/>
        <w:szCs w:val="20"/>
      </w:rPr>
      <w:t>0119</w:t>
    </w:r>
    <w:r w:rsidR="00BA4965">
      <w:rPr>
        <w:rFonts w:ascii="Times New Roman" w:hAnsi="Times New Roman" w:cs="Times New Roman"/>
        <w:noProof/>
        <w:sz w:val="20"/>
        <w:szCs w:val="20"/>
      </w:rPr>
      <w:t>_JuristaEks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E25587" w:rsidRDefault="00E25587" w:rsidP="004D15A9">
      <w:pPr>
        <w:spacing w:after="0" w:line="240" w:lineRule="auto"/>
      </w:pPr>
      <w:r>
        <w:separator/>
      </w:r>
    </w:p>
  </w:footnote>
  <w:footnote w:type="continuationSeparator" w:id="0">
    <w:p w14:paraId="0F12C137" w14:textId="77777777" w:rsidR="00E25587" w:rsidRDefault="00E2558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36FB" w14:textId="77777777" w:rsidR="00943CE9" w:rsidRDefault="00943CE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E25587" w:rsidRPr="004D15A9" w:rsidRDefault="00E2558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E25587" w:rsidRDefault="00E2558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611B" w14:textId="77777777" w:rsidR="00943CE9" w:rsidRDefault="00943C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B6"/>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F530CE"/>
    <w:multiLevelType w:val="hybridMultilevel"/>
    <w:tmpl w:val="9F564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601F40"/>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F56087"/>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990C04"/>
    <w:multiLevelType w:val="hybridMultilevel"/>
    <w:tmpl w:val="308CB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F2D2347"/>
    <w:multiLevelType w:val="hybridMultilevel"/>
    <w:tmpl w:val="B71C62A6"/>
    <w:lvl w:ilvl="0" w:tplc="9AB24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56D"/>
    <w:rsid w:val="000114FD"/>
    <w:rsid w:val="00016373"/>
    <w:rsid w:val="0002590C"/>
    <w:rsid w:val="00027A1D"/>
    <w:rsid w:val="00031256"/>
    <w:rsid w:val="00062F0F"/>
    <w:rsid w:val="00084207"/>
    <w:rsid w:val="000877FB"/>
    <w:rsid w:val="000C3FDD"/>
    <w:rsid w:val="000D62B9"/>
    <w:rsid w:val="000E3461"/>
    <w:rsid w:val="000E42FD"/>
    <w:rsid w:val="00101CD5"/>
    <w:rsid w:val="00122A36"/>
    <w:rsid w:val="00122ECE"/>
    <w:rsid w:val="001368DE"/>
    <w:rsid w:val="00157683"/>
    <w:rsid w:val="0016424F"/>
    <w:rsid w:val="00175401"/>
    <w:rsid w:val="001A5826"/>
    <w:rsid w:val="001C0443"/>
    <w:rsid w:val="001C5969"/>
    <w:rsid w:val="001C632E"/>
    <w:rsid w:val="001F68D7"/>
    <w:rsid w:val="00204BAE"/>
    <w:rsid w:val="00220682"/>
    <w:rsid w:val="0023469E"/>
    <w:rsid w:val="00246B8A"/>
    <w:rsid w:val="00253C23"/>
    <w:rsid w:val="00275FB5"/>
    <w:rsid w:val="00292D53"/>
    <w:rsid w:val="002C4C64"/>
    <w:rsid w:val="002D18B4"/>
    <w:rsid w:val="002F097F"/>
    <w:rsid w:val="00323AB5"/>
    <w:rsid w:val="003274E8"/>
    <w:rsid w:val="003356C3"/>
    <w:rsid w:val="00352536"/>
    <w:rsid w:val="003606EA"/>
    <w:rsid w:val="00367C52"/>
    <w:rsid w:val="00370DA5"/>
    <w:rsid w:val="003803BC"/>
    <w:rsid w:val="003922B0"/>
    <w:rsid w:val="00393CB2"/>
    <w:rsid w:val="003A2A0B"/>
    <w:rsid w:val="003B0AFA"/>
    <w:rsid w:val="003B6A0F"/>
    <w:rsid w:val="003B6EA1"/>
    <w:rsid w:val="003C0D86"/>
    <w:rsid w:val="003C3465"/>
    <w:rsid w:val="003F2408"/>
    <w:rsid w:val="004151CA"/>
    <w:rsid w:val="0042378F"/>
    <w:rsid w:val="0042432D"/>
    <w:rsid w:val="00424880"/>
    <w:rsid w:val="0042645D"/>
    <w:rsid w:val="00427DE5"/>
    <w:rsid w:val="0043541A"/>
    <w:rsid w:val="00441C0C"/>
    <w:rsid w:val="00461275"/>
    <w:rsid w:val="00466A91"/>
    <w:rsid w:val="00474963"/>
    <w:rsid w:val="004A10A2"/>
    <w:rsid w:val="004B511C"/>
    <w:rsid w:val="004B6480"/>
    <w:rsid w:val="004C3B12"/>
    <w:rsid w:val="004D15A9"/>
    <w:rsid w:val="004D267C"/>
    <w:rsid w:val="00504ADD"/>
    <w:rsid w:val="00515CEE"/>
    <w:rsid w:val="00525150"/>
    <w:rsid w:val="00551363"/>
    <w:rsid w:val="0056246C"/>
    <w:rsid w:val="0056459F"/>
    <w:rsid w:val="00565858"/>
    <w:rsid w:val="0059057E"/>
    <w:rsid w:val="00595681"/>
    <w:rsid w:val="005C0266"/>
    <w:rsid w:val="005C3F97"/>
    <w:rsid w:val="005D35F0"/>
    <w:rsid w:val="005D4E8A"/>
    <w:rsid w:val="005D7B0D"/>
    <w:rsid w:val="005F4309"/>
    <w:rsid w:val="00603159"/>
    <w:rsid w:val="00612A92"/>
    <w:rsid w:val="00621A48"/>
    <w:rsid w:val="0066185B"/>
    <w:rsid w:val="006641E1"/>
    <w:rsid w:val="006659E3"/>
    <w:rsid w:val="00672A60"/>
    <w:rsid w:val="006C3F78"/>
    <w:rsid w:val="006D0E8C"/>
    <w:rsid w:val="006D5D79"/>
    <w:rsid w:val="006E231F"/>
    <w:rsid w:val="0070115B"/>
    <w:rsid w:val="007047F3"/>
    <w:rsid w:val="00707C58"/>
    <w:rsid w:val="007315DA"/>
    <w:rsid w:val="0073730D"/>
    <w:rsid w:val="00737C14"/>
    <w:rsid w:val="00743DA3"/>
    <w:rsid w:val="0075125D"/>
    <w:rsid w:val="00751C2F"/>
    <w:rsid w:val="00777E9B"/>
    <w:rsid w:val="00784B71"/>
    <w:rsid w:val="0078747C"/>
    <w:rsid w:val="007B5FD2"/>
    <w:rsid w:val="007B73D0"/>
    <w:rsid w:val="007C5B8E"/>
    <w:rsid w:val="007C66CC"/>
    <w:rsid w:val="007C76FD"/>
    <w:rsid w:val="007F0103"/>
    <w:rsid w:val="007F6166"/>
    <w:rsid w:val="0081203F"/>
    <w:rsid w:val="008413E4"/>
    <w:rsid w:val="00841836"/>
    <w:rsid w:val="0084472A"/>
    <w:rsid w:val="008457C8"/>
    <w:rsid w:val="008554A9"/>
    <w:rsid w:val="0086671F"/>
    <w:rsid w:val="00867D76"/>
    <w:rsid w:val="008701FC"/>
    <w:rsid w:val="008826E9"/>
    <w:rsid w:val="0088645B"/>
    <w:rsid w:val="008A1005"/>
    <w:rsid w:val="008B09F6"/>
    <w:rsid w:val="008C7CCB"/>
    <w:rsid w:val="008E4E93"/>
    <w:rsid w:val="008E78B2"/>
    <w:rsid w:val="008F6DFA"/>
    <w:rsid w:val="009209E0"/>
    <w:rsid w:val="00926308"/>
    <w:rsid w:val="00940130"/>
    <w:rsid w:val="00943CE9"/>
    <w:rsid w:val="0094763D"/>
    <w:rsid w:val="00953B4A"/>
    <w:rsid w:val="00964EA7"/>
    <w:rsid w:val="00975CB6"/>
    <w:rsid w:val="0097690A"/>
    <w:rsid w:val="0098073A"/>
    <w:rsid w:val="00997954"/>
    <w:rsid w:val="00A03053"/>
    <w:rsid w:val="00A1402E"/>
    <w:rsid w:val="00A1552F"/>
    <w:rsid w:val="00A20D7B"/>
    <w:rsid w:val="00A320F7"/>
    <w:rsid w:val="00A324DC"/>
    <w:rsid w:val="00A451F7"/>
    <w:rsid w:val="00A551C8"/>
    <w:rsid w:val="00A6168F"/>
    <w:rsid w:val="00A71CC1"/>
    <w:rsid w:val="00A73FAF"/>
    <w:rsid w:val="00AA1D80"/>
    <w:rsid w:val="00AB6562"/>
    <w:rsid w:val="00AC34C2"/>
    <w:rsid w:val="00AD14EA"/>
    <w:rsid w:val="00AE1067"/>
    <w:rsid w:val="00B056CF"/>
    <w:rsid w:val="00B06678"/>
    <w:rsid w:val="00B37B16"/>
    <w:rsid w:val="00B606C9"/>
    <w:rsid w:val="00B7279F"/>
    <w:rsid w:val="00B7370D"/>
    <w:rsid w:val="00B73A1E"/>
    <w:rsid w:val="00B81C6E"/>
    <w:rsid w:val="00B83C87"/>
    <w:rsid w:val="00BA4965"/>
    <w:rsid w:val="00BA619B"/>
    <w:rsid w:val="00BB1F46"/>
    <w:rsid w:val="00BC2633"/>
    <w:rsid w:val="00BD4584"/>
    <w:rsid w:val="00BD51C5"/>
    <w:rsid w:val="00BE2E4B"/>
    <w:rsid w:val="00BE5463"/>
    <w:rsid w:val="00BE7193"/>
    <w:rsid w:val="00BF039F"/>
    <w:rsid w:val="00BF327D"/>
    <w:rsid w:val="00BF3A34"/>
    <w:rsid w:val="00C237BA"/>
    <w:rsid w:val="00C241D8"/>
    <w:rsid w:val="00C31A94"/>
    <w:rsid w:val="00C7392D"/>
    <w:rsid w:val="00C80743"/>
    <w:rsid w:val="00C9278B"/>
    <w:rsid w:val="00C941C5"/>
    <w:rsid w:val="00CA1E84"/>
    <w:rsid w:val="00CA55DA"/>
    <w:rsid w:val="00CD4E50"/>
    <w:rsid w:val="00D1107A"/>
    <w:rsid w:val="00D2405B"/>
    <w:rsid w:val="00D278B8"/>
    <w:rsid w:val="00D27A4E"/>
    <w:rsid w:val="00D313D5"/>
    <w:rsid w:val="00D8469C"/>
    <w:rsid w:val="00DA083A"/>
    <w:rsid w:val="00DA326E"/>
    <w:rsid w:val="00DA52AC"/>
    <w:rsid w:val="00DA596D"/>
    <w:rsid w:val="00DA794C"/>
    <w:rsid w:val="00DB3BF2"/>
    <w:rsid w:val="00DD1EA2"/>
    <w:rsid w:val="00DE0613"/>
    <w:rsid w:val="00DE112A"/>
    <w:rsid w:val="00DE78C6"/>
    <w:rsid w:val="00E16C9C"/>
    <w:rsid w:val="00E24225"/>
    <w:rsid w:val="00E25587"/>
    <w:rsid w:val="00E32D04"/>
    <w:rsid w:val="00E34150"/>
    <w:rsid w:val="00E44C94"/>
    <w:rsid w:val="00E557CC"/>
    <w:rsid w:val="00E5586E"/>
    <w:rsid w:val="00E6238C"/>
    <w:rsid w:val="00E90E93"/>
    <w:rsid w:val="00E9181C"/>
    <w:rsid w:val="00EC0C00"/>
    <w:rsid w:val="00ED20B2"/>
    <w:rsid w:val="00ED573E"/>
    <w:rsid w:val="00EE13AA"/>
    <w:rsid w:val="00EE6FFD"/>
    <w:rsid w:val="00F22A38"/>
    <w:rsid w:val="00F2713F"/>
    <w:rsid w:val="00F91583"/>
    <w:rsid w:val="00F91795"/>
    <w:rsid w:val="00FA4F28"/>
    <w:rsid w:val="00FB2959"/>
    <w:rsid w:val="00FB2AF8"/>
    <w:rsid w:val="00FD0A8E"/>
    <w:rsid w:val="00FD5CAA"/>
    <w:rsid w:val="00FF3FF2"/>
    <w:rsid w:val="00FF5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Izteiksmgs">
    <w:name w:val="Strong"/>
    <w:basedOn w:val="Noklusjumarindkopasfonts"/>
    <w:uiPriority w:val="22"/>
    <w:qFormat/>
    <w:rsid w:val="00AA1D80"/>
    <w:rPr>
      <w:b/>
      <w:bCs/>
    </w:rPr>
  </w:style>
  <w:style w:type="table" w:styleId="Reatabula">
    <w:name w:val="Table Grid"/>
    <w:basedOn w:val="Parastatabula"/>
    <w:uiPriority w:val="59"/>
    <w:rsid w:val="00AA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AA1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7353277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0FF4-08BA-45E4-B3DE-8090BDA1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18836</Words>
  <Characters>10738</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Ministru kabineta noteikumu projekta "Valsts vienotā jurista profesionālās kvalifikācijas eksāmena kārtība" sākotnējās ietekmes novērtējuma ziņojums (anotācija)</vt:lpstr>
    </vt:vector>
  </TitlesOfParts>
  <Company>Tieslietu ministrija</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vienotā jurista profesionālās kvalifikācijas eksāmena kārtība" sākotnējās ietekmes novērtējuma ziņojums (anotācija)</dc:title>
  <dc:subject>Anotācija</dc:subject>
  <dc:creator>Anete Jurika</dc:creator>
  <dc:description>67036906, anete.jurika@tm.gov.lv</dc:description>
  <cp:lastModifiedBy>Natālija Laveniece-Straupmane</cp:lastModifiedBy>
  <cp:revision>6</cp:revision>
  <cp:lastPrinted>2018-12-10T12:00:00Z</cp:lastPrinted>
  <dcterms:created xsi:type="dcterms:W3CDTF">2019-01-03T09:44:00Z</dcterms:created>
  <dcterms:modified xsi:type="dcterms:W3CDTF">2019-01-15T09:45:00Z</dcterms:modified>
</cp:coreProperties>
</file>